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9D7C9" w14:textId="0D780BAA" w:rsidR="009D4CB8" w:rsidRPr="009D4CB8" w:rsidRDefault="00007DC9" w:rsidP="009D4CB8">
      <w:pPr>
        <w:spacing w:after="0" w:line="240" w:lineRule="auto"/>
        <w:ind w:left="180"/>
        <w:jc w:val="center"/>
        <w:rPr>
          <w:rFonts w:ascii="Times New Roman" w:hAnsi="Times New Roman" w:cs="Times New Roman"/>
          <w:b/>
        </w:rPr>
      </w:pPr>
      <w:r>
        <w:rPr>
          <w:rFonts w:ascii="Times New Roman" w:hAnsi="Times New Roman" w:cs="Times New Roman"/>
          <w:b/>
        </w:rPr>
        <w:t xml:space="preserve">Annex 3. </w:t>
      </w:r>
      <w:r w:rsidR="009D4CB8" w:rsidRPr="009D4CB8">
        <w:rPr>
          <w:rFonts w:ascii="Times New Roman" w:hAnsi="Times New Roman" w:cs="Times New Roman"/>
          <w:b/>
        </w:rPr>
        <w:t>Implementation of General Assembly resolution 71/243 on the quadrennial comprehensive policy</w:t>
      </w:r>
    </w:p>
    <w:p w14:paraId="02182672" w14:textId="1EF6240D" w:rsidR="009D4CB8" w:rsidRPr="009D4CB8" w:rsidRDefault="009D4CB8" w:rsidP="009D4CB8">
      <w:pPr>
        <w:spacing w:after="0" w:line="240" w:lineRule="auto"/>
        <w:jc w:val="center"/>
        <w:rPr>
          <w:rFonts w:ascii="Times New Roman" w:hAnsi="Times New Roman" w:cs="Times New Roman"/>
          <w:b/>
        </w:rPr>
      </w:pPr>
      <w:r w:rsidRPr="009D4CB8">
        <w:rPr>
          <w:rFonts w:ascii="Times New Roman" w:hAnsi="Times New Roman" w:cs="Times New Roman"/>
          <w:b/>
        </w:rPr>
        <w:t xml:space="preserve">Review (QCPR) of operational activities for development of the United Nations System </w:t>
      </w:r>
    </w:p>
    <w:p w14:paraId="4496245C" w14:textId="1345E7E0" w:rsidR="00C03365" w:rsidRPr="00DB4B52" w:rsidRDefault="00C03365" w:rsidP="009D4CB8">
      <w:pPr>
        <w:jc w:val="center"/>
        <w:rPr>
          <w:rFonts w:ascii="Times New Roman" w:hAnsi="Times New Roman" w:cs="Times New Roman"/>
          <w:b/>
        </w:rPr>
      </w:pPr>
    </w:p>
    <w:p w14:paraId="0A2EBC68" w14:textId="3DFE9E19" w:rsidR="00DE3499" w:rsidRPr="00DB4B52" w:rsidRDefault="00C03365" w:rsidP="00C03365">
      <w:pPr>
        <w:jc w:val="both"/>
        <w:rPr>
          <w:rFonts w:ascii="Times New Roman" w:hAnsi="Times New Roman" w:cs="Times New Roman"/>
        </w:rPr>
      </w:pPr>
      <w:r w:rsidRPr="00DB4B52">
        <w:rPr>
          <w:rFonts w:ascii="Times New Roman" w:hAnsi="Times New Roman" w:cs="Times New Roman"/>
        </w:rPr>
        <w:t>This annex is submitted in accordance with ECOSOC resolution 2013/5, which “requests the United Nations funds and programmes to consolidate their current annual reporting on the implementation of the quadrennial comprehensive policy review (QCPR) within their reporting on the implementation of their strategic plans”. In an effort to enhance harmonization and coherence across the United Nations Development Programme (UNDP), the United Nations Population Fund (UNFPA), the United Nations Children's Fund (UNICEF), and the United Nations Entity for Gender Equality and the Empowerment of Women (UN-Women), the four agencies developed a common reporting format outlined below. This table reports against the mandates of the General Assembly resolution 71/243 (2017-2021) on QCPR of operational activities for dev</w:t>
      </w:r>
      <w:r w:rsidR="007D4E5D">
        <w:rPr>
          <w:rFonts w:ascii="Times New Roman" w:hAnsi="Times New Roman" w:cs="Times New Roman"/>
        </w:rPr>
        <w:t>elopment of the United Nations S</w:t>
      </w:r>
      <w:r w:rsidRPr="00DB4B52">
        <w:rPr>
          <w:rFonts w:ascii="Times New Roman" w:hAnsi="Times New Roman" w:cs="Times New Roman"/>
        </w:rPr>
        <w:t>ystem</w:t>
      </w:r>
      <w:r w:rsidR="008A2F07">
        <w:rPr>
          <w:rFonts w:ascii="Times New Roman" w:hAnsi="Times New Roman" w:cs="Times New Roman"/>
        </w:rPr>
        <w:t xml:space="preserve"> in its second year of implementation</w:t>
      </w:r>
      <w:r w:rsidRPr="00DB4B52">
        <w:rPr>
          <w:rFonts w:ascii="Times New Roman" w:hAnsi="Times New Roman" w:cs="Times New Roman"/>
        </w:rPr>
        <w:t>.</w:t>
      </w:r>
    </w:p>
    <w:tbl>
      <w:tblPr>
        <w:tblStyle w:val="TableGrid"/>
        <w:tblW w:w="13680" w:type="dxa"/>
        <w:tblInd w:w="265" w:type="dxa"/>
        <w:tblLook w:val="04A0" w:firstRow="1" w:lastRow="0" w:firstColumn="1" w:lastColumn="0" w:noHBand="0" w:noVBand="1"/>
      </w:tblPr>
      <w:tblGrid>
        <w:gridCol w:w="4230"/>
        <w:gridCol w:w="9450"/>
      </w:tblGrid>
      <w:tr w:rsidR="004F2D59" w:rsidRPr="00996C98" w14:paraId="1C1CDE39" w14:textId="77777777" w:rsidTr="009D4CB8">
        <w:tc>
          <w:tcPr>
            <w:tcW w:w="13680" w:type="dxa"/>
            <w:gridSpan w:val="2"/>
            <w:shd w:val="clear" w:color="auto" w:fill="E7E6E6" w:themeFill="background2"/>
          </w:tcPr>
          <w:p w14:paraId="741671E9" w14:textId="77777777" w:rsidR="004F2D59" w:rsidRPr="00996C98" w:rsidRDefault="004F2D59" w:rsidP="004F2D59">
            <w:pPr>
              <w:pStyle w:val="ListParagraph"/>
              <w:numPr>
                <w:ilvl w:val="0"/>
                <w:numId w:val="10"/>
              </w:numPr>
              <w:rPr>
                <w:rFonts w:ascii="Times New Roman" w:hAnsi="Times New Roman" w:cs="Times New Roman"/>
              </w:rPr>
            </w:pPr>
            <w:r w:rsidRPr="00996C98">
              <w:rPr>
                <w:rFonts w:ascii="Times New Roman" w:hAnsi="Times New Roman" w:cs="Times New Roman"/>
                <w:b/>
              </w:rPr>
              <w:t>General Guidelines</w:t>
            </w:r>
          </w:p>
        </w:tc>
      </w:tr>
      <w:tr w:rsidR="002E1C94" w:rsidRPr="00996C98" w14:paraId="7E8DDF61" w14:textId="77777777" w:rsidTr="009D4CB8">
        <w:tc>
          <w:tcPr>
            <w:tcW w:w="4230" w:type="dxa"/>
          </w:tcPr>
          <w:p w14:paraId="1A85FDD0" w14:textId="77777777" w:rsidR="002E1C94" w:rsidRPr="00996C98" w:rsidRDefault="002E1C94" w:rsidP="00C5643B">
            <w:pPr>
              <w:rPr>
                <w:rFonts w:ascii="Times New Roman" w:hAnsi="Times New Roman" w:cs="Times New Roman"/>
              </w:rPr>
            </w:pPr>
            <w:r w:rsidRPr="00996C98">
              <w:rPr>
                <w:rFonts w:ascii="Times New Roman" w:hAnsi="Times New Roman" w:cs="Times New Roman"/>
              </w:rPr>
              <w:t>QCPR mandates (OP1-15)</w:t>
            </w:r>
          </w:p>
        </w:tc>
        <w:tc>
          <w:tcPr>
            <w:tcW w:w="9450" w:type="dxa"/>
          </w:tcPr>
          <w:p w14:paraId="2166C485" w14:textId="77777777" w:rsidR="002E1C94" w:rsidRPr="00996C98" w:rsidRDefault="002E1C94" w:rsidP="00C5643B">
            <w:pPr>
              <w:rPr>
                <w:rFonts w:ascii="Times New Roman" w:hAnsi="Times New Roman" w:cs="Times New Roman"/>
              </w:rPr>
            </w:pPr>
            <w:r w:rsidRPr="00996C98">
              <w:rPr>
                <w:rFonts w:ascii="Times New Roman" w:hAnsi="Times New Roman" w:cs="Times New Roman"/>
              </w:rPr>
              <w:t>Progress</w:t>
            </w:r>
          </w:p>
        </w:tc>
      </w:tr>
      <w:tr w:rsidR="002E1C94" w:rsidRPr="00996C98" w14:paraId="0AC3F057" w14:textId="77777777" w:rsidTr="009D4CB8">
        <w:tc>
          <w:tcPr>
            <w:tcW w:w="4230" w:type="dxa"/>
          </w:tcPr>
          <w:p w14:paraId="23BF8DDE" w14:textId="77777777" w:rsidR="002E1C94" w:rsidRPr="00996C98" w:rsidRDefault="002E1C94" w:rsidP="00C5643B">
            <w:pPr>
              <w:rPr>
                <w:rFonts w:ascii="Times New Roman" w:hAnsi="Times New Roman" w:cs="Times New Roman"/>
              </w:rPr>
            </w:pPr>
            <w:r w:rsidRPr="00996C98">
              <w:rPr>
                <w:rFonts w:ascii="Times New Roman" w:hAnsi="Times New Roman" w:cs="Times New Roman"/>
                <w:i/>
                <w:lang w:val="en-GB"/>
              </w:rPr>
              <w:t>Calls upon</w:t>
            </w:r>
            <w:r w:rsidRPr="00996C98">
              <w:rPr>
                <w:rFonts w:ascii="Times New Roman" w:hAnsi="Times New Roman" w:cs="Times New Roman"/>
                <w:lang w:val="en-GB"/>
              </w:rPr>
              <w:t xml:space="preserve"> the entities of the UNDS to:</w:t>
            </w:r>
          </w:p>
          <w:p w14:paraId="06B23A6B" w14:textId="77777777" w:rsidR="002E1C94" w:rsidRPr="00996C98" w:rsidRDefault="002E1C94" w:rsidP="002E1C94">
            <w:pPr>
              <w:pStyle w:val="ListParagraph"/>
              <w:numPr>
                <w:ilvl w:val="0"/>
                <w:numId w:val="1"/>
              </w:numPr>
              <w:rPr>
                <w:rFonts w:ascii="Times New Roman" w:hAnsi="Times New Roman" w:cs="Times New Roman"/>
              </w:rPr>
            </w:pPr>
            <w:r w:rsidRPr="00996C98">
              <w:rPr>
                <w:rFonts w:ascii="Times New Roman" w:hAnsi="Times New Roman" w:cs="Times New Roman"/>
                <w:i/>
                <w:lang w:val="en-GB"/>
              </w:rPr>
              <w:t>mainstream the SDGs in their strategic planning documents</w:t>
            </w:r>
            <w:r w:rsidRPr="00996C98">
              <w:rPr>
                <w:rFonts w:ascii="Times New Roman" w:hAnsi="Times New Roman" w:cs="Times New Roman"/>
                <w:lang w:val="en-GB"/>
              </w:rPr>
              <w:t xml:space="preserve"> and their work at all levels (OP8) </w:t>
            </w:r>
          </w:p>
          <w:p w14:paraId="7E77DA42" w14:textId="77777777" w:rsidR="002E1C94" w:rsidRPr="00996C98" w:rsidRDefault="002E1C94" w:rsidP="002E1C94">
            <w:pPr>
              <w:pStyle w:val="ListParagraph"/>
              <w:numPr>
                <w:ilvl w:val="0"/>
                <w:numId w:val="1"/>
              </w:numPr>
              <w:rPr>
                <w:rFonts w:ascii="Times New Roman" w:hAnsi="Times New Roman" w:cs="Times New Roman"/>
              </w:rPr>
            </w:pPr>
            <w:r w:rsidRPr="00996C98">
              <w:rPr>
                <w:rFonts w:ascii="Times New Roman" w:hAnsi="Times New Roman" w:cs="Times New Roman"/>
                <w:lang w:val="en-GB"/>
              </w:rPr>
              <w:t xml:space="preserve">continue to </w:t>
            </w:r>
            <w:r w:rsidRPr="00996C98">
              <w:rPr>
                <w:rFonts w:ascii="Times New Roman" w:hAnsi="Times New Roman" w:cs="Times New Roman"/>
                <w:i/>
                <w:lang w:val="en-GB"/>
              </w:rPr>
              <w:t>strengthen results-based management,</w:t>
            </w:r>
            <w:r w:rsidRPr="00996C98">
              <w:rPr>
                <w:rFonts w:ascii="Times New Roman" w:hAnsi="Times New Roman" w:cs="Times New Roman"/>
                <w:lang w:val="en-GB"/>
              </w:rPr>
              <w:t xml:space="preserve"> focusing on long-term development outcomes, developing common methodologies for planning and reporting on results, improving integrated results and resources framework (OP12)</w:t>
            </w:r>
          </w:p>
          <w:p w14:paraId="56FD0971" w14:textId="77777777" w:rsidR="002E1C94" w:rsidRPr="00996C98" w:rsidRDefault="002E1C94" w:rsidP="002E1C94">
            <w:pPr>
              <w:pStyle w:val="ListParagraph"/>
              <w:numPr>
                <w:ilvl w:val="0"/>
                <w:numId w:val="1"/>
              </w:numPr>
              <w:rPr>
                <w:rFonts w:ascii="Times New Roman" w:hAnsi="Times New Roman" w:cs="Times New Roman"/>
              </w:rPr>
            </w:pPr>
            <w:r w:rsidRPr="00996C98">
              <w:rPr>
                <w:rFonts w:ascii="Times New Roman" w:hAnsi="Times New Roman" w:cs="Times New Roman"/>
                <w:lang w:val="en-GB"/>
              </w:rPr>
              <w:t xml:space="preserve">continue to promote women’s empowerment and gender equality </w:t>
            </w:r>
            <w:r w:rsidRPr="00996C98">
              <w:rPr>
                <w:rFonts w:ascii="Times New Roman" w:hAnsi="Times New Roman" w:cs="Times New Roman"/>
                <w:i/>
                <w:lang w:val="en-GB"/>
              </w:rPr>
              <w:t xml:space="preserve">by enhancing gender mainstreaming </w:t>
            </w:r>
            <w:r w:rsidRPr="00996C98">
              <w:rPr>
                <w:rFonts w:ascii="Times New Roman" w:hAnsi="Times New Roman" w:cs="Times New Roman"/>
                <w:lang w:val="en-GB"/>
              </w:rPr>
              <w:t>through the full implementation of the System-wide Action Plan on Gender Equality and the Empowerment of Women (OP13)</w:t>
            </w:r>
          </w:p>
          <w:p w14:paraId="44600A71" w14:textId="77777777" w:rsidR="002E1C94" w:rsidRPr="00996C98" w:rsidRDefault="002E1C94" w:rsidP="00C5643B">
            <w:pPr>
              <w:pStyle w:val="ListParagraph"/>
              <w:ind w:left="360"/>
              <w:rPr>
                <w:rFonts w:ascii="Times New Roman" w:hAnsi="Times New Roman" w:cs="Times New Roman"/>
              </w:rPr>
            </w:pPr>
          </w:p>
        </w:tc>
        <w:tc>
          <w:tcPr>
            <w:tcW w:w="9450" w:type="dxa"/>
          </w:tcPr>
          <w:p w14:paraId="337D7B73" w14:textId="77777777" w:rsidR="008031BA" w:rsidRPr="00996C98" w:rsidRDefault="006D0C29" w:rsidP="00F3318F">
            <w:pPr>
              <w:pStyle w:val="ListParagraph"/>
              <w:numPr>
                <w:ilvl w:val="0"/>
                <w:numId w:val="1"/>
              </w:numPr>
              <w:jc w:val="both"/>
              <w:rPr>
                <w:rFonts w:ascii="Times New Roman" w:hAnsi="Times New Roman" w:cs="Times New Roman"/>
              </w:rPr>
            </w:pPr>
            <w:r w:rsidRPr="00297631">
              <w:rPr>
                <w:rFonts w:ascii="Times New Roman" w:hAnsi="Times New Roman" w:cs="Times New Roman"/>
                <w:b/>
                <w:color w:val="000000" w:themeColor="text1"/>
              </w:rPr>
              <w:t>(OP 8)</w:t>
            </w:r>
            <w:r w:rsidR="00AA6811" w:rsidRPr="00297631">
              <w:rPr>
                <w:rFonts w:ascii="Times New Roman" w:hAnsi="Times New Roman" w:cs="Times New Roman"/>
                <w:color w:val="000000" w:themeColor="text1"/>
              </w:rPr>
              <w:t xml:space="preserve"> </w:t>
            </w:r>
            <w:r w:rsidR="00064ECA" w:rsidRPr="005C63C1">
              <w:rPr>
                <w:rFonts w:ascii="Times New Roman" w:hAnsi="Times New Roman" w:cs="Times New Roman"/>
              </w:rPr>
              <w:t xml:space="preserve">UNDP has mainstreamed the SDGs into the Strategic Plan for 2018-2021 and Integrated Results and Resources Framework (IRRF).  UNDP supported a diverse array of countries to mainstream the SDGs into national and subnational planning documents based on guidance, tools and methodologies developed by UNDP and partners.  These include: 1) </w:t>
            </w:r>
            <w:hyperlink r:id="rId12" w:history="1">
              <w:r w:rsidR="00064ECA" w:rsidRPr="005C63C1">
                <w:rPr>
                  <w:rStyle w:val="Hyperlink"/>
                  <w:rFonts w:ascii="Times New Roman" w:hAnsi="Times New Roman" w:cs="Times New Roman"/>
                </w:rPr>
                <w:t>UNSDG’s Mainstreaming Reference Guide</w:t>
              </w:r>
            </w:hyperlink>
            <w:r w:rsidR="00064ECA" w:rsidRPr="005C63C1">
              <w:rPr>
                <w:rFonts w:ascii="Times New Roman" w:hAnsi="Times New Roman" w:cs="Times New Roman"/>
              </w:rPr>
              <w:t xml:space="preserve"> that was updated in 2017 to assist UNCT in helping Member States to adapt the SDGs to their national contexts; 2) </w:t>
            </w:r>
            <w:r w:rsidR="00064ECA" w:rsidRPr="005C63C1">
              <w:rPr>
                <w:rFonts w:ascii="Times New Roman" w:hAnsi="Times New Roman" w:cs="Times New Roman"/>
                <w:iCs/>
              </w:rPr>
              <w:t xml:space="preserve">Rapid Integrated Assessment tool </w:t>
            </w:r>
            <w:r w:rsidR="00064ECA" w:rsidRPr="005C63C1">
              <w:rPr>
                <w:rFonts w:ascii="Times New Roman" w:hAnsi="Times New Roman" w:cs="Times New Roman"/>
              </w:rPr>
              <w:t xml:space="preserve">(RIA) that looks into national and subnational planning documents to assess the extent to which these plans are aligned with the SDGs and helps identify gaps, and 3) </w:t>
            </w:r>
            <w:r w:rsidR="00064ECA" w:rsidRPr="005C63C1">
              <w:rPr>
                <w:rFonts w:ascii="Times New Roman" w:hAnsi="Times New Roman" w:cs="Times New Roman"/>
                <w:iCs/>
              </w:rPr>
              <w:t>Co-financing Guidance Note</w:t>
            </w:r>
            <w:r w:rsidR="00064ECA" w:rsidRPr="005C63C1">
              <w:rPr>
                <w:rFonts w:ascii="Times New Roman" w:hAnsi="Times New Roman" w:cs="Times New Roman"/>
              </w:rPr>
              <w:t xml:space="preserve"> that was developed in 2018 by UNDP and partners to identify opportunities for funding ‘super goods’ or investments that have impacts across multiple SDGs, such as school meal programs; such a framework is enabling a deeper understanding of how different ministries can work together to fund initiatives that have wide-ranging spillover effects.</w:t>
            </w:r>
            <w:r w:rsidR="00064ECA" w:rsidRPr="005C63C1">
              <w:rPr>
                <w:rFonts w:ascii="Times New Roman" w:hAnsi="Times New Roman" w:cs="Times New Roman"/>
                <w:color w:val="000000"/>
              </w:rPr>
              <w:t xml:space="preserve"> </w:t>
            </w:r>
            <w:r w:rsidR="00064ECA" w:rsidRPr="005C63C1">
              <w:rPr>
                <w:rFonts w:ascii="Times New Roman" w:hAnsi="Times New Roman" w:cs="Times New Roman"/>
              </w:rPr>
              <w:t>The RIA has been applied in 64 countries and in many cases as part of the preliminary analysis prior to MAPS engagements.</w:t>
            </w:r>
          </w:p>
          <w:p w14:paraId="6FF5C1EB" w14:textId="77777777" w:rsidR="002A7366" w:rsidRPr="00996C98" w:rsidRDefault="002A7366" w:rsidP="00F3318F">
            <w:pPr>
              <w:pStyle w:val="ListParagraph"/>
              <w:ind w:left="360"/>
              <w:jc w:val="both"/>
              <w:rPr>
                <w:rFonts w:ascii="Times New Roman" w:hAnsi="Times New Roman" w:cs="Times New Roman"/>
              </w:rPr>
            </w:pPr>
          </w:p>
          <w:p w14:paraId="421D37BA" w14:textId="77777777" w:rsidR="0098365B" w:rsidRPr="00996C98" w:rsidRDefault="00AA6811" w:rsidP="00F3318F">
            <w:pPr>
              <w:pStyle w:val="ListParagraph"/>
              <w:numPr>
                <w:ilvl w:val="0"/>
                <w:numId w:val="1"/>
              </w:numPr>
              <w:jc w:val="both"/>
              <w:rPr>
                <w:rFonts w:ascii="Times New Roman" w:hAnsi="Times New Roman" w:cs="Times New Roman"/>
              </w:rPr>
            </w:pPr>
            <w:r w:rsidRPr="00297631">
              <w:rPr>
                <w:rFonts w:ascii="Times New Roman" w:hAnsi="Times New Roman" w:cs="Times New Roman"/>
                <w:b/>
                <w:color w:val="000000" w:themeColor="text1"/>
              </w:rPr>
              <w:t>(OP12)</w:t>
            </w:r>
            <w:r w:rsidRPr="00297631">
              <w:rPr>
                <w:rFonts w:ascii="Times New Roman" w:hAnsi="Times New Roman" w:cs="Times New Roman"/>
                <w:color w:val="000000" w:themeColor="text1"/>
              </w:rPr>
              <w:t xml:space="preserve"> </w:t>
            </w:r>
            <w:r w:rsidR="00064ECA" w:rsidRPr="005C63C1">
              <w:rPr>
                <w:rFonts w:ascii="Times New Roman" w:hAnsi="Times New Roman" w:cs="Times New Roman"/>
              </w:rPr>
              <w:t xml:space="preserve">In 2018, UNDP continued to strengthen results-based management with a greater focus on long-term development outcomes in support of the 2030 Agenda and SDGs.  The IRRF of the Strategic Plan for 2018-2021 incorporated SDG indicators at impact and outcome levels, including a common set of indicators to monitor shared results with UNICEF, UNFPA and UN WOMEN.  In 2018, the four Agencies agreed on further harmonization of their results reporting approach and format for the annexes of the Annual Report of the Administrator (Executive Director), including the harmonized methodologies for the IRRF population and Report Card, harmonized template for the QCPR Implementation Report, and incorporation of the Common Chapter results report as a common annex to the Annual Report of the Administrator (Executive Director).  </w:t>
            </w:r>
          </w:p>
          <w:p w14:paraId="75EFAF03" w14:textId="77777777" w:rsidR="002A7366" w:rsidRPr="00996C98" w:rsidRDefault="002A7366" w:rsidP="00F3318F">
            <w:pPr>
              <w:pStyle w:val="ListParagraph"/>
              <w:ind w:left="360"/>
              <w:jc w:val="both"/>
              <w:rPr>
                <w:rFonts w:ascii="Times New Roman" w:hAnsi="Times New Roman" w:cs="Times New Roman"/>
              </w:rPr>
            </w:pPr>
          </w:p>
          <w:p w14:paraId="29747E63" w14:textId="77777777" w:rsidR="00803125" w:rsidRDefault="00C43E79" w:rsidP="00F3318F">
            <w:pPr>
              <w:pStyle w:val="ListParagraph"/>
              <w:ind w:left="360"/>
              <w:jc w:val="both"/>
              <w:rPr>
                <w:rFonts w:ascii="Times New Roman" w:hAnsi="Times New Roman" w:cs="Times New Roman"/>
                <w:sz w:val="24"/>
                <w:szCs w:val="24"/>
              </w:rPr>
            </w:pPr>
            <w:r w:rsidRPr="00297631">
              <w:rPr>
                <w:rFonts w:ascii="Times New Roman" w:hAnsi="Times New Roman" w:cs="Times New Roman"/>
                <w:b/>
                <w:color w:val="000000" w:themeColor="text1"/>
              </w:rPr>
              <w:t>(</w:t>
            </w:r>
            <w:r w:rsidR="003F02EB" w:rsidRPr="00297631">
              <w:rPr>
                <w:rFonts w:ascii="Times New Roman" w:hAnsi="Times New Roman" w:cs="Times New Roman"/>
                <w:b/>
                <w:color w:val="000000" w:themeColor="text1"/>
              </w:rPr>
              <w:t>OP 13</w:t>
            </w:r>
            <w:r w:rsidRPr="00297631">
              <w:rPr>
                <w:rFonts w:ascii="Times New Roman" w:hAnsi="Times New Roman" w:cs="Times New Roman"/>
                <w:b/>
                <w:color w:val="000000" w:themeColor="text1"/>
              </w:rPr>
              <w:t>)</w:t>
            </w:r>
            <w:r w:rsidR="003F02EB" w:rsidRPr="00297631">
              <w:rPr>
                <w:rFonts w:ascii="Times New Roman" w:hAnsi="Times New Roman" w:cs="Times New Roman"/>
                <w:color w:val="000000" w:themeColor="text1"/>
              </w:rPr>
              <w:t xml:space="preserve"> </w:t>
            </w:r>
            <w:r w:rsidR="00064ECA" w:rsidRPr="005C63C1">
              <w:rPr>
                <w:rFonts w:ascii="Times New Roman" w:hAnsi="Times New Roman" w:cs="Times New Roman"/>
              </w:rPr>
              <w:t>2018</w:t>
            </w:r>
            <w:r w:rsidR="00064ECA" w:rsidRPr="005C63C1">
              <w:rPr>
                <w:rFonts w:ascii="Times New Roman" w:hAnsi="Times New Roman" w:cs="Times New Roman"/>
                <w:b/>
                <w:bCs/>
              </w:rPr>
              <w:t xml:space="preserve"> </w:t>
            </w:r>
            <w:r w:rsidR="00064ECA" w:rsidRPr="005C63C1">
              <w:rPr>
                <w:rFonts w:ascii="Times New Roman" w:hAnsi="Times New Roman" w:cs="Times New Roman"/>
              </w:rPr>
              <w:t xml:space="preserve">is the first year of the SWAP 2.0. UNDP has steadily improved and met/exceeded 87.5% of the requirements for the UN SWAP 2.0 performance indicators, making it one of the highest </w:t>
            </w:r>
            <w:r w:rsidR="00064ECA" w:rsidRPr="005C63C1">
              <w:rPr>
                <w:rFonts w:ascii="Times New Roman" w:hAnsi="Times New Roman" w:cs="Times New Roman"/>
              </w:rPr>
              <w:lastRenderedPageBreak/>
              <w:t>performers within the UN system.  Notable achievements include: policy and strategic planning; knowledge and communications; and evaluation – which for the first-time exceeded requirements.</w:t>
            </w:r>
            <w:r w:rsidR="00064ECA" w:rsidRPr="005C63C1">
              <w:rPr>
                <w:rFonts w:ascii="Times New Roman" w:hAnsi="Times New Roman" w:cs="Times New Roman"/>
                <w:sz w:val="24"/>
                <w:szCs w:val="24"/>
              </w:rPr>
              <w:t xml:space="preserve"> </w:t>
            </w:r>
          </w:p>
          <w:p w14:paraId="0719FB22" w14:textId="77777777" w:rsidR="00292AE4" w:rsidRPr="00996C98" w:rsidRDefault="00292AE4" w:rsidP="00F3318F">
            <w:pPr>
              <w:pStyle w:val="ListParagraph"/>
              <w:ind w:left="360"/>
              <w:jc w:val="both"/>
              <w:rPr>
                <w:rFonts w:ascii="Times New Roman" w:hAnsi="Times New Roman" w:cs="Times New Roman"/>
              </w:rPr>
            </w:pPr>
          </w:p>
        </w:tc>
      </w:tr>
      <w:tr w:rsidR="004F2D59" w:rsidRPr="00996C98" w14:paraId="738D18A2" w14:textId="77777777" w:rsidTr="009D4CB8">
        <w:tc>
          <w:tcPr>
            <w:tcW w:w="13680" w:type="dxa"/>
            <w:gridSpan w:val="2"/>
            <w:shd w:val="clear" w:color="auto" w:fill="E7E6E6" w:themeFill="background2"/>
          </w:tcPr>
          <w:p w14:paraId="19E7FACC" w14:textId="77777777" w:rsidR="004F2D59" w:rsidRPr="00996C98" w:rsidRDefault="004F2D59" w:rsidP="004F2D59">
            <w:pPr>
              <w:pStyle w:val="ListParagraph"/>
              <w:numPr>
                <w:ilvl w:val="0"/>
                <w:numId w:val="10"/>
              </w:numPr>
              <w:rPr>
                <w:rFonts w:ascii="Times New Roman" w:hAnsi="Times New Roman" w:cs="Times New Roman"/>
              </w:rPr>
            </w:pPr>
            <w:r w:rsidRPr="00996C98">
              <w:rPr>
                <w:rFonts w:ascii="Times New Roman" w:hAnsi="Times New Roman" w:cs="Times New Roman"/>
                <w:b/>
              </w:rPr>
              <w:lastRenderedPageBreak/>
              <w:t>Contributions of the UN operational activities for development</w:t>
            </w:r>
          </w:p>
        </w:tc>
      </w:tr>
      <w:tr w:rsidR="002E1C94" w:rsidRPr="00996C98" w14:paraId="792A445E" w14:textId="77777777" w:rsidTr="009D4CB8">
        <w:tc>
          <w:tcPr>
            <w:tcW w:w="4230" w:type="dxa"/>
          </w:tcPr>
          <w:p w14:paraId="06F6E55B" w14:textId="77777777" w:rsidR="002E1C94" w:rsidRPr="00996C98" w:rsidRDefault="002E1C94" w:rsidP="00C5643B">
            <w:pPr>
              <w:rPr>
                <w:rFonts w:ascii="Times New Roman" w:hAnsi="Times New Roman" w:cs="Times New Roman"/>
              </w:rPr>
            </w:pPr>
            <w:r w:rsidRPr="00996C98">
              <w:rPr>
                <w:rFonts w:ascii="Times New Roman" w:hAnsi="Times New Roman" w:cs="Times New Roman"/>
              </w:rPr>
              <w:t>QCPR mandates (OP16-24)</w:t>
            </w:r>
          </w:p>
        </w:tc>
        <w:tc>
          <w:tcPr>
            <w:tcW w:w="9450" w:type="dxa"/>
          </w:tcPr>
          <w:p w14:paraId="48C99A1E" w14:textId="77777777" w:rsidR="002E1C94" w:rsidRPr="00996C98" w:rsidRDefault="002E1C94" w:rsidP="00C5643B">
            <w:pPr>
              <w:rPr>
                <w:rFonts w:ascii="Times New Roman" w:hAnsi="Times New Roman" w:cs="Times New Roman"/>
              </w:rPr>
            </w:pPr>
            <w:r w:rsidRPr="00996C98">
              <w:rPr>
                <w:rFonts w:ascii="Times New Roman" w:hAnsi="Times New Roman" w:cs="Times New Roman"/>
              </w:rPr>
              <w:t>Progress</w:t>
            </w:r>
          </w:p>
        </w:tc>
      </w:tr>
      <w:tr w:rsidR="002E1C94" w:rsidRPr="00996C98" w14:paraId="2A2A566B" w14:textId="77777777" w:rsidTr="009D4CB8">
        <w:tc>
          <w:tcPr>
            <w:tcW w:w="4230" w:type="dxa"/>
          </w:tcPr>
          <w:p w14:paraId="658DB153" w14:textId="77777777" w:rsidR="002E1C94" w:rsidRPr="00996C98" w:rsidRDefault="002E1C94" w:rsidP="00C5643B">
            <w:pPr>
              <w:rPr>
                <w:rFonts w:ascii="Times New Roman" w:hAnsi="Times New Roman" w:cs="Times New Roman"/>
              </w:rPr>
            </w:pPr>
            <w:r w:rsidRPr="00996C98">
              <w:rPr>
                <w:rFonts w:ascii="Times New Roman" w:hAnsi="Times New Roman" w:cs="Times New Roman"/>
              </w:rPr>
              <w:t>Stresses the importance of mainstreaming SDGs… and urges the UN to (OP17):</w:t>
            </w:r>
          </w:p>
          <w:p w14:paraId="07D89BA4" w14:textId="77777777" w:rsidR="002E1C94" w:rsidRPr="00996C98" w:rsidRDefault="002E1C94" w:rsidP="002E1C94">
            <w:pPr>
              <w:pStyle w:val="ListParagraph"/>
              <w:numPr>
                <w:ilvl w:val="0"/>
                <w:numId w:val="3"/>
              </w:numPr>
              <w:rPr>
                <w:rFonts w:ascii="Times New Roman" w:hAnsi="Times New Roman" w:cs="Times New Roman"/>
              </w:rPr>
            </w:pPr>
            <w:r w:rsidRPr="00996C98">
              <w:rPr>
                <w:rFonts w:ascii="Times New Roman" w:hAnsi="Times New Roman" w:cs="Times New Roman"/>
                <w:lang w:val="en-GB"/>
              </w:rPr>
              <w:t xml:space="preserve">continue to allocate resources to realize the development objectives of developing countries, and to support the endeavour </w:t>
            </w:r>
            <w:r w:rsidRPr="00996C98">
              <w:rPr>
                <w:rFonts w:ascii="Times New Roman" w:hAnsi="Times New Roman" w:cs="Times New Roman"/>
                <w:i/>
                <w:lang w:val="en-GB"/>
              </w:rPr>
              <w:t xml:space="preserve">to reach the furthest behind first </w:t>
            </w:r>
            <w:r w:rsidRPr="00996C98">
              <w:rPr>
                <w:rFonts w:ascii="Times New Roman" w:hAnsi="Times New Roman" w:cs="Times New Roman"/>
                <w:lang w:val="en-GB"/>
              </w:rPr>
              <w:t>(OP17a)</w:t>
            </w:r>
          </w:p>
          <w:p w14:paraId="1BD797EE" w14:textId="77777777" w:rsidR="002E1C94" w:rsidRPr="00996C98" w:rsidRDefault="002E1C94" w:rsidP="00C5643B">
            <w:pPr>
              <w:rPr>
                <w:rFonts w:ascii="Times New Roman" w:hAnsi="Times New Roman" w:cs="Times New Roman"/>
              </w:rPr>
            </w:pPr>
          </w:p>
          <w:p w14:paraId="38EC4586" w14:textId="77777777" w:rsidR="002E1C94" w:rsidRPr="00996C98" w:rsidRDefault="002E1C94" w:rsidP="00C5643B">
            <w:pPr>
              <w:rPr>
                <w:rFonts w:ascii="Times New Roman" w:hAnsi="Times New Roman" w:cs="Times New Roman"/>
              </w:rPr>
            </w:pPr>
            <w:r w:rsidRPr="00996C98">
              <w:rPr>
                <w:rFonts w:ascii="Times New Roman" w:hAnsi="Times New Roman" w:cs="Times New Roman"/>
                <w:i/>
              </w:rPr>
              <w:t>Calls upon</w:t>
            </w:r>
            <w:r w:rsidRPr="00996C98">
              <w:rPr>
                <w:rFonts w:ascii="Times New Roman" w:hAnsi="Times New Roman" w:cs="Times New Roman"/>
              </w:rPr>
              <w:t xml:space="preserve"> the UNDS to… </w:t>
            </w:r>
            <w:r w:rsidRPr="00996C98">
              <w:rPr>
                <w:rFonts w:ascii="Times New Roman" w:hAnsi="Times New Roman" w:cs="Times New Roman"/>
                <w:lang w:val="en-GB"/>
              </w:rPr>
              <w:t>improve their support to the building, development and strengthening of national capacities by (OP21)</w:t>
            </w:r>
            <w:r w:rsidR="00CB7082" w:rsidRPr="00996C98">
              <w:rPr>
                <w:rFonts w:ascii="Times New Roman" w:hAnsi="Times New Roman" w:cs="Times New Roman"/>
              </w:rPr>
              <w:t xml:space="preserve"> </w:t>
            </w:r>
          </w:p>
          <w:p w14:paraId="5B340B22" w14:textId="77777777" w:rsidR="002E1C94" w:rsidRPr="00996C98" w:rsidRDefault="002E1C94" w:rsidP="002E1C94">
            <w:pPr>
              <w:pStyle w:val="ListParagraph"/>
              <w:numPr>
                <w:ilvl w:val="0"/>
                <w:numId w:val="4"/>
              </w:numPr>
              <w:rPr>
                <w:rFonts w:ascii="Times New Roman" w:hAnsi="Times New Roman" w:cs="Times New Roman"/>
              </w:rPr>
            </w:pPr>
            <w:r w:rsidRPr="00996C98">
              <w:rPr>
                <w:rFonts w:ascii="Times New Roman" w:hAnsi="Times New Roman" w:cs="Times New Roman"/>
                <w:lang w:val="en-GB"/>
              </w:rPr>
              <w:t xml:space="preserve">Providing evidence-based and, where appropriate, </w:t>
            </w:r>
            <w:r w:rsidRPr="00996C98">
              <w:rPr>
                <w:rFonts w:ascii="Times New Roman" w:hAnsi="Times New Roman" w:cs="Times New Roman"/>
                <w:i/>
                <w:lang w:val="en-GB"/>
              </w:rPr>
              <w:t>integrated policy advice</w:t>
            </w:r>
            <w:r w:rsidRPr="00996C98">
              <w:rPr>
                <w:rFonts w:ascii="Times New Roman" w:hAnsi="Times New Roman" w:cs="Times New Roman"/>
                <w:lang w:val="en-GB"/>
              </w:rPr>
              <w:t xml:space="preserve"> to support countries… </w:t>
            </w:r>
            <w:r w:rsidRPr="00996C98">
              <w:rPr>
                <w:rFonts w:ascii="Times New Roman" w:hAnsi="Times New Roman" w:cs="Times New Roman"/>
                <w:i/>
                <w:lang w:val="en-GB"/>
              </w:rPr>
              <w:t xml:space="preserve">mainstreaming the SDGs into national plans, including by promoting economic growth, social development and environmental protection, </w:t>
            </w:r>
            <w:r w:rsidRPr="00996C98">
              <w:rPr>
                <w:rFonts w:ascii="Times New Roman" w:hAnsi="Times New Roman" w:cs="Times New Roman"/>
                <w:lang w:val="en-GB"/>
              </w:rPr>
              <w:t>and ending poverty in all its forms (OP21a)</w:t>
            </w:r>
          </w:p>
          <w:p w14:paraId="769BEEF1" w14:textId="77777777" w:rsidR="002E1C94" w:rsidRPr="00996C98" w:rsidRDefault="002E1C94" w:rsidP="004335D5">
            <w:pPr>
              <w:pStyle w:val="ListParagraph"/>
              <w:numPr>
                <w:ilvl w:val="0"/>
                <w:numId w:val="4"/>
              </w:numPr>
              <w:rPr>
                <w:rFonts w:ascii="Times New Roman" w:hAnsi="Times New Roman" w:cs="Times New Roman"/>
              </w:rPr>
            </w:pPr>
            <w:r w:rsidRPr="00996C98">
              <w:rPr>
                <w:rFonts w:ascii="Times New Roman" w:hAnsi="Times New Roman" w:cs="Times New Roman"/>
                <w:lang w:val="en-GB"/>
              </w:rPr>
              <w:t xml:space="preserve">Strengthening their </w:t>
            </w:r>
            <w:r w:rsidRPr="00996C98">
              <w:rPr>
                <w:rFonts w:ascii="Times New Roman" w:hAnsi="Times New Roman" w:cs="Times New Roman"/>
                <w:i/>
                <w:lang w:val="en-GB"/>
              </w:rPr>
              <w:t>support to national institutions in planning, management and evaluation capacities, as well as statistical capacities, to collect, analyse and increase significantly the availability of high-quality, timely and reliable disaggregated data</w:t>
            </w:r>
            <w:r w:rsidRPr="00996C98">
              <w:rPr>
                <w:rFonts w:ascii="Times New Roman" w:hAnsi="Times New Roman" w:cs="Times New Roman"/>
                <w:lang w:val="en-GB"/>
              </w:rPr>
              <w:t xml:space="preserve"> (OP21c)</w:t>
            </w:r>
          </w:p>
          <w:p w14:paraId="572A7A5A" w14:textId="77777777" w:rsidR="002E1C94" w:rsidRPr="00996C98" w:rsidRDefault="002E1C94" w:rsidP="002E1C94">
            <w:pPr>
              <w:pStyle w:val="ListParagraph"/>
              <w:numPr>
                <w:ilvl w:val="0"/>
                <w:numId w:val="4"/>
              </w:numPr>
              <w:rPr>
                <w:rFonts w:ascii="Times New Roman" w:hAnsi="Times New Roman" w:cs="Times New Roman"/>
              </w:rPr>
            </w:pPr>
            <w:r w:rsidRPr="00996C98">
              <w:rPr>
                <w:rFonts w:ascii="Times New Roman" w:hAnsi="Times New Roman" w:cs="Times New Roman"/>
                <w:lang w:val="en-GB"/>
              </w:rPr>
              <w:t xml:space="preserve">Supporting, as appropriate, technical and </w:t>
            </w:r>
            <w:r w:rsidRPr="00996C98">
              <w:rPr>
                <w:rFonts w:ascii="Times New Roman" w:hAnsi="Times New Roman" w:cs="Times New Roman"/>
                <w:i/>
                <w:lang w:val="en-GB"/>
              </w:rPr>
              <w:t>scientific cooperation and North-South, South-South and triangular, regional and international cooperation on and access to science, technology, innovation and knowledge-sharing</w:t>
            </w:r>
            <w:r w:rsidRPr="00996C98">
              <w:rPr>
                <w:rFonts w:ascii="Times New Roman" w:hAnsi="Times New Roman" w:cs="Times New Roman"/>
                <w:lang w:val="en-GB"/>
              </w:rPr>
              <w:t xml:space="preserve"> (OP21e)</w:t>
            </w:r>
          </w:p>
          <w:p w14:paraId="13A4B0A1" w14:textId="77777777" w:rsidR="002E1C94" w:rsidRPr="00996C98" w:rsidRDefault="002E1C94" w:rsidP="00C5643B">
            <w:pPr>
              <w:rPr>
                <w:rFonts w:ascii="Times New Roman" w:hAnsi="Times New Roman" w:cs="Times New Roman"/>
              </w:rPr>
            </w:pPr>
          </w:p>
          <w:p w14:paraId="3018D37A" w14:textId="77777777" w:rsidR="002E1C94" w:rsidRPr="00996C98" w:rsidRDefault="002E1C94" w:rsidP="00C5643B">
            <w:pPr>
              <w:rPr>
                <w:rFonts w:ascii="Times New Roman" w:hAnsi="Times New Roman" w:cs="Times New Roman"/>
              </w:rPr>
            </w:pPr>
            <w:r w:rsidRPr="00996C98">
              <w:rPr>
                <w:rFonts w:ascii="Times New Roman" w:hAnsi="Times New Roman" w:cs="Times New Roman"/>
              </w:rPr>
              <w:lastRenderedPageBreak/>
              <w:t xml:space="preserve">Calls upon UNDS to </w:t>
            </w:r>
            <w:r w:rsidRPr="00996C98">
              <w:rPr>
                <w:rFonts w:ascii="Times New Roman" w:hAnsi="Times New Roman" w:cs="Times New Roman"/>
                <w:lang w:val="en-GB"/>
              </w:rPr>
              <w:t>to enhance coordination with humanitarian assistance and peacebuilding efforts by (OP24)</w:t>
            </w:r>
            <w:r w:rsidRPr="00996C98">
              <w:rPr>
                <w:rFonts w:ascii="Times New Roman" w:hAnsi="Times New Roman" w:cs="Times New Roman"/>
              </w:rPr>
              <w:t xml:space="preserve"> :</w:t>
            </w:r>
          </w:p>
          <w:p w14:paraId="4375B1A2" w14:textId="77777777" w:rsidR="002E1C94" w:rsidRPr="00996C98" w:rsidRDefault="002E1C94" w:rsidP="002E1C94">
            <w:pPr>
              <w:pStyle w:val="ListParagraph"/>
              <w:numPr>
                <w:ilvl w:val="0"/>
                <w:numId w:val="5"/>
              </w:numPr>
              <w:rPr>
                <w:rFonts w:ascii="Times New Roman" w:hAnsi="Times New Roman" w:cs="Times New Roman"/>
              </w:rPr>
            </w:pPr>
            <w:r w:rsidRPr="00996C98">
              <w:rPr>
                <w:rFonts w:ascii="Times New Roman" w:hAnsi="Times New Roman" w:cs="Times New Roman"/>
                <w:i/>
                <w:lang w:val="en-GB"/>
              </w:rPr>
              <w:t>working collaboratively</w:t>
            </w:r>
            <w:r w:rsidRPr="00996C98">
              <w:rPr>
                <w:rFonts w:ascii="Times New Roman" w:hAnsi="Times New Roman" w:cs="Times New Roman"/>
                <w:lang w:val="en-GB"/>
              </w:rPr>
              <w:t xml:space="preserve"> to move beyond short-term assistance towards contributing to longer-term development gains, </w:t>
            </w:r>
            <w:r w:rsidRPr="00996C98">
              <w:rPr>
                <w:rFonts w:ascii="Times New Roman" w:hAnsi="Times New Roman" w:cs="Times New Roman"/>
                <w:i/>
                <w:lang w:val="en-GB"/>
              </w:rPr>
              <w:t>including by engaging, as appropriate, in joint risk analysis, needs assessments, practice response and a coherent multi-year time frame</w:t>
            </w:r>
            <w:r w:rsidRPr="00996C98">
              <w:rPr>
                <w:rFonts w:ascii="Times New Roman" w:hAnsi="Times New Roman" w:cs="Times New Roman"/>
                <w:lang w:val="en-GB"/>
              </w:rPr>
              <w:t xml:space="preserve"> (OP24a)</w:t>
            </w:r>
          </w:p>
          <w:p w14:paraId="152C642D" w14:textId="77777777" w:rsidR="002E1C94" w:rsidRPr="00996C98" w:rsidRDefault="002E1C94" w:rsidP="002E1C94">
            <w:pPr>
              <w:pStyle w:val="ListParagraph"/>
              <w:numPr>
                <w:ilvl w:val="0"/>
                <w:numId w:val="5"/>
              </w:numPr>
              <w:rPr>
                <w:rFonts w:ascii="Times New Roman" w:hAnsi="Times New Roman" w:cs="Times New Roman"/>
              </w:rPr>
            </w:pPr>
            <w:r w:rsidRPr="00996C98">
              <w:rPr>
                <w:rFonts w:ascii="Times New Roman" w:hAnsi="Times New Roman" w:cs="Times New Roman"/>
                <w:i/>
                <w:lang w:val="en-GB"/>
              </w:rPr>
              <w:t xml:space="preserve">improving coordination and synergy to maximize the impacts, </w:t>
            </w:r>
            <w:r w:rsidRPr="00996C98">
              <w:rPr>
                <w:rFonts w:ascii="Times New Roman" w:hAnsi="Times New Roman" w:cs="Times New Roman"/>
                <w:lang w:val="en-GB"/>
              </w:rPr>
              <w:t>results and effectiveness of support for the implementation of the 2030 Agenda for Sustainable Development (OP24b)</w:t>
            </w:r>
          </w:p>
          <w:p w14:paraId="630BE165" w14:textId="77777777" w:rsidR="002E1C94" w:rsidRPr="00996C98" w:rsidRDefault="002E1C94" w:rsidP="00C5643B">
            <w:pPr>
              <w:pStyle w:val="ListParagraph"/>
              <w:ind w:left="360"/>
              <w:rPr>
                <w:rFonts w:ascii="Times New Roman" w:hAnsi="Times New Roman" w:cs="Times New Roman"/>
              </w:rPr>
            </w:pPr>
          </w:p>
          <w:p w14:paraId="59D2D1BB" w14:textId="77777777" w:rsidR="002E1C94" w:rsidRPr="00996C98" w:rsidRDefault="002E1C94" w:rsidP="00C5643B">
            <w:pPr>
              <w:rPr>
                <w:rFonts w:ascii="Times New Roman" w:hAnsi="Times New Roman" w:cs="Times New Roman"/>
              </w:rPr>
            </w:pPr>
          </w:p>
        </w:tc>
        <w:tc>
          <w:tcPr>
            <w:tcW w:w="9450" w:type="dxa"/>
          </w:tcPr>
          <w:p w14:paraId="07C4DE4F" w14:textId="53951590" w:rsidR="002A7366" w:rsidRPr="00996C98" w:rsidRDefault="00B650E2" w:rsidP="007869F8">
            <w:pPr>
              <w:pStyle w:val="ListParagraph"/>
              <w:numPr>
                <w:ilvl w:val="0"/>
                <w:numId w:val="5"/>
              </w:numPr>
              <w:spacing w:line="276" w:lineRule="auto"/>
              <w:jc w:val="both"/>
              <w:rPr>
                <w:rFonts w:ascii="Times New Roman" w:hAnsi="Times New Roman" w:cs="Times New Roman"/>
              </w:rPr>
            </w:pPr>
            <w:r w:rsidRPr="00297631">
              <w:rPr>
                <w:rFonts w:ascii="Times New Roman" w:hAnsi="Times New Roman" w:cs="Times New Roman"/>
                <w:b/>
                <w:color w:val="000000" w:themeColor="text1"/>
              </w:rPr>
              <w:lastRenderedPageBreak/>
              <w:t>(OP17</w:t>
            </w:r>
            <w:r w:rsidR="00377E9E" w:rsidRPr="00297631">
              <w:rPr>
                <w:rFonts w:ascii="Times New Roman" w:hAnsi="Times New Roman" w:cs="Times New Roman"/>
                <w:b/>
                <w:color w:val="000000" w:themeColor="text1"/>
              </w:rPr>
              <w:t>a</w:t>
            </w:r>
            <w:r w:rsidRPr="00297631">
              <w:rPr>
                <w:rFonts w:ascii="Times New Roman" w:hAnsi="Times New Roman" w:cs="Times New Roman"/>
                <w:b/>
                <w:color w:val="000000" w:themeColor="text1"/>
              </w:rPr>
              <w:t>)</w:t>
            </w:r>
            <w:r w:rsidR="00086BFF" w:rsidRPr="00297631">
              <w:rPr>
                <w:rFonts w:ascii="Times New Roman" w:hAnsi="Times New Roman" w:cs="Times New Roman"/>
                <w:color w:val="000000" w:themeColor="text1"/>
              </w:rPr>
              <w:t xml:space="preserve"> </w:t>
            </w:r>
            <w:r w:rsidR="00064ECA" w:rsidRPr="005C63C1">
              <w:rPr>
                <w:rFonts w:ascii="Times New Roman" w:hAnsi="Times New Roman" w:cs="Times New Roman"/>
              </w:rPr>
              <w:t>UNDP co-lead the development of a UNSDG Operational Guide to UNCTs on Leaving No One Behind (LNOB), presented in draft form at the end of 2018. UNDP has provided thought leadership including, offering its work and methodology for integrated LNOB assessments to work with countries to identify, track and prioritize the furthest behind; better understand and address the spectrum of deprivations and disadvantages that leave people behind across the SDGs. UNDP’s strategic position on the imperative to ‘leave no one behind’ was strengthened through the high-level side event to the 2018 General Assembly on ‘Curse or Cure?</w:t>
            </w:r>
            <w:r w:rsidR="00EE513C">
              <w:rPr>
                <w:rFonts w:ascii="Times New Roman" w:hAnsi="Times New Roman" w:cs="Times New Roman"/>
              </w:rPr>
              <w:t xml:space="preserve"> </w:t>
            </w:r>
            <w:r w:rsidR="00064ECA" w:rsidRPr="005C63C1">
              <w:rPr>
                <w:rFonts w:ascii="Times New Roman" w:hAnsi="Times New Roman" w:cs="Times New Roman"/>
              </w:rPr>
              <w:t>Leaving no one behind in an Age of Technological Revolution.’</w:t>
            </w:r>
          </w:p>
          <w:p w14:paraId="26913B57" w14:textId="77777777" w:rsidR="00103E8F" w:rsidRPr="00996C98" w:rsidRDefault="00103E8F" w:rsidP="00103E8F">
            <w:pPr>
              <w:pStyle w:val="ListParagraph"/>
              <w:spacing w:line="276" w:lineRule="auto"/>
              <w:ind w:left="360"/>
              <w:jc w:val="both"/>
              <w:rPr>
                <w:rFonts w:ascii="Times New Roman" w:hAnsi="Times New Roman" w:cs="Times New Roman"/>
              </w:rPr>
            </w:pPr>
          </w:p>
          <w:p w14:paraId="2C9E4CC0" w14:textId="6F1B0D12" w:rsidR="00064ECA" w:rsidRPr="00D460F9" w:rsidRDefault="001D30B1" w:rsidP="00DA648A">
            <w:pPr>
              <w:pStyle w:val="ListParagraph"/>
              <w:numPr>
                <w:ilvl w:val="0"/>
                <w:numId w:val="4"/>
              </w:numPr>
              <w:jc w:val="both"/>
              <w:rPr>
                <w:rFonts w:ascii="Times New Roman" w:hAnsi="Times New Roman" w:cs="Times New Roman"/>
              </w:rPr>
            </w:pPr>
            <w:r w:rsidRPr="00297631">
              <w:rPr>
                <w:rFonts w:ascii="Times New Roman" w:hAnsi="Times New Roman" w:cs="Times New Roman"/>
                <w:b/>
                <w:color w:val="000000" w:themeColor="text1"/>
              </w:rPr>
              <w:t>(OP21a)</w:t>
            </w:r>
            <w:r w:rsidRPr="00297631">
              <w:rPr>
                <w:rFonts w:ascii="Times New Roman" w:hAnsi="Times New Roman" w:cs="Times New Roman"/>
                <w:color w:val="000000" w:themeColor="text1"/>
              </w:rPr>
              <w:t xml:space="preserve"> </w:t>
            </w:r>
            <w:r w:rsidR="00064ECA" w:rsidRPr="005C63C1">
              <w:rPr>
                <w:rFonts w:ascii="Times New Roman" w:hAnsi="Times New Roman" w:cs="Times New Roman"/>
              </w:rPr>
              <w:t>UNDP has engaged systematically in efforts to improve evidence-based and integrated policy advice for mainstreaming the SDGs into national development plans an</w:t>
            </w:r>
            <w:r w:rsidR="00505615">
              <w:rPr>
                <w:rFonts w:ascii="Times New Roman" w:hAnsi="Times New Roman" w:cs="Times New Roman"/>
              </w:rPr>
              <w:t>d</w:t>
            </w:r>
            <w:r w:rsidR="00064ECA" w:rsidRPr="005C63C1">
              <w:rPr>
                <w:rFonts w:ascii="Times New Roman" w:hAnsi="Times New Roman" w:cs="Times New Roman"/>
              </w:rPr>
              <w:t xml:space="preserve"> establishing roadmap for SDG </w:t>
            </w:r>
            <w:r w:rsidR="00E15BD2" w:rsidRPr="005C63C1">
              <w:rPr>
                <w:rFonts w:ascii="Times New Roman" w:hAnsi="Times New Roman" w:cs="Times New Roman"/>
              </w:rPr>
              <w:t>implementation.</w:t>
            </w:r>
            <w:r w:rsidR="00E15BD2" w:rsidRPr="00EE513C">
              <w:rPr>
                <w:rFonts w:ascii="Times New Roman" w:hAnsi="Times New Roman" w:cs="Times New Roman"/>
              </w:rPr>
              <w:t xml:space="preserve"> In</w:t>
            </w:r>
            <w:r w:rsidR="00064ECA" w:rsidRPr="00EE513C">
              <w:rPr>
                <w:rFonts w:ascii="Times New Roman" w:hAnsi="Times New Roman" w:cs="Times New Roman"/>
              </w:rPr>
              <w:t xml:space="preserve"> 2018 progress was made on formalizing the MAPS approach (Mainstreaming, Acceleration and Policy Support) in 38 countries, of which 14 countries received first time support, 18 countries received ongoing support from 2017, and 6 countries received ongoing support from 2016. 25 sister agencies participated in MAPS engagements in 2018, alongside four other critical development actors: the European Union, the World Bank, the Asia Development Bank, and the Organisation for Economic Co-operation and Development. By investing in exploration, testing and scaling of integrative methods and analytic tools in 2018, UNDP has been able to create a coherent, whole-of-system support offer, capable of responding to countries’ evolving request for support implementing the 2030 Agenda.</w:t>
            </w:r>
            <w:r w:rsidR="00D460F9">
              <w:rPr>
                <w:rFonts w:ascii="Times New Roman" w:hAnsi="Times New Roman" w:cs="Times New Roman"/>
              </w:rPr>
              <w:t xml:space="preserve"> Furthermore, i</w:t>
            </w:r>
            <w:r w:rsidR="00064ECA" w:rsidRPr="00D460F9">
              <w:rPr>
                <w:rFonts w:ascii="Times New Roman" w:hAnsi="Times New Roman" w:cs="Times New Roman"/>
              </w:rPr>
              <w:t xml:space="preserve">ntegrated modelling tools are being deployed in countries to provide evidence to guide national planning and investments around the SDGs.  (1) The </w:t>
            </w:r>
            <w:hyperlink r:id="rId13" w:history="1">
              <w:r w:rsidR="00064ECA" w:rsidRPr="00D460F9">
                <w:rPr>
                  <w:rFonts w:ascii="Times New Roman" w:hAnsi="Times New Roman" w:cs="Times New Roman"/>
                </w:rPr>
                <w:t>International Futures</w:t>
              </w:r>
            </w:hyperlink>
            <w:r w:rsidR="00064ECA" w:rsidRPr="00D460F9">
              <w:rPr>
                <w:rFonts w:ascii="Times New Roman" w:hAnsi="Times New Roman" w:cs="Times New Roman"/>
              </w:rPr>
              <w:t xml:space="preserve"> (IF) is a systems-thinking tool that analyzes interconnections across the SDGs and helps understand how changes in one system have implications for others. Applied in 9 countries the tool has informed national priorities and fed into national strategic plans including in contexts of MAPS engagements. (2) Using the </w:t>
            </w:r>
            <w:hyperlink r:id="rId14" w:history="1">
              <w:r w:rsidR="00064ECA" w:rsidRPr="00D460F9">
                <w:rPr>
                  <w:rFonts w:ascii="Times New Roman" w:hAnsi="Times New Roman" w:cs="Times New Roman"/>
                </w:rPr>
                <w:t>CLEWS</w:t>
              </w:r>
            </w:hyperlink>
            <w:r w:rsidR="00064ECA" w:rsidRPr="00D460F9">
              <w:rPr>
                <w:rFonts w:ascii="Times New Roman" w:hAnsi="Times New Roman" w:cs="Times New Roman"/>
              </w:rPr>
              <w:t xml:space="preserve"> framework (climate, land-use, energy, and water systems) UNDP, along with UNDESA and partners, have been supporting </w:t>
            </w:r>
            <w:hyperlink r:id="rId15" w:history="1">
              <w:r w:rsidR="00064ECA" w:rsidRPr="00D460F9">
                <w:rPr>
                  <w:rFonts w:ascii="Times New Roman" w:hAnsi="Times New Roman" w:cs="Times New Roman"/>
                </w:rPr>
                <w:t>15 countries</w:t>
              </w:r>
            </w:hyperlink>
            <w:r w:rsidR="00064ECA" w:rsidRPr="00D460F9">
              <w:rPr>
                <w:rFonts w:ascii="Times New Roman" w:hAnsi="Times New Roman" w:cs="Times New Roman"/>
              </w:rPr>
              <w:t xml:space="preserve"> on integrated planning around natural resource sectors. By utilizing national level data on water, energy, and land-use, the modeling framework helps develop long-term sectoral plans that takes into consideration trade-offs and synergies, such as how expansions in energy access can have adverse implications for the environment.</w:t>
            </w:r>
          </w:p>
          <w:p w14:paraId="412802B1" w14:textId="77777777" w:rsidR="002A7366" w:rsidRPr="00996C98" w:rsidRDefault="002A7366" w:rsidP="00BA7977">
            <w:pPr>
              <w:jc w:val="both"/>
              <w:rPr>
                <w:rFonts w:ascii="Times New Roman" w:eastAsia="Times New Roman" w:hAnsi="Times New Roman" w:cs="Times New Roman"/>
                <w:color w:val="000000"/>
              </w:rPr>
            </w:pPr>
          </w:p>
          <w:p w14:paraId="00418BBB" w14:textId="61D892D3" w:rsidR="00064ECA" w:rsidRPr="00297631" w:rsidRDefault="00120299" w:rsidP="00297631">
            <w:pPr>
              <w:numPr>
                <w:ilvl w:val="0"/>
                <w:numId w:val="15"/>
              </w:numPr>
              <w:jc w:val="both"/>
              <w:rPr>
                <w:rFonts w:ascii="Times New Roman" w:eastAsia="Times New Roman" w:hAnsi="Times New Roman" w:cs="Times New Roman"/>
                <w:color w:val="000000"/>
              </w:rPr>
            </w:pPr>
            <w:r w:rsidRPr="00297631">
              <w:rPr>
                <w:rFonts w:ascii="Times New Roman" w:eastAsia="Times New Roman" w:hAnsi="Times New Roman" w:cs="Times New Roman"/>
                <w:b/>
                <w:color w:val="000000" w:themeColor="text1"/>
              </w:rPr>
              <w:t>(OP21c)</w:t>
            </w:r>
            <w:r w:rsidRPr="00297631">
              <w:rPr>
                <w:rFonts w:ascii="Times New Roman" w:eastAsia="Times New Roman" w:hAnsi="Times New Roman" w:cs="Times New Roman"/>
                <w:color w:val="000000" w:themeColor="text1"/>
              </w:rPr>
              <w:t xml:space="preserve"> </w:t>
            </w:r>
            <w:r w:rsidR="00064ECA" w:rsidRPr="005C63C1">
              <w:rPr>
                <w:rFonts w:ascii="Times New Roman" w:hAnsi="Times New Roman" w:cs="Times New Roman"/>
              </w:rPr>
              <w:t xml:space="preserve">UNDP has been working with relevant UNCTs to support national statistical offices (NSOs) to serve as coordinators of broader data ecosystems including official as well as non-official </w:t>
            </w:r>
            <w:r w:rsidR="00064ECA" w:rsidRPr="005C63C1">
              <w:rPr>
                <w:rFonts w:ascii="Times New Roman" w:hAnsi="Times New Roman" w:cs="Times New Roman"/>
              </w:rPr>
              <w:lastRenderedPageBreak/>
              <w:t>stakeholders. UNDP is also working with UNCTs to engage all relevant national stakeholders beyond the technical statistical community, including civil society, private sector, and development stakeholders to raise awareness of the importance of investing in statistical capacities to address data gaps and meet the needs of the 2030 Agenda. Notably, in the UNSDG’s Strategic Results Group on SDG Implementation, UNDP collaborated with sister agencies in a Task Team on “Country-Focused Data and Reporting” to produce an online toolkit on SDG monitoring and reporting for UN Country teams, which includes an inventory of resources available across the UN Development System to support capacity strengthening for SDG statistics. UNDP is working closely with UNFPA, UNICEF and UN-Women to jointly implement the “Common Chapter” of their respective Strategic Plans, which prioritizes “Strengthening Data for Sustainable Development”. UNDP has also joined the Board of the Partnership for Statistics in the 21st Century (PARIS21) and collaborates with PARIS21 to conceptualize new approaches to statistical capacity development in the intertwined context of the 2030 Agenda and the data revolution for sustainable development</w:t>
            </w:r>
          </w:p>
          <w:p w14:paraId="6D9A23A7" w14:textId="77777777" w:rsidR="00064ECA" w:rsidRPr="00064ECA" w:rsidRDefault="00064ECA" w:rsidP="00064ECA">
            <w:pPr>
              <w:numPr>
                <w:ilvl w:val="0"/>
                <w:numId w:val="15"/>
              </w:numPr>
              <w:jc w:val="both"/>
              <w:rPr>
                <w:rFonts w:ascii="Times New Roman" w:eastAsia="Times New Roman" w:hAnsi="Times New Roman" w:cs="Times New Roman"/>
                <w:color w:val="000000"/>
              </w:rPr>
            </w:pPr>
            <w:r w:rsidRPr="00064ECA">
              <w:rPr>
                <w:rFonts w:ascii="Times New Roman" w:hAnsi="Times New Roman" w:cs="Times New Roman"/>
              </w:rPr>
              <w:t>UNDP supports the Praia Group on Governance Statistics, and is developing and piloting new indicators under SDG16, to measure representativeness of public service, satisfaction with public service, and inclusiveness of decision-making. UNDP co-led, along with the UK and a multi-stakeholder network of partners, a successful effort to establish a working group on ageing-related statistics at the UN Statistical Commission. Together these efforts aim to develop norms, standards and good practices for producing national statistics in two areas of sustainable development that are currently constrained by significant data and capacity gaps, but critical for meeting the ambition of the 2030 Agenda to leave no one behind</w:t>
            </w:r>
            <w:r w:rsidR="000B3A07">
              <w:rPr>
                <w:rFonts w:ascii="Times New Roman" w:hAnsi="Times New Roman" w:cs="Times New Roman"/>
              </w:rPr>
              <w:t>.</w:t>
            </w:r>
          </w:p>
          <w:p w14:paraId="4D56A9A4" w14:textId="77777777" w:rsidR="002A7366" w:rsidRPr="00A32829" w:rsidRDefault="002A7366" w:rsidP="00A32829">
            <w:pPr>
              <w:jc w:val="both"/>
              <w:rPr>
                <w:rFonts w:ascii="Times New Roman" w:hAnsi="Times New Roman" w:cs="Times New Roman"/>
              </w:rPr>
            </w:pPr>
          </w:p>
          <w:p w14:paraId="10B6D711" w14:textId="6EA91A0C" w:rsidR="001337ED" w:rsidRPr="00E272CD" w:rsidRDefault="00741433" w:rsidP="00E272CD">
            <w:pPr>
              <w:pStyle w:val="ListParagraph"/>
              <w:numPr>
                <w:ilvl w:val="0"/>
                <w:numId w:val="4"/>
              </w:numPr>
              <w:spacing w:after="200"/>
              <w:jc w:val="both"/>
              <w:rPr>
                <w:rFonts w:ascii="Times New Roman" w:hAnsi="Times New Roman" w:cs="Times New Roman"/>
              </w:rPr>
            </w:pPr>
            <w:r w:rsidRPr="00297631">
              <w:rPr>
                <w:rFonts w:ascii="Times New Roman" w:hAnsi="Times New Roman" w:cs="Times New Roman"/>
                <w:b/>
                <w:color w:val="000000" w:themeColor="text1"/>
              </w:rPr>
              <w:t>(OP21e)</w:t>
            </w:r>
            <w:r w:rsidRPr="00297631">
              <w:rPr>
                <w:rFonts w:ascii="Times New Roman" w:hAnsi="Times New Roman" w:cs="Times New Roman"/>
                <w:color w:val="000000" w:themeColor="text1"/>
              </w:rPr>
              <w:t xml:space="preserve"> </w:t>
            </w:r>
            <w:r w:rsidR="001337ED" w:rsidRPr="005C63C1">
              <w:rPr>
                <w:rFonts w:ascii="Times New Roman" w:hAnsi="Times New Roman" w:cs="Times New Roman"/>
              </w:rPr>
              <w:t>UNDP’s support for South-South cooperation is anchored in its Strategic Plan and our support for countries to achieve the Sustainable Development Goals</w:t>
            </w:r>
            <w:r w:rsidR="008C20BA">
              <w:rPr>
                <w:rFonts w:ascii="Times New Roman" w:hAnsi="Times New Roman" w:cs="Times New Roman"/>
              </w:rPr>
              <w:t xml:space="preserve">, </w:t>
            </w:r>
            <w:r w:rsidR="001337ED" w:rsidRPr="005C63C1">
              <w:rPr>
                <w:rFonts w:ascii="Times New Roman" w:hAnsi="Times New Roman" w:cs="Times New Roman"/>
              </w:rPr>
              <w:t>across</w:t>
            </w:r>
            <w:r w:rsidR="00183756">
              <w:rPr>
                <w:rFonts w:ascii="Times New Roman" w:hAnsi="Times New Roman" w:cs="Times New Roman"/>
              </w:rPr>
              <w:t xml:space="preserve"> the</w:t>
            </w:r>
            <w:r w:rsidR="001337ED" w:rsidRPr="005C63C1">
              <w:rPr>
                <w:rFonts w:ascii="Times New Roman" w:hAnsi="Times New Roman" w:cs="Times New Roman"/>
              </w:rPr>
              <w:t xml:space="preserve"> six signature solutions: poverty, governance, resilience, environment, energy, and gender equality.  In 2018, between 13-19 per cent of the initiatives under each signature solution utilized South-South cooperation to help countries achieve their development objectives.  109 of UNDP’s 130 Country Offices collaborated with national governments and other partners in South-South and triangular cooperation activities in 2018, and in doing so supported partnerships with over 180 other countries through 900 plus initiatives.  Building capacity for SSC at country and regional level accounted for 53 percent of all initiatives while our work also contributed to knowledge brokering (36 per cent of initiatives) and facilitated partnerships in 12 per cent of initiatives.</w:t>
            </w:r>
            <w:r w:rsidR="000B3A07">
              <w:rPr>
                <w:rFonts w:ascii="Times New Roman" w:hAnsi="Times New Roman" w:cs="Times New Roman"/>
              </w:rPr>
              <w:t xml:space="preserve"> </w:t>
            </w:r>
            <w:r w:rsidR="001337ED" w:rsidRPr="000B3A07">
              <w:rPr>
                <w:rFonts w:ascii="Times New Roman" w:hAnsi="Times New Roman" w:cs="Times New Roman"/>
              </w:rPr>
              <w:t xml:space="preserve">UNDP continued to support the systematic knowledge codification of southern development solutions through SSMart for Sustainable Development Goals, an online development solution exchange that enables partners to post their demands, search for solutions, share their solutions and collaborate.  The platform currently features over 60 high quality southern development solutions and is free and open to all development stakeholders (governments, civil society organizations, UN agencies, the private sector and academia). </w:t>
            </w:r>
          </w:p>
          <w:p w14:paraId="389B671C" w14:textId="67EBD737" w:rsidR="002A7366" w:rsidRDefault="001337ED" w:rsidP="00BA7977">
            <w:pPr>
              <w:pStyle w:val="ListParagraph"/>
              <w:numPr>
                <w:ilvl w:val="0"/>
                <w:numId w:val="4"/>
              </w:numPr>
              <w:spacing w:after="200"/>
              <w:jc w:val="both"/>
              <w:rPr>
                <w:rFonts w:ascii="Times New Roman" w:hAnsi="Times New Roman" w:cs="Times New Roman"/>
              </w:rPr>
            </w:pPr>
            <w:r w:rsidRPr="00183756">
              <w:rPr>
                <w:rFonts w:ascii="Times New Roman" w:hAnsi="Times New Roman" w:cs="Times New Roman"/>
              </w:rPr>
              <w:t xml:space="preserve">UNDP continued to partner with South-South Global Thinkers, bringing together six networks encompassing 200 southern think tanks fostering dialogue, ‘new thinking’ and evidence-based </w:t>
            </w:r>
            <w:r w:rsidRPr="00183756">
              <w:rPr>
                <w:rFonts w:ascii="Times New Roman" w:hAnsi="Times New Roman" w:cs="Times New Roman"/>
              </w:rPr>
              <w:lastRenderedPageBreak/>
              <w:t xml:space="preserve">research on South-South cooperation and southern development solutions.  In 2018, UNDP introduced a new strategic initiative to deploy a network of up to 60 Country Accelerator Labs as key vehicles for helping surface, co-create, replicate and scale southern development solutions and innovations. </w:t>
            </w:r>
          </w:p>
          <w:p w14:paraId="5DAC46AD" w14:textId="77777777" w:rsidR="00BA7977" w:rsidRPr="00BA7977" w:rsidRDefault="00BA7977" w:rsidP="00BA7977">
            <w:pPr>
              <w:pStyle w:val="ListParagraph"/>
              <w:spacing w:after="200"/>
              <w:ind w:left="360"/>
              <w:jc w:val="both"/>
              <w:rPr>
                <w:rFonts w:ascii="Times New Roman" w:hAnsi="Times New Roman" w:cs="Times New Roman"/>
              </w:rPr>
            </w:pPr>
          </w:p>
          <w:p w14:paraId="70926C1F" w14:textId="1F3DC2CA" w:rsidR="006D3601" w:rsidRPr="000306AE" w:rsidRDefault="001337ED" w:rsidP="000306AE">
            <w:pPr>
              <w:pStyle w:val="ListParagraph"/>
              <w:numPr>
                <w:ilvl w:val="0"/>
                <w:numId w:val="4"/>
              </w:numPr>
              <w:jc w:val="both"/>
              <w:rPr>
                <w:rFonts w:ascii="Times New Roman" w:hAnsi="Times New Roman" w:cs="Times New Roman"/>
              </w:rPr>
            </w:pPr>
            <w:r w:rsidRPr="00EA15B6">
              <w:rPr>
                <w:rFonts w:ascii="Times New Roman" w:hAnsi="Times New Roman" w:cs="Times New Roman"/>
                <w:b/>
                <w:color w:val="000000" w:themeColor="text1"/>
              </w:rPr>
              <w:t>(OP24a</w:t>
            </w:r>
            <w:r w:rsidR="008D5F1E" w:rsidRPr="00EA15B6">
              <w:rPr>
                <w:rFonts w:ascii="Times New Roman" w:hAnsi="Times New Roman" w:cs="Times New Roman"/>
                <w:b/>
                <w:color w:val="000000" w:themeColor="text1"/>
              </w:rPr>
              <w:t>)</w:t>
            </w:r>
            <w:r w:rsidR="008D5F1E" w:rsidRPr="00EA15B6">
              <w:rPr>
                <w:rFonts w:ascii="Times New Roman" w:hAnsi="Times New Roman" w:cs="Times New Roman"/>
                <w:color w:val="000000" w:themeColor="text1"/>
              </w:rPr>
              <w:t xml:space="preserve"> </w:t>
            </w:r>
            <w:r w:rsidRPr="005C63C1">
              <w:rPr>
                <w:rFonts w:ascii="Times New Roman" w:hAnsi="Times New Roman" w:cs="Times New Roman"/>
              </w:rPr>
              <w:t>UNDP Administrator acts as the vice co-Chair of the Joint Steering Committee (JSC) to Advance Humanitarian and Development Collaboration, which aims to unblock key obstacles to working across the nexus. UNDP with OCHA provides secretariat support to the JSC, including following up on the implementation of the JSC Work Plan through the implementation of the New Way of Working (NWOW) Approach.  UNDP also co-chairs the Inter-Agency Standing Committee (IASC) Task Team on the Humanitarian-Development (HD) Nexus in Protracted Crises and the UNSDG Task Team 4 on Transitions and Recovery. Through its strengthened partnerships on this work, UNDP contributed to the OECD’s International Network on Conflict and Fragility (INCAF), which in 2018 worked on approving a DAC recommendation on the Humanitarian-Development-Peace (HDP) Nexus providing a comprehensive framework that can support, incentivize and implement more collaborative, coherent and complementary humanitarian, development and peace actions. UNDP also contributed to policy level documents on the NWOW from sister agencies including by WHO and FAO.  </w:t>
            </w:r>
          </w:p>
          <w:p w14:paraId="1D17B975" w14:textId="77777777" w:rsidR="000306AE" w:rsidRDefault="001337ED" w:rsidP="002C23E6">
            <w:pPr>
              <w:pStyle w:val="ListParagraph"/>
              <w:numPr>
                <w:ilvl w:val="0"/>
                <w:numId w:val="4"/>
              </w:numPr>
              <w:jc w:val="both"/>
              <w:rPr>
                <w:rFonts w:ascii="Times New Roman" w:hAnsi="Times New Roman" w:cs="Times New Roman"/>
              </w:rPr>
            </w:pPr>
            <w:r w:rsidRPr="005C63C1">
              <w:rPr>
                <w:rFonts w:ascii="Times New Roman" w:hAnsi="Times New Roman" w:cs="Times New Roman"/>
              </w:rPr>
              <w:t>At the country level, UNDP advanced the NWOW through its advisory and technical support to the SG’s priority countries and regions, particularly in the Horn, Sahel, Lake Chad Basin, Afghanistan and the Democratic Republic of Congo. During this year, UNDP strengthened its support to seven countries out of these regions on the request of the JSC</w:t>
            </w:r>
            <w:r w:rsidR="000306AE">
              <w:rPr>
                <w:rFonts w:ascii="Times New Roman" w:hAnsi="Times New Roman" w:cs="Times New Roman"/>
              </w:rPr>
              <w:t>:</w:t>
            </w:r>
            <w:r w:rsidRPr="005C63C1">
              <w:rPr>
                <w:rFonts w:ascii="Times New Roman" w:hAnsi="Times New Roman" w:cs="Times New Roman"/>
              </w:rPr>
              <w:t xml:space="preserve"> Nigeria, Niger, Burkina Faso, Chad, Cameroon, Somalia and Ethiopia. Through these field level engagements, UNDP facilitated staff deployment</w:t>
            </w:r>
            <w:r w:rsidR="000306AE">
              <w:rPr>
                <w:rFonts w:ascii="Times New Roman" w:hAnsi="Times New Roman" w:cs="Times New Roman"/>
              </w:rPr>
              <w:t>,</w:t>
            </w:r>
            <w:r w:rsidRPr="005C63C1">
              <w:rPr>
                <w:rFonts w:ascii="Times New Roman" w:hAnsi="Times New Roman" w:cs="Times New Roman"/>
              </w:rPr>
              <w:t xml:space="preserve"> remote policy support</w:t>
            </w:r>
            <w:r w:rsidR="000306AE">
              <w:rPr>
                <w:rFonts w:ascii="Times New Roman" w:hAnsi="Times New Roman" w:cs="Times New Roman"/>
              </w:rPr>
              <w:t>,</w:t>
            </w:r>
            <w:r w:rsidRPr="005C63C1">
              <w:rPr>
                <w:rFonts w:ascii="Times New Roman" w:hAnsi="Times New Roman" w:cs="Times New Roman"/>
              </w:rPr>
              <w:t xml:space="preserve"> as well as provision of guidance materials and tools to RCOs and UNDP COs. UNDP continued support to advocacy and awareness of the HDP Nexus and the NWOW approach by organizing a multi-stakeholder workshop in Dakar that brought together key partners from the UN, governments, non-UN and donor partners. </w:t>
            </w:r>
          </w:p>
          <w:p w14:paraId="3CCF5C43" w14:textId="3232746D" w:rsidR="003A3F20" w:rsidRDefault="001337ED" w:rsidP="002C23E6">
            <w:pPr>
              <w:pStyle w:val="ListParagraph"/>
              <w:numPr>
                <w:ilvl w:val="0"/>
                <w:numId w:val="4"/>
              </w:numPr>
              <w:jc w:val="both"/>
              <w:rPr>
                <w:rFonts w:ascii="Times New Roman" w:hAnsi="Times New Roman" w:cs="Times New Roman"/>
              </w:rPr>
            </w:pPr>
            <w:r w:rsidRPr="005C63C1">
              <w:rPr>
                <w:rFonts w:ascii="Times New Roman" w:hAnsi="Times New Roman" w:cs="Times New Roman"/>
              </w:rPr>
              <w:t>At policy level, UNDP worked with partners to draft a collective outcomes paper that built on earlier works by partners such as OCHA and that spoke across the humanitarian, development and peace pillars. During the reporting year, UNDP also commenced work on articulating its sustainable development offer within the work of the HDP Nexus.</w:t>
            </w:r>
          </w:p>
          <w:p w14:paraId="7A134DEE" w14:textId="77777777" w:rsidR="002C23E6" w:rsidRDefault="002C23E6" w:rsidP="002C23E6">
            <w:pPr>
              <w:pStyle w:val="ListParagraph"/>
              <w:ind w:left="360"/>
              <w:jc w:val="both"/>
              <w:rPr>
                <w:rFonts w:ascii="Times New Roman" w:hAnsi="Times New Roman" w:cs="Times New Roman"/>
              </w:rPr>
            </w:pPr>
          </w:p>
          <w:p w14:paraId="51A18A43" w14:textId="77777777" w:rsidR="001337ED" w:rsidRPr="003A3F20" w:rsidRDefault="001337ED" w:rsidP="002C23E6">
            <w:pPr>
              <w:pStyle w:val="ListParagraph"/>
              <w:numPr>
                <w:ilvl w:val="0"/>
                <w:numId w:val="4"/>
              </w:numPr>
              <w:jc w:val="both"/>
              <w:rPr>
                <w:rFonts w:ascii="Times New Roman" w:hAnsi="Times New Roman" w:cs="Times New Roman"/>
              </w:rPr>
            </w:pPr>
            <w:r w:rsidRPr="00D1293C">
              <w:rPr>
                <w:rFonts w:ascii="Times New Roman" w:hAnsi="Times New Roman" w:cs="Times New Roman"/>
                <w:b/>
                <w:color w:val="000000" w:themeColor="text1"/>
              </w:rPr>
              <w:t>(OP 24b)</w:t>
            </w:r>
            <w:r w:rsidRPr="00D1293C">
              <w:rPr>
                <w:rFonts w:ascii="Times New Roman" w:hAnsi="Times New Roman" w:cs="Times New Roman"/>
                <w:color w:val="000000" w:themeColor="text1"/>
              </w:rPr>
              <w:t xml:space="preserve"> </w:t>
            </w:r>
            <w:r w:rsidRPr="003A3F20">
              <w:rPr>
                <w:rFonts w:ascii="Times New Roman" w:hAnsi="Times New Roman" w:cs="Times New Roman"/>
              </w:rPr>
              <w:t xml:space="preserve">UNDP has engaged systematically in efforts to improve coordination and synergies to maximize the impacts and implementation of the 2030 agenda. In 2018 progress was made on formalizing the MAPS approach in 38 countries, of which, 14 countries received first time support, 18 countries received ongoing support from 2017, and 6 countries received ongoing support from 2016. 25 sister agencies participated in MAPS engagements in 2018, alongside four other critical development actors: the European Union, the World Bank, the Asia Development Bank, and the Organisation for Economic Co-operation and Development. These missions brought together the engagement and expertise from over 20 UN entities and other development partners. Similarly, the </w:t>
            </w:r>
            <w:r w:rsidRPr="003A3F20">
              <w:rPr>
                <w:rFonts w:ascii="Times New Roman" w:hAnsi="Times New Roman" w:cs="Times New Roman"/>
              </w:rPr>
              <w:lastRenderedPageBreak/>
              <w:t>UN, EU and WB partnered to support the Post Disaster Needs Assessments (PDNAs) in seven countries (Cote d’Ivoire, Ecuador, Guatemala, Kerala (India), Rwanda, Lao PDR, Tunisia and Indonesia). In Somalia, the Drought Impact Needs Assessment (DINA) supported by UNDP resulted in a conflict-sensitive Resilience and Recovery Framework. Recovery and a joint UN/WB/AfDB assessment was carried out in Zimbabwe.  These created joint recovery frameworks for Government and partners and facilitated resource allocation for recovery needs. In addition, 8 trainings were conducted in 2017 in which government officials, UN, EU and WB staff were trained in assessing impact of disasters and developing joint recovery plans in line with the principles of New Way of Working.  In 2018, a UN interagency drafting team let by UNDP prepared the UN Common Guidance on Helping Build Resilience Societies as per the CEB decision of November 2018, which was referenced in the new UNDAF Guidance to assist with operationalizing the resilience principle.</w:t>
            </w:r>
          </w:p>
          <w:p w14:paraId="3D420E46" w14:textId="77777777" w:rsidR="002E1C94" w:rsidRPr="00996C98" w:rsidRDefault="002E1C94" w:rsidP="001337ED">
            <w:pPr>
              <w:pStyle w:val="ListParagraph"/>
              <w:ind w:left="360"/>
              <w:jc w:val="both"/>
              <w:rPr>
                <w:rFonts w:ascii="Times New Roman" w:hAnsi="Times New Roman" w:cs="Times New Roman"/>
              </w:rPr>
            </w:pPr>
          </w:p>
        </w:tc>
      </w:tr>
      <w:tr w:rsidR="004F2D59" w:rsidRPr="00996C98" w14:paraId="41672066" w14:textId="77777777" w:rsidTr="009D4CB8">
        <w:trPr>
          <w:trHeight w:val="332"/>
        </w:trPr>
        <w:tc>
          <w:tcPr>
            <w:tcW w:w="13680" w:type="dxa"/>
            <w:gridSpan w:val="2"/>
            <w:shd w:val="clear" w:color="auto" w:fill="E7E6E6" w:themeFill="background2"/>
          </w:tcPr>
          <w:p w14:paraId="3542092F" w14:textId="77777777" w:rsidR="004F2D59" w:rsidRPr="00996C98" w:rsidRDefault="004F2D59" w:rsidP="004F2D59">
            <w:pPr>
              <w:pStyle w:val="ListParagraph"/>
              <w:numPr>
                <w:ilvl w:val="0"/>
                <w:numId w:val="10"/>
              </w:numPr>
              <w:rPr>
                <w:rFonts w:ascii="Times New Roman" w:hAnsi="Times New Roman" w:cs="Times New Roman"/>
                <w:b/>
              </w:rPr>
            </w:pPr>
            <w:r w:rsidRPr="00996C98">
              <w:rPr>
                <w:rFonts w:ascii="Times New Roman" w:hAnsi="Times New Roman" w:cs="Times New Roman"/>
                <w:b/>
              </w:rPr>
              <w:lastRenderedPageBreak/>
              <w:t>Funding of the operatio</w:t>
            </w:r>
            <w:r w:rsidRPr="00996C98">
              <w:rPr>
                <w:rFonts w:ascii="Times New Roman" w:hAnsi="Times New Roman" w:cs="Times New Roman"/>
                <w:b/>
                <w:shd w:val="clear" w:color="auto" w:fill="E7E6E6" w:themeFill="background2"/>
              </w:rPr>
              <w:t>n</w:t>
            </w:r>
            <w:r w:rsidRPr="00996C98">
              <w:rPr>
                <w:rFonts w:ascii="Times New Roman" w:hAnsi="Times New Roman" w:cs="Times New Roman"/>
                <w:b/>
              </w:rPr>
              <w:t>al activities for development</w:t>
            </w:r>
          </w:p>
        </w:tc>
      </w:tr>
      <w:tr w:rsidR="002E1C94" w:rsidRPr="00996C98" w14:paraId="16F2136C" w14:textId="77777777" w:rsidTr="009D4CB8">
        <w:trPr>
          <w:trHeight w:val="332"/>
        </w:trPr>
        <w:tc>
          <w:tcPr>
            <w:tcW w:w="4230" w:type="dxa"/>
            <w:shd w:val="clear" w:color="auto" w:fill="FFFFFF" w:themeFill="background1"/>
          </w:tcPr>
          <w:p w14:paraId="2C52B81B" w14:textId="77777777" w:rsidR="002E1C94" w:rsidRPr="00996C98" w:rsidRDefault="002E1C94" w:rsidP="00C5643B">
            <w:pPr>
              <w:rPr>
                <w:rFonts w:ascii="Times New Roman" w:hAnsi="Times New Roman" w:cs="Times New Roman"/>
              </w:rPr>
            </w:pPr>
            <w:r w:rsidRPr="00996C98">
              <w:rPr>
                <w:rFonts w:ascii="Times New Roman" w:hAnsi="Times New Roman" w:cs="Times New Roman"/>
              </w:rPr>
              <w:t>QCPR mandates (OP25-43)</w:t>
            </w:r>
          </w:p>
        </w:tc>
        <w:tc>
          <w:tcPr>
            <w:tcW w:w="9450" w:type="dxa"/>
            <w:shd w:val="clear" w:color="auto" w:fill="FFFFFF" w:themeFill="background1"/>
          </w:tcPr>
          <w:p w14:paraId="7C6DAF7C" w14:textId="77777777" w:rsidR="002E1C94" w:rsidRPr="00996C98" w:rsidRDefault="002E1C94" w:rsidP="00C5643B">
            <w:pPr>
              <w:rPr>
                <w:rFonts w:ascii="Times New Roman" w:hAnsi="Times New Roman" w:cs="Times New Roman"/>
              </w:rPr>
            </w:pPr>
            <w:r w:rsidRPr="00996C98">
              <w:rPr>
                <w:rFonts w:ascii="Times New Roman" w:hAnsi="Times New Roman" w:cs="Times New Roman"/>
              </w:rPr>
              <w:t>Progress</w:t>
            </w:r>
          </w:p>
        </w:tc>
      </w:tr>
      <w:tr w:rsidR="002E1C94" w:rsidRPr="00996C98" w14:paraId="038FB228" w14:textId="77777777" w:rsidTr="009D4CB8">
        <w:trPr>
          <w:trHeight w:val="890"/>
        </w:trPr>
        <w:tc>
          <w:tcPr>
            <w:tcW w:w="4230" w:type="dxa"/>
          </w:tcPr>
          <w:p w14:paraId="5FDFD4F3" w14:textId="77777777" w:rsidR="002E1C94" w:rsidRPr="00996C98" w:rsidRDefault="002E1C94" w:rsidP="00C5643B">
            <w:pPr>
              <w:rPr>
                <w:rFonts w:ascii="Times New Roman" w:hAnsi="Times New Roman" w:cs="Times New Roman"/>
                <w:b/>
              </w:rPr>
            </w:pPr>
            <w:r w:rsidRPr="00996C98">
              <w:rPr>
                <w:rFonts w:ascii="Times New Roman" w:hAnsi="Times New Roman" w:cs="Times New Roman"/>
                <w:lang w:val="en-GB"/>
              </w:rPr>
              <w:t xml:space="preserve">Urges the entities of the United Nations development system </w:t>
            </w:r>
            <w:r w:rsidRPr="00996C98">
              <w:rPr>
                <w:rFonts w:ascii="Times New Roman" w:hAnsi="Times New Roman" w:cs="Times New Roman"/>
                <w:i/>
                <w:lang w:val="en-GB"/>
              </w:rPr>
              <w:t>to continue enhancing the transparency and accountability of inter-agency pooled funding mechanisms, as well as to continue developing well-designed pooled funds</w:t>
            </w:r>
            <w:r w:rsidRPr="00996C98">
              <w:rPr>
                <w:rFonts w:ascii="Times New Roman" w:hAnsi="Times New Roman" w:cs="Times New Roman"/>
                <w:lang w:val="en-GB"/>
              </w:rPr>
              <w:t xml:space="preserve"> (OP33)</w:t>
            </w:r>
          </w:p>
          <w:p w14:paraId="28F94964" w14:textId="77777777" w:rsidR="002E1C94" w:rsidRPr="00996C98" w:rsidRDefault="002E1C94" w:rsidP="00C5643B">
            <w:pPr>
              <w:rPr>
                <w:rFonts w:ascii="Times New Roman" w:hAnsi="Times New Roman" w:cs="Times New Roman"/>
                <w:i/>
                <w:lang w:val="en-GB"/>
              </w:rPr>
            </w:pPr>
          </w:p>
          <w:p w14:paraId="7E81565E" w14:textId="77777777" w:rsidR="002E1C94" w:rsidRPr="00996C98" w:rsidRDefault="002E1C94" w:rsidP="00C5643B">
            <w:pPr>
              <w:rPr>
                <w:rFonts w:ascii="Times New Roman" w:hAnsi="Times New Roman" w:cs="Times New Roman"/>
                <w:color w:val="FF0000"/>
                <w:lang w:val="en-GB"/>
              </w:rPr>
            </w:pPr>
            <w:r w:rsidRPr="00996C98">
              <w:rPr>
                <w:rFonts w:ascii="Times New Roman" w:hAnsi="Times New Roman" w:cs="Times New Roman"/>
                <w:i/>
                <w:lang w:val="en-GB"/>
              </w:rPr>
              <w:t>Also urges</w:t>
            </w:r>
            <w:r w:rsidRPr="00996C98">
              <w:rPr>
                <w:rFonts w:ascii="Times New Roman" w:hAnsi="Times New Roman" w:cs="Times New Roman"/>
                <w:lang w:val="en-GB"/>
              </w:rPr>
              <w:t xml:space="preserve"> the entities of the UNDS, through their governing bodies, to take concrete steps to address the decline of core contributions and the growing imbalance between core and non-core resources (OP34) </w:t>
            </w:r>
          </w:p>
          <w:p w14:paraId="42DB5A92" w14:textId="77777777" w:rsidR="002E1C94" w:rsidRPr="00996C98" w:rsidRDefault="002E1C94" w:rsidP="002E1C94">
            <w:pPr>
              <w:pStyle w:val="ListParagraph"/>
              <w:numPr>
                <w:ilvl w:val="0"/>
                <w:numId w:val="6"/>
              </w:numPr>
              <w:rPr>
                <w:rFonts w:ascii="Times New Roman" w:hAnsi="Times New Roman" w:cs="Times New Roman"/>
                <w:b/>
              </w:rPr>
            </w:pPr>
            <w:r w:rsidRPr="00996C98">
              <w:rPr>
                <w:rFonts w:ascii="Times New Roman" w:hAnsi="Times New Roman" w:cs="Times New Roman"/>
                <w:lang w:val="en-GB"/>
              </w:rPr>
              <w:t xml:space="preserve">Exploring options </w:t>
            </w:r>
            <w:r w:rsidRPr="00996C98">
              <w:rPr>
                <w:rFonts w:ascii="Times New Roman" w:hAnsi="Times New Roman" w:cs="Times New Roman"/>
                <w:i/>
                <w:lang w:val="en-GB"/>
              </w:rPr>
              <w:t>to ensure an adequate and predictable level of core and non-core</w:t>
            </w:r>
            <w:r w:rsidRPr="00996C98">
              <w:rPr>
                <w:rFonts w:ascii="Times New Roman" w:hAnsi="Times New Roman" w:cs="Times New Roman"/>
                <w:lang w:val="en-GB"/>
              </w:rPr>
              <w:t xml:space="preserve"> funding on a multi-year basis (OP34a)</w:t>
            </w:r>
          </w:p>
          <w:p w14:paraId="33504E35" w14:textId="77777777" w:rsidR="002E1C94" w:rsidRPr="00996C98" w:rsidRDefault="002E1C94" w:rsidP="002E1C94">
            <w:pPr>
              <w:pStyle w:val="ListParagraph"/>
              <w:numPr>
                <w:ilvl w:val="0"/>
                <w:numId w:val="6"/>
              </w:numPr>
              <w:rPr>
                <w:rFonts w:ascii="Times New Roman" w:hAnsi="Times New Roman" w:cs="Times New Roman"/>
                <w:b/>
              </w:rPr>
            </w:pPr>
            <w:r w:rsidRPr="00996C98">
              <w:rPr>
                <w:rFonts w:ascii="Times New Roman" w:hAnsi="Times New Roman" w:cs="Times New Roman"/>
                <w:lang w:val="en-GB"/>
              </w:rPr>
              <w:t xml:space="preserve">Exploring options to broaden and diversify the donor base </w:t>
            </w:r>
            <w:r w:rsidR="00687F85" w:rsidRPr="00996C98">
              <w:rPr>
                <w:rFonts w:ascii="Times New Roman" w:hAnsi="Times New Roman" w:cs="Times New Roman"/>
                <w:lang w:val="en-GB"/>
              </w:rPr>
              <w:t>and</w:t>
            </w:r>
            <w:r w:rsidRPr="00996C98">
              <w:rPr>
                <w:rFonts w:ascii="Times New Roman" w:hAnsi="Times New Roman" w:cs="Times New Roman"/>
                <w:lang w:val="en-GB"/>
              </w:rPr>
              <w:t xml:space="preserve"> reduce reliance on a limited number of donors (OP34c)</w:t>
            </w:r>
          </w:p>
          <w:p w14:paraId="2AD5061F" w14:textId="77777777" w:rsidR="002E1C94" w:rsidRPr="00996C98" w:rsidRDefault="002E1C94" w:rsidP="00C5643B">
            <w:pPr>
              <w:rPr>
                <w:rFonts w:ascii="Times New Roman" w:hAnsi="Times New Roman" w:cs="Times New Roman"/>
                <w:b/>
              </w:rPr>
            </w:pPr>
          </w:p>
          <w:p w14:paraId="495895F3" w14:textId="77777777" w:rsidR="002E1C94" w:rsidRPr="00996C98" w:rsidRDefault="002E1C94" w:rsidP="00C5643B">
            <w:pPr>
              <w:rPr>
                <w:rFonts w:ascii="Times New Roman" w:hAnsi="Times New Roman" w:cs="Times New Roman"/>
                <w:lang w:val="en-GB"/>
              </w:rPr>
            </w:pPr>
            <w:r w:rsidRPr="00996C98">
              <w:rPr>
                <w:rFonts w:ascii="Times New Roman" w:hAnsi="Times New Roman" w:cs="Times New Roman"/>
                <w:lang w:val="en-GB"/>
              </w:rPr>
              <w:t xml:space="preserve">Urges all entities of the UNDS to </w:t>
            </w:r>
            <w:r w:rsidRPr="00996C98">
              <w:rPr>
                <w:rFonts w:ascii="Times New Roman" w:hAnsi="Times New Roman" w:cs="Times New Roman"/>
                <w:i/>
                <w:lang w:val="en-GB"/>
              </w:rPr>
              <w:t xml:space="preserve">comply with existing cost recovery policies </w:t>
            </w:r>
            <w:r w:rsidRPr="00996C98">
              <w:rPr>
                <w:rFonts w:ascii="Times New Roman" w:hAnsi="Times New Roman" w:cs="Times New Roman"/>
                <w:lang w:val="en-GB"/>
              </w:rPr>
              <w:t xml:space="preserve">and </w:t>
            </w:r>
            <w:r w:rsidRPr="00996C98">
              <w:rPr>
                <w:rFonts w:ascii="Times New Roman" w:hAnsi="Times New Roman" w:cs="Times New Roman"/>
                <w:i/>
                <w:lang w:val="en-GB"/>
              </w:rPr>
              <w:t>report annually on their implementation to their respective governing bodies</w:t>
            </w:r>
            <w:r w:rsidRPr="00996C98">
              <w:rPr>
                <w:rFonts w:ascii="Times New Roman" w:hAnsi="Times New Roman" w:cs="Times New Roman"/>
                <w:lang w:val="en-GB"/>
              </w:rPr>
              <w:t xml:space="preserve"> (OP35)</w:t>
            </w:r>
          </w:p>
          <w:p w14:paraId="667D5814" w14:textId="77777777" w:rsidR="002E1C94" w:rsidRPr="00996C98" w:rsidRDefault="002E1C94" w:rsidP="00C5643B">
            <w:pPr>
              <w:rPr>
                <w:rFonts w:ascii="Times New Roman" w:hAnsi="Times New Roman" w:cs="Times New Roman"/>
                <w:b/>
              </w:rPr>
            </w:pPr>
          </w:p>
          <w:p w14:paraId="71A8D812" w14:textId="77777777" w:rsidR="002E1C94" w:rsidRPr="00996C98" w:rsidRDefault="002E1C94" w:rsidP="00C5643B">
            <w:pPr>
              <w:rPr>
                <w:rFonts w:ascii="Times New Roman" w:hAnsi="Times New Roman" w:cs="Times New Roman"/>
                <w:b/>
              </w:rPr>
            </w:pPr>
            <w:r w:rsidRPr="00996C98">
              <w:rPr>
                <w:rFonts w:ascii="Times New Roman" w:hAnsi="Times New Roman" w:cs="Times New Roman"/>
                <w:i/>
                <w:lang w:val="en-GB"/>
              </w:rPr>
              <w:t xml:space="preserve">Urges </w:t>
            </w:r>
            <w:r w:rsidRPr="00996C98">
              <w:rPr>
                <w:rFonts w:ascii="Times New Roman" w:hAnsi="Times New Roman" w:cs="Times New Roman"/>
                <w:lang w:val="en-GB"/>
              </w:rPr>
              <w:t xml:space="preserve">the entities of the UNDS to </w:t>
            </w:r>
            <w:r w:rsidRPr="00996C98">
              <w:rPr>
                <w:rFonts w:ascii="Times New Roman" w:hAnsi="Times New Roman" w:cs="Times New Roman"/>
                <w:i/>
                <w:lang w:val="en-GB"/>
              </w:rPr>
              <w:t>align their next integrated budgets with the present resolution</w:t>
            </w:r>
            <w:r w:rsidRPr="00996C98">
              <w:rPr>
                <w:rFonts w:ascii="Times New Roman" w:hAnsi="Times New Roman" w:cs="Times New Roman"/>
                <w:lang w:val="en-GB"/>
              </w:rPr>
              <w:t xml:space="preserve"> and to</w:t>
            </w:r>
            <w:r w:rsidRPr="00996C98">
              <w:rPr>
                <w:rFonts w:ascii="Times New Roman" w:hAnsi="Times New Roman" w:cs="Times New Roman"/>
                <w:i/>
                <w:lang w:val="en-GB"/>
              </w:rPr>
              <w:t xml:space="preserve"> improve the functioning and effectiveness of the structured dialogues</w:t>
            </w:r>
            <w:r w:rsidRPr="00996C98">
              <w:rPr>
                <w:rFonts w:ascii="Times New Roman" w:hAnsi="Times New Roman" w:cs="Times New Roman"/>
                <w:lang w:val="en-GB"/>
              </w:rPr>
              <w:t xml:space="preserve"> on how to fund the development results agreed in the strategic plans (OP43)</w:t>
            </w:r>
          </w:p>
          <w:p w14:paraId="75761E73" w14:textId="77777777" w:rsidR="002E1C94" w:rsidRPr="00996C98" w:rsidRDefault="002E1C94" w:rsidP="00C5643B">
            <w:pPr>
              <w:rPr>
                <w:rFonts w:ascii="Times New Roman" w:hAnsi="Times New Roman" w:cs="Times New Roman"/>
                <w:b/>
              </w:rPr>
            </w:pPr>
          </w:p>
        </w:tc>
        <w:tc>
          <w:tcPr>
            <w:tcW w:w="9450" w:type="dxa"/>
          </w:tcPr>
          <w:p w14:paraId="4F7B21FB" w14:textId="5CD6498C" w:rsidR="00960367" w:rsidRPr="00BD1609" w:rsidRDefault="00960367" w:rsidP="004A48E6">
            <w:pPr>
              <w:numPr>
                <w:ilvl w:val="0"/>
                <w:numId w:val="20"/>
              </w:numPr>
              <w:jc w:val="both"/>
              <w:rPr>
                <w:rFonts w:ascii="Times New Roman" w:eastAsia="Times New Roman" w:hAnsi="Times New Roman" w:cs="Times New Roman"/>
              </w:rPr>
            </w:pPr>
            <w:r w:rsidRPr="00D1293C">
              <w:rPr>
                <w:rFonts w:ascii="Times New Roman" w:eastAsia="Times New Roman" w:hAnsi="Times New Roman" w:cs="Times New Roman"/>
                <w:b/>
                <w:color w:val="000000" w:themeColor="text1"/>
              </w:rPr>
              <w:lastRenderedPageBreak/>
              <w:t>(OP33)</w:t>
            </w:r>
            <w:r w:rsidRPr="00D1293C">
              <w:rPr>
                <w:rFonts w:ascii="Times New Roman" w:eastAsia="Times New Roman" w:hAnsi="Times New Roman" w:cs="Times New Roman"/>
                <w:color w:val="000000" w:themeColor="text1"/>
              </w:rPr>
              <w:t xml:space="preserve"> </w:t>
            </w:r>
            <w:r w:rsidR="00B54F78" w:rsidRPr="00BD1609">
              <w:rPr>
                <w:rFonts w:ascii="Times New Roman" w:hAnsi="Times New Roman" w:cs="Times New Roman"/>
              </w:rPr>
              <w:t xml:space="preserve">UNDP participated in 64 MPTFs and JPs in 2018, receiving a total $357 million. UNDP also currently plays several roles within the pooled funding instruments. Recently, and building on its experience in managing pooled funds, UNDP established the Lion’s Share </w:t>
            </w:r>
            <w:r w:rsidR="004912B6">
              <w:rPr>
                <w:rFonts w:ascii="Times New Roman" w:hAnsi="Times New Roman" w:cs="Times New Roman"/>
              </w:rPr>
              <w:t xml:space="preserve">initiative </w:t>
            </w:r>
            <w:r w:rsidR="00B54F78" w:rsidRPr="00BD1609">
              <w:rPr>
                <w:rFonts w:ascii="Times New Roman" w:hAnsi="Times New Roman" w:cs="Times New Roman"/>
              </w:rPr>
              <w:t>where the organization not only leads and manages the fund, but implement</w:t>
            </w:r>
            <w:r w:rsidR="00EF7D20">
              <w:rPr>
                <w:rFonts w:ascii="Times New Roman" w:hAnsi="Times New Roman" w:cs="Times New Roman"/>
              </w:rPr>
              <w:t>s</w:t>
            </w:r>
            <w:r w:rsidR="00B54F78" w:rsidRPr="00BD1609">
              <w:rPr>
                <w:rFonts w:ascii="Times New Roman" w:hAnsi="Times New Roman" w:cs="Times New Roman"/>
              </w:rPr>
              <w:t xml:space="preserve">, </w:t>
            </w:r>
            <w:r w:rsidR="00EF7D20">
              <w:rPr>
                <w:rFonts w:ascii="Times New Roman" w:hAnsi="Times New Roman" w:cs="Times New Roman"/>
              </w:rPr>
              <w:t xml:space="preserve">together </w:t>
            </w:r>
            <w:r w:rsidR="00B54F78" w:rsidRPr="00BD1609">
              <w:rPr>
                <w:rFonts w:ascii="Times New Roman" w:hAnsi="Times New Roman" w:cs="Times New Roman"/>
              </w:rPr>
              <w:t>with other agencies as recipient organizations. For country level funds, UNDP has been providing the funding platform for joint country level activities hosting Joint Programmes as well as One Funds, financially underpinning the implementation of the UNDAF. In some funds, UNDP is also performing the Managing Agent function for Civil Society Organizations.</w:t>
            </w:r>
          </w:p>
          <w:p w14:paraId="41D36BEE" w14:textId="77777777" w:rsidR="002A7366" w:rsidRPr="00996C98" w:rsidRDefault="002A7366" w:rsidP="00F3318F">
            <w:pPr>
              <w:ind w:left="360"/>
              <w:jc w:val="both"/>
              <w:rPr>
                <w:rFonts w:ascii="Times New Roman" w:eastAsia="Times New Roman" w:hAnsi="Times New Roman" w:cs="Times New Roman"/>
              </w:rPr>
            </w:pPr>
          </w:p>
          <w:p w14:paraId="66E069D1" w14:textId="77777777" w:rsidR="008023AC" w:rsidRPr="004A48E6" w:rsidRDefault="00581CC7" w:rsidP="004A48E6">
            <w:pPr>
              <w:numPr>
                <w:ilvl w:val="0"/>
                <w:numId w:val="20"/>
              </w:numPr>
              <w:jc w:val="both"/>
              <w:rPr>
                <w:rFonts w:ascii="Times New Roman" w:eastAsia="Times New Roman" w:hAnsi="Times New Roman" w:cs="Times New Roman"/>
              </w:rPr>
            </w:pPr>
            <w:r w:rsidRPr="00095E09">
              <w:rPr>
                <w:rFonts w:ascii="Times New Roman" w:eastAsia="Times New Roman" w:hAnsi="Times New Roman" w:cs="Times New Roman"/>
                <w:b/>
                <w:color w:val="000000" w:themeColor="text1"/>
              </w:rPr>
              <w:t>(OP34a)</w:t>
            </w:r>
            <w:r w:rsidRPr="00095E09">
              <w:rPr>
                <w:rFonts w:ascii="Times New Roman" w:eastAsia="Times New Roman" w:hAnsi="Times New Roman" w:cs="Times New Roman"/>
                <w:color w:val="000000" w:themeColor="text1"/>
              </w:rPr>
              <w:t xml:space="preserve"> </w:t>
            </w:r>
            <w:r w:rsidR="008023AC" w:rsidRPr="00B37368">
              <w:rPr>
                <w:rFonts w:ascii="Times New Roman" w:eastAsia="Times New Roman" w:hAnsi="Times New Roman" w:cs="Times New Roman"/>
                <w:color w:val="000000" w:themeColor="text1"/>
              </w:rPr>
              <w:t>In 2018, overall contributions to UNDP reached $5.23bn, representing increases to core (+2%) and non-core (+7%). By mobilizing $624m core resources, UNDP managed to reverse the downward trend in core contribution over the past several years. In 2018, 43 % of core contribution came from multi-year commitment, up from 29% in 2017.</w:t>
            </w:r>
          </w:p>
          <w:p w14:paraId="3092D3B5" w14:textId="77777777" w:rsidR="00EA4AFC" w:rsidRPr="00EA4AFC" w:rsidRDefault="00EA4AFC" w:rsidP="00EA4AFC">
            <w:pPr>
              <w:jc w:val="both"/>
              <w:rPr>
                <w:rFonts w:ascii="Times New Roman" w:eastAsia="Times New Roman" w:hAnsi="Times New Roman" w:cs="Times New Roman"/>
              </w:rPr>
            </w:pPr>
          </w:p>
          <w:p w14:paraId="56B359D1" w14:textId="37910E9E" w:rsidR="002A7366" w:rsidRDefault="008023AC" w:rsidP="004A48E6">
            <w:pPr>
              <w:numPr>
                <w:ilvl w:val="0"/>
                <w:numId w:val="20"/>
              </w:numPr>
              <w:jc w:val="both"/>
              <w:rPr>
                <w:rFonts w:ascii="Times New Roman" w:eastAsia="Times New Roman" w:hAnsi="Times New Roman" w:cs="Times New Roman"/>
                <w:color w:val="000000" w:themeColor="text1"/>
              </w:rPr>
            </w:pPr>
            <w:r w:rsidRPr="00095E09">
              <w:rPr>
                <w:rFonts w:ascii="Times New Roman" w:eastAsia="Times New Roman" w:hAnsi="Times New Roman" w:cs="Times New Roman"/>
                <w:b/>
                <w:color w:val="000000" w:themeColor="text1"/>
              </w:rPr>
              <w:t>(OP34c)</w:t>
            </w:r>
            <w:r w:rsidRPr="00095E09">
              <w:rPr>
                <w:rFonts w:ascii="Times New Roman" w:eastAsia="Times New Roman" w:hAnsi="Times New Roman" w:cs="Times New Roman"/>
                <w:color w:val="000000" w:themeColor="text1"/>
              </w:rPr>
              <w:t xml:space="preserve"> </w:t>
            </w:r>
            <w:r w:rsidRPr="00B37368">
              <w:rPr>
                <w:rFonts w:ascii="Times New Roman" w:eastAsia="Times New Roman" w:hAnsi="Times New Roman" w:cs="Times New Roman"/>
                <w:color w:val="000000" w:themeColor="text1"/>
              </w:rPr>
              <w:t xml:space="preserve">Based on preliminary data, broadly across funding streams, contributions grew from 2017 to 2018. In line with the diversification agenda, contributions from international financing institutions grew the most. Contributions from donor country governments </w:t>
            </w:r>
            <w:r w:rsidR="00C64616">
              <w:rPr>
                <w:rFonts w:ascii="Times New Roman" w:eastAsia="Times New Roman" w:hAnsi="Times New Roman" w:cs="Times New Roman"/>
                <w:color w:val="000000" w:themeColor="text1"/>
              </w:rPr>
              <w:t xml:space="preserve">to all funding streams </w:t>
            </w:r>
            <w:r w:rsidRPr="00B37368">
              <w:rPr>
                <w:rFonts w:ascii="Times New Roman" w:eastAsia="Times New Roman" w:hAnsi="Times New Roman" w:cs="Times New Roman"/>
                <w:color w:val="000000" w:themeColor="text1"/>
              </w:rPr>
              <w:t xml:space="preserve">grew 16%, while those from programme country governments were stable, growing one percent. However, </w:t>
            </w:r>
            <w:r w:rsidR="008C6B4A" w:rsidRPr="004C436F">
              <w:rPr>
                <w:rFonts w:ascii="Times New Roman" w:eastAsia="Times New Roman" w:hAnsi="Times New Roman" w:cs="Times New Roman"/>
                <w:color w:val="000000" w:themeColor="text1"/>
              </w:rPr>
              <w:t xml:space="preserve">UNDP’s </w:t>
            </w:r>
            <w:r w:rsidRPr="004C436F">
              <w:rPr>
                <w:rFonts w:ascii="Times New Roman" w:eastAsia="Times New Roman" w:hAnsi="Times New Roman" w:cs="Times New Roman"/>
                <w:color w:val="000000" w:themeColor="text1"/>
              </w:rPr>
              <w:t xml:space="preserve">  core donor base </w:t>
            </w:r>
            <w:r w:rsidR="003441CF" w:rsidRPr="004C436F">
              <w:rPr>
                <w:rFonts w:ascii="Times New Roman" w:eastAsia="Times New Roman" w:hAnsi="Times New Roman" w:cs="Times New Roman"/>
                <w:color w:val="000000" w:themeColor="text1"/>
              </w:rPr>
              <w:t>had three new or returning cont</w:t>
            </w:r>
            <w:r w:rsidR="003441CF" w:rsidRPr="005C2ED6">
              <w:rPr>
                <w:rFonts w:ascii="Times New Roman" w:eastAsia="Times New Roman" w:hAnsi="Times New Roman" w:cs="Times New Roman"/>
                <w:color w:val="000000" w:themeColor="text1"/>
              </w:rPr>
              <w:t>ributors</w:t>
            </w:r>
            <w:r w:rsidR="004C436F" w:rsidRPr="005C2ED6">
              <w:rPr>
                <w:rFonts w:ascii="Times New Roman" w:eastAsia="Times New Roman" w:hAnsi="Times New Roman" w:cs="Times New Roman"/>
                <w:color w:val="000000" w:themeColor="text1"/>
              </w:rPr>
              <w:t xml:space="preserve"> and nine</w:t>
            </w:r>
            <w:r w:rsidR="004C436F" w:rsidRPr="00BA2E62">
              <w:rPr>
                <w:rFonts w:ascii="Times New Roman" w:hAnsi="Times New Roman" w:cs="Times New Roman"/>
              </w:rPr>
              <w:t xml:space="preserve"> Member States signed multi-year pledges</w:t>
            </w:r>
            <w:r w:rsidR="005C2ED6">
              <w:rPr>
                <w:rFonts w:ascii="Times New Roman" w:hAnsi="Times New Roman" w:cs="Times New Roman"/>
              </w:rPr>
              <w:t xml:space="preserve">. UNDP welcomes </w:t>
            </w:r>
            <w:r w:rsidRPr="00B37368">
              <w:rPr>
                <w:rFonts w:ascii="Times New Roman" w:eastAsia="Times New Roman" w:hAnsi="Times New Roman" w:cs="Times New Roman"/>
                <w:color w:val="000000" w:themeColor="text1"/>
              </w:rPr>
              <w:t xml:space="preserve">the recently concluded Funding Compact </w:t>
            </w:r>
            <w:r w:rsidR="005C2ED6">
              <w:rPr>
                <w:rFonts w:ascii="Times New Roman" w:eastAsia="Times New Roman" w:hAnsi="Times New Roman" w:cs="Times New Roman"/>
                <w:color w:val="000000" w:themeColor="text1"/>
              </w:rPr>
              <w:t xml:space="preserve">of the SG and the </w:t>
            </w:r>
            <w:r w:rsidRPr="00B37368">
              <w:rPr>
                <w:rFonts w:ascii="Times New Roman" w:eastAsia="Times New Roman" w:hAnsi="Times New Roman" w:cs="Times New Roman"/>
                <w:color w:val="000000" w:themeColor="text1"/>
              </w:rPr>
              <w:t xml:space="preserve">commitment to increase the proportion of funding to the UNDS to reach 30% along with an explicit call to increase the number of core contributors. UNDP </w:t>
            </w:r>
            <w:r w:rsidR="00BD251F">
              <w:rPr>
                <w:rFonts w:ascii="Times New Roman" w:eastAsia="Times New Roman" w:hAnsi="Times New Roman" w:cs="Times New Roman"/>
                <w:color w:val="000000" w:themeColor="text1"/>
              </w:rPr>
              <w:t xml:space="preserve">looks forward to </w:t>
            </w:r>
            <w:r w:rsidR="00357FD2">
              <w:rPr>
                <w:rFonts w:ascii="Times New Roman" w:eastAsia="Times New Roman" w:hAnsi="Times New Roman" w:cs="Times New Roman"/>
                <w:color w:val="000000" w:themeColor="text1"/>
              </w:rPr>
              <w:t xml:space="preserve">implementing the mutual </w:t>
            </w:r>
            <w:r w:rsidR="00DB3282">
              <w:rPr>
                <w:rFonts w:ascii="Times New Roman" w:eastAsia="Times New Roman" w:hAnsi="Times New Roman" w:cs="Times New Roman"/>
                <w:color w:val="000000" w:themeColor="text1"/>
              </w:rPr>
              <w:t xml:space="preserve">commitments contained in the Funding Compact and to </w:t>
            </w:r>
            <w:r w:rsidR="00D72352">
              <w:rPr>
                <w:rFonts w:ascii="Times New Roman" w:eastAsia="Times New Roman" w:hAnsi="Times New Roman" w:cs="Times New Roman"/>
                <w:color w:val="000000" w:themeColor="text1"/>
              </w:rPr>
              <w:t>increase the quality of funding to UNDP.</w:t>
            </w:r>
            <w:r w:rsidRPr="00B37368">
              <w:rPr>
                <w:rFonts w:ascii="Times New Roman" w:eastAsia="Times New Roman" w:hAnsi="Times New Roman" w:cs="Times New Roman"/>
                <w:color w:val="000000" w:themeColor="text1"/>
              </w:rPr>
              <w:t xml:space="preserve">  </w:t>
            </w:r>
          </w:p>
          <w:p w14:paraId="398995BF" w14:textId="77777777" w:rsidR="00103E8F" w:rsidRPr="00996C98" w:rsidRDefault="00103E8F" w:rsidP="00F87616">
            <w:pPr>
              <w:jc w:val="both"/>
              <w:rPr>
                <w:rFonts w:ascii="Times New Roman" w:eastAsia="Times New Roman" w:hAnsi="Times New Roman" w:cs="Times New Roman"/>
              </w:rPr>
            </w:pPr>
          </w:p>
          <w:p w14:paraId="6E428CA9" w14:textId="77777777" w:rsidR="004F753A" w:rsidRPr="00B37368" w:rsidRDefault="009B0521" w:rsidP="004A48E6">
            <w:pPr>
              <w:pStyle w:val="ListParagraph"/>
              <w:numPr>
                <w:ilvl w:val="0"/>
                <w:numId w:val="20"/>
              </w:numPr>
              <w:spacing w:line="252" w:lineRule="auto"/>
              <w:rPr>
                <w:rFonts w:ascii="Times New Roman" w:hAnsi="Times New Roman" w:cs="Times New Roman"/>
                <w:color w:val="000000" w:themeColor="text1"/>
              </w:rPr>
            </w:pPr>
            <w:r w:rsidRPr="00BE44C0">
              <w:rPr>
                <w:rFonts w:ascii="Times New Roman" w:eastAsia="Times New Roman" w:hAnsi="Times New Roman" w:cs="Times New Roman"/>
                <w:b/>
                <w:color w:val="000000" w:themeColor="text1"/>
              </w:rPr>
              <w:lastRenderedPageBreak/>
              <w:t>(OP</w:t>
            </w:r>
            <w:r w:rsidR="0046183C" w:rsidRPr="00BE44C0">
              <w:rPr>
                <w:rFonts w:ascii="Times New Roman" w:eastAsia="Times New Roman" w:hAnsi="Times New Roman" w:cs="Times New Roman"/>
                <w:b/>
                <w:color w:val="000000" w:themeColor="text1"/>
              </w:rPr>
              <w:t>35)</w:t>
            </w:r>
            <w:r w:rsidR="0046183C" w:rsidRPr="00BE44C0">
              <w:rPr>
                <w:rFonts w:ascii="Times New Roman" w:eastAsia="Times New Roman" w:hAnsi="Times New Roman" w:cs="Times New Roman"/>
                <w:color w:val="000000" w:themeColor="text1"/>
              </w:rPr>
              <w:t xml:space="preserve"> </w:t>
            </w:r>
            <w:r w:rsidR="004F753A" w:rsidRPr="00B37368">
              <w:rPr>
                <w:rFonts w:ascii="Times New Roman" w:hAnsi="Times New Roman" w:cs="Times New Roman"/>
                <w:color w:val="000000" w:themeColor="text1"/>
              </w:rPr>
              <w:t>UNDP is compliant with the existing cost recovery policy, including the Executive Board decision 2013/9. UNDP reports annually on the implementation of the cost recovery policy to the Executive Board in its Annual Review of the Financial Situation. </w:t>
            </w:r>
          </w:p>
          <w:p w14:paraId="0A1B2C27" w14:textId="77777777" w:rsidR="002A7366" w:rsidRPr="00996C98" w:rsidRDefault="002A7366" w:rsidP="009A1198">
            <w:pPr>
              <w:jc w:val="both"/>
              <w:rPr>
                <w:rFonts w:ascii="Times New Roman" w:eastAsia="Times New Roman" w:hAnsi="Times New Roman" w:cs="Times New Roman"/>
              </w:rPr>
            </w:pPr>
          </w:p>
          <w:p w14:paraId="4F799847" w14:textId="77777777" w:rsidR="002E1C94" w:rsidRPr="00B37368" w:rsidRDefault="00960367" w:rsidP="004A48E6">
            <w:pPr>
              <w:numPr>
                <w:ilvl w:val="0"/>
                <w:numId w:val="20"/>
              </w:numPr>
              <w:jc w:val="both"/>
              <w:rPr>
                <w:rFonts w:ascii="Times New Roman" w:eastAsia="Times New Roman" w:hAnsi="Times New Roman" w:cs="Times New Roman"/>
                <w:color w:val="000000" w:themeColor="text1"/>
              </w:rPr>
            </w:pPr>
            <w:r w:rsidRPr="00BE44C0">
              <w:rPr>
                <w:rFonts w:ascii="Times New Roman" w:eastAsia="Times New Roman" w:hAnsi="Times New Roman" w:cs="Times New Roman"/>
                <w:b/>
                <w:color w:val="000000" w:themeColor="text1"/>
              </w:rPr>
              <w:t>(OP43).</w:t>
            </w:r>
            <w:r w:rsidR="008023AC" w:rsidRPr="00BE44C0">
              <w:rPr>
                <w:rFonts w:ascii="Times New Roman" w:eastAsia="Times New Roman" w:hAnsi="Times New Roman" w:cs="Times New Roman"/>
                <w:color w:val="000000" w:themeColor="text1"/>
              </w:rPr>
              <w:t xml:space="preserve"> </w:t>
            </w:r>
            <w:r w:rsidR="008023AC" w:rsidRPr="00B37368">
              <w:rPr>
                <w:rFonts w:ascii="Times New Roman" w:eastAsia="Times New Roman" w:hAnsi="Times New Roman" w:cs="Times New Roman"/>
                <w:color w:val="000000" w:themeColor="text1"/>
              </w:rPr>
              <w:t>In 2018, a total of four Structured Funding dialogues were held with the members of the Executive Board. Among the topics and issues covered responding to EB requests and decisions have been the key elements of the resource mobilization for the strategic plan implementation, update on linking resources with results at the SP outcome and output levels, transparency portal, and the multifaceted nature of UNDP’s partnership. UNDP also developed and presented a proposal for a revitalized funding dialogue with EB. Going forward, UNDP will continue to have a regular, open and substantive dialogue with the Board on funding related issues, including progress in the implementation of the Funding Compact.</w:t>
            </w:r>
          </w:p>
          <w:p w14:paraId="06D3B9E8" w14:textId="77777777" w:rsidR="00C43E79" w:rsidRPr="00996C98" w:rsidRDefault="00C43E79" w:rsidP="00F3318F">
            <w:pPr>
              <w:ind w:left="360"/>
              <w:jc w:val="both"/>
              <w:rPr>
                <w:rFonts w:ascii="Times New Roman" w:eastAsia="Times New Roman" w:hAnsi="Times New Roman" w:cs="Times New Roman"/>
              </w:rPr>
            </w:pPr>
          </w:p>
        </w:tc>
      </w:tr>
      <w:tr w:rsidR="004F2D59" w:rsidRPr="00996C98" w14:paraId="66BA3352" w14:textId="77777777" w:rsidTr="009D4CB8">
        <w:tc>
          <w:tcPr>
            <w:tcW w:w="13680" w:type="dxa"/>
            <w:gridSpan w:val="2"/>
            <w:shd w:val="clear" w:color="auto" w:fill="E7E6E6" w:themeFill="background2"/>
          </w:tcPr>
          <w:p w14:paraId="3AB256D6" w14:textId="77777777" w:rsidR="004F2D59" w:rsidRPr="00996C98" w:rsidRDefault="004F2D59" w:rsidP="004F2D59">
            <w:pPr>
              <w:pStyle w:val="ListParagraph"/>
              <w:numPr>
                <w:ilvl w:val="0"/>
                <w:numId w:val="10"/>
              </w:numPr>
              <w:rPr>
                <w:rFonts w:ascii="Times New Roman" w:hAnsi="Times New Roman" w:cs="Times New Roman"/>
                <w:b/>
              </w:rPr>
            </w:pPr>
            <w:r w:rsidRPr="00996C98">
              <w:rPr>
                <w:rFonts w:ascii="Times New Roman" w:hAnsi="Times New Roman" w:cs="Times New Roman"/>
                <w:b/>
              </w:rPr>
              <w:lastRenderedPageBreak/>
              <w:t>Strengthening the governance of the UN operational activities</w:t>
            </w:r>
            <w:r w:rsidR="00B67445" w:rsidRPr="00996C98">
              <w:rPr>
                <w:rFonts w:ascii="Times New Roman" w:hAnsi="Times New Roman" w:cs="Times New Roman"/>
                <w:b/>
              </w:rPr>
              <w:t xml:space="preserve"> for development</w:t>
            </w:r>
          </w:p>
        </w:tc>
      </w:tr>
      <w:tr w:rsidR="002E1C94" w:rsidRPr="00996C98" w14:paraId="36DC2DDF" w14:textId="77777777" w:rsidTr="009D4CB8">
        <w:tc>
          <w:tcPr>
            <w:tcW w:w="4230" w:type="dxa"/>
          </w:tcPr>
          <w:p w14:paraId="104FB9FE" w14:textId="77777777" w:rsidR="002E1C94" w:rsidRPr="00996C98" w:rsidRDefault="002E1C94" w:rsidP="00C5643B">
            <w:pPr>
              <w:rPr>
                <w:rFonts w:ascii="Times New Roman" w:hAnsi="Times New Roman" w:cs="Times New Roman"/>
                <w:lang w:val="en-GB"/>
              </w:rPr>
            </w:pPr>
            <w:r w:rsidRPr="00996C98">
              <w:rPr>
                <w:rFonts w:ascii="Times New Roman" w:hAnsi="Times New Roman" w:cs="Times New Roman"/>
                <w:lang w:val="en-GB"/>
              </w:rPr>
              <w:t>QCPR mandates (OP44-46)</w:t>
            </w:r>
          </w:p>
        </w:tc>
        <w:tc>
          <w:tcPr>
            <w:tcW w:w="9450" w:type="dxa"/>
          </w:tcPr>
          <w:p w14:paraId="5D9EF9A6" w14:textId="77777777" w:rsidR="002E1C94" w:rsidRPr="00996C98" w:rsidRDefault="002E1C94" w:rsidP="00C5643B">
            <w:pPr>
              <w:rPr>
                <w:rFonts w:ascii="Times New Roman" w:hAnsi="Times New Roman" w:cs="Times New Roman"/>
                <w:color w:val="FF0000"/>
              </w:rPr>
            </w:pPr>
            <w:r w:rsidRPr="00996C98">
              <w:rPr>
                <w:rFonts w:ascii="Times New Roman" w:hAnsi="Times New Roman" w:cs="Times New Roman"/>
              </w:rPr>
              <w:t>Progress</w:t>
            </w:r>
          </w:p>
        </w:tc>
      </w:tr>
      <w:tr w:rsidR="002E1C94" w:rsidRPr="00996C98" w14:paraId="05C658FA" w14:textId="77777777" w:rsidTr="009D4CB8">
        <w:tc>
          <w:tcPr>
            <w:tcW w:w="4230" w:type="dxa"/>
          </w:tcPr>
          <w:p w14:paraId="37D89250" w14:textId="77777777" w:rsidR="002E1C94" w:rsidRPr="00996C98" w:rsidRDefault="002E1C94" w:rsidP="00C5643B">
            <w:pPr>
              <w:rPr>
                <w:rFonts w:ascii="Times New Roman" w:hAnsi="Times New Roman" w:cs="Times New Roman"/>
                <w:lang w:val="en-GB"/>
              </w:rPr>
            </w:pPr>
            <w:r w:rsidRPr="00996C98">
              <w:rPr>
                <w:rFonts w:ascii="Times New Roman" w:hAnsi="Times New Roman" w:cs="Times New Roman"/>
                <w:i/>
                <w:lang w:val="en-GB"/>
              </w:rPr>
              <w:t xml:space="preserve">stresses </w:t>
            </w:r>
            <w:r w:rsidRPr="00996C98">
              <w:rPr>
                <w:rFonts w:ascii="Times New Roman" w:hAnsi="Times New Roman" w:cs="Times New Roman"/>
                <w:lang w:val="en-GB"/>
              </w:rPr>
              <w:t>the need to improve the governance of the United Nations development system, including by (OP45):</w:t>
            </w:r>
          </w:p>
          <w:p w14:paraId="0A71D9C9" w14:textId="77777777" w:rsidR="002E1C94" w:rsidRPr="00996C98" w:rsidRDefault="002E1C94" w:rsidP="002E1C94">
            <w:pPr>
              <w:pStyle w:val="ListParagraph"/>
              <w:numPr>
                <w:ilvl w:val="0"/>
                <w:numId w:val="7"/>
              </w:numPr>
              <w:rPr>
                <w:rFonts w:ascii="Times New Roman" w:hAnsi="Times New Roman" w:cs="Times New Roman"/>
              </w:rPr>
            </w:pPr>
            <w:bookmarkStart w:id="0" w:name="_Hlk512354568"/>
            <w:r w:rsidRPr="00996C98">
              <w:rPr>
                <w:rFonts w:ascii="Times New Roman" w:hAnsi="Times New Roman" w:cs="Times New Roman"/>
                <w:i/>
                <w:lang w:val="en-GB"/>
              </w:rPr>
              <w:t>Enhancing the transparency of the United Nations Development Group</w:t>
            </w:r>
            <w:r w:rsidRPr="00996C98">
              <w:rPr>
                <w:rFonts w:ascii="Times New Roman" w:hAnsi="Times New Roman" w:cs="Times New Roman"/>
                <w:lang w:val="en-GB"/>
              </w:rPr>
              <w:t xml:space="preserve"> to ensure their effective interaction with and improve their responsiveness to Member States (OP45c)</w:t>
            </w:r>
          </w:p>
          <w:p w14:paraId="4CBCBBE0" w14:textId="77777777" w:rsidR="002E1C94" w:rsidRPr="00996C98" w:rsidRDefault="002E1C94" w:rsidP="002E1C94">
            <w:pPr>
              <w:pStyle w:val="ListParagraph"/>
              <w:numPr>
                <w:ilvl w:val="0"/>
                <w:numId w:val="7"/>
              </w:numPr>
              <w:rPr>
                <w:rFonts w:ascii="Times New Roman" w:hAnsi="Times New Roman" w:cs="Times New Roman"/>
              </w:rPr>
            </w:pPr>
            <w:r w:rsidRPr="00996C98">
              <w:rPr>
                <w:rFonts w:ascii="Times New Roman" w:hAnsi="Times New Roman" w:cs="Times New Roman"/>
                <w:i/>
                <w:lang w:val="en-GB"/>
              </w:rPr>
              <w:t>Enhancing</w:t>
            </w:r>
            <w:r w:rsidRPr="00996C98">
              <w:rPr>
                <w:rFonts w:ascii="Times New Roman" w:hAnsi="Times New Roman" w:cs="Times New Roman"/>
                <w:lang w:val="en-GB"/>
              </w:rPr>
              <w:t xml:space="preserve"> </w:t>
            </w:r>
            <w:r w:rsidRPr="00996C98">
              <w:rPr>
                <w:rFonts w:ascii="Times New Roman" w:hAnsi="Times New Roman" w:cs="Times New Roman"/>
                <w:i/>
                <w:lang w:val="en-GB"/>
              </w:rPr>
              <w:t>system-wide coherence</w:t>
            </w:r>
            <w:r w:rsidRPr="00996C98">
              <w:rPr>
                <w:rFonts w:ascii="Times New Roman" w:hAnsi="Times New Roman" w:cs="Times New Roman"/>
                <w:lang w:val="en-GB"/>
              </w:rPr>
              <w:t xml:space="preserve"> and </w:t>
            </w:r>
            <w:bookmarkEnd w:id="0"/>
            <w:r w:rsidRPr="00996C98">
              <w:rPr>
                <w:rFonts w:ascii="Times New Roman" w:hAnsi="Times New Roman" w:cs="Times New Roman"/>
                <w:lang w:val="en-GB"/>
              </w:rPr>
              <w:t>efficiency, reduce duplication and build synergy across governing bodies of the entities of United Nations development system (OP46)</w:t>
            </w:r>
          </w:p>
          <w:p w14:paraId="7F8061A1" w14:textId="77777777" w:rsidR="002E1C94" w:rsidRPr="00996C98" w:rsidRDefault="002E1C94" w:rsidP="00C5643B">
            <w:pPr>
              <w:pStyle w:val="ListParagraph"/>
              <w:rPr>
                <w:rFonts w:ascii="Times New Roman" w:hAnsi="Times New Roman" w:cs="Times New Roman"/>
              </w:rPr>
            </w:pPr>
          </w:p>
        </w:tc>
        <w:tc>
          <w:tcPr>
            <w:tcW w:w="9450" w:type="dxa"/>
          </w:tcPr>
          <w:p w14:paraId="7B2E54D9" w14:textId="77777777" w:rsidR="003C341C" w:rsidRPr="004A6881" w:rsidRDefault="000F687F" w:rsidP="004A6881">
            <w:pPr>
              <w:pStyle w:val="ListParagraph"/>
              <w:numPr>
                <w:ilvl w:val="0"/>
                <w:numId w:val="7"/>
              </w:numPr>
              <w:jc w:val="both"/>
              <w:rPr>
                <w:rFonts w:ascii="Times New Roman" w:hAnsi="Times New Roman" w:cs="Times New Roman"/>
                <w:b/>
              </w:rPr>
            </w:pPr>
            <w:r w:rsidRPr="00BE44C0">
              <w:rPr>
                <w:rFonts w:ascii="Times New Roman" w:hAnsi="Times New Roman" w:cs="Times New Roman"/>
                <w:b/>
                <w:color w:val="000000" w:themeColor="text1"/>
              </w:rPr>
              <w:t>(OP45</w:t>
            </w:r>
            <w:r w:rsidR="001337ED" w:rsidRPr="00BE44C0">
              <w:rPr>
                <w:rFonts w:ascii="Times New Roman" w:hAnsi="Times New Roman" w:cs="Times New Roman"/>
                <w:b/>
                <w:color w:val="000000" w:themeColor="text1"/>
              </w:rPr>
              <w:t>c</w:t>
            </w:r>
            <w:r w:rsidRPr="00BE44C0">
              <w:rPr>
                <w:rFonts w:ascii="Times New Roman" w:hAnsi="Times New Roman" w:cs="Times New Roman"/>
                <w:b/>
                <w:color w:val="000000" w:themeColor="text1"/>
              </w:rPr>
              <w:t>)</w:t>
            </w:r>
            <w:r w:rsidR="00C5643B" w:rsidRPr="00BE44C0">
              <w:rPr>
                <w:rFonts w:ascii="Times New Roman" w:hAnsi="Times New Roman" w:cs="Times New Roman"/>
                <w:color w:val="000000" w:themeColor="text1"/>
              </w:rPr>
              <w:t xml:space="preserve"> </w:t>
            </w:r>
            <w:r w:rsidR="001337ED" w:rsidRPr="005C63C1">
              <w:rPr>
                <w:rFonts w:ascii="Times New Roman" w:hAnsi="Times New Roman" w:cs="Times New Roman"/>
              </w:rPr>
              <w:t xml:space="preserve">UNDP continued to enhance transparency within the organization and of the United Nations Development Group.  In 2018, UNDP was recognized as one of the world’s most transparent organizations for the third consecutive time with a score of 95.4 per cent on the 2018 Aid Transparency Index, a rise of 2.1 percentage points over the last index in 2016. To support the enhancement of transparency of the United Nations Development Group and other partners, UNDP has </w:t>
            </w:r>
            <w:r w:rsidR="00750D37" w:rsidRPr="005C63C1">
              <w:rPr>
                <w:rFonts w:ascii="Times New Roman" w:hAnsi="Times New Roman" w:cs="Times New Roman"/>
              </w:rPr>
              <w:t>developed</w:t>
            </w:r>
            <w:r w:rsidR="001337ED" w:rsidRPr="005C63C1">
              <w:rPr>
                <w:rFonts w:ascii="Times New Roman" w:hAnsi="Times New Roman" w:cs="Times New Roman"/>
              </w:rPr>
              <w:t xml:space="preserve"> an </w:t>
            </w:r>
            <w:hyperlink r:id="rId16" w:history="1">
              <w:r w:rsidR="001337ED" w:rsidRPr="005C63C1">
                <w:rPr>
                  <w:rStyle w:val="Hyperlink"/>
                  <w:rFonts w:ascii="Times New Roman" w:hAnsi="Times New Roman" w:cs="Times New Roman"/>
                  <w:color w:val="0070C0"/>
                </w:rPr>
                <w:t xml:space="preserve">online training programme </w:t>
              </w:r>
            </w:hyperlink>
            <w:r w:rsidR="001337ED" w:rsidRPr="005C63C1">
              <w:rPr>
                <w:rFonts w:ascii="Times New Roman" w:hAnsi="Times New Roman" w:cs="Times New Roman"/>
                <w:color w:val="0070C0"/>
              </w:rPr>
              <w:t xml:space="preserve"> </w:t>
            </w:r>
            <w:r w:rsidR="001337ED" w:rsidRPr="005C63C1">
              <w:rPr>
                <w:rFonts w:ascii="Times New Roman" w:hAnsi="Times New Roman" w:cs="Times New Roman"/>
              </w:rPr>
              <w:t xml:space="preserve">on the international aid transparency initiative (IATI), which was shared widely with the UN Agencies through the UN Strategic Plan Network.  </w:t>
            </w:r>
          </w:p>
          <w:p w14:paraId="3B79F04F" w14:textId="77777777" w:rsidR="003C341C" w:rsidRPr="00996C98" w:rsidRDefault="003C341C" w:rsidP="00F3318F">
            <w:pPr>
              <w:pStyle w:val="ListParagraph"/>
              <w:ind w:left="360"/>
              <w:jc w:val="both"/>
              <w:rPr>
                <w:rFonts w:ascii="Times New Roman" w:hAnsi="Times New Roman" w:cs="Times New Roman"/>
                <w:b/>
              </w:rPr>
            </w:pPr>
          </w:p>
          <w:p w14:paraId="5004DAB1" w14:textId="12C31BD4" w:rsidR="00E24C9E" w:rsidRPr="005652BF" w:rsidRDefault="001563A5" w:rsidP="00750D37">
            <w:pPr>
              <w:pStyle w:val="ListParagraph"/>
              <w:numPr>
                <w:ilvl w:val="0"/>
                <w:numId w:val="7"/>
              </w:numPr>
              <w:jc w:val="both"/>
              <w:rPr>
                <w:rFonts w:ascii="Times New Roman" w:hAnsi="Times New Roman" w:cs="Times New Roman"/>
              </w:rPr>
            </w:pPr>
            <w:r w:rsidRPr="00BE44C0">
              <w:rPr>
                <w:rFonts w:ascii="Times New Roman" w:hAnsi="Times New Roman" w:cs="Times New Roman"/>
                <w:b/>
                <w:color w:val="000000" w:themeColor="text1"/>
                <w:shd w:val="clear" w:color="auto" w:fill="FFFFFF"/>
              </w:rPr>
              <w:t>(OP 46)</w:t>
            </w:r>
            <w:r w:rsidR="00E24C9E" w:rsidRPr="00BE44C0">
              <w:rPr>
                <w:color w:val="000000" w:themeColor="text1"/>
              </w:rPr>
              <w:t xml:space="preserve"> </w:t>
            </w:r>
            <w:r w:rsidR="001033BD" w:rsidRPr="005652BF">
              <w:rPr>
                <w:rFonts w:ascii="Times New Roman" w:hAnsi="Times New Roman" w:cs="Times New Roman"/>
              </w:rPr>
              <w:t>Discussions were i</w:t>
            </w:r>
            <w:r w:rsidR="00710E44">
              <w:rPr>
                <w:rFonts w:ascii="Times New Roman" w:hAnsi="Times New Roman" w:cs="Times New Roman"/>
              </w:rPr>
              <w:t>nitiated by Presidents</w:t>
            </w:r>
            <w:r w:rsidR="0034615B" w:rsidRPr="005652BF">
              <w:rPr>
                <w:rFonts w:ascii="Times New Roman" w:hAnsi="Times New Roman" w:cs="Times New Roman"/>
              </w:rPr>
              <w:t xml:space="preserve"> of 2017 Executive Boards of the UNDP/UNFPA/UNOPS, UNICEF, UN Women and WFP on improving the working methods of the Executive Boards. </w:t>
            </w:r>
            <w:r w:rsidR="00E24C9E" w:rsidRPr="005652BF">
              <w:rPr>
                <w:rFonts w:ascii="Times New Roman" w:hAnsi="Times New Roman" w:cs="Times New Roman"/>
              </w:rPr>
              <w:t xml:space="preserve">Key improvements achieved </w:t>
            </w:r>
            <w:r w:rsidR="004D2F38" w:rsidRPr="005652BF">
              <w:rPr>
                <w:rFonts w:ascii="Times New Roman" w:hAnsi="Times New Roman" w:cs="Times New Roman"/>
              </w:rPr>
              <w:t>in 2017-2018 include</w:t>
            </w:r>
            <w:r w:rsidR="00E24C9E" w:rsidRPr="005652BF">
              <w:rPr>
                <w:rFonts w:ascii="Times New Roman" w:hAnsi="Times New Roman" w:cs="Times New Roman"/>
              </w:rPr>
              <w:t>:</w:t>
            </w:r>
          </w:p>
          <w:p w14:paraId="6546A9E4" w14:textId="77777777" w:rsidR="001033BD" w:rsidRPr="005652BF" w:rsidRDefault="00E24C9E" w:rsidP="00215935">
            <w:pPr>
              <w:pStyle w:val="ListParagraph"/>
              <w:numPr>
                <w:ilvl w:val="1"/>
                <w:numId w:val="7"/>
              </w:numPr>
              <w:ind w:left="720"/>
              <w:jc w:val="both"/>
              <w:rPr>
                <w:rFonts w:ascii="Times New Roman" w:hAnsi="Times New Roman" w:cs="Times New Roman"/>
              </w:rPr>
            </w:pPr>
            <w:r w:rsidRPr="005652BF">
              <w:rPr>
                <w:rFonts w:ascii="Times New Roman" w:hAnsi="Times New Roman" w:cs="Times New Roman"/>
              </w:rPr>
              <w:t>The number of “Informal consultations” and “Board briefings” increased by about 48% in inter-sessional periods</w:t>
            </w:r>
          </w:p>
          <w:p w14:paraId="62F077C0" w14:textId="77777777" w:rsidR="001033BD" w:rsidRPr="005652BF" w:rsidRDefault="00E24C9E" w:rsidP="00215935">
            <w:pPr>
              <w:pStyle w:val="ListParagraph"/>
              <w:numPr>
                <w:ilvl w:val="1"/>
                <w:numId w:val="7"/>
              </w:numPr>
              <w:ind w:left="720"/>
              <w:jc w:val="both"/>
              <w:rPr>
                <w:rFonts w:ascii="Times New Roman" w:hAnsi="Times New Roman" w:cs="Times New Roman"/>
              </w:rPr>
            </w:pPr>
            <w:r w:rsidRPr="005652BF">
              <w:rPr>
                <w:rFonts w:ascii="Times New Roman" w:hAnsi="Times New Roman" w:cs="Times New Roman"/>
              </w:rPr>
              <w:t xml:space="preserve">About 30% more Joint Briefings of </w:t>
            </w:r>
            <w:bookmarkStart w:id="1" w:name="_Hlk496205489"/>
            <w:r w:rsidRPr="005652BF">
              <w:rPr>
                <w:rFonts w:ascii="Times New Roman" w:hAnsi="Times New Roman" w:cs="Times New Roman"/>
              </w:rPr>
              <w:t xml:space="preserve">the Boards of UNDP/UNFPA/UNOPS, UNICEF and UN-Women </w:t>
            </w:r>
            <w:bookmarkEnd w:id="1"/>
            <w:r w:rsidRPr="005652BF">
              <w:rPr>
                <w:rFonts w:ascii="Times New Roman" w:hAnsi="Times New Roman" w:cs="Times New Roman"/>
              </w:rPr>
              <w:t>were organized every year</w:t>
            </w:r>
          </w:p>
          <w:p w14:paraId="3E2EFE7B" w14:textId="77777777" w:rsidR="001033BD" w:rsidRPr="005652BF" w:rsidRDefault="00E24C9E" w:rsidP="00215935">
            <w:pPr>
              <w:pStyle w:val="ListParagraph"/>
              <w:numPr>
                <w:ilvl w:val="1"/>
                <w:numId w:val="7"/>
              </w:numPr>
              <w:ind w:left="720"/>
              <w:jc w:val="both"/>
              <w:rPr>
                <w:rFonts w:ascii="Times New Roman" w:hAnsi="Times New Roman" w:cs="Times New Roman"/>
              </w:rPr>
            </w:pPr>
            <w:r w:rsidRPr="005652BF">
              <w:rPr>
                <w:rFonts w:ascii="Times New Roman" w:hAnsi="Times New Roman" w:cs="Times New Roman"/>
              </w:rPr>
              <w:t>The membership of the Bureaux of the Boards is now identified earlier</w:t>
            </w:r>
            <w:r w:rsidR="00201B01" w:rsidRPr="005652BF">
              <w:rPr>
                <w:rFonts w:ascii="Times New Roman" w:hAnsi="Times New Roman" w:cs="Times New Roman"/>
              </w:rPr>
              <w:t xml:space="preserve"> in the year</w:t>
            </w:r>
          </w:p>
          <w:p w14:paraId="2BE58695" w14:textId="77777777" w:rsidR="001033BD" w:rsidRPr="005652BF" w:rsidRDefault="00DB5131" w:rsidP="00215935">
            <w:pPr>
              <w:pStyle w:val="ListParagraph"/>
              <w:numPr>
                <w:ilvl w:val="1"/>
                <w:numId w:val="7"/>
              </w:numPr>
              <w:ind w:left="720"/>
              <w:jc w:val="both"/>
              <w:rPr>
                <w:rFonts w:ascii="Times New Roman" w:hAnsi="Times New Roman" w:cs="Times New Roman"/>
              </w:rPr>
            </w:pPr>
            <w:r w:rsidRPr="005652BF">
              <w:rPr>
                <w:rFonts w:ascii="Times New Roman" w:hAnsi="Times New Roman" w:cs="Times New Roman"/>
              </w:rPr>
              <w:t>More delegations are delivering joint/group statements, such as regional sub-groups, like-minded donor delegations, etc. which has decreased some of the prepared statements by individual delegations</w:t>
            </w:r>
          </w:p>
          <w:p w14:paraId="1F68CA10" w14:textId="77777777" w:rsidR="001033BD" w:rsidRPr="005652BF" w:rsidRDefault="00DB5131" w:rsidP="00215935">
            <w:pPr>
              <w:pStyle w:val="ListParagraph"/>
              <w:numPr>
                <w:ilvl w:val="1"/>
                <w:numId w:val="7"/>
              </w:numPr>
              <w:ind w:left="720"/>
              <w:jc w:val="both"/>
              <w:rPr>
                <w:rFonts w:ascii="Times New Roman" w:hAnsi="Times New Roman" w:cs="Times New Roman"/>
              </w:rPr>
            </w:pPr>
            <w:r w:rsidRPr="005652BF">
              <w:rPr>
                <w:rFonts w:ascii="Times New Roman" w:hAnsi="Times New Roman" w:cs="Times New Roman"/>
              </w:rPr>
              <w:t>The Presidents of the Executive Boards of UNDP/UNFPA/UNOPS, UNICEF and UN-Women meet almost quarterly to discuss issues of common interest</w:t>
            </w:r>
          </w:p>
          <w:p w14:paraId="121C89AD" w14:textId="77777777" w:rsidR="00201B01" w:rsidRPr="005652BF" w:rsidRDefault="00DB5131" w:rsidP="00215935">
            <w:pPr>
              <w:pStyle w:val="ListParagraph"/>
              <w:numPr>
                <w:ilvl w:val="1"/>
                <w:numId w:val="7"/>
              </w:numPr>
              <w:ind w:left="720"/>
              <w:jc w:val="both"/>
              <w:rPr>
                <w:rFonts w:ascii="Times New Roman" w:hAnsi="Times New Roman" w:cs="Times New Roman"/>
              </w:rPr>
            </w:pPr>
            <w:r w:rsidRPr="005652BF">
              <w:rPr>
                <w:rFonts w:ascii="Times New Roman" w:hAnsi="Times New Roman" w:cs="Times New Roman"/>
              </w:rPr>
              <w:t>Regional Offices are leading work on the implementation of the “common chapter” adopted in each of the respective Strategic Plans.</w:t>
            </w:r>
          </w:p>
          <w:p w14:paraId="383C66FC" w14:textId="5EE20895" w:rsidR="00201B01" w:rsidRPr="005652BF" w:rsidRDefault="00DB5131" w:rsidP="00215935">
            <w:pPr>
              <w:pStyle w:val="ListParagraph"/>
              <w:numPr>
                <w:ilvl w:val="1"/>
                <w:numId w:val="7"/>
              </w:numPr>
              <w:ind w:left="720"/>
              <w:jc w:val="both"/>
              <w:rPr>
                <w:rFonts w:ascii="Times New Roman" w:hAnsi="Times New Roman" w:cs="Times New Roman"/>
              </w:rPr>
            </w:pPr>
            <w:r w:rsidRPr="005652BF">
              <w:rPr>
                <w:rFonts w:ascii="Times New Roman" w:hAnsi="Times New Roman" w:cs="Times New Roman"/>
              </w:rPr>
              <w:lastRenderedPageBreak/>
              <w:t xml:space="preserve">The Secretaries of the Executive Boards meet at least bi-monthly in an attempt to harmonize the calendar of informal briefings, session agendas and other common tasks as much as possible, such as the planning of the annual Joint Field Visit and Joint Meeting of the Boards, as well as exchange of views on thematic areas and efficient Board practices. </w:t>
            </w:r>
          </w:p>
          <w:p w14:paraId="561422D4" w14:textId="77777777" w:rsidR="0021081B" w:rsidRPr="005652BF" w:rsidRDefault="0021081B" w:rsidP="00215935">
            <w:pPr>
              <w:numPr>
                <w:ilvl w:val="0"/>
                <w:numId w:val="25"/>
              </w:numPr>
              <w:ind w:left="720"/>
              <w:jc w:val="both"/>
              <w:rPr>
                <w:rFonts w:ascii="Times New Roman" w:hAnsi="Times New Roman" w:cs="Times New Roman"/>
              </w:rPr>
            </w:pPr>
            <w:r w:rsidRPr="005652BF">
              <w:rPr>
                <w:rFonts w:ascii="Times New Roman" w:hAnsi="Times New Roman" w:cs="Times New Roman"/>
              </w:rPr>
              <w:t>An analysis of common agenda items across the agencies, across all sessions of the Boards, with a view to review coherence, harmonization, and strengthen coordination on relevant issues.</w:t>
            </w:r>
          </w:p>
          <w:p w14:paraId="5D890871" w14:textId="77777777" w:rsidR="0021081B" w:rsidRPr="005652BF" w:rsidRDefault="0021081B" w:rsidP="00215935">
            <w:pPr>
              <w:numPr>
                <w:ilvl w:val="0"/>
                <w:numId w:val="25"/>
              </w:numPr>
              <w:ind w:left="720"/>
              <w:jc w:val="both"/>
              <w:rPr>
                <w:rFonts w:ascii="Times New Roman" w:hAnsi="Times New Roman" w:cs="Times New Roman"/>
              </w:rPr>
            </w:pPr>
            <w:r w:rsidRPr="005652BF">
              <w:rPr>
                <w:rFonts w:ascii="Times New Roman" w:hAnsi="Times New Roman" w:cs="Times New Roman"/>
              </w:rPr>
              <w:t xml:space="preserve">Production of a </w:t>
            </w:r>
            <w:hyperlink r:id="rId17" w:history="1">
              <w:r w:rsidRPr="005652BF">
                <w:rPr>
                  <w:rFonts w:ascii="Times New Roman" w:hAnsi="Times New Roman" w:cs="Times New Roman"/>
                </w:rPr>
                <w:t>joint online calendar</w:t>
              </w:r>
            </w:hyperlink>
            <w:r w:rsidRPr="005652BF">
              <w:rPr>
                <w:rFonts w:ascii="Times New Roman" w:hAnsi="Times New Roman" w:cs="Times New Roman"/>
              </w:rPr>
              <w:t xml:space="preserve"> for the NY-based funds and programmes, updated in real-time, allowing Member States to see all the informal and formal meetings of the Executive Boards at a glance for easy planning of their own schedules and knowledge of issues being discussed across Boards.</w:t>
            </w:r>
          </w:p>
          <w:p w14:paraId="6D15AEB7" w14:textId="77777777" w:rsidR="0021081B" w:rsidRPr="005652BF" w:rsidRDefault="0021081B" w:rsidP="00215935">
            <w:pPr>
              <w:numPr>
                <w:ilvl w:val="0"/>
                <w:numId w:val="25"/>
              </w:numPr>
              <w:ind w:left="720"/>
              <w:jc w:val="both"/>
              <w:rPr>
                <w:rFonts w:ascii="Times New Roman" w:hAnsi="Times New Roman" w:cs="Times New Roman"/>
              </w:rPr>
            </w:pPr>
            <w:r w:rsidRPr="005652BF">
              <w:rPr>
                <w:rFonts w:ascii="Times New Roman" w:hAnsi="Times New Roman" w:cs="Times New Roman"/>
              </w:rPr>
              <w:t>A calendar of informal consultations on decisions is being instituted with most of the Boards for more organized information sharing on negotiations.</w:t>
            </w:r>
          </w:p>
          <w:p w14:paraId="73DC903F" w14:textId="77777777" w:rsidR="0021081B" w:rsidRPr="005652BF" w:rsidRDefault="0021081B" w:rsidP="00215935">
            <w:pPr>
              <w:numPr>
                <w:ilvl w:val="0"/>
                <w:numId w:val="25"/>
              </w:numPr>
              <w:ind w:left="720"/>
              <w:jc w:val="both"/>
              <w:rPr>
                <w:rFonts w:ascii="Times New Roman" w:hAnsi="Times New Roman" w:cs="Times New Roman"/>
              </w:rPr>
            </w:pPr>
            <w:r w:rsidRPr="005652BF">
              <w:rPr>
                <w:rFonts w:ascii="Times New Roman" w:hAnsi="Times New Roman" w:cs="Times New Roman"/>
              </w:rPr>
              <w:t>Distribution of draft decision texts is taking place at least two weeks before each session across most of the Boards.</w:t>
            </w:r>
          </w:p>
          <w:p w14:paraId="6F96C522" w14:textId="51ED3EFF" w:rsidR="00DB5131" w:rsidRPr="005652BF" w:rsidRDefault="0021081B" w:rsidP="00215935">
            <w:pPr>
              <w:numPr>
                <w:ilvl w:val="0"/>
                <w:numId w:val="25"/>
              </w:numPr>
              <w:ind w:left="720"/>
              <w:jc w:val="both"/>
              <w:rPr>
                <w:rFonts w:ascii="Times New Roman" w:hAnsi="Times New Roman" w:cs="Times New Roman"/>
              </w:rPr>
            </w:pPr>
            <w:r w:rsidRPr="005652BF">
              <w:rPr>
                <w:rFonts w:ascii="Times New Roman" w:hAnsi="Times New Roman" w:cs="Times New Roman"/>
              </w:rPr>
              <w:t>Number of field visits has been reduced in the UNICEF Board from 3 to 2 per year, so now the UNDP/UNFPA/UNOPS, UNICEF, UN Women, and WFP</w:t>
            </w:r>
            <w:r w:rsidR="001358AC" w:rsidRPr="005652BF">
              <w:rPr>
                <w:rFonts w:ascii="Times New Roman" w:hAnsi="Times New Roman" w:cs="Times New Roman"/>
              </w:rPr>
              <w:t xml:space="preserve"> </w:t>
            </w:r>
            <w:r w:rsidRPr="005652BF">
              <w:rPr>
                <w:rFonts w:ascii="Times New Roman" w:hAnsi="Times New Roman" w:cs="Times New Roman"/>
              </w:rPr>
              <w:t xml:space="preserve">the </w:t>
            </w:r>
            <w:r w:rsidR="00215935" w:rsidRPr="005652BF">
              <w:rPr>
                <w:rFonts w:ascii="Times New Roman" w:hAnsi="Times New Roman" w:cs="Times New Roman"/>
              </w:rPr>
              <w:t>Boards have</w:t>
            </w:r>
            <w:r w:rsidRPr="005652BF">
              <w:rPr>
                <w:rFonts w:ascii="Times New Roman" w:hAnsi="Times New Roman" w:cs="Times New Roman"/>
              </w:rPr>
              <w:t xml:space="preserve"> no more than 1 Board and 1 joint </w:t>
            </w:r>
            <w:r w:rsidR="00215935" w:rsidRPr="005652BF">
              <w:rPr>
                <w:rFonts w:ascii="Times New Roman" w:hAnsi="Times New Roman" w:cs="Times New Roman"/>
              </w:rPr>
              <w:t>field visit</w:t>
            </w:r>
            <w:r w:rsidRPr="005652BF">
              <w:rPr>
                <w:rFonts w:ascii="Times New Roman" w:hAnsi="Times New Roman" w:cs="Times New Roman"/>
              </w:rPr>
              <w:t xml:space="preserve"> each year.</w:t>
            </w:r>
          </w:p>
          <w:p w14:paraId="06159A1F" w14:textId="77777777" w:rsidR="002E1C94" w:rsidRPr="00996C98" w:rsidRDefault="002E1C94" w:rsidP="004A5692">
            <w:pPr>
              <w:pStyle w:val="ListParagraph"/>
              <w:ind w:left="360"/>
              <w:rPr>
                <w:rFonts w:ascii="Times New Roman" w:hAnsi="Times New Roman" w:cs="Times New Roman"/>
                <w:b/>
              </w:rPr>
            </w:pPr>
          </w:p>
        </w:tc>
      </w:tr>
      <w:tr w:rsidR="00B67445" w:rsidRPr="00996C98" w14:paraId="0FF85B7F" w14:textId="77777777" w:rsidTr="009D4CB8">
        <w:tc>
          <w:tcPr>
            <w:tcW w:w="13680" w:type="dxa"/>
            <w:gridSpan w:val="2"/>
            <w:shd w:val="clear" w:color="auto" w:fill="E7E6E6" w:themeFill="background2"/>
          </w:tcPr>
          <w:p w14:paraId="25502DC3" w14:textId="77777777" w:rsidR="00B67445" w:rsidRPr="00996C98" w:rsidRDefault="00B67445" w:rsidP="00B67445">
            <w:pPr>
              <w:pStyle w:val="ListParagraph"/>
              <w:numPr>
                <w:ilvl w:val="0"/>
                <w:numId w:val="10"/>
              </w:numPr>
              <w:rPr>
                <w:rFonts w:ascii="Times New Roman" w:hAnsi="Times New Roman" w:cs="Times New Roman"/>
                <w:b/>
              </w:rPr>
            </w:pPr>
            <w:r w:rsidRPr="00996C98">
              <w:rPr>
                <w:rFonts w:ascii="Times New Roman" w:hAnsi="Times New Roman" w:cs="Times New Roman"/>
                <w:b/>
              </w:rPr>
              <w:lastRenderedPageBreak/>
              <w:t>Improving the functioning of the UNDS</w:t>
            </w:r>
          </w:p>
        </w:tc>
      </w:tr>
      <w:tr w:rsidR="002E1C94" w:rsidRPr="00996C98" w14:paraId="5A2D9A33" w14:textId="77777777" w:rsidTr="009D4CB8">
        <w:tc>
          <w:tcPr>
            <w:tcW w:w="4230" w:type="dxa"/>
          </w:tcPr>
          <w:p w14:paraId="45DADFD1" w14:textId="77777777" w:rsidR="002E1C94" w:rsidRPr="00996C98" w:rsidRDefault="002E1C94" w:rsidP="00C5643B">
            <w:pPr>
              <w:rPr>
                <w:rFonts w:ascii="Times New Roman" w:hAnsi="Times New Roman" w:cs="Times New Roman"/>
                <w:lang w:val="en-GB"/>
              </w:rPr>
            </w:pPr>
            <w:r w:rsidRPr="00996C98">
              <w:rPr>
                <w:rFonts w:ascii="Times New Roman" w:hAnsi="Times New Roman" w:cs="Times New Roman"/>
                <w:lang w:val="en-GB"/>
              </w:rPr>
              <w:t>QCPR mandates (OP47-75)</w:t>
            </w:r>
          </w:p>
        </w:tc>
        <w:tc>
          <w:tcPr>
            <w:tcW w:w="9450" w:type="dxa"/>
          </w:tcPr>
          <w:p w14:paraId="78C9361B" w14:textId="77777777" w:rsidR="002E1C94" w:rsidRPr="00996C98" w:rsidRDefault="002E1C94" w:rsidP="00C5643B">
            <w:pPr>
              <w:rPr>
                <w:rFonts w:ascii="Times New Roman" w:hAnsi="Times New Roman" w:cs="Times New Roman"/>
              </w:rPr>
            </w:pPr>
            <w:r w:rsidRPr="00996C98">
              <w:rPr>
                <w:rFonts w:ascii="Times New Roman" w:hAnsi="Times New Roman" w:cs="Times New Roman"/>
              </w:rPr>
              <w:t>Progress</w:t>
            </w:r>
          </w:p>
        </w:tc>
      </w:tr>
      <w:tr w:rsidR="002E1C94" w:rsidRPr="00996C98" w14:paraId="3D04C027" w14:textId="77777777" w:rsidTr="009D4CB8">
        <w:tc>
          <w:tcPr>
            <w:tcW w:w="4230" w:type="dxa"/>
          </w:tcPr>
          <w:p w14:paraId="2281820D" w14:textId="77777777" w:rsidR="002E1C94" w:rsidRPr="00996C98" w:rsidRDefault="002E1C94" w:rsidP="00C5643B">
            <w:pPr>
              <w:rPr>
                <w:rFonts w:ascii="Times New Roman" w:hAnsi="Times New Roman" w:cs="Times New Roman"/>
                <w:lang w:val="en-GB"/>
              </w:rPr>
            </w:pPr>
            <w:r w:rsidRPr="00996C98">
              <w:rPr>
                <w:rFonts w:ascii="Times New Roman" w:hAnsi="Times New Roman" w:cs="Times New Roman"/>
                <w:i/>
                <w:lang w:val="en-GB"/>
              </w:rPr>
              <w:t>Recognizes</w:t>
            </w:r>
            <w:r w:rsidRPr="00996C98">
              <w:rPr>
                <w:rFonts w:ascii="Times New Roman" w:hAnsi="Times New Roman" w:cs="Times New Roman"/>
                <w:lang w:val="en-GB"/>
              </w:rPr>
              <w:t xml:space="preserve"> that the presence of the entities of the United Nations development system at the country level should be tailored to meet the specific challenges and needs of programme countries, and requests UNCTs to (OP50) </w:t>
            </w:r>
          </w:p>
          <w:p w14:paraId="5D66F94C" w14:textId="77777777" w:rsidR="002E1C94" w:rsidRPr="00996C98" w:rsidRDefault="002E1C94" w:rsidP="002E1C94">
            <w:pPr>
              <w:pStyle w:val="ListParagraph"/>
              <w:numPr>
                <w:ilvl w:val="0"/>
                <w:numId w:val="8"/>
              </w:numPr>
              <w:rPr>
                <w:rFonts w:ascii="Times New Roman" w:hAnsi="Times New Roman" w:cs="Times New Roman"/>
                <w:i/>
                <w:lang w:val="en-GB"/>
              </w:rPr>
            </w:pPr>
            <w:r w:rsidRPr="00996C98">
              <w:rPr>
                <w:rFonts w:ascii="Times New Roman" w:hAnsi="Times New Roman" w:cs="Times New Roman"/>
                <w:i/>
                <w:lang w:val="en-GB"/>
              </w:rPr>
              <w:t>strengthen the use of the United Nations Development Assistance Framework (UNDAF)</w:t>
            </w:r>
            <w:r w:rsidRPr="00996C98">
              <w:rPr>
                <w:rFonts w:ascii="Times New Roman" w:hAnsi="Times New Roman" w:cs="Times New Roman"/>
                <w:lang w:val="en-GB"/>
              </w:rPr>
              <w:t xml:space="preserve"> or equivalent (OP50a)</w:t>
            </w:r>
          </w:p>
          <w:p w14:paraId="5276CAE0" w14:textId="77777777" w:rsidR="002E1C94" w:rsidRPr="00996C98" w:rsidRDefault="002E1C94" w:rsidP="002E1C94">
            <w:pPr>
              <w:pStyle w:val="ListParagraph"/>
              <w:numPr>
                <w:ilvl w:val="0"/>
                <w:numId w:val="8"/>
              </w:numPr>
              <w:rPr>
                <w:rFonts w:ascii="Times New Roman" w:hAnsi="Times New Roman" w:cs="Times New Roman"/>
                <w:i/>
                <w:lang w:val="en-GB"/>
              </w:rPr>
            </w:pPr>
            <w:r w:rsidRPr="00996C98">
              <w:rPr>
                <w:rFonts w:ascii="Times New Roman" w:hAnsi="Times New Roman" w:cs="Times New Roman"/>
                <w:i/>
                <w:lang w:val="en-GB"/>
              </w:rPr>
              <w:t xml:space="preserve">improve the focus on results, including common results, and the division of labour and enhance the inter-agency approach </w:t>
            </w:r>
            <w:r w:rsidRPr="00996C98">
              <w:rPr>
                <w:rFonts w:ascii="Times New Roman" w:hAnsi="Times New Roman" w:cs="Times New Roman"/>
                <w:lang w:val="en-GB"/>
              </w:rPr>
              <w:t>within the UNDS at the country level (OP50b)</w:t>
            </w:r>
          </w:p>
          <w:p w14:paraId="3251CD4A" w14:textId="77777777" w:rsidR="002E1C94" w:rsidRPr="00996C98" w:rsidRDefault="002E1C94" w:rsidP="002E1C94">
            <w:pPr>
              <w:pStyle w:val="ListParagraph"/>
              <w:numPr>
                <w:ilvl w:val="0"/>
                <w:numId w:val="8"/>
              </w:numPr>
              <w:rPr>
                <w:rFonts w:ascii="Times New Roman" w:hAnsi="Times New Roman" w:cs="Times New Roman"/>
                <w:lang w:val="en-GB"/>
              </w:rPr>
            </w:pPr>
            <w:r w:rsidRPr="00996C98">
              <w:rPr>
                <w:rFonts w:ascii="Times New Roman" w:hAnsi="Times New Roman" w:cs="Times New Roman"/>
                <w:lang w:val="en-GB"/>
              </w:rPr>
              <w:t>use the common UNDAF guidance, and, where appropriate, the standard procedures of the UNDG and the business operations strategies (OP50d)</w:t>
            </w:r>
          </w:p>
          <w:p w14:paraId="073D6887" w14:textId="77777777" w:rsidR="002E1C94" w:rsidRPr="00996C98" w:rsidRDefault="002E1C94" w:rsidP="00C5643B">
            <w:pPr>
              <w:rPr>
                <w:rFonts w:ascii="Times New Roman" w:hAnsi="Times New Roman" w:cs="Times New Roman"/>
                <w:i/>
                <w:lang w:val="en-GB"/>
              </w:rPr>
            </w:pPr>
          </w:p>
          <w:p w14:paraId="59DFB1F2" w14:textId="77777777" w:rsidR="002E1C94" w:rsidRPr="00996C98" w:rsidRDefault="002E1C94" w:rsidP="00C5643B">
            <w:pPr>
              <w:rPr>
                <w:rFonts w:ascii="Times New Roman" w:hAnsi="Times New Roman" w:cs="Times New Roman"/>
                <w:color w:val="FF0000"/>
                <w:lang w:val="en-GB"/>
              </w:rPr>
            </w:pPr>
            <w:r w:rsidRPr="00996C98">
              <w:rPr>
                <w:rFonts w:ascii="Times New Roman" w:hAnsi="Times New Roman" w:cs="Times New Roman"/>
                <w:i/>
                <w:lang w:val="en-GB"/>
              </w:rPr>
              <w:lastRenderedPageBreak/>
              <w:t>Stresses</w:t>
            </w:r>
            <w:r w:rsidRPr="00996C98">
              <w:rPr>
                <w:rFonts w:ascii="Times New Roman" w:hAnsi="Times New Roman" w:cs="Times New Roman"/>
                <w:lang w:val="en-GB"/>
              </w:rPr>
              <w:t xml:space="preserve"> the importance of improving the efficiency and effectiveness of the resident coordinator system (OP 57) </w:t>
            </w:r>
          </w:p>
          <w:p w14:paraId="75BA85E0" w14:textId="77777777" w:rsidR="002E1C94" w:rsidRPr="00996C98" w:rsidRDefault="002E1C94" w:rsidP="002E1C94">
            <w:pPr>
              <w:pStyle w:val="ListParagraph"/>
              <w:numPr>
                <w:ilvl w:val="0"/>
                <w:numId w:val="9"/>
              </w:numPr>
              <w:rPr>
                <w:rFonts w:ascii="Times New Roman" w:hAnsi="Times New Roman" w:cs="Times New Roman"/>
                <w:i/>
                <w:lang w:val="en-GB"/>
              </w:rPr>
            </w:pPr>
            <w:r w:rsidRPr="00996C98">
              <w:rPr>
                <w:rFonts w:ascii="Times New Roman" w:hAnsi="Times New Roman" w:cs="Times New Roman"/>
                <w:lang w:val="en-GB"/>
              </w:rPr>
              <w:t xml:space="preserve">ensure that the UNDS at the country level </w:t>
            </w:r>
            <w:r w:rsidRPr="00996C98">
              <w:rPr>
                <w:rFonts w:ascii="Times New Roman" w:hAnsi="Times New Roman" w:cs="Times New Roman"/>
                <w:i/>
                <w:lang w:val="en-GB"/>
              </w:rPr>
              <w:t>periodically provide the resident coordinator with sufficient information on their activities in the field</w:t>
            </w:r>
            <w:r w:rsidRPr="00996C98">
              <w:rPr>
                <w:rFonts w:ascii="Times New Roman" w:hAnsi="Times New Roman" w:cs="Times New Roman"/>
                <w:lang w:val="en-GB"/>
              </w:rPr>
              <w:t xml:space="preserve"> (OP57b)</w:t>
            </w:r>
          </w:p>
          <w:p w14:paraId="0FAED0F9" w14:textId="77777777" w:rsidR="002E1C94" w:rsidRPr="00996C98" w:rsidRDefault="002E1C94" w:rsidP="002E1C94">
            <w:pPr>
              <w:pStyle w:val="ListParagraph"/>
              <w:numPr>
                <w:ilvl w:val="0"/>
                <w:numId w:val="9"/>
              </w:numPr>
              <w:rPr>
                <w:rFonts w:ascii="Times New Roman" w:hAnsi="Times New Roman" w:cs="Times New Roman"/>
                <w:i/>
                <w:lang w:val="en-GB"/>
              </w:rPr>
            </w:pPr>
            <w:r w:rsidRPr="00996C98">
              <w:rPr>
                <w:rFonts w:ascii="Times New Roman" w:hAnsi="Times New Roman" w:cs="Times New Roman"/>
                <w:lang w:val="en-GB"/>
              </w:rPr>
              <w:t xml:space="preserve">ensure the full implementation of the management and accountability </w:t>
            </w:r>
            <w:r w:rsidRPr="00996C98">
              <w:rPr>
                <w:rFonts w:ascii="Times New Roman" w:hAnsi="Times New Roman" w:cs="Times New Roman"/>
                <w:spacing w:val="2"/>
                <w:lang w:val="en-GB"/>
              </w:rPr>
              <w:t>system of the United Nations development and resident coordinator system (OP57c)</w:t>
            </w:r>
          </w:p>
          <w:p w14:paraId="409397D4" w14:textId="77777777" w:rsidR="002E1C94" w:rsidRPr="00996C98" w:rsidRDefault="002E1C94" w:rsidP="00C5643B">
            <w:pPr>
              <w:pStyle w:val="ListParagraph"/>
              <w:rPr>
                <w:rFonts w:ascii="Times New Roman" w:hAnsi="Times New Roman" w:cs="Times New Roman"/>
                <w:i/>
                <w:lang w:val="en-GB"/>
              </w:rPr>
            </w:pPr>
          </w:p>
          <w:p w14:paraId="793482C5" w14:textId="77777777" w:rsidR="002E1C94" w:rsidRPr="00996C98" w:rsidRDefault="002E1C94" w:rsidP="00C5643B">
            <w:pPr>
              <w:rPr>
                <w:rFonts w:ascii="Times New Roman" w:hAnsi="Times New Roman" w:cs="Times New Roman"/>
                <w:i/>
                <w:lang w:val="en-GB"/>
              </w:rPr>
            </w:pPr>
            <w:r w:rsidRPr="00996C98">
              <w:rPr>
                <w:rFonts w:ascii="Times New Roman" w:hAnsi="Times New Roman" w:cs="Times New Roman"/>
                <w:lang w:val="en-GB"/>
              </w:rPr>
              <w:t xml:space="preserve">Requests the United Nations development system in that regard </w:t>
            </w:r>
            <w:r w:rsidRPr="00996C98">
              <w:rPr>
                <w:rFonts w:ascii="Times New Roman" w:hAnsi="Times New Roman" w:cs="Times New Roman"/>
                <w:i/>
                <w:lang w:val="en-GB"/>
              </w:rPr>
              <w:t>to adopt flexible, cost-effective and collaborative models</w:t>
            </w:r>
            <w:r w:rsidRPr="00996C98">
              <w:rPr>
                <w:rFonts w:ascii="Times New Roman" w:hAnsi="Times New Roman" w:cs="Times New Roman"/>
                <w:lang w:val="en-GB"/>
              </w:rPr>
              <w:t xml:space="preserve"> for its field presence, as appropriate (OP68) </w:t>
            </w:r>
          </w:p>
          <w:p w14:paraId="6E89A8D7" w14:textId="77777777" w:rsidR="002E1C94" w:rsidRPr="00996C98" w:rsidRDefault="002E1C94" w:rsidP="00C5643B">
            <w:pPr>
              <w:rPr>
                <w:rFonts w:ascii="Times New Roman" w:hAnsi="Times New Roman" w:cs="Times New Roman"/>
                <w:i/>
                <w:lang w:val="en-GB"/>
              </w:rPr>
            </w:pPr>
          </w:p>
          <w:p w14:paraId="321F21E3" w14:textId="77777777" w:rsidR="002E1C94" w:rsidRPr="00996C98" w:rsidRDefault="002E1C94" w:rsidP="00C5643B">
            <w:pPr>
              <w:rPr>
                <w:rFonts w:ascii="Times New Roman" w:hAnsi="Times New Roman" w:cs="Times New Roman"/>
                <w:lang w:val="en-GB"/>
              </w:rPr>
            </w:pPr>
            <w:r w:rsidRPr="00996C98">
              <w:rPr>
                <w:rFonts w:ascii="Times New Roman" w:hAnsi="Times New Roman" w:cs="Times New Roman"/>
                <w:i/>
                <w:lang w:val="en-GB"/>
              </w:rPr>
              <w:t>Calls upon</w:t>
            </w:r>
            <w:r w:rsidRPr="00996C98">
              <w:rPr>
                <w:rFonts w:ascii="Times New Roman" w:hAnsi="Times New Roman" w:cs="Times New Roman"/>
                <w:lang w:val="en-GB"/>
              </w:rPr>
              <w:t xml:space="preserve"> the UNDS to introduce or </w:t>
            </w:r>
            <w:r w:rsidRPr="00996C98">
              <w:rPr>
                <w:rFonts w:ascii="Times New Roman" w:hAnsi="Times New Roman" w:cs="Times New Roman"/>
                <w:i/>
                <w:lang w:val="en-GB"/>
              </w:rPr>
              <w:t>strengthen knowledge management strategies and policies</w:t>
            </w:r>
            <w:r w:rsidRPr="00996C98">
              <w:rPr>
                <w:rFonts w:ascii="Times New Roman" w:hAnsi="Times New Roman" w:cs="Times New Roman"/>
                <w:lang w:val="en-GB"/>
              </w:rPr>
              <w:t xml:space="preserve"> (OP70)</w:t>
            </w:r>
          </w:p>
          <w:p w14:paraId="6F63DCF3" w14:textId="77777777" w:rsidR="002E1C94" w:rsidRPr="00996C98" w:rsidRDefault="002E1C94" w:rsidP="00C5643B">
            <w:pPr>
              <w:rPr>
                <w:rFonts w:ascii="Times New Roman" w:hAnsi="Times New Roman" w:cs="Times New Roman"/>
                <w:lang w:val="en-GB"/>
              </w:rPr>
            </w:pPr>
          </w:p>
          <w:p w14:paraId="65204E29" w14:textId="77777777" w:rsidR="002E1C94" w:rsidRPr="00996C98" w:rsidRDefault="002E1C94" w:rsidP="00C5643B">
            <w:pPr>
              <w:rPr>
                <w:rFonts w:ascii="Times New Roman" w:hAnsi="Times New Roman" w:cs="Times New Roman"/>
                <w:lang w:val="en-GB"/>
              </w:rPr>
            </w:pPr>
            <w:r w:rsidRPr="00996C98">
              <w:rPr>
                <w:rFonts w:ascii="Times New Roman" w:hAnsi="Times New Roman" w:cs="Times New Roman"/>
                <w:i/>
                <w:lang w:val="en-GB"/>
              </w:rPr>
              <w:t>Calls</w:t>
            </w:r>
            <w:r w:rsidRPr="00996C98">
              <w:rPr>
                <w:rFonts w:ascii="Times New Roman" w:hAnsi="Times New Roman" w:cs="Times New Roman"/>
                <w:lang w:val="en-GB"/>
              </w:rPr>
              <w:t xml:space="preserve"> </w:t>
            </w:r>
            <w:r w:rsidRPr="00996C98">
              <w:rPr>
                <w:rFonts w:ascii="Times New Roman" w:hAnsi="Times New Roman" w:cs="Times New Roman"/>
                <w:i/>
                <w:lang w:val="en-GB"/>
              </w:rPr>
              <w:t>for</w:t>
            </w:r>
            <w:r w:rsidRPr="00996C98">
              <w:rPr>
                <w:rFonts w:ascii="Times New Roman" w:hAnsi="Times New Roman" w:cs="Times New Roman"/>
                <w:lang w:val="en-GB"/>
              </w:rPr>
              <w:t xml:space="preserve"> greater efforts in this regard by the entities of the UNDS at both the country level and globally </w:t>
            </w:r>
            <w:r w:rsidRPr="00996C98">
              <w:rPr>
                <w:rFonts w:ascii="Times New Roman" w:hAnsi="Times New Roman" w:cs="Times New Roman"/>
                <w:i/>
                <w:lang w:val="en-GB"/>
              </w:rPr>
              <w:t>to share data and develop joint needs assessments and planning frameworks based on joint analysis and comparative advantage</w:t>
            </w:r>
            <w:r w:rsidRPr="00996C98">
              <w:rPr>
                <w:rFonts w:ascii="Times New Roman" w:hAnsi="Times New Roman" w:cs="Times New Roman"/>
                <w:lang w:val="en-GB"/>
              </w:rPr>
              <w:t>s (OP71)</w:t>
            </w:r>
          </w:p>
          <w:p w14:paraId="23636CB6" w14:textId="77777777" w:rsidR="002E1C94" w:rsidRPr="00996C98" w:rsidRDefault="002E1C94" w:rsidP="00C5643B">
            <w:pPr>
              <w:rPr>
                <w:rFonts w:ascii="Times New Roman" w:hAnsi="Times New Roman" w:cs="Times New Roman"/>
                <w:lang w:val="en-GB"/>
              </w:rPr>
            </w:pPr>
          </w:p>
          <w:p w14:paraId="384E5896" w14:textId="77777777" w:rsidR="002E1C94" w:rsidRPr="00996C98" w:rsidRDefault="002E1C94" w:rsidP="00C5643B">
            <w:pPr>
              <w:rPr>
                <w:rFonts w:ascii="Times New Roman" w:hAnsi="Times New Roman" w:cs="Times New Roman"/>
                <w:lang w:val="en-GB"/>
              </w:rPr>
            </w:pPr>
            <w:r w:rsidRPr="00996C98">
              <w:rPr>
                <w:rFonts w:ascii="Times New Roman" w:hAnsi="Times New Roman" w:cs="Times New Roman"/>
                <w:i/>
                <w:lang w:val="en-GB"/>
              </w:rPr>
              <w:t>Stresses</w:t>
            </w:r>
            <w:r w:rsidRPr="00996C98">
              <w:rPr>
                <w:rFonts w:ascii="Times New Roman" w:hAnsi="Times New Roman" w:cs="Times New Roman"/>
                <w:lang w:val="en-GB"/>
              </w:rPr>
              <w:t xml:space="preserve"> the need to ensure </w:t>
            </w:r>
            <w:r w:rsidRPr="00996C98">
              <w:rPr>
                <w:rFonts w:ascii="Times New Roman" w:hAnsi="Times New Roman" w:cs="Times New Roman"/>
                <w:i/>
                <w:lang w:val="en-GB"/>
              </w:rPr>
              <w:t xml:space="preserve">equal and fair distribution based on gender balance </w:t>
            </w:r>
            <w:r w:rsidRPr="00996C98">
              <w:rPr>
                <w:rFonts w:ascii="Times New Roman" w:hAnsi="Times New Roman" w:cs="Times New Roman"/>
                <w:lang w:val="en-GB"/>
              </w:rPr>
              <w:t>and on as wide a geographical basis as possible (OP72)</w:t>
            </w:r>
          </w:p>
          <w:p w14:paraId="30A93D7F" w14:textId="77777777" w:rsidR="002E1C94" w:rsidRPr="00996C98" w:rsidRDefault="002E1C94" w:rsidP="00C5643B">
            <w:pPr>
              <w:rPr>
                <w:rFonts w:ascii="Times New Roman" w:hAnsi="Times New Roman" w:cs="Times New Roman"/>
                <w:lang w:val="en-GB"/>
              </w:rPr>
            </w:pPr>
          </w:p>
          <w:p w14:paraId="67A90428" w14:textId="77777777" w:rsidR="002E1C94" w:rsidRPr="00996C98" w:rsidRDefault="002E1C94" w:rsidP="00C5643B">
            <w:pPr>
              <w:rPr>
                <w:rFonts w:ascii="Times New Roman" w:hAnsi="Times New Roman" w:cs="Times New Roman"/>
                <w:i/>
                <w:lang w:val="en-GB"/>
              </w:rPr>
            </w:pPr>
            <w:r w:rsidRPr="00996C98">
              <w:rPr>
                <w:rFonts w:ascii="Times New Roman" w:hAnsi="Times New Roman" w:cs="Times New Roman"/>
                <w:i/>
                <w:lang w:val="en-GB"/>
              </w:rPr>
              <w:t>Urges</w:t>
            </w:r>
            <w:r w:rsidRPr="00996C98">
              <w:rPr>
                <w:rFonts w:ascii="Times New Roman" w:hAnsi="Times New Roman" w:cs="Times New Roman"/>
                <w:lang w:val="en-GB"/>
              </w:rPr>
              <w:t xml:space="preserve"> the UNDS to align its staff capacities to support the implementation of the 2030 Agenda, including by </w:t>
            </w:r>
            <w:r w:rsidRPr="00996C98">
              <w:rPr>
                <w:rFonts w:ascii="Times New Roman" w:hAnsi="Times New Roman" w:cs="Times New Roman"/>
                <w:i/>
                <w:lang w:val="en-GB"/>
              </w:rPr>
              <w:t>building transformative and empowered leadership, repositioning staff capacities, and promoting inter-agency mobility</w:t>
            </w:r>
            <w:r w:rsidRPr="00996C98">
              <w:rPr>
                <w:rFonts w:ascii="Times New Roman" w:hAnsi="Times New Roman" w:cs="Times New Roman"/>
                <w:lang w:val="en-GB"/>
              </w:rPr>
              <w:t xml:space="preserve"> and </w:t>
            </w:r>
            <w:r w:rsidRPr="00996C98">
              <w:rPr>
                <w:rFonts w:ascii="Times New Roman" w:hAnsi="Times New Roman" w:cs="Times New Roman"/>
                <w:i/>
                <w:lang w:val="en-GB"/>
              </w:rPr>
              <w:t>facilitating a mobile and flexible global workforce</w:t>
            </w:r>
            <w:r w:rsidRPr="00996C98">
              <w:rPr>
                <w:rFonts w:ascii="Times New Roman" w:hAnsi="Times New Roman" w:cs="Times New Roman"/>
                <w:lang w:val="en-GB"/>
              </w:rPr>
              <w:t xml:space="preserve"> (OP74)</w:t>
            </w:r>
          </w:p>
          <w:p w14:paraId="5A115642" w14:textId="77777777" w:rsidR="002E1C94" w:rsidRPr="00996C98" w:rsidRDefault="002E1C94" w:rsidP="00C5643B">
            <w:pPr>
              <w:rPr>
                <w:rFonts w:ascii="Times New Roman" w:hAnsi="Times New Roman" w:cs="Times New Roman"/>
                <w:i/>
                <w:lang w:val="en-GB"/>
              </w:rPr>
            </w:pPr>
          </w:p>
        </w:tc>
        <w:tc>
          <w:tcPr>
            <w:tcW w:w="9450" w:type="dxa"/>
          </w:tcPr>
          <w:p w14:paraId="6627191C" w14:textId="77777777" w:rsidR="00CB74C9" w:rsidRPr="00996C98" w:rsidRDefault="00960367" w:rsidP="00F3318F">
            <w:pPr>
              <w:numPr>
                <w:ilvl w:val="0"/>
                <w:numId w:val="16"/>
              </w:numPr>
              <w:jc w:val="both"/>
              <w:rPr>
                <w:rFonts w:ascii="Times New Roman" w:eastAsia="Times New Roman" w:hAnsi="Times New Roman" w:cs="Times New Roman"/>
              </w:rPr>
            </w:pPr>
            <w:r w:rsidRPr="00215935">
              <w:rPr>
                <w:rFonts w:ascii="Times New Roman" w:eastAsia="Times New Roman" w:hAnsi="Times New Roman" w:cs="Times New Roman"/>
                <w:b/>
                <w:color w:val="000000" w:themeColor="text1"/>
              </w:rPr>
              <w:lastRenderedPageBreak/>
              <w:t>(OP50a)</w:t>
            </w:r>
            <w:r w:rsidRPr="00215935">
              <w:rPr>
                <w:rFonts w:ascii="Times New Roman" w:eastAsia="Times New Roman" w:hAnsi="Times New Roman" w:cs="Times New Roman"/>
                <w:color w:val="000000" w:themeColor="text1"/>
              </w:rPr>
              <w:t xml:space="preserve"> </w:t>
            </w:r>
            <w:r w:rsidR="001337ED" w:rsidRPr="005C63C1">
              <w:rPr>
                <w:rFonts w:ascii="Times New Roman" w:eastAsia="Times New Roman" w:hAnsi="Times New Roman" w:cs="Times New Roman"/>
              </w:rPr>
              <w:t>UNDP revised its prescriptive content on programming from end-to-end in 2018. The re-write strengthened the use of the UNDAF and provided clear guidance for different types of physical presence, including multi-country offices, project offices, and special development situations. The focus on contributing to a high quality UNDAF has been strengthened, including UNDP’s contribution to a quality theory of change for the UNDAF. UNDP is actively involved in the revision of the UNDAF guidance to meet the QCPR ambition.</w:t>
            </w:r>
          </w:p>
          <w:p w14:paraId="04FB4009" w14:textId="77777777" w:rsidR="002A7366" w:rsidRPr="00996C98" w:rsidRDefault="002A7366" w:rsidP="00F3318F">
            <w:pPr>
              <w:ind w:left="360"/>
              <w:jc w:val="both"/>
              <w:rPr>
                <w:rFonts w:ascii="Times New Roman" w:eastAsia="Times New Roman" w:hAnsi="Times New Roman" w:cs="Times New Roman"/>
              </w:rPr>
            </w:pPr>
          </w:p>
          <w:p w14:paraId="35D44C39" w14:textId="77777777" w:rsidR="00CB74C9" w:rsidRPr="00996C98" w:rsidRDefault="00496C70" w:rsidP="00F3318F">
            <w:pPr>
              <w:numPr>
                <w:ilvl w:val="0"/>
                <w:numId w:val="16"/>
              </w:numPr>
              <w:jc w:val="both"/>
              <w:rPr>
                <w:rFonts w:ascii="Times New Roman" w:eastAsia="Times New Roman" w:hAnsi="Times New Roman" w:cs="Times New Roman"/>
              </w:rPr>
            </w:pPr>
            <w:r w:rsidRPr="00ED639E">
              <w:rPr>
                <w:rFonts w:ascii="Times New Roman" w:eastAsia="Times New Roman" w:hAnsi="Times New Roman" w:cs="Times New Roman"/>
                <w:b/>
                <w:color w:val="000000" w:themeColor="text1"/>
              </w:rPr>
              <w:t>(OP50b)</w:t>
            </w:r>
            <w:r w:rsidRPr="00ED639E">
              <w:rPr>
                <w:rFonts w:ascii="Times New Roman" w:eastAsia="Times New Roman" w:hAnsi="Times New Roman" w:cs="Times New Roman"/>
                <w:color w:val="000000" w:themeColor="text1"/>
              </w:rPr>
              <w:t xml:space="preserve"> </w:t>
            </w:r>
            <w:r w:rsidR="001337ED" w:rsidRPr="005C63C1">
              <w:rPr>
                <w:rFonts w:ascii="Times New Roman" w:eastAsia="Times New Roman" w:hAnsi="Times New Roman" w:cs="Times New Roman"/>
              </w:rPr>
              <w:t>All UNDP Country Programme Document (CPD) outcomes are derived verbatim from the UNDAF and CPDs articulate UNDP’s contribution to collective UN results through the UNDAF. In countries where an UNDAF is signed with the programme country government, our agency-specific CPAP has been eliminated, recognizing the primacy of the UNDAF as the principle programme plan.</w:t>
            </w:r>
          </w:p>
          <w:p w14:paraId="2C7CEDF7" w14:textId="77777777" w:rsidR="002A7366" w:rsidRPr="00996C98" w:rsidRDefault="002A7366" w:rsidP="00F3318F">
            <w:pPr>
              <w:pStyle w:val="ListParagraph"/>
              <w:ind w:left="360"/>
              <w:jc w:val="both"/>
              <w:rPr>
                <w:rFonts w:ascii="Times New Roman" w:hAnsi="Times New Roman" w:cs="Times New Roman"/>
                <w:b/>
                <w:color w:val="FF0000"/>
              </w:rPr>
            </w:pPr>
          </w:p>
          <w:p w14:paraId="2E81EC0D" w14:textId="51644004" w:rsidR="001337ED" w:rsidRPr="00E36076" w:rsidRDefault="00960367" w:rsidP="00E36076">
            <w:pPr>
              <w:numPr>
                <w:ilvl w:val="0"/>
                <w:numId w:val="16"/>
              </w:numPr>
              <w:jc w:val="both"/>
              <w:rPr>
                <w:rFonts w:ascii="Times New Roman" w:eastAsia="Times New Roman" w:hAnsi="Times New Roman" w:cs="Times New Roman"/>
              </w:rPr>
            </w:pPr>
            <w:r w:rsidRPr="00ED639E">
              <w:rPr>
                <w:rFonts w:ascii="Times New Roman" w:eastAsia="Times New Roman" w:hAnsi="Times New Roman" w:cs="Times New Roman"/>
                <w:b/>
                <w:color w:val="000000" w:themeColor="text1"/>
              </w:rPr>
              <w:t>(OP50d)</w:t>
            </w:r>
            <w:r w:rsidRPr="00ED639E">
              <w:rPr>
                <w:rFonts w:ascii="Times New Roman" w:eastAsia="Times New Roman" w:hAnsi="Times New Roman" w:cs="Times New Roman"/>
                <w:color w:val="000000" w:themeColor="text1"/>
              </w:rPr>
              <w:t xml:space="preserve"> </w:t>
            </w:r>
            <w:r w:rsidR="001337ED" w:rsidRPr="005C63C1">
              <w:rPr>
                <w:rFonts w:ascii="Times New Roman" w:eastAsia="Times New Roman" w:hAnsi="Times New Roman" w:cs="Times New Roman"/>
              </w:rPr>
              <w:t>As part of UNDP’s revision of its prescriptive content on programming, the common UNDAF guidance has been fully incorporated into UNDP’s own policies and procedures, including the UNDG programming principles, country assessment requirements, the introduction of Vision 2030 and the development of a theory of change for the UNDAF. Once the new UNDAF guidance is approved in 2019, necessary changes will be made to ensure full coherence. Where Delivering as One processes can serve UNDP’s requirements, i.e., for design, monitoring, oversight, reporting, this is made clear.</w:t>
            </w:r>
            <w:r w:rsidR="00007DC9">
              <w:rPr>
                <w:rFonts w:ascii="Times New Roman" w:eastAsia="Times New Roman" w:hAnsi="Times New Roman" w:cs="Times New Roman"/>
              </w:rPr>
              <w:t xml:space="preserve"> </w:t>
            </w:r>
            <w:r w:rsidR="001337ED" w:rsidRPr="00E36076">
              <w:rPr>
                <w:rFonts w:ascii="Times New Roman" w:eastAsia="Times New Roman" w:hAnsi="Times New Roman" w:cs="Times New Roman"/>
              </w:rPr>
              <w:t xml:space="preserve">UNDP is committed to the comprehensive implementation of the Standard Operating Procedures for Delivering as One (SOPs) as a shared benchmark of system-wide coherence at country </w:t>
            </w:r>
            <w:r w:rsidR="001337ED" w:rsidRPr="00E36076">
              <w:rPr>
                <w:rFonts w:ascii="Times New Roman" w:eastAsia="Times New Roman" w:hAnsi="Times New Roman" w:cs="Times New Roman"/>
              </w:rPr>
              <w:lastRenderedPageBreak/>
              <w:t xml:space="preserve">level. This is reflected through the integration of the SOPs into UNDP’s Programme and Operations Policies and Procedures (POPP), and their effective use in new UNDAFs and One Programme processes. </w:t>
            </w:r>
          </w:p>
          <w:p w14:paraId="4949717C" w14:textId="77777777" w:rsidR="002A7366" w:rsidRPr="00996C98" w:rsidRDefault="002A7366" w:rsidP="00F3318F">
            <w:pPr>
              <w:pStyle w:val="ListParagraph"/>
              <w:ind w:left="360"/>
              <w:jc w:val="both"/>
              <w:rPr>
                <w:rFonts w:ascii="Times New Roman" w:hAnsi="Times New Roman" w:cs="Times New Roman"/>
                <w:b/>
                <w:color w:val="FF0000"/>
              </w:rPr>
            </w:pPr>
          </w:p>
          <w:p w14:paraId="311BAF9D" w14:textId="59B332FC" w:rsidR="00C004C9" w:rsidRPr="00467F3D" w:rsidRDefault="00D97233" w:rsidP="00467F3D">
            <w:pPr>
              <w:pStyle w:val="ListParagraph"/>
              <w:numPr>
                <w:ilvl w:val="0"/>
                <w:numId w:val="16"/>
              </w:numPr>
              <w:jc w:val="both"/>
              <w:rPr>
                <w:rFonts w:ascii="Times New Roman" w:hAnsi="Times New Roman" w:cs="Times New Roman"/>
                <w:color w:val="000000" w:themeColor="text1"/>
                <w:lang w:val="en-GB"/>
              </w:rPr>
            </w:pPr>
            <w:r w:rsidRPr="00467F3D">
              <w:rPr>
                <w:rFonts w:ascii="Times New Roman" w:hAnsi="Times New Roman" w:cs="Times New Roman"/>
                <w:b/>
                <w:color w:val="000000" w:themeColor="text1"/>
              </w:rPr>
              <w:t>(OP57)</w:t>
            </w:r>
            <w:r w:rsidR="005A163F" w:rsidRPr="00467F3D">
              <w:rPr>
                <w:rFonts w:ascii="Times New Roman" w:hAnsi="Times New Roman" w:cs="Times New Roman"/>
                <w:color w:val="000000" w:themeColor="text1"/>
              </w:rPr>
              <w:t xml:space="preserve"> </w:t>
            </w:r>
            <w:r w:rsidR="007C5E8D" w:rsidRPr="00E36076">
              <w:rPr>
                <w:rFonts w:ascii="Times New Roman" w:hAnsi="Times New Roman" w:cs="Times New Roman"/>
                <w:color w:val="000000" w:themeColor="text1"/>
                <w:lang w:val="en-GB"/>
              </w:rPr>
              <w:t xml:space="preserve">Throughout 2018, UNDP regularly shared information with the RC/RR on UNDP’s programmatic activities, resources and overall CO operations. This information was also shared with the UN Country Team during UNCT meetings, as part of the UNDAF implementation and monitoring process, development of the Common Budgetary Framework and formulation of Joint Work Plans within the UNCT Results Groups. In late 2018, following the delinking of the RC and UNDP RR functions, UNDP developed a new RR job description which also asks the UNDP Resident Representatives to periodically share information with the Resident Coordinator on UNDP in-country activities. </w:t>
            </w:r>
          </w:p>
          <w:p w14:paraId="0E2CE7F7" w14:textId="52EAA2EE" w:rsidR="007C5E8D" w:rsidRPr="00C004C9" w:rsidRDefault="007C5E8D" w:rsidP="00E36076">
            <w:pPr>
              <w:pStyle w:val="ListParagraph"/>
              <w:numPr>
                <w:ilvl w:val="0"/>
                <w:numId w:val="16"/>
              </w:numPr>
              <w:jc w:val="both"/>
              <w:rPr>
                <w:rFonts w:ascii="Times New Roman" w:hAnsi="Times New Roman" w:cs="Times New Roman"/>
                <w:color w:val="1F497D"/>
                <w:lang w:val="en-GB"/>
              </w:rPr>
            </w:pPr>
            <w:r w:rsidRPr="00E36076">
              <w:rPr>
                <w:rFonts w:ascii="Times New Roman" w:hAnsi="Times New Roman" w:cs="Times New Roman"/>
                <w:color w:val="000000" w:themeColor="text1"/>
                <w:lang w:val="en-GB"/>
              </w:rPr>
              <w:t xml:space="preserve">UNDP was a member of the inter-agency team that helped develop the revised MAF (finalized by the UNSDG in March 2018). Throughout the drafting process, UNDP communicated regularly with field staff on the practical aspects of implementing the MAF at country level, using the feedback received to inform the HQ-led drafting process. As the MAF was finalized in 2019, UNDP is planning a series of communication activities to ensure COs are able to integrate the MAF provisions into their day-to-day activities and will also review relevant corporate policies and guidance to ensure they reflect the inter-agency commitments made in the MAF. UNDP will also ensure close monitoring of MAF implementation at country level to ensure an informed engagement in Q3 of 2019, when the MAF will be further </w:t>
            </w:r>
            <w:r w:rsidR="00ED6652">
              <w:rPr>
                <w:rFonts w:ascii="Times New Roman" w:hAnsi="Times New Roman" w:cs="Times New Roman"/>
                <w:color w:val="000000" w:themeColor="text1"/>
                <w:lang w:val="en-GB"/>
              </w:rPr>
              <w:t>adjusted</w:t>
            </w:r>
            <w:r w:rsidRPr="00C004C9">
              <w:rPr>
                <w:rFonts w:ascii="Times New Roman" w:hAnsi="Times New Roman" w:cs="Times New Roman"/>
                <w:color w:val="1F497D"/>
                <w:lang w:val="en-GB"/>
              </w:rPr>
              <w:t xml:space="preserve">. </w:t>
            </w:r>
          </w:p>
          <w:p w14:paraId="7D90A321" w14:textId="77777777" w:rsidR="004F753A" w:rsidRPr="00E36076" w:rsidRDefault="004F753A" w:rsidP="00E36076">
            <w:pPr>
              <w:rPr>
                <w:rFonts w:ascii="Times New Roman" w:hAnsi="Times New Roman" w:cs="Times New Roman"/>
                <w:color w:val="FF0000"/>
              </w:rPr>
            </w:pPr>
          </w:p>
          <w:p w14:paraId="30CF2EE3" w14:textId="77777777" w:rsidR="004F753A" w:rsidRPr="00996C98" w:rsidRDefault="00A545F7" w:rsidP="004F753A">
            <w:pPr>
              <w:pStyle w:val="ListParagraph"/>
              <w:numPr>
                <w:ilvl w:val="0"/>
                <w:numId w:val="16"/>
              </w:numPr>
              <w:jc w:val="both"/>
              <w:rPr>
                <w:rFonts w:ascii="Times New Roman" w:hAnsi="Times New Roman" w:cs="Times New Roman"/>
                <w:b/>
                <w:color w:val="FF0000"/>
              </w:rPr>
            </w:pPr>
            <w:r w:rsidRPr="00467F3D">
              <w:rPr>
                <w:rFonts w:ascii="Times New Roman" w:hAnsi="Times New Roman" w:cs="Times New Roman"/>
                <w:b/>
                <w:color w:val="000000" w:themeColor="text1"/>
              </w:rPr>
              <w:t>(OP68)</w:t>
            </w:r>
            <w:r w:rsidRPr="00467F3D">
              <w:rPr>
                <w:rFonts w:ascii="Times New Roman" w:hAnsi="Times New Roman" w:cs="Times New Roman"/>
                <w:color w:val="000000" w:themeColor="text1"/>
              </w:rPr>
              <w:t xml:space="preserve"> </w:t>
            </w:r>
            <w:r w:rsidR="004F753A" w:rsidRPr="00E36076">
              <w:rPr>
                <w:rFonts w:ascii="Times New Roman" w:hAnsi="Times New Roman" w:cs="Times New Roman"/>
                <w:color w:val="000000" w:themeColor="text1"/>
              </w:rPr>
              <w:t>UNDP follows a differentiated approach for the use of regular resource funding of UNDP's physical presence that has been endorsed by the Executive Board. UNDP participates actively in the implementation of the UNSDG Standard Operating Procedures, including through the delinking of the RC/RR function and through the Business Operations Strategies in a collaborative manner in addition to providing services to the non-resident entities when required</w:t>
            </w:r>
            <w:r w:rsidR="004F753A" w:rsidRPr="00996C98">
              <w:rPr>
                <w:rFonts w:ascii="Times New Roman" w:hAnsi="Times New Roman" w:cs="Times New Roman"/>
                <w:color w:val="1F4E79"/>
              </w:rPr>
              <w:t>.</w:t>
            </w:r>
          </w:p>
          <w:p w14:paraId="075E60E9" w14:textId="77777777" w:rsidR="002A7366" w:rsidRPr="00E36076" w:rsidRDefault="002A7366" w:rsidP="00E36076">
            <w:pPr>
              <w:jc w:val="both"/>
              <w:rPr>
                <w:rFonts w:ascii="Times New Roman" w:hAnsi="Times New Roman" w:cs="Times New Roman"/>
                <w:color w:val="1F4E79"/>
              </w:rPr>
            </w:pPr>
          </w:p>
          <w:p w14:paraId="4AB88ADC" w14:textId="77777777" w:rsidR="001337ED" w:rsidRPr="005C63C1" w:rsidRDefault="009106D2" w:rsidP="00E36076">
            <w:pPr>
              <w:pStyle w:val="xmsonormal"/>
              <w:numPr>
                <w:ilvl w:val="0"/>
                <w:numId w:val="22"/>
              </w:numPr>
              <w:ind w:left="341" w:hanging="341"/>
              <w:jc w:val="both"/>
              <w:rPr>
                <w:color w:val="000000"/>
                <w:sz w:val="24"/>
                <w:szCs w:val="24"/>
              </w:rPr>
            </w:pPr>
            <w:r w:rsidRPr="00E00C66">
              <w:rPr>
                <w:rFonts w:ascii="Times New Roman" w:hAnsi="Times New Roman" w:cs="Times New Roman"/>
                <w:b/>
                <w:color w:val="000000" w:themeColor="text1"/>
              </w:rPr>
              <w:t>(</w:t>
            </w:r>
            <w:r w:rsidR="00147181" w:rsidRPr="00E00C66">
              <w:rPr>
                <w:rFonts w:ascii="Times New Roman" w:hAnsi="Times New Roman" w:cs="Times New Roman"/>
                <w:b/>
                <w:color w:val="000000" w:themeColor="text1"/>
              </w:rPr>
              <w:t>OP70</w:t>
            </w:r>
            <w:r w:rsidRPr="00E00C66">
              <w:rPr>
                <w:rFonts w:ascii="Times New Roman" w:hAnsi="Times New Roman" w:cs="Times New Roman"/>
                <w:b/>
                <w:color w:val="000000" w:themeColor="text1"/>
              </w:rPr>
              <w:t>)</w:t>
            </w:r>
            <w:r w:rsidR="001337ED" w:rsidRPr="00E00C66">
              <w:rPr>
                <w:rFonts w:ascii="Times New Roman" w:hAnsi="Times New Roman" w:cs="Times New Roman"/>
                <w:color w:val="000000" w:themeColor="text1"/>
                <w:szCs w:val="20"/>
              </w:rPr>
              <w:t xml:space="preserve"> </w:t>
            </w:r>
            <w:r w:rsidR="001337ED" w:rsidRPr="005C63C1">
              <w:rPr>
                <w:rFonts w:ascii="Times New Roman" w:hAnsi="Times New Roman" w:cs="Times New Roman"/>
                <w:szCs w:val="20"/>
              </w:rPr>
              <w:t>As part of the 2018 realignment of its policy function, the UNDP knowledge management strategy has focused on introducing new communities of practices to leverage UNDP’s distributed expertise and promote and support knowledge flows and to better capture UNDP’s knowledge, innovation and good practices and lessons learned from country, regional and global experience, drawing from a network of internal and external expertise. The communities are structured around the six UNDP Signature Solutions and SDG Integration.</w:t>
            </w:r>
          </w:p>
          <w:p w14:paraId="24AFC7A1" w14:textId="77777777" w:rsidR="002A7366" w:rsidRPr="00E36076" w:rsidRDefault="002A7366" w:rsidP="00E36076">
            <w:pPr>
              <w:jc w:val="both"/>
              <w:rPr>
                <w:rFonts w:ascii="Times New Roman" w:hAnsi="Times New Roman" w:cs="Times New Roman"/>
                <w:color w:val="1F4E79"/>
              </w:rPr>
            </w:pPr>
          </w:p>
          <w:p w14:paraId="32C1E9CD" w14:textId="21F1B33F" w:rsidR="00147181" w:rsidRPr="00E36076" w:rsidRDefault="005C4A00" w:rsidP="00E36076">
            <w:pPr>
              <w:pStyle w:val="ListParagraph"/>
              <w:numPr>
                <w:ilvl w:val="0"/>
                <w:numId w:val="16"/>
              </w:numPr>
              <w:jc w:val="both"/>
              <w:rPr>
                <w:rFonts w:ascii="Times New Roman" w:hAnsi="Times New Roman" w:cs="Times New Roman"/>
                <w:szCs w:val="20"/>
                <w:lang w:eastAsia="ja-JP"/>
              </w:rPr>
            </w:pPr>
            <w:r w:rsidRPr="00E00C66">
              <w:rPr>
                <w:rFonts w:ascii="Times New Roman" w:hAnsi="Times New Roman" w:cs="Times New Roman"/>
                <w:b/>
                <w:color w:val="000000" w:themeColor="text1"/>
              </w:rPr>
              <w:t>(</w:t>
            </w:r>
            <w:r w:rsidR="00147181" w:rsidRPr="00E00C66">
              <w:rPr>
                <w:rFonts w:ascii="Times New Roman" w:hAnsi="Times New Roman" w:cs="Times New Roman"/>
                <w:b/>
                <w:color w:val="000000" w:themeColor="text1"/>
              </w:rPr>
              <w:t>OP71</w:t>
            </w:r>
            <w:r w:rsidRPr="00E00C66">
              <w:rPr>
                <w:rFonts w:ascii="Times New Roman" w:hAnsi="Times New Roman" w:cs="Times New Roman"/>
                <w:b/>
                <w:color w:val="000000" w:themeColor="text1"/>
              </w:rPr>
              <w:t>)</w:t>
            </w:r>
            <w:r w:rsidR="001337ED" w:rsidRPr="00E00C66">
              <w:rPr>
                <w:rFonts w:ascii="Times New Roman" w:hAnsi="Times New Roman" w:cs="Times New Roman"/>
                <w:color w:val="000000" w:themeColor="text1"/>
                <w:szCs w:val="20"/>
                <w:lang w:eastAsia="ja-JP"/>
              </w:rPr>
              <w:t xml:space="preserve"> </w:t>
            </w:r>
            <w:r w:rsidR="001337ED" w:rsidRPr="005C63C1">
              <w:rPr>
                <w:rFonts w:ascii="Times New Roman" w:hAnsi="Times New Roman" w:cs="Times New Roman"/>
                <w:szCs w:val="20"/>
                <w:lang w:eastAsia="ja-JP"/>
              </w:rPr>
              <w:t xml:space="preserve">At the global level, UNDP, UNICEF, UNFPA and UN WOMEN incorporated the Common Chapter in their respective Strategic Plans for 2018-2021 with a view to working better together, characterized by stronger coherence and collaboration and to better support countries to achieve sustainable development. Six key areas of collaboration were identified based on comparative advantages of each Agency.  The respective IRRFs of the Agencies incorporate a common set of SDG </w:t>
            </w:r>
            <w:r w:rsidR="001337ED" w:rsidRPr="005C63C1">
              <w:rPr>
                <w:rFonts w:ascii="Times New Roman" w:hAnsi="Times New Roman" w:cs="Times New Roman"/>
                <w:szCs w:val="20"/>
                <w:lang w:eastAsia="ja-JP"/>
              </w:rPr>
              <w:lastRenderedPageBreak/>
              <w:t xml:space="preserve">indicators at impact and outcome levels to support joint analysis of the Common Chapter implementation. The progress and results of the Common Chapter implementation are reported in the common annex of the Annual Report of each Agency.   </w:t>
            </w:r>
            <w:r w:rsidR="001337ED" w:rsidRPr="00E36076">
              <w:rPr>
                <w:rFonts w:ascii="Times New Roman" w:hAnsi="Times New Roman" w:cs="Times New Roman"/>
                <w:szCs w:val="20"/>
                <w:lang w:eastAsia="ja-JP"/>
              </w:rPr>
              <w:t>To promote robust joint analysis and planning frameworks based on UN agency comparative advantages at the country level, UNDP has been actively participating to revising the UNDAF guidance</w:t>
            </w:r>
            <w:r w:rsidR="00766A69">
              <w:rPr>
                <w:rFonts w:ascii="Times New Roman" w:hAnsi="Times New Roman" w:cs="Times New Roman"/>
                <w:szCs w:val="20"/>
                <w:lang w:eastAsia="ja-JP"/>
              </w:rPr>
              <w:t>.</w:t>
            </w:r>
          </w:p>
          <w:p w14:paraId="48E6EBE0" w14:textId="77777777" w:rsidR="004F753A" w:rsidRPr="00E36076" w:rsidRDefault="004F753A" w:rsidP="00E36076">
            <w:pPr>
              <w:jc w:val="both"/>
              <w:rPr>
                <w:rFonts w:ascii="Times New Roman" w:hAnsi="Times New Roman" w:cs="Times New Roman"/>
                <w:color w:val="1F4E79"/>
              </w:rPr>
            </w:pPr>
          </w:p>
          <w:p w14:paraId="10F12628" w14:textId="1A5B4B60" w:rsidR="004F753A" w:rsidRPr="00684B93" w:rsidRDefault="00542069" w:rsidP="00684B93">
            <w:pPr>
              <w:pStyle w:val="ListParagraph"/>
              <w:numPr>
                <w:ilvl w:val="0"/>
                <w:numId w:val="16"/>
              </w:numPr>
              <w:spacing w:line="252" w:lineRule="auto"/>
              <w:jc w:val="both"/>
              <w:rPr>
                <w:rFonts w:ascii="Times New Roman" w:hAnsi="Times New Roman" w:cs="Times New Roman"/>
                <w:color w:val="000000" w:themeColor="text1"/>
              </w:rPr>
            </w:pPr>
            <w:r w:rsidRPr="00E00C66">
              <w:rPr>
                <w:rFonts w:ascii="Times New Roman" w:hAnsi="Times New Roman" w:cs="Times New Roman"/>
                <w:b/>
                <w:color w:val="000000" w:themeColor="text1"/>
              </w:rPr>
              <w:t>(</w:t>
            </w:r>
            <w:r w:rsidR="003F02EB" w:rsidRPr="00E00C66">
              <w:rPr>
                <w:rFonts w:ascii="Times New Roman" w:hAnsi="Times New Roman" w:cs="Times New Roman"/>
                <w:b/>
                <w:color w:val="000000" w:themeColor="text1"/>
              </w:rPr>
              <w:t>OP72</w:t>
            </w:r>
            <w:r w:rsidRPr="00E00C66">
              <w:rPr>
                <w:rFonts w:ascii="Times New Roman" w:hAnsi="Times New Roman" w:cs="Times New Roman"/>
                <w:b/>
                <w:color w:val="000000" w:themeColor="text1"/>
              </w:rPr>
              <w:t>)</w:t>
            </w:r>
            <w:r w:rsidR="003F02EB" w:rsidRPr="00E00C66">
              <w:rPr>
                <w:rFonts w:ascii="Times New Roman" w:hAnsi="Times New Roman" w:cs="Times New Roman"/>
                <w:b/>
                <w:color w:val="000000" w:themeColor="text1"/>
              </w:rPr>
              <w:t xml:space="preserve"> </w:t>
            </w:r>
            <w:r w:rsidR="004F753A" w:rsidRPr="00684B93">
              <w:rPr>
                <w:rFonts w:ascii="Times New Roman" w:hAnsi="Times New Roman" w:cs="Times New Roman"/>
                <w:color w:val="000000" w:themeColor="text1"/>
              </w:rPr>
              <w:t>In 2018, UNDP maintained full gender parity among all staff. With the service contract holders and UNVs included, the share of women is 45%. Notable progress was achieved in the representation of women at the senior management level. Gender parity is now fully met among ASGs-members of the UNDP Executive Group. There is also full gender parity among the new cohort of the UNDP Resident Representatives, with just over half from the global south; work is underway to achieve the same among Deputy Resident Representatives.</w:t>
            </w:r>
            <w:r w:rsidR="006D3601">
              <w:rPr>
                <w:rFonts w:ascii="Times New Roman" w:hAnsi="Times New Roman" w:cs="Times New Roman"/>
                <w:color w:val="000000" w:themeColor="text1"/>
              </w:rPr>
              <w:t xml:space="preserve"> </w:t>
            </w:r>
            <w:r w:rsidR="004F753A" w:rsidRPr="00684B93">
              <w:rPr>
                <w:rFonts w:ascii="Times New Roman" w:hAnsi="Times New Roman" w:cs="Times New Roman"/>
                <w:color w:val="000000" w:themeColor="text1"/>
              </w:rPr>
              <w:t xml:space="preserve">The share of women increased from 35 per cent in July 2018 to 36 per cent at the D2/P7 level, and from 40 per cent to 41 per cent at the D1/P6 level, as of February 2019. There is a 1 per cent decline in the representation of women among P4s (from 43 per cent to 42 per cent) and P5s (from 40 per cent to 39 per cent).  A new Gender Parity Strategy, 2018-2021 was formally launched in 2018, and sets out a comprehensive plan for UNDP to be a gender balanced, inclusive organization, where all personnel have equal opportunities to grow and progress, in an atmosphere of respect, free from bias, discrimination and harassment. </w:t>
            </w:r>
          </w:p>
          <w:p w14:paraId="673B6350" w14:textId="77777777" w:rsidR="002A7366" w:rsidRPr="00996C98" w:rsidRDefault="002A7366" w:rsidP="00570D18">
            <w:pPr>
              <w:jc w:val="both"/>
              <w:rPr>
                <w:rFonts w:ascii="Times New Roman" w:hAnsi="Times New Roman" w:cs="Times New Roman"/>
              </w:rPr>
            </w:pPr>
          </w:p>
          <w:p w14:paraId="3B6E8FB2" w14:textId="77777777" w:rsidR="00570D18" w:rsidRPr="00570D18" w:rsidRDefault="00294EE9" w:rsidP="004478B4">
            <w:pPr>
              <w:pStyle w:val="ListParagraph"/>
              <w:numPr>
                <w:ilvl w:val="0"/>
                <w:numId w:val="14"/>
              </w:numPr>
              <w:spacing w:line="252" w:lineRule="auto"/>
              <w:jc w:val="both"/>
              <w:rPr>
                <w:rFonts w:ascii="Times New Roman" w:hAnsi="Times New Roman" w:cs="Times New Roman"/>
                <w:color w:val="000000" w:themeColor="text1"/>
              </w:rPr>
            </w:pPr>
            <w:r w:rsidRPr="008474C7">
              <w:rPr>
                <w:rFonts w:ascii="Times New Roman" w:hAnsi="Times New Roman" w:cs="Times New Roman"/>
                <w:b/>
                <w:color w:val="000000" w:themeColor="text1"/>
              </w:rPr>
              <w:t>(OP74)</w:t>
            </w:r>
            <w:r w:rsidRPr="00E00C66">
              <w:rPr>
                <w:rFonts w:ascii="Times New Roman" w:hAnsi="Times New Roman" w:cs="Times New Roman"/>
                <w:color w:val="000000" w:themeColor="text1"/>
              </w:rPr>
              <w:t xml:space="preserve"> </w:t>
            </w:r>
            <w:r w:rsidR="004F753A" w:rsidRPr="00570D18">
              <w:rPr>
                <w:rFonts w:ascii="Times New Roman" w:hAnsi="Times New Roman" w:cs="Times New Roman"/>
                <w:color w:val="000000" w:themeColor="text1"/>
              </w:rPr>
              <w:t>To effectively support the 2030 Agenda, UNDP has first highlighted in its 2018-2021 Strategic Plan, that it plans to establish a global development advisory and implementation services platform. In 2018, UNDP commenced the design of a People Strategy, “People for 2030”. This strategy will equip UNDP, via its most important asset, its people, to realize the vision of UNDP’s Strategic Plan (2018- 2021) and to create an organization that can have a profound impact on the 2030 Agenda. In 2018, 12 Working Groups from the Office of Human Resources were created and provided recommendations around key talent management areas. An additional 14 focus groups, entailing over 120 staff members from across the organization, were conducted. This feedback will be incorporated into “People for 2030” in early 2019.    </w:t>
            </w:r>
          </w:p>
          <w:p w14:paraId="661863EF" w14:textId="065FBD66" w:rsidR="0052201B" w:rsidRPr="00570D18" w:rsidRDefault="004F753A" w:rsidP="004478B4">
            <w:pPr>
              <w:pStyle w:val="ListParagraph"/>
              <w:numPr>
                <w:ilvl w:val="0"/>
                <w:numId w:val="14"/>
              </w:numPr>
              <w:spacing w:line="252" w:lineRule="auto"/>
              <w:jc w:val="both"/>
              <w:rPr>
                <w:rFonts w:ascii="Times New Roman" w:hAnsi="Times New Roman" w:cs="Times New Roman"/>
                <w:color w:val="000000" w:themeColor="text1"/>
              </w:rPr>
            </w:pPr>
            <w:r w:rsidRPr="00570D18">
              <w:rPr>
                <w:rFonts w:ascii="Times New Roman" w:hAnsi="Times New Roman" w:cs="Times New Roman"/>
                <w:color w:val="000000" w:themeColor="text1"/>
              </w:rPr>
              <w:t>The People Strategy will propose initiatives and actions to improve leadership and staff capacities across the organization including further changes to workforce planning allowing for greater mobility for staff across UNDP and in other UN Agencies</w:t>
            </w:r>
            <w:r w:rsidR="00766A69">
              <w:rPr>
                <w:rFonts w:ascii="Times New Roman" w:hAnsi="Times New Roman" w:cs="Times New Roman"/>
                <w:color w:val="000000" w:themeColor="text1"/>
              </w:rPr>
              <w:t>.</w:t>
            </w:r>
          </w:p>
          <w:p w14:paraId="50BEA675" w14:textId="77777777" w:rsidR="002E1C94" w:rsidRPr="00996C98" w:rsidRDefault="002E1C94" w:rsidP="00D5003A">
            <w:pPr>
              <w:ind w:left="360"/>
              <w:jc w:val="both"/>
              <w:rPr>
                <w:rFonts w:ascii="Times New Roman" w:hAnsi="Times New Roman" w:cs="Times New Roman"/>
                <w:b/>
                <w:color w:val="FF0000"/>
              </w:rPr>
            </w:pPr>
          </w:p>
        </w:tc>
      </w:tr>
      <w:tr w:rsidR="00B67445" w:rsidRPr="00996C98" w14:paraId="626540E5" w14:textId="77777777" w:rsidTr="009D4CB8">
        <w:trPr>
          <w:trHeight w:val="278"/>
        </w:trPr>
        <w:tc>
          <w:tcPr>
            <w:tcW w:w="13680" w:type="dxa"/>
            <w:gridSpan w:val="2"/>
            <w:shd w:val="clear" w:color="auto" w:fill="E7E6E6" w:themeFill="background2"/>
          </w:tcPr>
          <w:p w14:paraId="7A4C7659" w14:textId="77777777" w:rsidR="00B67445" w:rsidRPr="00996C98" w:rsidRDefault="00B67445" w:rsidP="00B67445">
            <w:pPr>
              <w:pStyle w:val="ListParagraph"/>
              <w:numPr>
                <w:ilvl w:val="0"/>
                <w:numId w:val="10"/>
              </w:numPr>
              <w:rPr>
                <w:rFonts w:ascii="Times New Roman" w:hAnsi="Times New Roman" w:cs="Times New Roman"/>
                <w:b/>
              </w:rPr>
            </w:pPr>
            <w:r w:rsidRPr="00996C98">
              <w:rPr>
                <w:rFonts w:ascii="Times New Roman" w:hAnsi="Times New Roman" w:cs="Times New Roman"/>
                <w:b/>
              </w:rPr>
              <w:lastRenderedPageBreak/>
              <w:t xml:space="preserve">Follow-up, monitoring and reporting </w:t>
            </w:r>
          </w:p>
        </w:tc>
      </w:tr>
      <w:tr w:rsidR="002E1C94" w:rsidRPr="00996C98" w14:paraId="2C4CFBBC" w14:textId="77777777" w:rsidTr="009D4CB8">
        <w:trPr>
          <w:trHeight w:val="278"/>
        </w:trPr>
        <w:tc>
          <w:tcPr>
            <w:tcW w:w="4230" w:type="dxa"/>
          </w:tcPr>
          <w:p w14:paraId="6177881A" w14:textId="77777777" w:rsidR="002E1C94" w:rsidRPr="00996C98" w:rsidRDefault="002E1C94" w:rsidP="00C5643B">
            <w:pPr>
              <w:rPr>
                <w:rFonts w:ascii="Times New Roman" w:hAnsi="Times New Roman" w:cs="Times New Roman"/>
                <w:lang w:val="en-GB"/>
              </w:rPr>
            </w:pPr>
            <w:r w:rsidRPr="00996C98">
              <w:rPr>
                <w:rFonts w:ascii="Times New Roman" w:hAnsi="Times New Roman" w:cs="Times New Roman"/>
                <w:lang w:val="en-GB"/>
              </w:rPr>
              <w:t>QCPR mandates (OP76- 84)</w:t>
            </w:r>
          </w:p>
        </w:tc>
        <w:tc>
          <w:tcPr>
            <w:tcW w:w="9450" w:type="dxa"/>
          </w:tcPr>
          <w:p w14:paraId="41AD3166" w14:textId="77777777" w:rsidR="002E1C94" w:rsidRPr="00996C98" w:rsidRDefault="002E1C94" w:rsidP="00C5643B">
            <w:pPr>
              <w:rPr>
                <w:rFonts w:ascii="Times New Roman" w:hAnsi="Times New Roman" w:cs="Times New Roman"/>
              </w:rPr>
            </w:pPr>
            <w:r w:rsidRPr="00996C98">
              <w:rPr>
                <w:rFonts w:ascii="Times New Roman" w:hAnsi="Times New Roman" w:cs="Times New Roman"/>
              </w:rPr>
              <w:t>Progress</w:t>
            </w:r>
          </w:p>
        </w:tc>
      </w:tr>
      <w:tr w:rsidR="002E1C94" w:rsidRPr="00996C98" w14:paraId="682B286B" w14:textId="77777777" w:rsidTr="009D4CB8">
        <w:trPr>
          <w:trHeight w:val="278"/>
        </w:trPr>
        <w:tc>
          <w:tcPr>
            <w:tcW w:w="4230" w:type="dxa"/>
          </w:tcPr>
          <w:p w14:paraId="2062216F" w14:textId="77777777" w:rsidR="002E1C94" w:rsidRPr="00996C98" w:rsidRDefault="002E1C94" w:rsidP="00C5643B">
            <w:pPr>
              <w:rPr>
                <w:rFonts w:ascii="Times New Roman" w:hAnsi="Times New Roman" w:cs="Times New Roman"/>
                <w:lang w:val="en-GB"/>
              </w:rPr>
            </w:pPr>
            <w:r w:rsidRPr="00996C98">
              <w:rPr>
                <w:rFonts w:ascii="Times New Roman" w:hAnsi="Times New Roman" w:cs="Times New Roman"/>
                <w:i/>
                <w:lang w:val="en-GB"/>
              </w:rPr>
              <w:t>Reaffirms</w:t>
            </w:r>
            <w:r w:rsidRPr="00996C98">
              <w:rPr>
                <w:rFonts w:ascii="Times New Roman" w:hAnsi="Times New Roman" w:cs="Times New Roman"/>
                <w:lang w:val="en-GB"/>
              </w:rPr>
              <w:t xml:space="preserve"> that all entities of UNDS carrying out operational activities for development </w:t>
            </w:r>
            <w:r w:rsidRPr="00996C98">
              <w:rPr>
                <w:rFonts w:ascii="Times New Roman" w:hAnsi="Times New Roman" w:cs="Times New Roman"/>
                <w:i/>
                <w:lang w:val="en-GB"/>
              </w:rPr>
              <w:t xml:space="preserve">should align their planning and activities to take appropriate action consistent with each </w:t>
            </w:r>
            <w:r w:rsidRPr="00996C98">
              <w:rPr>
                <w:rFonts w:ascii="Times New Roman" w:hAnsi="Times New Roman" w:cs="Times New Roman"/>
                <w:i/>
                <w:lang w:val="en-GB"/>
              </w:rPr>
              <w:lastRenderedPageBreak/>
              <w:t>entity’s mandate, role and expertise for the full implementation of the present resolution</w:t>
            </w:r>
            <w:r w:rsidRPr="00996C98">
              <w:rPr>
                <w:rFonts w:ascii="Times New Roman" w:hAnsi="Times New Roman" w:cs="Times New Roman"/>
                <w:lang w:val="en-GB"/>
              </w:rPr>
              <w:t xml:space="preserve"> (OP78)</w:t>
            </w:r>
          </w:p>
          <w:p w14:paraId="6FA95366" w14:textId="77777777" w:rsidR="002E1C94" w:rsidRPr="00996C98" w:rsidRDefault="002E1C94" w:rsidP="00C5643B">
            <w:pPr>
              <w:rPr>
                <w:rFonts w:ascii="Times New Roman" w:hAnsi="Times New Roman" w:cs="Times New Roman"/>
                <w:lang w:val="en-GB"/>
              </w:rPr>
            </w:pPr>
          </w:p>
          <w:p w14:paraId="4DF1531C" w14:textId="77777777" w:rsidR="002E1C94" w:rsidRPr="00996C98" w:rsidRDefault="002E1C94" w:rsidP="00C5643B">
            <w:pPr>
              <w:rPr>
                <w:rFonts w:ascii="Times New Roman" w:hAnsi="Times New Roman" w:cs="Times New Roman"/>
                <w:lang w:val="en-GB"/>
              </w:rPr>
            </w:pPr>
            <w:r w:rsidRPr="00996C98">
              <w:rPr>
                <w:rFonts w:ascii="Times New Roman" w:hAnsi="Times New Roman" w:cs="Times New Roman"/>
                <w:lang w:val="en-GB"/>
              </w:rPr>
              <w:t xml:space="preserve">Requests the entities of the UNDS carrying out operational activities for development to ensure that their planning and activities, and strategic plans </w:t>
            </w:r>
            <w:r w:rsidRPr="00996C98">
              <w:rPr>
                <w:rFonts w:ascii="Times New Roman" w:hAnsi="Times New Roman" w:cs="Times New Roman"/>
                <w:i/>
                <w:lang w:val="en-GB"/>
              </w:rPr>
              <w:t>build synergies and reduce overlap across the system, and identify the entity’s specific contribution to the system-wide support</w:t>
            </w:r>
            <w:r w:rsidRPr="00996C98">
              <w:rPr>
                <w:rFonts w:ascii="Times New Roman" w:hAnsi="Times New Roman" w:cs="Times New Roman"/>
                <w:lang w:val="en-GB"/>
              </w:rPr>
              <w:t>, including how staff are incentivized to work towards system-wide goals (OP79)</w:t>
            </w:r>
          </w:p>
          <w:p w14:paraId="3E0E381B" w14:textId="77777777" w:rsidR="002E1C94" w:rsidRPr="00996C98" w:rsidRDefault="002E1C94" w:rsidP="00C5643B">
            <w:pPr>
              <w:rPr>
                <w:rFonts w:ascii="Times New Roman" w:hAnsi="Times New Roman" w:cs="Times New Roman"/>
                <w:i/>
                <w:lang w:val="en-GB"/>
              </w:rPr>
            </w:pPr>
          </w:p>
        </w:tc>
        <w:tc>
          <w:tcPr>
            <w:tcW w:w="9450" w:type="dxa"/>
          </w:tcPr>
          <w:p w14:paraId="0301D445" w14:textId="77777777" w:rsidR="0013377B" w:rsidRDefault="00543FD2" w:rsidP="0013377B">
            <w:pPr>
              <w:pStyle w:val="ListParagraph"/>
              <w:numPr>
                <w:ilvl w:val="0"/>
                <w:numId w:val="27"/>
              </w:numPr>
              <w:autoSpaceDE w:val="0"/>
              <w:autoSpaceDN w:val="0"/>
              <w:adjustRightInd w:val="0"/>
              <w:spacing w:line="256" w:lineRule="auto"/>
              <w:jc w:val="both"/>
              <w:rPr>
                <w:rFonts w:ascii="Times New Roman" w:hAnsi="Times New Roman" w:cs="Times New Roman"/>
              </w:rPr>
            </w:pPr>
            <w:r w:rsidRPr="00E00C66">
              <w:rPr>
                <w:rFonts w:ascii="Times New Roman" w:hAnsi="Times New Roman" w:cs="Times New Roman"/>
                <w:b/>
                <w:color w:val="000000" w:themeColor="text1"/>
              </w:rPr>
              <w:lastRenderedPageBreak/>
              <w:t>(OP78)</w:t>
            </w:r>
            <w:r w:rsidRPr="00E00C66">
              <w:rPr>
                <w:rFonts w:ascii="Times New Roman" w:hAnsi="Times New Roman" w:cs="Times New Roman"/>
                <w:color w:val="000000" w:themeColor="text1"/>
              </w:rPr>
              <w:t xml:space="preserve"> </w:t>
            </w:r>
            <w:r w:rsidR="0013377B">
              <w:rPr>
                <w:rFonts w:ascii="Times New Roman" w:eastAsia="Times New Roman" w:hAnsi="Times New Roman" w:cs="Times New Roman"/>
                <w:lang w:val="en-GB"/>
              </w:rPr>
              <w:t xml:space="preserve">Since 2015, UNDP consolidated its annual reporting on the implementation of the QCPR with the Administrator annual reporting—in line with Economic and Social Council resolution 2013/5. UNDP, UNFPA, UNICEF and UN Women worked together towards a common chapter of the Strategic Plans, which describes key areas of collaboration amongst these four funds and programmes </w:t>
            </w:r>
            <w:r w:rsidR="0013377B">
              <w:rPr>
                <w:rFonts w:ascii="Times New Roman" w:eastAsia="Times New Roman" w:hAnsi="Times New Roman" w:cs="Times New Roman"/>
                <w:lang w:val="en-GB"/>
              </w:rPr>
              <w:lastRenderedPageBreak/>
              <w:t>as well as common indicators to carry this work forward. UNDP participates in the UNDG Strategic Results Groups – which are responsible to take system-wide QCPR mandates forward, and co-chairs, together with DESA, the Group on SDG Implementation Strategic Results Group.  UNDP also worked closely with the SG, the DSG, and the UN Sustainable Development Group on efforts towards UNDS Repositioning, in order to maximize efficiency and coherence across the UN System.</w:t>
            </w:r>
            <w:r w:rsidR="0013377B">
              <w:rPr>
                <w:rFonts w:ascii="Times New Roman" w:hAnsi="Times New Roman" w:cs="Times New Roman"/>
              </w:rPr>
              <w:t xml:space="preserve">  </w:t>
            </w:r>
          </w:p>
          <w:p w14:paraId="7394F1CB" w14:textId="77777777" w:rsidR="002A7366" w:rsidRPr="003D5F39" w:rsidRDefault="002A7366" w:rsidP="003D5F39">
            <w:pPr>
              <w:autoSpaceDE w:val="0"/>
              <w:autoSpaceDN w:val="0"/>
              <w:adjustRightInd w:val="0"/>
              <w:jc w:val="both"/>
              <w:rPr>
                <w:rFonts w:ascii="Times New Roman" w:hAnsi="Times New Roman" w:cs="Times New Roman"/>
              </w:rPr>
            </w:pPr>
          </w:p>
          <w:p w14:paraId="3D826A24" w14:textId="5CC9C477" w:rsidR="0013377B" w:rsidRDefault="00543FD2" w:rsidP="00273E2E">
            <w:pPr>
              <w:pStyle w:val="ListParagraph"/>
              <w:numPr>
                <w:ilvl w:val="0"/>
                <w:numId w:val="27"/>
              </w:numPr>
              <w:autoSpaceDE w:val="0"/>
              <w:autoSpaceDN w:val="0"/>
              <w:adjustRightInd w:val="0"/>
              <w:spacing w:line="256" w:lineRule="auto"/>
              <w:jc w:val="both"/>
              <w:rPr>
                <w:rFonts w:ascii="Times New Roman" w:hAnsi="Times New Roman" w:cs="Times New Roman"/>
              </w:rPr>
            </w:pPr>
            <w:r w:rsidRPr="00731B5C">
              <w:rPr>
                <w:rFonts w:ascii="Times New Roman" w:hAnsi="Times New Roman" w:cs="Times New Roman"/>
                <w:b/>
                <w:color w:val="000000" w:themeColor="text1"/>
              </w:rPr>
              <w:t>(OP79)</w:t>
            </w:r>
            <w:r w:rsidRPr="00731B5C">
              <w:rPr>
                <w:rFonts w:ascii="Times New Roman" w:hAnsi="Times New Roman" w:cs="Times New Roman"/>
                <w:color w:val="000000" w:themeColor="text1"/>
              </w:rPr>
              <w:t xml:space="preserve"> </w:t>
            </w:r>
            <w:r w:rsidR="0013377B">
              <w:rPr>
                <w:rFonts w:ascii="Times New Roman" w:eastAsia="Times New Roman" w:hAnsi="Times New Roman" w:cs="Times New Roman"/>
                <w:lang w:val="en-GB"/>
              </w:rPr>
              <w:t xml:space="preserve">UNDP, together with agencies, funds and programmes, implemented the business operations strategy in pilot and self-starter countries. </w:t>
            </w:r>
            <w:r w:rsidR="00FE4431">
              <w:rPr>
                <w:rFonts w:ascii="Times New Roman" w:eastAsia="Times New Roman" w:hAnsi="Times New Roman" w:cs="Times New Roman"/>
                <w:lang w:val="en-GB"/>
              </w:rPr>
              <w:t xml:space="preserve">92% of </w:t>
            </w:r>
            <w:r w:rsidR="004478B4">
              <w:rPr>
                <w:rFonts w:ascii="Times New Roman" w:eastAsia="Times New Roman" w:hAnsi="Times New Roman" w:cs="Times New Roman"/>
                <w:lang w:val="en-GB"/>
              </w:rPr>
              <w:t xml:space="preserve">UNDP country offices </w:t>
            </w:r>
            <w:r w:rsidR="00FE4431">
              <w:rPr>
                <w:rFonts w:ascii="Times New Roman" w:eastAsia="Times New Roman" w:hAnsi="Times New Roman" w:cs="Times New Roman"/>
                <w:lang w:val="en-GB"/>
              </w:rPr>
              <w:t xml:space="preserve">applied at least 8 elements of the </w:t>
            </w:r>
            <w:r w:rsidR="00EB67CC">
              <w:rPr>
                <w:rFonts w:ascii="Times New Roman" w:eastAsia="Times New Roman" w:hAnsi="Times New Roman" w:cs="Times New Roman"/>
                <w:lang w:val="en-GB"/>
              </w:rPr>
              <w:t>SOPs</w:t>
            </w:r>
            <w:r w:rsidR="004478B4">
              <w:rPr>
                <w:rFonts w:ascii="Times New Roman" w:eastAsia="Times New Roman" w:hAnsi="Times New Roman" w:cs="Times New Roman"/>
                <w:lang w:val="en-GB"/>
              </w:rPr>
              <w:t xml:space="preserve"> in 2018</w:t>
            </w:r>
            <w:r w:rsidR="00EB67CC">
              <w:rPr>
                <w:rFonts w:ascii="Times New Roman" w:eastAsia="Times New Roman" w:hAnsi="Times New Roman" w:cs="Times New Roman"/>
                <w:lang w:val="en-GB"/>
              </w:rPr>
              <w:t xml:space="preserve">. In addition, </w:t>
            </w:r>
            <w:r w:rsidR="00856F71">
              <w:rPr>
                <w:rFonts w:ascii="Times New Roman" w:eastAsia="Times New Roman" w:hAnsi="Times New Roman" w:cs="Times New Roman"/>
                <w:lang w:val="en-GB"/>
              </w:rPr>
              <w:t>86.6 % of UNDP country offices used common facility serv</w:t>
            </w:r>
            <w:r w:rsidR="00273E2E">
              <w:rPr>
                <w:rFonts w:ascii="Times New Roman" w:eastAsia="Times New Roman" w:hAnsi="Times New Roman" w:cs="Times New Roman"/>
                <w:lang w:val="en-GB"/>
              </w:rPr>
              <w:t>ices, including common premises; 41.7</w:t>
            </w:r>
            <w:r w:rsidR="00E52715">
              <w:rPr>
                <w:rFonts w:ascii="Times New Roman" w:eastAsia="Times New Roman" w:hAnsi="Times New Roman" w:cs="Times New Roman"/>
                <w:lang w:val="en-GB"/>
              </w:rPr>
              <w:t xml:space="preserve">% </w:t>
            </w:r>
            <w:r w:rsidR="00EB67CC">
              <w:rPr>
                <w:rFonts w:ascii="Times New Roman" w:eastAsia="Times New Roman" w:hAnsi="Times New Roman" w:cs="Times New Roman"/>
                <w:lang w:val="en-GB"/>
              </w:rPr>
              <w:t xml:space="preserve">implemented common human resources, </w:t>
            </w:r>
            <w:r w:rsidR="00856F71">
              <w:rPr>
                <w:rFonts w:ascii="Times New Roman" w:eastAsia="Times New Roman" w:hAnsi="Times New Roman" w:cs="Times New Roman"/>
                <w:lang w:val="en-GB"/>
              </w:rPr>
              <w:t>64.6</w:t>
            </w:r>
            <w:r w:rsidR="00E52715">
              <w:rPr>
                <w:rFonts w:ascii="Times New Roman" w:eastAsia="Times New Roman" w:hAnsi="Times New Roman" w:cs="Times New Roman"/>
                <w:lang w:val="en-GB"/>
              </w:rPr>
              <w:t xml:space="preserve">% </w:t>
            </w:r>
            <w:r w:rsidR="00EB67CC">
              <w:rPr>
                <w:rFonts w:ascii="Times New Roman" w:eastAsia="Times New Roman" w:hAnsi="Times New Roman" w:cs="Times New Roman"/>
                <w:lang w:val="en-GB"/>
              </w:rPr>
              <w:t>impleme</w:t>
            </w:r>
            <w:r w:rsidR="00C47BCE">
              <w:rPr>
                <w:rFonts w:ascii="Times New Roman" w:eastAsia="Times New Roman" w:hAnsi="Times New Roman" w:cs="Times New Roman"/>
                <w:lang w:val="en-GB"/>
              </w:rPr>
              <w:t xml:space="preserve">nted </w:t>
            </w:r>
            <w:r w:rsidR="00EB67CC">
              <w:rPr>
                <w:rFonts w:ascii="Times New Roman" w:eastAsia="Times New Roman" w:hAnsi="Times New Roman" w:cs="Times New Roman"/>
                <w:lang w:val="en-GB"/>
              </w:rPr>
              <w:t>common I</w:t>
            </w:r>
            <w:r w:rsidR="00A423C5">
              <w:rPr>
                <w:rFonts w:ascii="Times New Roman" w:eastAsia="Times New Roman" w:hAnsi="Times New Roman" w:cs="Times New Roman"/>
                <w:lang w:val="en-GB"/>
              </w:rPr>
              <w:t xml:space="preserve">nformation </w:t>
            </w:r>
            <w:r w:rsidR="00EB67CC">
              <w:rPr>
                <w:rFonts w:ascii="Times New Roman" w:eastAsia="Times New Roman" w:hAnsi="Times New Roman" w:cs="Times New Roman"/>
                <w:lang w:val="en-GB"/>
              </w:rPr>
              <w:t>C</w:t>
            </w:r>
            <w:r w:rsidR="00A423C5">
              <w:rPr>
                <w:rFonts w:ascii="Times New Roman" w:eastAsia="Times New Roman" w:hAnsi="Times New Roman" w:cs="Times New Roman"/>
                <w:lang w:val="en-GB"/>
              </w:rPr>
              <w:t>ommunication and Technology (ICT) services</w:t>
            </w:r>
            <w:r w:rsidR="00EB67CC">
              <w:rPr>
                <w:rFonts w:ascii="Times New Roman" w:eastAsia="Times New Roman" w:hAnsi="Times New Roman" w:cs="Times New Roman"/>
                <w:lang w:val="en-GB"/>
              </w:rPr>
              <w:t xml:space="preserve">, </w:t>
            </w:r>
            <w:r w:rsidR="00991C5B">
              <w:rPr>
                <w:rFonts w:ascii="Times New Roman" w:eastAsia="Times New Roman" w:hAnsi="Times New Roman" w:cs="Times New Roman"/>
                <w:lang w:val="en-GB"/>
              </w:rPr>
              <w:t>4</w:t>
            </w:r>
            <w:r w:rsidR="00E52715">
              <w:rPr>
                <w:rFonts w:ascii="Times New Roman" w:eastAsia="Times New Roman" w:hAnsi="Times New Roman" w:cs="Times New Roman"/>
                <w:lang w:val="en-GB"/>
              </w:rPr>
              <w:t>8%</w:t>
            </w:r>
            <w:r w:rsidR="00EB67CC">
              <w:rPr>
                <w:rFonts w:ascii="Times New Roman" w:eastAsia="Times New Roman" w:hAnsi="Times New Roman" w:cs="Times New Roman"/>
                <w:lang w:val="en-GB"/>
              </w:rPr>
              <w:t xml:space="preserve"> </w:t>
            </w:r>
            <w:r w:rsidR="00FA3F6C">
              <w:rPr>
                <w:rFonts w:ascii="Times New Roman" w:eastAsia="Times New Roman" w:hAnsi="Times New Roman" w:cs="Times New Roman"/>
                <w:lang w:val="en-GB"/>
              </w:rPr>
              <w:t>implemented</w:t>
            </w:r>
            <w:r w:rsidR="00EB67CC">
              <w:rPr>
                <w:rFonts w:ascii="Times New Roman" w:eastAsia="Times New Roman" w:hAnsi="Times New Roman" w:cs="Times New Roman"/>
                <w:lang w:val="en-GB"/>
              </w:rPr>
              <w:t xml:space="preserve"> common financial services, </w:t>
            </w:r>
            <w:r w:rsidR="00991C5B">
              <w:rPr>
                <w:rFonts w:ascii="Times New Roman" w:eastAsia="Times New Roman" w:hAnsi="Times New Roman" w:cs="Times New Roman"/>
                <w:lang w:val="en-GB"/>
              </w:rPr>
              <w:t>85.8%</w:t>
            </w:r>
            <w:r w:rsidR="00FA3F6C">
              <w:rPr>
                <w:rFonts w:ascii="Times New Roman" w:eastAsia="Times New Roman" w:hAnsi="Times New Roman" w:cs="Times New Roman"/>
                <w:lang w:val="en-GB"/>
              </w:rPr>
              <w:t xml:space="preserve"> implemented common </w:t>
            </w:r>
            <w:r w:rsidR="00A423C5">
              <w:rPr>
                <w:rFonts w:ascii="Times New Roman" w:eastAsia="Times New Roman" w:hAnsi="Times New Roman" w:cs="Times New Roman"/>
                <w:lang w:val="en-GB"/>
              </w:rPr>
              <w:t>long-term agreements (</w:t>
            </w:r>
            <w:r w:rsidR="00FA3F6C">
              <w:rPr>
                <w:rFonts w:ascii="Times New Roman" w:eastAsia="Times New Roman" w:hAnsi="Times New Roman" w:cs="Times New Roman"/>
                <w:lang w:val="en-GB"/>
              </w:rPr>
              <w:t>LTAs</w:t>
            </w:r>
            <w:r w:rsidR="00A423C5">
              <w:rPr>
                <w:rFonts w:ascii="Times New Roman" w:eastAsia="Times New Roman" w:hAnsi="Times New Roman" w:cs="Times New Roman"/>
                <w:lang w:val="en-GB"/>
              </w:rPr>
              <w:t>)</w:t>
            </w:r>
            <w:r w:rsidR="00FA3F6C">
              <w:rPr>
                <w:rFonts w:ascii="Times New Roman" w:eastAsia="Times New Roman" w:hAnsi="Times New Roman" w:cs="Times New Roman"/>
                <w:lang w:val="en-GB"/>
              </w:rPr>
              <w:t xml:space="preserve">, and </w:t>
            </w:r>
            <w:r w:rsidR="00991C5B">
              <w:rPr>
                <w:rFonts w:ascii="Times New Roman" w:eastAsia="Times New Roman" w:hAnsi="Times New Roman" w:cs="Times New Roman"/>
                <w:lang w:val="en-GB"/>
              </w:rPr>
              <w:t>59.8%</w:t>
            </w:r>
            <w:r w:rsidR="00FA3F6C">
              <w:rPr>
                <w:rFonts w:ascii="Times New Roman" w:eastAsia="Times New Roman" w:hAnsi="Times New Roman" w:cs="Times New Roman"/>
                <w:lang w:val="en-GB"/>
              </w:rPr>
              <w:t xml:space="preserve"> implemented common procurement</w:t>
            </w:r>
            <w:r w:rsidR="00C47BCE">
              <w:rPr>
                <w:rFonts w:ascii="Times New Roman" w:eastAsia="Times New Roman" w:hAnsi="Times New Roman" w:cs="Times New Roman"/>
                <w:lang w:val="en-GB"/>
              </w:rPr>
              <w:t xml:space="preserve"> services</w:t>
            </w:r>
            <w:r w:rsidR="00FA3F6C">
              <w:rPr>
                <w:rFonts w:ascii="Times New Roman" w:eastAsia="Times New Roman" w:hAnsi="Times New Roman" w:cs="Times New Roman"/>
                <w:lang w:val="en-GB"/>
              </w:rPr>
              <w:t xml:space="preserve">. </w:t>
            </w:r>
            <w:r w:rsidR="0013377B">
              <w:rPr>
                <w:rFonts w:ascii="Times New Roman" w:eastAsia="Times New Roman" w:hAnsi="Times New Roman" w:cs="Times New Roman"/>
                <w:lang w:val="en-GB"/>
              </w:rPr>
              <w:t xml:space="preserve"> </w:t>
            </w:r>
            <w:r w:rsidR="007D782E">
              <w:rPr>
                <w:rFonts w:ascii="Times New Roman" w:eastAsia="Times New Roman" w:hAnsi="Times New Roman" w:cs="Times New Roman"/>
                <w:lang w:val="en-GB"/>
              </w:rPr>
              <w:t> </w:t>
            </w:r>
            <w:r w:rsidR="0013377B">
              <w:rPr>
                <w:rFonts w:ascii="Times New Roman" w:eastAsia="Times New Roman" w:hAnsi="Times New Roman" w:cs="Times New Roman"/>
                <w:lang w:val="en-GB"/>
              </w:rPr>
              <w:t xml:space="preserve">In </w:t>
            </w:r>
            <w:r w:rsidR="00FA3F6C">
              <w:rPr>
                <w:rFonts w:ascii="Times New Roman" w:eastAsia="Times New Roman" w:hAnsi="Times New Roman" w:cs="Times New Roman"/>
                <w:lang w:val="en-GB"/>
              </w:rPr>
              <w:t xml:space="preserve">2018 </w:t>
            </w:r>
            <w:r w:rsidR="0013377B">
              <w:rPr>
                <w:rFonts w:ascii="Times New Roman" w:eastAsia="Times New Roman" w:hAnsi="Times New Roman" w:cs="Times New Roman"/>
                <w:lang w:val="en-GB"/>
              </w:rPr>
              <w:t xml:space="preserve">UNDP </w:t>
            </w:r>
            <w:r w:rsidR="00FA3F6C">
              <w:rPr>
                <w:rFonts w:ascii="Times New Roman" w:eastAsia="Times New Roman" w:hAnsi="Times New Roman" w:cs="Times New Roman"/>
                <w:lang w:val="en-GB"/>
              </w:rPr>
              <w:t>continued to work</w:t>
            </w:r>
            <w:r w:rsidR="0013377B">
              <w:rPr>
                <w:rFonts w:ascii="Times New Roman" w:eastAsia="Times New Roman" w:hAnsi="Times New Roman" w:cs="Times New Roman"/>
                <w:lang w:val="en-GB"/>
              </w:rPr>
              <w:t xml:space="preserve"> with other F&amp;Ps to develop a new UNDAF guidance note, which responds more fully and effectively to the rapidly evolving development landscape. Working with our sister agencies UNFPA, UNICEF and UN Women, UNDP is also implementing the commitments made in the common chapter of our Strategic Plan to spearhead collective results and joined-up effort aimed at transformational change.</w:t>
            </w:r>
            <w:r w:rsidR="007D782E">
              <w:rPr>
                <w:rFonts w:ascii="Times New Roman" w:eastAsia="Times New Roman" w:hAnsi="Times New Roman" w:cs="Times New Roman"/>
                <w:lang w:val="en-GB"/>
              </w:rPr>
              <w:t xml:space="preserve"> UNDP </w:t>
            </w:r>
            <w:r w:rsidR="00926C51">
              <w:rPr>
                <w:rFonts w:ascii="Times New Roman" w:eastAsia="Times New Roman" w:hAnsi="Times New Roman" w:cs="Times New Roman"/>
                <w:lang w:val="en-GB"/>
              </w:rPr>
              <w:t xml:space="preserve">was invited to join the </w:t>
            </w:r>
            <w:r w:rsidR="001048B1">
              <w:rPr>
                <w:rFonts w:ascii="Times New Roman" w:eastAsia="Times New Roman" w:hAnsi="Times New Roman" w:cs="Times New Roman"/>
                <w:lang w:val="en-GB"/>
              </w:rPr>
              <w:t>Internal Review Team</w:t>
            </w:r>
            <w:r w:rsidR="00926C51">
              <w:rPr>
                <w:rFonts w:ascii="Times New Roman" w:eastAsia="Times New Roman" w:hAnsi="Times New Roman" w:cs="Times New Roman"/>
                <w:lang w:val="en-GB"/>
              </w:rPr>
              <w:t xml:space="preserve"> (IRT)</w:t>
            </w:r>
            <w:r w:rsidR="001048B1">
              <w:rPr>
                <w:rFonts w:ascii="Times New Roman" w:eastAsia="Times New Roman" w:hAnsi="Times New Roman" w:cs="Times New Roman"/>
                <w:lang w:val="en-GB"/>
              </w:rPr>
              <w:t xml:space="preserve"> </w:t>
            </w:r>
            <w:r w:rsidR="00926C51">
              <w:rPr>
                <w:rFonts w:ascii="Times New Roman" w:eastAsia="Times New Roman" w:hAnsi="Times New Roman" w:cs="Times New Roman"/>
                <w:lang w:val="en-GB"/>
              </w:rPr>
              <w:t xml:space="preserve">of the </w:t>
            </w:r>
            <w:r w:rsidR="004D50F2">
              <w:rPr>
                <w:rFonts w:ascii="Times New Roman" w:eastAsia="Times New Roman" w:hAnsi="Times New Roman" w:cs="Times New Roman"/>
                <w:lang w:val="en-GB"/>
              </w:rPr>
              <w:t>Regional Review</w:t>
            </w:r>
            <w:r w:rsidR="00926C51">
              <w:rPr>
                <w:rFonts w:ascii="Times New Roman" w:eastAsia="Times New Roman" w:hAnsi="Times New Roman" w:cs="Times New Roman"/>
                <w:lang w:val="en-GB"/>
              </w:rPr>
              <w:t xml:space="preserve"> and participated in the IRT’s two retreats.</w:t>
            </w:r>
            <w:r w:rsidR="00B63215">
              <w:rPr>
                <w:rFonts w:ascii="Times New Roman" w:eastAsia="Times New Roman" w:hAnsi="Times New Roman" w:cs="Times New Roman"/>
                <w:lang w:val="en-GB"/>
              </w:rPr>
              <w:t xml:space="preserve"> </w:t>
            </w:r>
            <w:r w:rsidR="00AB19A6">
              <w:rPr>
                <w:rFonts w:ascii="Times New Roman" w:eastAsia="Times New Roman" w:hAnsi="Times New Roman" w:cs="Times New Roman"/>
                <w:lang w:val="en-GB"/>
              </w:rPr>
              <w:t>In addition, UNDP’s</w:t>
            </w:r>
            <w:r w:rsidR="00B63215">
              <w:rPr>
                <w:rFonts w:ascii="Times New Roman" w:eastAsia="Times New Roman" w:hAnsi="Times New Roman" w:cs="Times New Roman"/>
                <w:lang w:val="en-GB"/>
              </w:rPr>
              <w:t xml:space="preserve"> country </w:t>
            </w:r>
            <w:r w:rsidR="00AB19A6">
              <w:rPr>
                <w:rFonts w:ascii="Times New Roman" w:eastAsia="Times New Roman" w:hAnsi="Times New Roman" w:cs="Times New Roman"/>
                <w:lang w:val="en-GB"/>
              </w:rPr>
              <w:t xml:space="preserve">representatives in </w:t>
            </w:r>
            <w:r w:rsidR="00CB0476">
              <w:rPr>
                <w:rFonts w:ascii="Times New Roman" w:eastAsia="Times New Roman" w:hAnsi="Times New Roman" w:cs="Times New Roman"/>
                <w:lang w:val="en-GB"/>
              </w:rPr>
              <w:t xml:space="preserve">Multi-Country Office (MCO) </w:t>
            </w:r>
            <w:r w:rsidR="00AB19A6">
              <w:rPr>
                <w:rFonts w:ascii="Times New Roman" w:eastAsia="Times New Roman" w:hAnsi="Times New Roman" w:cs="Times New Roman"/>
                <w:lang w:val="en-GB"/>
              </w:rPr>
              <w:t>settings</w:t>
            </w:r>
            <w:r w:rsidR="00B63215">
              <w:rPr>
                <w:rFonts w:ascii="Times New Roman" w:eastAsia="Times New Roman" w:hAnsi="Times New Roman" w:cs="Times New Roman"/>
                <w:lang w:val="en-GB"/>
              </w:rPr>
              <w:t xml:space="preserve"> were consulted during the field visits of the </w:t>
            </w:r>
            <w:r w:rsidR="004D50F2">
              <w:rPr>
                <w:rFonts w:ascii="Times New Roman" w:eastAsia="Times New Roman" w:hAnsi="Times New Roman" w:cs="Times New Roman"/>
                <w:lang w:val="en-GB"/>
              </w:rPr>
              <w:t xml:space="preserve">MCO </w:t>
            </w:r>
            <w:r w:rsidR="007D782E">
              <w:rPr>
                <w:rFonts w:ascii="Times New Roman" w:eastAsia="Times New Roman" w:hAnsi="Times New Roman" w:cs="Times New Roman"/>
                <w:lang w:val="en-GB"/>
              </w:rPr>
              <w:t>review</w:t>
            </w:r>
            <w:r w:rsidR="002161A8">
              <w:rPr>
                <w:rFonts w:ascii="Times New Roman" w:eastAsia="Times New Roman" w:hAnsi="Times New Roman" w:cs="Times New Roman"/>
                <w:lang w:val="en-GB"/>
              </w:rPr>
              <w:t xml:space="preserve"> and UNDP had the opportunity to engage with the team in New York.</w:t>
            </w:r>
            <w:r w:rsidR="00B63215">
              <w:rPr>
                <w:rFonts w:ascii="Times New Roman" w:eastAsia="Times New Roman" w:hAnsi="Times New Roman" w:cs="Times New Roman"/>
                <w:lang w:val="en-GB"/>
              </w:rPr>
              <w:t xml:space="preserve"> </w:t>
            </w:r>
            <w:r w:rsidR="00513225">
              <w:rPr>
                <w:rFonts w:ascii="Times New Roman" w:eastAsia="Times New Roman" w:hAnsi="Times New Roman" w:cs="Times New Roman"/>
                <w:lang w:val="en-GB"/>
              </w:rPr>
              <w:t xml:space="preserve"> </w:t>
            </w:r>
          </w:p>
          <w:p w14:paraId="6D0B5E3C" w14:textId="77777777" w:rsidR="00294EE9" w:rsidRPr="00996C98" w:rsidRDefault="00294EE9" w:rsidP="00543FD2">
            <w:pPr>
              <w:rPr>
                <w:rFonts w:ascii="Times New Roman" w:hAnsi="Times New Roman" w:cs="Times New Roman"/>
                <w:b/>
                <w:color w:val="FF0000"/>
              </w:rPr>
            </w:pPr>
          </w:p>
        </w:tc>
      </w:tr>
    </w:tbl>
    <w:p w14:paraId="5ABA7E31" w14:textId="194089C0" w:rsidR="001B216B" w:rsidRDefault="001B216B"/>
    <w:p w14:paraId="5BF147D1" w14:textId="54FE07E4" w:rsidR="00094370" w:rsidRDefault="00C73758">
      <w:r>
        <w:br w:type="page"/>
      </w:r>
    </w:p>
    <w:p w14:paraId="52D22611" w14:textId="796646EC" w:rsidR="00C73758" w:rsidRPr="002C4581" w:rsidRDefault="002C4581" w:rsidP="00C73758">
      <w:pPr>
        <w:keepNext/>
        <w:keepLines/>
        <w:pageBreakBefore/>
        <w:pBdr>
          <w:top w:val="nil"/>
          <w:left w:val="nil"/>
          <w:bottom w:val="nil"/>
          <w:right w:val="nil"/>
          <w:between w:val="nil"/>
        </w:pBdr>
        <w:spacing w:after="120" w:line="276" w:lineRule="auto"/>
        <w:ind w:right="821"/>
        <w:jc w:val="center"/>
        <w:rPr>
          <w:rFonts w:ascii="Times New Roman" w:eastAsia="Times New Roman" w:hAnsi="Times New Roman" w:cs="Times New Roman"/>
          <w:b/>
          <w:color w:val="000000"/>
          <w:sz w:val="28"/>
          <w:szCs w:val="36"/>
          <w:lang w:eastAsia="zh-CN"/>
        </w:rPr>
      </w:pPr>
      <w:r>
        <w:rPr>
          <w:rFonts w:ascii="Times New Roman" w:eastAsia="Times New Roman" w:hAnsi="Times New Roman" w:cs="Times New Roman"/>
          <w:b/>
          <w:color w:val="000000"/>
          <w:sz w:val="28"/>
          <w:szCs w:val="36"/>
          <w:lang w:eastAsia="zh-CN"/>
        </w:rPr>
        <w:lastRenderedPageBreak/>
        <w:t xml:space="preserve">2018 Results - </w:t>
      </w:r>
      <w:r w:rsidR="00C73758" w:rsidRPr="002C4581">
        <w:rPr>
          <w:rFonts w:ascii="Times New Roman" w:eastAsia="Times New Roman" w:hAnsi="Times New Roman" w:cs="Times New Roman"/>
          <w:b/>
          <w:color w:val="000000"/>
          <w:sz w:val="28"/>
          <w:szCs w:val="36"/>
          <w:lang w:eastAsia="zh-CN"/>
        </w:rPr>
        <w:t>Shared QCPR indicators</w:t>
      </w:r>
      <w:r w:rsidR="00EB5536" w:rsidRPr="002C4581">
        <w:rPr>
          <w:rFonts w:ascii="Times New Roman" w:eastAsia="Times New Roman" w:hAnsi="Times New Roman" w:cs="Times New Roman"/>
          <w:b/>
          <w:color w:val="000000"/>
          <w:sz w:val="28"/>
          <w:szCs w:val="36"/>
          <w:lang w:eastAsia="zh-CN"/>
        </w:rPr>
        <w:t xml:space="preserve"> </w:t>
      </w:r>
    </w:p>
    <w:tbl>
      <w:tblPr>
        <w:tblW w:w="14079"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0"/>
        <w:gridCol w:w="1501"/>
        <w:gridCol w:w="5220"/>
        <w:gridCol w:w="8"/>
        <w:gridCol w:w="3862"/>
        <w:gridCol w:w="8"/>
        <w:gridCol w:w="1882"/>
        <w:gridCol w:w="8"/>
      </w:tblGrid>
      <w:tr w:rsidR="00C73758" w:rsidRPr="00C73758" w14:paraId="6BA8F50C" w14:textId="77777777" w:rsidTr="00395075">
        <w:trPr>
          <w:gridAfter w:val="1"/>
          <w:wAfter w:w="8" w:type="dxa"/>
          <w:trHeight w:val="227"/>
        </w:trPr>
        <w:tc>
          <w:tcPr>
            <w:tcW w:w="1590" w:type="dxa"/>
            <w:shd w:val="clear" w:color="auto" w:fill="A4C2F4"/>
            <w:tcMar>
              <w:top w:w="100" w:type="dxa"/>
              <w:left w:w="100" w:type="dxa"/>
              <w:bottom w:w="100" w:type="dxa"/>
              <w:right w:w="100" w:type="dxa"/>
            </w:tcMar>
            <w:vAlign w:val="center"/>
          </w:tcPr>
          <w:p w14:paraId="630B4420" w14:textId="77777777" w:rsidR="00C73758" w:rsidRPr="00C73758" w:rsidRDefault="00C73758" w:rsidP="00C73758">
            <w:pPr>
              <w:pBdr>
                <w:top w:val="nil"/>
                <w:left w:val="nil"/>
                <w:bottom w:val="nil"/>
                <w:right w:val="nil"/>
                <w:between w:val="nil"/>
              </w:pBdr>
              <w:spacing w:after="0" w:line="240" w:lineRule="auto"/>
              <w:ind w:right="60"/>
              <w:jc w:val="center"/>
              <w:rPr>
                <w:rFonts w:ascii="Times New Roman" w:eastAsia="Times New Roman" w:hAnsi="Times New Roman" w:cs="Times New Roman"/>
                <w:b/>
                <w:color w:val="000000"/>
                <w:sz w:val="20"/>
                <w:szCs w:val="20"/>
                <w:lang w:eastAsia="zh-CN"/>
              </w:rPr>
            </w:pPr>
            <w:r w:rsidRPr="00C73758">
              <w:rPr>
                <w:rFonts w:ascii="Times New Roman" w:eastAsia="Times New Roman" w:hAnsi="Times New Roman" w:cs="Times New Roman"/>
                <w:b/>
                <w:color w:val="000000"/>
                <w:sz w:val="20"/>
                <w:szCs w:val="20"/>
                <w:lang w:eastAsia="zh-CN"/>
              </w:rPr>
              <w:t>QCPR Indicator Number</w:t>
            </w:r>
            <w:r w:rsidRPr="00C73758">
              <w:rPr>
                <w:rFonts w:ascii="Times New Roman" w:eastAsia="Times New Roman" w:hAnsi="Times New Roman" w:cs="Times New Roman"/>
                <w:b/>
                <w:color w:val="000000"/>
                <w:sz w:val="20"/>
                <w:szCs w:val="20"/>
                <w:vertAlign w:val="superscript"/>
                <w:lang w:eastAsia="zh-CN"/>
              </w:rPr>
              <w:footnoteReference w:id="1"/>
            </w:r>
          </w:p>
        </w:tc>
        <w:tc>
          <w:tcPr>
            <w:tcW w:w="1501" w:type="dxa"/>
            <w:shd w:val="clear" w:color="auto" w:fill="A4C2F4"/>
            <w:vAlign w:val="center"/>
          </w:tcPr>
          <w:p w14:paraId="42415EC9" w14:textId="77777777" w:rsidR="00C73758" w:rsidRPr="00C73758" w:rsidRDefault="00C73758" w:rsidP="00C73758">
            <w:pPr>
              <w:pBdr>
                <w:top w:val="nil"/>
                <w:left w:val="nil"/>
                <w:bottom w:val="nil"/>
                <w:right w:val="nil"/>
                <w:between w:val="nil"/>
              </w:pBdr>
              <w:spacing w:after="0" w:line="240" w:lineRule="auto"/>
              <w:ind w:left="-100" w:right="-114" w:hanging="17"/>
              <w:jc w:val="center"/>
              <w:rPr>
                <w:rFonts w:ascii="Times New Roman" w:eastAsia="Times New Roman" w:hAnsi="Times New Roman" w:cs="Times New Roman"/>
                <w:b/>
                <w:color w:val="000000"/>
                <w:sz w:val="20"/>
                <w:szCs w:val="20"/>
                <w:lang w:eastAsia="zh-CN"/>
              </w:rPr>
            </w:pPr>
            <w:r w:rsidRPr="00C73758">
              <w:rPr>
                <w:rFonts w:ascii="Times New Roman" w:eastAsia="Times New Roman" w:hAnsi="Times New Roman" w:cs="Times New Roman"/>
                <w:b/>
                <w:color w:val="000000"/>
                <w:sz w:val="20"/>
                <w:szCs w:val="20"/>
                <w:lang w:eastAsia="zh-CN"/>
              </w:rPr>
              <w:t>Common Chapter Annex Reference Number</w:t>
            </w:r>
          </w:p>
        </w:tc>
        <w:tc>
          <w:tcPr>
            <w:tcW w:w="5220" w:type="dxa"/>
            <w:shd w:val="clear" w:color="auto" w:fill="A4C2F4"/>
            <w:tcMar>
              <w:top w:w="100" w:type="dxa"/>
              <w:left w:w="100" w:type="dxa"/>
              <w:bottom w:w="100" w:type="dxa"/>
              <w:right w:w="100" w:type="dxa"/>
            </w:tcMar>
            <w:vAlign w:val="center"/>
          </w:tcPr>
          <w:p w14:paraId="60DE12B8" w14:textId="77777777" w:rsidR="00C73758" w:rsidRPr="00C73758" w:rsidRDefault="00C73758" w:rsidP="00C73758">
            <w:pPr>
              <w:pBdr>
                <w:top w:val="nil"/>
                <w:left w:val="nil"/>
                <w:bottom w:val="nil"/>
                <w:right w:val="nil"/>
                <w:between w:val="nil"/>
              </w:pBdr>
              <w:spacing w:after="0" w:line="240" w:lineRule="auto"/>
              <w:ind w:left="-100" w:right="820" w:firstLine="410"/>
              <w:jc w:val="center"/>
              <w:rPr>
                <w:rFonts w:ascii="Times New Roman" w:eastAsia="Times New Roman" w:hAnsi="Times New Roman" w:cs="Times New Roman"/>
                <w:b/>
                <w:color w:val="000000"/>
                <w:sz w:val="20"/>
                <w:szCs w:val="20"/>
                <w:lang w:eastAsia="zh-CN"/>
              </w:rPr>
            </w:pPr>
            <w:r w:rsidRPr="00C73758">
              <w:rPr>
                <w:rFonts w:ascii="Times New Roman" w:eastAsia="Times New Roman" w:hAnsi="Times New Roman" w:cs="Times New Roman"/>
                <w:b/>
                <w:color w:val="000000"/>
                <w:sz w:val="20"/>
                <w:szCs w:val="20"/>
                <w:lang w:eastAsia="zh-CN"/>
              </w:rPr>
              <w:t>QCPR indicator</w:t>
            </w:r>
          </w:p>
        </w:tc>
        <w:tc>
          <w:tcPr>
            <w:tcW w:w="3870" w:type="dxa"/>
            <w:gridSpan w:val="2"/>
            <w:shd w:val="clear" w:color="auto" w:fill="A4C2F4"/>
            <w:vAlign w:val="center"/>
          </w:tcPr>
          <w:p w14:paraId="4281048B" w14:textId="77777777" w:rsidR="00C73758" w:rsidRPr="00C73758" w:rsidRDefault="00C73758" w:rsidP="00C73758">
            <w:pPr>
              <w:pBdr>
                <w:top w:val="nil"/>
                <w:left w:val="nil"/>
                <w:bottom w:val="nil"/>
                <w:right w:val="nil"/>
                <w:between w:val="nil"/>
              </w:pBdr>
              <w:spacing w:after="0" w:line="240" w:lineRule="auto"/>
              <w:ind w:left="-100" w:right="-110" w:hanging="15"/>
              <w:jc w:val="center"/>
              <w:rPr>
                <w:rFonts w:ascii="Times New Roman" w:eastAsia="Times New Roman" w:hAnsi="Times New Roman" w:cs="Times New Roman"/>
                <w:b/>
                <w:color w:val="000000"/>
                <w:sz w:val="20"/>
                <w:szCs w:val="20"/>
                <w:lang w:eastAsia="zh-CN"/>
              </w:rPr>
            </w:pPr>
            <w:r w:rsidRPr="00C73758">
              <w:rPr>
                <w:rFonts w:ascii="Times New Roman" w:eastAsia="Times New Roman" w:hAnsi="Times New Roman" w:cs="Times New Roman"/>
                <w:b/>
                <w:color w:val="000000"/>
                <w:sz w:val="20"/>
                <w:szCs w:val="20"/>
                <w:lang w:eastAsia="zh-CN"/>
              </w:rPr>
              <w:t>2018 Result</w:t>
            </w:r>
          </w:p>
        </w:tc>
        <w:tc>
          <w:tcPr>
            <w:tcW w:w="1890" w:type="dxa"/>
            <w:gridSpan w:val="2"/>
            <w:shd w:val="clear" w:color="auto" w:fill="A4C2F4"/>
            <w:vAlign w:val="center"/>
          </w:tcPr>
          <w:p w14:paraId="6A983152" w14:textId="77777777" w:rsidR="00C73758" w:rsidRPr="00C73758" w:rsidRDefault="00C73758" w:rsidP="00C73758">
            <w:pPr>
              <w:pBdr>
                <w:top w:val="nil"/>
                <w:left w:val="nil"/>
                <w:bottom w:val="nil"/>
                <w:right w:val="nil"/>
                <w:between w:val="nil"/>
              </w:pBdr>
              <w:spacing w:after="0" w:line="240" w:lineRule="auto"/>
              <w:ind w:left="-100" w:right="-29" w:hanging="19"/>
              <w:jc w:val="center"/>
              <w:rPr>
                <w:rFonts w:ascii="Times New Roman" w:eastAsia="Times New Roman" w:hAnsi="Times New Roman" w:cs="Times New Roman"/>
                <w:b/>
                <w:color w:val="000000"/>
                <w:sz w:val="20"/>
                <w:szCs w:val="20"/>
                <w:lang w:eastAsia="zh-CN"/>
              </w:rPr>
            </w:pPr>
            <w:r w:rsidRPr="00C73758">
              <w:rPr>
                <w:rFonts w:ascii="Times New Roman" w:eastAsia="Times New Roman" w:hAnsi="Times New Roman" w:cs="Times New Roman"/>
                <w:b/>
                <w:color w:val="000000"/>
                <w:sz w:val="20"/>
                <w:szCs w:val="20"/>
                <w:lang w:eastAsia="zh-CN"/>
              </w:rPr>
              <w:t>Data Source</w:t>
            </w:r>
          </w:p>
        </w:tc>
      </w:tr>
      <w:tr w:rsidR="00C73758" w:rsidRPr="00C73758" w14:paraId="700995CC" w14:textId="77777777" w:rsidTr="00395075">
        <w:trPr>
          <w:trHeight w:val="107"/>
        </w:trPr>
        <w:tc>
          <w:tcPr>
            <w:tcW w:w="8319" w:type="dxa"/>
            <w:gridSpan w:val="4"/>
            <w:shd w:val="clear" w:color="auto" w:fill="CFE2F3"/>
          </w:tcPr>
          <w:p w14:paraId="4BCDBA88" w14:textId="77777777" w:rsidR="00C73758" w:rsidRPr="00C73758" w:rsidRDefault="00C73758" w:rsidP="00C73758">
            <w:pPr>
              <w:pBdr>
                <w:top w:val="nil"/>
                <w:left w:val="nil"/>
                <w:bottom w:val="nil"/>
                <w:right w:val="nil"/>
                <w:between w:val="nil"/>
              </w:pBdr>
              <w:spacing w:after="0" w:line="240" w:lineRule="auto"/>
              <w:ind w:left="-101" w:right="202" w:firstLine="274"/>
              <w:jc w:val="both"/>
              <w:rPr>
                <w:rFonts w:ascii="Times New Roman" w:eastAsia="Times New Roman" w:hAnsi="Times New Roman" w:cs="Times New Roman"/>
                <w:color w:val="000000"/>
                <w:sz w:val="20"/>
                <w:szCs w:val="20"/>
                <w:lang w:eastAsia="zh-CN"/>
              </w:rPr>
            </w:pPr>
            <w:r w:rsidRPr="00C73758">
              <w:rPr>
                <w:rFonts w:ascii="Times New Roman" w:eastAsia="Cambria" w:hAnsi="Times New Roman" w:cs="Times New Roman"/>
                <w:b/>
                <w:color w:val="000000"/>
                <w:sz w:val="20"/>
                <w:szCs w:val="20"/>
                <w:lang w:eastAsia="zh-CN"/>
              </w:rPr>
              <w:t>Alignment of planning processes</w:t>
            </w:r>
          </w:p>
        </w:tc>
        <w:tc>
          <w:tcPr>
            <w:tcW w:w="3870" w:type="dxa"/>
            <w:gridSpan w:val="2"/>
            <w:shd w:val="clear" w:color="auto" w:fill="CFE2F3"/>
          </w:tcPr>
          <w:p w14:paraId="2E79BFE9" w14:textId="77777777" w:rsidR="00C73758" w:rsidRPr="00C73758" w:rsidRDefault="00C73758" w:rsidP="00C73758">
            <w:pPr>
              <w:pBdr>
                <w:top w:val="nil"/>
                <w:left w:val="nil"/>
                <w:bottom w:val="nil"/>
                <w:right w:val="nil"/>
                <w:between w:val="nil"/>
              </w:pBdr>
              <w:spacing w:after="0" w:line="240" w:lineRule="auto"/>
              <w:ind w:left="-101" w:right="202" w:firstLine="274"/>
              <w:jc w:val="both"/>
              <w:rPr>
                <w:rFonts w:ascii="Times New Roman" w:eastAsia="Cambria" w:hAnsi="Times New Roman" w:cs="Times New Roman"/>
                <w:b/>
                <w:color w:val="000000"/>
                <w:sz w:val="20"/>
                <w:szCs w:val="20"/>
                <w:lang w:eastAsia="zh-CN"/>
              </w:rPr>
            </w:pPr>
          </w:p>
        </w:tc>
        <w:tc>
          <w:tcPr>
            <w:tcW w:w="1890" w:type="dxa"/>
            <w:gridSpan w:val="2"/>
            <w:shd w:val="clear" w:color="auto" w:fill="CFE2F3"/>
            <w:vAlign w:val="center"/>
          </w:tcPr>
          <w:p w14:paraId="0FC41295" w14:textId="77777777" w:rsidR="00C73758" w:rsidRPr="00C73758" w:rsidRDefault="00C73758" w:rsidP="00C73758">
            <w:pPr>
              <w:pBdr>
                <w:top w:val="nil"/>
                <w:left w:val="nil"/>
                <w:bottom w:val="nil"/>
                <w:right w:val="nil"/>
                <w:between w:val="nil"/>
              </w:pBdr>
              <w:spacing w:after="0" w:line="240" w:lineRule="auto"/>
              <w:ind w:left="-101" w:right="202" w:firstLine="274"/>
              <w:jc w:val="center"/>
              <w:rPr>
                <w:rFonts w:ascii="Times New Roman" w:eastAsia="Cambria" w:hAnsi="Times New Roman" w:cs="Times New Roman"/>
                <w:b/>
                <w:color w:val="000000"/>
                <w:sz w:val="20"/>
                <w:szCs w:val="20"/>
                <w:lang w:eastAsia="zh-CN"/>
              </w:rPr>
            </w:pPr>
          </w:p>
        </w:tc>
      </w:tr>
      <w:tr w:rsidR="00C73758" w:rsidRPr="00C73758" w14:paraId="09A8B786" w14:textId="77777777" w:rsidTr="00395075">
        <w:trPr>
          <w:gridAfter w:val="1"/>
          <w:wAfter w:w="8" w:type="dxa"/>
          <w:trHeight w:val="40"/>
        </w:trPr>
        <w:tc>
          <w:tcPr>
            <w:tcW w:w="1590" w:type="dxa"/>
            <w:tcMar>
              <w:top w:w="100" w:type="dxa"/>
              <w:left w:w="100" w:type="dxa"/>
              <w:bottom w:w="100" w:type="dxa"/>
              <w:right w:w="100" w:type="dxa"/>
            </w:tcMar>
            <w:vAlign w:val="center"/>
          </w:tcPr>
          <w:p w14:paraId="3AC4B1BD" w14:textId="77777777" w:rsidR="00C73758" w:rsidRPr="00C73758" w:rsidRDefault="00C73758" w:rsidP="00C73758">
            <w:pPr>
              <w:pBdr>
                <w:top w:val="nil"/>
                <w:left w:val="nil"/>
                <w:bottom w:val="nil"/>
                <w:right w:val="nil"/>
                <w:between w:val="nil"/>
              </w:pBdr>
              <w:spacing w:after="0" w:line="240" w:lineRule="auto"/>
              <w:ind w:left="-100" w:right="24" w:firstLine="100"/>
              <w:jc w:val="center"/>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82</w:t>
            </w:r>
          </w:p>
        </w:tc>
        <w:tc>
          <w:tcPr>
            <w:tcW w:w="1501" w:type="dxa"/>
            <w:vAlign w:val="center"/>
          </w:tcPr>
          <w:p w14:paraId="26E3789A" w14:textId="77777777" w:rsidR="00C73758" w:rsidRPr="00C73758" w:rsidRDefault="00C73758" w:rsidP="00C73758">
            <w:pPr>
              <w:pBdr>
                <w:top w:val="nil"/>
                <w:left w:val="nil"/>
                <w:bottom w:val="nil"/>
                <w:right w:val="nil"/>
                <w:between w:val="nil"/>
              </w:pBdr>
              <w:spacing w:after="0" w:line="240" w:lineRule="auto"/>
              <w:ind w:right="20"/>
              <w:jc w:val="center"/>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QCPR 9.a</w:t>
            </w:r>
          </w:p>
        </w:tc>
        <w:tc>
          <w:tcPr>
            <w:tcW w:w="5220" w:type="dxa"/>
            <w:tcMar>
              <w:top w:w="100" w:type="dxa"/>
              <w:left w:w="100" w:type="dxa"/>
              <w:bottom w:w="100" w:type="dxa"/>
              <w:right w:w="100" w:type="dxa"/>
            </w:tcMar>
            <w:vAlign w:val="center"/>
          </w:tcPr>
          <w:p w14:paraId="7F9676B8" w14:textId="77777777" w:rsidR="00C73758" w:rsidRPr="00C73758" w:rsidRDefault="00C73758" w:rsidP="00C73758">
            <w:pPr>
              <w:pBdr>
                <w:top w:val="nil"/>
                <w:left w:val="nil"/>
                <w:bottom w:val="nil"/>
                <w:right w:val="nil"/>
                <w:between w:val="nil"/>
              </w:pBdr>
              <w:spacing w:after="0" w:line="240" w:lineRule="auto"/>
              <w:ind w:left="210" w:right="20"/>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Fraction of the United Nations country teams (UNCT) with: (i) joint National/United Nations Steering Committee chaired by the Government; (ii) signed United Nations Development Assistance Framework (UNDAF) at the outcome level, with legal text as appropriate or equivalent</w:t>
            </w:r>
          </w:p>
        </w:tc>
        <w:tc>
          <w:tcPr>
            <w:tcW w:w="3870" w:type="dxa"/>
            <w:gridSpan w:val="2"/>
            <w:vAlign w:val="center"/>
          </w:tcPr>
          <w:p w14:paraId="4A557BB0" w14:textId="77777777" w:rsidR="00C73758" w:rsidRPr="00C73758" w:rsidRDefault="00C73758" w:rsidP="00C73758">
            <w:pPr>
              <w:numPr>
                <w:ilvl w:val="0"/>
                <w:numId w:val="32"/>
              </w:numPr>
              <w:pBdr>
                <w:top w:val="nil"/>
                <w:left w:val="nil"/>
                <w:bottom w:val="nil"/>
                <w:right w:val="nil"/>
                <w:between w:val="nil"/>
              </w:pBdr>
              <w:spacing w:after="0" w:line="240" w:lineRule="auto"/>
              <w:ind w:left="337" w:right="20" w:hanging="337"/>
              <w:contextualSpacing/>
              <w:jc w:val="center"/>
              <w:rPr>
                <w:rFonts w:ascii="Times New Roman" w:eastAsia="Times New Roman" w:hAnsi="Times New Roman" w:cs="Times New Roman"/>
                <w:sz w:val="20"/>
                <w:szCs w:val="20"/>
                <w:lang w:eastAsia="zh-CN"/>
              </w:rPr>
            </w:pPr>
            <w:r w:rsidRPr="00C73758">
              <w:rPr>
                <w:rFonts w:ascii="Times New Roman" w:eastAsia="Times New Roman" w:hAnsi="Times New Roman" w:cs="Times New Roman"/>
                <w:sz w:val="20"/>
                <w:szCs w:val="20"/>
                <w:lang w:eastAsia="zh-CN"/>
              </w:rPr>
              <w:t>72 of 130 countries (55.4%)</w:t>
            </w:r>
          </w:p>
          <w:p w14:paraId="4C76D8BE" w14:textId="77777777" w:rsidR="00C73758" w:rsidRPr="00C73758" w:rsidRDefault="00C73758" w:rsidP="00C73758">
            <w:pPr>
              <w:numPr>
                <w:ilvl w:val="0"/>
                <w:numId w:val="32"/>
              </w:numPr>
              <w:pBdr>
                <w:top w:val="nil"/>
                <w:left w:val="nil"/>
                <w:bottom w:val="nil"/>
                <w:right w:val="nil"/>
                <w:between w:val="nil"/>
              </w:pBdr>
              <w:spacing w:after="0" w:line="240" w:lineRule="auto"/>
              <w:ind w:left="337" w:right="20" w:hanging="337"/>
              <w:contextualSpacing/>
              <w:jc w:val="center"/>
              <w:rPr>
                <w:rFonts w:ascii="Times New Roman" w:eastAsia="Times New Roman" w:hAnsi="Times New Roman" w:cs="Times New Roman"/>
                <w:sz w:val="20"/>
                <w:szCs w:val="20"/>
                <w:lang w:eastAsia="zh-CN"/>
              </w:rPr>
            </w:pPr>
            <w:r w:rsidRPr="00C73758">
              <w:rPr>
                <w:rFonts w:ascii="Times New Roman" w:eastAsia="Times New Roman" w:hAnsi="Times New Roman" w:cs="Times New Roman"/>
                <w:sz w:val="20"/>
                <w:szCs w:val="20"/>
                <w:lang w:eastAsia="zh-CN"/>
              </w:rPr>
              <w:t>99 of 130 countries (76.2%)</w:t>
            </w:r>
          </w:p>
        </w:tc>
        <w:tc>
          <w:tcPr>
            <w:tcW w:w="1890" w:type="dxa"/>
            <w:gridSpan w:val="2"/>
            <w:vAlign w:val="center"/>
          </w:tcPr>
          <w:p w14:paraId="0665C7A5" w14:textId="77777777" w:rsidR="00C73758" w:rsidRPr="00C73758" w:rsidRDefault="00C73758" w:rsidP="00C73758">
            <w:pPr>
              <w:pBdr>
                <w:top w:val="nil"/>
                <w:left w:val="nil"/>
                <w:bottom w:val="nil"/>
                <w:right w:val="nil"/>
                <w:between w:val="nil"/>
              </w:pBdr>
              <w:spacing w:after="0" w:line="240" w:lineRule="auto"/>
              <w:ind w:right="20" w:hanging="28"/>
              <w:jc w:val="center"/>
              <w:rPr>
                <w:rFonts w:ascii="Times New Roman" w:eastAsia="Times New Roman" w:hAnsi="Times New Roman" w:cs="Times New Roman"/>
                <w:sz w:val="20"/>
                <w:szCs w:val="20"/>
                <w:lang w:eastAsia="zh-CN"/>
              </w:rPr>
            </w:pPr>
            <w:r w:rsidRPr="00C73758">
              <w:rPr>
                <w:rFonts w:ascii="Times New Roman" w:eastAsia="Times New Roman" w:hAnsi="Times New Roman" w:cs="Times New Roman"/>
                <w:sz w:val="20"/>
                <w:szCs w:val="20"/>
                <w:lang w:eastAsia="zh-CN"/>
              </w:rPr>
              <w:t xml:space="preserve">DCO IMS 2018 </w:t>
            </w:r>
            <w:r w:rsidRPr="00C73758">
              <w:rPr>
                <w:rFonts w:ascii="Times New Roman" w:eastAsia="Times New Roman" w:hAnsi="Times New Roman" w:cs="Times New Roman"/>
                <w:sz w:val="20"/>
                <w:szCs w:val="20"/>
                <w:vertAlign w:val="superscript"/>
                <w:lang w:eastAsia="zh-CN"/>
              </w:rPr>
              <w:footnoteReference w:id="2"/>
            </w:r>
          </w:p>
        </w:tc>
      </w:tr>
      <w:tr w:rsidR="00C73758" w:rsidRPr="00C73758" w14:paraId="01C1F8D8" w14:textId="77777777" w:rsidTr="00395075">
        <w:trPr>
          <w:gridAfter w:val="1"/>
          <w:wAfter w:w="8" w:type="dxa"/>
          <w:trHeight w:val="242"/>
        </w:trPr>
        <w:tc>
          <w:tcPr>
            <w:tcW w:w="1590" w:type="dxa"/>
            <w:tcMar>
              <w:top w:w="100" w:type="dxa"/>
              <w:left w:w="100" w:type="dxa"/>
              <w:bottom w:w="100" w:type="dxa"/>
              <w:right w:w="100" w:type="dxa"/>
            </w:tcMar>
            <w:vAlign w:val="center"/>
          </w:tcPr>
          <w:p w14:paraId="28953419" w14:textId="77777777" w:rsidR="00C73758" w:rsidRPr="00C73758" w:rsidRDefault="00C73758" w:rsidP="00C73758">
            <w:pPr>
              <w:pBdr>
                <w:top w:val="nil"/>
                <w:left w:val="nil"/>
                <w:bottom w:val="nil"/>
                <w:right w:val="nil"/>
                <w:between w:val="nil"/>
              </w:pBdr>
              <w:spacing w:after="0" w:line="240" w:lineRule="auto"/>
              <w:ind w:left="-100" w:right="24" w:firstLine="100"/>
              <w:jc w:val="center"/>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84</w:t>
            </w:r>
          </w:p>
        </w:tc>
        <w:tc>
          <w:tcPr>
            <w:tcW w:w="1501" w:type="dxa"/>
            <w:vAlign w:val="center"/>
          </w:tcPr>
          <w:p w14:paraId="7EFC6132" w14:textId="77777777" w:rsidR="00C73758" w:rsidRPr="00C73758" w:rsidRDefault="00C73758" w:rsidP="00C73758">
            <w:pPr>
              <w:pBdr>
                <w:top w:val="nil"/>
                <w:left w:val="nil"/>
                <w:bottom w:val="nil"/>
                <w:right w:val="nil"/>
                <w:between w:val="nil"/>
              </w:pBdr>
              <w:spacing w:after="0" w:line="240" w:lineRule="auto"/>
              <w:ind w:left="210" w:right="20"/>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QCPR 11.c</w:t>
            </w:r>
          </w:p>
        </w:tc>
        <w:tc>
          <w:tcPr>
            <w:tcW w:w="5220" w:type="dxa"/>
            <w:tcMar>
              <w:top w:w="100" w:type="dxa"/>
              <w:left w:w="100" w:type="dxa"/>
              <w:bottom w:w="100" w:type="dxa"/>
              <w:right w:w="100" w:type="dxa"/>
            </w:tcMar>
            <w:vAlign w:val="center"/>
          </w:tcPr>
          <w:p w14:paraId="3329AB42" w14:textId="77777777" w:rsidR="00C73758" w:rsidRPr="00C73758" w:rsidRDefault="00C73758" w:rsidP="00C73758">
            <w:pPr>
              <w:pBdr>
                <w:top w:val="nil"/>
                <w:left w:val="nil"/>
                <w:bottom w:val="nil"/>
                <w:right w:val="nil"/>
                <w:between w:val="nil"/>
              </w:pBdr>
              <w:spacing w:after="0" w:line="240" w:lineRule="auto"/>
              <w:ind w:left="210" w:right="20"/>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 of UNCTs with Result Groups aligned with national coordination mechanisms</w:t>
            </w:r>
          </w:p>
        </w:tc>
        <w:tc>
          <w:tcPr>
            <w:tcW w:w="3870" w:type="dxa"/>
            <w:gridSpan w:val="2"/>
            <w:vAlign w:val="center"/>
          </w:tcPr>
          <w:p w14:paraId="609BD2A0" w14:textId="77777777" w:rsidR="00C73758" w:rsidRPr="00C73758" w:rsidRDefault="00C73758" w:rsidP="00C73758">
            <w:pPr>
              <w:pBdr>
                <w:top w:val="nil"/>
                <w:left w:val="nil"/>
                <w:bottom w:val="nil"/>
                <w:right w:val="nil"/>
                <w:between w:val="nil"/>
              </w:pBdr>
              <w:spacing w:after="0" w:line="240" w:lineRule="auto"/>
              <w:ind w:right="20"/>
              <w:jc w:val="center"/>
              <w:rPr>
                <w:rFonts w:ascii="Times New Roman" w:eastAsia="Times New Roman" w:hAnsi="Times New Roman" w:cs="Times New Roman"/>
                <w:sz w:val="20"/>
                <w:szCs w:val="20"/>
                <w:lang w:eastAsia="zh-CN"/>
              </w:rPr>
            </w:pPr>
            <w:r w:rsidRPr="00C73758">
              <w:rPr>
                <w:rFonts w:ascii="Times New Roman" w:eastAsia="Times New Roman" w:hAnsi="Times New Roman" w:cs="Times New Roman"/>
                <w:sz w:val="20"/>
                <w:szCs w:val="20"/>
                <w:lang w:eastAsia="zh-CN"/>
              </w:rPr>
              <w:t>104 of 130 countries (80.0%)</w:t>
            </w:r>
          </w:p>
        </w:tc>
        <w:tc>
          <w:tcPr>
            <w:tcW w:w="1890" w:type="dxa"/>
            <w:gridSpan w:val="2"/>
            <w:vAlign w:val="center"/>
          </w:tcPr>
          <w:p w14:paraId="54EC212F" w14:textId="77777777" w:rsidR="00C73758" w:rsidRPr="00C73758" w:rsidRDefault="00C73758" w:rsidP="00C73758">
            <w:pPr>
              <w:pBdr>
                <w:top w:val="nil"/>
                <w:left w:val="nil"/>
                <w:bottom w:val="nil"/>
                <w:right w:val="nil"/>
                <w:between w:val="nil"/>
              </w:pBdr>
              <w:spacing w:after="0" w:line="240" w:lineRule="auto"/>
              <w:ind w:right="20" w:hanging="28"/>
              <w:jc w:val="center"/>
              <w:rPr>
                <w:rFonts w:ascii="Times New Roman" w:eastAsia="Times New Roman" w:hAnsi="Times New Roman" w:cs="Times New Roman"/>
                <w:sz w:val="20"/>
                <w:szCs w:val="20"/>
                <w:lang w:eastAsia="zh-CN"/>
              </w:rPr>
            </w:pPr>
            <w:r w:rsidRPr="00C73758">
              <w:rPr>
                <w:rFonts w:ascii="Times New Roman" w:eastAsia="Times New Roman" w:hAnsi="Times New Roman" w:cs="Times New Roman"/>
                <w:sz w:val="20"/>
                <w:szCs w:val="20"/>
                <w:lang w:eastAsia="zh-CN"/>
              </w:rPr>
              <w:t>DCO IMS 2018</w:t>
            </w:r>
          </w:p>
        </w:tc>
      </w:tr>
      <w:tr w:rsidR="00C73758" w:rsidRPr="00C73758" w14:paraId="4F7023E0" w14:textId="77777777" w:rsidTr="00395075">
        <w:trPr>
          <w:gridAfter w:val="1"/>
          <w:wAfter w:w="8" w:type="dxa"/>
          <w:trHeight w:val="220"/>
        </w:trPr>
        <w:tc>
          <w:tcPr>
            <w:tcW w:w="1590" w:type="dxa"/>
            <w:tcMar>
              <w:top w:w="100" w:type="dxa"/>
              <w:left w:w="100" w:type="dxa"/>
              <w:bottom w:w="100" w:type="dxa"/>
              <w:right w:w="100" w:type="dxa"/>
            </w:tcMar>
            <w:vAlign w:val="center"/>
          </w:tcPr>
          <w:p w14:paraId="0974381C" w14:textId="77777777" w:rsidR="00C73758" w:rsidRPr="00C73758" w:rsidRDefault="00C73758" w:rsidP="00C73758">
            <w:pPr>
              <w:pBdr>
                <w:top w:val="nil"/>
                <w:left w:val="nil"/>
                <w:bottom w:val="nil"/>
                <w:right w:val="nil"/>
                <w:between w:val="nil"/>
              </w:pBdr>
              <w:tabs>
                <w:tab w:val="left" w:pos="743"/>
              </w:tabs>
              <w:spacing w:after="0" w:line="240" w:lineRule="auto"/>
              <w:ind w:left="-100" w:firstLine="100"/>
              <w:jc w:val="center"/>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85</w:t>
            </w:r>
          </w:p>
        </w:tc>
        <w:tc>
          <w:tcPr>
            <w:tcW w:w="1501" w:type="dxa"/>
            <w:vAlign w:val="center"/>
          </w:tcPr>
          <w:p w14:paraId="4A994225" w14:textId="77777777" w:rsidR="00C73758" w:rsidRPr="00C73758" w:rsidRDefault="00C73758" w:rsidP="00C73758">
            <w:pPr>
              <w:pBdr>
                <w:top w:val="nil"/>
                <w:left w:val="nil"/>
                <w:bottom w:val="nil"/>
                <w:right w:val="nil"/>
                <w:between w:val="nil"/>
              </w:pBdr>
              <w:spacing w:after="0" w:line="240" w:lineRule="auto"/>
              <w:ind w:left="210" w:right="20"/>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QCPR 11.d</w:t>
            </w:r>
          </w:p>
        </w:tc>
        <w:tc>
          <w:tcPr>
            <w:tcW w:w="5220" w:type="dxa"/>
            <w:tcMar>
              <w:top w:w="100" w:type="dxa"/>
              <w:left w:w="100" w:type="dxa"/>
              <w:bottom w:w="100" w:type="dxa"/>
              <w:right w:w="100" w:type="dxa"/>
            </w:tcMar>
            <w:vAlign w:val="center"/>
          </w:tcPr>
          <w:p w14:paraId="748B6A35" w14:textId="77777777" w:rsidR="00C73758" w:rsidRPr="00C73758" w:rsidRDefault="00C73758" w:rsidP="00C73758">
            <w:pPr>
              <w:pBdr>
                <w:top w:val="nil"/>
                <w:left w:val="nil"/>
                <w:bottom w:val="nil"/>
                <w:right w:val="nil"/>
                <w:between w:val="nil"/>
              </w:pBdr>
              <w:spacing w:after="0" w:line="240" w:lineRule="auto"/>
              <w:ind w:left="210" w:right="20"/>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 of UNCTs with Joint Workplans (of Results Groups) that are aligned with the UNDAF and signed by all involved entities</w:t>
            </w:r>
          </w:p>
        </w:tc>
        <w:tc>
          <w:tcPr>
            <w:tcW w:w="3870" w:type="dxa"/>
            <w:gridSpan w:val="2"/>
            <w:vAlign w:val="center"/>
          </w:tcPr>
          <w:p w14:paraId="23766FF0" w14:textId="77777777" w:rsidR="00C73758" w:rsidRPr="00C73758" w:rsidRDefault="00C73758" w:rsidP="00C73758">
            <w:pPr>
              <w:pBdr>
                <w:top w:val="nil"/>
                <w:left w:val="nil"/>
                <w:bottom w:val="nil"/>
                <w:right w:val="nil"/>
                <w:between w:val="nil"/>
              </w:pBdr>
              <w:spacing w:after="0" w:line="240" w:lineRule="auto"/>
              <w:ind w:right="20"/>
              <w:jc w:val="center"/>
              <w:rPr>
                <w:rFonts w:ascii="Times New Roman" w:eastAsia="Times New Roman" w:hAnsi="Times New Roman" w:cs="Times New Roman"/>
                <w:sz w:val="20"/>
                <w:szCs w:val="20"/>
                <w:lang w:eastAsia="zh-CN"/>
              </w:rPr>
            </w:pPr>
            <w:r w:rsidRPr="00C73758">
              <w:rPr>
                <w:rFonts w:ascii="Times New Roman" w:eastAsia="Times New Roman" w:hAnsi="Times New Roman" w:cs="Times New Roman"/>
                <w:sz w:val="20"/>
                <w:szCs w:val="20"/>
                <w:lang w:eastAsia="zh-CN"/>
              </w:rPr>
              <w:t>71 of 130 countries (54.6%)</w:t>
            </w:r>
          </w:p>
        </w:tc>
        <w:tc>
          <w:tcPr>
            <w:tcW w:w="1890" w:type="dxa"/>
            <w:gridSpan w:val="2"/>
            <w:vAlign w:val="center"/>
          </w:tcPr>
          <w:p w14:paraId="11B10742" w14:textId="77777777" w:rsidR="00C73758" w:rsidRPr="00C73758" w:rsidRDefault="00C73758" w:rsidP="00C73758">
            <w:pPr>
              <w:pBdr>
                <w:top w:val="nil"/>
                <w:left w:val="nil"/>
                <w:bottom w:val="nil"/>
                <w:right w:val="nil"/>
                <w:between w:val="nil"/>
              </w:pBdr>
              <w:spacing w:after="0" w:line="240" w:lineRule="auto"/>
              <w:ind w:right="20"/>
              <w:jc w:val="center"/>
              <w:rPr>
                <w:rFonts w:ascii="Times New Roman" w:eastAsia="Times New Roman" w:hAnsi="Times New Roman" w:cs="Times New Roman"/>
                <w:sz w:val="20"/>
                <w:szCs w:val="20"/>
                <w:lang w:eastAsia="zh-CN"/>
              </w:rPr>
            </w:pPr>
            <w:r w:rsidRPr="00C73758">
              <w:rPr>
                <w:rFonts w:ascii="Times New Roman" w:eastAsia="Times New Roman" w:hAnsi="Times New Roman" w:cs="Times New Roman"/>
                <w:sz w:val="20"/>
                <w:szCs w:val="20"/>
                <w:lang w:eastAsia="zh-CN"/>
              </w:rPr>
              <w:t>DCO IMS 2018</w:t>
            </w:r>
          </w:p>
        </w:tc>
      </w:tr>
      <w:tr w:rsidR="00C73758" w:rsidRPr="00C73758" w14:paraId="7F2D1769" w14:textId="77777777" w:rsidTr="00395075">
        <w:trPr>
          <w:trHeight w:val="125"/>
        </w:trPr>
        <w:tc>
          <w:tcPr>
            <w:tcW w:w="8319" w:type="dxa"/>
            <w:gridSpan w:val="4"/>
            <w:shd w:val="clear" w:color="auto" w:fill="CFE2F3"/>
          </w:tcPr>
          <w:p w14:paraId="1C1D2B5C" w14:textId="77777777" w:rsidR="00C73758" w:rsidRPr="00C73758" w:rsidRDefault="00C73758" w:rsidP="00C73758">
            <w:pPr>
              <w:pBdr>
                <w:top w:val="nil"/>
                <w:left w:val="nil"/>
                <w:bottom w:val="nil"/>
                <w:right w:val="nil"/>
                <w:between w:val="nil"/>
              </w:pBdr>
              <w:spacing w:after="0" w:line="240" w:lineRule="auto"/>
              <w:ind w:left="-100" w:right="200" w:firstLine="275"/>
              <w:rPr>
                <w:rFonts w:ascii="Times New Roman" w:eastAsia="Times New Roman" w:hAnsi="Times New Roman" w:cs="Times New Roman"/>
                <w:color w:val="000000"/>
                <w:sz w:val="20"/>
                <w:szCs w:val="20"/>
                <w:lang w:eastAsia="zh-CN"/>
              </w:rPr>
            </w:pPr>
            <w:r w:rsidRPr="00C73758">
              <w:rPr>
                <w:rFonts w:ascii="Times New Roman" w:eastAsia="Cambria" w:hAnsi="Times New Roman" w:cs="Times New Roman"/>
                <w:b/>
                <w:color w:val="000000"/>
                <w:sz w:val="20"/>
                <w:szCs w:val="20"/>
                <w:lang w:eastAsia="zh-CN"/>
              </w:rPr>
              <w:t xml:space="preserve">Funding </w:t>
            </w:r>
          </w:p>
        </w:tc>
        <w:tc>
          <w:tcPr>
            <w:tcW w:w="3870" w:type="dxa"/>
            <w:gridSpan w:val="2"/>
            <w:shd w:val="clear" w:color="auto" w:fill="CFE2F3"/>
            <w:vAlign w:val="center"/>
          </w:tcPr>
          <w:p w14:paraId="261519E0" w14:textId="77777777" w:rsidR="00C73758" w:rsidRPr="00C73758" w:rsidRDefault="00C73758" w:rsidP="00C73758">
            <w:pPr>
              <w:pBdr>
                <w:top w:val="nil"/>
                <w:left w:val="nil"/>
                <w:bottom w:val="nil"/>
                <w:right w:val="nil"/>
                <w:between w:val="nil"/>
              </w:pBdr>
              <w:spacing w:after="0" w:line="240" w:lineRule="auto"/>
              <w:ind w:left="-100" w:right="200" w:firstLine="275"/>
              <w:rPr>
                <w:rFonts w:ascii="Times New Roman" w:eastAsia="Cambria" w:hAnsi="Times New Roman" w:cs="Times New Roman"/>
                <w:b/>
                <w:color w:val="000000"/>
                <w:sz w:val="20"/>
                <w:szCs w:val="20"/>
                <w:lang w:eastAsia="zh-CN"/>
              </w:rPr>
            </w:pPr>
          </w:p>
        </w:tc>
        <w:tc>
          <w:tcPr>
            <w:tcW w:w="1890" w:type="dxa"/>
            <w:gridSpan w:val="2"/>
            <w:shd w:val="clear" w:color="auto" w:fill="CFE2F3"/>
            <w:vAlign w:val="center"/>
          </w:tcPr>
          <w:p w14:paraId="128E7BB9" w14:textId="77777777" w:rsidR="00C73758" w:rsidRPr="00C73758" w:rsidRDefault="00C73758" w:rsidP="00C73758">
            <w:pPr>
              <w:pBdr>
                <w:top w:val="nil"/>
                <w:left w:val="nil"/>
                <w:bottom w:val="nil"/>
                <w:right w:val="nil"/>
                <w:between w:val="nil"/>
              </w:pBdr>
              <w:spacing w:after="0" w:line="240" w:lineRule="auto"/>
              <w:ind w:left="-100" w:right="200" w:firstLine="275"/>
              <w:jc w:val="center"/>
              <w:rPr>
                <w:rFonts w:ascii="Times New Roman" w:eastAsia="Cambria" w:hAnsi="Times New Roman" w:cs="Times New Roman"/>
                <w:b/>
                <w:color w:val="000000"/>
                <w:sz w:val="20"/>
                <w:szCs w:val="20"/>
                <w:lang w:eastAsia="zh-CN"/>
              </w:rPr>
            </w:pPr>
          </w:p>
        </w:tc>
      </w:tr>
      <w:tr w:rsidR="00C73758" w:rsidRPr="00C73758" w14:paraId="3964C367" w14:textId="77777777" w:rsidTr="00395075">
        <w:trPr>
          <w:gridAfter w:val="1"/>
          <w:wAfter w:w="8" w:type="dxa"/>
          <w:trHeight w:val="215"/>
        </w:trPr>
        <w:tc>
          <w:tcPr>
            <w:tcW w:w="1590" w:type="dxa"/>
            <w:tcMar>
              <w:top w:w="100" w:type="dxa"/>
              <w:left w:w="100" w:type="dxa"/>
              <w:bottom w:w="100" w:type="dxa"/>
              <w:right w:w="100" w:type="dxa"/>
            </w:tcMar>
            <w:vAlign w:val="center"/>
          </w:tcPr>
          <w:p w14:paraId="7FE8019D" w14:textId="77777777" w:rsidR="00C73758" w:rsidRPr="00C73758" w:rsidRDefault="00C73758" w:rsidP="00C73758">
            <w:pPr>
              <w:pBdr>
                <w:top w:val="nil"/>
                <w:left w:val="nil"/>
                <w:bottom w:val="nil"/>
                <w:right w:val="nil"/>
                <w:between w:val="nil"/>
              </w:pBdr>
              <w:spacing w:after="0" w:line="240" w:lineRule="auto"/>
              <w:ind w:left="-100" w:firstLine="100"/>
              <w:jc w:val="center"/>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55c</w:t>
            </w:r>
          </w:p>
        </w:tc>
        <w:tc>
          <w:tcPr>
            <w:tcW w:w="1501" w:type="dxa"/>
            <w:vAlign w:val="center"/>
          </w:tcPr>
          <w:p w14:paraId="0292E896" w14:textId="77777777" w:rsidR="00C73758" w:rsidRPr="00C73758" w:rsidRDefault="00C73758" w:rsidP="00C73758">
            <w:pPr>
              <w:pBdr>
                <w:top w:val="nil"/>
                <w:left w:val="nil"/>
                <w:bottom w:val="nil"/>
                <w:right w:val="nil"/>
                <w:between w:val="nil"/>
              </w:pBdr>
              <w:spacing w:after="0" w:line="240" w:lineRule="auto"/>
              <w:ind w:left="210" w:right="20"/>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sz w:val="20"/>
                <w:szCs w:val="20"/>
                <w:lang w:eastAsia="zh-CN"/>
              </w:rPr>
              <w:t>QCPR 15.d</w:t>
            </w:r>
          </w:p>
        </w:tc>
        <w:tc>
          <w:tcPr>
            <w:tcW w:w="5220" w:type="dxa"/>
            <w:tcMar>
              <w:top w:w="100" w:type="dxa"/>
              <w:left w:w="100" w:type="dxa"/>
              <w:bottom w:w="100" w:type="dxa"/>
              <w:right w:w="100" w:type="dxa"/>
            </w:tcMar>
            <w:vAlign w:val="center"/>
          </w:tcPr>
          <w:p w14:paraId="58F18268" w14:textId="77777777" w:rsidR="00C73758" w:rsidRPr="00C73758" w:rsidRDefault="00C73758" w:rsidP="00C73758">
            <w:pPr>
              <w:pBdr>
                <w:top w:val="nil"/>
                <w:left w:val="nil"/>
                <w:bottom w:val="nil"/>
                <w:right w:val="nil"/>
                <w:between w:val="nil"/>
              </w:pBdr>
              <w:spacing w:after="0" w:line="240" w:lineRule="auto"/>
              <w:ind w:left="210" w:right="20"/>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Fraction of United Nations entities that receive over [(i) 10%; (ii) 15%; and (iii) 20%] of their non-core resources from inter-agency pooled funds</w:t>
            </w:r>
          </w:p>
        </w:tc>
        <w:tc>
          <w:tcPr>
            <w:tcW w:w="3870" w:type="dxa"/>
            <w:gridSpan w:val="2"/>
            <w:vAlign w:val="center"/>
          </w:tcPr>
          <w:p w14:paraId="4424A74D" w14:textId="77777777" w:rsidR="00C73758" w:rsidRPr="00C73758" w:rsidRDefault="00C73758" w:rsidP="00C73758">
            <w:pPr>
              <w:pBdr>
                <w:top w:val="nil"/>
                <w:left w:val="nil"/>
                <w:bottom w:val="nil"/>
                <w:right w:val="nil"/>
                <w:between w:val="nil"/>
              </w:pBdr>
              <w:spacing w:after="0" w:line="240" w:lineRule="auto"/>
              <w:ind w:right="20"/>
              <w:rPr>
                <w:rFonts w:ascii="Times New Roman" w:eastAsia="Times New Roman" w:hAnsi="Times New Roman" w:cs="Times New Roman"/>
                <w:sz w:val="20"/>
                <w:szCs w:val="20"/>
                <w:lang w:eastAsia="zh-CN"/>
              </w:rPr>
            </w:pPr>
            <w:r w:rsidRPr="00C73758">
              <w:rPr>
                <w:rFonts w:ascii="Times New Roman" w:eastAsia="Times New Roman" w:hAnsi="Times New Roman" w:cs="Times New Roman"/>
                <w:sz w:val="20"/>
                <w:szCs w:val="18"/>
                <w:lang w:eastAsia="en-GB"/>
              </w:rPr>
              <w:t>In 2018, UNDP received $354 million of its non-core resources from inter-agency pooled funds, which is 8% of total non-core resources.</w:t>
            </w:r>
            <w:r w:rsidRPr="00C73758">
              <w:rPr>
                <w:rFonts w:ascii="Times New Roman" w:eastAsia="Times New Roman" w:hAnsi="Times New Roman" w:cs="Times New Roman"/>
                <w:sz w:val="18"/>
                <w:szCs w:val="20"/>
                <w:vertAlign w:val="superscript"/>
                <w:lang w:eastAsia="zh-CN"/>
              </w:rPr>
              <w:footnoteReference w:id="3"/>
            </w:r>
          </w:p>
        </w:tc>
        <w:tc>
          <w:tcPr>
            <w:tcW w:w="1890" w:type="dxa"/>
            <w:gridSpan w:val="2"/>
            <w:vAlign w:val="center"/>
          </w:tcPr>
          <w:p w14:paraId="4D330572" w14:textId="77777777" w:rsidR="00C73758" w:rsidRPr="00C73758" w:rsidRDefault="00C73758" w:rsidP="00C73758">
            <w:pPr>
              <w:pBdr>
                <w:top w:val="nil"/>
                <w:left w:val="nil"/>
                <w:bottom w:val="nil"/>
                <w:right w:val="nil"/>
                <w:between w:val="nil"/>
              </w:pBdr>
              <w:spacing w:after="0" w:line="240" w:lineRule="auto"/>
              <w:ind w:left="-30" w:right="20"/>
              <w:jc w:val="center"/>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UNDP</w:t>
            </w:r>
          </w:p>
        </w:tc>
      </w:tr>
      <w:tr w:rsidR="00C73758" w:rsidRPr="00C73758" w14:paraId="3D7538D1" w14:textId="77777777" w:rsidTr="00395075">
        <w:trPr>
          <w:gridAfter w:val="1"/>
          <w:wAfter w:w="8" w:type="dxa"/>
          <w:trHeight w:val="134"/>
        </w:trPr>
        <w:tc>
          <w:tcPr>
            <w:tcW w:w="1590" w:type="dxa"/>
            <w:tcMar>
              <w:top w:w="100" w:type="dxa"/>
              <w:left w:w="100" w:type="dxa"/>
              <w:bottom w:w="100" w:type="dxa"/>
              <w:right w:w="100" w:type="dxa"/>
            </w:tcMar>
            <w:vAlign w:val="center"/>
          </w:tcPr>
          <w:p w14:paraId="69A909DA" w14:textId="77777777" w:rsidR="00C73758" w:rsidRPr="00C73758" w:rsidRDefault="00C73758" w:rsidP="00C73758">
            <w:pPr>
              <w:pBdr>
                <w:top w:val="nil"/>
                <w:left w:val="nil"/>
                <w:bottom w:val="nil"/>
                <w:right w:val="nil"/>
                <w:between w:val="nil"/>
              </w:pBdr>
              <w:spacing w:after="0" w:line="240" w:lineRule="auto"/>
              <w:ind w:left="-100" w:right="200" w:firstLine="275"/>
              <w:jc w:val="center"/>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57</w:t>
            </w:r>
          </w:p>
        </w:tc>
        <w:tc>
          <w:tcPr>
            <w:tcW w:w="1501" w:type="dxa"/>
            <w:vAlign w:val="center"/>
          </w:tcPr>
          <w:p w14:paraId="14EBDC52" w14:textId="77777777" w:rsidR="00C73758" w:rsidRPr="00C73758" w:rsidRDefault="00C73758" w:rsidP="00C73758">
            <w:pPr>
              <w:pBdr>
                <w:top w:val="nil"/>
                <w:left w:val="nil"/>
                <w:bottom w:val="nil"/>
                <w:right w:val="nil"/>
                <w:between w:val="nil"/>
              </w:pBdr>
              <w:spacing w:after="0" w:line="240" w:lineRule="auto"/>
              <w:ind w:left="210" w:right="20"/>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QCPR 15.f</w:t>
            </w:r>
          </w:p>
        </w:tc>
        <w:tc>
          <w:tcPr>
            <w:tcW w:w="5220" w:type="dxa"/>
            <w:tcMar>
              <w:top w:w="100" w:type="dxa"/>
              <w:left w:w="100" w:type="dxa"/>
              <w:bottom w:w="100" w:type="dxa"/>
              <w:right w:w="100" w:type="dxa"/>
            </w:tcMar>
            <w:vAlign w:val="center"/>
          </w:tcPr>
          <w:p w14:paraId="376FED63" w14:textId="71E2A65E" w:rsidR="00C73758" w:rsidRPr="00C73758" w:rsidRDefault="00C73758" w:rsidP="00C73758">
            <w:pPr>
              <w:pBdr>
                <w:top w:val="nil"/>
                <w:left w:val="nil"/>
                <w:bottom w:val="nil"/>
                <w:right w:val="nil"/>
                <w:between w:val="nil"/>
              </w:pBdr>
              <w:spacing w:after="0" w:line="240" w:lineRule="auto"/>
              <w:ind w:left="210" w:right="20"/>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 xml:space="preserve">Funding </w:t>
            </w:r>
            <w:r w:rsidR="008B252C" w:rsidRPr="00C73758">
              <w:rPr>
                <w:rFonts w:ascii="Times New Roman" w:eastAsia="Times New Roman" w:hAnsi="Times New Roman" w:cs="Times New Roman"/>
                <w:color w:val="000000"/>
                <w:sz w:val="20"/>
                <w:szCs w:val="20"/>
                <w:lang w:eastAsia="zh-CN"/>
              </w:rPr>
              <w:t>channeled</w:t>
            </w:r>
            <w:r w:rsidRPr="00C73758">
              <w:rPr>
                <w:rFonts w:ascii="Times New Roman" w:eastAsia="Times New Roman" w:hAnsi="Times New Roman" w:cs="Times New Roman"/>
                <w:color w:val="000000"/>
                <w:sz w:val="20"/>
                <w:szCs w:val="20"/>
                <w:lang w:eastAsia="zh-CN"/>
              </w:rPr>
              <w:t xml:space="preserve"> to thematic funds: (i) Total; (ii) % of total non-core</w:t>
            </w:r>
          </w:p>
        </w:tc>
        <w:tc>
          <w:tcPr>
            <w:tcW w:w="3870" w:type="dxa"/>
            <w:gridSpan w:val="2"/>
            <w:vAlign w:val="center"/>
          </w:tcPr>
          <w:p w14:paraId="5BF2C043" w14:textId="77777777" w:rsidR="00C73758" w:rsidRPr="00C73758" w:rsidRDefault="00C73758" w:rsidP="00C73758">
            <w:pPr>
              <w:pBdr>
                <w:top w:val="nil"/>
                <w:left w:val="nil"/>
                <w:bottom w:val="nil"/>
                <w:right w:val="nil"/>
                <w:between w:val="nil"/>
              </w:pBdr>
              <w:spacing w:after="0" w:line="240" w:lineRule="auto"/>
              <w:ind w:right="20"/>
              <w:rPr>
                <w:rFonts w:ascii="Times New Roman" w:eastAsia="Times New Roman" w:hAnsi="Times New Roman" w:cs="Times New Roman"/>
                <w:sz w:val="20"/>
                <w:szCs w:val="20"/>
                <w:lang w:eastAsia="zh-CN"/>
              </w:rPr>
            </w:pPr>
            <w:r w:rsidRPr="00C73758">
              <w:rPr>
                <w:rFonts w:ascii="Times New Roman" w:eastAsia="Times New Roman" w:hAnsi="Times New Roman" w:cs="Times New Roman"/>
                <w:sz w:val="20"/>
                <w:szCs w:val="20"/>
                <w:lang w:eastAsia="zh-CN"/>
              </w:rPr>
              <w:t>In 2018, UNDP received:</w:t>
            </w:r>
          </w:p>
          <w:p w14:paraId="0AC6A741" w14:textId="77777777" w:rsidR="00C73758" w:rsidRPr="00C73758" w:rsidRDefault="00C73758" w:rsidP="00C73758">
            <w:pPr>
              <w:numPr>
                <w:ilvl w:val="0"/>
                <w:numId w:val="33"/>
              </w:numPr>
              <w:pBdr>
                <w:top w:val="nil"/>
                <w:left w:val="nil"/>
                <w:bottom w:val="nil"/>
                <w:right w:val="nil"/>
                <w:between w:val="nil"/>
              </w:pBdr>
              <w:spacing w:after="0" w:line="240" w:lineRule="auto"/>
              <w:ind w:left="697" w:right="20" w:hanging="337"/>
              <w:contextualSpacing/>
              <w:jc w:val="both"/>
              <w:rPr>
                <w:rFonts w:ascii="Times New Roman" w:eastAsia="Times New Roman" w:hAnsi="Times New Roman" w:cs="Times New Roman"/>
                <w:sz w:val="20"/>
                <w:szCs w:val="20"/>
                <w:lang w:eastAsia="zh-CN"/>
              </w:rPr>
            </w:pPr>
            <w:r w:rsidRPr="00C73758">
              <w:rPr>
                <w:rFonts w:ascii="Times New Roman" w:eastAsia="Times New Roman" w:hAnsi="Times New Roman" w:cs="Times New Roman"/>
                <w:sz w:val="20"/>
                <w:szCs w:val="20"/>
                <w:lang w:eastAsia="zh-CN"/>
              </w:rPr>
              <w:t>$67 million in thematic funds</w:t>
            </w:r>
          </w:p>
          <w:p w14:paraId="020B2516" w14:textId="77777777" w:rsidR="00C73758" w:rsidRPr="00C73758" w:rsidRDefault="00C73758" w:rsidP="00C73758">
            <w:pPr>
              <w:numPr>
                <w:ilvl w:val="0"/>
                <w:numId w:val="33"/>
              </w:numPr>
              <w:pBdr>
                <w:top w:val="nil"/>
                <w:left w:val="nil"/>
                <w:bottom w:val="nil"/>
                <w:right w:val="nil"/>
                <w:between w:val="nil"/>
              </w:pBdr>
              <w:spacing w:after="0" w:line="240" w:lineRule="auto"/>
              <w:ind w:left="697" w:right="20" w:hanging="337"/>
              <w:contextualSpacing/>
              <w:jc w:val="both"/>
              <w:rPr>
                <w:rFonts w:ascii="Times New Roman" w:eastAsia="Times New Roman" w:hAnsi="Times New Roman" w:cs="Times New Roman"/>
                <w:sz w:val="20"/>
                <w:szCs w:val="20"/>
                <w:lang w:eastAsia="zh-CN"/>
              </w:rPr>
            </w:pPr>
            <w:r w:rsidRPr="00C73758">
              <w:rPr>
                <w:rFonts w:ascii="Times New Roman" w:eastAsia="Times New Roman" w:hAnsi="Times New Roman" w:cs="Times New Roman"/>
                <w:sz w:val="20"/>
                <w:szCs w:val="20"/>
                <w:lang w:eastAsia="zh-CN"/>
              </w:rPr>
              <w:t>1.5% of total non-core</w:t>
            </w:r>
          </w:p>
        </w:tc>
        <w:tc>
          <w:tcPr>
            <w:tcW w:w="1890" w:type="dxa"/>
            <w:gridSpan w:val="2"/>
            <w:vAlign w:val="center"/>
          </w:tcPr>
          <w:p w14:paraId="009A6083" w14:textId="77777777" w:rsidR="00C73758" w:rsidRPr="00C73758" w:rsidRDefault="00C73758" w:rsidP="00C73758">
            <w:pPr>
              <w:pBdr>
                <w:top w:val="nil"/>
                <w:left w:val="nil"/>
                <w:bottom w:val="nil"/>
                <w:right w:val="nil"/>
                <w:between w:val="nil"/>
              </w:pBdr>
              <w:spacing w:after="0" w:line="240" w:lineRule="auto"/>
              <w:ind w:right="20" w:firstLine="30"/>
              <w:jc w:val="center"/>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UNDP</w:t>
            </w:r>
          </w:p>
        </w:tc>
      </w:tr>
      <w:tr w:rsidR="00C73758" w:rsidRPr="00C73758" w14:paraId="6EDC8E0A" w14:textId="77777777" w:rsidTr="00395075">
        <w:trPr>
          <w:gridAfter w:val="1"/>
          <w:wAfter w:w="8" w:type="dxa"/>
          <w:trHeight w:val="40"/>
        </w:trPr>
        <w:tc>
          <w:tcPr>
            <w:tcW w:w="1590" w:type="dxa"/>
            <w:tcMar>
              <w:top w:w="100" w:type="dxa"/>
              <w:left w:w="100" w:type="dxa"/>
              <w:bottom w:w="100" w:type="dxa"/>
              <w:right w:w="100" w:type="dxa"/>
            </w:tcMar>
            <w:vAlign w:val="center"/>
          </w:tcPr>
          <w:p w14:paraId="55116F61" w14:textId="77777777" w:rsidR="00C73758" w:rsidRPr="00C73758" w:rsidRDefault="00C73758" w:rsidP="00C73758">
            <w:pPr>
              <w:pBdr>
                <w:top w:val="nil"/>
                <w:left w:val="nil"/>
                <w:bottom w:val="nil"/>
                <w:right w:val="nil"/>
                <w:between w:val="nil"/>
              </w:pBdr>
              <w:spacing w:after="0" w:line="240" w:lineRule="auto"/>
              <w:ind w:left="-100" w:right="200" w:firstLine="275"/>
              <w:jc w:val="center"/>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62</w:t>
            </w:r>
          </w:p>
        </w:tc>
        <w:tc>
          <w:tcPr>
            <w:tcW w:w="1501" w:type="dxa"/>
            <w:vAlign w:val="center"/>
          </w:tcPr>
          <w:p w14:paraId="18EAB196" w14:textId="77777777" w:rsidR="00C73758" w:rsidRPr="00C73758" w:rsidRDefault="00C73758" w:rsidP="00C73758">
            <w:pPr>
              <w:pBdr>
                <w:top w:val="nil"/>
                <w:left w:val="nil"/>
                <w:bottom w:val="nil"/>
                <w:right w:val="nil"/>
                <w:between w:val="nil"/>
              </w:pBdr>
              <w:spacing w:after="0" w:line="240" w:lineRule="auto"/>
              <w:ind w:left="210" w:right="20"/>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QCPR 18.a</w:t>
            </w:r>
          </w:p>
        </w:tc>
        <w:tc>
          <w:tcPr>
            <w:tcW w:w="5220" w:type="dxa"/>
            <w:tcMar>
              <w:top w:w="100" w:type="dxa"/>
              <w:left w:w="100" w:type="dxa"/>
              <w:bottom w:w="100" w:type="dxa"/>
              <w:right w:w="100" w:type="dxa"/>
            </w:tcMar>
            <w:vAlign w:val="center"/>
          </w:tcPr>
          <w:p w14:paraId="7EAB76B2" w14:textId="77777777" w:rsidR="00C73758" w:rsidRPr="00C73758" w:rsidRDefault="00C73758" w:rsidP="00C73758">
            <w:pPr>
              <w:pBdr>
                <w:top w:val="nil"/>
                <w:left w:val="nil"/>
                <w:bottom w:val="nil"/>
                <w:right w:val="nil"/>
                <w:between w:val="nil"/>
              </w:pBdr>
              <w:spacing w:after="0" w:line="240" w:lineRule="auto"/>
              <w:ind w:left="210" w:right="20"/>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Funding from programme countries: (i) Core; (ii) Non-core (excluding local resources); and (iii) Local resources</w:t>
            </w:r>
          </w:p>
          <w:p w14:paraId="12F57524" w14:textId="77777777" w:rsidR="00C73758" w:rsidRPr="00C73758" w:rsidRDefault="00C73758" w:rsidP="00C73758">
            <w:pPr>
              <w:pBdr>
                <w:top w:val="nil"/>
                <w:left w:val="nil"/>
                <w:bottom w:val="nil"/>
                <w:right w:val="nil"/>
                <w:between w:val="nil"/>
              </w:pBdr>
              <w:spacing w:after="0" w:line="240" w:lineRule="auto"/>
              <w:ind w:left="930" w:right="20"/>
              <w:contextualSpacing/>
              <w:rPr>
                <w:rFonts w:ascii="Times New Roman" w:eastAsia="Times New Roman" w:hAnsi="Times New Roman" w:cs="Times New Roman"/>
                <w:color w:val="000000"/>
                <w:sz w:val="20"/>
                <w:szCs w:val="20"/>
                <w:lang w:eastAsia="zh-CN"/>
              </w:rPr>
            </w:pPr>
          </w:p>
        </w:tc>
        <w:tc>
          <w:tcPr>
            <w:tcW w:w="3870" w:type="dxa"/>
            <w:gridSpan w:val="2"/>
            <w:vAlign w:val="center"/>
          </w:tcPr>
          <w:p w14:paraId="6D9B9DE6" w14:textId="77777777" w:rsidR="00C73758" w:rsidRPr="00C73758" w:rsidRDefault="00C73758" w:rsidP="00C73758">
            <w:pPr>
              <w:pBdr>
                <w:top w:val="nil"/>
                <w:left w:val="nil"/>
                <w:bottom w:val="nil"/>
                <w:right w:val="nil"/>
                <w:between w:val="nil"/>
              </w:pBdr>
              <w:spacing w:after="0" w:line="240" w:lineRule="auto"/>
              <w:ind w:right="20"/>
              <w:rPr>
                <w:rFonts w:ascii="Times New Roman" w:eastAsia="Times New Roman" w:hAnsi="Times New Roman" w:cs="Times New Roman"/>
                <w:sz w:val="20"/>
                <w:szCs w:val="20"/>
                <w:lang w:eastAsia="zh-CN"/>
              </w:rPr>
            </w:pPr>
            <w:r w:rsidRPr="00C73758">
              <w:rPr>
                <w:rFonts w:ascii="Times New Roman" w:eastAsia="Times New Roman" w:hAnsi="Times New Roman" w:cs="Times New Roman"/>
                <w:sz w:val="20"/>
                <w:szCs w:val="20"/>
                <w:lang w:eastAsia="zh-CN"/>
              </w:rPr>
              <w:t>In 2018, UNDP received from programme countries:</w:t>
            </w:r>
          </w:p>
          <w:p w14:paraId="060566C3" w14:textId="77777777" w:rsidR="00C73758" w:rsidRPr="00C73758" w:rsidRDefault="00C73758" w:rsidP="00C73758">
            <w:pPr>
              <w:numPr>
                <w:ilvl w:val="0"/>
                <w:numId w:val="30"/>
              </w:numPr>
              <w:pBdr>
                <w:top w:val="nil"/>
                <w:left w:val="nil"/>
                <w:bottom w:val="nil"/>
                <w:right w:val="nil"/>
                <w:between w:val="nil"/>
              </w:pBdr>
              <w:spacing w:after="0" w:line="240" w:lineRule="auto"/>
              <w:ind w:left="697" w:right="20" w:hanging="337"/>
              <w:contextualSpacing/>
              <w:jc w:val="both"/>
              <w:rPr>
                <w:rFonts w:ascii="Times New Roman" w:eastAsia="Times New Roman" w:hAnsi="Times New Roman" w:cs="Times New Roman"/>
                <w:sz w:val="20"/>
                <w:szCs w:val="20"/>
                <w:lang w:eastAsia="zh-CN"/>
              </w:rPr>
            </w:pPr>
            <w:r w:rsidRPr="00C73758">
              <w:rPr>
                <w:rFonts w:ascii="Times New Roman" w:eastAsia="Times New Roman" w:hAnsi="Times New Roman" w:cs="Times New Roman"/>
                <w:sz w:val="20"/>
                <w:szCs w:val="20"/>
                <w:lang w:eastAsia="zh-CN"/>
              </w:rPr>
              <w:t xml:space="preserve">$13.5 million in core contributions </w:t>
            </w:r>
          </w:p>
          <w:p w14:paraId="1843F107" w14:textId="77777777" w:rsidR="00C73758" w:rsidRPr="00C73758" w:rsidRDefault="00C73758" w:rsidP="00C73758">
            <w:pPr>
              <w:numPr>
                <w:ilvl w:val="0"/>
                <w:numId w:val="30"/>
              </w:numPr>
              <w:pBdr>
                <w:top w:val="nil"/>
                <w:left w:val="nil"/>
                <w:bottom w:val="nil"/>
                <w:right w:val="nil"/>
                <w:between w:val="nil"/>
              </w:pBdr>
              <w:spacing w:after="0" w:line="240" w:lineRule="auto"/>
              <w:ind w:left="697" w:right="20" w:hanging="337"/>
              <w:contextualSpacing/>
              <w:jc w:val="both"/>
              <w:rPr>
                <w:rFonts w:ascii="Times New Roman" w:eastAsia="Times New Roman" w:hAnsi="Times New Roman" w:cs="Times New Roman"/>
                <w:sz w:val="20"/>
                <w:szCs w:val="20"/>
                <w:lang w:eastAsia="zh-CN"/>
              </w:rPr>
            </w:pPr>
            <w:r w:rsidRPr="00C73758">
              <w:rPr>
                <w:rFonts w:ascii="Times New Roman" w:eastAsia="Times New Roman" w:hAnsi="Times New Roman" w:cs="Times New Roman"/>
                <w:sz w:val="20"/>
                <w:szCs w:val="20"/>
                <w:lang w:eastAsia="zh-CN"/>
              </w:rPr>
              <w:t>$66 million in non-core (excluding local resources) contributions</w:t>
            </w:r>
          </w:p>
          <w:p w14:paraId="01825723" w14:textId="77777777" w:rsidR="00C73758" w:rsidRPr="00C73758" w:rsidRDefault="00C73758" w:rsidP="00C73758">
            <w:pPr>
              <w:numPr>
                <w:ilvl w:val="0"/>
                <w:numId w:val="30"/>
              </w:numPr>
              <w:pBdr>
                <w:top w:val="nil"/>
                <w:left w:val="nil"/>
                <w:bottom w:val="nil"/>
                <w:right w:val="nil"/>
                <w:between w:val="nil"/>
              </w:pBdr>
              <w:spacing w:after="0" w:line="240" w:lineRule="auto"/>
              <w:ind w:left="697" w:right="20" w:hanging="337"/>
              <w:contextualSpacing/>
              <w:jc w:val="both"/>
              <w:rPr>
                <w:rFonts w:ascii="Times New Roman" w:eastAsia="Times New Roman" w:hAnsi="Times New Roman" w:cs="Times New Roman"/>
                <w:sz w:val="20"/>
                <w:szCs w:val="20"/>
                <w:lang w:eastAsia="zh-CN"/>
              </w:rPr>
            </w:pPr>
            <w:r w:rsidRPr="00C73758">
              <w:rPr>
                <w:rFonts w:ascii="Times New Roman" w:eastAsia="Times New Roman" w:hAnsi="Times New Roman" w:cs="Times New Roman"/>
                <w:sz w:val="20"/>
                <w:szCs w:val="20"/>
                <w:lang w:eastAsia="zh-CN"/>
              </w:rPr>
              <w:t>$1,002 million in local resources (government cost sharing)</w:t>
            </w:r>
          </w:p>
        </w:tc>
        <w:tc>
          <w:tcPr>
            <w:tcW w:w="1890" w:type="dxa"/>
            <w:gridSpan w:val="2"/>
            <w:vAlign w:val="center"/>
          </w:tcPr>
          <w:p w14:paraId="00559909" w14:textId="77777777" w:rsidR="00C73758" w:rsidRPr="00C73758" w:rsidRDefault="00C73758" w:rsidP="00C73758">
            <w:pPr>
              <w:pBdr>
                <w:top w:val="nil"/>
                <w:left w:val="nil"/>
                <w:bottom w:val="nil"/>
                <w:right w:val="nil"/>
                <w:between w:val="nil"/>
              </w:pBdr>
              <w:spacing w:after="0" w:line="240" w:lineRule="auto"/>
              <w:ind w:right="20"/>
              <w:jc w:val="center"/>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UNDP</w:t>
            </w:r>
          </w:p>
        </w:tc>
      </w:tr>
      <w:tr w:rsidR="00C73758" w:rsidRPr="00C73758" w14:paraId="4EDF36F1" w14:textId="77777777" w:rsidTr="00395075">
        <w:trPr>
          <w:gridAfter w:val="1"/>
          <w:wAfter w:w="8" w:type="dxa"/>
          <w:trHeight w:val="220"/>
        </w:trPr>
        <w:tc>
          <w:tcPr>
            <w:tcW w:w="1590" w:type="dxa"/>
            <w:tcMar>
              <w:top w:w="100" w:type="dxa"/>
              <w:left w:w="100" w:type="dxa"/>
              <w:bottom w:w="100" w:type="dxa"/>
              <w:right w:w="100" w:type="dxa"/>
            </w:tcMar>
            <w:vAlign w:val="center"/>
          </w:tcPr>
          <w:p w14:paraId="1E41FB93" w14:textId="77777777" w:rsidR="00C73758" w:rsidRPr="00C73758" w:rsidRDefault="00C73758" w:rsidP="00C73758">
            <w:pPr>
              <w:pBdr>
                <w:top w:val="nil"/>
                <w:left w:val="nil"/>
                <w:bottom w:val="nil"/>
                <w:right w:val="nil"/>
                <w:between w:val="nil"/>
              </w:pBdr>
              <w:spacing w:after="0" w:line="240" w:lineRule="auto"/>
              <w:ind w:left="-100" w:firstLine="33"/>
              <w:jc w:val="center"/>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18"/>
                <w:szCs w:val="18"/>
                <w:lang w:eastAsia="zh-CN"/>
              </w:rPr>
              <w:lastRenderedPageBreak/>
              <w:t>63a</w:t>
            </w:r>
          </w:p>
        </w:tc>
        <w:tc>
          <w:tcPr>
            <w:tcW w:w="1501" w:type="dxa"/>
            <w:vAlign w:val="center"/>
          </w:tcPr>
          <w:p w14:paraId="645CED9F" w14:textId="77777777" w:rsidR="00C73758" w:rsidRPr="00C73758" w:rsidRDefault="00C73758" w:rsidP="00C73758">
            <w:pPr>
              <w:pBdr>
                <w:top w:val="nil"/>
                <w:left w:val="nil"/>
                <w:bottom w:val="nil"/>
                <w:right w:val="nil"/>
                <w:between w:val="nil"/>
              </w:pBdr>
              <w:spacing w:after="0" w:line="240" w:lineRule="auto"/>
              <w:ind w:left="210" w:right="20"/>
              <w:rPr>
                <w:rFonts w:ascii="Times New Roman" w:eastAsia="Times New Roman" w:hAnsi="Times New Roman" w:cs="Times New Roman"/>
                <w:sz w:val="20"/>
                <w:szCs w:val="20"/>
                <w:lang w:eastAsia="zh-CN"/>
              </w:rPr>
            </w:pPr>
            <w:r w:rsidRPr="00C73758">
              <w:rPr>
                <w:rFonts w:ascii="Times New Roman" w:eastAsia="Times New Roman" w:hAnsi="Times New Roman" w:cs="Times New Roman"/>
                <w:color w:val="000000"/>
                <w:sz w:val="20"/>
                <w:szCs w:val="20"/>
                <w:lang w:eastAsia="zh-CN"/>
              </w:rPr>
              <w:t>QCPR 18.c</w:t>
            </w:r>
          </w:p>
        </w:tc>
        <w:tc>
          <w:tcPr>
            <w:tcW w:w="5220" w:type="dxa"/>
            <w:tcMar>
              <w:top w:w="100" w:type="dxa"/>
              <w:left w:w="100" w:type="dxa"/>
              <w:bottom w:w="100" w:type="dxa"/>
              <w:right w:w="100" w:type="dxa"/>
            </w:tcMar>
            <w:vAlign w:val="center"/>
          </w:tcPr>
          <w:p w14:paraId="5C14E7F1" w14:textId="77777777" w:rsidR="00C73758" w:rsidRPr="00C73758" w:rsidRDefault="00C73758" w:rsidP="00C73758">
            <w:pPr>
              <w:pBdr>
                <w:top w:val="nil"/>
                <w:left w:val="nil"/>
                <w:bottom w:val="nil"/>
                <w:right w:val="nil"/>
                <w:between w:val="nil"/>
              </w:pBdr>
              <w:spacing w:after="0" w:line="240" w:lineRule="auto"/>
              <w:ind w:left="210" w:right="20"/>
              <w:rPr>
                <w:rFonts w:ascii="Times New Roman" w:eastAsia="Times New Roman" w:hAnsi="Times New Roman" w:cs="Times New Roman"/>
                <w:sz w:val="20"/>
                <w:szCs w:val="20"/>
                <w:lang w:eastAsia="zh-CN"/>
              </w:rPr>
            </w:pPr>
            <w:r w:rsidRPr="00C73758">
              <w:rPr>
                <w:rFonts w:ascii="Times New Roman" w:eastAsia="Times New Roman" w:hAnsi="Times New Roman" w:cs="Times New Roman"/>
                <w:sz w:val="20"/>
                <w:szCs w:val="20"/>
                <w:lang w:eastAsia="zh-CN"/>
              </w:rPr>
              <w:t>Total funding received from non-State partners: (i) Core; and (ii) Non-core</w:t>
            </w:r>
          </w:p>
        </w:tc>
        <w:tc>
          <w:tcPr>
            <w:tcW w:w="3870" w:type="dxa"/>
            <w:gridSpan w:val="2"/>
            <w:vAlign w:val="center"/>
          </w:tcPr>
          <w:p w14:paraId="2912FA12" w14:textId="77777777" w:rsidR="00C73758" w:rsidRPr="00C73758" w:rsidRDefault="00C73758" w:rsidP="00C73758">
            <w:pPr>
              <w:pBdr>
                <w:top w:val="nil"/>
                <w:left w:val="nil"/>
                <w:bottom w:val="nil"/>
                <w:right w:val="nil"/>
                <w:between w:val="nil"/>
              </w:pBdr>
              <w:spacing w:after="0" w:line="240" w:lineRule="auto"/>
              <w:ind w:right="20"/>
              <w:rPr>
                <w:rFonts w:ascii="Times New Roman" w:eastAsia="Times New Roman" w:hAnsi="Times New Roman" w:cs="Times New Roman"/>
                <w:sz w:val="20"/>
                <w:szCs w:val="20"/>
                <w:lang w:eastAsia="zh-CN"/>
              </w:rPr>
            </w:pPr>
            <w:r w:rsidRPr="00C73758">
              <w:rPr>
                <w:rFonts w:ascii="Times New Roman" w:eastAsia="Times New Roman" w:hAnsi="Times New Roman" w:cs="Times New Roman"/>
                <w:sz w:val="20"/>
                <w:szCs w:val="20"/>
                <w:lang w:eastAsia="zh-CN"/>
              </w:rPr>
              <w:t>In 2018, UNDP received from non-State partners:</w:t>
            </w:r>
          </w:p>
          <w:p w14:paraId="58103F22" w14:textId="77777777" w:rsidR="00C73758" w:rsidRPr="00C73758" w:rsidRDefault="00C73758" w:rsidP="00C73758">
            <w:pPr>
              <w:numPr>
                <w:ilvl w:val="0"/>
                <w:numId w:val="31"/>
              </w:numPr>
              <w:pBdr>
                <w:top w:val="nil"/>
                <w:left w:val="nil"/>
                <w:bottom w:val="nil"/>
                <w:right w:val="nil"/>
                <w:between w:val="nil"/>
              </w:pBdr>
              <w:spacing w:after="0" w:line="240" w:lineRule="auto"/>
              <w:ind w:left="697" w:right="20" w:hanging="337"/>
              <w:contextualSpacing/>
              <w:jc w:val="both"/>
              <w:rPr>
                <w:rFonts w:ascii="Times New Roman" w:eastAsia="Times New Roman" w:hAnsi="Times New Roman" w:cs="Times New Roman"/>
                <w:sz w:val="20"/>
                <w:szCs w:val="20"/>
                <w:lang w:eastAsia="zh-CN"/>
              </w:rPr>
            </w:pPr>
            <w:r w:rsidRPr="00C73758">
              <w:rPr>
                <w:rFonts w:ascii="Times New Roman" w:eastAsia="Times New Roman" w:hAnsi="Times New Roman" w:cs="Times New Roman"/>
                <w:sz w:val="20"/>
                <w:szCs w:val="20"/>
                <w:lang w:eastAsia="zh-CN"/>
              </w:rPr>
              <w:t xml:space="preserve">$176,000 in core contributions </w:t>
            </w:r>
          </w:p>
          <w:p w14:paraId="0252D6D8" w14:textId="77777777" w:rsidR="00C73758" w:rsidRPr="00C73758" w:rsidRDefault="00C73758" w:rsidP="00C73758">
            <w:pPr>
              <w:numPr>
                <w:ilvl w:val="0"/>
                <w:numId w:val="31"/>
              </w:numPr>
              <w:pBdr>
                <w:top w:val="nil"/>
                <w:left w:val="nil"/>
                <w:bottom w:val="nil"/>
                <w:right w:val="nil"/>
                <w:between w:val="nil"/>
              </w:pBdr>
              <w:spacing w:after="0" w:line="240" w:lineRule="auto"/>
              <w:ind w:left="697" w:right="20" w:hanging="337"/>
              <w:contextualSpacing/>
              <w:jc w:val="both"/>
              <w:rPr>
                <w:rFonts w:ascii="Times New Roman" w:eastAsia="Times New Roman" w:hAnsi="Times New Roman" w:cs="Times New Roman"/>
                <w:sz w:val="20"/>
                <w:szCs w:val="20"/>
                <w:lang w:eastAsia="zh-CN"/>
              </w:rPr>
            </w:pPr>
            <w:r w:rsidRPr="00C73758">
              <w:rPr>
                <w:rFonts w:ascii="Times New Roman" w:eastAsia="Times New Roman" w:hAnsi="Times New Roman" w:cs="Times New Roman"/>
                <w:sz w:val="20"/>
                <w:szCs w:val="20"/>
                <w:lang w:eastAsia="zh-CN"/>
              </w:rPr>
              <w:t>$1,945 million in non-core contributions</w:t>
            </w:r>
          </w:p>
        </w:tc>
        <w:tc>
          <w:tcPr>
            <w:tcW w:w="1890" w:type="dxa"/>
            <w:gridSpan w:val="2"/>
            <w:vAlign w:val="center"/>
          </w:tcPr>
          <w:p w14:paraId="3F08C7A1" w14:textId="77777777" w:rsidR="00C73758" w:rsidRPr="00C73758" w:rsidRDefault="00C73758" w:rsidP="00C73758">
            <w:pPr>
              <w:pBdr>
                <w:top w:val="nil"/>
                <w:left w:val="nil"/>
                <w:bottom w:val="nil"/>
                <w:right w:val="nil"/>
                <w:between w:val="nil"/>
              </w:pBdr>
              <w:spacing w:after="0" w:line="240" w:lineRule="auto"/>
              <w:ind w:right="20"/>
              <w:jc w:val="center"/>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UNDP</w:t>
            </w:r>
          </w:p>
        </w:tc>
      </w:tr>
      <w:tr w:rsidR="00C73758" w:rsidRPr="00C73758" w14:paraId="24C6877B" w14:textId="77777777" w:rsidTr="00395075">
        <w:trPr>
          <w:gridAfter w:val="1"/>
          <w:wAfter w:w="8" w:type="dxa"/>
        </w:trPr>
        <w:tc>
          <w:tcPr>
            <w:tcW w:w="1590" w:type="dxa"/>
            <w:tcMar>
              <w:top w:w="100" w:type="dxa"/>
              <w:left w:w="100" w:type="dxa"/>
              <w:bottom w:w="100" w:type="dxa"/>
              <w:right w:w="100" w:type="dxa"/>
            </w:tcMar>
            <w:vAlign w:val="center"/>
          </w:tcPr>
          <w:p w14:paraId="644BA905" w14:textId="77777777" w:rsidR="00C73758" w:rsidRPr="00C73758" w:rsidRDefault="00C73758" w:rsidP="00C73758">
            <w:pPr>
              <w:pBdr>
                <w:top w:val="nil"/>
                <w:left w:val="nil"/>
                <w:bottom w:val="nil"/>
                <w:right w:val="nil"/>
                <w:between w:val="nil"/>
              </w:pBdr>
              <w:spacing w:after="0" w:line="240" w:lineRule="auto"/>
              <w:ind w:left="-100" w:firstLine="33"/>
              <w:jc w:val="center"/>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18"/>
                <w:szCs w:val="18"/>
                <w:lang w:eastAsia="zh-CN"/>
              </w:rPr>
              <w:t>63b</w:t>
            </w:r>
          </w:p>
        </w:tc>
        <w:tc>
          <w:tcPr>
            <w:tcW w:w="1501" w:type="dxa"/>
            <w:vAlign w:val="center"/>
          </w:tcPr>
          <w:p w14:paraId="45A00D1E" w14:textId="77777777" w:rsidR="00C73758" w:rsidRPr="00C73758" w:rsidRDefault="00C73758" w:rsidP="00C73758">
            <w:pPr>
              <w:pBdr>
                <w:top w:val="nil"/>
                <w:left w:val="nil"/>
                <w:bottom w:val="nil"/>
                <w:right w:val="nil"/>
                <w:between w:val="nil"/>
              </w:pBdr>
              <w:spacing w:after="0" w:line="240" w:lineRule="auto"/>
              <w:ind w:left="210" w:right="20"/>
              <w:rPr>
                <w:rFonts w:ascii="Times New Roman" w:eastAsia="Times New Roman" w:hAnsi="Times New Roman" w:cs="Times New Roman"/>
                <w:sz w:val="20"/>
                <w:szCs w:val="20"/>
                <w:lang w:eastAsia="zh-CN"/>
              </w:rPr>
            </w:pPr>
            <w:r w:rsidRPr="00C73758">
              <w:rPr>
                <w:rFonts w:ascii="Times New Roman" w:eastAsia="Times New Roman" w:hAnsi="Times New Roman" w:cs="Times New Roman"/>
                <w:color w:val="000000"/>
                <w:sz w:val="20"/>
                <w:szCs w:val="20"/>
                <w:lang w:eastAsia="zh-CN"/>
              </w:rPr>
              <w:t>QCPR 18.d</w:t>
            </w:r>
          </w:p>
        </w:tc>
        <w:tc>
          <w:tcPr>
            <w:tcW w:w="5220" w:type="dxa"/>
            <w:tcMar>
              <w:top w:w="100" w:type="dxa"/>
              <w:left w:w="100" w:type="dxa"/>
              <w:bottom w:w="100" w:type="dxa"/>
              <w:right w:w="100" w:type="dxa"/>
            </w:tcMar>
            <w:vAlign w:val="center"/>
          </w:tcPr>
          <w:p w14:paraId="28240BBF" w14:textId="77777777" w:rsidR="00C73758" w:rsidRPr="00C73758" w:rsidRDefault="00C73758" w:rsidP="00C73758">
            <w:pPr>
              <w:pBdr>
                <w:top w:val="nil"/>
                <w:left w:val="nil"/>
                <w:bottom w:val="nil"/>
                <w:right w:val="nil"/>
                <w:between w:val="nil"/>
              </w:pBdr>
              <w:spacing w:after="0" w:line="240" w:lineRule="auto"/>
              <w:ind w:left="210" w:right="20"/>
              <w:rPr>
                <w:rFonts w:ascii="Times New Roman" w:eastAsia="Times New Roman" w:hAnsi="Times New Roman" w:cs="Times New Roman"/>
                <w:sz w:val="20"/>
                <w:szCs w:val="20"/>
                <w:lang w:eastAsia="zh-CN"/>
              </w:rPr>
            </w:pPr>
            <w:r w:rsidRPr="00C73758">
              <w:rPr>
                <w:rFonts w:ascii="Times New Roman" w:eastAsia="Times New Roman" w:hAnsi="Times New Roman" w:cs="Times New Roman"/>
                <w:sz w:val="20"/>
                <w:szCs w:val="20"/>
                <w:lang w:eastAsia="zh-CN"/>
              </w:rPr>
              <w:t>% share of total funding coming from non-State partners</w:t>
            </w:r>
          </w:p>
          <w:p w14:paraId="09E35BAF" w14:textId="77777777" w:rsidR="00C73758" w:rsidRPr="00C73758" w:rsidRDefault="00C73758" w:rsidP="00C73758">
            <w:pPr>
              <w:pBdr>
                <w:top w:val="nil"/>
                <w:left w:val="nil"/>
                <w:bottom w:val="nil"/>
                <w:right w:val="nil"/>
                <w:between w:val="nil"/>
              </w:pBdr>
              <w:spacing w:after="0" w:line="240" w:lineRule="auto"/>
              <w:ind w:left="210" w:right="20"/>
              <w:rPr>
                <w:rFonts w:ascii="Times New Roman" w:eastAsia="Times New Roman" w:hAnsi="Times New Roman" w:cs="Times New Roman"/>
                <w:sz w:val="20"/>
                <w:szCs w:val="20"/>
                <w:lang w:eastAsia="zh-CN"/>
              </w:rPr>
            </w:pPr>
          </w:p>
        </w:tc>
        <w:tc>
          <w:tcPr>
            <w:tcW w:w="3870" w:type="dxa"/>
            <w:gridSpan w:val="2"/>
            <w:vAlign w:val="center"/>
          </w:tcPr>
          <w:p w14:paraId="7240EC03" w14:textId="77777777" w:rsidR="00C73758" w:rsidRPr="00C73758" w:rsidRDefault="00C73758" w:rsidP="00C73758">
            <w:pPr>
              <w:pBdr>
                <w:top w:val="nil"/>
                <w:left w:val="nil"/>
                <w:bottom w:val="nil"/>
                <w:right w:val="nil"/>
                <w:between w:val="nil"/>
              </w:pBdr>
              <w:spacing w:after="0" w:line="240" w:lineRule="auto"/>
              <w:ind w:right="20"/>
              <w:rPr>
                <w:rFonts w:ascii="Times New Roman" w:eastAsia="Times New Roman" w:hAnsi="Times New Roman" w:cs="Times New Roman"/>
                <w:sz w:val="20"/>
                <w:szCs w:val="20"/>
                <w:lang w:eastAsia="zh-CN"/>
              </w:rPr>
            </w:pPr>
            <w:r w:rsidRPr="00C73758">
              <w:rPr>
                <w:rFonts w:ascii="Times New Roman" w:eastAsia="Times New Roman" w:hAnsi="Times New Roman" w:cs="Times New Roman"/>
                <w:sz w:val="20"/>
                <w:szCs w:val="20"/>
                <w:lang w:eastAsia="zh-CN"/>
              </w:rPr>
              <w:t>In 2018, 37% of total funding to UNDP came from non-State partners.</w:t>
            </w:r>
          </w:p>
        </w:tc>
        <w:tc>
          <w:tcPr>
            <w:tcW w:w="1890" w:type="dxa"/>
            <w:gridSpan w:val="2"/>
            <w:vAlign w:val="center"/>
          </w:tcPr>
          <w:p w14:paraId="3FAB2C12" w14:textId="77777777" w:rsidR="00C73758" w:rsidRPr="00C73758" w:rsidRDefault="00C73758" w:rsidP="00C73758">
            <w:pPr>
              <w:pBdr>
                <w:top w:val="nil"/>
                <w:left w:val="nil"/>
                <w:bottom w:val="nil"/>
                <w:right w:val="nil"/>
                <w:between w:val="nil"/>
              </w:pBdr>
              <w:spacing w:after="0" w:line="240" w:lineRule="auto"/>
              <w:ind w:right="20"/>
              <w:jc w:val="center"/>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UNDP</w:t>
            </w:r>
          </w:p>
        </w:tc>
      </w:tr>
      <w:tr w:rsidR="00C73758" w:rsidRPr="00C73758" w14:paraId="76BD7811" w14:textId="77777777" w:rsidTr="00395075">
        <w:trPr>
          <w:gridAfter w:val="1"/>
          <w:wAfter w:w="8" w:type="dxa"/>
          <w:trHeight w:val="240"/>
        </w:trPr>
        <w:tc>
          <w:tcPr>
            <w:tcW w:w="1590" w:type="dxa"/>
            <w:tcMar>
              <w:top w:w="100" w:type="dxa"/>
              <w:left w:w="100" w:type="dxa"/>
              <w:bottom w:w="100" w:type="dxa"/>
              <w:right w:w="100" w:type="dxa"/>
            </w:tcMar>
            <w:vAlign w:val="center"/>
          </w:tcPr>
          <w:p w14:paraId="6F484476" w14:textId="77777777" w:rsidR="00C73758" w:rsidRPr="00C73758" w:rsidRDefault="00C73758" w:rsidP="00C73758">
            <w:pPr>
              <w:pBdr>
                <w:top w:val="nil"/>
                <w:left w:val="nil"/>
                <w:bottom w:val="nil"/>
                <w:right w:val="nil"/>
                <w:between w:val="nil"/>
              </w:pBdr>
              <w:spacing w:after="0" w:line="240" w:lineRule="auto"/>
              <w:ind w:left="-100" w:firstLine="33"/>
              <w:jc w:val="center"/>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18"/>
                <w:szCs w:val="18"/>
                <w:lang w:eastAsia="zh-CN"/>
              </w:rPr>
              <w:t>66a</w:t>
            </w:r>
          </w:p>
        </w:tc>
        <w:tc>
          <w:tcPr>
            <w:tcW w:w="1501" w:type="dxa"/>
            <w:vAlign w:val="center"/>
          </w:tcPr>
          <w:p w14:paraId="42774759" w14:textId="77777777" w:rsidR="00C73758" w:rsidRPr="00C73758" w:rsidRDefault="00C73758" w:rsidP="00C73758">
            <w:pPr>
              <w:pBdr>
                <w:top w:val="nil"/>
                <w:left w:val="nil"/>
                <w:bottom w:val="nil"/>
                <w:right w:val="nil"/>
                <w:between w:val="nil"/>
              </w:pBdr>
              <w:spacing w:after="0" w:line="240" w:lineRule="auto"/>
              <w:ind w:left="210" w:right="20"/>
              <w:rPr>
                <w:rFonts w:ascii="Times New Roman" w:eastAsia="Times New Roman" w:hAnsi="Times New Roman" w:cs="Times New Roman"/>
                <w:sz w:val="20"/>
                <w:szCs w:val="20"/>
                <w:lang w:eastAsia="zh-CN"/>
              </w:rPr>
            </w:pPr>
            <w:r w:rsidRPr="00C73758">
              <w:rPr>
                <w:rFonts w:ascii="Times New Roman" w:eastAsia="Times New Roman" w:hAnsi="Times New Roman" w:cs="Times New Roman"/>
                <w:color w:val="000000"/>
                <w:sz w:val="20"/>
                <w:szCs w:val="20"/>
                <w:lang w:eastAsia="zh-CN"/>
              </w:rPr>
              <w:t>QCPR 20.a</w:t>
            </w:r>
          </w:p>
        </w:tc>
        <w:tc>
          <w:tcPr>
            <w:tcW w:w="5220" w:type="dxa"/>
            <w:tcMar>
              <w:top w:w="100" w:type="dxa"/>
              <w:left w:w="100" w:type="dxa"/>
              <w:bottom w:w="100" w:type="dxa"/>
              <w:right w:w="100" w:type="dxa"/>
            </w:tcMar>
            <w:vAlign w:val="center"/>
          </w:tcPr>
          <w:p w14:paraId="74F8EB22" w14:textId="77777777" w:rsidR="00C73758" w:rsidRPr="00C73758" w:rsidRDefault="00C73758" w:rsidP="00C73758">
            <w:pPr>
              <w:pBdr>
                <w:top w:val="nil"/>
                <w:left w:val="nil"/>
                <w:bottom w:val="nil"/>
                <w:right w:val="nil"/>
                <w:between w:val="nil"/>
              </w:pBdr>
              <w:spacing w:after="0" w:line="240" w:lineRule="auto"/>
              <w:ind w:left="210" w:right="20"/>
              <w:rPr>
                <w:rFonts w:ascii="Times New Roman" w:eastAsia="Times New Roman" w:hAnsi="Times New Roman" w:cs="Times New Roman"/>
                <w:sz w:val="20"/>
                <w:szCs w:val="20"/>
                <w:lang w:eastAsia="zh-CN"/>
              </w:rPr>
            </w:pPr>
            <w:r w:rsidRPr="00C73758">
              <w:rPr>
                <w:rFonts w:ascii="Times New Roman" w:eastAsia="Times New Roman" w:hAnsi="Times New Roman" w:cs="Times New Roman"/>
                <w:sz w:val="20"/>
                <w:szCs w:val="20"/>
                <w:lang w:eastAsia="zh-CN"/>
              </w:rPr>
              <w:t>Fraction of the United Nations development system (UNDS) entities reporting resources generated from ‘innovative funding modalities’ as part of their regular financial reporting</w:t>
            </w:r>
          </w:p>
        </w:tc>
        <w:tc>
          <w:tcPr>
            <w:tcW w:w="3870" w:type="dxa"/>
            <w:gridSpan w:val="2"/>
            <w:vAlign w:val="center"/>
          </w:tcPr>
          <w:p w14:paraId="0C617456" w14:textId="77777777" w:rsidR="00C73758" w:rsidRPr="00C73758" w:rsidRDefault="00C73758" w:rsidP="00C73758">
            <w:pPr>
              <w:pBdr>
                <w:top w:val="nil"/>
                <w:left w:val="nil"/>
                <w:bottom w:val="nil"/>
                <w:right w:val="nil"/>
                <w:between w:val="nil"/>
              </w:pBdr>
              <w:spacing w:after="0" w:line="240" w:lineRule="auto"/>
              <w:ind w:right="20"/>
              <w:jc w:val="center"/>
              <w:rPr>
                <w:rFonts w:ascii="Times New Roman" w:eastAsia="Times New Roman" w:hAnsi="Times New Roman" w:cs="Times New Roman"/>
                <w:sz w:val="20"/>
                <w:szCs w:val="20"/>
                <w:lang w:eastAsia="zh-CN"/>
              </w:rPr>
            </w:pPr>
            <w:r w:rsidRPr="00C73758">
              <w:rPr>
                <w:rFonts w:ascii="Times New Roman" w:eastAsia="Times New Roman" w:hAnsi="Times New Roman" w:cs="Times New Roman"/>
                <w:sz w:val="20"/>
                <w:szCs w:val="20"/>
                <w:lang w:eastAsia="zh-CN"/>
              </w:rPr>
              <w:t>Data not available.</w:t>
            </w:r>
          </w:p>
        </w:tc>
        <w:tc>
          <w:tcPr>
            <w:tcW w:w="1890" w:type="dxa"/>
            <w:gridSpan w:val="2"/>
            <w:vAlign w:val="center"/>
          </w:tcPr>
          <w:p w14:paraId="11B8B9D2" w14:textId="77777777" w:rsidR="00C73758" w:rsidRPr="00C73758" w:rsidRDefault="00C73758" w:rsidP="00C73758">
            <w:pPr>
              <w:pBdr>
                <w:top w:val="nil"/>
                <w:left w:val="nil"/>
                <w:bottom w:val="nil"/>
                <w:right w:val="nil"/>
                <w:between w:val="nil"/>
              </w:pBdr>
              <w:spacing w:after="0" w:line="240" w:lineRule="auto"/>
              <w:ind w:right="20" w:firstLine="60"/>
              <w:jc w:val="center"/>
              <w:rPr>
                <w:rFonts w:ascii="Times New Roman" w:eastAsia="Times New Roman" w:hAnsi="Times New Roman" w:cs="Times New Roman"/>
                <w:sz w:val="20"/>
                <w:szCs w:val="20"/>
                <w:lang w:eastAsia="zh-CN"/>
              </w:rPr>
            </w:pPr>
            <w:r w:rsidRPr="00C73758">
              <w:rPr>
                <w:rFonts w:ascii="Times New Roman" w:eastAsia="Times New Roman" w:hAnsi="Times New Roman" w:cs="Times New Roman"/>
                <w:color w:val="000000"/>
                <w:sz w:val="20"/>
                <w:szCs w:val="20"/>
                <w:lang w:eastAsia="zh-CN"/>
              </w:rPr>
              <w:t>N/A</w:t>
            </w:r>
          </w:p>
        </w:tc>
      </w:tr>
      <w:tr w:rsidR="00C73758" w:rsidRPr="00C73758" w14:paraId="259B02CB" w14:textId="77777777" w:rsidTr="00395075">
        <w:trPr>
          <w:gridAfter w:val="1"/>
          <w:wAfter w:w="8" w:type="dxa"/>
          <w:trHeight w:val="233"/>
        </w:trPr>
        <w:tc>
          <w:tcPr>
            <w:tcW w:w="1590" w:type="dxa"/>
            <w:tcMar>
              <w:top w:w="100" w:type="dxa"/>
              <w:left w:w="100" w:type="dxa"/>
              <w:bottom w:w="100" w:type="dxa"/>
              <w:right w:w="100" w:type="dxa"/>
            </w:tcMar>
            <w:vAlign w:val="center"/>
          </w:tcPr>
          <w:p w14:paraId="5DB408A7" w14:textId="77777777" w:rsidR="00C73758" w:rsidRPr="00C73758" w:rsidRDefault="00C73758" w:rsidP="00C73758">
            <w:pPr>
              <w:pBdr>
                <w:top w:val="nil"/>
                <w:left w:val="nil"/>
                <w:bottom w:val="nil"/>
                <w:right w:val="nil"/>
                <w:between w:val="nil"/>
              </w:pBdr>
              <w:spacing w:after="0" w:line="240" w:lineRule="auto"/>
              <w:ind w:left="-100" w:firstLine="33"/>
              <w:jc w:val="center"/>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18"/>
                <w:szCs w:val="18"/>
                <w:lang w:eastAsia="zh-CN"/>
              </w:rPr>
              <w:t>67</w:t>
            </w:r>
          </w:p>
        </w:tc>
        <w:tc>
          <w:tcPr>
            <w:tcW w:w="1501" w:type="dxa"/>
            <w:vAlign w:val="center"/>
          </w:tcPr>
          <w:p w14:paraId="5EBCDED6" w14:textId="77777777" w:rsidR="00C73758" w:rsidRPr="00C73758" w:rsidRDefault="00C73758" w:rsidP="00C73758">
            <w:pPr>
              <w:pBdr>
                <w:top w:val="nil"/>
                <w:left w:val="nil"/>
                <w:bottom w:val="nil"/>
                <w:right w:val="nil"/>
                <w:between w:val="nil"/>
              </w:pBdr>
              <w:spacing w:after="0" w:line="240" w:lineRule="auto"/>
              <w:ind w:left="210" w:right="20"/>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QCPR 21.a</w:t>
            </w:r>
          </w:p>
        </w:tc>
        <w:tc>
          <w:tcPr>
            <w:tcW w:w="5220" w:type="dxa"/>
            <w:tcMar>
              <w:top w:w="100" w:type="dxa"/>
              <w:left w:w="100" w:type="dxa"/>
              <w:bottom w:w="100" w:type="dxa"/>
              <w:right w:w="100" w:type="dxa"/>
            </w:tcMar>
            <w:vAlign w:val="center"/>
          </w:tcPr>
          <w:p w14:paraId="0EBD8E5D" w14:textId="77777777" w:rsidR="00C73758" w:rsidRPr="00C73758" w:rsidRDefault="00C73758" w:rsidP="00C73758">
            <w:pPr>
              <w:pBdr>
                <w:top w:val="nil"/>
                <w:left w:val="nil"/>
                <w:bottom w:val="nil"/>
                <w:right w:val="nil"/>
                <w:between w:val="nil"/>
              </w:pBdr>
              <w:spacing w:after="0" w:line="240" w:lineRule="auto"/>
              <w:ind w:left="210" w:right="20"/>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 of UNCTs with a Joint Resource Mobilization strategy that is approved by the UNCT as well as monitored and reported against the United Nations Country Results Report</w:t>
            </w:r>
          </w:p>
        </w:tc>
        <w:tc>
          <w:tcPr>
            <w:tcW w:w="3870" w:type="dxa"/>
            <w:gridSpan w:val="2"/>
            <w:vAlign w:val="center"/>
          </w:tcPr>
          <w:p w14:paraId="190B385D" w14:textId="77777777" w:rsidR="00C73758" w:rsidRPr="00C73758" w:rsidRDefault="00C73758" w:rsidP="00C73758">
            <w:pPr>
              <w:pBdr>
                <w:top w:val="nil"/>
                <w:left w:val="nil"/>
                <w:bottom w:val="nil"/>
                <w:right w:val="nil"/>
                <w:between w:val="nil"/>
              </w:pBdr>
              <w:spacing w:after="0" w:line="240" w:lineRule="auto"/>
              <w:ind w:right="20"/>
              <w:jc w:val="center"/>
              <w:rPr>
                <w:rFonts w:ascii="Times New Roman" w:eastAsia="Times New Roman" w:hAnsi="Times New Roman" w:cs="Times New Roman"/>
                <w:sz w:val="20"/>
                <w:szCs w:val="20"/>
                <w:lang w:eastAsia="zh-CN"/>
              </w:rPr>
            </w:pPr>
            <w:r w:rsidRPr="00C73758">
              <w:rPr>
                <w:rFonts w:ascii="Times New Roman" w:eastAsia="Times New Roman" w:hAnsi="Times New Roman" w:cs="Times New Roman"/>
                <w:sz w:val="20"/>
                <w:szCs w:val="20"/>
                <w:lang w:eastAsia="zh-CN"/>
              </w:rPr>
              <w:t>27 of 130 countries (20.8%)</w:t>
            </w:r>
          </w:p>
        </w:tc>
        <w:tc>
          <w:tcPr>
            <w:tcW w:w="1890" w:type="dxa"/>
            <w:gridSpan w:val="2"/>
            <w:vAlign w:val="center"/>
          </w:tcPr>
          <w:p w14:paraId="5E7E1290" w14:textId="77777777" w:rsidR="00C73758" w:rsidRPr="00C73758" w:rsidRDefault="00C73758" w:rsidP="00C73758">
            <w:pPr>
              <w:pBdr>
                <w:top w:val="nil"/>
                <w:left w:val="nil"/>
                <w:bottom w:val="nil"/>
                <w:right w:val="nil"/>
                <w:between w:val="nil"/>
              </w:pBdr>
              <w:spacing w:after="0" w:line="240" w:lineRule="auto"/>
              <w:ind w:right="20"/>
              <w:jc w:val="center"/>
              <w:rPr>
                <w:rFonts w:ascii="Times New Roman" w:eastAsia="Times New Roman" w:hAnsi="Times New Roman" w:cs="Times New Roman"/>
                <w:sz w:val="20"/>
                <w:szCs w:val="20"/>
                <w:lang w:eastAsia="zh-CN"/>
              </w:rPr>
            </w:pPr>
            <w:r w:rsidRPr="00C73758">
              <w:rPr>
                <w:rFonts w:ascii="Times New Roman" w:eastAsia="Times New Roman" w:hAnsi="Times New Roman" w:cs="Times New Roman"/>
                <w:sz w:val="20"/>
                <w:szCs w:val="20"/>
                <w:lang w:eastAsia="zh-CN"/>
              </w:rPr>
              <w:t>DCO IMS 2018</w:t>
            </w:r>
          </w:p>
        </w:tc>
      </w:tr>
      <w:tr w:rsidR="00C73758" w:rsidRPr="00C73758" w14:paraId="376C7CB0" w14:textId="77777777" w:rsidTr="00395075">
        <w:trPr>
          <w:gridAfter w:val="1"/>
          <w:wAfter w:w="8" w:type="dxa"/>
          <w:trHeight w:val="188"/>
        </w:trPr>
        <w:tc>
          <w:tcPr>
            <w:tcW w:w="1590" w:type="dxa"/>
            <w:tcMar>
              <w:top w:w="100" w:type="dxa"/>
              <w:left w:w="100" w:type="dxa"/>
              <w:bottom w:w="100" w:type="dxa"/>
              <w:right w:w="100" w:type="dxa"/>
            </w:tcMar>
            <w:vAlign w:val="center"/>
          </w:tcPr>
          <w:p w14:paraId="46C6EF7A" w14:textId="77777777" w:rsidR="00C73758" w:rsidRPr="00C73758" w:rsidRDefault="00C73758" w:rsidP="00C73758">
            <w:pPr>
              <w:pBdr>
                <w:top w:val="nil"/>
                <w:left w:val="nil"/>
                <w:bottom w:val="nil"/>
                <w:right w:val="nil"/>
                <w:between w:val="nil"/>
              </w:pBdr>
              <w:spacing w:after="0" w:line="240" w:lineRule="auto"/>
              <w:ind w:left="-100" w:firstLine="33"/>
              <w:jc w:val="center"/>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18"/>
                <w:szCs w:val="18"/>
                <w:lang w:eastAsia="zh-CN"/>
              </w:rPr>
              <w:t>72a</w:t>
            </w:r>
          </w:p>
        </w:tc>
        <w:tc>
          <w:tcPr>
            <w:tcW w:w="1501" w:type="dxa"/>
            <w:vAlign w:val="center"/>
          </w:tcPr>
          <w:p w14:paraId="58DDEAF8" w14:textId="77777777" w:rsidR="00C73758" w:rsidRPr="00C73758" w:rsidRDefault="00C73758" w:rsidP="00C73758">
            <w:pPr>
              <w:pBdr>
                <w:top w:val="nil"/>
                <w:left w:val="nil"/>
                <w:bottom w:val="nil"/>
                <w:right w:val="nil"/>
                <w:between w:val="nil"/>
              </w:pBdr>
              <w:spacing w:after="0" w:line="240" w:lineRule="auto"/>
              <w:ind w:left="210" w:right="20"/>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QCPR 21.b</w:t>
            </w:r>
          </w:p>
        </w:tc>
        <w:tc>
          <w:tcPr>
            <w:tcW w:w="5220" w:type="dxa"/>
            <w:tcMar>
              <w:top w:w="100" w:type="dxa"/>
              <w:left w:w="100" w:type="dxa"/>
              <w:bottom w:w="100" w:type="dxa"/>
              <w:right w:w="100" w:type="dxa"/>
            </w:tcMar>
            <w:vAlign w:val="center"/>
          </w:tcPr>
          <w:p w14:paraId="548C0927" w14:textId="77777777" w:rsidR="00C73758" w:rsidRPr="00C73758" w:rsidRDefault="00C73758" w:rsidP="00C73758">
            <w:pPr>
              <w:pBdr>
                <w:top w:val="nil"/>
                <w:left w:val="nil"/>
                <w:bottom w:val="nil"/>
                <w:right w:val="nil"/>
                <w:between w:val="nil"/>
              </w:pBdr>
              <w:spacing w:after="0" w:line="240" w:lineRule="auto"/>
              <w:ind w:left="210" w:right="20"/>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 of UNCTs that have a Common Budgetary Framework (CBF) that is: (i) Medium-term and aligned to the UNDAF/One Programme; (ii) Updated annually (i.e. annual CBF)</w:t>
            </w:r>
          </w:p>
        </w:tc>
        <w:tc>
          <w:tcPr>
            <w:tcW w:w="3870" w:type="dxa"/>
            <w:gridSpan w:val="2"/>
            <w:vAlign w:val="center"/>
          </w:tcPr>
          <w:p w14:paraId="1B480DF0" w14:textId="77777777" w:rsidR="00C73758" w:rsidRPr="00C73758" w:rsidRDefault="00C73758" w:rsidP="00C73758">
            <w:pPr>
              <w:numPr>
                <w:ilvl w:val="0"/>
                <w:numId w:val="34"/>
              </w:numPr>
              <w:pBdr>
                <w:top w:val="nil"/>
                <w:left w:val="nil"/>
                <w:bottom w:val="nil"/>
                <w:right w:val="nil"/>
                <w:between w:val="nil"/>
              </w:pBdr>
              <w:spacing w:after="0" w:line="240" w:lineRule="auto"/>
              <w:ind w:left="337" w:right="20"/>
              <w:contextualSpacing/>
              <w:jc w:val="center"/>
              <w:rPr>
                <w:rFonts w:ascii="Times New Roman" w:eastAsia="Times New Roman" w:hAnsi="Times New Roman" w:cs="Times New Roman"/>
                <w:sz w:val="20"/>
                <w:szCs w:val="20"/>
                <w:lang w:eastAsia="zh-CN"/>
              </w:rPr>
            </w:pPr>
            <w:r w:rsidRPr="00C73758">
              <w:rPr>
                <w:rFonts w:ascii="Times New Roman" w:eastAsia="Times New Roman" w:hAnsi="Times New Roman" w:cs="Times New Roman"/>
                <w:sz w:val="20"/>
                <w:szCs w:val="20"/>
                <w:lang w:eastAsia="zh-CN"/>
              </w:rPr>
              <w:t>86 of 130 countries (66.2%)</w:t>
            </w:r>
          </w:p>
          <w:p w14:paraId="364B71D3" w14:textId="77777777" w:rsidR="00C73758" w:rsidRPr="00C73758" w:rsidRDefault="00C73758" w:rsidP="00C73758">
            <w:pPr>
              <w:numPr>
                <w:ilvl w:val="0"/>
                <w:numId w:val="34"/>
              </w:numPr>
              <w:pBdr>
                <w:top w:val="nil"/>
                <w:left w:val="nil"/>
                <w:bottom w:val="nil"/>
                <w:right w:val="nil"/>
                <w:between w:val="nil"/>
              </w:pBdr>
              <w:spacing w:after="0" w:line="240" w:lineRule="auto"/>
              <w:ind w:left="337" w:right="20"/>
              <w:contextualSpacing/>
              <w:jc w:val="center"/>
              <w:rPr>
                <w:rFonts w:ascii="Times New Roman" w:eastAsia="Times New Roman" w:hAnsi="Times New Roman" w:cs="Times New Roman"/>
                <w:sz w:val="20"/>
                <w:szCs w:val="20"/>
                <w:lang w:eastAsia="zh-CN"/>
              </w:rPr>
            </w:pPr>
            <w:r w:rsidRPr="00C73758">
              <w:rPr>
                <w:rFonts w:ascii="Times New Roman" w:eastAsia="Times New Roman" w:hAnsi="Times New Roman" w:cs="Times New Roman"/>
                <w:sz w:val="20"/>
                <w:szCs w:val="20"/>
                <w:lang w:eastAsia="zh-CN"/>
              </w:rPr>
              <w:t>60 of 130 countries (46.2%)</w:t>
            </w:r>
          </w:p>
        </w:tc>
        <w:tc>
          <w:tcPr>
            <w:tcW w:w="1890" w:type="dxa"/>
            <w:gridSpan w:val="2"/>
            <w:vAlign w:val="center"/>
          </w:tcPr>
          <w:p w14:paraId="075A89FE" w14:textId="77777777" w:rsidR="00C73758" w:rsidRPr="00C73758" w:rsidRDefault="00C73758" w:rsidP="00C73758">
            <w:pPr>
              <w:pBdr>
                <w:top w:val="nil"/>
                <w:left w:val="nil"/>
                <w:bottom w:val="nil"/>
                <w:right w:val="nil"/>
                <w:between w:val="nil"/>
              </w:pBdr>
              <w:spacing w:after="0" w:line="240" w:lineRule="auto"/>
              <w:ind w:right="20"/>
              <w:jc w:val="center"/>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sz w:val="20"/>
                <w:szCs w:val="20"/>
                <w:lang w:eastAsia="zh-CN"/>
              </w:rPr>
              <w:t>DCO IMS 2018</w:t>
            </w:r>
          </w:p>
        </w:tc>
      </w:tr>
      <w:tr w:rsidR="00C73758" w:rsidRPr="00C73758" w14:paraId="57CDC10A" w14:textId="77777777" w:rsidTr="00395075">
        <w:trPr>
          <w:trHeight w:val="182"/>
        </w:trPr>
        <w:tc>
          <w:tcPr>
            <w:tcW w:w="8319" w:type="dxa"/>
            <w:gridSpan w:val="4"/>
            <w:shd w:val="clear" w:color="auto" w:fill="CFE2F3"/>
          </w:tcPr>
          <w:p w14:paraId="57F8343E" w14:textId="77777777" w:rsidR="00C73758" w:rsidRPr="00C73758" w:rsidRDefault="00C73758" w:rsidP="00C73758">
            <w:pPr>
              <w:pBdr>
                <w:top w:val="nil"/>
                <w:left w:val="nil"/>
                <w:bottom w:val="nil"/>
                <w:right w:val="nil"/>
                <w:between w:val="nil"/>
              </w:pBdr>
              <w:spacing w:after="0" w:line="240" w:lineRule="auto"/>
              <w:ind w:left="-100" w:right="200" w:firstLine="275"/>
              <w:rPr>
                <w:rFonts w:ascii="Times New Roman" w:eastAsia="Times New Roman" w:hAnsi="Times New Roman" w:cs="Times New Roman"/>
                <w:color w:val="000000"/>
                <w:sz w:val="20"/>
                <w:szCs w:val="20"/>
                <w:lang w:eastAsia="zh-CN"/>
              </w:rPr>
            </w:pPr>
            <w:r w:rsidRPr="00C73758">
              <w:rPr>
                <w:rFonts w:ascii="Times New Roman" w:eastAsia="Cambria" w:hAnsi="Times New Roman" w:cs="Times New Roman"/>
                <w:b/>
                <w:sz w:val="20"/>
                <w:szCs w:val="20"/>
                <w:lang w:eastAsia="zh-CN"/>
              </w:rPr>
              <w:t>Implementation of full cost recovery</w:t>
            </w:r>
          </w:p>
        </w:tc>
        <w:tc>
          <w:tcPr>
            <w:tcW w:w="3870" w:type="dxa"/>
            <w:gridSpan w:val="2"/>
            <w:shd w:val="clear" w:color="auto" w:fill="CFE2F3"/>
            <w:vAlign w:val="center"/>
          </w:tcPr>
          <w:p w14:paraId="67F9133A" w14:textId="77777777" w:rsidR="00C73758" w:rsidRPr="00C73758" w:rsidRDefault="00C73758" w:rsidP="00C73758">
            <w:pPr>
              <w:pBdr>
                <w:top w:val="nil"/>
                <w:left w:val="nil"/>
                <w:bottom w:val="nil"/>
                <w:right w:val="nil"/>
                <w:between w:val="nil"/>
              </w:pBdr>
              <w:spacing w:after="0" w:line="240" w:lineRule="auto"/>
              <w:ind w:left="-100" w:right="200" w:firstLine="275"/>
              <w:rPr>
                <w:rFonts w:ascii="Times New Roman" w:eastAsia="Cambria" w:hAnsi="Times New Roman" w:cs="Times New Roman"/>
                <w:b/>
                <w:color w:val="000000"/>
                <w:sz w:val="20"/>
                <w:szCs w:val="20"/>
                <w:lang w:eastAsia="zh-CN"/>
              </w:rPr>
            </w:pPr>
          </w:p>
        </w:tc>
        <w:tc>
          <w:tcPr>
            <w:tcW w:w="1890" w:type="dxa"/>
            <w:gridSpan w:val="2"/>
            <w:shd w:val="clear" w:color="auto" w:fill="CFE2F3"/>
            <w:vAlign w:val="center"/>
          </w:tcPr>
          <w:p w14:paraId="596376B4" w14:textId="77777777" w:rsidR="00C73758" w:rsidRPr="00C73758" w:rsidRDefault="00C73758" w:rsidP="00C73758">
            <w:pPr>
              <w:pBdr>
                <w:top w:val="nil"/>
                <w:left w:val="nil"/>
                <w:bottom w:val="nil"/>
                <w:right w:val="nil"/>
                <w:between w:val="nil"/>
              </w:pBdr>
              <w:spacing w:after="0" w:line="240" w:lineRule="auto"/>
              <w:ind w:left="-100" w:right="200" w:firstLine="275"/>
              <w:jc w:val="center"/>
              <w:rPr>
                <w:rFonts w:ascii="Times New Roman" w:eastAsia="Cambria" w:hAnsi="Times New Roman" w:cs="Times New Roman"/>
                <w:b/>
                <w:color w:val="000000"/>
                <w:sz w:val="20"/>
                <w:szCs w:val="20"/>
                <w:lang w:eastAsia="zh-CN"/>
              </w:rPr>
            </w:pPr>
          </w:p>
        </w:tc>
      </w:tr>
      <w:tr w:rsidR="00C73758" w:rsidRPr="00C73758" w14:paraId="75EC7304" w14:textId="77777777" w:rsidTr="00395075">
        <w:trPr>
          <w:gridAfter w:val="1"/>
          <w:wAfter w:w="8" w:type="dxa"/>
          <w:trHeight w:val="245"/>
        </w:trPr>
        <w:tc>
          <w:tcPr>
            <w:tcW w:w="1590" w:type="dxa"/>
            <w:tcMar>
              <w:top w:w="100" w:type="dxa"/>
              <w:left w:w="100" w:type="dxa"/>
              <w:bottom w:w="100" w:type="dxa"/>
              <w:right w:w="100" w:type="dxa"/>
            </w:tcMar>
            <w:vAlign w:val="center"/>
          </w:tcPr>
          <w:p w14:paraId="0B737AD2" w14:textId="77777777" w:rsidR="00C73758" w:rsidRPr="00C73758" w:rsidRDefault="00C73758" w:rsidP="00C73758">
            <w:pPr>
              <w:pBdr>
                <w:top w:val="nil"/>
                <w:left w:val="nil"/>
                <w:bottom w:val="nil"/>
                <w:right w:val="nil"/>
                <w:between w:val="nil"/>
              </w:pBdr>
              <w:spacing w:after="0" w:line="240" w:lineRule="auto"/>
              <w:ind w:left="-100" w:firstLine="100"/>
              <w:jc w:val="center"/>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77c</w:t>
            </w:r>
          </w:p>
        </w:tc>
        <w:tc>
          <w:tcPr>
            <w:tcW w:w="1501" w:type="dxa"/>
            <w:vAlign w:val="center"/>
          </w:tcPr>
          <w:p w14:paraId="683B8A20" w14:textId="77777777" w:rsidR="00C73758" w:rsidRPr="00C73758" w:rsidRDefault="00C73758" w:rsidP="00C73758">
            <w:pPr>
              <w:pBdr>
                <w:top w:val="nil"/>
                <w:left w:val="nil"/>
                <w:bottom w:val="nil"/>
                <w:right w:val="nil"/>
                <w:between w:val="nil"/>
              </w:pBdr>
              <w:spacing w:after="0" w:line="240" w:lineRule="auto"/>
              <w:ind w:left="210" w:right="20"/>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QCPR 22.b</w:t>
            </w:r>
          </w:p>
        </w:tc>
        <w:tc>
          <w:tcPr>
            <w:tcW w:w="5220" w:type="dxa"/>
            <w:tcMar>
              <w:top w:w="100" w:type="dxa"/>
              <w:left w:w="100" w:type="dxa"/>
              <w:bottom w:w="100" w:type="dxa"/>
              <w:right w:w="100" w:type="dxa"/>
            </w:tcMar>
            <w:vAlign w:val="center"/>
          </w:tcPr>
          <w:p w14:paraId="4F2EE489" w14:textId="77777777" w:rsidR="00C73758" w:rsidRPr="00C73758" w:rsidRDefault="00C73758" w:rsidP="00C73758">
            <w:pPr>
              <w:pBdr>
                <w:top w:val="nil"/>
                <w:left w:val="nil"/>
                <w:bottom w:val="nil"/>
                <w:right w:val="nil"/>
                <w:between w:val="nil"/>
              </w:pBdr>
              <w:spacing w:after="0" w:line="240" w:lineRule="auto"/>
              <w:ind w:left="210" w:right="20"/>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 of total core/non-core expenditures directed to programme activities</w:t>
            </w:r>
          </w:p>
        </w:tc>
        <w:tc>
          <w:tcPr>
            <w:tcW w:w="3870" w:type="dxa"/>
            <w:gridSpan w:val="2"/>
            <w:vAlign w:val="center"/>
          </w:tcPr>
          <w:p w14:paraId="55023FB9" w14:textId="77777777" w:rsidR="00C73758" w:rsidRPr="00C73758" w:rsidRDefault="00C73758" w:rsidP="00C73758">
            <w:pPr>
              <w:pBdr>
                <w:top w:val="nil"/>
                <w:left w:val="nil"/>
                <w:bottom w:val="nil"/>
                <w:right w:val="nil"/>
                <w:between w:val="nil"/>
              </w:pBdr>
              <w:spacing w:after="0" w:line="240" w:lineRule="auto"/>
              <w:ind w:right="20"/>
              <w:rPr>
                <w:rFonts w:ascii="Times New Roman" w:eastAsia="Times New Roman" w:hAnsi="Times New Roman" w:cs="Times New Roman"/>
                <w:sz w:val="20"/>
                <w:szCs w:val="20"/>
                <w:lang w:eastAsia="zh-CN"/>
              </w:rPr>
            </w:pPr>
            <w:r w:rsidRPr="00C73758">
              <w:rPr>
                <w:rFonts w:ascii="Times New Roman" w:eastAsia="Times New Roman" w:hAnsi="Times New Roman" w:cs="Times New Roman"/>
                <w:sz w:val="20"/>
                <w:szCs w:val="20"/>
                <w:lang w:eastAsia="zh-CN"/>
              </w:rPr>
              <w:t>Core expenditures: 81%</w:t>
            </w:r>
          </w:p>
          <w:p w14:paraId="525381E2" w14:textId="77777777" w:rsidR="00C73758" w:rsidRPr="00C73758" w:rsidRDefault="00C73758" w:rsidP="00C73758">
            <w:pPr>
              <w:pBdr>
                <w:top w:val="nil"/>
                <w:left w:val="nil"/>
                <w:bottom w:val="nil"/>
                <w:right w:val="nil"/>
                <w:between w:val="nil"/>
              </w:pBdr>
              <w:spacing w:after="0" w:line="240" w:lineRule="auto"/>
              <w:ind w:right="20"/>
              <w:rPr>
                <w:rFonts w:ascii="Times New Roman" w:eastAsia="Times New Roman" w:hAnsi="Times New Roman" w:cs="Times New Roman"/>
                <w:sz w:val="20"/>
                <w:szCs w:val="20"/>
                <w:lang w:eastAsia="zh-CN"/>
              </w:rPr>
            </w:pPr>
            <w:r w:rsidRPr="00C73758">
              <w:rPr>
                <w:rFonts w:ascii="Times New Roman" w:eastAsia="Times New Roman" w:hAnsi="Times New Roman" w:cs="Times New Roman"/>
                <w:sz w:val="20"/>
                <w:szCs w:val="20"/>
                <w:lang w:eastAsia="zh-CN"/>
              </w:rPr>
              <w:t>Non-core expenditures: 95%</w:t>
            </w:r>
          </w:p>
        </w:tc>
        <w:tc>
          <w:tcPr>
            <w:tcW w:w="1890" w:type="dxa"/>
            <w:gridSpan w:val="2"/>
            <w:vAlign w:val="center"/>
          </w:tcPr>
          <w:p w14:paraId="68AAA798" w14:textId="77777777" w:rsidR="00C73758" w:rsidRPr="00C73758" w:rsidRDefault="00C73758" w:rsidP="00C73758">
            <w:pPr>
              <w:pBdr>
                <w:top w:val="nil"/>
                <w:left w:val="nil"/>
                <w:bottom w:val="nil"/>
                <w:right w:val="nil"/>
                <w:between w:val="nil"/>
              </w:pBdr>
              <w:spacing w:after="0" w:line="240" w:lineRule="auto"/>
              <w:ind w:left="-30" w:right="20"/>
              <w:jc w:val="center"/>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UNDP</w:t>
            </w:r>
          </w:p>
        </w:tc>
      </w:tr>
      <w:tr w:rsidR="00C73758" w:rsidRPr="00C73758" w14:paraId="34E5A4C4" w14:textId="77777777" w:rsidTr="00395075">
        <w:trPr>
          <w:gridAfter w:val="1"/>
          <w:wAfter w:w="8" w:type="dxa"/>
          <w:trHeight w:val="200"/>
        </w:trPr>
        <w:tc>
          <w:tcPr>
            <w:tcW w:w="1590" w:type="dxa"/>
            <w:tcMar>
              <w:top w:w="100" w:type="dxa"/>
              <w:left w:w="100" w:type="dxa"/>
              <w:bottom w:w="100" w:type="dxa"/>
              <w:right w:w="100" w:type="dxa"/>
            </w:tcMar>
            <w:vAlign w:val="center"/>
          </w:tcPr>
          <w:p w14:paraId="0B0569E0" w14:textId="77777777" w:rsidR="00C73758" w:rsidRPr="00C73758" w:rsidRDefault="00C73758" w:rsidP="00C73758">
            <w:pPr>
              <w:pBdr>
                <w:top w:val="nil"/>
                <w:left w:val="nil"/>
                <w:bottom w:val="nil"/>
                <w:right w:val="nil"/>
                <w:between w:val="nil"/>
              </w:pBdr>
              <w:spacing w:after="0" w:line="240" w:lineRule="auto"/>
              <w:ind w:left="-100" w:firstLine="100"/>
              <w:jc w:val="center"/>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18"/>
                <w:szCs w:val="18"/>
                <w:lang w:eastAsia="zh-CN"/>
              </w:rPr>
              <w:t>74a</w:t>
            </w:r>
          </w:p>
        </w:tc>
        <w:tc>
          <w:tcPr>
            <w:tcW w:w="1501" w:type="dxa"/>
            <w:vAlign w:val="center"/>
          </w:tcPr>
          <w:p w14:paraId="69BB6EF2" w14:textId="77777777" w:rsidR="00C73758" w:rsidRPr="00C73758" w:rsidRDefault="00C73758" w:rsidP="00C73758">
            <w:pPr>
              <w:pBdr>
                <w:top w:val="nil"/>
                <w:left w:val="nil"/>
                <w:bottom w:val="nil"/>
                <w:right w:val="nil"/>
                <w:between w:val="nil"/>
              </w:pBdr>
              <w:spacing w:after="0" w:line="240" w:lineRule="auto"/>
              <w:ind w:left="210" w:right="20"/>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QCPR 25</w:t>
            </w:r>
          </w:p>
        </w:tc>
        <w:tc>
          <w:tcPr>
            <w:tcW w:w="5220" w:type="dxa"/>
            <w:tcMar>
              <w:top w:w="100" w:type="dxa"/>
              <w:left w:w="100" w:type="dxa"/>
              <w:bottom w:w="100" w:type="dxa"/>
              <w:right w:w="100" w:type="dxa"/>
            </w:tcMar>
            <w:vAlign w:val="center"/>
          </w:tcPr>
          <w:p w14:paraId="569C1912" w14:textId="77777777" w:rsidR="00C73758" w:rsidRPr="00C73758" w:rsidRDefault="00C73758" w:rsidP="00C73758">
            <w:pPr>
              <w:pBdr>
                <w:top w:val="nil"/>
                <w:left w:val="nil"/>
                <w:bottom w:val="nil"/>
                <w:right w:val="nil"/>
                <w:between w:val="nil"/>
              </w:pBdr>
              <w:spacing w:after="0" w:line="240" w:lineRule="auto"/>
              <w:ind w:left="210" w:right="20"/>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Fraction of United Nations funds, programmes and specialized agencies publishing data as per the International Aid Transparency Initiative (IATI) data standard</w:t>
            </w:r>
          </w:p>
        </w:tc>
        <w:tc>
          <w:tcPr>
            <w:tcW w:w="3870" w:type="dxa"/>
            <w:gridSpan w:val="2"/>
            <w:vAlign w:val="center"/>
          </w:tcPr>
          <w:p w14:paraId="3D7ABB9A" w14:textId="77777777" w:rsidR="00C73758" w:rsidRPr="00C73758" w:rsidRDefault="00C73758" w:rsidP="00C73758">
            <w:pPr>
              <w:pBdr>
                <w:top w:val="nil"/>
                <w:left w:val="nil"/>
                <w:bottom w:val="nil"/>
                <w:right w:val="nil"/>
                <w:between w:val="nil"/>
              </w:pBdr>
              <w:spacing w:after="0" w:line="240" w:lineRule="auto"/>
              <w:ind w:right="20"/>
              <w:rPr>
                <w:rFonts w:ascii="Times New Roman" w:eastAsia="Times New Roman" w:hAnsi="Times New Roman" w:cs="Times New Roman"/>
                <w:sz w:val="20"/>
                <w:szCs w:val="20"/>
                <w:lang w:eastAsia="zh-CN"/>
              </w:rPr>
            </w:pPr>
            <w:r w:rsidRPr="00C73758">
              <w:rPr>
                <w:rFonts w:ascii="Times New Roman" w:eastAsia="Times New Roman" w:hAnsi="Times New Roman" w:cs="Times New Roman"/>
                <w:sz w:val="20"/>
                <w:szCs w:val="20"/>
                <w:lang w:eastAsia="zh-CN"/>
              </w:rPr>
              <w:t>UNDP publishes data as per the IATI data standard.</w:t>
            </w:r>
          </w:p>
        </w:tc>
        <w:tc>
          <w:tcPr>
            <w:tcW w:w="1890" w:type="dxa"/>
            <w:gridSpan w:val="2"/>
            <w:vAlign w:val="center"/>
          </w:tcPr>
          <w:p w14:paraId="287BEAA6" w14:textId="77777777" w:rsidR="00C73758" w:rsidRPr="00C73758" w:rsidRDefault="00C73758" w:rsidP="00C73758">
            <w:pPr>
              <w:pBdr>
                <w:top w:val="nil"/>
                <w:left w:val="nil"/>
                <w:bottom w:val="nil"/>
                <w:right w:val="nil"/>
                <w:between w:val="nil"/>
              </w:pBdr>
              <w:spacing w:after="0" w:line="240" w:lineRule="auto"/>
              <w:ind w:right="20"/>
              <w:jc w:val="center"/>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UNDP</w:t>
            </w:r>
          </w:p>
        </w:tc>
      </w:tr>
      <w:tr w:rsidR="00C73758" w:rsidRPr="00C73758" w14:paraId="39AF50C7" w14:textId="77777777" w:rsidTr="00395075">
        <w:trPr>
          <w:trHeight w:val="197"/>
        </w:trPr>
        <w:tc>
          <w:tcPr>
            <w:tcW w:w="8319" w:type="dxa"/>
            <w:gridSpan w:val="4"/>
            <w:shd w:val="clear" w:color="auto" w:fill="CFE2F3"/>
          </w:tcPr>
          <w:p w14:paraId="68EED176" w14:textId="77777777" w:rsidR="00C73758" w:rsidRPr="00C73758" w:rsidRDefault="00C73758" w:rsidP="00C73758">
            <w:pPr>
              <w:pBdr>
                <w:top w:val="nil"/>
                <w:left w:val="nil"/>
                <w:bottom w:val="nil"/>
                <w:right w:val="nil"/>
                <w:between w:val="nil"/>
              </w:pBdr>
              <w:spacing w:after="0" w:line="240" w:lineRule="auto"/>
              <w:ind w:left="-100" w:right="200" w:firstLine="275"/>
              <w:rPr>
                <w:rFonts w:ascii="Times New Roman" w:eastAsia="Times New Roman" w:hAnsi="Times New Roman" w:cs="Times New Roman"/>
                <w:color w:val="000000"/>
                <w:sz w:val="20"/>
                <w:szCs w:val="20"/>
                <w:lang w:eastAsia="zh-CN"/>
              </w:rPr>
            </w:pPr>
            <w:r w:rsidRPr="00C73758">
              <w:rPr>
                <w:rFonts w:ascii="Times New Roman" w:eastAsia="Cambria" w:hAnsi="Times New Roman" w:cs="Times New Roman"/>
                <w:b/>
                <w:color w:val="000000"/>
                <w:sz w:val="20"/>
                <w:szCs w:val="20"/>
                <w:lang w:eastAsia="zh-CN"/>
              </w:rPr>
              <w:t>Cross-cutting dimensions</w:t>
            </w:r>
          </w:p>
        </w:tc>
        <w:tc>
          <w:tcPr>
            <w:tcW w:w="3870" w:type="dxa"/>
            <w:gridSpan w:val="2"/>
            <w:shd w:val="clear" w:color="auto" w:fill="CFE2F3"/>
            <w:vAlign w:val="center"/>
          </w:tcPr>
          <w:p w14:paraId="2CE6890A" w14:textId="77777777" w:rsidR="00C73758" w:rsidRPr="00C73758" w:rsidRDefault="00C73758" w:rsidP="00C73758">
            <w:pPr>
              <w:pBdr>
                <w:top w:val="nil"/>
                <w:left w:val="nil"/>
                <w:bottom w:val="nil"/>
                <w:right w:val="nil"/>
                <w:between w:val="nil"/>
              </w:pBdr>
              <w:spacing w:after="0" w:line="240" w:lineRule="auto"/>
              <w:ind w:left="-100" w:right="200" w:firstLine="275"/>
              <w:rPr>
                <w:rFonts w:ascii="Times New Roman" w:eastAsia="Cambria" w:hAnsi="Times New Roman" w:cs="Times New Roman"/>
                <w:b/>
                <w:color w:val="000000"/>
                <w:sz w:val="20"/>
                <w:szCs w:val="20"/>
                <w:lang w:eastAsia="zh-CN"/>
              </w:rPr>
            </w:pPr>
          </w:p>
        </w:tc>
        <w:tc>
          <w:tcPr>
            <w:tcW w:w="1890" w:type="dxa"/>
            <w:gridSpan w:val="2"/>
            <w:shd w:val="clear" w:color="auto" w:fill="CFE2F3"/>
            <w:vAlign w:val="center"/>
          </w:tcPr>
          <w:p w14:paraId="23241110" w14:textId="77777777" w:rsidR="00C73758" w:rsidRPr="00C73758" w:rsidRDefault="00C73758" w:rsidP="00C73758">
            <w:pPr>
              <w:pBdr>
                <w:top w:val="nil"/>
                <w:left w:val="nil"/>
                <w:bottom w:val="nil"/>
                <w:right w:val="nil"/>
                <w:between w:val="nil"/>
              </w:pBdr>
              <w:spacing w:after="0" w:line="240" w:lineRule="auto"/>
              <w:ind w:left="-100" w:right="200" w:firstLine="275"/>
              <w:rPr>
                <w:rFonts w:ascii="Times New Roman" w:eastAsia="Cambria" w:hAnsi="Times New Roman" w:cs="Times New Roman"/>
                <w:b/>
                <w:color w:val="000000"/>
                <w:sz w:val="20"/>
                <w:szCs w:val="20"/>
                <w:lang w:eastAsia="zh-CN"/>
              </w:rPr>
            </w:pPr>
          </w:p>
        </w:tc>
      </w:tr>
      <w:tr w:rsidR="00C73758" w:rsidRPr="00C73758" w14:paraId="3D51805F" w14:textId="77777777" w:rsidTr="00395075">
        <w:trPr>
          <w:gridAfter w:val="1"/>
          <w:wAfter w:w="8" w:type="dxa"/>
          <w:trHeight w:val="340"/>
        </w:trPr>
        <w:tc>
          <w:tcPr>
            <w:tcW w:w="1590" w:type="dxa"/>
            <w:tcMar>
              <w:top w:w="100" w:type="dxa"/>
              <w:left w:w="100" w:type="dxa"/>
              <w:bottom w:w="100" w:type="dxa"/>
              <w:right w:w="100" w:type="dxa"/>
            </w:tcMar>
            <w:vAlign w:val="center"/>
          </w:tcPr>
          <w:p w14:paraId="15BAC474" w14:textId="77777777" w:rsidR="00C73758" w:rsidRPr="00C73758" w:rsidRDefault="00C73758" w:rsidP="00C73758">
            <w:pPr>
              <w:pBdr>
                <w:top w:val="nil"/>
                <w:left w:val="nil"/>
                <w:bottom w:val="nil"/>
                <w:right w:val="nil"/>
                <w:between w:val="nil"/>
              </w:pBdr>
              <w:tabs>
                <w:tab w:val="left" w:pos="1013"/>
              </w:tabs>
              <w:spacing w:after="0" w:line="240" w:lineRule="auto"/>
              <w:ind w:left="-100" w:firstLine="33"/>
              <w:jc w:val="center"/>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18"/>
                <w:szCs w:val="18"/>
                <w:lang w:eastAsia="zh-CN"/>
              </w:rPr>
              <w:t>25</w:t>
            </w:r>
          </w:p>
        </w:tc>
        <w:tc>
          <w:tcPr>
            <w:tcW w:w="1501" w:type="dxa"/>
            <w:vAlign w:val="center"/>
          </w:tcPr>
          <w:p w14:paraId="390F47AB" w14:textId="77777777" w:rsidR="00C73758" w:rsidRPr="00C73758" w:rsidRDefault="00C73758" w:rsidP="00C73758">
            <w:pPr>
              <w:pBdr>
                <w:top w:val="nil"/>
                <w:left w:val="nil"/>
                <w:bottom w:val="nil"/>
                <w:right w:val="nil"/>
                <w:between w:val="nil"/>
              </w:pBdr>
              <w:spacing w:after="0" w:line="240" w:lineRule="auto"/>
              <w:ind w:left="210" w:right="20"/>
              <w:rPr>
                <w:rFonts w:ascii="Times New Roman" w:eastAsia="Times New Roman" w:hAnsi="Times New Roman" w:cs="Times New Roman"/>
                <w:sz w:val="20"/>
                <w:szCs w:val="20"/>
                <w:lang w:eastAsia="zh-CN"/>
              </w:rPr>
            </w:pPr>
            <w:r w:rsidRPr="00C73758">
              <w:rPr>
                <w:rFonts w:ascii="Times New Roman" w:eastAsia="Times New Roman" w:hAnsi="Times New Roman" w:cs="Times New Roman"/>
                <w:color w:val="000000"/>
                <w:sz w:val="20"/>
                <w:szCs w:val="20"/>
                <w:lang w:eastAsia="zh-CN"/>
              </w:rPr>
              <w:t>QCPR 42.i</w:t>
            </w:r>
          </w:p>
        </w:tc>
        <w:tc>
          <w:tcPr>
            <w:tcW w:w="5220" w:type="dxa"/>
            <w:tcMar>
              <w:top w:w="100" w:type="dxa"/>
              <w:left w:w="100" w:type="dxa"/>
              <w:bottom w:w="100" w:type="dxa"/>
              <w:right w:w="100" w:type="dxa"/>
            </w:tcMar>
            <w:vAlign w:val="center"/>
          </w:tcPr>
          <w:p w14:paraId="1A3D476F" w14:textId="77777777" w:rsidR="00C73758" w:rsidRPr="00C73758" w:rsidRDefault="00C73758" w:rsidP="00C73758">
            <w:pPr>
              <w:pBdr>
                <w:top w:val="nil"/>
                <w:left w:val="nil"/>
                <w:bottom w:val="nil"/>
                <w:right w:val="nil"/>
                <w:between w:val="nil"/>
              </w:pBdr>
              <w:spacing w:after="0" w:line="240" w:lineRule="auto"/>
              <w:ind w:left="210" w:right="20"/>
              <w:rPr>
                <w:rFonts w:ascii="Times New Roman" w:eastAsia="Times New Roman" w:hAnsi="Times New Roman" w:cs="Times New Roman"/>
                <w:sz w:val="20"/>
                <w:szCs w:val="20"/>
                <w:lang w:eastAsia="zh-CN"/>
              </w:rPr>
            </w:pPr>
            <w:r w:rsidRPr="00C73758">
              <w:rPr>
                <w:rFonts w:ascii="Times New Roman" w:eastAsia="Times New Roman" w:hAnsi="Times New Roman" w:cs="Times New Roman"/>
                <w:sz w:val="20"/>
                <w:szCs w:val="20"/>
                <w:lang w:eastAsia="zh-CN"/>
              </w:rPr>
              <w:t xml:space="preserve">Fraction of UNDS entities that have high-level posts (D1 and above) filled by nationals of programme countries, disaggregated by gender: </w:t>
            </w:r>
          </w:p>
          <w:p w14:paraId="3BEA3EC6" w14:textId="77777777" w:rsidR="00C73758" w:rsidRPr="00C73758" w:rsidRDefault="00C73758" w:rsidP="00C73758">
            <w:pPr>
              <w:numPr>
                <w:ilvl w:val="0"/>
                <w:numId w:val="28"/>
              </w:numPr>
              <w:pBdr>
                <w:top w:val="nil"/>
                <w:left w:val="nil"/>
                <w:bottom w:val="nil"/>
                <w:right w:val="nil"/>
                <w:between w:val="nil"/>
              </w:pBdr>
              <w:spacing w:after="0" w:line="240" w:lineRule="auto"/>
              <w:ind w:right="20"/>
              <w:contextualSpacing/>
              <w:jc w:val="both"/>
              <w:rPr>
                <w:rFonts w:ascii="Times New Roman" w:eastAsia="Times New Roman" w:hAnsi="Times New Roman" w:cs="Times New Roman"/>
                <w:sz w:val="20"/>
                <w:szCs w:val="20"/>
                <w:lang w:eastAsia="zh-CN"/>
              </w:rPr>
            </w:pPr>
            <w:r w:rsidRPr="00C73758">
              <w:rPr>
                <w:rFonts w:ascii="Times New Roman" w:eastAsia="Times New Roman" w:hAnsi="Times New Roman" w:cs="Times New Roman"/>
                <w:sz w:val="20"/>
                <w:szCs w:val="20"/>
                <w:lang w:eastAsia="zh-CN"/>
              </w:rPr>
              <w:t xml:space="preserve">&lt;25%; </w:t>
            </w:r>
          </w:p>
          <w:p w14:paraId="2476F66B" w14:textId="77777777" w:rsidR="00C73758" w:rsidRPr="00C73758" w:rsidRDefault="00C73758" w:rsidP="00C73758">
            <w:pPr>
              <w:numPr>
                <w:ilvl w:val="0"/>
                <w:numId w:val="28"/>
              </w:numPr>
              <w:pBdr>
                <w:top w:val="nil"/>
                <w:left w:val="nil"/>
                <w:bottom w:val="nil"/>
                <w:right w:val="nil"/>
                <w:between w:val="nil"/>
              </w:pBdr>
              <w:spacing w:after="0" w:line="240" w:lineRule="auto"/>
              <w:ind w:right="20"/>
              <w:contextualSpacing/>
              <w:jc w:val="both"/>
              <w:rPr>
                <w:rFonts w:ascii="Times New Roman" w:eastAsia="Times New Roman" w:hAnsi="Times New Roman" w:cs="Times New Roman"/>
                <w:sz w:val="20"/>
                <w:szCs w:val="20"/>
                <w:lang w:eastAsia="zh-CN"/>
              </w:rPr>
            </w:pPr>
            <w:r w:rsidRPr="00C73758">
              <w:rPr>
                <w:rFonts w:ascii="Times New Roman" w:eastAsia="Times New Roman" w:hAnsi="Times New Roman" w:cs="Times New Roman"/>
                <w:sz w:val="20"/>
                <w:szCs w:val="20"/>
                <w:lang w:eastAsia="zh-CN"/>
              </w:rPr>
              <w:t xml:space="preserve">Between 25% and 50% </w:t>
            </w:r>
          </w:p>
          <w:p w14:paraId="02D81B1A" w14:textId="77777777" w:rsidR="00C73758" w:rsidRPr="00C73758" w:rsidRDefault="00C73758" w:rsidP="00C73758">
            <w:pPr>
              <w:numPr>
                <w:ilvl w:val="0"/>
                <w:numId w:val="28"/>
              </w:numPr>
              <w:pBdr>
                <w:top w:val="nil"/>
                <w:left w:val="nil"/>
                <w:bottom w:val="nil"/>
                <w:right w:val="nil"/>
                <w:between w:val="nil"/>
              </w:pBdr>
              <w:spacing w:after="0" w:line="240" w:lineRule="auto"/>
              <w:ind w:right="20"/>
              <w:contextualSpacing/>
              <w:jc w:val="both"/>
              <w:rPr>
                <w:rFonts w:ascii="Times New Roman" w:eastAsia="Times New Roman" w:hAnsi="Times New Roman" w:cs="Times New Roman"/>
                <w:sz w:val="20"/>
                <w:szCs w:val="20"/>
                <w:lang w:eastAsia="zh-CN"/>
              </w:rPr>
            </w:pPr>
            <w:r w:rsidRPr="00C73758">
              <w:rPr>
                <w:rFonts w:ascii="Times New Roman" w:eastAsia="Times New Roman" w:hAnsi="Times New Roman" w:cs="Times New Roman"/>
                <w:sz w:val="20"/>
                <w:szCs w:val="20"/>
                <w:lang w:eastAsia="zh-CN"/>
              </w:rPr>
              <w:t>&gt;50%</w:t>
            </w:r>
          </w:p>
        </w:tc>
        <w:tc>
          <w:tcPr>
            <w:tcW w:w="3870" w:type="dxa"/>
            <w:gridSpan w:val="2"/>
            <w:vAlign w:val="center"/>
          </w:tcPr>
          <w:p w14:paraId="379458B6" w14:textId="77777777" w:rsidR="00C73758" w:rsidRPr="00C73758" w:rsidRDefault="00C73758" w:rsidP="00C73758">
            <w:pPr>
              <w:pBdr>
                <w:top w:val="nil"/>
                <w:left w:val="nil"/>
                <w:bottom w:val="nil"/>
                <w:right w:val="nil"/>
                <w:between w:val="nil"/>
              </w:pBdr>
              <w:spacing w:after="0" w:line="240" w:lineRule="auto"/>
              <w:ind w:right="20"/>
              <w:jc w:val="center"/>
              <w:rPr>
                <w:rFonts w:ascii="Times New Roman" w:eastAsia="Times New Roman" w:hAnsi="Times New Roman" w:cs="Times New Roman"/>
                <w:sz w:val="20"/>
                <w:szCs w:val="20"/>
                <w:lang w:eastAsia="zh-CN"/>
              </w:rPr>
            </w:pPr>
            <w:r w:rsidRPr="00C73758">
              <w:rPr>
                <w:rFonts w:ascii="Times New Roman" w:eastAsia="Times New Roman" w:hAnsi="Times New Roman" w:cs="Times New Roman"/>
                <w:sz w:val="20"/>
                <w:szCs w:val="20"/>
                <w:lang w:eastAsia="zh-CN"/>
              </w:rPr>
              <w:t>45% (Between 25% and 50%)</w:t>
            </w:r>
          </w:p>
        </w:tc>
        <w:tc>
          <w:tcPr>
            <w:tcW w:w="1890" w:type="dxa"/>
            <w:gridSpan w:val="2"/>
            <w:vAlign w:val="center"/>
          </w:tcPr>
          <w:p w14:paraId="511C14A9" w14:textId="77777777" w:rsidR="00C73758" w:rsidRPr="00C73758" w:rsidRDefault="00C73758" w:rsidP="00C73758">
            <w:pPr>
              <w:pBdr>
                <w:top w:val="nil"/>
                <w:left w:val="nil"/>
                <w:bottom w:val="nil"/>
                <w:right w:val="nil"/>
                <w:between w:val="nil"/>
              </w:pBdr>
              <w:spacing w:after="0" w:line="240" w:lineRule="auto"/>
              <w:ind w:right="20"/>
              <w:jc w:val="center"/>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UNDP</w:t>
            </w:r>
          </w:p>
        </w:tc>
      </w:tr>
      <w:tr w:rsidR="00C73758" w:rsidRPr="00C73758" w14:paraId="1A9FC683" w14:textId="77777777" w:rsidTr="00395075">
        <w:trPr>
          <w:gridAfter w:val="1"/>
          <w:wAfter w:w="8" w:type="dxa"/>
          <w:trHeight w:val="180"/>
        </w:trPr>
        <w:tc>
          <w:tcPr>
            <w:tcW w:w="1590" w:type="dxa"/>
            <w:tcMar>
              <w:top w:w="100" w:type="dxa"/>
              <w:left w:w="100" w:type="dxa"/>
              <w:bottom w:w="100" w:type="dxa"/>
              <w:right w:w="100" w:type="dxa"/>
            </w:tcMar>
            <w:vAlign w:val="center"/>
          </w:tcPr>
          <w:p w14:paraId="7AB68257" w14:textId="77777777" w:rsidR="00C73758" w:rsidRPr="00C73758" w:rsidRDefault="00C73758" w:rsidP="00C73758">
            <w:pPr>
              <w:pBdr>
                <w:top w:val="nil"/>
                <w:left w:val="nil"/>
                <w:bottom w:val="nil"/>
                <w:right w:val="nil"/>
                <w:between w:val="nil"/>
              </w:pBdr>
              <w:tabs>
                <w:tab w:val="left" w:pos="1013"/>
              </w:tabs>
              <w:spacing w:after="0" w:line="240" w:lineRule="auto"/>
              <w:ind w:left="-100" w:firstLine="33"/>
              <w:jc w:val="center"/>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18"/>
                <w:szCs w:val="18"/>
                <w:lang w:eastAsia="zh-CN"/>
              </w:rPr>
              <w:t>19a</w:t>
            </w:r>
          </w:p>
        </w:tc>
        <w:tc>
          <w:tcPr>
            <w:tcW w:w="1501" w:type="dxa"/>
            <w:vAlign w:val="center"/>
          </w:tcPr>
          <w:p w14:paraId="46B34EE6" w14:textId="77777777" w:rsidR="00C73758" w:rsidRPr="00C73758" w:rsidRDefault="00C73758" w:rsidP="00C73758">
            <w:pPr>
              <w:pBdr>
                <w:top w:val="nil"/>
                <w:left w:val="nil"/>
                <w:bottom w:val="nil"/>
                <w:right w:val="nil"/>
                <w:between w:val="nil"/>
              </w:pBdr>
              <w:spacing w:after="0" w:line="240" w:lineRule="auto"/>
              <w:ind w:left="210" w:right="20"/>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QCPR 42.b</w:t>
            </w:r>
          </w:p>
        </w:tc>
        <w:tc>
          <w:tcPr>
            <w:tcW w:w="5220" w:type="dxa"/>
            <w:tcMar>
              <w:top w:w="100" w:type="dxa"/>
              <w:left w:w="100" w:type="dxa"/>
              <w:bottom w:w="100" w:type="dxa"/>
              <w:right w:w="100" w:type="dxa"/>
            </w:tcMar>
            <w:vAlign w:val="center"/>
          </w:tcPr>
          <w:p w14:paraId="67E69ACE" w14:textId="77777777" w:rsidR="00C73758" w:rsidRPr="00C73758" w:rsidRDefault="00C73758" w:rsidP="00C73758">
            <w:pPr>
              <w:pBdr>
                <w:top w:val="nil"/>
                <w:left w:val="nil"/>
                <w:bottom w:val="nil"/>
                <w:right w:val="nil"/>
                <w:between w:val="nil"/>
              </w:pBdr>
              <w:spacing w:after="0" w:line="240" w:lineRule="auto"/>
              <w:ind w:left="210" w:right="20"/>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Fraction of UNDS entities that meet or exceed United Nations System-Wide Action Plan on gender equality and women’s empowerment minimum standards</w:t>
            </w:r>
          </w:p>
        </w:tc>
        <w:tc>
          <w:tcPr>
            <w:tcW w:w="3870" w:type="dxa"/>
            <w:gridSpan w:val="2"/>
            <w:vAlign w:val="center"/>
          </w:tcPr>
          <w:p w14:paraId="14CDB518" w14:textId="77777777" w:rsidR="00C73758" w:rsidRPr="00C73758" w:rsidRDefault="00C73758" w:rsidP="00C73758">
            <w:pPr>
              <w:pBdr>
                <w:top w:val="nil"/>
                <w:left w:val="nil"/>
                <w:bottom w:val="nil"/>
                <w:right w:val="nil"/>
                <w:between w:val="nil"/>
              </w:pBdr>
              <w:spacing w:after="0" w:line="240" w:lineRule="auto"/>
              <w:ind w:right="20"/>
              <w:rPr>
                <w:rFonts w:ascii="Times New Roman" w:eastAsia="Times New Roman" w:hAnsi="Times New Roman" w:cs="Times New Roman"/>
                <w:sz w:val="20"/>
                <w:szCs w:val="20"/>
                <w:lang w:eastAsia="zh-CN"/>
              </w:rPr>
            </w:pPr>
            <w:r w:rsidRPr="00C73758">
              <w:rPr>
                <w:rFonts w:ascii="Times New Roman" w:eastAsia="Times New Roman" w:hAnsi="Times New Roman" w:cs="Times New Roman"/>
                <w:sz w:val="20"/>
                <w:szCs w:val="20"/>
                <w:lang w:eastAsia="zh-CN"/>
              </w:rPr>
              <w:t xml:space="preserve">UNDP met or exceeded </w:t>
            </w:r>
            <w:r w:rsidRPr="00C73758">
              <w:rPr>
                <w:rFonts w:ascii="Times New Roman" w:eastAsia="Times New Roman" w:hAnsi="Times New Roman" w:cs="Times New Roman"/>
                <w:sz w:val="18"/>
                <w:szCs w:val="18"/>
                <w:lang w:eastAsia="en-GB"/>
              </w:rPr>
              <w:t xml:space="preserve">88% </w:t>
            </w:r>
            <w:r w:rsidRPr="00C73758">
              <w:rPr>
                <w:rFonts w:ascii="Times New Roman" w:eastAsia="Times New Roman" w:hAnsi="Times New Roman" w:cs="Times New Roman"/>
                <w:sz w:val="20"/>
                <w:szCs w:val="20"/>
                <w:lang w:eastAsia="zh-CN"/>
              </w:rPr>
              <w:t>of UNSWAP minimum standards.</w:t>
            </w:r>
          </w:p>
        </w:tc>
        <w:tc>
          <w:tcPr>
            <w:tcW w:w="1890" w:type="dxa"/>
            <w:gridSpan w:val="2"/>
            <w:vAlign w:val="center"/>
          </w:tcPr>
          <w:p w14:paraId="32A90E8B" w14:textId="77777777" w:rsidR="00C73758" w:rsidRPr="00C73758" w:rsidRDefault="00C73758" w:rsidP="00C73758">
            <w:pPr>
              <w:pBdr>
                <w:top w:val="nil"/>
                <w:left w:val="nil"/>
                <w:bottom w:val="nil"/>
                <w:right w:val="nil"/>
                <w:between w:val="nil"/>
              </w:pBdr>
              <w:spacing w:after="0" w:line="240" w:lineRule="auto"/>
              <w:ind w:right="20"/>
              <w:jc w:val="center"/>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UNDP</w:t>
            </w:r>
          </w:p>
        </w:tc>
      </w:tr>
      <w:tr w:rsidR="00C73758" w:rsidRPr="00C73758" w14:paraId="15937988" w14:textId="77777777" w:rsidTr="00395075">
        <w:trPr>
          <w:gridAfter w:val="1"/>
          <w:wAfter w:w="8" w:type="dxa"/>
          <w:trHeight w:val="100"/>
        </w:trPr>
        <w:tc>
          <w:tcPr>
            <w:tcW w:w="1590" w:type="dxa"/>
            <w:tcMar>
              <w:top w:w="100" w:type="dxa"/>
              <w:left w:w="100" w:type="dxa"/>
              <w:bottom w:w="100" w:type="dxa"/>
              <w:right w:w="100" w:type="dxa"/>
            </w:tcMar>
            <w:vAlign w:val="center"/>
          </w:tcPr>
          <w:p w14:paraId="7E8F4529" w14:textId="77777777" w:rsidR="00C73758" w:rsidRPr="00C73758" w:rsidRDefault="00C73758" w:rsidP="00C73758">
            <w:pPr>
              <w:pBdr>
                <w:top w:val="nil"/>
                <w:left w:val="nil"/>
                <w:bottom w:val="nil"/>
                <w:right w:val="nil"/>
                <w:between w:val="nil"/>
              </w:pBdr>
              <w:tabs>
                <w:tab w:val="left" w:pos="1013"/>
              </w:tabs>
              <w:spacing w:after="0" w:line="240" w:lineRule="auto"/>
              <w:ind w:left="-100" w:firstLine="33"/>
              <w:jc w:val="center"/>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18"/>
                <w:szCs w:val="18"/>
                <w:lang w:eastAsia="zh-CN"/>
              </w:rPr>
              <w:lastRenderedPageBreak/>
              <w:t>21</w:t>
            </w:r>
          </w:p>
        </w:tc>
        <w:tc>
          <w:tcPr>
            <w:tcW w:w="1501" w:type="dxa"/>
            <w:vAlign w:val="center"/>
          </w:tcPr>
          <w:p w14:paraId="595D313A" w14:textId="77777777" w:rsidR="00C73758" w:rsidRPr="00C73758" w:rsidRDefault="00C73758" w:rsidP="00C73758">
            <w:pPr>
              <w:pBdr>
                <w:top w:val="nil"/>
                <w:left w:val="nil"/>
                <w:bottom w:val="nil"/>
                <w:right w:val="nil"/>
                <w:between w:val="nil"/>
              </w:pBdr>
              <w:spacing w:after="0" w:line="240" w:lineRule="auto"/>
              <w:ind w:left="210" w:right="20"/>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QCPR 42.e</w:t>
            </w:r>
          </w:p>
        </w:tc>
        <w:tc>
          <w:tcPr>
            <w:tcW w:w="5220" w:type="dxa"/>
            <w:tcMar>
              <w:top w:w="100" w:type="dxa"/>
              <w:left w:w="100" w:type="dxa"/>
              <w:bottom w:w="100" w:type="dxa"/>
              <w:right w:w="100" w:type="dxa"/>
            </w:tcMar>
            <w:vAlign w:val="center"/>
          </w:tcPr>
          <w:p w14:paraId="6736574F" w14:textId="77777777" w:rsidR="00C73758" w:rsidRPr="00C73758" w:rsidRDefault="00C73758" w:rsidP="00C73758">
            <w:pPr>
              <w:pBdr>
                <w:top w:val="nil"/>
                <w:left w:val="nil"/>
                <w:bottom w:val="nil"/>
                <w:right w:val="nil"/>
                <w:between w:val="nil"/>
              </w:pBdr>
              <w:spacing w:after="0" w:line="240" w:lineRule="auto"/>
              <w:ind w:left="210" w:right="20"/>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 of UNDS entities that track and report on allocations and expenditures using gender markers</w:t>
            </w:r>
          </w:p>
        </w:tc>
        <w:tc>
          <w:tcPr>
            <w:tcW w:w="3870" w:type="dxa"/>
            <w:gridSpan w:val="2"/>
            <w:vAlign w:val="center"/>
          </w:tcPr>
          <w:p w14:paraId="2AC0585A" w14:textId="77777777" w:rsidR="00C73758" w:rsidRPr="00C73758" w:rsidRDefault="00C73758" w:rsidP="00C73758">
            <w:pPr>
              <w:pBdr>
                <w:top w:val="nil"/>
                <w:left w:val="nil"/>
                <w:bottom w:val="nil"/>
                <w:right w:val="nil"/>
                <w:between w:val="nil"/>
              </w:pBdr>
              <w:spacing w:after="0" w:line="240" w:lineRule="auto"/>
              <w:ind w:right="20"/>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sz w:val="20"/>
                <w:szCs w:val="20"/>
                <w:lang w:eastAsia="zh-CN"/>
              </w:rPr>
              <w:t>UNDP tracks and reports on expenditures using gender markers.</w:t>
            </w:r>
          </w:p>
        </w:tc>
        <w:tc>
          <w:tcPr>
            <w:tcW w:w="1890" w:type="dxa"/>
            <w:gridSpan w:val="2"/>
            <w:vAlign w:val="center"/>
          </w:tcPr>
          <w:p w14:paraId="300A48B1" w14:textId="77777777" w:rsidR="00C73758" w:rsidRPr="00C73758" w:rsidRDefault="00C73758" w:rsidP="00C73758">
            <w:pPr>
              <w:pBdr>
                <w:top w:val="nil"/>
                <w:left w:val="nil"/>
                <w:bottom w:val="nil"/>
                <w:right w:val="nil"/>
                <w:between w:val="nil"/>
              </w:pBdr>
              <w:spacing w:after="0" w:line="240" w:lineRule="auto"/>
              <w:ind w:left="-30" w:right="20"/>
              <w:jc w:val="center"/>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UNDP</w:t>
            </w:r>
          </w:p>
        </w:tc>
      </w:tr>
      <w:tr w:rsidR="00C73758" w:rsidRPr="00C73758" w14:paraId="16C151AC" w14:textId="77777777" w:rsidTr="00395075">
        <w:trPr>
          <w:gridAfter w:val="1"/>
          <w:wAfter w:w="8" w:type="dxa"/>
          <w:trHeight w:val="960"/>
        </w:trPr>
        <w:tc>
          <w:tcPr>
            <w:tcW w:w="1590" w:type="dxa"/>
            <w:tcMar>
              <w:top w:w="100" w:type="dxa"/>
              <w:left w:w="100" w:type="dxa"/>
              <w:bottom w:w="100" w:type="dxa"/>
              <w:right w:w="100" w:type="dxa"/>
            </w:tcMar>
            <w:vAlign w:val="center"/>
          </w:tcPr>
          <w:p w14:paraId="55AA17F8" w14:textId="77777777" w:rsidR="00C73758" w:rsidRPr="00C73758" w:rsidRDefault="00C73758" w:rsidP="00C73758">
            <w:pPr>
              <w:pBdr>
                <w:top w:val="nil"/>
                <w:left w:val="nil"/>
                <w:bottom w:val="nil"/>
                <w:right w:val="nil"/>
                <w:between w:val="nil"/>
              </w:pBdr>
              <w:tabs>
                <w:tab w:val="left" w:pos="1013"/>
              </w:tabs>
              <w:spacing w:after="0" w:line="240" w:lineRule="auto"/>
              <w:ind w:left="-100" w:right="24" w:firstLine="33"/>
              <w:jc w:val="center"/>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18"/>
                <w:szCs w:val="18"/>
                <w:lang w:eastAsia="zh-CN"/>
              </w:rPr>
              <w:t>24</w:t>
            </w:r>
          </w:p>
        </w:tc>
        <w:tc>
          <w:tcPr>
            <w:tcW w:w="1501" w:type="dxa"/>
            <w:vAlign w:val="center"/>
          </w:tcPr>
          <w:p w14:paraId="79665C75" w14:textId="77777777" w:rsidR="00C73758" w:rsidRPr="00C73758" w:rsidRDefault="00C73758" w:rsidP="00C73758">
            <w:pPr>
              <w:pBdr>
                <w:top w:val="nil"/>
                <w:left w:val="nil"/>
                <w:bottom w:val="nil"/>
                <w:right w:val="nil"/>
                <w:between w:val="nil"/>
              </w:pBdr>
              <w:spacing w:after="0" w:line="240" w:lineRule="auto"/>
              <w:ind w:left="210" w:right="20"/>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QCPR 42.h</w:t>
            </w:r>
          </w:p>
        </w:tc>
        <w:tc>
          <w:tcPr>
            <w:tcW w:w="5220" w:type="dxa"/>
            <w:tcMar>
              <w:top w:w="100" w:type="dxa"/>
              <w:left w:w="100" w:type="dxa"/>
              <w:bottom w:w="100" w:type="dxa"/>
              <w:right w:w="100" w:type="dxa"/>
            </w:tcMar>
            <w:vAlign w:val="center"/>
          </w:tcPr>
          <w:p w14:paraId="66F5ECC3" w14:textId="77777777" w:rsidR="00C73758" w:rsidRPr="00C73758" w:rsidRDefault="00C73758" w:rsidP="00C73758">
            <w:pPr>
              <w:pBdr>
                <w:top w:val="nil"/>
                <w:left w:val="nil"/>
                <w:bottom w:val="nil"/>
                <w:right w:val="nil"/>
                <w:between w:val="nil"/>
              </w:pBdr>
              <w:spacing w:after="0" w:line="240" w:lineRule="auto"/>
              <w:ind w:left="210" w:right="20"/>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 xml:space="preserve">Percentage female staff among: </w:t>
            </w:r>
          </w:p>
          <w:p w14:paraId="0388E337" w14:textId="77777777" w:rsidR="00C73758" w:rsidRPr="00C73758" w:rsidRDefault="00C73758" w:rsidP="00C73758">
            <w:pPr>
              <w:pBdr>
                <w:top w:val="nil"/>
                <w:left w:val="nil"/>
                <w:bottom w:val="nil"/>
                <w:right w:val="nil"/>
                <w:between w:val="nil"/>
              </w:pBdr>
              <w:spacing w:after="0" w:line="240" w:lineRule="auto"/>
              <w:ind w:left="210" w:right="20"/>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 xml:space="preserve">(a) International Professional staff: (i) P1; (ii) P2; (iii) P3; (iv) P4; (v) P5 </w:t>
            </w:r>
          </w:p>
          <w:p w14:paraId="35815773" w14:textId="77777777" w:rsidR="00C73758" w:rsidRPr="00C73758" w:rsidRDefault="00C73758" w:rsidP="00C73758">
            <w:pPr>
              <w:pBdr>
                <w:top w:val="nil"/>
                <w:left w:val="nil"/>
                <w:bottom w:val="nil"/>
                <w:right w:val="nil"/>
                <w:between w:val="nil"/>
              </w:pBdr>
              <w:spacing w:after="0" w:line="240" w:lineRule="auto"/>
              <w:ind w:left="210" w:right="20"/>
              <w:rPr>
                <w:rFonts w:ascii="Times New Roman" w:eastAsia="Times New Roman" w:hAnsi="Times New Roman" w:cs="Times New Roman"/>
                <w:color w:val="000000"/>
                <w:sz w:val="20"/>
                <w:szCs w:val="20"/>
                <w:lang w:val="es-US" w:eastAsia="zh-CN"/>
              </w:rPr>
            </w:pPr>
            <w:r w:rsidRPr="00C73758">
              <w:rPr>
                <w:rFonts w:ascii="Times New Roman" w:eastAsia="Times New Roman" w:hAnsi="Times New Roman" w:cs="Times New Roman"/>
                <w:color w:val="000000"/>
                <w:sz w:val="20"/>
                <w:szCs w:val="20"/>
                <w:lang w:val="es-US" w:eastAsia="zh-CN"/>
              </w:rPr>
              <w:t>(b) National Staff: (i) NO-A; (ii) NO-B; (iii) NO-C; (iv</w:t>
            </w:r>
            <w:bookmarkStart w:id="2" w:name="_GoBack"/>
            <w:bookmarkEnd w:id="2"/>
            <w:r w:rsidRPr="00C73758">
              <w:rPr>
                <w:rFonts w:ascii="Times New Roman" w:eastAsia="Times New Roman" w:hAnsi="Times New Roman" w:cs="Times New Roman"/>
                <w:color w:val="000000"/>
                <w:sz w:val="20"/>
                <w:szCs w:val="20"/>
                <w:lang w:val="es-US" w:eastAsia="zh-CN"/>
              </w:rPr>
              <w:t>) NO-D; (v) NO-E</w:t>
            </w:r>
          </w:p>
          <w:p w14:paraId="3E049F88" w14:textId="77777777" w:rsidR="00C73758" w:rsidRPr="00C73758" w:rsidRDefault="00C73758" w:rsidP="00C73758">
            <w:pPr>
              <w:pBdr>
                <w:top w:val="nil"/>
                <w:left w:val="nil"/>
                <w:bottom w:val="nil"/>
                <w:right w:val="nil"/>
                <w:between w:val="nil"/>
              </w:pBdr>
              <w:spacing w:after="0" w:line="240" w:lineRule="auto"/>
              <w:ind w:left="210" w:right="20"/>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 xml:space="preserve">(c) High-level Posts (i) D1; (ii) D2; (iii) ASG; (iv) USG; </w:t>
            </w:r>
          </w:p>
          <w:p w14:paraId="52690C8E" w14:textId="77777777" w:rsidR="00C73758" w:rsidRPr="00C73758" w:rsidRDefault="00C73758" w:rsidP="00C73758">
            <w:pPr>
              <w:pBdr>
                <w:top w:val="nil"/>
                <w:left w:val="nil"/>
                <w:bottom w:val="nil"/>
                <w:right w:val="nil"/>
                <w:between w:val="nil"/>
              </w:pBdr>
              <w:spacing w:after="0" w:line="240" w:lineRule="auto"/>
              <w:ind w:left="210" w:right="20"/>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(d) General Service Staff: (i) G2; (ii) G3; (iii) G4; (iv) G5; (v) G6; (vi) G7</w:t>
            </w:r>
          </w:p>
        </w:tc>
        <w:tc>
          <w:tcPr>
            <w:tcW w:w="3870" w:type="dxa"/>
            <w:gridSpan w:val="2"/>
            <w:vAlign w:val="center"/>
          </w:tcPr>
          <w:p w14:paraId="23138FDC" w14:textId="77777777" w:rsidR="00C73758" w:rsidRPr="00C73758" w:rsidRDefault="00C73758" w:rsidP="00C73758">
            <w:pPr>
              <w:pBdr>
                <w:top w:val="nil"/>
                <w:left w:val="nil"/>
                <w:bottom w:val="nil"/>
                <w:right w:val="nil"/>
                <w:between w:val="nil"/>
              </w:pBdr>
              <w:spacing w:after="0" w:line="240" w:lineRule="auto"/>
              <w:ind w:right="20"/>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 xml:space="preserve">Percentage female staff among: </w:t>
            </w:r>
          </w:p>
          <w:p w14:paraId="4082B075" w14:textId="77777777" w:rsidR="00C73758" w:rsidRPr="00C73758" w:rsidRDefault="00C73758" w:rsidP="00C73758">
            <w:pPr>
              <w:pBdr>
                <w:top w:val="nil"/>
                <w:left w:val="nil"/>
                <w:bottom w:val="nil"/>
                <w:right w:val="nil"/>
                <w:between w:val="nil"/>
              </w:pBdr>
              <w:spacing w:after="0" w:line="240" w:lineRule="auto"/>
              <w:ind w:right="20"/>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 xml:space="preserve">(a) International Professional staff: (i) P1 75.0%; (ii) P2 </w:t>
            </w:r>
            <w:r w:rsidRPr="00C73758">
              <w:rPr>
                <w:rFonts w:ascii="Times New Roman" w:eastAsia="Times New Roman" w:hAnsi="Times New Roman" w:cs="Times New Roman"/>
                <w:color w:val="000000"/>
                <w:sz w:val="18"/>
                <w:szCs w:val="18"/>
                <w:lang w:eastAsia="zh-CN"/>
              </w:rPr>
              <w:t>62.6%</w:t>
            </w:r>
            <w:r w:rsidRPr="00C73758">
              <w:rPr>
                <w:rFonts w:ascii="Times New Roman" w:eastAsia="Times New Roman" w:hAnsi="Times New Roman" w:cs="Times New Roman"/>
                <w:color w:val="000000"/>
                <w:sz w:val="20"/>
                <w:szCs w:val="20"/>
                <w:lang w:eastAsia="zh-CN"/>
              </w:rPr>
              <w:t xml:space="preserve">; (iii) P3 </w:t>
            </w:r>
            <w:r w:rsidRPr="00C73758">
              <w:rPr>
                <w:rFonts w:ascii="Times New Roman" w:eastAsia="Times New Roman" w:hAnsi="Times New Roman" w:cs="Times New Roman"/>
                <w:color w:val="000000"/>
                <w:sz w:val="18"/>
                <w:szCs w:val="18"/>
                <w:lang w:eastAsia="zh-CN"/>
              </w:rPr>
              <w:t>51.5%</w:t>
            </w:r>
            <w:r w:rsidRPr="00C73758">
              <w:rPr>
                <w:rFonts w:ascii="Times New Roman" w:eastAsia="Times New Roman" w:hAnsi="Times New Roman" w:cs="Times New Roman"/>
                <w:color w:val="000000"/>
                <w:sz w:val="20"/>
                <w:szCs w:val="20"/>
                <w:lang w:eastAsia="zh-CN"/>
              </w:rPr>
              <w:t xml:space="preserve">; (iv) P4 </w:t>
            </w:r>
            <w:r w:rsidRPr="00C73758">
              <w:rPr>
                <w:rFonts w:ascii="Times New Roman" w:eastAsia="Times New Roman" w:hAnsi="Times New Roman" w:cs="Times New Roman"/>
                <w:color w:val="000000"/>
                <w:sz w:val="18"/>
                <w:szCs w:val="18"/>
                <w:lang w:eastAsia="zh-CN"/>
              </w:rPr>
              <w:t>42.2%</w:t>
            </w:r>
            <w:r w:rsidRPr="00C73758">
              <w:rPr>
                <w:rFonts w:ascii="Times New Roman" w:eastAsia="Times New Roman" w:hAnsi="Times New Roman" w:cs="Times New Roman"/>
                <w:color w:val="000000"/>
                <w:sz w:val="20"/>
                <w:szCs w:val="20"/>
                <w:lang w:eastAsia="zh-CN"/>
              </w:rPr>
              <w:t xml:space="preserve">; (v) P5 </w:t>
            </w:r>
            <w:r w:rsidRPr="00C73758">
              <w:rPr>
                <w:rFonts w:ascii="Times New Roman" w:eastAsia="Times New Roman" w:hAnsi="Times New Roman" w:cs="Times New Roman"/>
                <w:color w:val="000000"/>
                <w:sz w:val="18"/>
                <w:szCs w:val="18"/>
                <w:lang w:eastAsia="zh-CN"/>
              </w:rPr>
              <w:t>40.0%</w:t>
            </w:r>
          </w:p>
          <w:p w14:paraId="70B8418E" w14:textId="77777777" w:rsidR="00C73758" w:rsidRPr="00C73758" w:rsidRDefault="00C73758" w:rsidP="00C73758">
            <w:pPr>
              <w:pBdr>
                <w:top w:val="nil"/>
                <w:left w:val="nil"/>
                <w:bottom w:val="nil"/>
                <w:right w:val="nil"/>
                <w:between w:val="nil"/>
              </w:pBdr>
              <w:spacing w:after="0" w:line="240" w:lineRule="auto"/>
              <w:ind w:right="20"/>
              <w:rPr>
                <w:rFonts w:ascii="Times New Roman" w:eastAsia="Times New Roman" w:hAnsi="Times New Roman" w:cs="Times New Roman"/>
                <w:color w:val="000000"/>
                <w:sz w:val="20"/>
                <w:szCs w:val="20"/>
                <w:lang w:val="es-US" w:eastAsia="zh-CN"/>
              </w:rPr>
            </w:pPr>
            <w:r w:rsidRPr="00C73758">
              <w:rPr>
                <w:rFonts w:ascii="Times New Roman" w:eastAsia="Times New Roman" w:hAnsi="Times New Roman" w:cs="Times New Roman"/>
                <w:color w:val="000000"/>
                <w:sz w:val="20"/>
                <w:szCs w:val="20"/>
                <w:lang w:val="es-US" w:eastAsia="zh-CN"/>
              </w:rPr>
              <w:t xml:space="preserve">(b) National Staff: (i) NO-A </w:t>
            </w:r>
            <w:r w:rsidRPr="00C73758">
              <w:rPr>
                <w:rFonts w:ascii="Times New Roman" w:eastAsia="Times New Roman" w:hAnsi="Times New Roman" w:cs="Times New Roman"/>
                <w:color w:val="000000"/>
                <w:sz w:val="18"/>
                <w:szCs w:val="18"/>
                <w:lang w:eastAsia="zh-CN"/>
              </w:rPr>
              <w:t>58.8%</w:t>
            </w:r>
            <w:r w:rsidRPr="00C73758">
              <w:rPr>
                <w:rFonts w:ascii="Times New Roman" w:eastAsia="Times New Roman" w:hAnsi="Times New Roman" w:cs="Times New Roman"/>
                <w:color w:val="000000"/>
                <w:sz w:val="20"/>
                <w:szCs w:val="20"/>
                <w:lang w:val="es-US" w:eastAsia="zh-CN"/>
              </w:rPr>
              <w:t xml:space="preserve">; (ii) NO-B </w:t>
            </w:r>
            <w:r w:rsidRPr="00C73758">
              <w:rPr>
                <w:rFonts w:ascii="Times New Roman" w:eastAsia="Times New Roman" w:hAnsi="Times New Roman" w:cs="Times New Roman"/>
                <w:color w:val="000000"/>
                <w:sz w:val="18"/>
                <w:szCs w:val="18"/>
                <w:lang w:eastAsia="zh-CN"/>
              </w:rPr>
              <w:t>48.0%</w:t>
            </w:r>
            <w:r w:rsidRPr="00C73758">
              <w:rPr>
                <w:rFonts w:ascii="Times New Roman" w:eastAsia="Times New Roman" w:hAnsi="Times New Roman" w:cs="Times New Roman"/>
                <w:color w:val="000000"/>
                <w:sz w:val="20"/>
                <w:szCs w:val="20"/>
                <w:lang w:val="es-US" w:eastAsia="zh-CN"/>
              </w:rPr>
              <w:t xml:space="preserve">; (iii) NO-C </w:t>
            </w:r>
            <w:r w:rsidRPr="00C73758">
              <w:rPr>
                <w:rFonts w:ascii="Times New Roman" w:eastAsia="Times New Roman" w:hAnsi="Times New Roman" w:cs="Times New Roman"/>
                <w:color w:val="000000"/>
                <w:sz w:val="18"/>
                <w:szCs w:val="18"/>
                <w:lang w:eastAsia="zh-CN"/>
              </w:rPr>
              <w:t>43.6%</w:t>
            </w:r>
            <w:r w:rsidRPr="00C73758">
              <w:rPr>
                <w:rFonts w:ascii="Times New Roman" w:eastAsia="Times New Roman" w:hAnsi="Times New Roman" w:cs="Times New Roman"/>
                <w:color w:val="000000"/>
                <w:sz w:val="20"/>
                <w:szCs w:val="20"/>
                <w:lang w:val="es-US" w:eastAsia="zh-CN"/>
              </w:rPr>
              <w:t xml:space="preserve">; (iv) NO-D </w:t>
            </w:r>
            <w:r w:rsidRPr="00C73758">
              <w:rPr>
                <w:rFonts w:ascii="Times New Roman" w:eastAsia="Times New Roman" w:hAnsi="Times New Roman" w:cs="Times New Roman"/>
                <w:color w:val="000000"/>
                <w:sz w:val="18"/>
                <w:szCs w:val="18"/>
                <w:lang w:eastAsia="zh-CN"/>
              </w:rPr>
              <w:t>53.3%</w:t>
            </w:r>
            <w:r w:rsidRPr="00C73758">
              <w:rPr>
                <w:rFonts w:ascii="Times New Roman" w:eastAsia="Times New Roman" w:hAnsi="Times New Roman" w:cs="Times New Roman"/>
                <w:color w:val="000000"/>
                <w:sz w:val="20"/>
                <w:szCs w:val="20"/>
                <w:lang w:val="es-US" w:eastAsia="zh-CN"/>
              </w:rPr>
              <w:t xml:space="preserve">; </w:t>
            </w:r>
          </w:p>
          <w:p w14:paraId="67B7E89C" w14:textId="77777777" w:rsidR="00C73758" w:rsidRPr="00C73758" w:rsidRDefault="00C73758" w:rsidP="00C73758">
            <w:pPr>
              <w:pBdr>
                <w:top w:val="nil"/>
                <w:left w:val="nil"/>
                <w:bottom w:val="nil"/>
                <w:right w:val="nil"/>
                <w:between w:val="nil"/>
              </w:pBdr>
              <w:spacing w:after="0" w:line="240" w:lineRule="auto"/>
              <w:ind w:right="20"/>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 xml:space="preserve">(c) High-level Posts (i) D1/P6 </w:t>
            </w:r>
            <w:r w:rsidRPr="00C73758">
              <w:rPr>
                <w:rFonts w:ascii="Times New Roman" w:eastAsia="Times New Roman" w:hAnsi="Times New Roman" w:cs="Times New Roman"/>
                <w:color w:val="000000"/>
                <w:sz w:val="18"/>
                <w:szCs w:val="18"/>
                <w:lang w:eastAsia="zh-CN"/>
              </w:rPr>
              <w:t>38.9%</w:t>
            </w:r>
            <w:r w:rsidRPr="00C73758">
              <w:rPr>
                <w:rFonts w:ascii="Times New Roman" w:eastAsia="Times New Roman" w:hAnsi="Times New Roman" w:cs="Times New Roman"/>
                <w:color w:val="000000"/>
                <w:sz w:val="20"/>
                <w:szCs w:val="20"/>
                <w:lang w:eastAsia="zh-CN"/>
              </w:rPr>
              <w:t xml:space="preserve">; (ii) D2/P7 </w:t>
            </w:r>
            <w:r w:rsidRPr="00C73758">
              <w:rPr>
                <w:rFonts w:ascii="Times New Roman" w:eastAsia="Times New Roman" w:hAnsi="Times New Roman" w:cs="Times New Roman"/>
                <w:color w:val="000000"/>
                <w:sz w:val="18"/>
                <w:szCs w:val="18"/>
                <w:lang w:eastAsia="zh-CN"/>
              </w:rPr>
              <w:t>36.2%</w:t>
            </w:r>
            <w:r w:rsidRPr="00C73758">
              <w:rPr>
                <w:rFonts w:ascii="Times New Roman" w:eastAsia="Times New Roman" w:hAnsi="Times New Roman" w:cs="Times New Roman"/>
                <w:color w:val="000000"/>
                <w:sz w:val="20"/>
                <w:szCs w:val="20"/>
                <w:lang w:eastAsia="zh-CN"/>
              </w:rPr>
              <w:t xml:space="preserve">; (iii) ASG </w:t>
            </w:r>
            <w:r w:rsidRPr="00C73758">
              <w:rPr>
                <w:rFonts w:ascii="Times New Roman" w:eastAsia="Times New Roman" w:hAnsi="Times New Roman" w:cs="Times New Roman"/>
                <w:color w:val="000000"/>
                <w:sz w:val="18"/>
                <w:szCs w:val="18"/>
                <w:lang w:eastAsia="zh-CN"/>
              </w:rPr>
              <w:t>46.2%</w:t>
            </w:r>
            <w:r w:rsidRPr="00C73758">
              <w:rPr>
                <w:rFonts w:ascii="Times New Roman" w:eastAsia="Times New Roman" w:hAnsi="Times New Roman" w:cs="Times New Roman"/>
                <w:color w:val="000000"/>
                <w:sz w:val="20"/>
                <w:szCs w:val="20"/>
                <w:lang w:eastAsia="zh-CN"/>
              </w:rPr>
              <w:t>; (iv) USG 0.0%</w:t>
            </w:r>
          </w:p>
          <w:p w14:paraId="1563849D" w14:textId="77777777" w:rsidR="00C73758" w:rsidRPr="00C73758" w:rsidRDefault="00C73758" w:rsidP="00C73758">
            <w:pPr>
              <w:pBdr>
                <w:top w:val="nil"/>
                <w:left w:val="nil"/>
                <w:bottom w:val="nil"/>
                <w:right w:val="nil"/>
                <w:between w:val="nil"/>
              </w:pBdr>
              <w:spacing w:after="0" w:line="240" w:lineRule="auto"/>
              <w:ind w:left="-21" w:right="20"/>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 xml:space="preserve">(d) General Service Staff: (i) G2 </w:t>
            </w:r>
            <w:r w:rsidRPr="00C73758">
              <w:rPr>
                <w:rFonts w:ascii="Times New Roman" w:eastAsia="Times New Roman" w:hAnsi="Times New Roman" w:cs="Times New Roman"/>
                <w:color w:val="000000"/>
                <w:sz w:val="18"/>
                <w:szCs w:val="18"/>
                <w:lang w:eastAsia="zh-CN"/>
              </w:rPr>
              <w:t>4.8%</w:t>
            </w:r>
            <w:r w:rsidRPr="00C73758">
              <w:rPr>
                <w:rFonts w:ascii="Times New Roman" w:eastAsia="Times New Roman" w:hAnsi="Times New Roman" w:cs="Times New Roman"/>
                <w:color w:val="000000"/>
                <w:sz w:val="20"/>
                <w:szCs w:val="20"/>
                <w:lang w:eastAsia="zh-CN"/>
              </w:rPr>
              <w:t xml:space="preserve">; (ii) G3 </w:t>
            </w:r>
            <w:r w:rsidRPr="00C73758">
              <w:rPr>
                <w:rFonts w:ascii="Times New Roman" w:eastAsia="Times New Roman" w:hAnsi="Times New Roman" w:cs="Times New Roman"/>
                <w:color w:val="000000"/>
                <w:sz w:val="18"/>
                <w:szCs w:val="18"/>
                <w:lang w:eastAsia="zh-CN"/>
              </w:rPr>
              <w:t>14.8%</w:t>
            </w:r>
            <w:r w:rsidRPr="00C73758">
              <w:rPr>
                <w:rFonts w:ascii="Times New Roman" w:eastAsia="Times New Roman" w:hAnsi="Times New Roman" w:cs="Times New Roman"/>
                <w:color w:val="000000"/>
                <w:sz w:val="20"/>
                <w:szCs w:val="20"/>
                <w:lang w:eastAsia="zh-CN"/>
              </w:rPr>
              <w:t xml:space="preserve">; (iii) G4 </w:t>
            </w:r>
            <w:r w:rsidRPr="00C73758">
              <w:rPr>
                <w:rFonts w:ascii="Times New Roman" w:eastAsia="Times New Roman" w:hAnsi="Times New Roman" w:cs="Times New Roman"/>
                <w:color w:val="000000"/>
                <w:sz w:val="18"/>
                <w:szCs w:val="18"/>
                <w:lang w:eastAsia="zh-CN"/>
              </w:rPr>
              <w:t>44.8%</w:t>
            </w:r>
            <w:r w:rsidRPr="00C73758">
              <w:rPr>
                <w:rFonts w:ascii="Times New Roman" w:eastAsia="Times New Roman" w:hAnsi="Times New Roman" w:cs="Times New Roman"/>
                <w:color w:val="000000"/>
                <w:sz w:val="20"/>
                <w:szCs w:val="20"/>
                <w:lang w:eastAsia="zh-CN"/>
              </w:rPr>
              <w:t xml:space="preserve">; (iv) G5 </w:t>
            </w:r>
            <w:r w:rsidRPr="00C73758">
              <w:rPr>
                <w:rFonts w:ascii="Times New Roman" w:eastAsia="Times New Roman" w:hAnsi="Times New Roman" w:cs="Times New Roman"/>
                <w:color w:val="000000"/>
                <w:sz w:val="18"/>
                <w:szCs w:val="18"/>
                <w:lang w:eastAsia="zh-CN"/>
              </w:rPr>
              <w:t>62.2%</w:t>
            </w:r>
            <w:r w:rsidRPr="00C73758">
              <w:rPr>
                <w:rFonts w:ascii="Times New Roman" w:eastAsia="Times New Roman" w:hAnsi="Times New Roman" w:cs="Times New Roman"/>
                <w:color w:val="000000"/>
                <w:sz w:val="20"/>
                <w:szCs w:val="20"/>
                <w:lang w:eastAsia="zh-CN"/>
              </w:rPr>
              <w:t xml:space="preserve">; (v) G6 </w:t>
            </w:r>
            <w:r w:rsidRPr="00C73758">
              <w:rPr>
                <w:rFonts w:ascii="Times New Roman" w:eastAsia="Times New Roman" w:hAnsi="Times New Roman" w:cs="Times New Roman"/>
                <w:color w:val="000000"/>
                <w:sz w:val="18"/>
                <w:szCs w:val="18"/>
                <w:lang w:eastAsia="zh-CN"/>
              </w:rPr>
              <w:t>67.2%</w:t>
            </w:r>
            <w:r w:rsidRPr="00C73758">
              <w:rPr>
                <w:rFonts w:ascii="Times New Roman" w:eastAsia="Times New Roman" w:hAnsi="Times New Roman" w:cs="Times New Roman"/>
                <w:color w:val="000000"/>
                <w:sz w:val="20"/>
                <w:szCs w:val="20"/>
                <w:lang w:eastAsia="zh-CN"/>
              </w:rPr>
              <w:t xml:space="preserve">; (vi) G7 </w:t>
            </w:r>
            <w:r w:rsidRPr="00C73758">
              <w:rPr>
                <w:rFonts w:ascii="Times New Roman" w:eastAsia="Times New Roman" w:hAnsi="Times New Roman" w:cs="Times New Roman"/>
                <w:color w:val="000000"/>
                <w:sz w:val="18"/>
                <w:szCs w:val="18"/>
                <w:lang w:eastAsia="zh-CN"/>
              </w:rPr>
              <w:t>62.0%</w:t>
            </w:r>
          </w:p>
        </w:tc>
        <w:tc>
          <w:tcPr>
            <w:tcW w:w="1890" w:type="dxa"/>
            <w:gridSpan w:val="2"/>
            <w:vAlign w:val="center"/>
          </w:tcPr>
          <w:p w14:paraId="25E329A4" w14:textId="77777777" w:rsidR="00C73758" w:rsidRPr="00C73758" w:rsidRDefault="00C73758" w:rsidP="00C73758">
            <w:pPr>
              <w:pBdr>
                <w:top w:val="nil"/>
                <w:left w:val="nil"/>
                <w:bottom w:val="nil"/>
                <w:right w:val="nil"/>
                <w:between w:val="nil"/>
              </w:pBdr>
              <w:spacing w:after="0" w:line="240" w:lineRule="auto"/>
              <w:ind w:right="20"/>
              <w:jc w:val="center"/>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UNDP</w:t>
            </w:r>
          </w:p>
        </w:tc>
      </w:tr>
      <w:tr w:rsidR="00C73758" w:rsidRPr="00C73758" w14:paraId="3E728327" w14:textId="77777777" w:rsidTr="00395075">
        <w:trPr>
          <w:gridAfter w:val="1"/>
          <w:wAfter w:w="8" w:type="dxa"/>
          <w:trHeight w:val="188"/>
        </w:trPr>
        <w:tc>
          <w:tcPr>
            <w:tcW w:w="1590" w:type="dxa"/>
            <w:tcMar>
              <w:top w:w="100" w:type="dxa"/>
              <w:left w:w="100" w:type="dxa"/>
              <w:bottom w:w="100" w:type="dxa"/>
              <w:right w:w="100" w:type="dxa"/>
            </w:tcMar>
            <w:vAlign w:val="center"/>
          </w:tcPr>
          <w:p w14:paraId="1166E5D7" w14:textId="77777777" w:rsidR="00C73758" w:rsidRPr="00C73758" w:rsidRDefault="00C73758" w:rsidP="00C73758">
            <w:pPr>
              <w:pBdr>
                <w:top w:val="nil"/>
                <w:left w:val="nil"/>
                <w:bottom w:val="nil"/>
                <w:right w:val="nil"/>
                <w:between w:val="nil"/>
              </w:pBdr>
              <w:tabs>
                <w:tab w:val="left" w:pos="1013"/>
              </w:tabs>
              <w:spacing w:after="0" w:line="240" w:lineRule="auto"/>
              <w:ind w:left="-100" w:right="24" w:firstLine="33"/>
              <w:jc w:val="center"/>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18"/>
                <w:szCs w:val="18"/>
                <w:lang w:eastAsia="zh-CN"/>
              </w:rPr>
              <w:t>23</w:t>
            </w:r>
          </w:p>
        </w:tc>
        <w:tc>
          <w:tcPr>
            <w:tcW w:w="1501" w:type="dxa"/>
            <w:vAlign w:val="center"/>
          </w:tcPr>
          <w:p w14:paraId="338C1EFB" w14:textId="77777777" w:rsidR="00C73758" w:rsidRPr="00C73758" w:rsidRDefault="00C73758" w:rsidP="00C73758">
            <w:pPr>
              <w:pBdr>
                <w:top w:val="nil"/>
                <w:left w:val="nil"/>
                <w:bottom w:val="nil"/>
                <w:right w:val="nil"/>
                <w:between w:val="nil"/>
              </w:pBdr>
              <w:spacing w:after="0" w:line="240" w:lineRule="auto"/>
              <w:ind w:left="210" w:right="20"/>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QCPR 42.g</w:t>
            </w:r>
          </w:p>
        </w:tc>
        <w:tc>
          <w:tcPr>
            <w:tcW w:w="5220" w:type="dxa"/>
            <w:tcMar>
              <w:top w:w="100" w:type="dxa"/>
              <w:left w:w="100" w:type="dxa"/>
              <w:bottom w:w="100" w:type="dxa"/>
              <w:right w:w="100" w:type="dxa"/>
            </w:tcMar>
            <w:vAlign w:val="center"/>
          </w:tcPr>
          <w:p w14:paraId="218D4DAA" w14:textId="77777777" w:rsidR="00C73758" w:rsidRPr="00C73758" w:rsidRDefault="00C73758" w:rsidP="00C73758">
            <w:pPr>
              <w:pBdr>
                <w:top w:val="nil"/>
                <w:left w:val="nil"/>
                <w:bottom w:val="nil"/>
                <w:right w:val="nil"/>
                <w:between w:val="nil"/>
              </w:pBdr>
              <w:spacing w:after="0" w:line="240" w:lineRule="auto"/>
              <w:ind w:left="210" w:right="20"/>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 xml:space="preserve">Percentage of UNDAFs that feature gender results at the outcome level </w:t>
            </w:r>
          </w:p>
        </w:tc>
        <w:tc>
          <w:tcPr>
            <w:tcW w:w="3870" w:type="dxa"/>
            <w:gridSpan w:val="2"/>
            <w:vAlign w:val="center"/>
          </w:tcPr>
          <w:p w14:paraId="44E93B5D" w14:textId="77777777" w:rsidR="00C73758" w:rsidRPr="00C73758" w:rsidRDefault="00C73758" w:rsidP="00C73758">
            <w:pPr>
              <w:pBdr>
                <w:top w:val="nil"/>
                <w:left w:val="nil"/>
                <w:bottom w:val="nil"/>
                <w:right w:val="nil"/>
                <w:between w:val="nil"/>
              </w:pBdr>
              <w:spacing w:after="0" w:line="240" w:lineRule="auto"/>
              <w:ind w:right="20" w:hanging="20"/>
              <w:jc w:val="center"/>
              <w:rPr>
                <w:rFonts w:ascii="Times New Roman" w:eastAsia="Times New Roman" w:hAnsi="Times New Roman" w:cs="Times New Roman"/>
                <w:sz w:val="20"/>
                <w:szCs w:val="20"/>
                <w:lang w:eastAsia="zh-CN"/>
              </w:rPr>
            </w:pPr>
            <w:r w:rsidRPr="00C73758">
              <w:rPr>
                <w:rFonts w:ascii="Times New Roman" w:eastAsia="Times New Roman" w:hAnsi="Times New Roman" w:cs="Times New Roman"/>
                <w:sz w:val="20"/>
                <w:szCs w:val="20"/>
                <w:lang w:eastAsia="zh-CN"/>
              </w:rPr>
              <w:t>88 out of 126 UNDAFs in 2018 (69.8%)</w:t>
            </w:r>
          </w:p>
        </w:tc>
        <w:tc>
          <w:tcPr>
            <w:tcW w:w="1890" w:type="dxa"/>
            <w:gridSpan w:val="2"/>
            <w:vAlign w:val="center"/>
          </w:tcPr>
          <w:p w14:paraId="42973900" w14:textId="77777777" w:rsidR="00C73758" w:rsidRPr="00C73758" w:rsidRDefault="00C73758" w:rsidP="00C73758">
            <w:pPr>
              <w:pBdr>
                <w:top w:val="nil"/>
                <w:left w:val="nil"/>
                <w:bottom w:val="nil"/>
                <w:right w:val="nil"/>
                <w:between w:val="nil"/>
              </w:pBdr>
              <w:spacing w:after="0" w:line="240" w:lineRule="auto"/>
              <w:ind w:right="20"/>
              <w:jc w:val="center"/>
              <w:rPr>
                <w:rFonts w:ascii="Times New Roman" w:eastAsia="Times New Roman" w:hAnsi="Times New Roman" w:cs="Times New Roman"/>
                <w:sz w:val="20"/>
                <w:szCs w:val="20"/>
                <w:lang w:eastAsia="zh-CN"/>
              </w:rPr>
            </w:pPr>
            <w:r w:rsidRPr="00C73758">
              <w:rPr>
                <w:rFonts w:ascii="Times New Roman" w:eastAsia="Times New Roman" w:hAnsi="Times New Roman" w:cs="Times New Roman"/>
                <w:sz w:val="20"/>
                <w:szCs w:val="20"/>
                <w:lang w:eastAsia="zh-CN"/>
              </w:rPr>
              <w:t>DCO IMS 2018</w:t>
            </w:r>
          </w:p>
        </w:tc>
      </w:tr>
      <w:tr w:rsidR="00C73758" w:rsidRPr="00C73758" w14:paraId="621F9325" w14:textId="77777777" w:rsidTr="00395075">
        <w:trPr>
          <w:gridAfter w:val="1"/>
          <w:wAfter w:w="8" w:type="dxa"/>
          <w:trHeight w:val="233"/>
        </w:trPr>
        <w:tc>
          <w:tcPr>
            <w:tcW w:w="1590" w:type="dxa"/>
            <w:tcMar>
              <w:top w:w="100" w:type="dxa"/>
              <w:left w:w="100" w:type="dxa"/>
              <w:bottom w:w="100" w:type="dxa"/>
              <w:right w:w="100" w:type="dxa"/>
            </w:tcMar>
            <w:vAlign w:val="center"/>
          </w:tcPr>
          <w:p w14:paraId="4A1E33F4" w14:textId="77777777" w:rsidR="00C73758" w:rsidRPr="00C73758" w:rsidRDefault="00C73758" w:rsidP="00C73758">
            <w:pPr>
              <w:pBdr>
                <w:top w:val="nil"/>
                <w:left w:val="nil"/>
                <w:bottom w:val="nil"/>
                <w:right w:val="nil"/>
                <w:between w:val="nil"/>
              </w:pBdr>
              <w:tabs>
                <w:tab w:val="left" w:pos="1193"/>
              </w:tabs>
              <w:spacing w:after="0" w:line="240" w:lineRule="auto"/>
              <w:ind w:left="-100" w:right="200" w:firstLine="275"/>
              <w:jc w:val="center"/>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18"/>
                <w:szCs w:val="18"/>
                <w:lang w:eastAsia="zh-CN"/>
              </w:rPr>
              <w:t>158d</w:t>
            </w:r>
          </w:p>
        </w:tc>
        <w:tc>
          <w:tcPr>
            <w:tcW w:w="1501" w:type="dxa"/>
            <w:vAlign w:val="center"/>
          </w:tcPr>
          <w:p w14:paraId="03BBE7BE" w14:textId="77777777" w:rsidR="00C73758" w:rsidRPr="00C73758" w:rsidRDefault="00C73758" w:rsidP="00C73758">
            <w:pPr>
              <w:pBdr>
                <w:top w:val="nil"/>
                <w:left w:val="nil"/>
                <w:bottom w:val="nil"/>
                <w:right w:val="nil"/>
                <w:between w:val="nil"/>
              </w:pBdr>
              <w:spacing w:after="0" w:line="240" w:lineRule="auto"/>
              <w:ind w:left="210" w:right="20"/>
              <w:rPr>
                <w:rFonts w:ascii="Times New Roman" w:eastAsia="Times New Roman" w:hAnsi="Times New Roman" w:cs="Times New Roman"/>
                <w:sz w:val="20"/>
                <w:szCs w:val="20"/>
                <w:lang w:eastAsia="zh-CN"/>
              </w:rPr>
            </w:pPr>
            <w:r w:rsidRPr="00C73758">
              <w:rPr>
                <w:rFonts w:ascii="Times New Roman" w:eastAsia="Times New Roman" w:hAnsi="Times New Roman" w:cs="Times New Roman"/>
                <w:color w:val="000000"/>
                <w:sz w:val="20"/>
                <w:szCs w:val="20"/>
                <w:lang w:eastAsia="zh-CN"/>
              </w:rPr>
              <w:t>QCPR 43.d</w:t>
            </w:r>
          </w:p>
        </w:tc>
        <w:tc>
          <w:tcPr>
            <w:tcW w:w="5220" w:type="dxa"/>
            <w:tcMar>
              <w:top w:w="100" w:type="dxa"/>
              <w:left w:w="100" w:type="dxa"/>
              <w:bottom w:w="100" w:type="dxa"/>
              <w:right w:w="100" w:type="dxa"/>
            </w:tcMar>
            <w:vAlign w:val="center"/>
          </w:tcPr>
          <w:p w14:paraId="5AB61E2B" w14:textId="77777777" w:rsidR="00C73758" w:rsidRPr="00C73758" w:rsidRDefault="00C73758" w:rsidP="00C73758">
            <w:pPr>
              <w:pBdr>
                <w:top w:val="nil"/>
                <w:left w:val="nil"/>
                <w:bottom w:val="nil"/>
                <w:right w:val="nil"/>
                <w:between w:val="nil"/>
              </w:pBdr>
              <w:spacing w:after="0" w:line="240" w:lineRule="auto"/>
              <w:ind w:left="210" w:right="20"/>
              <w:rPr>
                <w:rFonts w:ascii="Times New Roman" w:eastAsia="Times New Roman" w:hAnsi="Times New Roman" w:cs="Times New Roman"/>
                <w:sz w:val="20"/>
                <w:szCs w:val="20"/>
                <w:lang w:eastAsia="zh-CN"/>
              </w:rPr>
            </w:pPr>
            <w:r w:rsidRPr="00C73758">
              <w:rPr>
                <w:rFonts w:ascii="Times New Roman" w:eastAsia="Times New Roman" w:hAnsi="Times New Roman" w:cs="Times New Roman"/>
                <w:sz w:val="20"/>
                <w:szCs w:val="20"/>
                <w:lang w:eastAsia="zh-CN"/>
              </w:rPr>
              <w:t>% of programme countries indicating that the United Nations has undertaken activities in that country to support South-South or triangular cooperation</w:t>
            </w:r>
          </w:p>
        </w:tc>
        <w:tc>
          <w:tcPr>
            <w:tcW w:w="3870" w:type="dxa"/>
            <w:gridSpan w:val="2"/>
            <w:vAlign w:val="center"/>
          </w:tcPr>
          <w:p w14:paraId="17B02FAA" w14:textId="77777777" w:rsidR="00C73758" w:rsidRPr="00C73758" w:rsidRDefault="00C73758" w:rsidP="00C73758">
            <w:pPr>
              <w:pBdr>
                <w:top w:val="nil"/>
                <w:left w:val="nil"/>
                <w:bottom w:val="nil"/>
                <w:right w:val="nil"/>
                <w:between w:val="nil"/>
              </w:pBdr>
              <w:spacing w:after="0" w:line="240" w:lineRule="auto"/>
              <w:ind w:right="20"/>
              <w:rPr>
                <w:rFonts w:ascii="Times New Roman" w:eastAsia="Times New Roman" w:hAnsi="Times New Roman" w:cs="Times New Roman"/>
                <w:sz w:val="20"/>
                <w:szCs w:val="20"/>
                <w:lang w:eastAsia="zh-CN"/>
              </w:rPr>
            </w:pPr>
            <w:r w:rsidRPr="00C73758">
              <w:rPr>
                <w:rFonts w:ascii="Times New Roman" w:eastAsia="Times New Roman" w:hAnsi="Times New Roman" w:cs="Times New Roman"/>
                <w:sz w:val="20"/>
                <w:szCs w:val="20"/>
                <w:lang w:eastAsia="zh-CN"/>
              </w:rPr>
              <w:t>No data is available for this indicator at the moment. This is an indicator collected by DESA through the programme country survey. DESA intends to collect data summer 2019.</w:t>
            </w:r>
          </w:p>
        </w:tc>
        <w:tc>
          <w:tcPr>
            <w:tcW w:w="1890" w:type="dxa"/>
            <w:gridSpan w:val="2"/>
            <w:vAlign w:val="center"/>
          </w:tcPr>
          <w:p w14:paraId="5D2150A4" w14:textId="77777777" w:rsidR="00C73758" w:rsidRPr="00C73758" w:rsidRDefault="00C73758" w:rsidP="00C73758">
            <w:pPr>
              <w:pBdr>
                <w:top w:val="nil"/>
                <w:left w:val="nil"/>
                <w:bottom w:val="nil"/>
                <w:right w:val="nil"/>
                <w:between w:val="nil"/>
              </w:pBdr>
              <w:spacing w:after="0" w:line="240" w:lineRule="auto"/>
              <w:ind w:right="20" w:hanging="30"/>
              <w:jc w:val="center"/>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N/A</w:t>
            </w:r>
          </w:p>
        </w:tc>
      </w:tr>
      <w:tr w:rsidR="00C73758" w:rsidRPr="00C73758" w14:paraId="549698EF" w14:textId="77777777" w:rsidTr="00395075">
        <w:trPr>
          <w:trHeight w:val="152"/>
        </w:trPr>
        <w:tc>
          <w:tcPr>
            <w:tcW w:w="8319" w:type="dxa"/>
            <w:gridSpan w:val="4"/>
            <w:shd w:val="clear" w:color="auto" w:fill="CFE2F3"/>
          </w:tcPr>
          <w:p w14:paraId="705CDE09" w14:textId="77777777" w:rsidR="00C73758" w:rsidRPr="00C73758" w:rsidRDefault="00C73758" w:rsidP="00C73758">
            <w:pPr>
              <w:pBdr>
                <w:top w:val="nil"/>
                <w:left w:val="nil"/>
                <w:bottom w:val="nil"/>
                <w:right w:val="nil"/>
                <w:between w:val="nil"/>
              </w:pBdr>
              <w:spacing w:after="0" w:line="240" w:lineRule="auto"/>
              <w:ind w:left="198" w:right="200"/>
              <w:rPr>
                <w:rFonts w:ascii="Times New Roman" w:eastAsia="Times New Roman" w:hAnsi="Times New Roman" w:cs="Times New Roman"/>
                <w:color w:val="000000"/>
                <w:sz w:val="20"/>
                <w:szCs w:val="20"/>
                <w:lang w:eastAsia="zh-CN"/>
              </w:rPr>
            </w:pPr>
            <w:r w:rsidRPr="00C73758">
              <w:rPr>
                <w:rFonts w:ascii="Times New Roman" w:eastAsia="Cambria" w:hAnsi="Times New Roman" w:cs="Times New Roman"/>
                <w:b/>
                <w:color w:val="000000"/>
                <w:sz w:val="20"/>
                <w:szCs w:val="20"/>
                <w:lang w:eastAsia="zh-CN"/>
              </w:rPr>
              <w:t>Resident Coordinator system</w:t>
            </w:r>
          </w:p>
        </w:tc>
        <w:tc>
          <w:tcPr>
            <w:tcW w:w="3870" w:type="dxa"/>
            <w:gridSpan w:val="2"/>
            <w:shd w:val="clear" w:color="auto" w:fill="CFE2F3"/>
            <w:vAlign w:val="center"/>
          </w:tcPr>
          <w:p w14:paraId="35BEF92E" w14:textId="77777777" w:rsidR="00C73758" w:rsidRPr="00C73758" w:rsidRDefault="00C73758" w:rsidP="00C73758">
            <w:pPr>
              <w:pBdr>
                <w:top w:val="nil"/>
                <w:left w:val="nil"/>
                <w:bottom w:val="nil"/>
                <w:right w:val="nil"/>
                <w:between w:val="nil"/>
              </w:pBdr>
              <w:spacing w:after="0" w:line="240" w:lineRule="auto"/>
              <w:ind w:left="198" w:right="200"/>
              <w:rPr>
                <w:rFonts w:ascii="Times New Roman" w:eastAsia="Cambria" w:hAnsi="Times New Roman" w:cs="Times New Roman"/>
                <w:b/>
                <w:color w:val="000000"/>
                <w:sz w:val="20"/>
                <w:szCs w:val="20"/>
                <w:lang w:eastAsia="zh-CN"/>
              </w:rPr>
            </w:pPr>
          </w:p>
        </w:tc>
        <w:tc>
          <w:tcPr>
            <w:tcW w:w="1890" w:type="dxa"/>
            <w:gridSpan w:val="2"/>
            <w:shd w:val="clear" w:color="auto" w:fill="CFE2F3"/>
            <w:vAlign w:val="center"/>
          </w:tcPr>
          <w:p w14:paraId="7A6A2190" w14:textId="77777777" w:rsidR="00C73758" w:rsidRPr="00C73758" w:rsidRDefault="00C73758" w:rsidP="00C73758">
            <w:pPr>
              <w:pBdr>
                <w:top w:val="nil"/>
                <w:left w:val="nil"/>
                <w:bottom w:val="nil"/>
                <w:right w:val="nil"/>
                <w:between w:val="nil"/>
              </w:pBdr>
              <w:spacing w:after="0" w:line="240" w:lineRule="auto"/>
              <w:ind w:left="198" w:right="200"/>
              <w:jc w:val="center"/>
              <w:rPr>
                <w:rFonts w:ascii="Times New Roman" w:eastAsia="Cambria" w:hAnsi="Times New Roman" w:cs="Times New Roman"/>
                <w:b/>
                <w:color w:val="000000"/>
                <w:sz w:val="20"/>
                <w:szCs w:val="20"/>
                <w:lang w:eastAsia="zh-CN"/>
              </w:rPr>
            </w:pPr>
          </w:p>
        </w:tc>
      </w:tr>
      <w:tr w:rsidR="00C73758" w:rsidRPr="00C73758" w14:paraId="3829533E" w14:textId="77777777" w:rsidTr="00395075">
        <w:trPr>
          <w:gridAfter w:val="1"/>
          <w:wAfter w:w="8" w:type="dxa"/>
          <w:trHeight w:val="240"/>
        </w:trPr>
        <w:tc>
          <w:tcPr>
            <w:tcW w:w="1590" w:type="dxa"/>
            <w:tcMar>
              <w:top w:w="100" w:type="dxa"/>
              <w:left w:w="100" w:type="dxa"/>
              <w:bottom w:w="100" w:type="dxa"/>
              <w:right w:w="100" w:type="dxa"/>
            </w:tcMar>
            <w:vAlign w:val="center"/>
          </w:tcPr>
          <w:p w14:paraId="3075D9F9" w14:textId="77777777" w:rsidR="00C73758" w:rsidRPr="00C73758" w:rsidRDefault="00C73758" w:rsidP="00C73758">
            <w:pPr>
              <w:pBdr>
                <w:top w:val="nil"/>
                <w:left w:val="nil"/>
                <w:bottom w:val="nil"/>
                <w:right w:val="nil"/>
                <w:between w:val="nil"/>
              </w:pBdr>
              <w:spacing w:after="0" w:line="240" w:lineRule="auto"/>
              <w:ind w:left="-100" w:firstLine="33"/>
              <w:jc w:val="center"/>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18"/>
                <w:szCs w:val="18"/>
                <w:lang w:eastAsia="zh-CN"/>
              </w:rPr>
              <w:t>70c</w:t>
            </w:r>
          </w:p>
        </w:tc>
        <w:tc>
          <w:tcPr>
            <w:tcW w:w="1501" w:type="dxa"/>
            <w:vAlign w:val="center"/>
          </w:tcPr>
          <w:p w14:paraId="3437F46F" w14:textId="77777777" w:rsidR="00C73758" w:rsidRPr="00C73758" w:rsidRDefault="00C73758" w:rsidP="00C73758">
            <w:pPr>
              <w:pBdr>
                <w:top w:val="nil"/>
                <w:left w:val="nil"/>
                <w:bottom w:val="nil"/>
                <w:right w:val="nil"/>
                <w:between w:val="nil"/>
              </w:pBdr>
              <w:spacing w:after="0" w:line="240" w:lineRule="auto"/>
              <w:ind w:left="210" w:right="20"/>
              <w:rPr>
                <w:rFonts w:ascii="Times New Roman" w:eastAsia="Times New Roman" w:hAnsi="Times New Roman" w:cs="Times New Roman"/>
                <w:sz w:val="20"/>
                <w:szCs w:val="20"/>
                <w:lang w:eastAsia="zh-CN"/>
              </w:rPr>
            </w:pPr>
            <w:r w:rsidRPr="00C73758">
              <w:rPr>
                <w:rFonts w:ascii="Times New Roman" w:eastAsia="Times New Roman" w:hAnsi="Times New Roman" w:cs="Times New Roman"/>
                <w:color w:val="000000"/>
                <w:sz w:val="20"/>
                <w:szCs w:val="20"/>
                <w:lang w:eastAsia="zh-CN"/>
              </w:rPr>
              <w:t>QCPR 61.a</w:t>
            </w:r>
          </w:p>
        </w:tc>
        <w:tc>
          <w:tcPr>
            <w:tcW w:w="5220" w:type="dxa"/>
            <w:tcMar>
              <w:top w:w="100" w:type="dxa"/>
              <w:left w:w="100" w:type="dxa"/>
              <w:bottom w:w="100" w:type="dxa"/>
              <w:right w:w="100" w:type="dxa"/>
            </w:tcMar>
            <w:vAlign w:val="center"/>
          </w:tcPr>
          <w:p w14:paraId="61A90B08" w14:textId="77777777" w:rsidR="00C73758" w:rsidRPr="00C73758" w:rsidRDefault="00C73758" w:rsidP="00C73758">
            <w:pPr>
              <w:pBdr>
                <w:top w:val="nil"/>
                <w:left w:val="nil"/>
                <w:bottom w:val="nil"/>
                <w:right w:val="nil"/>
                <w:between w:val="nil"/>
              </w:pBdr>
              <w:spacing w:after="0" w:line="240" w:lineRule="auto"/>
              <w:ind w:left="210" w:right="20"/>
              <w:rPr>
                <w:rFonts w:ascii="Times New Roman" w:eastAsia="Times New Roman" w:hAnsi="Times New Roman" w:cs="Times New Roman"/>
                <w:sz w:val="20"/>
                <w:szCs w:val="20"/>
                <w:lang w:eastAsia="zh-CN"/>
              </w:rPr>
            </w:pPr>
            <w:r w:rsidRPr="00C73758">
              <w:rPr>
                <w:rFonts w:ascii="Times New Roman" w:eastAsia="Times New Roman" w:hAnsi="Times New Roman" w:cs="Times New Roman"/>
                <w:sz w:val="20"/>
                <w:szCs w:val="20"/>
                <w:lang w:eastAsia="zh-CN"/>
              </w:rPr>
              <w:t>Fraction of UNDG entities paying their full contribution of the UNDG Resident Coordinator (RC) system cost-sharing arrangement</w:t>
            </w:r>
          </w:p>
        </w:tc>
        <w:tc>
          <w:tcPr>
            <w:tcW w:w="3870" w:type="dxa"/>
            <w:gridSpan w:val="2"/>
            <w:vAlign w:val="center"/>
          </w:tcPr>
          <w:p w14:paraId="2D192167" w14:textId="77777777" w:rsidR="00C73758" w:rsidRPr="00C73758" w:rsidRDefault="00C73758" w:rsidP="00C73758">
            <w:pPr>
              <w:spacing w:after="0" w:line="240" w:lineRule="auto"/>
              <w:rPr>
                <w:rFonts w:ascii="Times New Roman" w:eastAsia="Times New Roman" w:hAnsi="Times New Roman" w:cs="Times New Roman"/>
                <w:sz w:val="20"/>
                <w:szCs w:val="20"/>
                <w:lang w:eastAsia="zh-CN"/>
              </w:rPr>
            </w:pPr>
            <w:r w:rsidRPr="00C73758">
              <w:rPr>
                <w:rFonts w:ascii="Times New Roman" w:eastAsia="Times New Roman" w:hAnsi="Times New Roman" w:cs="Times New Roman"/>
                <w:sz w:val="20"/>
                <w:szCs w:val="20"/>
                <w:lang w:eastAsia="zh-CN"/>
              </w:rPr>
              <w:t>UNDP paid its full contribution of the UNDG Resident Coordinator (RC) system cost-sharing arrangement for 2018 and 2019.</w:t>
            </w:r>
          </w:p>
        </w:tc>
        <w:tc>
          <w:tcPr>
            <w:tcW w:w="1890" w:type="dxa"/>
            <w:gridSpan w:val="2"/>
            <w:vAlign w:val="center"/>
          </w:tcPr>
          <w:p w14:paraId="38232AAF" w14:textId="77777777" w:rsidR="00C73758" w:rsidRPr="00C73758" w:rsidRDefault="00C73758" w:rsidP="00C73758">
            <w:pPr>
              <w:pBdr>
                <w:top w:val="nil"/>
                <w:left w:val="nil"/>
                <w:bottom w:val="nil"/>
                <w:right w:val="nil"/>
                <w:between w:val="nil"/>
              </w:pBdr>
              <w:spacing w:after="0" w:line="240" w:lineRule="auto"/>
              <w:ind w:right="20"/>
              <w:jc w:val="center"/>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UNDP</w:t>
            </w:r>
          </w:p>
        </w:tc>
      </w:tr>
      <w:tr w:rsidR="00C73758" w:rsidRPr="00C73758" w14:paraId="23FABB1F" w14:textId="77777777" w:rsidTr="00395075">
        <w:trPr>
          <w:gridAfter w:val="1"/>
          <w:wAfter w:w="8" w:type="dxa"/>
          <w:trHeight w:val="40"/>
        </w:trPr>
        <w:tc>
          <w:tcPr>
            <w:tcW w:w="1590" w:type="dxa"/>
            <w:tcMar>
              <w:top w:w="100" w:type="dxa"/>
              <w:left w:w="100" w:type="dxa"/>
              <w:bottom w:w="100" w:type="dxa"/>
              <w:right w:w="100" w:type="dxa"/>
            </w:tcMar>
            <w:vAlign w:val="center"/>
          </w:tcPr>
          <w:p w14:paraId="246B38EF" w14:textId="77777777" w:rsidR="00C73758" w:rsidRPr="00C73758" w:rsidRDefault="00C73758" w:rsidP="00C73758">
            <w:pPr>
              <w:pBdr>
                <w:top w:val="nil"/>
                <w:left w:val="nil"/>
                <w:bottom w:val="nil"/>
                <w:right w:val="nil"/>
                <w:between w:val="nil"/>
              </w:pBdr>
              <w:spacing w:after="0" w:line="240" w:lineRule="auto"/>
              <w:ind w:left="-100" w:firstLine="33"/>
              <w:jc w:val="center"/>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18"/>
                <w:szCs w:val="18"/>
                <w:lang w:eastAsia="zh-CN"/>
              </w:rPr>
              <w:t>70a-b</w:t>
            </w:r>
          </w:p>
        </w:tc>
        <w:tc>
          <w:tcPr>
            <w:tcW w:w="1501" w:type="dxa"/>
            <w:vAlign w:val="center"/>
          </w:tcPr>
          <w:p w14:paraId="4073E045" w14:textId="77777777" w:rsidR="00C73758" w:rsidRPr="00C73758" w:rsidRDefault="00C73758" w:rsidP="00C73758">
            <w:pPr>
              <w:pBdr>
                <w:top w:val="nil"/>
                <w:left w:val="nil"/>
                <w:bottom w:val="nil"/>
                <w:right w:val="nil"/>
                <w:between w:val="nil"/>
              </w:pBdr>
              <w:spacing w:after="0" w:line="240" w:lineRule="auto"/>
              <w:ind w:left="210" w:right="20"/>
              <w:rPr>
                <w:rFonts w:ascii="Times New Roman" w:eastAsia="Times New Roman" w:hAnsi="Times New Roman" w:cs="Times New Roman"/>
                <w:sz w:val="20"/>
                <w:szCs w:val="20"/>
                <w:lang w:eastAsia="zh-CN"/>
              </w:rPr>
            </w:pPr>
            <w:r w:rsidRPr="00C73758">
              <w:rPr>
                <w:rFonts w:ascii="Times New Roman" w:eastAsia="Times New Roman" w:hAnsi="Times New Roman" w:cs="Times New Roman"/>
                <w:color w:val="000000"/>
                <w:sz w:val="20"/>
                <w:szCs w:val="20"/>
                <w:lang w:eastAsia="zh-CN"/>
              </w:rPr>
              <w:t>QCPR 61.c</w:t>
            </w:r>
          </w:p>
        </w:tc>
        <w:tc>
          <w:tcPr>
            <w:tcW w:w="5220" w:type="dxa"/>
            <w:tcMar>
              <w:top w:w="100" w:type="dxa"/>
              <w:left w:w="100" w:type="dxa"/>
              <w:bottom w:w="100" w:type="dxa"/>
              <w:right w:w="100" w:type="dxa"/>
            </w:tcMar>
            <w:vAlign w:val="center"/>
          </w:tcPr>
          <w:p w14:paraId="386FA0CA" w14:textId="77777777" w:rsidR="00C73758" w:rsidRPr="00C73758" w:rsidRDefault="00C73758" w:rsidP="00C73758">
            <w:pPr>
              <w:pBdr>
                <w:top w:val="nil"/>
                <w:left w:val="nil"/>
                <w:bottom w:val="nil"/>
                <w:right w:val="nil"/>
                <w:between w:val="nil"/>
              </w:pBdr>
              <w:spacing w:after="0" w:line="240" w:lineRule="auto"/>
              <w:ind w:left="210" w:right="20"/>
              <w:rPr>
                <w:rFonts w:ascii="Times New Roman" w:eastAsia="Times New Roman" w:hAnsi="Times New Roman" w:cs="Times New Roman"/>
                <w:sz w:val="20"/>
                <w:szCs w:val="20"/>
                <w:lang w:eastAsia="zh-CN"/>
              </w:rPr>
            </w:pPr>
            <w:r w:rsidRPr="00C73758">
              <w:rPr>
                <w:rFonts w:ascii="Times New Roman" w:eastAsia="Times New Roman" w:hAnsi="Times New Roman" w:cs="Times New Roman"/>
                <w:sz w:val="20"/>
                <w:szCs w:val="20"/>
                <w:lang w:eastAsia="zh-CN"/>
              </w:rPr>
              <w:t>Total contributions in cash paid to the UNDG RC system cost-sharing arrangement (and % shortfall)</w:t>
            </w:r>
          </w:p>
        </w:tc>
        <w:tc>
          <w:tcPr>
            <w:tcW w:w="3870" w:type="dxa"/>
            <w:gridSpan w:val="2"/>
            <w:vAlign w:val="center"/>
          </w:tcPr>
          <w:p w14:paraId="2D784A8A" w14:textId="77777777" w:rsidR="00C73758" w:rsidRPr="00C73758" w:rsidRDefault="00C73758" w:rsidP="00C73758">
            <w:pPr>
              <w:spacing w:after="0" w:line="240" w:lineRule="auto"/>
              <w:rPr>
                <w:rFonts w:ascii="Times New Roman" w:eastAsia="Times New Roman" w:hAnsi="Times New Roman" w:cs="Times New Roman"/>
                <w:sz w:val="20"/>
                <w:szCs w:val="20"/>
                <w:lang w:eastAsia="zh-CN"/>
              </w:rPr>
            </w:pPr>
            <w:r w:rsidRPr="00C73758">
              <w:rPr>
                <w:rFonts w:ascii="Times New Roman" w:eastAsia="Times New Roman" w:hAnsi="Times New Roman" w:cs="Times New Roman"/>
                <w:sz w:val="20"/>
                <w:szCs w:val="20"/>
                <w:lang w:eastAsia="zh-CN"/>
              </w:rPr>
              <w:t>In 2018, UNDP paid $5.15m for 2018 and $10.3m for 2019.</w:t>
            </w:r>
          </w:p>
        </w:tc>
        <w:tc>
          <w:tcPr>
            <w:tcW w:w="1890" w:type="dxa"/>
            <w:gridSpan w:val="2"/>
            <w:vAlign w:val="center"/>
          </w:tcPr>
          <w:p w14:paraId="7AD04BD9" w14:textId="77777777" w:rsidR="00C73758" w:rsidRPr="00C73758" w:rsidRDefault="00C73758" w:rsidP="00C73758">
            <w:pPr>
              <w:pBdr>
                <w:top w:val="nil"/>
                <w:left w:val="nil"/>
                <w:bottom w:val="nil"/>
                <w:right w:val="nil"/>
                <w:between w:val="nil"/>
              </w:pBdr>
              <w:spacing w:after="0" w:line="240" w:lineRule="auto"/>
              <w:ind w:left="-30" w:right="20"/>
              <w:jc w:val="center"/>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UNDP</w:t>
            </w:r>
          </w:p>
        </w:tc>
      </w:tr>
      <w:tr w:rsidR="00C73758" w:rsidRPr="00C73758" w14:paraId="2DC9DC23" w14:textId="77777777" w:rsidTr="00395075">
        <w:trPr>
          <w:trHeight w:val="215"/>
        </w:trPr>
        <w:tc>
          <w:tcPr>
            <w:tcW w:w="8319" w:type="dxa"/>
            <w:gridSpan w:val="4"/>
            <w:shd w:val="clear" w:color="auto" w:fill="CFE2F3"/>
            <w:vAlign w:val="center"/>
          </w:tcPr>
          <w:p w14:paraId="64E94E54" w14:textId="77777777" w:rsidR="00C73758" w:rsidRPr="00C73758" w:rsidRDefault="00C73758" w:rsidP="00C73758">
            <w:pPr>
              <w:pBdr>
                <w:top w:val="nil"/>
                <w:left w:val="nil"/>
                <w:bottom w:val="nil"/>
                <w:right w:val="nil"/>
                <w:between w:val="nil"/>
              </w:pBdr>
              <w:spacing w:after="0" w:line="240" w:lineRule="auto"/>
              <w:ind w:left="198" w:right="200"/>
              <w:rPr>
                <w:rFonts w:ascii="Times New Roman" w:eastAsia="Times New Roman" w:hAnsi="Times New Roman" w:cs="Times New Roman"/>
                <w:color w:val="000000"/>
                <w:sz w:val="20"/>
                <w:szCs w:val="20"/>
                <w:lang w:eastAsia="zh-CN"/>
              </w:rPr>
            </w:pPr>
            <w:r w:rsidRPr="00C73758">
              <w:rPr>
                <w:rFonts w:ascii="Times New Roman" w:eastAsia="Cambria" w:hAnsi="Times New Roman" w:cs="Times New Roman"/>
                <w:b/>
                <w:color w:val="000000"/>
                <w:sz w:val="20"/>
                <w:szCs w:val="20"/>
                <w:lang w:eastAsia="zh-CN"/>
              </w:rPr>
              <w:t>Harmonization and simplification of business practices</w:t>
            </w:r>
          </w:p>
        </w:tc>
        <w:tc>
          <w:tcPr>
            <w:tcW w:w="3870" w:type="dxa"/>
            <w:gridSpan w:val="2"/>
            <w:shd w:val="clear" w:color="auto" w:fill="CFE2F3"/>
            <w:vAlign w:val="center"/>
          </w:tcPr>
          <w:p w14:paraId="656EE3F3" w14:textId="77777777" w:rsidR="00C73758" w:rsidRPr="00C73758" w:rsidRDefault="00C73758" w:rsidP="00C73758">
            <w:pPr>
              <w:pBdr>
                <w:top w:val="nil"/>
                <w:left w:val="nil"/>
                <w:bottom w:val="nil"/>
                <w:right w:val="nil"/>
                <w:between w:val="nil"/>
              </w:pBdr>
              <w:spacing w:after="0" w:line="240" w:lineRule="auto"/>
              <w:ind w:left="198" w:right="200"/>
              <w:rPr>
                <w:rFonts w:ascii="Times New Roman" w:eastAsia="Cambria" w:hAnsi="Times New Roman" w:cs="Times New Roman"/>
                <w:b/>
                <w:color w:val="000000"/>
                <w:sz w:val="20"/>
                <w:szCs w:val="20"/>
                <w:lang w:eastAsia="zh-CN"/>
              </w:rPr>
            </w:pPr>
          </w:p>
        </w:tc>
        <w:tc>
          <w:tcPr>
            <w:tcW w:w="1890" w:type="dxa"/>
            <w:gridSpan w:val="2"/>
            <w:shd w:val="clear" w:color="auto" w:fill="CFE2F3"/>
            <w:vAlign w:val="center"/>
          </w:tcPr>
          <w:p w14:paraId="6A2BCFA5" w14:textId="77777777" w:rsidR="00C73758" w:rsidRPr="00C73758" w:rsidRDefault="00C73758" w:rsidP="00C73758">
            <w:pPr>
              <w:pBdr>
                <w:top w:val="nil"/>
                <w:left w:val="nil"/>
                <w:bottom w:val="nil"/>
                <w:right w:val="nil"/>
                <w:between w:val="nil"/>
              </w:pBdr>
              <w:spacing w:after="0" w:line="240" w:lineRule="auto"/>
              <w:ind w:left="198" w:right="200"/>
              <w:rPr>
                <w:rFonts w:ascii="Times New Roman" w:eastAsia="Cambria" w:hAnsi="Times New Roman" w:cs="Times New Roman"/>
                <w:b/>
                <w:color w:val="000000"/>
                <w:sz w:val="20"/>
                <w:szCs w:val="20"/>
                <w:lang w:eastAsia="zh-CN"/>
              </w:rPr>
            </w:pPr>
          </w:p>
        </w:tc>
      </w:tr>
      <w:tr w:rsidR="00C73758" w:rsidRPr="00C73758" w14:paraId="51F83C49" w14:textId="77777777" w:rsidTr="00395075">
        <w:trPr>
          <w:gridAfter w:val="1"/>
          <w:wAfter w:w="8" w:type="dxa"/>
          <w:trHeight w:val="170"/>
        </w:trPr>
        <w:tc>
          <w:tcPr>
            <w:tcW w:w="1590" w:type="dxa"/>
            <w:tcMar>
              <w:top w:w="100" w:type="dxa"/>
              <w:left w:w="100" w:type="dxa"/>
              <w:bottom w:w="100" w:type="dxa"/>
              <w:right w:w="100" w:type="dxa"/>
            </w:tcMar>
            <w:vAlign w:val="center"/>
          </w:tcPr>
          <w:p w14:paraId="340EF379" w14:textId="77777777" w:rsidR="00C73758" w:rsidRPr="00C73758" w:rsidRDefault="00C73758" w:rsidP="00C73758">
            <w:pPr>
              <w:pBdr>
                <w:top w:val="nil"/>
                <w:left w:val="nil"/>
                <w:bottom w:val="nil"/>
                <w:right w:val="nil"/>
                <w:between w:val="nil"/>
              </w:pBdr>
              <w:spacing w:after="0" w:line="240" w:lineRule="auto"/>
              <w:ind w:left="-100" w:right="24" w:firstLine="100"/>
              <w:jc w:val="center"/>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18"/>
                <w:szCs w:val="18"/>
                <w:lang w:eastAsia="zh-CN"/>
              </w:rPr>
              <w:t>143</w:t>
            </w:r>
          </w:p>
        </w:tc>
        <w:tc>
          <w:tcPr>
            <w:tcW w:w="1501" w:type="dxa"/>
            <w:vAlign w:val="center"/>
          </w:tcPr>
          <w:p w14:paraId="3C9F2ABF" w14:textId="77777777" w:rsidR="00C73758" w:rsidRPr="00C73758" w:rsidRDefault="00C73758" w:rsidP="00C73758">
            <w:pPr>
              <w:pBdr>
                <w:top w:val="nil"/>
                <w:left w:val="nil"/>
                <w:bottom w:val="nil"/>
                <w:right w:val="nil"/>
                <w:between w:val="nil"/>
              </w:pBdr>
              <w:spacing w:after="0" w:line="240" w:lineRule="auto"/>
              <w:ind w:left="210" w:right="20"/>
              <w:jc w:val="center"/>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QCPR 74</w:t>
            </w:r>
          </w:p>
        </w:tc>
        <w:tc>
          <w:tcPr>
            <w:tcW w:w="5220" w:type="dxa"/>
            <w:tcMar>
              <w:top w:w="100" w:type="dxa"/>
              <w:left w:w="100" w:type="dxa"/>
              <w:bottom w:w="100" w:type="dxa"/>
              <w:right w:w="100" w:type="dxa"/>
            </w:tcMar>
            <w:vAlign w:val="center"/>
          </w:tcPr>
          <w:p w14:paraId="4137A74C" w14:textId="77777777" w:rsidR="00C73758" w:rsidRPr="00C73758" w:rsidRDefault="00C73758" w:rsidP="00C73758">
            <w:pPr>
              <w:pBdr>
                <w:top w:val="nil"/>
                <w:left w:val="nil"/>
                <w:bottom w:val="nil"/>
                <w:right w:val="nil"/>
                <w:between w:val="nil"/>
              </w:pBdr>
              <w:spacing w:after="0" w:line="240" w:lineRule="auto"/>
              <w:ind w:left="210" w:right="20"/>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 of UNCTs that have:</w:t>
            </w:r>
          </w:p>
          <w:p w14:paraId="0F19D425" w14:textId="77777777" w:rsidR="00C73758" w:rsidRPr="00C73758" w:rsidRDefault="00C73758" w:rsidP="00C73758">
            <w:pPr>
              <w:pBdr>
                <w:top w:val="nil"/>
                <w:left w:val="nil"/>
                <w:bottom w:val="nil"/>
                <w:right w:val="nil"/>
                <w:between w:val="nil"/>
              </w:pBdr>
              <w:spacing w:after="0" w:line="240" w:lineRule="auto"/>
              <w:ind w:left="960" w:right="20" w:hanging="80"/>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(i)  a Country Communications Group (chaired by a Head of Agency);</w:t>
            </w:r>
          </w:p>
          <w:p w14:paraId="6CEC587E" w14:textId="77777777" w:rsidR="00C73758" w:rsidRPr="00C73758" w:rsidRDefault="00C73758" w:rsidP="00C73758">
            <w:pPr>
              <w:pBdr>
                <w:top w:val="nil"/>
                <w:left w:val="nil"/>
                <w:bottom w:val="nil"/>
                <w:right w:val="nil"/>
                <w:between w:val="nil"/>
              </w:pBdr>
              <w:spacing w:after="0" w:line="240" w:lineRule="auto"/>
              <w:ind w:left="960" w:right="20" w:hanging="80"/>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(ii)  a joint communication strategy approved by the UNCT and monitored and reported against in the United Nations Country Results Report;</w:t>
            </w:r>
          </w:p>
          <w:p w14:paraId="420BDDCC" w14:textId="77777777" w:rsidR="00C73758" w:rsidRPr="00C73758" w:rsidRDefault="00C73758" w:rsidP="00C73758">
            <w:pPr>
              <w:pBdr>
                <w:top w:val="nil"/>
                <w:left w:val="nil"/>
                <w:bottom w:val="nil"/>
                <w:right w:val="nil"/>
                <w:between w:val="nil"/>
              </w:pBdr>
              <w:spacing w:after="0" w:line="240" w:lineRule="auto"/>
              <w:ind w:left="960" w:right="20" w:hanging="80"/>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color w:val="000000"/>
                <w:sz w:val="20"/>
                <w:szCs w:val="20"/>
                <w:lang w:eastAsia="zh-CN"/>
              </w:rPr>
              <w:t>(iii) operations costs and budgets integrated in the overall medium-term CBF</w:t>
            </w:r>
          </w:p>
        </w:tc>
        <w:tc>
          <w:tcPr>
            <w:tcW w:w="3870" w:type="dxa"/>
            <w:gridSpan w:val="2"/>
            <w:vAlign w:val="center"/>
          </w:tcPr>
          <w:p w14:paraId="5C48B70C" w14:textId="77777777" w:rsidR="00C73758" w:rsidRPr="00C73758" w:rsidRDefault="00C73758" w:rsidP="00C73758">
            <w:pPr>
              <w:numPr>
                <w:ilvl w:val="0"/>
                <w:numId w:val="29"/>
              </w:numPr>
              <w:pBdr>
                <w:top w:val="nil"/>
                <w:left w:val="nil"/>
                <w:bottom w:val="nil"/>
                <w:right w:val="nil"/>
                <w:between w:val="nil"/>
              </w:pBdr>
              <w:tabs>
                <w:tab w:val="left" w:pos="787"/>
              </w:tabs>
              <w:spacing w:after="0" w:line="240" w:lineRule="auto"/>
              <w:ind w:left="245" w:right="20" w:firstLine="270"/>
              <w:contextualSpacing/>
              <w:jc w:val="both"/>
              <w:rPr>
                <w:rFonts w:ascii="Times New Roman" w:eastAsia="Times New Roman" w:hAnsi="Times New Roman" w:cs="Times New Roman"/>
                <w:sz w:val="20"/>
                <w:szCs w:val="20"/>
                <w:lang w:eastAsia="zh-CN"/>
              </w:rPr>
            </w:pPr>
            <w:r w:rsidRPr="00C73758">
              <w:rPr>
                <w:rFonts w:ascii="Times New Roman" w:eastAsia="Times New Roman" w:hAnsi="Times New Roman" w:cs="Times New Roman"/>
                <w:sz w:val="20"/>
                <w:szCs w:val="20"/>
                <w:lang w:eastAsia="zh-CN"/>
              </w:rPr>
              <w:t xml:space="preserve"> 105 of 130 countries (80.8%)</w:t>
            </w:r>
          </w:p>
          <w:p w14:paraId="6CA31C53" w14:textId="77777777" w:rsidR="00C73758" w:rsidRPr="00C73758" w:rsidRDefault="00C73758" w:rsidP="00C73758">
            <w:pPr>
              <w:numPr>
                <w:ilvl w:val="0"/>
                <w:numId w:val="29"/>
              </w:numPr>
              <w:pBdr>
                <w:top w:val="nil"/>
                <w:left w:val="nil"/>
                <w:bottom w:val="nil"/>
                <w:right w:val="nil"/>
                <w:between w:val="nil"/>
              </w:pBdr>
              <w:tabs>
                <w:tab w:val="left" w:pos="787"/>
              </w:tabs>
              <w:spacing w:after="0" w:line="240" w:lineRule="auto"/>
              <w:ind w:left="245" w:right="20" w:firstLine="270"/>
              <w:contextualSpacing/>
              <w:jc w:val="both"/>
              <w:rPr>
                <w:rFonts w:ascii="Times New Roman" w:eastAsia="Times New Roman" w:hAnsi="Times New Roman" w:cs="Times New Roman"/>
                <w:sz w:val="20"/>
                <w:szCs w:val="20"/>
                <w:lang w:eastAsia="zh-CN"/>
              </w:rPr>
            </w:pPr>
            <w:r w:rsidRPr="00C73758">
              <w:rPr>
                <w:rFonts w:ascii="Times New Roman" w:eastAsia="Times New Roman" w:hAnsi="Times New Roman" w:cs="Times New Roman"/>
                <w:sz w:val="20"/>
                <w:szCs w:val="20"/>
                <w:lang w:eastAsia="zh-CN"/>
              </w:rPr>
              <w:t xml:space="preserve">  89 of 130 countries (68.5%)</w:t>
            </w:r>
          </w:p>
          <w:p w14:paraId="48829B9B" w14:textId="77777777" w:rsidR="00C73758" w:rsidRPr="00C73758" w:rsidRDefault="00C73758" w:rsidP="00C73758">
            <w:pPr>
              <w:numPr>
                <w:ilvl w:val="0"/>
                <w:numId w:val="29"/>
              </w:numPr>
              <w:pBdr>
                <w:top w:val="nil"/>
                <w:left w:val="nil"/>
                <w:bottom w:val="nil"/>
                <w:right w:val="nil"/>
                <w:between w:val="nil"/>
              </w:pBdr>
              <w:tabs>
                <w:tab w:val="left" w:pos="695"/>
                <w:tab w:val="left" w:pos="875"/>
              </w:tabs>
              <w:spacing w:after="0" w:line="240" w:lineRule="auto"/>
              <w:ind w:left="245" w:right="20" w:firstLine="270"/>
              <w:contextualSpacing/>
              <w:jc w:val="both"/>
              <w:rPr>
                <w:rFonts w:ascii="Times New Roman" w:eastAsia="Times New Roman" w:hAnsi="Times New Roman" w:cs="Times New Roman"/>
                <w:sz w:val="20"/>
                <w:szCs w:val="20"/>
                <w:lang w:eastAsia="zh-CN"/>
              </w:rPr>
            </w:pPr>
            <w:r w:rsidRPr="00C73758">
              <w:rPr>
                <w:rFonts w:ascii="Times New Roman" w:eastAsia="Times New Roman" w:hAnsi="Times New Roman" w:cs="Times New Roman"/>
                <w:sz w:val="20"/>
                <w:szCs w:val="20"/>
                <w:lang w:eastAsia="zh-CN"/>
              </w:rPr>
              <w:t xml:space="preserve">31 of 130 countries (23.8%) </w:t>
            </w:r>
          </w:p>
        </w:tc>
        <w:tc>
          <w:tcPr>
            <w:tcW w:w="1890" w:type="dxa"/>
            <w:gridSpan w:val="2"/>
            <w:vAlign w:val="center"/>
          </w:tcPr>
          <w:p w14:paraId="55986219" w14:textId="77777777" w:rsidR="00C73758" w:rsidRPr="00C73758" w:rsidRDefault="00C73758" w:rsidP="00C73758">
            <w:pPr>
              <w:pBdr>
                <w:top w:val="nil"/>
                <w:left w:val="nil"/>
                <w:bottom w:val="nil"/>
                <w:right w:val="nil"/>
                <w:between w:val="nil"/>
              </w:pBdr>
              <w:spacing w:after="0" w:line="240" w:lineRule="auto"/>
              <w:ind w:right="20"/>
              <w:jc w:val="center"/>
              <w:rPr>
                <w:rFonts w:ascii="Times New Roman" w:eastAsia="Times New Roman" w:hAnsi="Times New Roman" w:cs="Times New Roman"/>
                <w:color w:val="000000"/>
                <w:sz w:val="20"/>
                <w:szCs w:val="20"/>
                <w:lang w:eastAsia="zh-CN"/>
              </w:rPr>
            </w:pPr>
            <w:r w:rsidRPr="00C73758">
              <w:rPr>
                <w:rFonts w:ascii="Times New Roman" w:eastAsia="Times New Roman" w:hAnsi="Times New Roman" w:cs="Times New Roman"/>
                <w:sz w:val="20"/>
                <w:szCs w:val="20"/>
                <w:lang w:eastAsia="zh-CN"/>
              </w:rPr>
              <w:t>DCO IMS 2018</w:t>
            </w:r>
          </w:p>
        </w:tc>
      </w:tr>
    </w:tbl>
    <w:p w14:paraId="53AA2C6B" w14:textId="77777777" w:rsidR="00C73758" w:rsidRPr="00AE79A1" w:rsidRDefault="00C73758"/>
    <w:sectPr w:rsidR="00C73758" w:rsidRPr="00AE79A1" w:rsidSect="00C06948">
      <w:footerReference w:type="defaul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FFCDA" w14:textId="77777777" w:rsidR="009651D4" w:rsidRDefault="009651D4" w:rsidP="00B4648F">
      <w:pPr>
        <w:spacing w:after="0" w:line="240" w:lineRule="auto"/>
      </w:pPr>
      <w:r>
        <w:separator/>
      </w:r>
    </w:p>
  </w:endnote>
  <w:endnote w:type="continuationSeparator" w:id="0">
    <w:p w14:paraId="7E616979" w14:textId="77777777" w:rsidR="009651D4" w:rsidRDefault="009651D4" w:rsidP="00B46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571852"/>
      <w:docPartObj>
        <w:docPartGallery w:val="Page Numbers (Bottom of Page)"/>
        <w:docPartUnique/>
      </w:docPartObj>
    </w:sdtPr>
    <w:sdtEndPr>
      <w:rPr>
        <w:noProof/>
      </w:rPr>
    </w:sdtEndPr>
    <w:sdtContent>
      <w:p w14:paraId="3E12B331" w14:textId="77777777" w:rsidR="00C5643B" w:rsidRDefault="00C5643B">
        <w:pPr>
          <w:pStyle w:val="Footer"/>
          <w:jc w:val="center"/>
        </w:pPr>
        <w:r>
          <w:fldChar w:fldCharType="begin"/>
        </w:r>
        <w:r>
          <w:instrText xml:space="preserve"> PAGE   \* MERGEFORMAT </w:instrText>
        </w:r>
        <w:r>
          <w:fldChar w:fldCharType="separate"/>
        </w:r>
        <w:r w:rsidR="00BC5659">
          <w:rPr>
            <w:noProof/>
          </w:rPr>
          <w:t>10</w:t>
        </w:r>
        <w:r>
          <w:rPr>
            <w:noProof/>
          </w:rPr>
          <w:fldChar w:fldCharType="end"/>
        </w:r>
      </w:p>
    </w:sdtContent>
  </w:sdt>
  <w:p w14:paraId="6E7121C9" w14:textId="77777777" w:rsidR="00C5643B" w:rsidRDefault="00C56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4BF47" w14:textId="77777777" w:rsidR="009651D4" w:rsidRDefault="009651D4" w:rsidP="00B4648F">
      <w:pPr>
        <w:spacing w:after="0" w:line="240" w:lineRule="auto"/>
      </w:pPr>
      <w:r>
        <w:separator/>
      </w:r>
    </w:p>
  </w:footnote>
  <w:footnote w:type="continuationSeparator" w:id="0">
    <w:p w14:paraId="0ACC67DD" w14:textId="77777777" w:rsidR="009651D4" w:rsidRDefault="009651D4" w:rsidP="00B4648F">
      <w:pPr>
        <w:spacing w:after="0" w:line="240" w:lineRule="auto"/>
      </w:pPr>
      <w:r>
        <w:continuationSeparator/>
      </w:r>
    </w:p>
  </w:footnote>
  <w:footnote w:id="1">
    <w:p w14:paraId="187BFE7F" w14:textId="77777777" w:rsidR="00C73758" w:rsidRPr="00C73758" w:rsidRDefault="00C73758" w:rsidP="00C73758">
      <w:pPr>
        <w:pStyle w:val="FootnoteText"/>
        <w:rPr>
          <w:rFonts w:ascii="Times New Roman" w:hAnsi="Times New Roman" w:cs="Times New Roman"/>
          <w:sz w:val="17"/>
          <w:szCs w:val="17"/>
        </w:rPr>
      </w:pPr>
      <w:r w:rsidRPr="00C73758">
        <w:rPr>
          <w:rStyle w:val="FootnoteReference"/>
          <w:rFonts w:ascii="Times New Roman" w:hAnsi="Times New Roman" w:cs="Times New Roman"/>
          <w:sz w:val="17"/>
          <w:szCs w:val="17"/>
        </w:rPr>
        <w:footnoteRef/>
      </w:r>
      <w:r w:rsidRPr="00C73758">
        <w:rPr>
          <w:rFonts w:ascii="Times New Roman" w:hAnsi="Times New Roman" w:cs="Times New Roman"/>
          <w:sz w:val="17"/>
          <w:szCs w:val="17"/>
        </w:rPr>
        <w:t xml:space="preserve"> As per the QCPR monitoring and reporting framework of 30 November 2018 in which QCPR indicator 18.b cited in the Common Chapter Annex is no longer included.</w:t>
      </w:r>
    </w:p>
  </w:footnote>
  <w:footnote w:id="2">
    <w:p w14:paraId="67DF14CB" w14:textId="77777777" w:rsidR="00C73758" w:rsidRPr="00C73758" w:rsidRDefault="00C73758" w:rsidP="00C73758">
      <w:pPr>
        <w:spacing w:after="0" w:line="240" w:lineRule="auto"/>
        <w:ind w:right="821"/>
        <w:rPr>
          <w:rFonts w:ascii="Times New Roman" w:hAnsi="Times New Roman" w:cs="Times New Roman"/>
          <w:sz w:val="17"/>
          <w:szCs w:val="17"/>
        </w:rPr>
      </w:pPr>
      <w:r w:rsidRPr="00C73758">
        <w:rPr>
          <w:rStyle w:val="FootnoteReference"/>
          <w:rFonts w:ascii="Times New Roman" w:hAnsi="Times New Roman" w:cs="Times New Roman"/>
          <w:sz w:val="17"/>
          <w:szCs w:val="17"/>
        </w:rPr>
        <w:footnoteRef/>
      </w:r>
      <w:r w:rsidRPr="00C73758">
        <w:rPr>
          <w:rFonts w:ascii="Times New Roman" w:hAnsi="Times New Roman" w:cs="Times New Roman"/>
          <w:sz w:val="17"/>
          <w:szCs w:val="17"/>
        </w:rPr>
        <w:t xml:space="preserve"> The four agencies (UNDP, UNICEF, UNFPA and UN-Women) agreed to use the Development Coordination Office’s Information Management System (DCO IMS) for indicators concerning the UN Development System country level results (130 UN Country Teams) </w:t>
      </w:r>
      <w:r w:rsidRPr="00C73758">
        <w:rPr>
          <w:rFonts w:ascii="Times New Roman" w:hAnsi="Times New Roman" w:cs="Times New Roman"/>
          <w:color w:val="1F497D"/>
          <w:sz w:val="17"/>
          <w:szCs w:val="17"/>
        </w:rPr>
        <w:t>(</w:t>
      </w:r>
      <w:hyperlink r:id="rId1" w:history="1">
        <w:r w:rsidRPr="00C73758">
          <w:rPr>
            <w:rStyle w:val="Hyperlink"/>
            <w:rFonts w:ascii="Times New Roman" w:hAnsi="Times New Roman" w:cs="Times New Roman"/>
            <w:sz w:val="17"/>
            <w:szCs w:val="17"/>
          </w:rPr>
          <w:t>https://ims.undg.org/</w:t>
        </w:r>
      </w:hyperlink>
      <w:r w:rsidRPr="00C73758">
        <w:rPr>
          <w:rFonts w:ascii="Times New Roman" w:hAnsi="Times New Roman" w:cs="Times New Roman"/>
          <w:sz w:val="17"/>
          <w:szCs w:val="17"/>
        </w:rPr>
        <w:t>)</w:t>
      </w:r>
      <w:r w:rsidRPr="00C73758">
        <w:rPr>
          <w:rFonts w:ascii="Times New Roman" w:hAnsi="Times New Roman" w:cs="Times New Roman"/>
          <w:color w:val="1F497D"/>
          <w:sz w:val="17"/>
          <w:szCs w:val="17"/>
        </w:rPr>
        <w:t xml:space="preserve">.  </w:t>
      </w:r>
      <w:r w:rsidRPr="00C73758">
        <w:rPr>
          <w:rFonts w:ascii="Times New Roman" w:hAnsi="Times New Roman" w:cs="Times New Roman"/>
          <w:sz w:val="17"/>
          <w:szCs w:val="17"/>
        </w:rPr>
        <w:t>All data collected through this system is based on a self-assessment by the UN Country Teams and reported through the Office of the Resident Coordinator.</w:t>
      </w:r>
    </w:p>
  </w:footnote>
  <w:footnote w:id="3">
    <w:p w14:paraId="742D9499" w14:textId="77777777" w:rsidR="00C73758" w:rsidRDefault="00C73758" w:rsidP="00C73758">
      <w:pPr>
        <w:pStyle w:val="FootnoteText"/>
      </w:pPr>
      <w:r w:rsidRPr="00C73758">
        <w:rPr>
          <w:rStyle w:val="FootnoteReference"/>
          <w:rFonts w:ascii="Times New Roman" w:hAnsi="Times New Roman" w:cs="Times New Roman"/>
          <w:sz w:val="17"/>
          <w:szCs w:val="17"/>
        </w:rPr>
        <w:footnoteRef/>
      </w:r>
      <w:r w:rsidRPr="00C73758">
        <w:rPr>
          <w:rFonts w:ascii="Times New Roman" w:hAnsi="Times New Roman" w:cs="Times New Roman"/>
          <w:sz w:val="17"/>
          <w:szCs w:val="17"/>
        </w:rPr>
        <w:t xml:space="preserve"> All UNDP contribution figures for 2018 seen here are preliminary as of 1st April 2019 and subject to change.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6249"/>
    <w:multiLevelType w:val="hybridMultilevel"/>
    <w:tmpl w:val="1C240C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7DA55FD"/>
    <w:multiLevelType w:val="hybridMultilevel"/>
    <w:tmpl w:val="00426320"/>
    <w:lvl w:ilvl="0" w:tplc="08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5901B1"/>
    <w:multiLevelType w:val="hybridMultilevel"/>
    <w:tmpl w:val="03229392"/>
    <w:lvl w:ilvl="0" w:tplc="A92A6382">
      <w:start w:val="1"/>
      <w:numFmt w:val="upperRoman"/>
      <w:lvlText w:val="%1."/>
      <w:lvlJc w:val="left"/>
      <w:pPr>
        <w:ind w:left="108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91914"/>
    <w:multiLevelType w:val="hybridMultilevel"/>
    <w:tmpl w:val="1042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25835"/>
    <w:multiLevelType w:val="hybridMultilevel"/>
    <w:tmpl w:val="164494C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91D32C0"/>
    <w:multiLevelType w:val="hybridMultilevel"/>
    <w:tmpl w:val="F0E88454"/>
    <w:lvl w:ilvl="0" w:tplc="0FA238F4">
      <w:start w:val="1"/>
      <w:numFmt w:val="low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B6239"/>
    <w:multiLevelType w:val="hybridMultilevel"/>
    <w:tmpl w:val="1D6AB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363553"/>
    <w:multiLevelType w:val="hybridMultilevel"/>
    <w:tmpl w:val="A7B8D99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0AC200F"/>
    <w:multiLevelType w:val="hybridMultilevel"/>
    <w:tmpl w:val="6E285FAA"/>
    <w:lvl w:ilvl="0" w:tplc="8E2CBA94">
      <w:start w:val="1"/>
      <w:numFmt w:val="lowerRoman"/>
      <w:lvlText w:val="(%1)"/>
      <w:lvlJc w:val="left"/>
      <w:pPr>
        <w:ind w:left="50" w:hanging="720"/>
      </w:pPr>
      <w:rPr>
        <w:rFonts w:ascii="Times New Roman" w:eastAsia="Times New Roman" w:hAnsi="Times New Roman" w:cs="Times New Roman"/>
      </w:rPr>
    </w:lvl>
    <w:lvl w:ilvl="1" w:tplc="04090019" w:tentative="1">
      <w:start w:val="1"/>
      <w:numFmt w:val="lowerLetter"/>
      <w:lvlText w:val="%2."/>
      <w:lvlJc w:val="left"/>
      <w:pPr>
        <w:ind w:left="410" w:hanging="360"/>
      </w:pPr>
    </w:lvl>
    <w:lvl w:ilvl="2" w:tplc="0409001B" w:tentative="1">
      <w:start w:val="1"/>
      <w:numFmt w:val="lowerRoman"/>
      <w:lvlText w:val="%3."/>
      <w:lvlJc w:val="right"/>
      <w:pPr>
        <w:ind w:left="1130" w:hanging="180"/>
      </w:pPr>
    </w:lvl>
    <w:lvl w:ilvl="3" w:tplc="0409000F" w:tentative="1">
      <w:start w:val="1"/>
      <w:numFmt w:val="decimal"/>
      <w:lvlText w:val="%4."/>
      <w:lvlJc w:val="left"/>
      <w:pPr>
        <w:ind w:left="1850" w:hanging="360"/>
      </w:pPr>
    </w:lvl>
    <w:lvl w:ilvl="4" w:tplc="04090019" w:tentative="1">
      <w:start w:val="1"/>
      <w:numFmt w:val="lowerLetter"/>
      <w:lvlText w:val="%5."/>
      <w:lvlJc w:val="left"/>
      <w:pPr>
        <w:ind w:left="2570" w:hanging="360"/>
      </w:pPr>
    </w:lvl>
    <w:lvl w:ilvl="5" w:tplc="0409001B" w:tentative="1">
      <w:start w:val="1"/>
      <w:numFmt w:val="lowerRoman"/>
      <w:lvlText w:val="%6."/>
      <w:lvlJc w:val="right"/>
      <w:pPr>
        <w:ind w:left="3290" w:hanging="180"/>
      </w:pPr>
    </w:lvl>
    <w:lvl w:ilvl="6" w:tplc="0409000F" w:tentative="1">
      <w:start w:val="1"/>
      <w:numFmt w:val="decimal"/>
      <w:lvlText w:val="%7."/>
      <w:lvlJc w:val="left"/>
      <w:pPr>
        <w:ind w:left="4010" w:hanging="360"/>
      </w:pPr>
    </w:lvl>
    <w:lvl w:ilvl="7" w:tplc="04090019" w:tentative="1">
      <w:start w:val="1"/>
      <w:numFmt w:val="lowerLetter"/>
      <w:lvlText w:val="%8."/>
      <w:lvlJc w:val="left"/>
      <w:pPr>
        <w:ind w:left="4730" w:hanging="360"/>
      </w:pPr>
    </w:lvl>
    <w:lvl w:ilvl="8" w:tplc="0409001B" w:tentative="1">
      <w:start w:val="1"/>
      <w:numFmt w:val="lowerRoman"/>
      <w:lvlText w:val="%9."/>
      <w:lvlJc w:val="right"/>
      <w:pPr>
        <w:ind w:left="5450" w:hanging="180"/>
      </w:pPr>
    </w:lvl>
  </w:abstractNum>
  <w:abstractNum w:abstractNumId="9" w15:restartNumberingAfterBreak="0">
    <w:nsid w:val="21A73FF5"/>
    <w:multiLevelType w:val="hybridMultilevel"/>
    <w:tmpl w:val="ACFCAF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6927D2"/>
    <w:multiLevelType w:val="hybridMultilevel"/>
    <w:tmpl w:val="D4042FEE"/>
    <w:lvl w:ilvl="0" w:tplc="09984E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9D3EC2"/>
    <w:multiLevelType w:val="hybridMultilevel"/>
    <w:tmpl w:val="D4A0A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ED4A2C"/>
    <w:multiLevelType w:val="hybridMultilevel"/>
    <w:tmpl w:val="C71035E4"/>
    <w:lvl w:ilvl="0" w:tplc="FC142AB6">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D319C"/>
    <w:multiLevelType w:val="hybridMultilevel"/>
    <w:tmpl w:val="F4644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C660CB"/>
    <w:multiLevelType w:val="hybridMultilevel"/>
    <w:tmpl w:val="4D08AA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542FFF"/>
    <w:multiLevelType w:val="hybridMultilevel"/>
    <w:tmpl w:val="FCF83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F151A5"/>
    <w:multiLevelType w:val="hybridMultilevel"/>
    <w:tmpl w:val="67989600"/>
    <w:lvl w:ilvl="0" w:tplc="2794D1A4">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7D97A1B"/>
    <w:multiLevelType w:val="hybridMultilevel"/>
    <w:tmpl w:val="3BD26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F83AAC"/>
    <w:multiLevelType w:val="hybridMultilevel"/>
    <w:tmpl w:val="956E160C"/>
    <w:lvl w:ilvl="0" w:tplc="2984003E">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2430" w:hanging="360"/>
      </w:pPr>
      <w:rPr>
        <w:rFonts w:ascii="Symbol" w:hAnsi="Symbol" w:hint="default"/>
      </w:rPr>
    </w:lvl>
    <w:lvl w:ilvl="4" w:tplc="04090003">
      <w:start w:val="1"/>
      <w:numFmt w:val="bullet"/>
      <w:lvlText w:val="o"/>
      <w:lvlJc w:val="left"/>
      <w:pPr>
        <w:ind w:left="3150" w:hanging="360"/>
      </w:pPr>
      <w:rPr>
        <w:rFonts w:ascii="Courier New" w:hAnsi="Courier New" w:cs="Courier New" w:hint="default"/>
      </w:rPr>
    </w:lvl>
    <w:lvl w:ilvl="5" w:tplc="04090005">
      <w:start w:val="1"/>
      <w:numFmt w:val="bullet"/>
      <w:lvlText w:val=""/>
      <w:lvlJc w:val="left"/>
      <w:pPr>
        <w:ind w:left="3870" w:hanging="360"/>
      </w:pPr>
      <w:rPr>
        <w:rFonts w:ascii="Wingdings" w:hAnsi="Wingdings" w:hint="default"/>
      </w:rPr>
    </w:lvl>
    <w:lvl w:ilvl="6" w:tplc="04090001">
      <w:start w:val="1"/>
      <w:numFmt w:val="bullet"/>
      <w:lvlText w:val=""/>
      <w:lvlJc w:val="left"/>
      <w:pPr>
        <w:ind w:left="4590" w:hanging="360"/>
      </w:pPr>
      <w:rPr>
        <w:rFonts w:ascii="Symbol" w:hAnsi="Symbol" w:hint="default"/>
      </w:rPr>
    </w:lvl>
    <w:lvl w:ilvl="7" w:tplc="04090003">
      <w:start w:val="1"/>
      <w:numFmt w:val="bullet"/>
      <w:lvlText w:val="o"/>
      <w:lvlJc w:val="left"/>
      <w:pPr>
        <w:ind w:left="5310" w:hanging="360"/>
      </w:pPr>
      <w:rPr>
        <w:rFonts w:ascii="Courier New" w:hAnsi="Courier New" w:cs="Courier New" w:hint="default"/>
      </w:rPr>
    </w:lvl>
    <w:lvl w:ilvl="8" w:tplc="04090005">
      <w:start w:val="1"/>
      <w:numFmt w:val="bullet"/>
      <w:lvlText w:val=""/>
      <w:lvlJc w:val="left"/>
      <w:pPr>
        <w:ind w:left="6030" w:hanging="360"/>
      </w:pPr>
      <w:rPr>
        <w:rFonts w:ascii="Wingdings" w:hAnsi="Wingdings" w:hint="default"/>
      </w:rPr>
    </w:lvl>
  </w:abstractNum>
  <w:abstractNum w:abstractNumId="19" w15:restartNumberingAfterBreak="0">
    <w:nsid w:val="5CE7506A"/>
    <w:multiLevelType w:val="hybridMultilevel"/>
    <w:tmpl w:val="CCC07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0073BE"/>
    <w:multiLevelType w:val="hybridMultilevel"/>
    <w:tmpl w:val="611E5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647D6F"/>
    <w:multiLevelType w:val="hybridMultilevel"/>
    <w:tmpl w:val="35765710"/>
    <w:lvl w:ilvl="0" w:tplc="ABC674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371289"/>
    <w:multiLevelType w:val="hybridMultilevel"/>
    <w:tmpl w:val="5FE0AD7C"/>
    <w:lvl w:ilvl="0" w:tplc="1A0EE18A">
      <w:start w:val="1"/>
      <w:numFmt w:val="lowerRoman"/>
      <w:lvlText w:val="(%1)"/>
      <w:lvlJc w:val="left"/>
      <w:pPr>
        <w:ind w:left="1620" w:hanging="72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6B834741"/>
    <w:multiLevelType w:val="hybridMultilevel"/>
    <w:tmpl w:val="354CF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9545A3"/>
    <w:multiLevelType w:val="hybridMultilevel"/>
    <w:tmpl w:val="86749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770E58"/>
    <w:multiLevelType w:val="hybridMultilevel"/>
    <w:tmpl w:val="8C38EBDE"/>
    <w:lvl w:ilvl="0" w:tplc="9A28926A">
      <w:numFmt w:val="bullet"/>
      <w:lvlText w:val="-"/>
      <w:lvlJc w:val="left"/>
      <w:pPr>
        <w:ind w:left="570" w:hanging="360"/>
      </w:pPr>
      <w:rPr>
        <w:rFonts w:ascii="Times New Roman" w:eastAsia="Times New Roman" w:hAnsi="Times New Roman"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26" w15:restartNumberingAfterBreak="0">
    <w:nsid w:val="72F74B8A"/>
    <w:multiLevelType w:val="hybridMultilevel"/>
    <w:tmpl w:val="7108BD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76B37BFA"/>
    <w:multiLevelType w:val="hybridMultilevel"/>
    <w:tmpl w:val="13A02E68"/>
    <w:lvl w:ilvl="0" w:tplc="08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B4C5858"/>
    <w:multiLevelType w:val="hybridMultilevel"/>
    <w:tmpl w:val="DD84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4C518C"/>
    <w:multiLevelType w:val="hybridMultilevel"/>
    <w:tmpl w:val="C486F77A"/>
    <w:lvl w:ilvl="0" w:tplc="CA769950">
      <w:start w:val="1"/>
      <w:numFmt w:val="low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05049A"/>
    <w:multiLevelType w:val="hybridMultilevel"/>
    <w:tmpl w:val="90B63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4311A6"/>
    <w:multiLevelType w:val="hybridMultilevel"/>
    <w:tmpl w:val="9AF67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2"/>
  </w:num>
  <w:num w:numId="3">
    <w:abstractNumId w:val="11"/>
  </w:num>
  <w:num w:numId="4">
    <w:abstractNumId w:val="6"/>
  </w:num>
  <w:num w:numId="5">
    <w:abstractNumId w:val="23"/>
  </w:num>
  <w:num w:numId="6">
    <w:abstractNumId w:val="19"/>
  </w:num>
  <w:num w:numId="7">
    <w:abstractNumId w:val="14"/>
  </w:num>
  <w:num w:numId="8">
    <w:abstractNumId w:val="9"/>
  </w:num>
  <w:num w:numId="9">
    <w:abstractNumId w:val="15"/>
  </w:num>
  <w:num w:numId="10">
    <w:abstractNumId w:val="2"/>
  </w:num>
  <w:num w:numId="11">
    <w:abstractNumId w:val="30"/>
  </w:num>
  <w:num w:numId="12">
    <w:abstractNumId w:val="17"/>
  </w:num>
  <w:num w:numId="13">
    <w:abstractNumId w:val="3"/>
  </w:num>
  <w:num w:numId="14">
    <w:abstractNumId w:val="0"/>
  </w:num>
  <w:num w:numId="15">
    <w:abstractNumId w:val="6"/>
  </w:num>
  <w:num w:numId="16">
    <w:abstractNumId w:val="18"/>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4"/>
  </w:num>
  <w:num w:numId="20">
    <w:abstractNumId w:val="26"/>
  </w:num>
  <w:num w:numId="21">
    <w:abstractNumId w:val="7"/>
  </w:num>
  <w:num w:numId="22">
    <w:abstractNumId w:val="31"/>
  </w:num>
  <w:num w:numId="23">
    <w:abstractNumId w:val="27"/>
  </w:num>
  <w:num w:numId="24">
    <w:abstractNumId w:val="1"/>
  </w:num>
  <w:num w:numId="25">
    <w:abstractNumId w:val="4"/>
  </w:num>
  <w:num w:numId="26">
    <w:abstractNumId w:val="28"/>
  </w:num>
  <w:num w:numId="27">
    <w:abstractNumId w:val="24"/>
  </w:num>
  <w:num w:numId="28">
    <w:abstractNumId w:val="25"/>
  </w:num>
  <w:num w:numId="29">
    <w:abstractNumId w:val="22"/>
  </w:num>
  <w:num w:numId="30">
    <w:abstractNumId w:val="10"/>
  </w:num>
  <w:num w:numId="31">
    <w:abstractNumId w:val="21"/>
  </w:num>
  <w:num w:numId="32">
    <w:abstractNumId w:val="8"/>
  </w:num>
  <w:num w:numId="33">
    <w:abstractNumId w:val="29"/>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C94"/>
    <w:rsid w:val="00002C5F"/>
    <w:rsid w:val="00002E14"/>
    <w:rsid w:val="0000379F"/>
    <w:rsid w:val="00005CA0"/>
    <w:rsid w:val="00006FE3"/>
    <w:rsid w:val="00007DC9"/>
    <w:rsid w:val="000110A7"/>
    <w:rsid w:val="00025221"/>
    <w:rsid w:val="000306AE"/>
    <w:rsid w:val="0003752C"/>
    <w:rsid w:val="000434D1"/>
    <w:rsid w:val="00044900"/>
    <w:rsid w:val="0005280B"/>
    <w:rsid w:val="000618BE"/>
    <w:rsid w:val="00062C75"/>
    <w:rsid w:val="00064ECA"/>
    <w:rsid w:val="0006570D"/>
    <w:rsid w:val="00067CAE"/>
    <w:rsid w:val="00074BBE"/>
    <w:rsid w:val="00080C4B"/>
    <w:rsid w:val="000838CA"/>
    <w:rsid w:val="00086BFF"/>
    <w:rsid w:val="00090DDB"/>
    <w:rsid w:val="00094370"/>
    <w:rsid w:val="00095E09"/>
    <w:rsid w:val="00096BB1"/>
    <w:rsid w:val="000B18B6"/>
    <w:rsid w:val="000B3A07"/>
    <w:rsid w:val="000B5AD1"/>
    <w:rsid w:val="000C0B95"/>
    <w:rsid w:val="000C469A"/>
    <w:rsid w:val="000F00FD"/>
    <w:rsid w:val="000F2587"/>
    <w:rsid w:val="000F51FB"/>
    <w:rsid w:val="000F656D"/>
    <w:rsid w:val="000F687F"/>
    <w:rsid w:val="001033BD"/>
    <w:rsid w:val="00103E8F"/>
    <w:rsid w:val="001048B1"/>
    <w:rsid w:val="0010649D"/>
    <w:rsid w:val="0011078A"/>
    <w:rsid w:val="001154BE"/>
    <w:rsid w:val="00120299"/>
    <w:rsid w:val="00126A4B"/>
    <w:rsid w:val="0013377B"/>
    <w:rsid w:val="001337ED"/>
    <w:rsid w:val="0013438C"/>
    <w:rsid w:val="001358AC"/>
    <w:rsid w:val="00147181"/>
    <w:rsid w:val="001563A5"/>
    <w:rsid w:val="00180128"/>
    <w:rsid w:val="00183756"/>
    <w:rsid w:val="00192C49"/>
    <w:rsid w:val="00193A5D"/>
    <w:rsid w:val="001968D8"/>
    <w:rsid w:val="001A6D9F"/>
    <w:rsid w:val="001B216B"/>
    <w:rsid w:val="001C144E"/>
    <w:rsid w:val="001D30B1"/>
    <w:rsid w:val="001D54A3"/>
    <w:rsid w:val="001E107F"/>
    <w:rsid w:val="001E5038"/>
    <w:rsid w:val="001F5410"/>
    <w:rsid w:val="00201B01"/>
    <w:rsid w:val="0021081B"/>
    <w:rsid w:val="00211250"/>
    <w:rsid w:val="00215935"/>
    <w:rsid w:val="002161A8"/>
    <w:rsid w:val="00220ECC"/>
    <w:rsid w:val="0022328C"/>
    <w:rsid w:val="00226659"/>
    <w:rsid w:val="002271BD"/>
    <w:rsid w:val="00230B6B"/>
    <w:rsid w:val="002605BE"/>
    <w:rsid w:val="00273E2E"/>
    <w:rsid w:val="0027592F"/>
    <w:rsid w:val="00277F26"/>
    <w:rsid w:val="00290068"/>
    <w:rsid w:val="002925F3"/>
    <w:rsid w:val="00292AE4"/>
    <w:rsid w:val="00292D16"/>
    <w:rsid w:val="00294EE9"/>
    <w:rsid w:val="00297631"/>
    <w:rsid w:val="00297F12"/>
    <w:rsid w:val="002A4467"/>
    <w:rsid w:val="002A7366"/>
    <w:rsid w:val="002B1156"/>
    <w:rsid w:val="002B2E6D"/>
    <w:rsid w:val="002B3BF3"/>
    <w:rsid w:val="002B7B9C"/>
    <w:rsid w:val="002C23E6"/>
    <w:rsid w:val="002C28FB"/>
    <w:rsid w:val="002C4581"/>
    <w:rsid w:val="002C7708"/>
    <w:rsid w:val="002E1C94"/>
    <w:rsid w:val="002E6747"/>
    <w:rsid w:val="002F15AF"/>
    <w:rsid w:val="002F6FE0"/>
    <w:rsid w:val="0030192D"/>
    <w:rsid w:val="00312414"/>
    <w:rsid w:val="00317777"/>
    <w:rsid w:val="003179EB"/>
    <w:rsid w:val="00324747"/>
    <w:rsid w:val="003314B4"/>
    <w:rsid w:val="00342380"/>
    <w:rsid w:val="003441CF"/>
    <w:rsid w:val="0034615B"/>
    <w:rsid w:val="00354D9C"/>
    <w:rsid w:val="00357FD2"/>
    <w:rsid w:val="003602C4"/>
    <w:rsid w:val="003635DD"/>
    <w:rsid w:val="00370639"/>
    <w:rsid w:val="0037073C"/>
    <w:rsid w:val="003774D5"/>
    <w:rsid w:val="00377BF3"/>
    <w:rsid w:val="00377E9E"/>
    <w:rsid w:val="00380323"/>
    <w:rsid w:val="003808FC"/>
    <w:rsid w:val="0039177B"/>
    <w:rsid w:val="00395075"/>
    <w:rsid w:val="003972CC"/>
    <w:rsid w:val="003A01C5"/>
    <w:rsid w:val="003A0B58"/>
    <w:rsid w:val="003A0B5E"/>
    <w:rsid w:val="003A3F20"/>
    <w:rsid w:val="003A58FA"/>
    <w:rsid w:val="003B3F4E"/>
    <w:rsid w:val="003C341C"/>
    <w:rsid w:val="003D5ACF"/>
    <w:rsid w:val="003D5F39"/>
    <w:rsid w:val="003E77ED"/>
    <w:rsid w:val="003F02EB"/>
    <w:rsid w:val="004056BF"/>
    <w:rsid w:val="00411B2C"/>
    <w:rsid w:val="00413E22"/>
    <w:rsid w:val="0041680A"/>
    <w:rsid w:val="004277BF"/>
    <w:rsid w:val="004335D5"/>
    <w:rsid w:val="00440BA4"/>
    <w:rsid w:val="004478B4"/>
    <w:rsid w:val="00454B96"/>
    <w:rsid w:val="00460A63"/>
    <w:rsid w:val="0046183C"/>
    <w:rsid w:val="00467F3D"/>
    <w:rsid w:val="0047552C"/>
    <w:rsid w:val="00475A20"/>
    <w:rsid w:val="00477F73"/>
    <w:rsid w:val="00483FD6"/>
    <w:rsid w:val="004870E9"/>
    <w:rsid w:val="00487C63"/>
    <w:rsid w:val="004912B6"/>
    <w:rsid w:val="00496C70"/>
    <w:rsid w:val="00497431"/>
    <w:rsid w:val="00497660"/>
    <w:rsid w:val="00497D48"/>
    <w:rsid w:val="004A01D3"/>
    <w:rsid w:val="004A48E6"/>
    <w:rsid w:val="004A5692"/>
    <w:rsid w:val="004A6881"/>
    <w:rsid w:val="004A7353"/>
    <w:rsid w:val="004C436F"/>
    <w:rsid w:val="004C4704"/>
    <w:rsid w:val="004D2F38"/>
    <w:rsid w:val="004D50F2"/>
    <w:rsid w:val="004D5C10"/>
    <w:rsid w:val="004E1DF6"/>
    <w:rsid w:val="004E47B3"/>
    <w:rsid w:val="004E6A2D"/>
    <w:rsid w:val="004F2959"/>
    <w:rsid w:val="004F2D59"/>
    <w:rsid w:val="004F753A"/>
    <w:rsid w:val="004F76EF"/>
    <w:rsid w:val="0050183F"/>
    <w:rsid w:val="00505615"/>
    <w:rsid w:val="00513225"/>
    <w:rsid w:val="00514996"/>
    <w:rsid w:val="005212B6"/>
    <w:rsid w:val="0052201B"/>
    <w:rsid w:val="005234C3"/>
    <w:rsid w:val="005278E6"/>
    <w:rsid w:val="00542069"/>
    <w:rsid w:val="00543FD2"/>
    <w:rsid w:val="005449FA"/>
    <w:rsid w:val="00545385"/>
    <w:rsid w:val="00547CF2"/>
    <w:rsid w:val="00557503"/>
    <w:rsid w:val="00564D7E"/>
    <w:rsid w:val="005652BF"/>
    <w:rsid w:val="00570D18"/>
    <w:rsid w:val="005750C1"/>
    <w:rsid w:val="00576ED2"/>
    <w:rsid w:val="005808A3"/>
    <w:rsid w:val="00581CC7"/>
    <w:rsid w:val="0058593F"/>
    <w:rsid w:val="005924C2"/>
    <w:rsid w:val="005A036B"/>
    <w:rsid w:val="005A163F"/>
    <w:rsid w:val="005A2CA0"/>
    <w:rsid w:val="005C2ED6"/>
    <w:rsid w:val="005C4A00"/>
    <w:rsid w:val="005C7B1A"/>
    <w:rsid w:val="005D61B8"/>
    <w:rsid w:val="005D7FA9"/>
    <w:rsid w:val="0060317B"/>
    <w:rsid w:val="00606282"/>
    <w:rsid w:val="00623611"/>
    <w:rsid w:val="006250CD"/>
    <w:rsid w:val="00635478"/>
    <w:rsid w:val="00644E9B"/>
    <w:rsid w:val="006463FD"/>
    <w:rsid w:val="006529B8"/>
    <w:rsid w:val="0066763C"/>
    <w:rsid w:val="00671712"/>
    <w:rsid w:val="006761FE"/>
    <w:rsid w:val="00676DCB"/>
    <w:rsid w:val="0067770B"/>
    <w:rsid w:val="00684B93"/>
    <w:rsid w:val="006870CC"/>
    <w:rsid w:val="00687F85"/>
    <w:rsid w:val="006950DF"/>
    <w:rsid w:val="00697ACA"/>
    <w:rsid w:val="006A1767"/>
    <w:rsid w:val="006B12E1"/>
    <w:rsid w:val="006B152C"/>
    <w:rsid w:val="006C1C47"/>
    <w:rsid w:val="006C3D4F"/>
    <w:rsid w:val="006C5224"/>
    <w:rsid w:val="006C632B"/>
    <w:rsid w:val="006D0C29"/>
    <w:rsid w:val="006D3601"/>
    <w:rsid w:val="006E7106"/>
    <w:rsid w:val="00710E44"/>
    <w:rsid w:val="0071755E"/>
    <w:rsid w:val="00717B05"/>
    <w:rsid w:val="007256FF"/>
    <w:rsid w:val="00725E10"/>
    <w:rsid w:val="007261D6"/>
    <w:rsid w:val="00730164"/>
    <w:rsid w:val="00731474"/>
    <w:rsid w:val="00731B5C"/>
    <w:rsid w:val="00741433"/>
    <w:rsid w:val="00750D37"/>
    <w:rsid w:val="00766A69"/>
    <w:rsid w:val="00770543"/>
    <w:rsid w:val="00777857"/>
    <w:rsid w:val="00790FA1"/>
    <w:rsid w:val="007914F2"/>
    <w:rsid w:val="007A01FC"/>
    <w:rsid w:val="007C3CDA"/>
    <w:rsid w:val="007C5E8D"/>
    <w:rsid w:val="007D4E5D"/>
    <w:rsid w:val="007D782E"/>
    <w:rsid w:val="008023AC"/>
    <w:rsid w:val="00803125"/>
    <w:rsid w:val="008031BA"/>
    <w:rsid w:val="00804491"/>
    <w:rsid w:val="008124CA"/>
    <w:rsid w:val="0081595B"/>
    <w:rsid w:val="008303F4"/>
    <w:rsid w:val="008314AF"/>
    <w:rsid w:val="00832964"/>
    <w:rsid w:val="00832EA1"/>
    <w:rsid w:val="008474C7"/>
    <w:rsid w:val="00851942"/>
    <w:rsid w:val="00856428"/>
    <w:rsid w:val="00856F71"/>
    <w:rsid w:val="0085778F"/>
    <w:rsid w:val="00857CB3"/>
    <w:rsid w:val="00864FC9"/>
    <w:rsid w:val="00891594"/>
    <w:rsid w:val="00892E9F"/>
    <w:rsid w:val="008A29B1"/>
    <w:rsid w:val="008A2F07"/>
    <w:rsid w:val="008B252C"/>
    <w:rsid w:val="008B3623"/>
    <w:rsid w:val="008C20BA"/>
    <w:rsid w:val="008C6B4A"/>
    <w:rsid w:val="008D1EDE"/>
    <w:rsid w:val="008D5F1E"/>
    <w:rsid w:val="008E4B7D"/>
    <w:rsid w:val="008F5478"/>
    <w:rsid w:val="009061C5"/>
    <w:rsid w:val="009106D2"/>
    <w:rsid w:val="00921703"/>
    <w:rsid w:val="00926C51"/>
    <w:rsid w:val="0093495A"/>
    <w:rsid w:val="00941436"/>
    <w:rsid w:val="00954DBE"/>
    <w:rsid w:val="00960367"/>
    <w:rsid w:val="009606B8"/>
    <w:rsid w:val="009651D4"/>
    <w:rsid w:val="00967FAC"/>
    <w:rsid w:val="0097254C"/>
    <w:rsid w:val="009731A4"/>
    <w:rsid w:val="00981249"/>
    <w:rsid w:val="0098365B"/>
    <w:rsid w:val="00991924"/>
    <w:rsid w:val="00991C5B"/>
    <w:rsid w:val="00996926"/>
    <w:rsid w:val="00996C98"/>
    <w:rsid w:val="009A1198"/>
    <w:rsid w:val="009A3D1D"/>
    <w:rsid w:val="009A69E2"/>
    <w:rsid w:val="009B0521"/>
    <w:rsid w:val="009B54F6"/>
    <w:rsid w:val="009B691F"/>
    <w:rsid w:val="009C37E4"/>
    <w:rsid w:val="009C4E6A"/>
    <w:rsid w:val="009C60C3"/>
    <w:rsid w:val="009D47B0"/>
    <w:rsid w:val="009D4CB8"/>
    <w:rsid w:val="009F165B"/>
    <w:rsid w:val="009F3E7C"/>
    <w:rsid w:val="00A001E8"/>
    <w:rsid w:val="00A0481A"/>
    <w:rsid w:val="00A04D85"/>
    <w:rsid w:val="00A0548B"/>
    <w:rsid w:val="00A070B0"/>
    <w:rsid w:val="00A14036"/>
    <w:rsid w:val="00A17CA4"/>
    <w:rsid w:val="00A32211"/>
    <w:rsid w:val="00A32829"/>
    <w:rsid w:val="00A379D7"/>
    <w:rsid w:val="00A41B9A"/>
    <w:rsid w:val="00A423C5"/>
    <w:rsid w:val="00A47AF5"/>
    <w:rsid w:val="00A545F7"/>
    <w:rsid w:val="00A57700"/>
    <w:rsid w:val="00A7034A"/>
    <w:rsid w:val="00A7318A"/>
    <w:rsid w:val="00A73907"/>
    <w:rsid w:val="00A94127"/>
    <w:rsid w:val="00A94C13"/>
    <w:rsid w:val="00AA0996"/>
    <w:rsid w:val="00AA2C06"/>
    <w:rsid w:val="00AA5ADB"/>
    <w:rsid w:val="00AA6811"/>
    <w:rsid w:val="00AB19A6"/>
    <w:rsid w:val="00AB35D9"/>
    <w:rsid w:val="00AE297E"/>
    <w:rsid w:val="00AE79A1"/>
    <w:rsid w:val="00AF438C"/>
    <w:rsid w:val="00AF639F"/>
    <w:rsid w:val="00B06965"/>
    <w:rsid w:val="00B131D2"/>
    <w:rsid w:val="00B16195"/>
    <w:rsid w:val="00B23C15"/>
    <w:rsid w:val="00B23DFB"/>
    <w:rsid w:val="00B24616"/>
    <w:rsid w:val="00B251E9"/>
    <w:rsid w:val="00B32815"/>
    <w:rsid w:val="00B34159"/>
    <w:rsid w:val="00B36CFD"/>
    <w:rsid w:val="00B37368"/>
    <w:rsid w:val="00B4648F"/>
    <w:rsid w:val="00B53E0D"/>
    <w:rsid w:val="00B54F78"/>
    <w:rsid w:val="00B55025"/>
    <w:rsid w:val="00B5555C"/>
    <w:rsid w:val="00B62301"/>
    <w:rsid w:val="00B63215"/>
    <w:rsid w:val="00B650E2"/>
    <w:rsid w:val="00B67445"/>
    <w:rsid w:val="00B75DF5"/>
    <w:rsid w:val="00B7694E"/>
    <w:rsid w:val="00B9548F"/>
    <w:rsid w:val="00BA2E62"/>
    <w:rsid w:val="00BA7977"/>
    <w:rsid w:val="00BC33EC"/>
    <w:rsid w:val="00BC5659"/>
    <w:rsid w:val="00BC5F62"/>
    <w:rsid w:val="00BD1609"/>
    <w:rsid w:val="00BD251F"/>
    <w:rsid w:val="00BD78BD"/>
    <w:rsid w:val="00BE44C0"/>
    <w:rsid w:val="00BE4EEE"/>
    <w:rsid w:val="00BF4F22"/>
    <w:rsid w:val="00C004C9"/>
    <w:rsid w:val="00C03365"/>
    <w:rsid w:val="00C06348"/>
    <w:rsid w:val="00C06948"/>
    <w:rsid w:val="00C117A4"/>
    <w:rsid w:val="00C15792"/>
    <w:rsid w:val="00C15D59"/>
    <w:rsid w:val="00C3168C"/>
    <w:rsid w:val="00C369FE"/>
    <w:rsid w:val="00C42CA4"/>
    <w:rsid w:val="00C4341F"/>
    <w:rsid w:val="00C43E79"/>
    <w:rsid w:val="00C47BCE"/>
    <w:rsid w:val="00C5643B"/>
    <w:rsid w:val="00C64616"/>
    <w:rsid w:val="00C73758"/>
    <w:rsid w:val="00C76E54"/>
    <w:rsid w:val="00C87EBB"/>
    <w:rsid w:val="00C912BC"/>
    <w:rsid w:val="00C963B7"/>
    <w:rsid w:val="00CA513B"/>
    <w:rsid w:val="00CA63D8"/>
    <w:rsid w:val="00CB0476"/>
    <w:rsid w:val="00CB487D"/>
    <w:rsid w:val="00CB7082"/>
    <w:rsid w:val="00CB74C9"/>
    <w:rsid w:val="00CB7F16"/>
    <w:rsid w:val="00CF163C"/>
    <w:rsid w:val="00CF24F7"/>
    <w:rsid w:val="00CF2B3A"/>
    <w:rsid w:val="00D003EE"/>
    <w:rsid w:val="00D01FA2"/>
    <w:rsid w:val="00D1293C"/>
    <w:rsid w:val="00D12AAA"/>
    <w:rsid w:val="00D171C1"/>
    <w:rsid w:val="00D24C74"/>
    <w:rsid w:val="00D33B58"/>
    <w:rsid w:val="00D460F9"/>
    <w:rsid w:val="00D5003A"/>
    <w:rsid w:val="00D50A74"/>
    <w:rsid w:val="00D70359"/>
    <w:rsid w:val="00D72352"/>
    <w:rsid w:val="00D77BA2"/>
    <w:rsid w:val="00D812C9"/>
    <w:rsid w:val="00D8246D"/>
    <w:rsid w:val="00D84797"/>
    <w:rsid w:val="00D97233"/>
    <w:rsid w:val="00D97697"/>
    <w:rsid w:val="00D97DDD"/>
    <w:rsid w:val="00DA648A"/>
    <w:rsid w:val="00DB3282"/>
    <w:rsid w:val="00DB4B52"/>
    <w:rsid w:val="00DB5131"/>
    <w:rsid w:val="00DD61AC"/>
    <w:rsid w:val="00DE168E"/>
    <w:rsid w:val="00DE3499"/>
    <w:rsid w:val="00DE5556"/>
    <w:rsid w:val="00DF3161"/>
    <w:rsid w:val="00DF6380"/>
    <w:rsid w:val="00E00C66"/>
    <w:rsid w:val="00E15BD2"/>
    <w:rsid w:val="00E24C9E"/>
    <w:rsid w:val="00E272CD"/>
    <w:rsid w:val="00E32C6C"/>
    <w:rsid w:val="00E36076"/>
    <w:rsid w:val="00E4526C"/>
    <w:rsid w:val="00E52715"/>
    <w:rsid w:val="00E54668"/>
    <w:rsid w:val="00E56FD6"/>
    <w:rsid w:val="00E57778"/>
    <w:rsid w:val="00E740D7"/>
    <w:rsid w:val="00E74641"/>
    <w:rsid w:val="00E75A8F"/>
    <w:rsid w:val="00EA15B6"/>
    <w:rsid w:val="00EA1F16"/>
    <w:rsid w:val="00EA4AFC"/>
    <w:rsid w:val="00EB2BDF"/>
    <w:rsid w:val="00EB5536"/>
    <w:rsid w:val="00EB67CC"/>
    <w:rsid w:val="00EC4145"/>
    <w:rsid w:val="00EC7BA4"/>
    <w:rsid w:val="00ED639E"/>
    <w:rsid w:val="00ED6652"/>
    <w:rsid w:val="00ED6E5A"/>
    <w:rsid w:val="00EE28AC"/>
    <w:rsid w:val="00EE2E46"/>
    <w:rsid w:val="00EE513C"/>
    <w:rsid w:val="00EE6A42"/>
    <w:rsid w:val="00EF0F71"/>
    <w:rsid w:val="00EF21FE"/>
    <w:rsid w:val="00EF7D20"/>
    <w:rsid w:val="00F13918"/>
    <w:rsid w:val="00F15CFC"/>
    <w:rsid w:val="00F219F9"/>
    <w:rsid w:val="00F25BCA"/>
    <w:rsid w:val="00F31EAC"/>
    <w:rsid w:val="00F3318F"/>
    <w:rsid w:val="00F367F9"/>
    <w:rsid w:val="00F408AA"/>
    <w:rsid w:val="00F435E7"/>
    <w:rsid w:val="00F46B6C"/>
    <w:rsid w:val="00F4709D"/>
    <w:rsid w:val="00F724DA"/>
    <w:rsid w:val="00F731FC"/>
    <w:rsid w:val="00F81F69"/>
    <w:rsid w:val="00F854C5"/>
    <w:rsid w:val="00F87616"/>
    <w:rsid w:val="00F9303B"/>
    <w:rsid w:val="00FA3F6C"/>
    <w:rsid w:val="00FA5099"/>
    <w:rsid w:val="00FB0911"/>
    <w:rsid w:val="00FB2228"/>
    <w:rsid w:val="00FC43FF"/>
    <w:rsid w:val="00FD0929"/>
    <w:rsid w:val="00FD3479"/>
    <w:rsid w:val="00FD5072"/>
    <w:rsid w:val="00FE270F"/>
    <w:rsid w:val="00FE4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B9397"/>
  <w15:chartTrackingRefBased/>
  <w15:docId w15:val="{4FC99CEF-A484-41E4-AD4B-E862835E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587"/>
  </w:style>
  <w:style w:type="paragraph" w:styleId="Heading1">
    <w:name w:val="heading 1"/>
    <w:basedOn w:val="Normal"/>
    <w:next w:val="Normal"/>
    <w:link w:val="Heading1Char"/>
    <w:uiPriority w:val="9"/>
    <w:qFormat/>
    <w:rsid w:val="000F258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F258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F258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F258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F258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F258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F258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F258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F258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1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 Paragraph1,WB Para,Paragraphe de liste1,Lapis Bulleted List,Dot pt,F5 List Paragraph,No Spacing1,List Paragraph Char Char Char,Indicator Text,Numbered Para 1,Bullet 1,List Paragraph12,Bullet Points,L,3"/>
    <w:basedOn w:val="Normal"/>
    <w:link w:val="ListParagraphChar"/>
    <w:uiPriority w:val="34"/>
    <w:qFormat/>
    <w:rsid w:val="002E1C94"/>
    <w:pPr>
      <w:ind w:left="720"/>
      <w:contextualSpacing/>
    </w:pPr>
  </w:style>
  <w:style w:type="character" w:customStyle="1" w:styleId="Heading1Char">
    <w:name w:val="Heading 1 Char"/>
    <w:basedOn w:val="DefaultParagraphFont"/>
    <w:link w:val="Heading1"/>
    <w:uiPriority w:val="9"/>
    <w:rsid w:val="000F258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F258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F258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F258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F258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F258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F258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F258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F258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F2587"/>
    <w:pPr>
      <w:spacing w:line="240" w:lineRule="auto"/>
    </w:pPr>
    <w:rPr>
      <w:b/>
      <w:bCs/>
      <w:smallCaps/>
      <w:color w:val="44546A" w:themeColor="text2"/>
    </w:rPr>
  </w:style>
  <w:style w:type="paragraph" w:styleId="Title">
    <w:name w:val="Title"/>
    <w:basedOn w:val="Normal"/>
    <w:next w:val="Normal"/>
    <w:link w:val="TitleChar"/>
    <w:uiPriority w:val="10"/>
    <w:qFormat/>
    <w:rsid w:val="000F258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F258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F258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F2587"/>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0F2587"/>
    <w:rPr>
      <w:b/>
      <w:bCs/>
    </w:rPr>
  </w:style>
  <w:style w:type="character" w:styleId="Emphasis">
    <w:name w:val="Emphasis"/>
    <w:basedOn w:val="DefaultParagraphFont"/>
    <w:uiPriority w:val="20"/>
    <w:qFormat/>
    <w:rsid w:val="000F2587"/>
    <w:rPr>
      <w:i/>
      <w:iCs/>
    </w:rPr>
  </w:style>
  <w:style w:type="paragraph" w:styleId="NoSpacing">
    <w:name w:val="No Spacing"/>
    <w:uiPriority w:val="1"/>
    <w:qFormat/>
    <w:rsid w:val="000F2587"/>
    <w:pPr>
      <w:spacing w:after="0" w:line="240" w:lineRule="auto"/>
    </w:pPr>
  </w:style>
  <w:style w:type="paragraph" w:styleId="Quote">
    <w:name w:val="Quote"/>
    <w:basedOn w:val="Normal"/>
    <w:next w:val="Normal"/>
    <w:link w:val="QuoteChar"/>
    <w:uiPriority w:val="29"/>
    <w:qFormat/>
    <w:rsid w:val="000F258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F2587"/>
    <w:rPr>
      <w:color w:val="44546A" w:themeColor="text2"/>
      <w:sz w:val="24"/>
      <w:szCs w:val="24"/>
    </w:rPr>
  </w:style>
  <w:style w:type="paragraph" w:styleId="IntenseQuote">
    <w:name w:val="Intense Quote"/>
    <w:basedOn w:val="Normal"/>
    <w:next w:val="Normal"/>
    <w:link w:val="IntenseQuoteChar"/>
    <w:uiPriority w:val="30"/>
    <w:qFormat/>
    <w:rsid w:val="000F258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F258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F2587"/>
    <w:rPr>
      <w:i/>
      <w:iCs/>
      <w:color w:val="595959" w:themeColor="text1" w:themeTint="A6"/>
    </w:rPr>
  </w:style>
  <w:style w:type="character" w:styleId="IntenseEmphasis">
    <w:name w:val="Intense Emphasis"/>
    <w:basedOn w:val="DefaultParagraphFont"/>
    <w:uiPriority w:val="21"/>
    <w:qFormat/>
    <w:rsid w:val="000F2587"/>
    <w:rPr>
      <w:b/>
      <w:bCs/>
      <w:i/>
      <w:iCs/>
    </w:rPr>
  </w:style>
  <w:style w:type="character" w:styleId="SubtleReference">
    <w:name w:val="Subtle Reference"/>
    <w:basedOn w:val="DefaultParagraphFont"/>
    <w:uiPriority w:val="31"/>
    <w:qFormat/>
    <w:rsid w:val="000F258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F2587"/>
    <w:rPr>
      <w:b/>
      <w:bCs/>
      <w:smallCaps/>
      <w:color w:val="44546A" w:themeColor="text2"/>
      <w:u w:val="single"/>
    </w:rPr>
  </w:style>
  <w:style w:type="character" w:styleId="BookTitle">
    <w:name w:val="Book Title"/>
    <w:basedOn w:val="DefaultParagraphFont"/>
    <w:uiPriority w:val="33"/>
    <w:qFormat/>
    <w:rsid w:val="000F2587"/>
    <w:rPr>
      <w:b/>
      <w:bCs/>
      <w:smallCaps/>
      <w:spacing w:val="10"/>
    </w:rPr>
  </w:style>
  <w:style w:type="paragraph" w:styleId="TOCHeading">
    <w:name w:val="TOC Heading"/>
    <w:basedOn w:val="Heading1"/>
    <w:next w:val="Normal"/>
    <w:uiPriority w:val="39"/>
    <w:semiHidden/>
    <w:unhideWhenUsed/>
    <w:qFormat/>
    <w:rsid w:val="000F2587"/>
    <w:pPr>
      <w:outlineLvl w:val="9"/>
    </w:pPr>
  </w:style>
  <w:style w:type="paragraph" w:styleId="Header">
    <w:name w:val="header"/>
    <w:basedOn w:val="Normal"/>
    <w:link w:val="HeaderChar"/>
    <w:uiPriority w:val="99"/>
    <w:unhideWhenUsed/>
    <w:rsid w:val="00B46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48F"/>
  </w:style>
  <w:style w:type="paragraph" w:styleId="Footer">
    <w:name w:val="footer"/>
    <w:basedOn w:val="Normal"/>
    <w:link w:val="FooterChar"/>
    <w:uiPriority w:val="99"/>
    <w:unhideWhenUsed/>
    <w:rsid w:val="00B46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48F"/>
  </w:style>
  <w:style w:type="paragraph" w:styleId="NormalWeb">
    <w:name w:val="Normal (Web)"/>
    <w:basedOn w:val="Normal"/>
    <w:uiPriority w:val="99"/>
    <w:semiHidden/>
    <w:unhideWhenUsed/>
    <w:rsid w:val="002605BE"/>
    <w:pPr>
      <w:spacing w:before="100" w:beforeAutospacing="1" w:after="100" w:afterAutospacing="1"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FB0911"/>
    <w:rPr>
      <w:color w:val="0563C1"/>
      <w:u w:val="single"/>
    </w:rPr>
  </w:style>
  <w:style w:type="character" w:styleId="FollowedHyperlink">
    <w:name w:val="FollowedHyperlink"/>
    <w:basedOn w:val="DefaultParagraphFont"/>
    <w:uiPriority w:val="99"/>
    <w:semiHidden/>
    <w:unhideWhenUsed/>
    <w:rsid w:val="00F81F69"/>
    <w:rPr>
      <w:color w:val="954F72" w:themeColor="followedHyperlink"/>
      <w:u w:val="single"/>
    </w:rPr>
  </w:style>
  <w:style w:type="paragraph" w:styleId="FootnoteText">
    <w:name w:val="footnote text"/>
    <w:basedOn w:val="Normal"/>
    <w:link w:val="FootnoteTextChar"/>
    <w:uiPriority w:val="99"/>
    <w:semiHidden/>
    <w:unhideWhenUsed/>
    <w:rsid w:val="00A04D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4D85"/>
    <w:rPr>
      <w:sz w:val="20"/>
      <w:szCs w:val="20"/>
    </w:rPr>
  </w:style>
  <w:style w:type="character" w:styleId="FootnoteReference">
    <w:name w:val="footnote reference"/>
    <w:basedOn w:val="DefaultParagraphFont"/>
    <w:uiPriority w:val="99"/>
    <w:semiHidden/>
    <w:unhideWhenUsed/>
    <w:rsid w:val="00A04D85"/>
    <w:rPr>
      <w:vertAlign w:val="superscript"/>
    </w:rPr>
  </w:style>
  <w:style w:type="character" w:styleId="CommentReference">
    <w:name w:val="annotation reference"/>
    <w:basedOn w:val="DefaultParagraphFont"/>
    <w:uiPriority w:val="99"/>
    <w:semiHidden/>
    <w:unhideWhenUsed/>
    <w:rsid w:val="00543FD2"/>
    <w:rPr>
      <w:sz w:val="16"/>
      <w:szCs w:val="16"/>
    </w:rPr>
  </w:style>
  <w:style w:type="paragraph" w:styleId="CommentText">
    <w:name w:val="annotation text"/>
    <w:basedOn w:val="Normal"/>
    <w:link w:val="CommentTextChar"/>
    <w:uiPriority w:val="99"/>
    <w:semiHidden/>
    <w:unhideWhenUsed/>
    <w:rsid w:val="00543FD2"/>
    <w:pPr>
      <w:spacing w:line="240" w:lineRule="auto"/>
    </w:pPr>
    <w:rPr>
      <w:sz w:val="20"/>
      <w:szCs w:val="20"/>
    </w:rPr>
  </w:style>
  <w:style w:type="character" w:customStyle="1" w:styleId="CommentTextChar">
    <w:name w:val="Comment Text Char"/>
    <w:basedOn w:val="DefaultParagraphFont"/>
    <w:link w:val="CommentText"/>
    <w:uiPriority w:val="99"/>
    <w:semiHidden/>
    <w:rsid w:val="00543FD2"/>
    <w:rPr>
      <w:sz w:val="20"/>
      <w:szCs w:val="20"/>
    </w:rPr>
  </w:style>
  <w:style w:type="paragraph" w:styleId="BalloonText">
    <w:name w:val="Balloon Text"/>
    <w:basedOn w:val="Normal"/>
    <w:link w:val="BalloonTextChar"/>
    <w:uiPriority w:val="99"/>
    <w:semiHidden/>
    <w:unhideWhenUsed/>
    <w:rsid w:val="00543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FD2"/>
    <w:rPr>
      <w:rFonts w:ascii="Segoe UI" w:hAnsi="Segoe UI" w:cs="Segoe UI"/>
      <w:sz w:val="18"/>
      <w:szCs w:val="18"/>
    </w:rPr>
  </w:style>
  <w:style w:type="character" w:customStyle="1" w:styleId="ListParagraphChar">
    <w:name w:val="List Paragraph Char"/>
    <w:aliases w:val="List Paragraph (numbered (a)) Char,List Paragraph1 Char,WB Para Char,Paragraphe de liste1 Char,Lapis Bulleted List Char,Dot pt Char,F5 List Paragraph Char,No Spacing1 Char,List Paragraph Char Char Char Char,Indicator Text Char,L Char"/>
    <w:link w:val="ListParagraph"/>
    <w:uiPriority w:val="34"/>
    <w:qFormat/>
    <w:locked/>
    <w:rsid w:val="0098365B"/>
  </w:style>
  <w:style w:type="paragraph" w:styleId="CommentSubject">
    <w:name w:val="annotation subject"/>
    <w:basedOn w:val="CommentText"/>
    <w:next w:val="CommentText"/>
    <w:link w:val="CommentSubjectChar"/>
    <w:uiPriority w:val="99"/>
    <w:semiHidden/>
    <w:unhideWhenUsed/>
    <w:rsid w:val="001A6D9F"/>
    <w:rPr>
      <w:b/>
      <w:bCs/>
    </w:rPr>
  </w:style>
  <w:style w:type="character" w:customStyle="1" w:styleId="CommentSubjectChar">
    <w:name w:val="Comment Subject Char"/>
    <w:basedOn w:val="CommentTextChar"/>
    <w:link w:val="CommentSubject"/>
    <w:uiPriority w:val="99"/>
    <w:semiHidden/>
    <w:rsid w:val="001A6D9F"/>
    <w:rPr>
      <w:b/>
      <w:bCs/>
      <w:sz w:val="20"/>
      <w:szCs w:val="20"/>
    </w:rPr>
  </w:style>
  <w:style w:type="paragraph" w:customStyle="1" w:styleId="xmsonormal">
    <w:name w:val="x_msonormal"/>
    <w:basedOn w:val="Normal"/>
    <w:rsid w:val="001337ED"/>
    <w:pPr>
      <w:spacing w:after="0" w:line="240" w:lineRule="auto"/>
    </w:pPr>
    <w:rPr>
      <w:rFonts w:ascii="Calibri" w:hAnsi="Calibri" w:cs="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800259">
      <w:bodyDiv w:val="1"/>
      <w:marLeft w:val="0"/>
      <w:marRight w:val="0"/>
      <w:marTop w:val="0"/>
      <w:marBottom w:val="0"/>
      <w:divBdr>
        <w:top w:val="none" w:sz="0" w:space="0" w:color="auto"/>
        <w:left w:val="none" w:sz="0" w:space="0" w:color="auto"/>
        <w:bottom w:val="none" w:sz="0" w:space="0" w:color="auto"/>
        <w:right w:val="none" w:sz="0" w:space="0" w:color="auto"/>
      </w:divBdr>
    </w:div>
    <w:div w:id="469592856">
      <w:bodyDiv w:val="1"/>
      <w:marLeft w:val="0"/>
      <w:marRight w:val="0"/>
      <w:marTop w:val="0"/>
      <w:marBottom w:val="0"/>
      <w:divBdr>
        <w:top w:val="none" w:sz="0" w:space="0" w:color="auto"/>
        <w:left w:val="none" w:sz="0" w:space="0" w:color="auto"/>
        <w:bottom w:val="none" w:sz="0" w:space="0" w:color="auto"/>
        <w:right w:val="none" w:sz="0" w:space="0" w:color="auto"/>
      </w:divBdr>
    </w:div>
    <w:div w:id="487551071">
      <w:bodyDiv w:val="1"/>
      <w:marLeft w:val="0"/>
      <w:marRight w:val="0"/>
      <w:marTop w:val="0"/>
      <w:marBottom w:val="0"/>
      <w:divBdr>
        <w:top w:val="none" w:sz="0" w:space="0" w:color="auto"/>
        <w:left w:val="none" w:sz="0" w:space="0" w:color="auto"/>
        <w:bottom w:val="none" w:sz="0" w:space="0" w:color="auto"/>
        <w:right w:val="none" w:sz="0" w:space="0" w:color="auto"/>
      </w:divBdr>
    </w:div>
    <w:div w:id="615403493">
      <w:bodyDiv w:val="1"/>
      <w:marLeft w:val="0"/>
      <w:marRight w:val="0"/>
      <w:marTop w:val="0"/>
      <w:marBottom w:val="0"/>
      <w:divBdr>
        <w:top w:val="none" w:sz="0" w:space="0" w:color="auto"/>
        <w:left w:val="none" w:sz="0" w:space="0" w:color="auto"/>
        <w:bottom w:val="none" w:sz="0" w:space="0" w:color="auto"/>
        <w:right w:val="none" w:sz="0" w:space="0" w:color="auto"/>
      </w:divBdr>
    </w:div>
    <w:div w:id="620917318">
      <w:bodyDiv w:val="1"/>
      <w:marLeft w:val="0"/>
      <w:marRight w:val="0"/>
      <w:marTop w:val="0"/>
      <w:marBottom w:val="0"/>
      <w:divBdr>
        <w:top w:val="none" w:sz="0" w:space="0" w:color="auto"/>
        <w:left w:val="none" w:sz="0" w:space="0" w:color="auto"/>
        <w:bottom w:val="none" w:sz="0" w:space="0" w:color="auto"/>
        <w:right w:val="none" w:sz="0" w:space="0" w:color="auto"/>
      </w:divBdr>
    </w:div>
    <w:div w:id="652562466">
      <w:bodyDiv w:val="1"/>
      <w:marLeft w:val="0"/>
      <w:marRight w:val="0"/>
      <w:marTop w:val="0"/>
      <w:marBottom w:val="0"/>
      <w:divBdr>
        <w:top w:val="none" w:sz="0" w:space="0" w:color="auto"/>
        <w:left w:val="none" w:sz="0" w:space="0" w:color="auto"/>
        <w:bottom w:val="none" w:sz="0" w:space="0" w:color="auto"/>
        <w:right w:val="none" w:sz="0" w:space="0" w:color="auto"/>
      </w:divBdr>
    </w:div>
    <w:div w:id="777213783">
      <w:bodyDiv w:val="1"/>
      <w:marLeft w:val="0"/>
      <w:marRight w:val="0"/>
      <w:marTop w:val="0"/>
      <w:marBottom w:val="0"/>
      <w:divBdr>
        <w:top w:val="none" w:sz="0" w:space="0" w:color="auto"/>
        <w:left w:val="none" w:sz="0" w:space="0" w:color="auto"/>
        <w:bottom w:val="none" w:sz="0" w:space="0" w:color="auto"/>
        <w:right w:val="none" w:sz="0" w:space="0" w:color="auto"/>
      </w:divBdr>
    </w:div>
    <w:div w:id="983852517">
      <w:bodyDiv w:val="1"/>
      <w:marLeft w:val="0"/>
      <w:marRight w:val="0"/>
      <w:marTop w:val="0"/>
      <w:marBottom w:val="0"/>
      <w:divBdr>
        <w:top w:val="none" w:sz="0" w:space="0" w:color="auto"/>
        <w:left w:val="none" w:sz="0" w:space="0" w:color="auto"/>
        <w:bottom w:val="none" w:sz="0" w:space="0" w:color="auto"/>
        <w:right w:val="none" w:sz="0" w:space="0" w:color="auto"/>
      </w:divBdr>
    </w:div>
    <w:div w:id="1065763990">
      <w:bodyDiv w:val="1"/>
      <w:marLeft w:val="0"/>
      <w:marRight w:val="0"/>
      <w:marTop w:val="0"/>
      <w:marBottom w:val="0"/>
      <w:divBdr>
        <w:top w:val="none" w:sz="0" w:space="0" w:color="auto"/>
        <w:left w:val="none" w:sz="0" w:space="0" w:color="auto"/>
        <w:bottom w:val="none" w:sz="0" w:space="0" w:color="auto"/>
        <w:right w:val="none" w:sz="0" w:space="0" w:color="auto"/>
      </w:divBdr>
    </w:div>
    <w:div w:id="1083528711">
      <w:bodyDiv w:val="1"/>
      <w:marLeft w:val="0"/>
      <w:marRight w:val="0"/>
      <w:marTop w:val="0"/>
      <w:marBottom w:val="0"/>
      <w:divBdr>
        <w:top w:val="none" w:sz="0" w:space="0" w:color="auto"/>
        <w:left w:val="none" w:sz="0" w:space="0" w:color="auto"/>
        <w:bottom w:val="none" w:sz="0" w:space="0" w:color="auto"/>
        <w:right w:val="none" w:sz="0" w:space="0" w:color="auto"/>
      </w:divBdr>
    </w:div>
    <w:div w:id="1212307400">
      <w:bodyDiv w:val="1"/>
      <w:marLeft w:val="0"/>
      <w:marRight w:val="0"/>
      <w:marTop w:val="0"/>
      <w:marBottom w:val="0"/>
      <w:divBdr>
        <w:top w:val="none" w:sz="0" w:space="0" w:color="auto"/>
        <w:left w:val="none" w:sz="0" w:space="0" w:color="auto"/>
        <w:bottom w:val="none" w:sz="0" w:space="0" w:color="auto"/>
        <w:right w:val="none" w:sz="0" w:space="0" w:color="auto"/>
      </w:divBdr>
    </w:div>
    <w:div w:id="1235893307">
      <w:bodyDiv w:val="1"/>
      <w:marLeft w:val="0"/>
      <w:marRight w:val="0"/>
      <w:marTop w:val="0"/>
      <w:marBottom w:val="0"/>
      <w:divBdr>
        <w:top w:val="none" w:sz="0" w:space="0" w:color="auto"/>
        <w:left w:val="none" w:sz="0" w:space="0" w:color="auto"/>
        <w:bottom w:val="none" w:sz="0" w:space="0" w:color="auto"/>
        <w:right w:val="none" w:sz="0" w:space="0" w:color="auto"/>
      </w:divBdr>
    </w:div>
    <w:div w:id="1254632901">
      <w:bodyDiv w:val="1"/>
      <w:marLeft w:val="0"/>
      <w:marRight w:val="0"/>
      <w:marTop w:val="0"/>
      <w:marBottom w:val="0"/>
      <w:divBdr>
        <w:top w:val="none" w:sz="0" w:space="0" w:color="auto"/>
        <w:left w:val="none" w:sz="0" w:space="0" w:color="auto"/>
        <w:bottom w:val="none" w:sz="0" w:space="0" w:color="auto"/>
        <w:right w:val="none" w:sz="0" w:space="0" w:color="auto"/>
      </w:divBdr>
    </w:div>
    <w:div w:id="1407341761">
      <w:bodyDiv w:val="1"/>
      <w:marLeft w:val="0"/>
      <w:marRight w:val="0"/>
      <w:marTop w:val="0"/>
      <w:marBottom w:val="0"/>
      <w:divBdr>
        <w:top w:val="none" w:sz="0" w:space="0" w:color="auto"/>
        <w:left w:val="none" w:sz="0" w:space="0" w:color="auto"/>
        <w:bottom w:val="none" w:sz="0" w:space="0" w:color="auto"/>
        <w:right w:val="none" w:sz="0" w:space="0" w:color="auto"/>
      </w:divBdr>
    </w:div>
    <w:div w:id="1485706975">
      <w:bodyDiv w:val="1"/>
      <w:marLeft w:val="0"/>
      <w:marRight w:val="0"/>
      <w:marTop w:val="0"/>
      <w:marBottom w:val="0"/>
      <w:divBdr>
        <w:top w:val="none" w:sz="0" w:space="0" w:color="auto"/>
        <w:left w:val="none" w:sz="0" w:space="0" w:color="auto"/>
        <w:bottom w:val="none" w:sz="0" w:space="0" w:color="auto"/>
        <w:right w:val="none" w:sz="0" w:space="0" w:color="auto"/>
      </w:divBdr>
    </w:div>
    <w:div w:id="1516774236">
      <w:bodyDiv w:val="1"/>
      <w:marLeft w:val="0"/>
      <w:marRight w:val="0"/>
      <w:marTop w:val="0"/>
      <w:marBottom w:val="0"/>
      <w:divBdr>
        <w:top w:val="none" w:sz="0" w:space="0" w:color="auto"/>
        <w:left w:val="none" w:sz="0" w:space="0" w:color="auto"/>
        <w:bottom w:val="none" w:sz="0" w:space="0" w:color="auto"/>
        <w:right w:val="none" w:sz="0" w:space="0" w:color="auto"/>
      </w:divBdr>
    </w:div>
    <w:div w:id="1565481512">
      <w:bodyDiv w:val="1"/>
      <w:marLeft w:val="0"/>
      <w:marRight w:val="0"/>
      <w:marTop w:val="0"/>
      <w:marBottom w:val="0"/>
      <w:divBdr>
        <w:top w:val="none" w:sz="0" w:space="0" w:color="auto"/>
        <w:left w:val="none" w:sz="0" w:space="0" w:color="auto"/>
        <w:bottom w:val="none" w:sz="0" w:space="0" w:color="auto"/>
        <w:right w:val="none" w:sz="0" w:space="0" w:color="auto"/>
      </w:divBdr>
    </w:div>
    <w:div w:id="1625622422">
      <w:bodyDiv w:val="1"/>
      <w:marLeft w:val="0"/>
      <w:marRight w:val="0"/>
      <w:marTop w:val="0"/>
      <w:marBottom w:val="0"/>
      <w:divBdr>
        <w:top w:val="none" w:sz="0" w:space="0" w:color="auto"/>
        <w:left w:val="none" w:sz="0" w:space="0" w:color="auto"/>
        <w:bottom w:val="none" w:sz="0" w:space="0" w:color="auto"/>
        <w:right w:val="none" w:sz="0" w:space="0" w:color="auto"/>
      </w:divBdr>
    </w:div>
    <w:div w:id="1801150977">
      <w:bodyDiv w:val="1"/>
      <w:marLeft w:val="0"/>
      <w:marRight w:val="0"/>
      <w:marTop w:val="0"/>
      <w:marBottom w:val="0"/>
      <w:divBdr>
        <w:top w:val="none" w:sz="0" w:space="0" w:color="auto"/>
        <w:left w:val="none" w:sz="0" w:space="0" w:color="auto"/>
        <w:bottom w:val="none" w:sz="0" w:space="0" w:color="auto"/>
        <w:right w:val="none" w:sz="0" w:space="0" w:color="auto"/>
      </w:divBdr>
    </w:div>
    <w:div w:id="1868640322">
      <w:bodyDiv w:val="1"/>
      <w:marLeft w:val="0"/>
      <w:marRight w:val="0"/>
      <w:marTop w:val="0"/>
      <w:marBottom w:val="0"/>
      <w:divBdr>
        <w:top w:val="none" w:sz="0" w:space="0" w:color="auto"/>
        <w:left w:val="none" w:sz="0" w:space="0" w:color="auto"/>
        <w:bottom w:val="none" w:sz="0" w:space="0" w:color="auto"/>
        <w:right w:val="none" w:sz="0" w:space="0" w:color="auto"/>
      </w:divBdr>
    </w:div>
    <w:div w:id="1911112272">
      <w:bodyDiv w:val="1"/>
      <w:marLeft w:val="0"/>
      <w:marRight w:val="0"/>
      <w:marTop w:val="0"/>
      <w:marBottom w:val="0"/>
      <w:divBdr>
        <w:top w:val="none" w:sz="0" w:space="0" w:color="auto"/>
        <w:left w:val="none" w:sz="0" w:space="0" w:color="auto"/>
        <w:bottom w:val="none" w:sz="0" w:space="0" w:color="auto"/>
        <w:right w:val="none" w:sz="0" w:space="0" w:color="auto"/>
      </w:divBdr>
    </w:div>
    <w:div w:id="2004771778">
      <w:bodyDiv w:val="1"/>
      <w:marLeft w:val="0"/>
      <w:marRight w:val="0"/>
      <w:marTop w:val="0"/>
      <w:marBottom w:val="0"/>
      <w:divBdr>
        <w:top w:val="none" w:sz="0" w:space="0" w:color="auto"/>
        <w:left w:val="none" w:sz="0" w:space="0" w:color="auto"/>
        <w:bottom w:val="none" w:sz="0" w:space="0" w:color="auto"/>
        <w:right w:val="none" w:sz="0" w:space="0" w:color="auto"/>
      </w:divBdr>
    </w:div>
    <w:div w:id="2037611065">
      <w:bodyDiv w:val="1"/>
      <w:marLeft w:val="0"/>
      <w:marRight w:val="0"/>
      <w:marTop w:val="0"/>
      <w:marBottom w:val="0"/>
      <w:divBdr>
        <w:top w:val="none" w:sz="0" w:space="0" w:color="auto"/>
        <w:left w:val="none" w:sz="0" w:space="0" w:color="auto"/>
        <w:bottom w:val="none" w:sz="0" w:space="0" w:color="auto"/>
        <w:right w:val="none" w:sz="0" w:space="0" w:color="auto"/>
      </w:divBdr>
    </w:div>
    <w:div w:id="2043509174">
      <w:bodyDiv w:val="1"/>
      <w:marLeft w:val="0"/>
      <w:marRight w:val="0"/>
      <w:marTop w:val="0"/>
      <w:marBottom w:val="0"/>
      <w:divBdr>
        <w:top w:val="none" w:sz="0" w:space="0" w:color="auto"/>
        <w:left w:val="none" w:sz="0" w:space="0" w:color="auto"/>
        <w:bottom w:val="none" w:sz="0" w:space="0" w:color="auto"/>
        <w:right w:val="none" w:sz="0" w:space="0" w:color="auto"/>
      </w:divBdr>
    </w:div>
    <w:div w:id="2072917883">
      <w:bodyDiv w:val="1"/>
      <w:marLeft w:val="0"/>
      <w:marRight w:val="0"/>
      <w:marTop w:val="0"/>
      <w:marBottom w:val="0"/>
      <w:divBdr>
        <w:top w:val="none" w:sz="0" w:space="0" w:color="auto"/>
        <w:left w:val="none" w:sz="0" w:space="0" w:color="auto"/>
        <w:bottom w:val="none" w:sz="0" w:space="0" w:color="auto"/>
        <w:right w:val="none" w:sz="0" w:space="0" w:color="auto"/>
      </w:divBdr>
    </w:div>
    <w:div w:id="210160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03.safelinks.protection.outlook.com/?url=https%3A%2F%2Fpardee.du.edu%2F&amp;data=02%7C01%7Cnicole.igloi%40undp.org%7C2d40e28376b54a2267a908d6b2cffa20%7Cb3e5db5e2944483799f57488ace54319%7C0%7C0%7C636893003667967482&amp;sdata=MgT2hcY0rcyFsbogYLut8WZLaFC9gitXdxC4hygad8k%3D&amp;reserved=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ur03.safelinks.protection.outlook.com/?url=https%3A%2F%2Fundg.org%2Fdocument%2Fmainstreaming-the-2030-agenda-for-sustainable-development-reference-guide-for-un-country-teams%2F&amp;data=02%7C01%7Cnicole.igloi%40undp.org%7C23fcedf9d68341f840bd08d6b2f610fe%7Cb3e5db5e2944483799f57488ace54319%7C0%7C0%7C636893167259835374&amp;sdata=6NOvl87mEOMrckTEy0JM0Npq15Q5rhjUTPJYYQTEXq8%3D&amp;reserved=0" TargetMode="External"/><Relationship Id="rId17" Type="http://schemas.openxmlformats.org/officeDocument/2006/relationships/hyperlink" Target="https://outlook.live.com/owa/calendar/261fe921-a68b-4f3f-99c2-c24e393e578c/78c3b09f-a67e-4194-9cb7-b1ced00e5f61/cid-9F6CE184CFF24B6F/index.html" TargetMode="External"/><Relationship Id="rId2" Type="http://schemas.openxmlformats.org/officeDocument/2006/relationships/customXml" Target="../customXml/item2.xml"/><Relationship Id="rId16" Type="http://schemas.openxmlformats.org/officeDocument/2006/relationships/hyperlink" Target="https://open.undp.org/about-us/training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ur03.safelinks.protection.outlook.com/?url=https%3A%2F%2Fun-modelling.github.io%2Fcountry-projects%2Fbolivia%2F&amp;data=02%7C01%7Cnicole.igloi%40undp.org%7C2d40e28376b54a2267a908d6b2cffa20%7Cb3e5db5e2944483799f57488ace54319%7C0%7C0%7C636893003667977487&amp;sdata=MMZta87kp%2BEMrvApS4ljPnmpZj0H8GeYGe%2BHQiFYPMQ%3D&amp;reserved=0"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03.safelinks.protection.outlook.com/?url=https%3A%2F%2Fun-modelling.github.io%2Fmodelling-tools%2F%23clews&amp;data=02%7C01%7Cnicole.igloi%40undp.org%7C2d40e28376b54a2267a908d6b2cffa20%7Cb3e5db5e2944483799f57488ace54319%7C0%7C0%7C636893003667967482&amp;sdata=lc%2F9b1Xz%2F4Wm8m3k%2FgylC50n3658LlFtp5gS0XpirDo%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03.safelinks.protection.outlook.com/?url=https%3A%2F%2Fims.undg.org%2F&amp;data=02%7C01%7Chanayo.nakano%40undp.org%7Cee34fe625c604f87048e08d6c828ba0c%7Cb3e5db5e2944483799f57488ace54319%7C0%7C0%7C636916474573481558&amp;sdata=P8X5mQ7cdr7tsdR4mCAk%2F%2Bk4bvX5H0hbFDlJIbTA1h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C6457A107C6F546AC85143392BEF231" ma:contentTypeVersion="2" ma:contentTypeDescription="Create a new document." ma:contentTypeScope="" ma:versionID="4da932d1787446607dc3f1aec4122169">
  <xsd:schema xmlns:xsd="http://www.w3.org/2001/XMLSchema" xmlns:xs="http://www.w3.org/2001/XMLSchema" xmlns:p="http://schemas.microsoft.com/office/2006/metadata/properties" xmlns:ns2="7e320256-7cce-401b-a0bb-8340fd48467e" xmlns:ns3="05e84800-ff9a-43bb-bb7e-6161dfe90000" targetNamespace="http://schemas.microsoft.com/office/2006/metadata/properties" ma:root="true" ma:fieldsID="f0a10b6e20ec9d102e65e8869f14f6c6" ns2:_="" ns3:_="">
    <xsd:import namespace="7e320256-7cce-401b-a0bb-8340fd48467e"/>
    <xsd:import namespace="05e84800-ff9a-43bb-bb7e-6161dfe90000"/>
    <xsd:element name="properties">
      <xsd:complexType>
        <xsd:sequence>
          <xsd:element name="documentManagement">
            <xsd:complexType>
              <xsd:all>
                <xsd:element ref="ns2:Notes_x003a_" minOccurs="0"/>
                <xsd:element ref="ns2:Assigned_x0020_to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20256-7cce-401b-a0bb-8340fd48467e" elementFormDefault="qualified">
    <xsd:import namespace="http://schemas.microsoft.com/office/2006/documentManagement/types"/>
    <xsd:import namespace="http://schemas.microsoft.com/office/infopath/2007/PartnerControls"/>
    <xsd:element name="Notes_x003a_" ma:index="8" nillable="true" ma:displayName="Notes:" ma:internalName="Notes_x003a_">
      <xsd:simpleType>
        <xsd:restriction base="dms:Note">
          <xsd:maxLength value="255"/>
        </xsd:restriction>
      </xsd:simpleType>
    </xsd:element>
    <xsd:element name="Assigned_x0020_to0" ma:index="9" nillable="true" ma:displayName="Assigned to" ma:list="UserInfo" ma:SharePointGroup="0" ma:internalName="Assigned_x0020_to0"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tes_x003a_ xmlns="7e320256-7cce-401b-a0bb-8340fd48467e" xsi:nil="true"/>
    <Assigned_x0020_to0 xmlns="7e320256-7cce-401b-a0bb-8340fd48467e">
      <UserInfo>
        <DisplayName/>
        <AccountId xsi:nil="true"/>
        <AccountType/>
      </UserInfo>
    </Assigned_x0020_to0>
    <_dlc_DocId xmlns="05e84800-ff9a-43bb-bb7e-6161dfe90000">KKKATZMDSDUY-103-1879</_dlc_DocId>
    <_dlc_DocIdUrl xmlns="05e84800-ff9a-43bb-bb7e-6161dfe90000">
      <Url>https://intranet.undp.org/unit/bpps/DI/DItGroup/_layouts/15/DocIdRedir.aspx?ID=KKKATZMDSDUY-103-1879</Url>
      <Description>KKKATZMDSDUY-103-1879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FD6B3-6504-492C-986B-A4B4672B3BC0}">
  <ds:schemaRefs>
    <ds:schemaRef ds:uri="http://schemas.microsoft.com/sharepoint/v3/contenttype/forms"/>
  </ds:schemaRefs>
</ds:datastoreItem>
</file>

<file path=customXml/itemProps2.xml><?xml version="1.0" encoding="utf-8"?>
<ds:datastoreItem xmlns:ds="http://schemas.openxmlformats.org/officeDocument/2006/customXml" ds:itemID="{50B8FBCF-FAD4-4A43-A259-5C53B40C22D9}">
  <ds:schemaRefs>
    <ds:schemaRef ds:uri="http://schemas.microsoft.com/sharepoint/events"/>
  </ds:schemaRefs>
</ds:datastoreItem>
</file>

<file path=customXml/itemProps3.xml><?xml version="1.0" encoding="utf-8"?>
<ds:datastoreItem xmlns:ds="http://schemas.openxmlformats.org/officeDocument/2006/customXml" ds:itemID="{A5B4D94E-B1DA-4A33-A46A-69675919D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20256-7cce-401b-a0bb-8340fd48467e"/>
    <ds:schemaRef ds:uri="05e84800-ff9a-43bb-bb7e-6161dfe90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A56A24-0F63-4D89-B22F-017D31ED5A65}">
  <ds:schemaRefs>
    <ds:schemaRef ds:uri="http://schemas.microsoft.com/office/2006/metadata/properties"/>
    <ds:schemaRef ds:uri="http://schemas.microsoft.com/office/infopath/2007/PartnerControls"/>
    <ds:schemaRef ds:uri="7e320256-7cce-401b-a0bb-8340fd48467e"/>
    <ds:schemaRef ds:uri="05e84800-ff9a-43bb-bb7e-6161dfe90000"/>
  </ds:schemaRefs>
</ds:datastoreItem>
</file>

<file path=customXml/itemProps5.xml><?xml version="1.0" encoding="utf-8"?>
<ds:datastoreItem xmlns:ds="http://schemas.openxmlformats.org/officeDocument/2006/customXml" ds:itemID="{68C48E17-2C84-4BCB-BCFD-B648BE079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6609</Words>
  <Characters>37673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Thouraya Bahri</dc:creator>
  <cp:keywords/>
  <dc:description/>
  <cp:lastModifiedBy>Svetlana Iazykova</cp:lastModifiedBy>
  <cp:revision>2</cp:revision>
  <dcterms:created xsi:type="dcterms:W3CDTF">2019-04-29T15:03:00Z</dcterms:created>
  <dcterms:modified xsi:type="dcterms:W3CDTF">2019-04-29T15:03:00Z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0x0101005C6457A107C6F546AC85143392BEF231</vt:lpwstr>
  </property>
  <property fmtid="{D5CDD505-2E9C-101B-9397-08002B2CF9AE}" pid="3" name="_dlc_DocIdItemGuid">
    <vt:lpwstr>275f1086-e9ab-4dfd-a93f-04a336d9aaa1</vt:lpwstr>
  </property>
</Properties>
</file>