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6F" w:rsidRPr="00D1267C" w:rsidRDefault="00530E6F" w:rsidP="00EF18F6">
      <w:pPr>
        <w:pStyle w:val="Heading4"/>
        <w:rPr>
          <w:rFonts w:ascii="Times New Roman" w:hAnsi="Times New Roman"/>
          <w:sz w:val="20"/>
        </w:rPr>
      </w:pPr>
      <w:r w:rsidRPr="00D1267C">
        <w:rPr>
          <w:rFonts w:ascii="Times New Roman" w:hAnsi="Times New Roman"/>
          <w:sz w:val="20"/>
        </w:rPr>
        <w:t>First regular session 2018</w:t>
      </w:r>
    </w:p>
    <w:p w:rsidR="00530E6F" w:rsidRPr="00D1267C" w:rsidRDefault="00530E6F" w:rsidP="00011832">
      <w:pPr>
        <w:pStyle w:val="Heading4"/>
        <w:rPr>
          <w:sz w:val="20"/>
        </w:rPr>
      </w:pPr>
      <w:r w:rsidRPr="00D1267C">
        <w:rPr>
          <w:rFonts w:ascii="Times New Roman" w:hAnsi="Times New Roman"/>
          <w:b w:val="0"/>
          <w:sz w:val="20"/>
        </w:rPr>
        <w:t>4-8 June 2018, New York</w:t>
      </w:r>
    </w:p>
    <w:p w:rsidR="00530E6F" w:rsidRPr="00D1267C" w:rsidRDefault="00530E6F" w:rsidP="00011832">
      <w:pPr>
        <w:pStyle w:val="Heading4"/>
        <w:rPr>
          <w:sz w:val="20"/>
        </w:rPr>
      </w:pPr>
      <w:r w:rsidRPr="00D1267C">
        <w:rPr>
          <w:rFonts w:ascii="Times New Roman" w:hAnsi="Times New Roman"/>
          <w:b w:val="0"/>
          <w:sz w:val="20"/>
        </w:rPr>
        <w:t>Item 6 of the provisional agenda</w:t>
      </w:r>
    </w:p>
    <w:p w:rsidR="00530E6F" w:rsidRPr="00D1267C" w:rsidRDefault="00530E6F" w:rsidP="00011832">
      <w:pPr>
        <w:pStyle w:val="Heading4"/>
        <w:rPr>
          <w:b w:val="0"/>
          <w:sz w:val="20"/>
        </w:rPr>
      </w:pPr>
      <w:r w:rsidRPr="00D1267C">
        <w:rPr>
          <w:rFonts w:ascii="Times New Roman" w:hAnsi="Times New Roman"/>
          <w:sz w:val="20"/>
        </w:rPr>
        <w:t>Country programmes and related matters</w:t>
      </w:r>
    </w:p>
    <w:p w:rsidR="00530E6F" w:rsidRPr="00D1267C" w:rsidRDefault="00530E6F" w:rsidP="00530E6F">
      <w:pPr>
        <w:pStyle w:val="SingleTxt"/>
        <w:spacing w:after="0" w:line="120" w:lineRule="exact"/>
        <w:rPr>
          <w:color w:val="000000"/>
          <w:lang w:val="en-US"/>
        </w:rPr>
      </w:pPr>
    </w:p>
    <w:p w:rsidR="00530E6F" w:rsidRPr="00D1267C" w:rsidRDefault="00530E6F" w:rsidP="00530E6F">
      <w:pPr>
        <w:pStyle w:val="SingleTxt"/>
        <w:spacing w:after="0" w:line="120" w:lineRule="exact"/>
        <w:rPr>
          <w:color w:val="000000"/>
          <w:lang w:val="en-US"/>
        </w:rPr>
      </w:pPr>
    </w:p>
    <w:p w:rsidR="00530E6F" w:rsidRPr="00E70596" w:rsidRDefault="00530E6F" w:rsidP="00530E6F">
      <w:pPr>
        <w:pStyle w:val="SingleTxt"/>
        <w:spacing w:after="0" w:line="120" w:lineRule="exact"/>
        <w:rPr>
          <w:color w:val="000000"/>
          <w:sz w:val="10"/>
          <w:lang w:val="en-US"/>
        </w:rPr>
      </w:pPr>
    </w:p>
    <w:p w:rsidR="00530E6F" w:rsidRPr="006E1155" w:rsidRDefault="00530E6F" w:rsidP="00530E6F">
      <w:pPr>
        <w:tabs>
          <w:tab w:val="left" w:pos="1620"/>
        </w:tabs>
        <w:ind w:right="-360"/>
        <w:rPr>
          <w:bCs/>
          <w:color w:val="000000"/>
          <w:lang w:val="en-GB" w:eastAsia="fr-FR"/>
        </w:rPr>
      </w:pPr>
      <w:r w:rsidRPr="00E70596">
        <w:rPr>
          <w:color w:val="000000"/>
        </w:rPr>
        <w:tab/>
      </w:r>
    </w:p>
    <w:p w:rsidR="00530E6F" w:rsidRPr="006E1155" w:rsidRDefault="00530E6F" w:rsidP="00530E6F">
      <w:pPr>
        <w:tabs>
          <w:tab w:val="left" w:pos="1620"/>
        </w:tabs>
        <w:ind w:right="-360"/>
        <w:rPr>
          <w:b/>
          <w:bCs/>
          <w:color w:val="000000"/>
          <w:sz w:val="32"/>
          <w:szCs w:val="32"/>
          <w:lang w:val="en-GB" w:eastAsia="fr-FR"/>
        </w:rPr>
      </w:pPr>
      <w:r w:rsidRPr="006E1155">
        <w:rPr>
          <w:b/>
          <w:bCs/>
          <w:color w:val="000000"/>
          <w:sz w:val="32"/>
          <w:szCs w:val="32"/>
          <w:lang w:val="en-GB" w:eastAsia="fr-FR"/>
        </w:rPr>
        <w:t xml:space="preserve">Draft country programme document for </w:t>
      </w:r>
      <w:r>
        <w:rPr>
          <w:b/>
          <w:bCs/>
          <w:color w:val="000000"/>
          <w:sz w:val="32"/>
          <w:szCs w:val="32"/>
          <w:lang w:val="en-GB" w:eastAsia="fr-FR"/>
        </w:rPr>
        <w:t>Rwanda</w:t>
      </w:r>
      <w:r w:rsidRPr="006E1155">
        <w:rPr>
          <w:b/>
          <w:bCs/>
          <w:color w:val="000000"/>
          <w:sz w:val="32"/>
          <w:szCs w:val="32"/>
          <w:lang w:val="en-GB" w:eastAsia="fr-FR"/>
        </w:rPr>
        <w:t xml:space="preserve"> (201</w:t>
      </w:r>
      <w:r>
        <w:rPr>
          <w:b/>
          <w:bCs/>
          <w:color w:val="000000"/>
          <w:sz w:val="32"/>
          <w:szCs w:val="32"/>
          <w:lang w:val="en-GB" w:eastAsia="fr-FR"/>
        </w:rPr>
        <w:t>8</w:t>
      </w:r>
      <w:r w:rsidRPr="006E1155">
        <w:rPr>
          <w:b/>
          <w:bCs/>
          <w:color w:val="000000"/>
          <w:sz w:val="32"/>
          <w:szCs w:val="32"/>
          <w:lang w:val="en-GB" w:eastAsia="fr-FR"/>
        </w:rPr>
        <w:t>-202</w:t>
      </w:r>
      <w:r>
        <w:rPr>
          <w:b/>
          <w:bCs/>
          <w:color w:val="000000"/>
          <w:sz w:val="32"/>
          <w:szCs w:val="32"/>
          <w:lang w:val="en-GB" w:eastAsia="fr-FR"/>
        </w:rPr>
        <w:t>3</w:t>
      </w:r>
      <w:r w:rsidRPr="006E1155">
        <w:rPr>
          <w:b/>
          <w:bCs/>
          <w:color w:val="000000"/>
          <w:sz w:val="32"/>
          <w:szCs w:val="32"/>
          <w:lang w:val="en-GB" w:eastAsia="fr-FR"/>
        </w:rPr>
        <w:t>)</w:t>
      </w:r>
    </w:p>
    <w:p w:rsidR="00530E6F" w:rsidRPr="006E1155" w:rsidRDefault="00530E6F" w:rsidP="00530E6F">
      <w:pPr>
        <w:tabs>
          <w:tab w:val="left" w:pos="1620"/>
        </w:tabs>
        <w:ind w:right="-360"/>
        <w:rPr>
          <w:b/>
          <w:color w:val="000000"/>
          <w:sz w:val="32"/>
          <w:szCs w:val="32"/>
          <w:lang w:val="en-GB" w:eastAsia="fr-FR"/>
        </w:rPr>
      </w:pPr>
    </w:p>
    <w:p w:rsidR="00530E6F" w:rsidRPr="006E1155" w:rsidRDefault="00530E6F" w:rsidP="00530E6F">
      <w:pPr>
        <w:tabs>
          <w:tab w:val="left" w:pos="1620"/>
        </w:tabs>
        <w:ind w:left="-720" w:right="328"/>
        <w:rPr>
          <w:color w:val="000000"/>
          <w:lang w:val="en-GB" w:eastAsia="fr-FR"/>
        </w:rPr>
      </w:pPr>
    </w:p>
    <w:p w:rsidR="00530E6F" w:rsidRPr="006E1155" w:rsidRDefault="00530E6F" w:rsidP="00530E6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6E1155">
        <w:rPr>
          <w:color w:val="000000"/>
          <w:kern w:val="14"/>
          <w:sz w:val="28"/>
          <w:lang w:val="en-GB" w:eastAsia="fr-FR"/>
        </w:rPr>
        <w:t>Contents</w:t>
      </w:r>
    </w:p>
    <w:p w:rsidR="00530E6F" w:rsidRPr="006E1155" w:rsidRDefault="00530E6F" w:rsidP="00530E6F">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30E6F" w:rsidRPr="006E1155" w:rsidTr="00A25DE2">
        <w:tc>
          <w:tcPr>
            <w:tcW w:w="1060" w:type="dxa"/>
            <w:shd w:val="clear" w:color="auto" w:fill="auto"/>
          </w:tcPr>
          <w:p w:rsidR="00530E6F" w:rsidRPr="006E1155" w:rsidRDefault="00530E6F" w:rsidP="00A25DE2">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rsidR="00530E6F" w:rsidRPr="006E1155" w:rsidRDefault="00530E6F" w:rsidP="00A25DE2">
            <w:pPr>
              <w:tabs>
                <w:tab w:val="left" w:pos="1620"/>
              </w:tabs>
              <w:suppressAutoHyphens/>
              <w:spacing w:after="120"/>
              <w:rPr>
                <w:i/>
                <w:color w:val="000000"/>
                <w:spacing w:val="4"/>
                <w:w w:val="103"/>
                <w:kern w:val="14"/>
                <w:sz w:val="14"/>
                <w:lang w:val="en-GB" w:eastAsia="fr-FR"/>
              </w:rPr>
            </w:pPr>
          </w:p>
        </w:tc>
        <w:tc>
          <w:tcPr>
            <w:tcW w:w="362" w:type="dxa"/>
            <w:shd w:val="clear" w:color="auto" w:fill="auto"/>
          </w:tcPr>
          <w:p w:rsidR="00530E6F" w:rsidRPr="006E1155" w:rsidRDefault="00530E6F" w:rsidP="00A25DE2">
            <w:pPr>
              <w:tabs>
                <w:tab w:val="left" w:pos="1620"/>
              </w:tabs>
              <w:suppressAutoHyphens/>
              <w:spacing w:after="120"/>
              <w:jc w:val="right"/>
              <w:rPr>
                <w:i/>
                <w:color w:val="000000"/>
                <w:spacing w:val="4"/>
                <w:w w:val="103"/>
                <w:kern w:val="14"/>
                <w:sz w:val="14"/>
                <w:lang w:val="en-GB" w:eastAsia="fr-FR"/>
              </w:rPr>
            </w:pPr>
            <w:r w:rsidRPr="006E1155">
              <w:rPr>
                <w:i/>
                <w:iCs/>
                <w:color w:val="000000"/>
                <w:kern w:val="14"/>
                <w:sz w:val="14"/>
                <w:lang w:val="en-GB" w:eastAsia="fr-FR"/>
              </w:rPr>
              <w:t>Page</w:t>
            </w:r>
          </w:p>
        </w:tc>
      </w:tr>
      <w:tr w:rsidR="00530E6F" w:rsidRPr="006E1155" w:rsidTr="00A25DE2">
        <w:tc>
          <w:tcPr>
            <w:tcW w:w="9540" w:type="dxa"/>
            <w:gridSpan w:val="3"/>
            <w:shd w:val="clear" w:color="auto" w:fill="auto"/>
          </w:tcPr>
          <w:p w:rsidR="00530E6F" w:rsidRPr="006E1155" w:rsidRDefault="00530E6F" w:rsidP="00530E6F">
            <w:pPr>
              <w:numPr>
                <w:ilvl w:val="0"/>
                <w:numId w:val="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rationale</w:t>
            </w:r>
            <w:r w:rsidRPr="006E1155">
              <w:rPr>
                <w:color w:val="000000"/>
                <w:sz w:val="24"/>
                <w:szCs w:val="24"/>
                <w:lang w:val="en-GB" w:eastAsia="fr-FR"/>
              </w:rPr>
              <w:tab/>
            </w:r>
          </w:p>
        </w:tc>
        <w:tc>
          <w:tcPr>
            <w:tcW w:w="362" w:type="dxa"/>
            <w:vMerge w:val="restart"/>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2</w:t>
            </w:r>
          </w:p>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5</w:t>
            </w:r>
          </w:p>
        </w:tc>
      </w:tr>
      <w:tr w:rsidR="00530E6F" w:rsidRPr="006E1155" w:rsidTr="00A25DE2">
        <w:tc>
          <w:tcPr>
            <w:tcW w:w="9540" w:type="dxa"/>
            <w:gridSpan w:val="3"/>
            <w:shd w:val="clear" w:color="auto" w:fill="auto"/>
          </w:tcPr>
          <w:p w:rsidR="00530E6F" w:rsidRPr="006E1155" w:rsidRDefault="00530E6F" w:rsidP="00530E6F">
            <w:pPr>
              <w:numPr>
                <w:ilvl w:val="0"/>
                <w:numId w:val="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priorities and partnerships………………………………………………….</w:t>
            </w:r>
            <w:r w:rsidRPr="006E1155">
              <w:rPr>
                <w:color w:val="000000"/>
                <w:kern w:val="14"/>
                <w:sz w:val="17"/>
                <w:lang w:val="en-GB" w:eastAsia="fr-FR"/>
              </w:rPr>
              <w:tab/>
            </w:r>
            <w:r w:rsidRPr="006E1155">
              <w:rPr>
                <w:color w:val="000000"/>
                <w:kern w:val="14"/>
                <w:lang w:val="en-GB" w:eastAsia="fr-FR"/>
              </w:rPr>
              <w:t>……….…</w:t>
            </w:r>
          </w:p>
        </w:tc>
        <w:tc>
          <w:tcPr>
            <w:tcW w:w="362" w:type="dxa"/>
            <w:vMerge/>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p>
        </w:tc>
      </w:tr>
      <w:tr w:rsidR="00530E6F" w:rsidRPr="006E1155" w:rsidTr="00A25DE2">
        <w:tc>
          <w:tcPr>
            <w:tcW w:w="9540" w:type="dxa"/>
            <w:gridSpan w:val="3"/>
            <w:shd w:val="clear" w:color="auto" w:fill="auto"/>
          </w:tcPr>
          <w:p w:rsidR="00530E6F" w:rsidRPr="006E1155" w:rsidRDefault="00530E6F" w:rsidP="00530E6F">
            <w:pPr>
              <w:numPr>
                <w:ilvl w:val="0"/>
                <w:numId w:val="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and risk management</w:t>
            </w:r>
            <w:r w:rsidRPr="006E1155">
              <w:rPr>
                <w:color w:val="000000"/>
                <w:sz w:val="24"/>
                <w:szCs w:val="24"/>
                <w:lang w:val="en-GB" w:eastAsia="fr-FR"/>
              </w:rPr>
              <w:tab/>
            </w:r>
          </w:p>
        </w:tc>
        <w:tc>
          <w:tcPr>
            <w:tcW w:w="362" w:type="dxa"/>
            <w:vMerge w:val="restart"/>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8</w:t>
            </w:r>
          </w:p>
          <w:p w:rsidR="00530E6F" w:rsidRPr="006E1155" w:rsidRDefault="00CF107E" w:rsidP="00A25DE2">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bookmarkStart w:id="0" w:name="_GoBack"/>
            <w:bookmarkEnd w:id="0"/>
          </w:p>
        </w:tc>
      </w:tr>
      <w:tr w:rsidR="00530E6F" w:rsidRPr="006E1155" w:rsidTr="00A25DE2">
        <w:tc>
          <w:tcPr>
            <w:tcW w:w="9540" w:type="dxa"/>
            <w:gridSpan w:val="3"/>
            <w:shd w:val="clear" w:color="auto" w:fill="auto"/>
          </w:tcPr>
          <w:p w:rsidR="00530E6F" w:rsidRPr="006E1155" w:rsidRDefault="00530E6F" w:rsidP="00530E6F">
            <w:pPr>
              <w:numPr>
                <w:ilvl w:val="0"/>
                <w:numId w:val="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Monitoring and evaluation</w:t>
            </w:r>
            <w:r w:rsidRPr="006E1155">
              <w:rPr>
                <w:color w:val="000000"/>
                <w:sz w:val="24"/>
                <w:szCs w:val="24"/>
                <w:lang w:val="en-GB" w:eastAsia="fr-FR"/>
              </w:rPr>
              <w:tab/>
            </w:r>
            <w:r w:rsidRPr="006E1155">
              <w:rPr>
                <w:color w:val="000000"/>
                <w:lang w:val="en-GB" w:eastAsia="fr-FR"/>
              </w:rPr>
              <w:t>…………………………………………………….……………………</w:t>
            </w:r>
          </w:p>
        </w:tc>
        <w:tc>
          <w:tcPr>
            <w:tcW w:w="362" w:type="dxa"/>
            <w:vMerge/>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p>
        </w:tc>
      </w:tr>
      <w:tr w:rsidR="00530E6F" w:rsidRPr="006E1155" w:rsidTr="00A25DE2">
        <w:tc>
          <w:tcPr>
            <w:tcW w:w="9369" w:type="dxa"/>
            <w:gridSpan w:val="2"/>
            <w:shd w:val="clear" w:color="auto" w:fill="auto"/>
          </w:tcPr>
          <w:p w:rsidR="00530E6F" w:rsidRPr="006E1155" w:rsidRDefault="00530E6F" w:rsidP="00A25DE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6E1155">
              <w:rPr>
                <w:color w:val="000000"/>
                <w:kern w:val="14"/>
                <w:lang w:val="en-GB" w:eastAsia="fr-FR"/>
              </w:rPr>
              <w:t xml:space="preserve">     Annex</w:t>
            </w:r>
          </w:p>
        </w:tc>
        <w:tc>
          <w:tcPr>
            <w:tcW w:w="533" w:type="dxa"/>
            <w:gridSpan w:val="2"/>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p>
        </w:tc>
      </w:tr>
      <w:tr w:rsidR="00530E6F" w:rsidRPr="006E1155" w:rsidTr="00A25DE2">
        <w:tc>
          <w:tcPr>
            <w:tcW w:w="9369" w:type="dxa"/>
            <w:gridSpan w:val="2"/>
            <w:shd w:val="clear" w:color="auto" w:fill="auto"/>
          </w:tcPr>
          <w:p w:rsidR="00530E6F" w:rsidRPr="006E1155" w:rsidRDefault="00530E6F" w:rsidP="00A25DE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6E1155">
              <w:rPr>
                <w:color w:val="000000"/>
                <w:kern w:val="14"/>
                <w:lang w:val="en-GB" w:eastAsia="fr-FR"/>
              </w:rPr>
              <w:t xml:space="preserve">Results and resources framework for </w:t>
            </w:r>
            <w:r w:rsidR="00D62EAC">
              <w:rPr>
                <w:color w:val="000000"/>
                <w:kern w:val="14"/>
                <w:lang w:val="en-GB" w:eastAsia="fr-FR"/>
              </w:rPr>
              <w:t>Rwanda</w:t>
            </w:r>
            <w:r w:rsidRPr="006E1155">
              <w:rPr>
                <w:color w:val="000000"/>
                <w:kern w:val="14"/>
                <w:lang w:val="en-GB" w:eastAsia="fr-FR"/>
              </w:rPr>
              <w:t xml:space="preserve"> (201</w:t>
            </w:r>
            <w:r>
              <w:rPr>
                <w:color w:val="000000"/>
                <w:kern w:val="14"/>
                <w:lang w:val="en-GB" w:eastAsia="fr-FR"/>
              </w:rPr>
              <w:t>8</w:t>
            </w:r>
            <w:r w:rsidRPr="006E1155">
              <w:rPr>
                <w:color w:val="000000"/>
                <w:kern w:val="14"/>
                <w:lang w:val="en-GB" w:eastAsia="fr-FR"/>
              </w:rPr>
              <w:t>-202</w:t>
            </w:r>
            <w:r>
              <w:rPr>
                <w:color w:val="000000"/>
                <w:kern w:val="14"/>
                <w:lang w:val="en-GB" w:eastAsia="fr-FR"/>
              </w:rPr>
              <w:t>3</w:t>
            </w:r>
            <w:r w:rsidRPr="006E1155">
              <w:rPr>
                <w:color w:val="000000"/>
                <w:kern w:val="14"/>
                <w:lang w:val="en-GB" w:eastAsia="fr-FR"/>
              </w:rPr>
              <w:t>)</w:t>
            </w:r>
          </w:p>
        </w:tc>
        <w:tc>
          <w:tcPr>
            <w:tcW w:w="533" w:type="dxa"/>
            <w:gridSpan w:val="2"/>
            <w:shd w:val="clear" w:color="auto" w:fill="auto"/>
            <w:vAlign w:val="bottom"/>
          </w:tcPr>
          <w:p w:rsidR="00530E6F" w:rsidRPr="006E1155" w:rsidRDefault="00530E6F" w:rsidP="00A25DE2">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10</w:t>
            </w:r>
          </w:p>
        </w:tc>
      </w:tr>
    </w:tbl>
    <w:p w:rsidR="00530E6F" w:rsidRPr="006E1155" w:rsidRDefault="00530E6F" w:rsidP="00530E6F"/>
    <w:p w:rsidR="00F0066E" w:rsidRPr="00A830B8" w:rsidRDefault="00785474" w:rsidP="00A52112">
      <w:pPr>
        <w:pStyle w:val="Heading2"/>
        <w:ind w:left="1530" w:right="1267" w:hanging="263"/>
        <w:jc w:val="both"/>
        <w:rPr>
          <w:rFonts w:ascii="Times New Roman" w:hAnsi="Times New Roman"/>
          <w:color w:val="000000"/>
          <w:sz w:val="20"/>
        </w:rPr>
      </w:pPr>
      <w:r w:rsidRPr="00A830B8">
        <w:rPr>
          <w:rFonts w:ascii="Times New Roman" w:hAnsi="Times New Roman"/>
          <w:sz w:val="20"/>
        </w:rPr>
        <w:br w:type="page"/>
      </w:r>
    </w:p>
    <w:p w:rsidR="00EE0DF2" w:rsidRPr="00A830B8" w:rsidRDefault="00EE0DF2" w:rsidP="00A52112">
      <w:pPr>
        <w:numPr>
          <w:ilvl w:val="0"/>
          <w:numId w:val="1"/>
        </w:numPr>
        <w:tabs>
          <w:tab w:val="num" w:pos="720"/>
        </w:tabs>
        <w:ind w:right="1210"/>
        <w:jc w:val="both"/>
        <w:rPr>
          <w:color w:val="000000"/>
        </w:rPr>
        <w:sectPr w:rsidR="00EE0DF2" w:rsidRPr="00A830B8" w:rsidSect="00F77B5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type w:val="nextColumn"/>
          <w:pgSz w:w="12240" w:h="15840" w:code="1"/>
          <w:pgMar w:top="1166" w:right="1195" w:bottom="1440" w:left="1195" w:header="576" w:footer="1037" w:gutter="0"/>
          <w:cols w:space="720"/>
          <w:noEndnote/>
          <w:titlePg/>
          <w:docGrid w:linePitch="272"/>
        </w:sectPr>
      </w:pPr>
    </w:p>
    <w:p w:rsidR="003A3CB7" w:rsidRDefault="003A3CB7" w:rsidP="00C4374A">
      <w:pPr>
        <w:pStyle w:val="Heading1"/>
        <w:numPr>
          <w:ilvl w:val="0"/>
          <w:numId w:val="5"/>
        </w:numPr>
        <w:tabs>
          <w:tab w:val="left" w:pos="360"/>
          <w:tab w:val="left" w:pos="450"/>
        </w:tabs>
        <w:ind w:left="1170" w:right="1030" w:hanging="270"/>
        <w:jc w:val="both"/>
        <w:rPr>
          <w:rFonts w:ascii="Times New Roman" w:eastAsia="Calibri" w:hAnsi="Times New Roman"/>
          <w:bCs/>
          <w:szCs w:val="28"/>
          <w:lang w:val="en-GB"/>
        </w:rPr>
      </w:pPr>
      <w:bookmarkStart w:id="1" w:name="_Toc506820997"/>
      <w:r w:rsidRPr="00AD12C8">
        <w:rPr>
          <w:rFonts w:ascii="Times New Roman" w:eastAsia="Calibri" w:hAnsi="Times New Roman"/>
          <w:bCs/>
          <w:szCs w:val="28"/>
          <w:lang w:val="en-GB"/>
        </w:rPr>
        <w:lastRenderedPageBreak/>
        <w:t xml:space="preserve">Programme </w:t>
      </w:r>
      <w:r w:rsidR="00C4374A">
        <w:rPr>
          <w:rFonts w:ascii="Times New Roman" w:eastAsia="Calibri" w:hAnsi="Times New Roman"/>
          <w:bCs/>
          <w:szCs w:val="28"/>
          <w:lang w:val="en-GB"/>
        </w:rPr>
        <w:t>r</w:t>
      </w:r>
      <w:r w:rsidRPr="00AD12C8">
        <w:rPr>
          <w:rFonts w:ascii="Times New Roman" w:eastAsia="Calibri" w:hAnsi="Times New Roman"/>
          <w:bCs/>
          <w:szCs w:val="28"/>
          <w:lang w:val="en-GB"/>
        </w:rPr>
        <w:t>ationale</w:t>
      </w:r>
      <w:bookmarkEnd w:id="1"/>
    </w:p>
    <w:p w:rsidR="008668E9" w:rsidRPr="00944FD5" w:rsidRDefault="008668E9" w:rsidP="00C4374A">
      <w:pPr>
        <w:ind w:left="1170" w:right="1030"/>
        <w:rPr>
          <w:rFonts w:eastAsia="Calibri"/>
          <w:sz w:val="16"/>
          <w:szCs w:val="16"/>
          <w:lang w:val="en-GB" w:eastAsia="x-none"/>
        </w:rPr>
      </w:pPr>
    </w:p>
    <w:p w:rsidR="0006756E" w:rsidRPr="00A830B8" w:rsidRDefault="0006756E" w:rsidP="00D13CB0">
      <w:pPr>
        <w:pStyle w:val="ListParagraph"/>
        <w:numPr>
          <w:ilvl w:val="0"/>
          <w:numId w:val="3"/>
        </w:numPr>
        <w:tabs>
          <w:tab w:val="left" w:pos="1170"/>
        </w:tabs>
        <w:spacing w:after="120"/>
        <w:ind w:left="1170" w:right="1030" w:firstLine="0"/>
        <w:contextualSpacing/>
        <w:jc w:val="both"/>
        <w:rPr>
          <w:rFonts w:eastAsia="Calibri"/>
          <w:lang w:val="en-GB"/>
        </w:rPr>
      </w:pPr>
      <w:r w:rsidRPr="00A830B8">
        <w:rPr>
          <w:rFonts w:eastAsia="Calibri"/>
          <w:lang w:val="en-GB"/>
        </w:rPr>
        <w:t xml:space="preserve">Since the devastating 1994 </w:t>
      </w:r>
      <w:r w:rsidR="00A25DE2">
        <w:rPr>
          <w:rFonts w:eastAsia="Calibri"/>
          <w:lang w:val="en-GB"/>
        </w:rPr>
        <w:t>g</w:t>
      </w:r>
      <w:r w:rsidR="00A25DE2" w:rsidRPr="00A830B8">
        <w:rPr>
          <w:rFonts w:eastAsia="Calibri"/>
          <w:lang w:val="en-GB"/>
        </w:rPr>
        <w:t xml:space="preserve">enocide </w:t>
      </w:r>
      <w:r w:rsidRPr="00A830B8">
        <w:rPr>
          <w:rFonts w:eastAsia="Calibri"/>
          <w:lang w:val="en-GB"/>
        </w:rPr>
        <w:t xml:space="preserve">against the Tutsi, Rwanda has emerged as an impressive story of transformation in Africa. Guided by successive national medium-term plans and by comprehensive policy reforms over the last two decades, the country has achieved remarkable socioeconomic progress demonstrated, </w:t>
      </w:r>
      <w:r w:rsidRPr="00011832">
        <w:rPr>
          <w:rFonts w:eastAsia="Calibri"/>
          <w:iCs/>
          <w:lang w:val="en-GB"/>
        </w:rPr>
        <w:t>inter alia</w:t>
      </w:r>
      <w:r w:rsidRPr="00A830B8">
        <w:rPr>
          <w:rFonts w:eastAsia="Calibri"/>
          <w:lang w:val="en-GB"/>
        </w:rPr>
        <w:t xml:space="preserve">, by a more than three-fold increase in per capita </w:t>
      </w:r>
      <w:r w:rsidR="00A25DE2">
        <w:rPr>
          <w:rFonts w:eastAsia="Calibri"/>
          <w:lang w:val="en-GB"/>
        </w:rPr>
        <w:t>gross domestic product (</w:t>
      </w:r>
      <w:r w:rsidRPr="00A830B8">
        <w:rPr>
          <w:rFonts w:eastAsia="Calibri"/>
          <w:lang w:val="en-GB"/>
        </w:rPr>
        <w:t>GDP</w:t>
      </w:r>
      <w:r w:rsidR="00A25DE2">
        <w:rPr>
          <w:rFonts w:eastAsia="Calibri"/>
          <w:lang w:val="en-GB"/>
        </w:rPr>
        <w:t>)</w:t>
      </w:r>
      <w:r w:rsidRPr="00A830B8">
        <w:rPr>
          <w:rFonts w:eastAsia="Calibri"/>
          <w:lang w:val="en-GB"/>
        </w:rPr>
        <w:t xml:space="preserve"> from $206 in 2002 to $729 in 2016.</w:t>
      </w:r>
      <w:r w:rsidR="00A3629F" w:rsidRPr="007830FB">
        <w:rPr>
          <w:rStyle w:val="FootnoteReference"/>
          <w:rFonts w:eastAsia="Calibri"/>
          <w:lang w:val="en-GB"/>
        </w:rPr>
        <w:footnoteReference w:id="1"/>
      </w:r>
      <w:r w:rsidRPr="00A830B8">
        <w:rPr>
          <w:rFonts w:eastAsia="Calibri"/>
          <w:lang w:val="en-GB"/>
        </w:rPr>
        <w:t xml:space="preserve"> Real GDP growth averaged 8.2 per</w:t>
      </w:r>
      <w:r w:rsidR="00A25DE2">
        <w:rPr>
          <w:rFonts w:eastAsia="Calibri"/>
          <w:lang w:val="en-GB"/>
        </w:rPr>
        <w:t xml:space="preserve"> </w:t>
      </w:r>
      <w:r w:rsidRPr="00A830B8">
        <w:rPr>
          <w:rFonts w:eastAsia="Calibri"/>
          <w:lang w:val="en-GB"/>
        </w:rPr>
        <w:t>cent during 2000-2010, and 7.3 per</w:t>
      </w:r>
      <w:r w:rsidR="00A25DE2">
        <w:rPr>
          <w:rFonts w:eastAsia="Calibri"/>
          <w:lang w:val="en-GB"/>
        </w:rPr>
        <w:t xml:space="preserve"> </w:t>
      </w:r>
      <w:r w:rsidRPr="00A830B8">
        <w:rPr>
          <w:rFonts w:eastAsia="Calibri"/>
          <w:lang w:val="en-GB"/>
        </w:rPr>
        <w:t>cent for 2010-2016, much higher than the 5.2 per</w:t>
      </w:r>
      <w:r w:rsidR="00A25DE2">
        <w:rPr>
          <w:rFonts w:eastAsia="Calibri"/>
          <w:lang w:val="en-GB"/>
        </w:rPr>
        <w:t xml:space="preserve"> </w:t>
      </w:r>
      <w:r w:rsidRPr="00A830B8">
        <w:rPr>
          <w:rFonts w:eastAsia="Calibri"/>
          <w:lang w:val="en-GB"/>
        </w:rPr>
        <w:t xml:space="preserve">cent average for </w:t>
      </w:r>
      <w:r w:rsidR="00A25DE2">
        <w:rPr>
          <w:rFonts w:eastAsia="Calibri"/>
          <w:lang w:val="en-GB"/>
        </w:rPr>
        <w:t>s</w:t>
      </w:r>
      <w:r w:rsidR="00A25DE2" w:rsidRPr="00A830B8">
        <w:rPr>
          <w:rFonts w:eastAsia="Calibri"/>
          <w:lang w:val="en-GB"/>
        </w:rPr>
        <w:t>ub</w:t>
      </w:r>
      <w:r w:rsidRPr="00A830B8">
        <w:rPr>
          <w:rFonts w:eastAsia="Calibri"/>
          <w:lang w:val="en-GB"/>
        </w:rPr>
        <w:t>-Saharan Africa.</w:t>
      </w:r>
      <w:r w:rsidR="00A3629F" w:rsidRPr="007830FB">
        <w:rPr>
          <w:rStyle w:val="FootnoteReference"/>
          <w:rFonts w:eastAsia="Calibri"/>
          <w:lang w:val="en-GB"/>
        </w:rPr>
        <w:footnoteReference w:id="2"/>
      </w:r>
    </w:p>
    <w:p w:rsidR="0006756E" w:rsidRPr="00D13CB0" w:rsidRDefault="0006756E" w:rsidP="00D13CB0">
      <w:pPr>
        <w:pStyle w:val="ListParagraph"/>
        <w:tabs>
          <w:tab w:val="left" w:pos="1170"/>
        </w:tabs>
        <w:ind w:left="1170" w:right="1030"/>
        <w:jc w:val="both"/>
        <w:rPr>
          <w:rFonts w:eastAsia="Calibri"/>
          <w:sz w:val="12"/>
          <w:szCs w:val="12"/>
          <w:lang w:val="en-GB"/>
        </w:rPr>
      </w:pPr>
    </w:p>
    <w:p w:rsidR="0006756E" w:rsidRPr="00A830B8" w:rsidRDefault="0006756E" w:rsidP="00D13CB0">
      <w:pPr>
        <w:pStyle w:val="ListParagraph"/>
        <w:numPr>
          <w:ilvl w:val="0"/>
          <w:numId w:val="3"/>
        </w:numPr>
        <w:tabs>
          <w:tab w:val="left" w:pos="1170"/>
        </w:tabs>
        <w:ind w:left="1170" w:right="1030" w:firstLine="0"/>
        <w:contextualSpacing/>
        <w:jc w:val="both"/>
        <w:rPr>
          <w:rFonts w:eastAsia="Calibri"/>
          <w:lang w:val="en-GB"/>
        </w:rPr>
      </w:pPr>
      <w:r w:rsidRPr="00A830B8">
        <w:rPr>
          <w:rFonts w:eastAsia="Calibri"/>
          <w:lang w:val="en-GB"/>
        </w:rPr>
        <w:t xml:space="preserve">Rwanda’s economic growth has been relatively </w:t>
      </w:r>
      <w:r w:rsidR="00346D59" w:rsidRPr="006837BE">
        <w:rPr>
          <w:rFonts w:eastAsia="Calibri"/>
          <w:lang w:val="en-GB"/>
        </w:rPr>
        <w:t>broad-based:</w:t>
      </w:r>
      <w:r w:rsidR="00346D59">
        <w:rPr>
          <w:rStyle w:val="CommentReference"/>
        </w:rPr>
        <w:t xml:space="preserve"> </w:t>
      </w:r>
      <w:r w:rsidR="00346D59" w:rsidRPr="00A830B8">
        <w:rPr>
          <w:rFonts w:eastAsia="Calibri"/>
          <w:lang w:val="en-GB"/>
        </w:rPr>
        <w:t>between</w:t>
      </w:r>
      <w:r w:rsidRPr="00A830B8">
        <w:rPr>
          <w:rFonts w:eastAsia="Calibri"/>
          <w:lang w:val="en-GB"/>
        </w:rPr>
        <w:t xml:space="preserve"> 2000</w:t>
      </w:r>
      <w:r w:rsidR="00A25DE2">
        <w:rPr>
          <w:rFonts w:eastAsia="Calibri"/>
          <w:lang w:val="en-GB"/>
        </w:rPr>
        <w:t xml:space="preserve"> and </w:t>
      </w:r>
      <w:r w:rsidRPr="00A830B8">
        <w:rPr>
          <w:rFonts w:eastAsia="Calibri"/>
          <w:lang w:val="en-GB"/>
        </w:rPr>
        <w:t>2016</w:t>
      </w:r>
      <w:r w:rsidR="00A25DE2">
        <w:rPr>
          <w:rFonts w:eastAsia="Calibri"/>
          <w:lang w:val="en-GB"/>
        </w:rPr>
        <w:t>,</w:t>
      </w:r>
      <w:r w:rsidRPr="00A830B8">
        <w:rPr>
          <w:rFonts w:eastAsia="Calibri"/>
          <w:lang w:val="en-GB"/>
        </w:rPr>
        <w:t xml:space="preserve"> services and industry grew on average 9.5 and 9.4 per</w:t>
      </w:r>
      <w:r w:rsidR="00A25DE2">
        <w:rPr>
          <w:rFonts w:eastAsia="Calibri"/>
          <w:lang w:val="en-GB"/>
        </w:rPr>
        <w:t xml:space="preserve"> </w:t>
      </w:r>
      <w:r w:rsidRPr="00A830B8">
        <w:rPr>
          <w:rFonts w:eastAsia="Calibri"/>
          <w:lang w:val="en-GB"/>
        </w:rPr>
        <w:t>cent respectively, while agriculture grew on average 5.5 per</w:t>
      </w:r>
      <w:r w:rsidR="00A25DE2">
        <w:rPr>
          <w:rFonts w:eastAsia="Calibri"/>
          <w:lang w:val="en-GB"/>
        </w:rPr>
        <w:t xml:space="preserve"> </w:t>
      </w:r>
      <w:r w:rsidRPr="00A830B8">
        <w:rPr>
          <w:rFonts w:eastAsia="Calibri"/>
          <w:lang w:val="en-GB"/>
        </w:rPr>
        <w:t>cent.</w:t>
      </w:r>
      <w:r w:rsidR="00066847" w:rsidRPr="007830FB">
        <w:rPr>
          <w:rStyle w:val="FootnoteReference"/>
          <w:rFonts w:eastAsia="Calibri"/>
          <w:lang w:val="en-GB"/>
        </w:rPr>
        <w:footnoteReference w:id="3"/>
      </w:r>
      <w:r w:rsidRPr="00A830B8">
        <w:rPr>
          <w:rFonts w:eastAsia="Calibri"/>
          <w:lang w:val="en-GB"/>
        </w:rPr>
        <w:t xml:space="preserve"> Growth was also pro-poor: Rwanda's Human Development Index increased from 0.244 in 1990 to 0.498 in 2015,</w:t>
      </w:r>
      <w:r w:rsidR="00066847" w:rsidRPr="007830FB">
        <w:rPr>
          <w:rStyle w:val="FootnoteReference"/>
          <w:rFonts w:eastAsia="Calibri"/>
          <w:lang w:val="en-GB"/>
        </w:rPr>
        <w:footnoteReference w:id="4"/>
      </w:r>
      <w:r w:rsidRPr="00A830B8">
        <w:rPr>
          <w:rFonts w:eastAsia="Calibri"/>
          <w:lang w:val="en-GB"/>
        </w:rPr>
        <w:t xml:space="preserve"> poverty headcount dropped from 78 per</w:t>
      </w:r>
      <w:r w:rsidR="00A25DE2">
        <w:rPr>
          <w:rFonts w:eastAsia="Calibri"/>
          <w:lang w:val="en-GB"/>
        </w:rPr>
        <w:t xml:space="preserve"> </w:t>
      </w:r>
      <w:r w:rsidRPr="00A830B8">
        <w:rPr>
          <w:rFonts w:eastAsia="Calibri"/>
          <w:lang w:val="en-GB"/>
        </w:rPr>
        <w:t>cent in 1995 to 39.1 per</w:t>
      </w:r>
      <w:r w:rsidR="00A25DE2">
        <w:rPr>
          <w:rFonts w:eastAsia="Calibri"/>
          <w:lang w:val="en-GB"/>
        </w:rPr>
        <w:t xml:space="preserve"> </w:t>
      </w:r>
      <w:r w:rsidRPr="00A830B8">
        <w:rPr>
          <w:rFonts w:eastAsia="Calibri"/>
          <w:lang w:val="en-GB"/>
        </w:rPr>
        <w:t>cent in 2014, and the Gini coefficient decreased from 0.522 in 2005 to 0.45 in 2014.</w:t>
      </w:r>
      <w:r w:rsidR="00066847" w:rsidRPr="007830FB">
        <w:rPr>
          <w:rStyle w:val="FootnoteReference"/>
          <w:rFonts w:eastAsia="Calibri"/>
          <w:lang w:val="en-GB"/>
        </w:rPr>
        <w:footnoteReference w:id="5"/>
      </w:r>
      <w:r w:rsidRPr="00A830B8">
        <w:rPr>
          <w:rFonts w:eastAsia="Calibri"/>
          <w:lang w:val="en-GB"/>
        </w:rPr>
        <w:t xml:space="preserve"> By 2015 Rwanda had attained all </w:t>
      </w:r>
      <w:r w:rsidR="00A25DE2">
        <w:rPr>
          <w:rFonts w:eastAsia="Calibri"/>
          <w:lang w:val="en-GB"/>
        </w:rPr>
        <w:t>Millennium Development Goal</w:t>
      </w:r>
      <w:r w:rsidR="00A25DE2" w:rsidRPr="00A830B8">
        <w:rPr>
          <w:rFonts w:eastAsia="Calibri"/>
          <w:lang w:val="en-GB"/>
        </w:rPr>
        <w:t xml:space="preserve"> </w:t>
      </w:r>
      <w:r w:rsidRPr="00A830B8">
        <w:rPr>
          <w:rFonts w:eastAsia="Calibri"/>
          <w:lang w:val="en-GB"/>
        </w:rPr>
        <w:t xml:space="preserve">targets except </w:t>
      </w:r>
      <w:r w:rsidR="00A25DE2">
        <w:rPr>
          <w:rFonts w:eastAsia="Calibri"/>
          <w:lang w:val="en-GB"/>
        </w:rPr>
        <w:t>those for</w:t>
      </w:r>
      <w:r w:rsidRPr="00A830B8">
        <w:rPr>
          <w:rFonts w:eastAsia="Calibri"/>
          <w:lang w:val="en-GB"/>
        </w:rPr>
        <w:t xml:space="preserve"> poverty, stunting and share of women in wage employment in the non-agricultural sector.</w:t>
      </w:r>
      <w:r w:rsidR="00066847" w:rsidRPr="007830FB">
        <w:rPr>
          <w:rStyle w:val="FootnoteReference"/>
          <w:rFonts w:eastAsia="Calibri"/>
          <w:lang w:val="en-GB"/>
        </w:rPr>
        <w:footnoteReference w:id="6"/>
      </w:r>
      <w:r w:rsidRPr="00A830B8">
        <w:rPr>
          <w:rFonts w:eastAsia="Calibri"/>
          <w:lang w:val="en-GB"/>
        </w:rPr>
        <w:t xml:space="preserve"> In Africa in 2016, Rwanda was ranked first </w:t>
      </w:r>
      <w:r w:rsidR="00A25DE2">
        <w:rPr>
          <w:rFonts w:eastAsia="Calibri"/>
          <w:lang w:val="en-GB"/>
        </w:rPr>
        <w:t>for</w:t>
      </w:r>
      <w:r w:rsidR="00A25DE2" w:rsidRPr="00A830B8">
        <w:rPr>
          <w:rFonts w:eastAsia="Calibri"/>
          <w:lang w:val="en-GB"/>
        </w:rPr>
        <w:t xml:space="preserve"> </w:t>
      </w:r>
      <w:r w:rsidRPr="00A830B8">
        <w:rPr>
          <w:rFonts w:eastAsia="Calibri"/>
          <w:lang w:val="en-GB"/>
        </w:rPr>
        <w:t>gender equity,</w:t>
      </w:r>
      <w:r w:rsidRPr="007830FB">
        <w:rPr>
          <w:rStyle w:val="FootnoteReference"/>
          <w:rFonts w:eastAsia="Calibri"/>
          <w:lang w:val="en-GB"/>
        </w:rPr>
        <w:footnoteReference w:id="7"/>
      </w:r>
      <w:r w:rsidRPr="00A830B8">
        <w:rPr>
          <w:rFonts w:eastAsia="Calibri"/>
          <w:lang w:val="en-GB"/>
        </w:rPr>
        <w:t xml:space="preserve"> second </w:t>
      </w:r>
      <w:r w:rsidR="00A25DE2">
        <w:rPr>
          <w:rFonts w:eastAsia="Calibri"/>
          <w:lang w:val="en-GB"/>
        </w:rPr>
        <w:t>for</w:t>
      </w:r>
      <w:r w:rsidR="00A25DE2" w:rsidRPr="00A830B8">
        <w:rPr>
          <w:rFonts w:eastAsia="Calibri"/>
          <w:lang w:val="en-GB"/>
        </w:rPr>
        <w:t xml:space="preserve"> </w:t>
      </w:r>
      <w:r w:rsidR="00A25DE2">
        <w:rPr>
          <w:rFonts w:eastAsia="Calibri"/>
          <w:lang w:val="en-GB"/>
        </w:rPr>
        <w:t>e</w:t>
      </w:r>
      <w:r w:rsidR="00A25DE2" w:rsidRPr="00A830B8">
        <w:rPr>
          <w:rFonts w:eastAsia="Calibri"/>
          <w:lang w:val="en-GB"/>
        </w:rPr>
        <w:t xml:space="preserve">ase </w:t>
      </w:r>
      <w:r w:rsidRPr="00A830B8">
        <w:rPr>
          <w:rFonts w:eastAsia="Calibri"/>
          <w:lang w:val="en-GB"/>
        </w:rPr>
        <w:t xml:space="preserve">of </w:t>
      </w:r>
      <w:r w:rsidR="00A25DE2">
        <w:rPr>
          <w:rFonts w:eastAsia="Calibri"/>
          <w:lang w:val="en-GB"/>
        </w:rPr>
        <w:t>d</w:t>
      </w:r>
      <w:r w:rsidR="00A25DE2" w:rsidRPr="00A830B8">
        <w:rPr>
          <w:rFonts w:eastAsia="Calibri"/>
          <w:lang w:val="en-GB"/>
        </w:rPr>
        <w:t xml:space="preserve">oing </w:t>
      </w:r>
      <w:r w:rsidR="00A25DE2">
        <w:rPr>
          <w:rFonts w:eastAsia="Calibri"/>
          <w:lang w:val="en-GB"/>
        </w:rPr>
        <w:t>b</w:t>
      </w:r>
      <w:r w:rsidR="00A25DE2" w:rsidRPr="00A830B8">
        <w:rPr>
          <w:rFonts w:eastAsia="Calibri"/>
          <w:lang w:val="en-GB"/>
        </w:rPr>
        <w:t>usiness</w:t>
      </w:r>
      <w:r w:rsidRPr="007830FB">
        <w:rPr>
          <w:rStyle w:val="FootnoteReference"/>
          <w:rFonts w:eastAsia="Calibri"/>
          <w:lang w:val="en-GB"/>
        </w:rPr>
        <w:footnoteReference w:id="8"/>
      </w:r>
      <w:r w:rsidRPr="00A830B8">
        <w:rPr>
          <w:rFonts w:eastAsia="Calibri"/>
          <w:lang w:val="en-GB"/>
        </w:rPr>
        <w:t xml:space="preserve"> and the third least corrupt country.</w:t>
      </w:r>
      <w:r w:rsidRPr="007830FB">
        <w:rPr>
          <w:rStyle w:val="FootnoteReference"/>
          <w:rFonts w:eastAsia="Calibri"/>
          <w:lang w:val="en-GB"/>
        </w:rPr>
        <w:footnoteReference w:id="9"/>
      </w:r>
    </w:p>
    <w:p w:rsidR="0006756E" w:rsidRPr="00D13CB0" w:rsidRDefault="0006756E" w:rsidP="00D13CB0">
      <w:pPr>
        <w:pStyle w:val="ListParagraph"/>
        <w:tabs>
          <w:tab w:val="left" w:pos="1170"/>
        </w:tabs>
        <w:ind w:left="1170" w:right="1030"/>
        <w:jc w:val="both"/>
        <w:rPr>
          <w:sz w:val="12"/>
          <w:szCs w:val="12"/>
        </w:rPr>
      </w:pPr>
    </w:p>
    <w:p w:rsidR="0006756E" w:rsidRPr="00A830B8" w:rsidRDefault="0006756E" w:rsidP="00D13CB0">
      <w:pPr>
        <w:pStyle w:val="ListParagraph"/>
        <w:numPr>
          <w:ilvl w:val="0"/>
          <w:numId w:val="3"/>
        </w:numPr>
        <w:tabs>
          <w:tab w:val="left" w:pos="1170"/>
        </w:tabs>
        <w:ind w:left="1170" w:right="1030" w:firstLine="0"/>
        <w:contextualSpacing/>
        <w:jc w:val="both"/>
      </w:pPr>
      <w:r w:rsidRPr="00A830B8">
        <w:rPr>
          <w:rFonts w:eastAsia="Calibri"/>
          <w:lang w:val="en-GB"/>
        </w:rPr>
        <w:t>Despite its progress, Rwanda confronts stern challenges. The productive base of the economy remains insufficiently diversified and uncompetitive. Economic growth slowed to an estimated 5.2 per</w:t>
      </w:r>
      <w:r w:rsidR="00A25DE2">
        <w:rPr>
          <w:rFonts w:eastAsia="Calibri"/>
          <w:lang w:val="en-GB"/>
        </w:rPr>
        <w:t xml:space="preserve"> </w:t>
      </w:r>
      <w:r w:rsidRPr="00A830B8">
        <w:rPr>
          <w:rFonts w:eastAsia="Calibri"/>
          <w:lang w:val="en-GB"/>
        </w:rPr>
        <w:t>cent in 2017,</w:t>
      </w:r>
      <w:r w:rsidRPr="007830FB">
        <w:rPr>
          <w:rStyle w:val="FootnoteReference"/>
          <w:rFonts w:eastAsia="Calibri"/>
          <w:lang w:val="en-GB"/>
        </w:rPr>
        <w:footnoteReference w:id="10"/>
      </w:r>
      <w:r w:rsidRPr="00A830B8">
        <w:rPr>
          <w:rFonts w:eastAsia="Calibri"/>
          <w:lang w:val="en-GB"/>
        </w:rPr>
        <w:t xml:space="preserve"> constrained by falling commodity prices and a debt-conscious curtailment of public capital expenditure on large infrastructure programmes.</w:t>
      </w:r>
      <w:r w:rsidRPr="007830FB">
        <w:rPr>
          <w:rStyle w:val="FootnoteReference"/>
          <w:rFonts w:eastAsia="Calibri"/>
          <w:lang w:val="en-GB"/>
        </w:rPr>
        <w:footnoteReference w:id="11"/>
      </w:r>
      <w:r w:rsidRPr="00A830B8">
        <w:rPr>
          <w:rFonts w:eastAsia="Calibri"/>
          <w:lang w:val="en-GB"/>
        </w:rPr>
        <w:t xml:space="preserve"> Growth in the industrial and services sector slowed to an estimated 3.9 and 6 per</w:t>
      </w:r>
      <w:r w:rsidR="00A25DE2">
        <w:rPr>
          <w:rFonts w:eastAsia="Calibri"/>
          <w:lang w:val="en-GB"/>
        </w:rPr>
        <w:t xml:space="preserve"> </w:t>
      </w:r>
      <w:r w:rsidRPr="00A830B8">
        <w:rPr>
          <w:rFonts w:eastAsia="Calibri"/>
          <w:lang w:val="en-GB"/>
        </w:rPr>
        <w:t>cent respectively in 2017, far below the national targets of 14 and 13.5 per</w:t>
      </w:r>
      <w:r w:rsidR="00A25DE2">
        <w:rPr>
          <w:rFonts w:eastAsia="Calibri"/>
          <w:lang w:val="en-GB"/>
        </w:rPr>
        <w:t xml:space="preserve"> </w:t>
      </w:r>
      <w:r w:rsidRPr="00A830B8">
        <w:rPr>
          <w:rFonts w:eastAsia="Calibri"/>
          <w:lang w:val="en-GB"/>
        </w:rPr>
        <w:t>cent.</w:t>
      </w:r>
      <w:r w:rsidRPr="007830FB">
        <w:rPr>
          <w:rStyle w:val="FootnoteReference"/>
          <w:rFonts w:eastAsia="Calibri"/>
          <w:lang w:val="en-GB"/>
        </w:rPr>
        <w:footnoteReference w:id="12"/>
      </w:r>
      <w:r w:rsidRPr="00A830B8">
        <w:rPr>
          <w:rFonts w:eastAsia="Calibri"/>
          <w:lang w:val="en-GB"/>
        </w:rPr>
        <w:t xml:space="preserve"> Combined with low agricultural value addition, the economy is not generating adequate decent employment opportunities for Rwanda’s </w:t>
      </w:r>
      <w:r w:rsidRPr="00775A44">
        <w:rPr>
          <w:rFonts w:eastAsia="Calibri"/>
          <w:lang w:val="en-GB"/>
        </w:rPr>
        <w:t>young population.</w:t>
      </w:r>
      <w:r w:rsidRPr="00A830B8">
        <w:rPr>
          <w:rFonts w:eastAsia="Calibri"/>
          <w:lang w:val="en-GB"/>
        </w:rPr>
        <w:t xml:space="preserve"> With the modern wage sector providing employment to only 6 per</w:t>
      </w:r>
      <w:r w:rsidR="00A25DE2">
        <w:rPr>
          <w:rFonts w:eastAsia="Calibri"/>
          <w:lang w:val="en-GB"/>
        </w:rPr>
        <w:t xml:space="preserve"> </w:t>
      </w:r>
      <w:r w:rsidRPr="00A830B8">
        <w:rPr>
          <w:rFonts w:eastAsia="Calibri"/>
          <w:lang w:val="en-GB"/>
        </w:rPr>
        <w:t>cent of the working-age population and 91 per</w:t>
      </w:r>
      <w:r w:rsidR="00A25DE2">
        <w:rPr>
          <w:rFonts w:eastAsia="Calibri"/>
          <w:lang w:val="en-GB"/>
        </w:rPr>
        <w:t xml:space="preserve"> </w:t>
      </w:r>
      <w:r w:rsidRPr="00A830B8">
        <w:rPr>
          <w:rFonts w:eastAsia="Calibri"/>
          <w:lang w:val="en-GB"/>
        </w:rPr>
        <w:t>cent of the employed found in the informal sector, most Rwandans do not have adequate incomes and social safety nets and are vulnerable to poverty and financial insecurity</w:t>
      </w:r>
      <w:r w:rsidR="00A25DE2">
        <w:rPr>
          <w:rFonts w:eastAsia="Calibri"/>
          <w:lang w:val="en-GB"/>
        </w:rPr>
        <w:t xml:space="preserve"> in </w:t>
      </w:r>
      <w:r w:rsidR="00A25DE2" w:rsidRPr="00A830B8">
        <w:rPr>
          <w:rFonts w:eastAsia="Calibri"/>
          <w:lang w:val="en-GB"/>
        </w:rPr>
        <w:t>old age</w:t>
      </w:r>
      <w:r w:rsidRPr="00A830B8">
        <w:rPr>
          <w:rFonts w:eastAsia="Calibri"/>
          <w:lang w:val="en-GB"/>
        </w:rPr>
        <w:t>.</w:t>
      </w:r>
      <w:r w:rsidRPr="007830FB">
        <w:rPr>
          <w:rStyle w:val="FootnoteReference"/>
          <w:rFonts w:eastAsia="Calibri"/>
          <w:lang w:val="en-GB"/>
        </w:rPr>
        <w:footnoteReference w:id="13"/>
      </w:r>
      <w:bookmarkStart w:id="2" w:name="_Hlk503283242"/>
      <w:r w:rsidRPr="00A830B8">
        <w:rPr>
          <w:rFonts w:eastAsia="Calibri"/>
          <w:lang w:val="en-GB"/>
        </w:rPr>
        <w:t xml:space="preserve"> </w:t>
      </w:r>
      <w:bookmarkEnd w:id="2"/>
    </w:p>
    <w:p w:rsidR="0006756E" w:rsidRPr="00D13CB0" w:rsidRDefault="0006756E" w:rsidP="00C4374A">
      <w:pPr>
        <w:pStyle w:val="ListParagraph"/>
        <w:tabs>
          <w:tab w:val="left" w:pos="720"/>
          <w:tab w:val="left" w:pos="1080"/>
          <w:tab w:val="left" w:pos="1170"/>
        </w:tabs>
        <w:ind w:left="1170" w:right="1030"/>
        <w:jc w:val="both"/>
        <w:rPr>
          <w:rFonts w:eastAsia="Calibri"/>
          <w:sz w:val="12"/>
          <w:szCs w:val="12"/>
          <w:lang w:val="en-GB"/>
        </w:rPr>
      </w:pPr>
    </w:p>
    <w:p w:rsidR="0006756E" w:rsidRPr="00A830B8" w:rsidRDefault="0006756E" w:rsidP="00D13CB0">
      <w:pPr>
        <w:pStyle w:val="ListParagraph"/>
        <w:numPr>
          <w:ilvl w:val="0"/>
          <w:numId w:val="3"/>
        </w:numPr>
        <w:tabs>
          <w:tab w:val="left" w:pos="1170"/>
        </w:tabs>
        <w:ind w:left="1170" w:right="1030" w:firstLine="0"/>
        <w:contextualSpacing/>
        <w:jc w:val="both"/>
        <w:rPr>
          <w:rFonts w:eastAsia="Calibri"/>
          <w:lang w:val="en-GB"/>
        </w:rPr>
      </w:pPr>
      <w:r w:rsidRPr="00A830B8">
        <w:rPr>
          <w:rFonts w:eastAsia="Calibri"/>
          <w:lang w:val="en-GB"/>
        </w:rPr>
        <w:t>To tackle these and other challenges, the Government has prepared a new Vision 2050 and National Strategy for Transformation (NST) 2017-2024. The U</w:t>
      </w:r>
      <w:r w:rsidR="00A25DE2">
        <w:rPr>
          <w:rFonts w:eastAsia="Calibri"/>
          <w:lang w:val="en-GB"/>
        </w:rPr>
        <w:t xml:space="preserve">nited </w:t>
      </w:r>
      <w:r w:rsidRPr="00A830B8">
        <w:rPr>
          <w:rFonts w:eastAsia="Calibri"/>
          <w:lang w:val="en-GB"/>
        </w:rPr>
        <w:t>N</w:t>
      </w:r>
      <w:r w:rsidR="00A25DE2">
        <w:rPr>
          <w:rFonts w:eastAsia="Calibri"/>
          <w:lang w:val="en-GB"/>
        </w:rPr>
        <w:t>ations</w:t>
      </w:r>
      <w:r w:rsidRPr="00A830B8">
        <w:rPr>
          <w:rFonts w:eastAsia="Calibri"/>
          <w:lang w:val="en-GB"/>
        </w:rPr>
        <w:t xml:space="preserve"> has supported Rwanda to firmly anchor the </w:t>
      </w:r>
      <w:r w:rsidR="00A25DE2">
        <w:rPr>
          <w:rFonts w:eastAsia="Calibri"/>
          <w:lang w:val="en-GB"/>
        </w:rPr>
        <w:t>Sustainable Development Goals</w:t>
      </w:r>
      <w:r w:rsidR="00A25DE2" w:rsidRPr="00A830B8">
        <w:rPr>
          <w:rFonts w:eastAsia="Calibri"/>
          <w:lang w:val="en-GB"/>
        </w:rPr>
        <w:t xml:space="preserve"> </w:t>
      </w:r>
      <w:r w:rsidRPr="00A830B8">
        <w:rPr>
          <w:rFonts w:eastAsia="Calibri"/>
          <w:lang w:val="en-GB"/>
        </w:rPr>
        <w:t xml:space="preserve">in both documents. Vision 2050 aims </w:t>
      </w:r>
      <w:r w:rsidR="00A25DE2">
        <w:rPr>
          <w:rFonts w:eastAsia="Calibri"/>
          <w:lang w:val="en-GB"/>
        </w:rPr>
        <w:t xml:space="preserve">inter alia </w:t>
      </w:r>
      <w:r w:rsidRPr="00A830B8">
        <w:rPr>
          <w:rFonts w:eastAsia="Calibri"/>
          <w:lang w:val="en-GB"/>
        </w:rPr>
        <w:t xml:space="preserve">to ensure that Rwanda achieves upper middle-income status by 2035 with a good quality of life and decent jobs for its people. Achieving this goal will require action on many fronts. First, significant efforts are needed to secure new sources of financing for development. Domestic savings as a share of GDP </w:t>
      </w:r>
      <w:r w:rsidR="00A25DE2">
        <w:rPr>
          <w:rFonts w:eastAsia="Calibri"/>
          <w:lang w:val="en-GB"/>
        </w:rPr>
        <w:t>were</w:t>
      </w:r>
      <w:r w:rsidR="00A25DE2" w:rsidRPr="00A830B8">
        <w:rPr>
          <w:rFonts w:eastAsia="Calibri"/>
          <w:lang w:val="en-GB"/>
        </w:rPr>
        <w:t xml:space="preserve"> </w:t>
      </w:r>
      <w:r w:rsidRPr="00A830B8">
        <w:rPr>
          <w:rFonts w:eastAsia="Calibri"/>
          <w:lang w:val="en-GB"/>
        </w:rPr>
        <w:t>only 12.2 per</w:t>
      </w:r>
      <w:r w:rsidR="00A25DE2">
        <w:rPr>
          <w:rFonts w:eastAsia="Calibri"/>
          <w:lang w:val="en-GB"/>
        </w:rPr>
        <w:t xml:space="preserve"> </w:t>
      </w:r>
      <w:r w:rsidRPr="00A830B8">
        <w:rPr>
          <w:rFonts w:eastAsia="Calibri"/>
          <w:lang w:val="en-GB"/>
        </w:rPr>
        <w:t>cent in 2015, while tax revenue stood at 15.8 per</w:t>
      </w:r>
      <w:r w:rsidR="00A25DE2">
        <w:rPr>
          <w:rFonts w:eastAsia="Calibri"/>
          <w:lang w:val="en-GB"/>
        </w:rPr>
        <w:t xml:space="preserve"> </w:t>
      </w:r>
      <w:r w:rsidRPr="00A830B8">
        <w:rPr>
          <w:rFonts w:eastAsia="Calibri"/>
          <w:lang w:val="en-GB"/>
        </w:rPr>
        <w:t>cent. Both are well below the 20-25 per</w:t>
      </w:r>
      <w:r w:rsidR="00C603B2">
        <w:rPr>
          <w:rFonts w:eastAsia="Calibri"/>
          <w:lang w:val="en-GB"/>
        </w:rPr>
        <w:t xml:space="preserve"> </w:t>
      </w:r>
      <w:r w:rsidRPr="00A830B8">
        <w:rPr>
          <w:rFonts w:eastAsia="Calibri"/>
          <w:lang w:val="en-GB"/>
        </w:rPr>
        <w:t>cent average rates of successful emerging economies.</w:t>
      </w:r>
      <w:r w:rsidRPr="007830FB">
        <w:rPr>
          <w:rStyle w:val="FootnoteReference"/>
          <w:rFonts w:eastAsia="Calibri"/>
          <w:lang w:val="en-GB"/>
        </w:rPr>
        <w:footnoteReference w:id="14"/>
      </w:r>
      <w:r w:rsidRPr="00A830B8">
        <w:rPr>
          <w:rFonts w:eastAsia="Calibri"/>
          <w:lang w:val="en-GB"/>
        </w:rPr>
        <w:t xml:space="preserve"> Consequently, Rwanda relies heavily on external assistance, with over 45 per</w:t>
      </w:r>
      <w:r w:rsidR="00C603B2">
        <w:rPr>
          <w:rFonts w:eastAsia="Calibri"/>
          <w:lang w:val="en-GB"/>
        </w:rPr>
        <w:t xml:space="preserve"> </w:t>
      </w:r>
      <w:r w:rsidRPr="00A830B8">
        <w:rPr>
          <w:rFonts w:eastAsia="Calibri"/>
          <w:lang w:val="en-GB"/>
        </w:rPr>
        <w:t>cent of the 2015</w:t>
      </w:r>
      <w:r w:rsidR="00C603B2">
        <w:rPr>
          <w:rFonts w:eastAsia="Calibri"/>
          <w:lang w:val="en-GB"/>
        </w:rPr>
        <w:t>-20</w:t>
      </w:r>
      <w:r w:rsidRPr="00A830B8">
        <w:rPr>
          <w:rFonts w:eastAsia="Calibri"/>
          <w:lang w:val="en-GB"/>
        </w:rPr>
        <w:t xml:space="preserve">16 development budget covered from </w:t>
      </w:r>
      <w:r w:rsidR="00C603B2">
        <w:rPr>
          <w:rFonts w:eastAsia="Calibri"/>
          <w:lang w:val="en-GB"/>
        </w:rPr>
        <w:t>o</w:t>
      </w:r>
      <w:r w:rsidR="00C603B2" w:rsidRPr="00A830B8">
        <w:rPr>
          <w:rFonts w:eastAsia="Calibri"/>
          <w:lang w:val="en-GB"/>
        </w:rPr>
        <w:t xml:space="preserve">fficial </w:t>
      </w:r>
      <w:r w:rsidR="00C603B2">
        <w:rPr>
          <w:rFonts w:eastAsia="Calibri"/>
          <w:lang w:val="en-GB"/>
        </w:rPr>
        <w:t>d</w:t>
      </w:r>
      <w:r w:rsidR="00C603B2" w:rsidRPr="00A830B8">
        <w:rPr>
          <w:rFonts w:eastAsia="Calibri"/>
          <w:lang w:val="en-GB"/>
        </w:rPr>
        <w:t xml:space="preserve">evelopment </w:t>
      </w:r>
      <w:r w:rsidR="00C603B2">
        <w:rPr>
          <w:rFonts w:eastAsia="Calibri"/>
          <w:lang w:val="en-GB"/>
        </w:rPr>
        <w:t>a</w:t>
      </w:r>
      <w:r w:rsidR="00C603B2" w:rsidRPr="00A830B8">
        <w:rPr>
          <w:rFonts w:eastAsia="Calibri"/>
          <w:lang w:val="en-GB"/>
        </w:rPr>
        <w:t>ssistance</w:t>
      </w:r>
      <w:r w:rsidRPr="00A830B8">
        <w:rPr>
          <w:rFonts w:eastAsia="Calibri"/>
          <w:lang w:val="en-GB"/>
        </w:rPr>
        <w:t>.</w:t>
      </w:r>
      <w:r w:rsidRPr="007830FB">
        <w:rPr>
          <w:rStyle w:val="FootnoteReference"/>
          <w:rFonts w:eastAsia="Calibri"/>
          <w:lang w:val="en-GB"/>
        </w:rPr>
        <w:footnoteReference w:id="15"/>
      </w:r>
      <w:r w:rsidRPr="00A830B8">
        <w:rPr>
          <w:rFonts w:eastAsia="Calibri"/>
          <w:lang w:val="en-GB"/>
        </w:rPr>
        <w:t xml:space="preserve">  </w:t>
      </w:r>
    </w:p>
    <w:p w:rsidR="0006756E" w:rsidRPr="00D13CB0" w:rsidRDefault="0006756E" w:rsidP="00C4374A">
      <w:pPr>
        <w:pStyle w:val="ListParagraph"/>
        <w:tabs>
          <w:tab w:val="left" w:pos="720"/>
          <w:tab w:val="left" w:pos="1080"/>
          <w:tab w:val="left" w:pos="1170"/>
        </w:tabs>
        <w:ind w:left="1170" w:right="1030"/>
        <w:jc w:val="both"/>
        <w:rPr>
          <w:rFonts w:eastAsia="Calibri"/>
          <w:sz w:val="12"/>
          <w:szCs w:val="12"/>
          <w:lang w:val="en-GB"/>
        </w:rPr>
      </w:pPr>
    </w:p>
    <w:p w:rsidR="0006756E" w:rsidRPr="00A830B8" w:rsidRDefault="0006756E" w:rsidP="00C4374A">
      <w:pPr>
        <w:pStyle w:val="ListParagraph"/>
        <w:numPr>
          <w:ilvl w:val="0"/>
          <w:numId w:val="3"/>
        </w:numPr>
        <w:tabs>
          <w:tab w:val="left" w:pos="720"/>
          <w:tab w:val="left" w:pos="1080"/>
          <w:tab w:val="left" w:pos="1170"/>
        </w:tabs>
        <w:ind w:left="1170" w:right="1030" w:hanging="40"/>
        <w:contextualSpacing/>
        <w:jc w:val="both"/>
        <w:rPr>
          <w:rFonts w:eastAsia="Calibri"/>
          <w:lang w:val="en-GB"/>
        </w:rPr>
      </w:pPr>
      <w:r w:rsidRPr="00A830B8">
        <w:rPr>
          <w:rFonts w:eastAsia="Calibri"/>
          <w:lang w:val="en-GB"/>
        </w:rPr>
        <w:t>Rwanda will also need to harness its demographic dividend. The working-age population is growing rapidly, and creating enough quality jobs for them has become a defining challenge for the economy. Over 77 per</w:t>
      </w:r>
      <w:r w:rsidR="00C603B2">
        <w:rPr>
          <w:rFonts w:eastAsia="Calibri"/>
          <w:lang w:val="en-GB"/>
        </w:rPr>
        <w:t xml:space="preserve"> </w:t>
      </w:r>
      <w:r w:rsidRPr="00A830B8">
        <w:rPr>
          <w:rFonts w:eastAsia="Calibri"/>
          <w:lang w:val="en-GB"/>
        </w:rPr>
        <w:t>cent of Rwanda’s population is under 35 years old,</w:t>
      </w:r>
      <w:r w:rsidRPr="007830FB">
        <w:rPr>
          <w:rStyle w:val="FootnoteReference"/>
          <w:rFonts w:eastAsia="Calibri"/>
          <w:lang w:val="en-GB"/>
        </w:rPr>
        <w:footnoteReference w:id="16"/>
      </w:r>
      <w:r w:rsidRPr="00A830B8">
        <w:rPr>
          <w:rFonts w:eastAsia="Calibri"/>
          <w:lang w:val="en-GB"/>
        </w:rPr>
        <w:t xml:space="preserve"> but youth unemployment stands at 21 per</w:t>
      </w:r>
      <w:r w:rsidR="00C603B2">
        <w:rPr>
          <w:rFonts w:eastAsia="Calibri"/>
          <w:lang w:val="en-GB"/>
        </w:rPr>
        <w:t xml:space="preserve"> </w:t>
      </w:r>
      <w:r w:rsidRPr="00A830B8">
        <w:rPr>
          <w:rFonts w:eastAsia="Calibri"/>
          <w:lang w:val="en-GB"/>
        </w:rPr>
        <w:t xml:space="preserve">cent and labour </w:t>
      </w:r>
      <w:r w:rsidR="00C603B2" w:rsidRPr="00A830B8">
        <w:rPr>
          <w:rFonts w:eastAsia="Calibri"/>
          <w:lang w:val="en-GB"/>
        </w:rPr>
        <w:t>underutili</w:t>
      </w:r>
      <w:r w:rsidR="00C603B2">
        <w:rPr>
          <w:rFonts w:eastAsia="Calibri"/>
          <w:lang w:val="en-GB"/>
        </w:rPr>
        <w:t>z</w:t>
      </w:r>
      <w:r w:rsidR="00C603B2" w:rsidRPr="00A830B8">
        <w:rPr>
          <w:rFonts w:eastAsia="Calibri"/>
          <w:lang w:val="en-GB"/>
        </w:rPr>
        <w:t xml:space="preserve">ation </w:t>
      </w:r>
      <w:r w:rsidRPr="00A830B8">
        <w:rPr>
          <w:rFonts w:eastAsia="Calibri"/>
          <w:lang w:val="en-GB"/>
        </w:rPr>
        <w:t>at 60.3 per</w:t>
      </w:r>
      <w:r w:rsidR="00C603B2">
        <w:rPr>
          <w:rFonts w:eastAsia="Calibri"/>
          <w:lang w:val="en-GB"/>
        </w:rPr>
        <w:t xml:space="preserve"> </w:t>
      </w:r>
      <w:r w:rsidRPr="00A830B8">
        <w:rPr>
          <w:rFonts w:eastAsia="Calibri"/>
          <w:lang w:val="en-GB"/>
        </w:rPr>
        <w:t>cent.</w:t>
      </w:r>
      <w:r w:rsidRPr="007830FB">
        <w:rPr>
          <w:rStyle w:val="FootnoteReference"/>
          <w:rFonts w:eastAsia="Calibri"/>
          <w:lang w:val="en-GB"/>
        </w:rPr>
        <w:footnoteReference w:id="17"/>
      </w:r>
      <w:r w:rsidRPr="00A830B8">
        <w:rPr>
          <w:rFonts w:eastAsia="Calibri"/>
          <w:lang w:val="en-GB"/>
        </w:rPr>
        <w:t xml:space="preserve"> While education has improved in the past decade, marketable technical and vocational skills are lacking, </w:t>
      </w:r>
      <w:r w:rsidR="00C603B2">
        <w:rPr>
          <w:rFonts w:eastAsia="Calibri"/>
          <w:lang w:val="en-GB"/>
        </w:rPr>
        <w:t>fewer</w:t>
      </w:r>
      <w:r w:rsidR="00C603B2" w:rsidRPr="00A830B8">
        <w:rPr>
          <w:rFonts w:eastAsia="Calibri"/>
          <w:lang w:val="en-GB"/>
        </w:rPr>
        <w:t xml:space="preserve"> </w:t>
      </w:r>
      <w:r w:rsidRPr="00A830B8">
        <w:rPr>
          <w:rFonts w:eastAsia="Calibri"/>
          <w:lang w:val="en-GB"/>
        </w:rPr>
        <w:t>than 70 per</w:t>
      </w:r>
      <w:r w:rsidR="00C603B2">
        <w:rPr>
          <w:rFonts w:eastAsia="Calibri"/>
          <w:lang w:val="en-GB"/>
        </w:rPr>
        <w:t xml:space="preserve"> </w:t>
      </w:r>
      <w:r w:rsidRPr="00A830B8">
        <w:rPr>
          <w:rFonts w:eastAsia="Calibri"/>
          <w:lang w:val="en-GB"/>
        </w:rPr>
        <w:t>cent of youth complete primary education and net enrolment in secondary education is only 32.9 per</w:t>
      </w:r>
      <w:r w:rsidR="00C603B2">
        <w:rPr>
          <w:rFonts w:eastAsia="Calibri"/>
          <w:lang w:val="en-GB"/>
        </w:rPr>
        <w:t xml:space="preserve"> </w:t>
      </w:r>
      <w:r w:rsidRPr="00A830B8">
        <w:rPr>
          <w:rFonts w:eastAsia="Calibri"/>
          <w:lang w:val="en-GB"/>
        </w:rPr>
        <w:t>cent.</w:t>
      </w:r>
      <w:r w:rsidRPr="007830FB">
        <w:rPr>
          <w:rStyle w:val="FootnoteReference"/>
          <w:rFonts w:eastAsia="Calibri"/>
          <w:lang w:val="en-GB"/>
        </w:rPr>
        <w:footnoteReference w:id="18"/>
      </w:r>
      <w:r w:rsidRPr="00A830B8">
        <w:rPr>
          <w:rFonts w:eastAsia="Calibri"/>
          <w:lang w:val="en-GB"/>
        </w:rPr>
        <w:t xml:space="preserve"> With inadequate job creation in the private and public sectors, supporting innovation and youth entrepreneurship is critical for unlocking opportunities for job creation and livelihoods.  </w:t>
      </w:r>
    </w:p>
    <w:p w:rsidR="0006756E" w:rsidRPr="00D13CB0" w:rsidRDefault="0006756E" w:rsidP="00C4374A">
      <w:pPr>
        <w:pStyle w:val="ListParagraph"/>
        <w:tabs>
          <w:tab w:val="left" w:pos="720"/>
          <w:tab w:val="left" w:pos="1080"/>
          <w:tab w:val="left" w:pos="1170"/>
        </w:tabs>
        <w:ind w:left="1170" w:right="1030"/>
        <w:jc w:val="both"/>
        <w:rPr>
          <w:rFonts w:eastAsia="Calibri"/>
          <w:sz w:val="12"/>
          <w:szCs w:val="12"/>
          <w:lang w:val="en-GB"/>
        </w:rPr>
      </w:pPr>
    </w:p>
    <w:p w:rsidR="0006756E" w:rsidRPr="00A830B8" w:rsidRDefault="0006756E" w:rsidP="00C4374A">
      <w:pPr>
        <w:pStyle w:val="ListParagraph"/>
        <w:numPr>
          <w:ilvl w:val="0"/>
          <w:numId w:val="3"/>
        </w:numPr>
        <w:tabs>
          <w:tab w:val="left" w:pos="720"/>
          <w:tab w:val="left" w:pos="1080"/>
          <w:tab w:val="left" w:pos="1170"/>
        </w:tabs>
        <w:ind w:left="1170" w:right="1030" w:firstLine="0"/>
        <w:contextualSpacing/>
        <w:jc w:val="both"/>
        <w:rPr>
          <w:rFonts w:eastAsia="Calibri"/>
          <w:lang w:val="en-GB"/>
        </w:rPr>
      </w:pPr>
      <w:r w:rsidRPr="00A830B8">
        <w:rPr>
          <w:rFonts w:eastAsia="Calibri"/>
          <w:lang w:val="en-GB"/>
        </w:rPr>
        <w:t xml:space="preserve">Likewise, Rwanda will need to better </w:t>
      </w:r>
      <w:r w:rsidR="00C603B2" w:rsidRPr="00A830B8">
        <w:rPr>
          <w:rFonts w:eastAsia="Calibri"/>
          <w:lang w:val="en-GB"/>
        </w:rPr>
        <w:t>utili</w:t>
      </w:r>
      <w:r w:rsidR="00C603B2">
        <w:rPr>
          <w:rFonts w:eastAsia="Calibri"/>
          <w:lang w:val="en-GB"/>
        </w:rPr>
        <w:t>z</w:t>
      </w:r>
      <w:r w:rsidR="00C603B2" w:rsidRPr="00A830B8">
        <w:rPr>
          <w:rFonts w:eastAsia="Calibri"/>
          <w:lang w:val="en-GB"/>
        </w:rPr>
        <w:t xml:space="preserve">e </w:t>
      </w:r>
      <w:r w:rsidRPr="00A830B8">
        <w:rPr>
          <w:rFonts w:eastAsia="Calibri"/>
          <w:lang w:val="en-GB"/>
        </w:rPr>
        <w:t>the talents and potential of women. While the level of women’s political participation and leadership</w:t>
      </w:r>
      <w:r w:rsidRPr="00A830B8" w:rsidDel="008C2F03">
        <w:rPr>
          <w:rFonts w:eastAsia="Calibri"/>
          <w:lang w:val="en-GB"/>
        </w:rPr>
        <w:t xml:space="preserve"> </w:t>
      </w:r>
      <w:r w:rsidRPr="00A830B8">
        <w:rPr>
          <w:rFonts w:eastAsia="Calibri"/>
          <w:lang w:val="en-GB"/>
        </w:rPr>
        <w:t xml:space="preserve">is exemplary (64 </w:t>
      </w:r>
      <w:r w:rsidR="00C603B2">
        <w:rPr>
          <w:rFonts w:eastAsia="Calibri"/>
          <w:lang w:val="en-GB"/>
        </w:rPr>
        <w:t>per cent</w:t>
      </w:r>
      <w:r w:rsidR="00C603B2" w:rsidRPr="00A830B8">
        <w:rPr>
          <w:rFonts w:eastAsia="Calibri"/>
          <w:lang w:val="en-GB"/>
        </w:rPr>
        <w:t xml:space="preserve"> </w:t>
      </w:r>
      <w:r w:rsidRPr="00A830B8">
        <w:rPr>
          <w:rFonts w:eastAsia="Calibri"/>
          <w:lang w:val="en-GB"/>
        </w:rPr>
        <w:t>of parliamentarians are women), women</w:t>
      </w:r>
      <w:r w:rsidR="00C603B2">
        <w:rPr>
          <w:rFonts w:eastAsia="Calibri"/>
          <w:lang w:val="en-GB"/>
        </w:rPr>
        <w:t xml:space="preserve">’s rate of </w:t>
      </w:r>
      <w:r w:rsidR="00C603B2" w:rsidRPr="00A830B8">
        <w:rPr>
          <w:rFonts w:eastAsia="Calibri"/>
          <w:lang w:val="en-GB"/>
        </w:rPr>
        <w:t>participat</w:t>
      </w:r>
      <w:r w:rsidR="00C603B2">
        <w:rPr>
          <w:rFonts w:eastAsia="Calibri"/>
          <w:lang w:val="en-GB"/>
        </w:rPr>
        <w:t>ion</w:t>
      </w:r>
      <w:r w:rsidR="00C603B2" w:rsidRPr="00A830B8">
        <w:rPr>
          <w:rFonts w:eastAsia="Calibri"/>
          <w:lang w:val="en-GB"/>
        </w:rPr>
        <w:t xml:space="preserve"> </w:t>
      </w:r>
      <w:r w:rsidR="006F074E" w:rsidRPr="00A830B8">
        <w:rPr>
          <w:rFonts w:eastAsia="Calibri"/>
          <w:lang w:val="en-GB"/>
        </w:rPr>
        <w:t xml:space="preserve">in the labour force </w:t>
      </w:r>
      <w:r w:rsidR="006F074E">
        <w:rPr>
          <w:rFonts w:eastAsia="Calibri"/>
          <w:lang w:val="en-GB"/>
        </w:rPr>
        <w:t xml:space="preserve"> is </w:t>
      </w:r>
      <w:r w:rsidRPr="00A830B8">
        <w:rPr>
          <w:rFonts w:eastAsia="Calibri"/>
          <w:lang w:val="en-GB"/>
        </w:rPr>
        <w:t xml:space="preserve">less than </w:t>
      </w:r>
      <w:r w:rsidR="006F074E">
        <w:rPr>
          <w:rFonts w:eastAsia="Calibri"/>
          <w:lang w:val="en-GB"/>
        </w:rPr>
        <w:t xml:space="preserve">that of </w:t>
      </w:r>
      <w:r w:rsidRPr="00A830B8">
        <w:rPr>
          <w:rFonts w:eastAsia="Calibri"/>
          <w:lang w:val="en-GB"/>
        </w:rPr>
        <w:t xml:space="preserve">men (42 </w:t>
      </w:r>
      <w:r w:rsidR="006F074E">
        <w:rPr>
          <w:rFonts w:eastAsia="Calibri"/>
          <w:lang w:val="en-GB"/>
        </w:rPr>
        <w:t>vs.</w:t>
      </w:r>
      <w:r w:rsidR="006F074E" w:rsidRPr="00A830B8">
        <w:rPr>
          <w:rFonts w:eastAsia="Calibri"/>
          <w:lang w:val="en-GB"/>
        </w:rPr>
        <w:t xml:space="preserve"> </w:t>
      </w:r>
      <w:r w:rsidRPr="00A830B8">
        <w:rPr>
          <w:rFonts w:eastAsia="Calibri"/>
          <w:lang w:val="en-GB"/>
        </w:rPr>
        <w:t>58 per</w:t>
      </w:r>
      <w:r w:rsidR="006F074E">
        <w:rPr>
          <w:rFonts w:eastAsia="Calibri"/>
          <w:lang w:val="en-GB"/>
        </w:rPr>
        <w:t xml:space="preserve"> </w:t>
      </w:r>
      <w:r w:rsidRPr="00A830B8">
        <w:rPr>
          <w:rFonts w:eastAsia="Calibri"/>
          <w:lang w:val="en-GB"/>
        </w:rPr>
        <w:t xml:space="preserve">cent) and </w:t>
      </w:r>
      <w:r w:rsidR="006F074E">
        <w:rPr>
          <w:rFonts w:eastAsia="Calibri"/>
          <w:lang w:val="en-GB"/>
        </w:rPr>
        <w:t xml:space="preserve">women </w:t>
      </w:r>
      <w:r w:rsidRPr="00A830B8">
        <w:rPr>
          <w:rFonts w:eastAsia="Calibri"/>
          <w:lang w:val="en-GB"/>
        </w:rPr>
        <w:t>are paid 27 per</w:t>
      </w:r>
      <w:r w:rsidR="006F074E">
        <w:rPr>
          <w:rFonts w:eastAsia="Calibri"/>
          <w:lang w:val="en-GB"/>
        </w:rPr>
        <w:t xml:space="preserve"> </w:t>
      </w:r>
      <w:r w:rsidRPr="00A830B8">
        <w:rPr>
          <w:rFonts w:eastAsia="Calibri"/>
          <w:lang w:val="en-GB"/>
        </w:rPr>
        <w:t>cent less for doing similar jobs.</w:t>
      </w:r>
      <w:r w:rsidRPr="007830FB">
        <w:rPr>
          <w:rStyle w:val="FootnoteReference"/>
          <w:rFonts w:eastAsia="Calibri"/>
          <w:lang w:val="en-GB"/>
        </w:rPr>
        <w:footnoteReference w:id="19"/>
      </w:r>
      <w:r w:rsidRPr="00A830B8">
        <w:rPr>
          <w:rFonts w:eastAsia="Calibri"/>
          <w:lang w:val="en-GB"/>
        </w:rPr>
        <w:t xml:space="preserve"> Only 25.5 per</w:t>
      </w:r>
      <w:r w:rsidR="006F074E">
        <w:rPr>
          <w:rFonts w:eastAsia="Calibri"/>
          <w:lang w:val="en-GB"/>
        </w:rPr>
        <w:t xml:space="preserve"> </w:t>
      </w:r>
      <w:r w:rsidRPr="00A830B8">
        <w:rPr>
          <w:rFonts w:eastAsia="Calibri"/>
          <w:lang w:val="en-GB"/>
        </w:rPr>
        <w:t>cent of women in agriculture have access to agricultural credit compared to 74.5 per</w:t>
      </w:r>
      <w:r w:rsidR="006F074E">
        <w:rPr>
          <w:rFonts w:eastAsia="Calibri"/>
          <w:lang w:val="en-GB"/>
        </w:rPr>
        <w:t xml:space="preserve"> </w:t>
      </w:r>
      <w:r w:rsidRPr="00A830B8">
        <w:rPr>
          <w:rFonts w:eastAsia="Calibri"/>
          <w:lang w:val="en-GB"/>
        </w:rPr>
        <w:t>cent of men.</w:t>
      </w:r>
      <w:r w:rsidRPr="007830FB">
        <w:rPr>
          <w:rStyle w:val="FootnoteReference"/>
          <w:rFonts w:eastAsia="Calibri"/>
          <w:lang w:val="en-GB"/>
        </w:rPr>
        <w:footnoteReference w:id="20"/>
      </w:r>
      <w:r w:rsidRPr="00A830B8">
        <w:rPr>
          <w:rFonts w:eastAsia="Calibri"/>
          <w:lang w:val="en-GB"/>
        </w:rPr>
        <w:t xml:space="preserve"> Though recent laws have created opportunities for gender equity in land ownership, inheritance and access to education, more effort is needed to empower women to enjoy their rights and overcome cultural barriers that box them into traditionally</w:t>
      </w:r>
      <w:r w:rsidR="006F074E">
        <w:rPr>
          <w:rFonts w:eastAsia="Calibri"/>
          <w:lang w:val="en-GB"/>
        </w:rPr>
        <w:t xml:space="preserve"> </w:t>
      </w:r>
      <w:r w:rsidRPr="00A830B8">
        <w:rPr>
          <w:rFonts w:eastAsia="Calibri"/>
          <w:lang w:val="en-GB"/>
        </w:rPr>
        <w:t>defined roles.</w:t>
      </w:r>
    </w:p>
    <w:p w:rsidR="0006756E" w:rsidRPr="00D13CB0" w:rsidRDefault="0006756E" w:rsidP="00C4374A">
      <w:pPr>
        <w:pStyle w:val="ListParagraph"/>
        <w:tabs>
          <w:tab w:val="left" w:pos="720"/>
          <w:tab w:val="left" w:pos="1080"/>
          <w:tab w:val="left" w:pos="1170"/>
        </w:tabs>
        <w:ind w:left="1170" w:right="1030"/>
        <w:jc w:val="both"/>
        <w:rPr>
          <w:rFonts w:eastAsia="Calibri"/>
          <w:sz w:val="12"/>
          <w:szCs w:val="12"/>
          <w:lang w:val="en-GB"/>
        </w:rPr>
      </w:pPr>
    </w:p>
    <w:p w:rsidR="0006756E" w:rsidRPr="00A830B8" w:rsidRDefault="0006756E" w:rsidP="00C4374A">
      <w:pPr>
        <w:pStyle w:val="ListParagraph"/>
        <w:numPr>
          <w:ilvl w:val="0"/>
          <w:numId w:val="3"/>
        </w:numPr>
        <w:tabs>
          <w:tab w:val="left" w:pos="720"/>
          <w:tab w:val="left" w:pos="1080"/>
          <w:tab w:val="left" w:pos="1170"/>
        </w:tabs>
        <w:ind w:left="1170" w:right="1030" w:firstLine="0"/>
        <w:contextualSpacing/>
        <w:jc w:val="both"/>
        <w:rPr>
          <w:rFonts w:eastAsia="Calibri"/>
          <w:lang w:val="en-GB"/>
        </w:rPr>
      </w:pPr>
      <w:r w:rsidRPr="00A830B8">
        <w:rPr>
          <w:rFonts w:eastAsia="Calibri"/>
          <w:lang w:val="en-GB"/>
        </w:rPr>
        <w:t>Further investments are needed in promoting sustainable growth and resilience. Rwanda’s high population density (</w:t>
      </w:r>
      <w:r w:rsidR="00273E31">
        <w:rPr>
          <w:rFonts w:eastAsia="Calibri"/>
          <w:lang w:val="en-GB"/>
        </w:rPr>
        <w:t>483</w:t>
      </w:r>
      <w:r w:rsidRPr="00A830B8">
        <w:rPr>
          <w:rFonts w:eastAsia="Calibri"/>
          <w:lang w:val="en-GB"/>
        </w:rPr>
        <w:t xml:space="preserve"> per sq</w:t>
      </w:r>
      <w:r w:rsidR="006F074E">
        <w:rPr>
          <w:rFonts w:eastAsia="Calibri"/>
          <w:lang w:val="en-GB"/>
        </w:rPr>
        <w:t>uare</w:t>
      </w:r>
      <w:r w:rsidR="006F074E" w:rsidRPr="00A830B8">
        <w:rPr>
          <w:rFonts w:eastAsia="Calibri"/>
          <w:lang w:val="en-GB"/>
        </w:rPr>
        <w:t xml:space="preserve"> k</w:t>
      </w:r>
      <w:r w:rsidR="006F074E">
        <w:rPr>
          <w:rFonts w:eastAsia="Calibri"/>
          <w:lang w:val="en-GB"/>
        </w:rPr>
        <w:t>ilometr</w:t>
      </w:r>
      <w:r w:rsidR="001704E7">
        <w:rPr>
          <w:rFonts w:eastAsia="Calibri"/>
          <w:lang w:val="en-GB"/>
        </w:rPr>
        <w:t>es</w:t>
      </w:r>
      <w:r w:rsidRPr="00A830B8">
        <w:rPr>
          <w:rFonts w:eastAsia="Calibri"/>
          <w:lang w:val="en-GB"/>
        </w:rPr>
        <w:t>)</w:t>
      </w:r>
      <w:r w:rsidRPr="007830FB">
        <w:rPr>
          <w:rStyle w:val="FootnoteReference"/>
          <w:rFonts w:eastAsia="Calibri"/>
          <w:lang w:val="en-GB"/>
        </w:rPr>
        <w:footnoteReference w:id="21"/>
      </w:r>
      <w:r w:rsidRPr="00A830B8">
        <w:rPr>
          <w:rFonts w:eastAsia="Calibri"/>
          <w:lang w:val="en-GB"/>
        </w:rPr>
        <w:t xml:space="preserve"> and high dependence on agriculture place increasing pressures on land use. Over 86 per</w:t>
      </w:r>
      <w:r w:rsidR="006F074E">
        <w:rPr>
          <w:rFonts w:eastAsia="Calibri"/>
          <w:lang w:val="en-GB"/>
        </w:rPr>
        <w:t xml:space="preserve"> </w:t>
      </w:r>
      <w:r w:rsidRPr="00A830B8">
        <w:rPr>
          <w:rFonts w:eastAsia="Calibri"/>
          <w:lang w:val="en-GB"/>
        </w:rPr>
        <w:t>cent of the population rely on firewood for cooking, leading to high rates of deforestation.</w:t>
      </w:r>
      <w:r w:rsidRPr="007830FB">
        <w:rPr>
          <w:rStyle w:val="FootnoteReference"/>
          <w:rFonts w:eastAsia="Calibri"/>
          <w:lang w:val="en-GB"/>
        </w:rPr>
        <w:footnoteReference w:id="22"/>
      </w:r>
      <w:r w:rsidRPr="00A830B8">
        <w:rPr>
          <w:rFonts w:eastAsia="Calibri"/>
          <w:lang w:val="en-GB"/>
        </w:rPr>
        <w:t xml:space="preserve"> Low productivity in forest and land use and unsustainable management of natural resources have led to soil degradation, encroachment into wetlands, increased water pollution and loss of biodiversity.</w:t>
      </w:r>
      <w:r w:rsidRPr="007830FB">
        <w:rPr>
          <w:rStyle w:val="FootnoteReference"/>
          <w:rFonts w:eastAsia="Calibri"/>
          <w:lang w:val="en-GB"/>
        </w:rPr>
        <w:footnoteReference w:id="23"/>
      </w:r>
      <w:r w:rsidRPr="00A830B8">
        <w:rPr>
          <w:rFonts w:eastAsia="Calibri"/>
          <w:lang w:val="en-GB"/>
        </w:rPr>
        <w:t xml:space="preserve"> Rapid urbanization places pressures on social infrastructure in cities. Rwanda is highly prone to disasters such as landslides, floods and lightning in </w:t>
      </w:r>
      <w:r w:rsidR="006F074E">
        <w:rPr>
          <w:rFonts w:eastAsia="Calibri"/>
          <w:lang w:val="en-GB"/>
        </w:rPr>
        <w:t>n</w:t>
      </w:r>
      <w:r w:rsidR="006F074E" w:rsidRPr="00A830B8">
        <w:rPr>
          <w:rFonts w:eastAsia="Calibri"/>
          <w:lang w:val="en-GB"/>
        </w:rPr>
        <w:t>orth</w:t>
      </w:r>
      <w:r w:rsidRPr="00A830B8">
        <w:rPr>
          <w:rFonts w:eastAsia="Calibri"/>
          <w:lang w:val="en-GB"/>
        </w:rPr>
        <w:t>-</w:t>
      </w:r>
      <w:r w:rsidR="006F074E">
        <w:rPr>
          <w:rFonts w:eastAsia="Calibri"/>
          <w:lang w:val="en-GB"/>
        </w:rPr>
        <w:t>w</w:t>
      </w:r>
      <w:r w:rsidR="006F074E" w:rsidRPr="00A830B8">
        <w:rPr>
          <w:rFonts w:eastAsia="Calibri"/>
          <w:lang w:val="en-GB"/>
        </w:rPr>
        <w:t xml:space="preserve">estern </w:t>
      </w:r>
      <w:r w:rsidRPr="00A830B8">
        <w:rPr>
          <w:rFonts w:eastAsia="Calibri"/>
          <w:lang w:val="en-GB"/>
        </w:rPr>
        <w:t xml:space="preserve">areas and droughts in </w:t>
      </w:r>
      <w:r w:rsidR="006F074E">
        <w:rPr>
          <w:rFonts w:eastAsia="Calibri"/>
          <w:lang w:val="en-GB"/>
        </w:rPr>
        <w:t>e</w:t>
      </w:r>
      <w:r w:rsidR="006F074E" w:rsidRPr="00A830B8">
        <w:rPr>
          <w:rFonts w:eastAsia="Calibri"/>
          <w:lang w:val="en-GB"/>
        </w:rPr>
        <w:t xml:space="preserve">astern </w:t>
      </w:r>
      <w:r w:rsidRPr="00A830B8">
        <w:rPr>
          <w:rFonts w:eastAsia="Calibri"/>
          <w:lang w:val="en-GB"/>
        </w:rPr>
        <w:t>areas.</w:t>
      </w:r>
      <w:r w:rsidRPr="007830FB">
        <w:rPr>
          <w:rStyle w:val="FootnoteReference"/>
          <w:rFonts w:eastAsia="Calibri"/>
          <w:lang w:val="en-GB"/>
        </w:rPr>
        <w:footnoteReference w:id="24"/>
      </w:r>
      <w:r w:rsidRPr="00A830B8">
        <w:rPr>
          <w:rFonts w:eastAsia="Calibri"/>
          <w:lang w:val="en-GB"/>
        </w:rPr>
        <w:t xml:space="preserve"> Female-headed households and poor rural farmers are often vulnerable, but can be potential agents for change.</w:t>
      </w:r>
    </w:p>
    <w:p w:rsidR="0006756E" w:rsidRPr="00D13CB0" w:rsidRDefault="0006756E" w:rsidP="00C4374A">
      <w:pPr>
        <w:pStyle w:val="ListParagraph"/>
        <w:tabs>
          <w:tab w:val="left" w:pos="720"/>
          <w:tab w:val="left" w:pos="1080"/>
          <w:tab w:val="left" w:pos="1170"/>
        </w:tabs>
        <w:ind w:left="1170" w:right="1030"/>
        <w:jc w:val="both"/>
        <w:rPr>
          <w:rFonts w:eastAsia="Calibri"/>
          <w:sz w:val="12"/>
          <w:szCs w:val="12"/>
          <w:lang w:val="en-GB"/>
        </w:rPr>
      </w:pPr>
    </w:p>
    <w:p w:rsidR="0006756E" w:rsidRPr="00A830B8" w:rsidRDefault="0006756E" w:rsidP="00C4374A">
      <w:pPr>
        <w:pStyle w:val="ListParagraph"/>
        <w:numPr>
          <w:ilvl w:val="0"/>
          <w:numId w:val="3"/>
        </w:numPr>
        <w:tabs>
          <w:tab w:val="left" w:pos="720"/>
          <w:tab w:val="left" w:pos="1080"/>
          <w:tab w:val="left" w:pos="1170"/>
        </w:tabs>
        <w:ind w:left="1170" w:right="1030" w:firstLine="0"/>
        <w:contextualSpacing/>
        <w:jc w:val="both"/>
        <w:rPr>
          <w:rFonts w:eastAsia="Calibri"/>
          <w:lang w:val="en-GB"/>
        </w:rPr>
      </w:pPr>
      <w:r w:rsidRPr="00A830B8">
        <w:rPr>
          <w:rFonts w:eastAsia="Calibri"/>
          <w:lang w:val="en-GB"/>
        </w:rPr>
        <w:t>Promisingly, the country has ratified major multilateral environmental agreements such as the Paris Agreement and Montreal Protocol, and has a favourable enabling legislative environment. With UNDP support, Rwanda formulated a national Climate Change and Green Growth Strategy and established a national climate change trust fund (</w:t>
      </w:r>
      <w:r w:rsidR="006F074E">
        <w:rPr>
          <w:rFonts w:eastAsia="Calibri"/>
          <w:lang w:val="en-GB"/>
        </w:rPr>
        <w:t>“</w:t>
      </w:r>
      <w:r w:rsidRPr="00A830B8">
        <w:rPr>
          <w:rFonts w:eastAsia="Calibri"/>
          <w:lang w:val="en-GB"/>
        </w:rPr>
        <w:t>FONERWA</w:t>
      </w:r>
      <w:r w:rsidR="006F074E">
        <w:rPr>
          <w:rFonts w:eastAsia="Calibri"/>
          <w:lang w:val="en-GB"/>
        </w:rPr>
        <w:t>”</w:t>
      </w:r>
      <w:r w:rsidRPr="00A830B8">
        <w:rPr>
          <w:rFonts w:eastAsia="Calibri"/>
          <w:lang w:val="en-GB"/>
        </w:rPr>
        <w:t>). Rwanda has registered noticeable progress in disaster preparedness and risk management since the establishment of the Ministry of Disaster Management and Refugee Affairs (MIDIMAR) in 2010 and with the development of a National Recovery Strategy and National Risk Atlas with UNDP support.</w:t>
      </w:r>
    </w:p>
    <w:p w:rsidR="0006756E" w:rsidRPr="00D13CB0" w:rsidRDefault="0006756E" w:rsidP="00C4374A">
      <w:pPr>
        <w:pStyle w:val="ListParagraph"/>
        <w:ind w:left="1170" w:right="1030"/>
        <w:jc w:val="both"/>
        <w:rPr>
          <w:rFonts w:eastAsia="Calibri"/>
          <w:sz w:val="12"/>
          <w:szCs w:val="12"/>
          <w:lang w:val="en-GB"/>
        </w:rPr>
      </w:pPr>
    </w:p>
    <w:p w:rsidR="0006756E" w:rsidRPr="00A830B8" w:rsidRDefault="0006756E" w:rsidP="00C4374A">
      <w:pPr>
        <w:pStyle w:val="ListParagraph"/>
        <w:numPr>
          <w:ilvl w:val="0"/>
          <w:numId w:val="3"/>
        </w:numPr>
        <w:tabs>
          <w:tab w:val="left" w:pos="1080"/>
          <w:tab w:val="left" w:pos="1260"/>
          <w:tab w:val="left" w:pos="1350"/>
        </w:tabs>
        <w:ind w:left="1170" w:right="1030" w:firstLine="0"/>
        <w:contextualSpacing/>
        <w:jc w:val="both"/>
        <w:rPr>
          <w:rFonts w:eastAsia="Calibri"/>
          <w:lang w:val="en-GB"/>
        </w:rPr>
      </w:pPr>
      <w:r w:rsidRPr="00A830B8">
        <w:rPr>
          <w:rFonts w:eastAsia="Calibri"/>
          <w:lang w:val="en-GB"/>
        </w:rPr>
        <w:t>However, gaps remain</w:t>
      </w:r>
      <w:r w:rsidR="006F074E">
        <w:rPr>
          <w:rFonts w:eastAsia="Calibri"/>
          <w:lang w:val="en-GB"/>
        </w:rPr>
        <w:t>,</w:t>
      </w:r>
      <w:r w:rsidRPr="00A830B8">
        <w:rPr>
          <w:rFonts w:eastAsia="Calibri"/>
          <w:lang w:val="en-GB"/>
        </w:rPr>
        <w:t xml:space="preserve"> particularly in the technical capacity of key environment sector institutions to develop policies, coordinate actions across the sector, enforce environmental regulations and mainstream environment and climate change issues into priority economic sectors. Additionally, degraded landscapes and fragile ecosystems need to be restored and rehabilitated. Productivity in agriculture and forestry must improve in an environmentally sustainable and climate resilient manner. With respect to disaster risk management, local technical capacity on risk assessment and contingency planning must be enhanced considering gender and age dynamics, and </w:t>
      </w:r>
      <w:r w:rsidR="006F074E" w:rsidRPr="00A830B8">
        <w:rPr>
          <w:rFonts w:eastAsia="Calibri"/>
          <w:lang w:val="en-GB"/>
        </w:rPr>
        <w:t>better</w:t>
      </w:r>
      <w:r w:rsidR="006F074E">
        <w:rPr>
          <w:rFonts w:eastAsia="Calibri"/>
          <w:lang w:val="en-GB"/>
        </w:rPr>
        <w:t>-</w:t>
      </w:r>
      <w:r w:rsidRPr="00A830B8">
        <w:rPr>
          <w:rFonts w:eastAsia="Calibri"/>
          <w:lang w:val="en-GB"/>
        </w:rPr>
        <w:t xml:space="preserve">quality and timelier meteorological data </w:t>
      </w:r>
      <w:r w:rsidR="006F074E">
        <w:rPr>
          <w:rFonts w:eastAsia="Calibri"/>
          <w:lang w:val="en-GB"/>
        </w:rPr>
        <w:t>are</w:t>
      </w:r>
      <w:r w:rsidR="006F074E" w:rsidRPr="00A830B8">
        <w:rPr>
          <w:rFonts w:eastAsia="Calibri"/>
          <w:lang w:val="en-GB"/>
        </w:rPr>
        <w:t xml:space="preserve"> </w:t>
      </w:r>
      <w:r w:rsidRPr="00A830B8">
        <w:rPr>
          <w:rFonts w:eastAsia="Calibri"/>
          <w:lang w:val="en-GB"/>
        </w:rPr>
        <w:t>needed for effective early warning.</w:t>
      </w:r>
    </w:p>
    <w:p w:rsidR="0006756E" w:rsidRPr="00D13CB0" w:rsidRDefault="0006756E" w:rsidP="00C4374A">
      <w:pPr>
        <w:pStyle w:val="ListParagraph"/>
        <w:tabs>
          <w:tab w:val="left" w:pos="1080"/>
          <w:tab w:val="left" w:pos="1260"/>
          <w:tab w:val="left" w:pos="1350"/>
        </w:tabs>
        <w:ind w:left="1170" w:right="1030"/>
        <w:jc w:val="both"/>
        <w:rPr>
          <w:rFonts w:eastAsia="Calibri"/>
          <w:sz w:val="12"/>
          <w:szCs w:val="12"/>
          <w:lang w:val="en-GB"/>
        </w:rPr>
      </w:pPr>
    </w:p>
    <w:p w:rsidR="0006756E" w:rsidRPr="00A830B8" w:rsidRDefault="000E64DD" w:rsidP="00D13CB0">
      <w:pPr>
        <w:pStyle w:val="ListParagraph"/>
        <w:numPr>
          <w:ilvl w:val="0"/>
          <w:numId w:val="3"/>
        </w:numPr>
        <w:tabs>
          <w:tab w:val="left" w:pos="1080"/>
          <w:tab w:val="left" w:pos="1350"/>
        </w:tabs>
        <w:ind w:left="1170" w:right="1030" w:firstLine="0"/>
        <w:contextualSpacing/>
        <w:jc w:val="both"/>
        <w:rPr>
          <w:rFonts w:eastAsia="Calibri"/>
          <w:lang w:val="en-GB"/>
        </w:rPr>
      </w:pPr>
      <w:r>
        <w:rPr>
          <w:rFonts w:eastAsia="Calibri"/>
          <w:lang w:val="en-GB"/>
        </w:rPr>
        <w:lastRenderedPageBreak/>
        <w:t xml:space="preserve"> </w:t>
      </w:r>
      <w:r w:rsidR="0006756E" w:rsidRPr="00A830B8">
        <w:rPr>
          <w:rFonts w:eastAsia="Calibri"/>
          <w:lang w:val="en-GB"/>
        </w:rPr>
        <w:t xml:space="preserve">Much of Rwanda’s impressive growth over the past </w:t>
      </w:r>
      <w:r w:rsidR="00FC091A">
        <w:rPr>
          <w:rFonts w:eastAsia="Calibri"/>
          <w:lang w:val="en-GB"/>
        </w:rPr>
        <w:t>two</w:t>
      </w:r>
      <w:r w:rsidR="00FC091A" w:rsidRPr="00A830B8">
        <w:rPr>
          <w:rFonts w:eastAsia="Calibri"/>
          <w:lang w:val="en-GB"/>
        </w:rPr>
        <w:t xml:space="preserve"> </w:t>
      </w:r>
      <w:r w:rsidR="0006756E" w:rsidRPr="00A830B8">
        <w:rPr>
          <w:rFonts w:eastAsia="Calibri"/>
          <w:lang w:val="en-GB"/>
        </w:rPr>
        <w:t xml:space="preserve">decades was a result of governance reforms to consolidate peace, build strong and accountable public institutions and create a safe, stable environment conducive to investment and growth. However, despite the commendable progress made with respect to </w:t>
      </w:r>
      <w:r w:rsidR="00FC091A" w:rsidRPr="00A830B8">
        <w:rPr>
          <w:rFonts w:eastAsia="Calibri"/>
          <w:lang w:val="en-GB"/>
        </w:rPr>
        <w:t>post</w:t>
      </w:r>
      <w:r w:rsidR="00FC091A">
        <w:rPr>
          <w:rFonts w:eastAsia="Calibri"/>
          <w:lang w:val="en-GB"/>
        </w:rPr>
        <w:t>-</w:t>
      </w:r>
      <w:r w:rsidR="0006756E" w:rsidRPr="00A830B8">
        <w:rPr>
          <w:rFonts w:eastAsia="Calibri"/>
          <w:lang w:val="en-GB"/>
        </w:rPr>
        <w:t>genocide reconciliation and social cohesion, 25.8 per</w:t>
      </w:r>
      <w:r w:rsidR="00FC091A">
        <w:rPr>
          <w:rFonts w:eastAsia="Calibri"/>
          <w:lang w:val="en-GB"/>
        </w:rPr>
        <w:t xml:space="preserve"> </w:t>
      </w:r>
      <w:r w:rsidR="0006756E" w:rsidRPr="00A830B8">
        <w:rPr>
          <w:rFonts w:eastAsia="Calibri"/>
          <w:lang w:val="en-GB"/>
        </w:rPr>
        <w:t>cent of Rwandans indicate that divisions and genocide ideology persist,</w:t>
      </w:r>
      <w:r w:rsidR="0006756E" w:rsidRPr="007830FB">
        <w:rPr>
          <w:rStyle w:val="FootnoteReference"/>
          <w:rFonts w:eastAsia="Calibri"/>
          <w:lang w:val="en-GB"/>
        </w:rPr>
        <w:footnoteReference w:id="25"/>
      </w:r>
      <w:r w:rsidR="0006756E" w:rsidRPr="00A830B8">
        <w:rPr>
          <w:rFonts w:eastAsia="Calibri"/>
          <w:lang w:val="en-GB"/>
        </w:rPr>
        <w:t xml:space="preserve"> a sobering reminder that continued investments in reconciliation and social cohesion are needed to overcome the legacy of the genocide. Similarly, while Rwanda was ranked the second safest country in Africa,</w:t>
      </w:r>
      <w:r w:rsidR="0006756E" w:rsidRPr="007830FB">
        <w:rPr>
          <w:rStyle w:val="FootnoteReference"/>
          <w:rFonts w:eastAsia="Calibri"/>
          <w:lang w:val="en-GB"/>
        </w:rPr>
        <w:footnoteReference w:id="26"/>
      </w:r>
      <w:r w:rsidR="0006756E" w:rsidRPr="00A830B8">
        <w:rPr>
          <w:rFonts w:eastAsia="Calibri"/>
          <w:lang w:val="en-GB"/>
        </w:rPr>
        <w:t xml:space="preserve"> there are capacity gaps to tackle disputes at community level and to address new crimes such as cyber-crime</w:t>
      </w:r>
      <w:r w:rsidR="00FC091A">
        <w:rPr>
          <w:rFonts w:eastAsia="Calibri"/>
          <w:lang w:val="en-GB"/>
        </w:rPr>
        <w:t xml:space="preserve"> and</w:t>
      </w:r>
      <w:r w:rsidR="00FC091A" w:rsidRPr="00A830B8">
        <w:rPr>
          <w:rFonts w:eastAsia="Calibri"/>
          <w:lang w:val="en-GB"/>
        </w:rPr>
        <w:t xml:space="preserve"> </w:t>
      </w:r>
      <w:r w:rsidR="0006756E" w:rsidRPr="00A830B8">
        <w:rPr>
          <w:rFonts w:eastAsia="Calibri"/>
          <w:lang w:val="en-GB"/>
        </w:rPr>
        <w:t xml:space="preserve">human and drug trafficking. </w:t>
      </w:r>
    </w:p>
    <w:p w:rsidR="0006756E" w:rsidRPr="00D13CB0" w:rsidRDefault="0006756E" w:rsidP="00C4374A">
      <w:pPr>
        <w:pStyle w:val="ListParagraph"/>
        <w:tabs>
          <w:tab w:val="left" w:pos="1080"/>
          <w:tab w:val="left" w:pos="1260"/>
          <w:tab w:val="left" w:pos="1350"/>
        </w:tabs>
        <w:ind w:left="1170" w:right="1030"/>
        <w:jc w:val="both"/>
        <w:rPr>
          <w:rFonts w:eastAsia="Calibri"/>
          <w:sz w:val="12"/>
          <w:szCs w:val="12"/>
          <w:lang w:val="en-GB"/>
        </w:rPr>
      </w:pPr>
    </w:p>
    <w:p w:rsidR="0006756E" w:rsidRPr="00A830B8" w:rsidRDefault="000E64DD" w:rsidP="00C4374A">
      <w:pPr>
        <w:pStyle w:val="ListParagraph"/>
        <w:numPr>
          <w:ilvl w:val="0"/>
          <w:numId w:val="3"/>
        </w:numPr>
        <w:tabs>
          <w:tab w:val="left" w:pos="1080"/>
          <w:tab w:val="left" w:pos="1260"/>
          <w:tab w:val="left" w:pos="1350"/>
        </w:tabs>
        <w:ind w:left="1170" w:right="1030" w:firstLine="0"/>
        <w:contextualSpacing/>
        <w:jc w:val="both"/>
        <w:rPr>
          <w:rFonts w:eastAsia="Calibri"/>
          <w:lang w:val="en-GB"/>
        </w:rPr>
      </w:pPr>
      <w:r>
        <w:rPr>
          <w:rFonts w:eastAsia="Calibri"/>
          <w:lang w:val="en-GB"/>
        </w:rPr>
        <w:t xml:space="preserve"> </w:t>
      </w:r>
      <w:r w:rsidR="0006756E" w:rsidRPr="00A830B8">
        <w:rPr>
          <w:rFonts w:eastAsia="Calibri"/>
          <w:lang w:val="en-GB"/>
        </w:rPr>
        <w:t>Areas of the justice system also require attention. While a legal aid policy was adopted in 2014 to increase access to justice, many, especially poor and rural citizens, are underserved and citizen satisfaction with access to legal aid remains low at 64.4 per</w:t>
      </w:r>
      <w:r w:rsidR="00FC091A">
        <w:rPr>
          <w:rFonts w:eastAsia="Calibri"/>
          <w:lang w:val="en-GB"/>
        </w:rPr>
        <w:t xml:space="preserve"> </w:t>
      </w:r>
      <w:r w:rsidR="0006756E" w:rsidRPr="00A830B8">
        <w:rPr>
          <w:rFonts w:eastAsia="Calibri"/>
          <w:lang w:val="en-GB"/>
        </w:rPr>
        <w:t>cent.</w:t>
      </w:r>
      <w:r w:rsidR="0006756E" w:rsidRPr="007830FB">
        <w:rPr>
          <w:rStyle w:val="FootnoteReference"/>
          <w:rFonts w:eastAsia="Calibri"/>
          <w:lang w:val="en-GB"/>
        </w:rPr>
        <w:footnoteReference w:id="27"/>
      </w:r>
      <w:r w:rsidR="0006756E" w:rsidRPr="00A830B8">
        <w:rPr>
          <w:rFonts w:eastAsia="Calibri"/>
          <w:lang w:val="en-GB"/>
        </w:rPr>
        <w:t xml:space="preserve"> Special focus is needed on female victims of gender</w:t>
      </w:r>
      <w:r w:rsidR="00D13CB0">
        <w:rPr>
          <w:rFonts w:eastAsia="Calibri"/>
          <w:lang w:val="en-GB"/>
        </w:rPr>
        <w:t>-</w:t>
      </w:r>
      <w:r w:rsidR="0006756E" w:rsidRPr="00A830B8">
        <w:rPr>
          <w:rFonts w:eastAsia="Calibri"/>
          <w:lang w:val="en-GB"/>
        </w:rPr>
        <w:t>based violence</w:t>
      </w:r>
      <w:r w:rsidR="00FC091A">
        <w:rPr>
          <w:rFonts w:eastAsia="Calibri"/>
          <w:lang w:val="en-GB"/>
        </w:rPr>
        <w:t>; the number of</w:t>
      </w:r>
      <w:r w:rsidR="0006756E" w:rsidRPr="00A830B8">
        <w:rPr>
          <w:rFonts w:eastAsia="Calibri"/>
          <w:lang w:val="en-GB"/>
        </w:rPr>
        <w:t xml:space="preserve"> cases increased from 12,439 in 2013 to 14,241 in 2015,</w:t>
      </w:r>
      <w:r w:rsidR="0006756E" w:rsidRPr="007830FB">
        <w:rPr>
          <w:rStyle w:val="FootnoteReference"/>
          <w:rFonts w:eastAsia="Calibri"/>
          <w:lang w:val="en-GB"/>
        </w:rPr>
        <w:footnoteReference w:id="28"/>
      </w:r>
      <w:r w:rsidR="0006756E" w:rsidRPr="00A830B8">
        <w:rPr>
          <w:rFonts w:eastAsia="Calibri"/>
          <w:lang w:val="en-GB"/>
        </w:rPr>
        <w:t xml:space="preserve"> denying women the opportunity of living dignified lives free from violence. Rwanda must also invest more in promoting correction, rehabilitation and reintegration of law offenders. Currently there is no alternative to imprisonment measures for offenders other than</w:t>
      </w:r>
      <w:r w:rsidR="00823075">
        <w:rPr>
          <w:rFonts w:eastAsia="Calibri"/>
          <w:lang w:val="en-GB"/>
        </w:rPr>
        <w:t xml:space="preserve"> the community service </w:t>
      </w:r>
      <w:r w:rsidR="00BD2BFE">
        <w:rPr>
          <w:rFonts w:eastAsia="Calibri"/>
          <w:lang w:val="en-GB"/>
        </w:rPr>
        <w:t xml:space="preserve">programme </w:t>
      </w:r>
      <w:r w:rsidR="0006756E" w:rsidRPr="00A830B8">
        <w:rPr>
          <w:rFonts w:eastAsia="Calibri"/>
          <w:lang w:val="en-GB"/>
        </w:rPr>
        <w:t xml:space="preserve">for those convicted of genocide. </w:t>
      </w:r>
      <w:r w:rsidR="00823075">
        <w:rPr>
          <w:rFonts w:eastAsia="Calibri"/>
          <w:lang w:val="en-GB"/>
        </w:rPr>
        <w:t>With</w:t>
      </w:r>
      <w:r w:rsidR="00823075" w:rsidRPr="00A830B8">
        <w:rPr>
          <w:rFonts w:eastAsia="Calibri"/>
          <w:lang w:val="en-GB"/>
        </w:rPr>
        <w:t xml:space="preserve"> </w:t>
      </w:r>
      <w:r w:rsidR="0006756E" w:rsidRPr="00A830B8">
        <w:rPr>
          <w:rFonts w:eastAsia="Calibri"/>
          <w:lang w:val="en-GB"/>
        </w:rPr>
        <w:t>54,185 inmates</w:t>
      </w:r>
      <w:r w:rsidR="00823075">
        <w:rPr>
          <w:rFonts w:eastAsia="Calibri"/>
          <w:lang w:val="en-GB"/>
        </w:rPr>
        <w:t>,</w:t>
      </w:r>
      <w:r w:rsidR="0006756E" w:rsidRPr="007830FB">
        <w:rPr>
          <w:rStyle w:val="FootnoteReference"/>
          <w:rFonts w:eastAsia="Calibri"/>
          <w:lang w:val="en-GB"/>
        </w:rPr>
        <w:footnoteReference w:id="29"/>
      </w:r>
      <w:r w:rsidR="0006756E" w:rsidRPr="00A830B8">
        <w:rPr>
          <w:rFonts w:eastAsia="Calibri"/>
          <w:lang w:val="en-GB"/>
        </w:rPr>
        <w:t xml:space="preserve"> </w:t>
      </w:r>
      <w:r w:rsidR="00823075">
        <w:rPr>
          <w:rFonts w:eastAsia="Calibri"/>
          <w:lang w:val="en-GB"/>
        </w:rPr>
        <w:t>Rwanda’s 14</w:t>
      </w:r>
      <w:r w:rsidR="00823075" w:rsidRPr="00A830B8">
        <w:rPr>
          <w:rFonts w:eastAsia="Calibri"/>
          <w:lang w:val="en-GB"/>
        </w:rPr>
        <w:t xml:space="preserve"> </w:t>
      </w:r>
      <w:r w:rsidR="0006756E" w:rsidRPr="00A830B8">
        <w:rPr>
          <w:rFonts w:eastAsia="Calibri"/>
          <w:lang w:val="en-GB"/>
        </w:rPr>
        <w:t xml:space="preserve">prisons have surpassed </w:t>
      </w:r>
      <w:r w:rsidR="00823075">
        <w:rPr>
          <w:rFonts w:eastAsia="Calibri"/>
          <w:lang w:val="en-GB"/>
        </w:rPr>
        <w:t xml:space="preserve">their </w:t>
      </w:r>
      <w:r w:rsidR="0006756E" w:rsidRPr="00A830B8">
        <w:rPr>
          <w:rFonts w:eastAsia="Calibri"/>
          <w:lang w:val="en-GB"/>
        </w:rPr>
        <w:t xml:space="preserve">planned capacity. An alternative mechanism to imprisonment will facilitate correction, rehabilitation and reintegration while resolving the economically burdensome overcrowding in prisons and providing offenders a more dignified life with full respect for their human rights. </w:t>
      </w:r>
    </w:p>
    <w:p w:rsidR="0006756E" w:rsidRPr="00D13CB0" w:rsidRDefault="0006756E" w:rsidP="00C4374A">
      <w:pPr>
        <w:pStyle w:val="ListParagraph"/>
        <w:tabs>
          <w:tab w:val="left" w:pos="1080"/>
          <w:tab w:val="left" w:pos="1260"/>
          <w:tab w:val="left" w:pos="1350"/>
        </w:tabs>
        <w:ind w:left="1170" w:right="1030"/>
        <w:jc w:val="both"/>
        <w:rPr>
          <w:rFonts w:eastAsia="Calibri"/>
          <w:sz w:val="12"/>
          <w:szCs w:val="12"/>
          <w:lang w:val="en-GB"/>
        </w:rPr>
      </w:pPr>
    </w:p>
    <w:p w:rsidR="0006756E" w:rsidRPr="00A830B8" w:rsidRDefault="000E64DD" w:rsidP="00C4374A">
      <w:pPr>
        <w:pStyle w:val="ListParagraph"/>
        <w:numPr>
          <w:ilvl w:val="0"/>
          <w:numId w:val="3"/>
        </w:numPr>
        <w:tabs>
          <w:tab w:val="left" w:pos="1080"/>
          <w:tab w:val="left" w:pos="1260"/>
          <w:tab w:val="left" w:pos="1350"/>
        </w:tabs>
        <w:ind w:left="1170" w:right="1030" w:firstLine="0"/>
        <w:contextualSpacing/>
        <w:jc w:val="both"/>
        <w:rPr>
          <w:rFonts w:eastAsia="Calibri"/>
          <w:lang w:val="en-GB"/>
        </w:rPr>
      </w:pPr>
      <w:r>
        <w:rPr>
          <w:rFonts w:eastAsia="Calibri"/>
          <w:lang w:val="en-GB"/>
        </w:rPr>
        <w:t xml:space="preserve"> </w:t>
      </w:r>
      <w:r w:rsidR="0006756E" w:rsidRPr="00A830B8">
        <w:rPr>
          <w:rFonts w:eastAsia="Calibri"/>
          <w:lang w:val="en-GB"/>
        </w:rPr>
        <w:t xml:space="preserve">Work must </w:t>
      </w:r>
      <w:r w:rsidR="00867806">
        <w:rPr>
          <w:rFonts w:eastAsia="Calibri"/>
          <w:lang w:val="en-GB"/>
        </w:rPr>
        <w:t xml:space="preserve">also </w:t>
      </w:r>
      <w:r w:rsidR="0006756E" w:rsidRPr="00A830B8">
        <w:rPr>
          <w:rFonts w:eastAsia="Calibri"/>
          <w:lang w:val="en-GB"/>
        </w:rPr>
        <w:t xml:space="preserve">continue </w:t>
      </w:r>
      <w:r w:rsidR="00867806">
        <w:rPr>
          <w:rFonts w:eastAsia="Calibri"/>
          <w:lang w:val="en-GB"/>
        </w:rPr>
        <w:t xml:space="preserve">on strengthening </w:t>
      </w:r>
      <w:r w:rsidR="0006756E" w:rsidRPr="00A830B8">
        <w:rPr>
          <w:rFonts w:eastAsia="Calibri"/>
          <w:lang w:val="en-GB"/>
        </w:rPr>
        <w:t xml:space="preserve">accountability, </w:t>
      </w:r>
      <w:r w:rsidR="00BD2BFE" w:rsidRPr="00A830B8">
        <w:rPr>
          <w:rFonts w:eastAsia="Calibri"/>
          <w:lang w:val="en-GB"/>
        </w:rPr>
        <w:t>transparency</w:t>
      </w:r>
      <w:r w:rsidR="00BD2BFE">
        <w:rPr>
          <w:rFonts w:eastAsia="Calibri"/>
          <w:lang w:val="en-GB"/>
        </w:rPr>
        <w:t xml:space="preserve"> </w:t>
      </w:r>
      <w:r w:rsidR="00BD2BFE" w:rsidRPr="00A830B8">
        <w:rPr>
          <w:rFonts w:eastAsia="Calibri"/>
          <w:lang w:val="en-GB"/>
        </w:rPr>
        <w:t>and</w:t>
      </w:r>
      <w:r w:rsidR="0006756E" w:rsidRPr="00A830B8">
        <w:rPr>
          <w:rFonts w:eastAsia="Calibri"/>
          <w:lang w:val="en-GB"/>
        </w:rPr>
        <w:t xml:space="preserve"> service delivery. The </w:t>
      </w:r>
      <w:r w:rsidR="00823075">
        <w:rPr>
          <w:rFonts w:eastAsia="Calibri"/>
          <w:lang w:val="en-GB"/>
        </w:rPr>
        <w:t>i</w:t>
      </w:r>
      <w:r w:rsidR="00823075" w:rsidRPr="00A830B8">
        <w:rPr>
          <w:rFonts w:eastAsia="Calibri"/>
          <w:lang w:val="en-GB"/>
        </w:rPr>
        <w:t xml:space="preserve">ndependent </w:t>
      </w:r>
      <w:r w:rsidR="00823075">
        <w:rPr>
          <w:rFonts w:eastAsia="Calibri"/>
          <w:lang w:val="en-GB"/>
        </w:rPr>
        <w:t>c</w:t>
      </w:r>
      <w:r w:rsidR="00823075" w:rsidRPr="00A830B8">
        <w:rPr>
          <w:rFonts w:eastAsia="Calibri"/>
          <w:lang w:val="en-GB"/>
        </w:rPr>
        <w:t xml:space="preserve">ountry </w:t>
      </w:r>
      <w:r w:rsidR="00823075">
        <w:rPr>
          <w:rFonts w:eastAsia="Calibri"/>
          <w:lang w:val="en-GB"/>
        </w:rPr>
        <w:t>p</w:t>
      </w:r>
      <w:r w:rsidR="00823075" w:rsidRPr="00A830B8">
        <w:rPr>
          <w:rFonts w:eastAsia="Calibri"/>
          <w:lang w:val="en-GB"/>
        </w:rPr>
        <w:t xml:space="preserve">rogramme </w:t>
      </w:r>
      <w:r w:rsidR="00823075">
        <w:rPr>
          <w:rFonts w:eastAsia="Calibri"/>
          <w:lang w:val="en-GB"/>
        </w:rPr>
        <w:t>e</w:t>
      </w:r>
      <w:r w:rsidR="00823075" w:rsidRPr="00A830B8">
        <w:rPr>
          <w:rFonts w:eastAsia="Calibri"/>
          <w:lang w:val="en-GB"/>
        </w:rPr>
        <w:t>valuation</w:t>
      </w:r>
      <w:r w:rsidR="0006756E" w:rsidRPr="00A830B8">
        <w:rPr>
          <w:rFonts w:eastAsia="Calibri"/>
          <w:lang w:val="en-GB"/>
        </w:rPr>
        <w:t xml:space="preserve"> </w:t>
      </w:r>
      <w:r w:rsidR="00823075" w:rsidRPr="00A830B8">
        <w:rPr>
          <w:rFonts w:eastAsia="Calibri"/>
          <w:lang w:val="en-GB"/>
        </w:rPr>
        <w:t>recogni</w:t>
      </w:r>
      <w:r w:rsidR="00823075">
        <w:rPr>
          <w:rFonts w:eastAsia="Calibri"/>
          <w:lang w:val="en-GB"/>
        </w:rPr>
        <w:t>z</w:t>
      </w:r>
      <w:r w:rsidR="00823075" w:rsidRPr="00A830B8">
        <w:rPr>
          <w:rFonts w:eastAsia="Calibri"/>
          <w:lang w:val="en-GB"/>
        </w:rPr>
        <w:t xml:space="preserve">ed </w:t>
      </w:r>
      <w:r w:rsidR="0006756E" w:rsidRPr="00A830B8">
        <w:rPr>
          <w:rFonts w:eastAsia="Calibri"/>
          <w:lang w:val="en-GB"/>
        </w:rPr>
        <w:t xml:space="preserve">the important role UNDP played in building the capacities of the media and civil society </w:t>
      </w:r>
      <w:r w:rsidR="00E47AD0" w:rsidRPr="00A830B8">
        <w:rPr>
          <w:rFonts w:eastAsia="Calibri"/>
          <w:lang w:val="en-GB"/>
        </w:rPr>
        <w:t>organi</w:t>
      </w:r>
      <w:r w:rsidR="00E47AD0">
        <w:rPr>
          <w:rFonts w:eastAsia="Calibri"/>
          <w:lang w:val="en-GB"/>
        </w:rPr>
        <w:t>z</w:t>
      </w:r>
      <w:r w:rsidR="00E47AD0" w:rsidRPr="00A830B8">
        <w:rPr>
          <w:rFonts w:eastAsia="Calibri"/>
          <w:lang w:val="en-GB"/>
        </w:rPr>
        <w:t xml:space="preserve">ations </w:t>
      </w:r>
      <w:r w:rsidR="0006756E" w:rsidRPr="00A830B8">
        <w:rPr>
          <w:rFonts w:eastAsia="Calibri"/>
          <w:lang w:val="en-GB"/>
        </w:rPr>
        <w:t>(CSOs) to promote accountability, transparency and citizen participation in public processes. However, it pointed to areas requiring further attention such as the level of media development, media independence and pluralism.</w:t>
      </w:r>
      <w:r w:rsidR="0006756E" w:rsidRPr="007830FB">
        <w:rPr>
          <w:rStyle w:val="FootnoteReference"/>
          <w:rFonts w:eastAsia="Calibri"/>
          <w:lang w:val="en-GB"/>
        </w:rPr>
        <w:footnoteReference w:id="30"/>
      </w:r>
      <w:r w:rsidR="0006756E" w:rsidRPr="00A830B8">
        <w:rPr>
          <w:rFonts w:eastAsia="Calibri"/>
          <w:lang w:val="en-GB"/>
        </w:rPr>
        <w:t xml:space="preserve"> The report also </w:t>
      </w:r>
      <w:r w:rsidR="00E47AD0" w:rsidRPr="00A830B8">
        <w:rPr>
          <w:rFonts w:eastAsia="Calibri"/>
          <w:lang w:val="en-GB"/>
        </w:rPr>
        <w:t>recogni</w:t>
      </w:r>
      <w:r w:rsidR="00E47AD0">
        <w:rPr>
          <w:rFonts w:eastAsia="Calibri"/>
          <w:lang w:val="en-GB"/>
        </w:rPr>
        <w:t>z</w:t>
      </w:r>
      <w:r w:rsidR="00E47AD0" w:rsidRPr="00A830B8">
        <w:rPr>
          <w:rFonts w:eastAsia="Calibri"/>
          <w:lang w:val="en-GB"/>
        </w:rPr>
        <w:t xml:space="preserve">ed </w:t>
      </w:r>
      <w:r w:rsidR="0006756E" w:rsidRPr="00A830B8">
        <w:rPr>
          <w:rFonts w:eastAsia="Calibri"/>
          <w:lang w:val="en-GB"/>
        </w:rPr>
        <w:t xml:space="preserve">the key role of the </w:t>
      </w:r>
      <w:r w:rsidR="00E47AD0" w:rsidRPr="00A830B8">
        <w:rPr>
          <w:rFonts w:eastAsia="Calibri"/>
          <w:lang w:val="en-GB"/>
        </w:rPr>
        <w:t>UNDP</w:t>
      </w:r>
      <w:r w:rsidR="00E47AD0">
        <w:rPr>
          <w:rFonts w:eastAsia="Calibri"/>
          <w:lang w:val="en-GB"/>
        </w:rPr>
        <w:t>-</w:t>
      </w:r>
      <w:r w:rsidR="0006756E" w:rsidRPr="00A830B8">
        <w:rPr>
          <w:rFonts w:eastAsia="Calibri"/>
          <w:lang w:val="en-GB"/>
        </w:rPr>
        <w:t>funded CSO program</w:t>
      </w:r>
      <w:r w:rsidR="00E47AD0">
        <w:rPr>
          <w:rFonts w:eastAsia="Calibri"/>
          <w:lang w:val="en-GB"/>
        </w:rPr>
        <w:t>me</w:t>
      </w:r>
      <w:r w:rsidR="0006756E" w:rsidRPr="00A830B8">
        <w:rPr>
          <w:rFonts w:eastAsia="Calibri"/>
          <w:lang w:val="en-GB"/>
        </w:rPr>
        <w:t xml:space="preserve"> in empowering CSOs in a post-genocide society. But both areas – media and CSOs - are underdeveloped and regulated by new laws promulgated only </w:t>
      </w:r>
      <w:r w:rsidR="00E47AD0">
        <w:rPr>
          <w:rFonts w:eastAsia="Calibri"/>
          <w:lang w:val="en-GB"/>
        </w:rPr>
        <w:t xml:space="preserve">in </w:t>
      </w:r>
      <w:r w:rsidR="0006756E" w:rsidRPr="00A830B8">
        <w:rPr>
          <w:rFonts w:eastAsia="Calibri"/>
          <w:lang w:val="en-GB"/>
        </w:rPr>
        <w:t xml:space="preserve">2012, and both require continued support. Likewise, public service delivery received the lowest score of all areas in the 2016 Rwanda Governance Scorecard prompting the </w:t>
      </w:r>
      <w:r w:rsidR="00E47AD0">
        <w:rPr>
          <w:rFonts w:eastAsia="Calibri"/>
          <w:lang w:val="en-GB"/>
        </w:rPr>
        <w:t>G</w:t>
      </w:r>
      <w:r w:rsidR="00E47AD0" w:rsidRPr="00A830B8">
        <w:rPr>
          <w:rFonts w:eastAsia="Calibri"/>
          <w:lang w:val="en-GB"/>
        </w:rPr>
        <w:t xml:space="preserve">overnment </w:t>
      </w:r>
      <w:r w:rsidR="0006756E" w:rsidRPr="00A830B8">
        <w:rPr>
          <w:rFonts w:eastAsia="Calibri"/>
          <w:lang w:val="en-GB"/>
        </w:rPr>
        <w:t xml:space="preserve">to </w:t>
      </w:r>
      <w:r w:rsidR="00E47AD0" w:rsidRPr="00A830B8">
        <w:rPr>
          <w:rFonts w:eastAsia="Calibri"/>
          <w:lang w:val="en-GB"/>
        </w:rPr>
        <w:t>prioriti</w:t>
      </w:r>
      <w:r w:rsidR="00E47AD0">
        <w:rPr>
          <w:rFonts w:eastAsia="Calibri"/>
          <w:lang w:val="en-GB"/>
        </w:rPr>
        <w:t>z</w:t>
      </w:r>
      <w:r w:rsidR="00E47AD0" w:rsidRPr="00A830B8">
        <w:rPr>
          <w:rFonts w:eastAsia="Calibri"/>
          <w:lang w:val="en-GB"/>
        </w:rPr>
        <w:t xml:space="preserve">e </w:t>
      </w:r>
      <w:r w:rsidR="0006756E" w:rsidRPr="00A830B8">
        <w:rPr>
          <w:rFonts w:eastAsia="Calibri"/>
          <w:lang w:val="en-GB"/>
        </w:rPr>
        <w:t xml:space="preserve">the improvement of public institutional capacities at national and local levels in the new NST.  </w:t>
      </w:r>
    </w:p>
    <w:p w:rsidR="0006756E" w:rsidRPr="00D13CB0" w:rsidRDefault="0006756E" w:rsidP="00C4374A">
      <w:pPr>
        <w:pStyle w:val="ListParagraph"/>
        <w:tabs>
          <w:tab w:val="left" w:pos="1080"/>
          <w:tab w:val="left" w:pos="1260"/>
          <w:tab w:val="left" w:pos="1350"/>
        </w:tabs>
        <w:ind w:left="1170" w:right="1030"/>
        <w:jc w:val="both"/>
        <w:rPr>
          <w:rFonts w:eastAsia="Calibri"/>
          <w:sz w:val="12"/>
          <w:szCs w:val="12"/>
          <w:lang w:val="en-GB"/>
        </w:rPr>
      </w:pPr>
    </w:p>
    <w:p w:rsidR="0006756E" w:rsidRPr="00A830B8" w:rsidRDefault="000E64DD" w:rsidP="00C4374A">
      <w:pPr>
        <w:pStyle w:val="ListParagraph"/>
        <w:numPr>
          <w:ilvl w:val="0"/>
          <w:numId w:val="3"/>
        </w:numPr>
        <w:tabs>
          <w:tab w:val="left" w:pos="1080"/>
          <w:tab w:val="left" w:pos="1260"/>
          <w:tab w:val="left" w:pos="1350"/>
        </w:tabs>
        <w:ind w:left="1170" w:right="1030" w:firstLine="0"/>
        <w:contextualSpacing/>
        <w:jc w:val="both"/>
        <w:rPr>
          <w:rFonts w:eastAsia="Calibri"/>
          <w:lang w:val="en-GB"/>
        </w:rPr>
      </w:pPr>
      <w:r>
        <w:rPr>
          <w:rFonts w:eastAsia="Calibri"/>
          <w:lang w:val="en-GB"/>
        </w:rPr>
        <w:t xml:space="preserve"> </w:t>
      </w:r>
      <w:r w:rsidR="0006756E" w:rsidRPr="00A830B8">
        <w:rPr>
          <w:rFonts w:eastAsia="Calibri"/>
          <w:lang w:val="en-GB"/>
        </w:rPr>
        <w:t xml:space="preserve">Rwanda has ratified most international human rights instruments and successfully participated in the 2011 and 2015 </w:t>
      </w:r>
      <w:r w:rsidR="00E47AD0">
        <w:rPr>
          <w:rFonts w:eastAsia="Calibri"/>
          <w:lang w:val="en-GB"/>
        </w:rPr>
        <w:t>u</w:t>
      </w:r>
      <w:r w:rsidR="00E47AD0" w:rsidRPr="00A830B8">
        <w:rPr>
          <w:rFonts w:eastAsia="Calibri"/>
          <w:lang w:val="en-GB"/>
        </w:rPr>
        <w:t xml:space="preserve">niversal </w:t>
      </w:r>
      <w:r w:rsidR="00E47AD0">
        <w:rPr>
          <w:rFonts w:eastAsia="Calibri"/>
          <w:lang w:val="en-GB"/>
        </w:rPr>
        <w:t>p</w:t>
      </w:r>
      <w:r w:rsidR="00E47AD0" w:rsidRPr="00A830B8">
        <w:rPr>
          <w:rFonts w:eastAsia="Calibri"/>
          <w:lang w:val="en-GB"/>
        </w:rPr>
        <w:t xml:space="preserve">eriodic </w:t>
      </w:r>
      <w:r w:rsidR="00E47AD0">
        <w:rPr>
          <w:rFonts w:eastAsia="Calibri"/>
          <w:lang w:val="en-GB"/>
        </w:rPr>
        <w:t>r</w:t>
      </w:r>
      <w:r w:rsidR="00E47AD0" w:rsidRPr="00A830B8">
        <w:rPr>
          <w:rFonts w:eastAsia="Calibri"/>
          <w:lang w:val="en-GB"/>
        </w:rPr>
        <w:t xml:space="preserve">eview </w:t>
      </w:r>
      <w:r w:rsidR="0006756E" w:rsidRPr="00A830B8">
        <w:rPr>
          <w:rFonts w:eastAsia="Calibri"/>
          <w:lang w:val="en-GB"/>
        </w:rPr>
        <w:t>(UPR). The country currently has no treaty body reports backlogs. The 2015 UPR culminated in the adoption of 50 new recommendations,</w:t>
      </w:r>
      <w:r w:rsidR="0006756E" w:rsidRPr="007830FB">
        <w:rPr>
          <w:rStyle w:val="FootnoteReference"/>
          <w:rFonts w:eastAsia="Calibri"/>
          <w:lang w:val="en-GB"/>
        </w:rPr>
        <w:footnoteReference w:id="31"/>
      </w:r>
      <w:r w:rsidR="0006756E" w:rsidRPr="00A830B8">
        <w:rPr>
          <w:rFonts w:eastAsia="Calibri"/>
          <w:lang w:val="en-GB"/>
        </w:rPr>
        <w:t xml:space="preserve"> two thirds of which were implemented by 2017. However, further efforts are needed to tackle areas of deficit</w:t>
      </w:r>
      <w:r w:rsidR="00E47AD0">
        <w:rPr>
          <w:rFonts w:eastAsia="Calibri"/>
          <w:lang w:val="en-GB"/>
        </w:rPr>
        <w:t>,</w:t>
      </w:r>
      <w:r w:rsidR="0006756E" w:rsidRPr="00A830B8">
        <w:rPr>
          <w:rFonts w:eastAsia="Calibri"/>
          <w:lang w:val="en-GB"/>
        </w:rPr>
        <w:t xml:space="preserve"> for example, to eliminate legal provisions that undermine freedom of expression and improve the conditions of persons in detention facilities. The recently adopted national human rights action plan, if duly implemented, provides a good starting point for domestication of human rights commitments. But outside of government, the capacities of non-government</w:t>
      </w:r>
      <w:r w:rsidR="00E47AD0">
        <w:rPr>
          <w:rFonts w:eastAsia="Calibri"/>
          <w:lang w:val="en-GB"/>
        </w:rPr>
        <w:t>al</w:t>
      </w:r>
      <w:r w:rsidR="0006756E" w:rsidRPr="00A830B8">
        <w:rPr>
          <w:rFonts w:eastAsia="Calibri"/>
          <w:lang w:val="en-GB"/>
        </w:rPr>
        <w:t xml:space="preserve"> </w:t>
      </w:r>
      <w:r w:rsidR="00E47AD0" w:rsidRPr="00A830B8">
        <w:rPr>
          <w:rFonts w:eastAsia="Calibri"/>
          <w:lang w:val="en-GB"/>
        </w:rPr>
        <w:t>organi</w:t>
      </w:r>
      <w:r w:rsidR="00E47AD0">
        <w:rPr>
          <w:rFonts w:eastAsia="Calibri"/>
          <w:lang w:val="en-GB"/>
        </w:rPr>
        <w:t>z</w:t>
      </w:r>
      <w:r w:rsidR="00E47AD0" w:rsidRPr="00A830B8">
        <w:rPr>
          <w:rFonts w:eastAsia="Calibri"/>
          <w:lang w:val="en-GB"/>
        </w:rPr>
        <w:t xml:space="preserve">ations </w:t>
      </w:r>
      <w:r w:rsidR="0006756E" w:rsidRPr="00A830B8">
        <w:rPr>
          <w:rFonts w:eastAsia="Calibri"/>
          <w:lang w:val="en-GB"/>
        </w:rPr>
        <w:t>to assess, monitor and report on human rights commitments are limited. There is also scope for stronger collaboration with other development partners on the rights agenda.</w:t>
      </w:r>
    </w:p>
    <w:p w:rsidR="0006756E" w:rsidRPr="00D13CB0" w:rsidRDefault="0006756E" w:rsidP="00C4374A">
      <w:pPr>
        <w:pStyle w:val="ListParagraph"/>
        <w:tabs>
          <w:tab w:val="left" w:pos="1080"/>
          <w:tab w:val="left" w:pos="1260"/>
          <w:tab w:val="left" w:pos="1350"/>
        </w:tabs>
        <w:ind w:left="1170" w:right="1030"/>
        <w:jc w:val="both"/>
        <w:rPr>
          <w:rFonts w:eastAsia="Calibri"/>
          <w:sz w:val="12"/>
          <w:szCs w:val="12"/>
          <w:lang w:val="en-GB"/>
        </w:rPr>
      </w:pPr>
    </w:p>
    <w:p w:rsidR="0006756E" w:rsidRPr="00A830B8" w:rsidRDefault="000E64DD" w:rsidP="00C4374A">
      <w:pPr>
        <w:pStyle w:val="ListParagraph"/>
        <w:numPr>
          <w:ilvl w:val="0"/>
          <w:numId w:val="3"/>
        </w:numPr>
        <w:tabs>
          <w:tab w:val="left" w:pos="1080"/>
          <w:tab w:val="left" w:pos="1260"/>
          <w:tab w:val="left" w:pos="1350"/>
        </w:tabs>
        <w:ind w:left="1170" w:right="1030" w:firstLine="0"/>
        <w:contextualSpacing/>
        <w:jc w:val="both"/>
        <w:rPr>
          <w:rFonts w:eastAsia="Calibri"/>
          <w:lang w:val="en-GB"/>
        </w:rPr>
      </w:pPr>
      <w:r>
        <w:rPr>
          <w:rFonts w:eastAsia="Calibri"/>
          <w:lang w:val="en-GB"/>
        </w:rPr>
        <w:t xml:space="preserve"> </w:t>
      </w:r>
      <w:r w:rsidR="0006756E" w:rsidRPr="00A830B8">
        <w:rPr>
          <w:rFonts w:eastAsia="Calibri"/>
          <w:lang w:val="en-GB"/>
        </w:rPr>
        <w:t>While Rwanda has acquired a solid reputation for efficient and cost-effective administration of electoral processes, the 2015 U</w:t>
      </w:r>
      <w:r w:rsidR="00E47AD0">
        <w:rPr>
          <w:rFonts w:eastAsia="Calibri"/>
          <w:lang w:val="en-GB"/>
        </w:rPr>
        <w:t xml:space="preserve">nited </w:t>
      </w:r>
      <w:r w:rsidR="0006756E" w:rsidRPr="00A830B8">
        <w:rPr>
          <w:rFonts w:eastAsia="Calibri"/>
          <w:lang w:val="en-GB"/>
        </w:rPr>
        <w:t>N</w:t>
      </w:r>
      <w:r w:rsidR="00E47AD0">
        <w:rPr>
          <w:rFonts w:eastAsia="Calibri"/>
          <w:lang w:val="en-GB"/>
        </w:rPr>
        <w:t>ations</w:t>
      </w:r>
      <w:r w:rsidR="0006756E" w:rsidRPr="00A830B8">
        <w:rPr>
          <w:rFonts w:eastAsia="Calibri"/>
          <w:lang w:val="en-GB"/>
        </w:rPr>
        <w:t xml:space="preserve"> </w:t>
      </w:r>
      <w:r w:rsidR="00E47AD0">
        <w:rPr>
          <w:rFonts w:eastAsia="Calibri"/>
          <w:lang w:val="en-GB"/>
        </w:rPr>
        <w:t>n</w:t>
      </w:r>
      <w:r w:rsidR="00E47AD0" w:rsidRPr="00A830B8">
        <w:rPr>
          <w:rFonts w:eastAsia="Calibri"/>
          <w:lang w:val="en-GB"/>
        </w:rPr>
        <w:t xml:space="preserve">eeds </w:t>
      </w:r>
      <w:r w:rsidR="00E47AD0">
        <w:rPr>
          <w:rFonts w:eastAsia="Calibri"/>
          <w:lang w:val="en-GB"/>
        </w:rPr>
        <w:t>a</w:t>
      </w:r>
      <w:r w:rsidR="00E47AD0" w:rsidRPr="00A830B8">
        <w:rPr>
          <w:rFonts w:eastAsia="Calibri"/>
          <w:lang w:val="en-GB"/>
        </w:rPr>
        <w:t xml:space="preserve">ssessment </w:t>
      </w:r>
      <w:r w:rsidR="00E47AD0">
        <w:rPr>
          <w:rFonts w:eastAsia="Calibri"/>
          <w:lang w:val="en-GB"/>
        </w:rPr>
        <w:t>m</w:t>
      </w:r>
      <w:r w:rsidR="00E47AD0" w:rsidRPr="00A830B8">
        <w:rPr>
          <w:rFonts w:eastAsia="Calibri"/>
          <w:lang w:val="en-GB"/>
        </w:rPr>
        <w:t xml:space="preserve">ission </w:t>
      </w:r>
      <w:r w:rsidR="0006756E" w:rsidRPr="00A830B8">
        <w:rPr>
          <w:rFonts w:eastAsia="Calibri"/>
          <w:lang w:val="en-GB"/>
        </w:rPr>
        <w:t xml:space="preserve">highlighted the need to continue promoting democratic dialogue and broadening political space. It called on the </w:t>
      </w:r>
      <w:r w:rsidR="0006756E" w:rsidRPr="00A830B8">
        <w:rPr>
          <w:rFonts w:eastAsia="Calibri"/>
          <w:lang w:val="en-GB"/>
        </w:rPr>
        <w:lastRenderedPageBreak/>
        <w:t>U</w:t>
      </w:r>
      <w:r w:rsidR="00E47AD0">
        <w:rPr>
          <w:rFonts w:eastAsia="Calibri"/>
          <w:lang w:val="en-GB"/>
        </w:rPr>
        <w:t xml:space="preserve">nited </w:t>
      </w:r>
      <w:r w:rsidR="0006756E" w:rsidRPr="00A830B8">
        <w:rPr>
          <w:rFonts w:eastAsia="Calibri"/>
          <w:lang w:val="en-GB"/>
        </w:rPr>
        <w:t>N</w:t>
      </w:r>
      <w:r w:rsidR="00E47AD0">
        <w:rPr>
          <w:rFonts w:eastAsia="Calibri"/>
          <w:lang w:val="en-GB"/>
        </w:rPr>
        <w:t>ations</w:t>
      </w:r>
      <w:r w:rsidR="0006756E" w:rsidRPr="00A830B8">
        <w:rPr>
          <w:rFonts w:eastAsia="Calibri"/>
          <w:lang w:val="en-GB"/>
        </w:rPr>
        <w:t xml:space="preserve"> to work with development partners and national stakeholders to build capacities and awareness of stakeholders such as the media, political parties and CSOs and address challenges that hinder women</w:t>
      </w:r>
      <w:r w:rsidR="00E47AD0">
        <w:rPr>
          <w:rFonts w:eastAsia="Calibri"/>
          <w:lang w:val="en-GB"/>
        </w:rPr>
        <w:t>’s</w:t>
      </w:r>
      <w:r w:rsidR="0006756E" w:rsidRPr="00A830B8">
        <w:rPr>
          <w:rFonts w:eastAsia="Calibri"/>
          <w:lang w:val="en-GB"/>
        </w:rPr>
        <w:t xml:space="preserve"> representation especially at local levels.</w:t>
      </w:r>
    </w:p>
    <w:p w:rsidR="003A3CB7" w:rsidRPr="00A830B8" w:rsidRDefault="003A3CB7" w:rsidP="00C4374A">
      <w:pPr>
        <w:tabs>
          <w:tab w:val="left" w:pos="400"/>
        </w:tabs>
        <w:ind w:left="1170" w:right="1030"/>
        <w:contextualSpacing/>
        <w:jc w:val="both"/>
        <w:rPr>
          <w:rFonts w:eastAsia="Calibri"/>
          <w:lang w:val="en-GB"/>
        </w:rPr>
      </w:pPr>
    </w:p>
    <w:p w:rsidR="003A3CB7" w:rsidRDefault="003A3CB7" w:rsidP="00C4374A">
      <w:pPr>
        <w:pStyle w:val="ListParagraph"/>
        <w:numPr>
          <w:ilvl w:val="0"/>
          <w:numId w:val="5"/>
        </w:numPr>
        <w:tabs>
          <w:tab w:val="left" w:pos="400"/>
        </w:tabs>
        <w:ind w:left="1170" w:right="1030" w:hanging="540"/>
        <w:contextualSpacing/>
        <w:jc w:val="both"/>
        <w:outlineLvl w:val="0"/>
        <w:rPr>
          <w:rFonts w:eastAsia="Calibri"/>
          <w:b/>
          <w:bCs/>
          <w:sz w:val="28"/>
          <w:szCs w:val="28"/>
          <w:lang w:val="en-GB"/>
        </w:rPr>
      </w:pPr>
      <w:bookmarkStart w:id="3" w:name="_Toc506820998"/>
      <w:r w:rsidRPr="00E177BE">
        <w:rPr>
          <w:rFonts w:eastAsia="Calibri"/>
          <w:b/>
          <w:bCs/>
          <w:sz w:val="28"/>
          <w:szCs w:val="28"/>
          <w:lang w:val="en-GB"/>
        </w:rPr>
        <w:t xml:space="preserve">Programme </w:t>
      </w:r>
      <w:r w:rsidR="00D13CB0">
        <w:rPr>
          <w:rFonts w:eastAsia="Calibri"/>
          <w:b/>
          <w:bCs/>
          <w:sz w:val="28"/>
          <w:szCs w:val="28"/>
          <w:lang w:val="en-GB"/>
        </w:rPr>
        <w:t>p</w:t>
      </w:r>
      <w:r w:rsidRPr="00E177BE">
        <w:rPr>
          <w:rFonts w:eastAsia="Calibri"/>
          <w:b/>
          <w:bCs/>
          <w:sz w:val="28"/>
          <w:szCs w:val="28"/>
          <w:lang w:val="en-GB"/>
        </w:rPr>
        <w:t xml:space="preserve">riorities and </w:t>
      </w:r>
      <w:r w:rsidR="00D13CB0">
        <w:rPr>
          <w:rFonts w:eastAsia="Calibri"/>
          <w:b/>
          <w:bCs/>
          <w:sz w:val="28"/>
          <w:szCs w:val="28"/>
          <w:lang w:val="en-GB"/>
        </w:rPr>
        <w:t>p</w:t>
      </w:r>
      <w:r w:rsidRPr="00E177BE">
        <w:rPr>
          <w:rFonts w:eastAsia="Calibri"/>
          <w:b/>
          <w:bCs/>
          <w:sz w:val="28"/>
          <w:szCs w:val="28"/>
          <w:lang w:val="en-GB"/>
        </w:rPr>
        <w:t>artnerships</w:t>
      </w:r>
      <w:bookmarkEnd w:id="3"/>
    </w:p>
    <w:p w:rsidR="00E177BE" w:rsidRPr="000E64DD" w:rsidRDefault="00E177BE" w:rsidP="00C4374A">
      <w:pPr>
        <w:pStyle w:val="ListParagraph"/>
        <w:tabs>
          <w:tab w:val="left" w:pos="400"/>
        </w:tabs>
        <w:ind w:left="1170" w:right="1030"/>
        <w:contextualSpacing/>
        <w:jc w:val="both"/>
        <w:outlineLvl w:val="0"/>
        <w:rPr>
          <w:rFonts w:eastAsia="Calibri"/>
          <w:bCs/>
          <w:sz w:val="16"/>
          <w:szCs w:val="16"/>
          <w:lang w:val="en-GB"/>
        </w:rPr>
      </w:pPr>
    </w:p>
    <w:p w:rsidR="000F23D6" w:rsidRPr="00A830B8" w:rsidRDefault="000F23D6" w:rsidP="00C4374A">
      <w:pPr>
        <w:pStyle w:val="ListParagraph"/>
        <w:numPr>
          <w:ilvl w:val="0"/>
          <w:numId w:val="3"/>
        </w:numPr>
        <w:tabs>
          <w:tab w:val="left" w:pos="1080"/>
        </w:tabs>
        <w:ind w:left="1170" w:right="1030" w:firstLine="0"/>
        <w:contextualSpacing/>
        <w:jc w:val="both"/>
        <w:rPr>
          <w:rFonts w:eastAsia="Calibri"/>
          <w:lang w:val="en-GB"/>
        </w:rPr>
      </w:pPr>
      <w:r w:rsidRPr="00A830B8">
        <w:rPr>
          <w:rFonts w:eastAsia="Calibri"/>
          <w:lang w:val="en-GB"/>
        </w:rPr>
        <w:t xml:space="preserve">The </w:t>
      </w:r>
      <w:r w:rsidR="00E47AD0">
        <w:rPr>
          <w:rFonts w:eastAsia="Calibri"/>
          <w:lang w:val="en-GB"/>
        </w:rPr>
        <w:t>proposed c</w:t>
      </w:r>
      <w:r w:rsidR="00E47AD0" w:rsidRPr="00A830B8">
        <w:rPr>
          <w:rFonts w:eastAsia="Calibri"/>
          <w:lang w:val="en-GB"/>
        </w:rPr>
        <w:t xml:space="preserve">ountry </w:t>
      </w:r>
      <w:r w:rsidR="00E47AD0">
        <w:rPr>
          <w:rFonts w:eastAsia="Calibri"/>
          <w:lang w:val="en-GB"/>
        </w:rPr>
        <w:t>p</w:t>
      </w:r>
      <w:r w:rsidR="00E47AD0" w:rsidRPr="00A830B8">
        <w:rPr>
          <w:rFonts w:eastAsia="Calibri"/>
          <w:lang w:val="en-GB"/>
        </w:rPr>
        <w:t xml:space="preserve">rogramme </w:t>
      </w:r>
      <w:r w:rsidRPr="00A830B8">
        <w:rPr>
          <w:rFonts w:eastAsia="Calibri"/>
          <w:lang w:val="en-GB"/>
        </w:rPr>
        <w:t>centres on supporting Rwanda to consolidate progress made over the past cycle and to address remaining gaps</w:t>
      </w:r>
      <w:r w:rsidR="007C57DA">
        <w:rPr>
          <w:rFonts w:eastAsia="Calibri"/>
          <w:lang w:val="en-GB"/>
        </w:rPr>
        <w:t xml:space="preserve">, notably in </w:t>
      </w:r>
      <w:r w:rsidRPr="00A830B8">
        <w:rPr>
          <w:rFonts w:eastAsia="Calibri"/>
          <w:lang w:val="en-GB"/>
        </w:rPr>
        <w:t>reduc</w:t>
      </w:r>
      <w:r w:rsidR="007C57DA">
        <w:rPr>
          <w:rFonts w:eastAsia="Calibri"/>
          <w:lang w:val="en-GB"/>
        </w:rPr>
        <w:t xml:space="preserve">ing </w:t>
      </w:r>
      <w:r w:rsidRPr="00A830B8">
        <w:rPr>
          <w:rFonts w:eastAsia="Calibri"/>
          <w:lang w:val="en-GB"/>
        </w:rPr>
        <w:t>poverty and inequality and secur</w:t>
      </w:r>
      <w:r w:rsidR="007C57DA">
        <w:rPr>
          <w:rFonts w:eastAsia="Calibri"/>
          <w:lang w:val="en-GB"/>
        </w:rPr>
        <w:t>ing</w:t>
      </w:r>
      <w:r w:rsidRPr="00A830B8">
        <w:rPr>
          <w:rFonts w:eastAsia="Calibri"/>
          <w:lang w:val="en-GB"/>
        </w:rPr>
        <w:t xml:space="preserve"> a better quality of life for its people. This will be achieved by supporting the country’s efforts to structurally transform into a more diversified, competitive, inclusive, resilient and environmentally sustainable economy, bolstered by more capable, accountable, responsive and just governance institutions. </w:t>
      </w:r>
    </w:p>
    <w:p w:rsidR="00FB01A0" w:rsidRPr="00D13CB0" w:rsidRDefault="00FB01A0" w:rsidP="00C4374A">
      <w:pPr>
        <w:pStyle w:val="ListParagraph"/>
        <w:tabs>
          <w:tab w:val="left" w:pos="1080"/>
        </w:tabs>
        <w:ind w:left="1170" w:right="1030"/>
        <w:contextualSpacing/>
        <w:jc w:val="both"/>
        <w:rPr>
          <w:rFonts w:eastAsia="Calibri"/>
          <w:sz w:val="12"/>
          <w:szCs w:val="12"/>
          <w:lang w:val="en-GB"/>
        </w:rPr>
      </w:pPr>
    </w:p>
    <w:p w:rsidR="000F23D6" w:rsidRDefault="00750165"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0F23D6" w:rsidRPr="00A830B8">
        <w:rPr>
          <w:rFonts w:eastAsia="Calibri"/>
          <w:lang w:val="en-GB"/>
        </w:rPr>
        <w:t xml:space="preserve">In alignment with the NST and the </w:t>
      </w:r>
      <w:r w:rsidR="00E12124">
        <w:rPr>
          <w:rFonts w:eastAsia="Calibri"/>
          <w:lang w:val="en-GB"/>
        </w:rPr>
        <w:t>United Nations Development Assistance P</w:t>
      </w:r>
      <w:r w:rsidR="00F41B50">
        <w:rPr>
          <w:rFonts w:eastAsia="Calibri"/>
          <w:lang w:val="en-GB"/>
        </w:rPr>
        <w:t>lan</w:t>
      </w:r>
      <w:r w:rsidR="00E12124">
        <w:rPr>
          <w:rFonts w:eastAsia="Calibri"/>
          <w:lang w:val="en-GB"/>
        </w:rPr>
        <w:t xml:space="preserve"> (</w:t>
      </w:r>
      <w:r w:rsidR="000F23D6" w:rsidRPr="00A830B8">
        <w:rPr>
          <w:rFonts w:eastAsia="Calibri"/>
          <w:lang w:val="en-GB"/>
        </w:rPr>
        <w:t>UNDAP</w:t>
      </w:r>
      <w:r w:rsidR="00E12124">
        <w:rPr>
          <w:rFonts w:eastAsia="Calibri"/>
          <w:lang w:val="en-GB"/>
        </w:rPr>
        <w:t>)</w:t>
      </w:r>
      <w:r w:rsidR="000F23D6" w:rsidRPr="00A830B8">
        <w:rPr>
          <w:rFonts w:eastAsia="Calibri"/>
          <w:lang w:val="en-GB"/>
        </w:rPr>
        <w:t xml:space="preserve"> 2018-2023,</w:t>
      </w:r>
      <w:r w:rsidR="00D13CB0">
        <w:rPr>
          <w:rFonts w:eastAsia="Calibri"/>
          <w:lang w:val="en-GB"/>
        </w:rPr>
        <w:t xml:space="preserve"> </w:t>
      </w:r>
      <w:r w:rsidR="000F23D6" w:rsidRPr="00A830B8">
        <w:rPr>
          <w:rFonts w:eastAsia="Calibri"/>
          <w:lang w:val="en-GB"/>
        </w:rPr>
        <w:t>and guided by the corporate Strategic Plan</w:t>
      </w:r>
      <w:r w:rsidR="00E12124">
        <w:rPr>
          <w:rFonts w:eastAsia="Calibri"/>
          <w:lang w:val="en-GB"/>
        </w:rPr>
        <w:t>, 2018-2021</w:t>
      </w:r>
      <w:r w:rsidR="000F23D6" w:rsidRPr="00A830B8">
        <w:rPr>
          <w:rFonts w:eastAsia="Calibri"/>
          <w:lang w:val="en-GB"/>
        </w:rPr>
        <w:t xml:space="preserve">, the </w:t>
      </w:r>
      <w:r w:rsidR="00E12124">
        <w:rPr>
          <w:rFonts w:eastAsia="Calibri"/>
          <w:lang w:val="en-GB"/>
        </w:rPr>
        <w:t>c</w:t>
      </w:r>
      <w:r w:rsidR="00E12124" w:rsidRPr="00A830B8">
        <w:rPr>
          <w:rFonts w:eastAsia="Calibri"/>
          <w:lang w:val="en-GB"/>
        </w:rPr>
        <w:t xml:space="preserve">ountry </w:t>
      </w:r>
      <w:r w:rsidR="00E12124">
        <w:rPr>
          <w:rFonts w:eastAsia="Calibri"/>
          <w:lang w:val="en-GB"/>
        </w:rPr>
        <w:t>p</w:t>
      </w:r>
      <w:r w:rsidR="00E12124" w:rsidRPr="00A830B8">
        <w:rPr>
          <w:rFonts w:eastAsia="Calibri"/>
          <w:lang w:val="en-GB"/>
        </w:rPr>
        <w:t xml:space="preserve">rogramme </w:t>
      </w:r>
      <w:r w:rsidR="000F23D6" w:rsidRPr="00A830B8">
        <w:rPr>
          <w:rFonts w:eastAsia="Calibri"/>
          <w:lang w:val="en-GB"/>
        </w:rPr>
        <w:t xml:space="preserve">is structured around two pillars: (a) </w:t>
      </w:r>
      <w:r w:rsidR="00E12124">
        <w:rPr>
          <w:rFonts w:eastAsia="Calibri"/>
          <w:lang w:val="en-GB"/>
        </w:rPr>
        <w:t>i</w:t>
      </w:r>
      <w:r w:rsidR="00E12124" w:rsidRPr="00A830B8">
        <w:rPr>
          <w:rFonts w:eastAsia="Calibri"/>
          <w:lang w:val="en-GB"/>
        </w:rPr>
        <w:t xml:space="preserve">nclusive </w:t>
      </w:r>
      <w:r w:rsidR="000F23D6" w:rsidRPr="00A830B8">
        <w:rPr>
          <w:rFonts w:eastAsia="Calibri"/>
          <w:lang w:val="en-GB"/>
        </w:rPr>
        <w:t>and sustainable growth</w:t>
      </w:r>
      <w:r w:rsidR="00E12124">
        <w:rPr>
          <w:rFonts w:eastAsia="Calibri"/>
          <w:lang w:val="en-GB"/>
        </w:rPr>
        <w:t>;</w:t>
      </w:r>
      <w:r w:rsidR="000F23D6" w:rsidRPr="00A830B8">
        <w:rPr>
          <w:rFonts w:eastAsia="Calibri"/>
          <w:lang w:val="en-GB"/>
        </w:rPr>
        <w:t xml:space="preserve"> and (b) </w:t>
      </w:r>
      <w:r w:rsidR="00E12124">
        <w:rPr>
          <w:rFonts w:eastAsia="Calibri"/>
          <w:lang w:val="en-GB"/>
        </w:rPr>
        <w:t>t</w:t>
      </w:r>
      <w:r w:rsidR="00E12124" w:rsidRPr="00A830B8">
        <w:rPr>
          <w:rFonts w:eastAsia="Calibri"/>
          <w:lang w:val="en-GB"/>
        </w:rPr>
        <w:t xml:space="preserve">ransformational </w:t>
      </w:r>
      <w:r w:rsidR="000F23D6" w:rsidRPr="00A830B8">
        <w:rPr>
          <w:rFonts w:eastAsia="Calibri"/>
          <w:lang w:val="en-GB"/>
        </w:rPr>
        <w:t xml:space="preserve">governance for sustainable development. To deliver impactful results in these areas, UNDP will expand its partnership base and continue acting as a catalyst to </w:t>
      </w:r>
      <w:r w:rsidR="00E12124" w:rsidRPr="00A830B8">
        <w:rPr>
          <w:rFonts w:eastAsia="Calibri"/>
          <w:lang w:val="en-GB"/>
        </w:rPr>
        <w:t>mobili</w:t>
      </w:r>
      <w:r w:rsidR="00E12124">
        <w:rPr>
          <w:rFonts w:eastAsia="Calibri"/>
          <w:lang w:val="en-GB"/>
        </w:rPr>
        <w:t>z</w:t>
      </w:r>
      <w:r w:rsidR="00E12124" w:rsidRPr="00A830B8">
        <w:rPr>
          <w:rFonts w:eastAsia="Calibri"/>
          <w:lang w:val="en-GB"/>
        </w:rPr>
        <w:t xml:space="preserve">e </w:t>
      </w:r>
      <w:r w:rsidR="000F23D6" w:rsidRPr="00A830B8">
        <w:rPr>
          <w:rFonts w:eastAsia="Calibri"/>
          <w:lang w:val="en-GB"/>
        </w:rPr>
        <w:t xml:space="preserve">resources for key programmes. While building on foundations laid over the last programme cycles, the </w:t>
      </w:r>
      <w:r w:rsidR="00E12124">
        <w:rPr>
          <w:rFonts w:eastAsia="Calibri"/>
          <w:lang w:val="en-GB"/>
        </w:rPr>
        <w:t xml:space="preserve">country </w:t>
      </w:r>
      <w:r w:rsidR="000F23D6" w:rsidRPr="00A830B8">
        <w:rPr>
          <w:rFonts w:eastAsia="Calibri"/>
          <w:lang w:val="en-GB"/>
        </w:rPr>
        <w:t xml:space="preserve">office will enhance its focus, leverage its comparative advantages and strategically disengage from mature areas of cooperation already well-served by other development partners. </w:t>
      </w:r>
    </w:p>
    <w:p w:rsidR="008E0997" w:rsidRPr="00D13CB0" w:rsidRDefault="008E0997" w:rsidP="00C4374A">
      <w:pPr>
        <w:pStyle w:val="ListParagraph"/>
        <w:ind w:left="1170" w:right="1030"/>
        <w:rPr>
          <w:rFonts w:eastAsia="Calibri"/>
          <w:sz w:val="12"/>
          <w:szCs w:val="12"/>
          <w:lang w:val="en-GB"/>
        </w:rPr>
      </w:pPr>
    </w:p>
    <w:p w:rsidR="0068483F" w:rsidRPr="0065442C" w:rsidRDefault="00750165" w:rsidP="00C4374A">
      <w:pPr>
        <w:pStyle w:val="ListParagraph"/>
        <w:numPr>
          <w:ilvl w:val="0"/>
          <w:numId w:val="3"/>
        </w:numPr>
        <w:tabs>
          <w:tab w:val="left" w:pos="1080"/>
        </w:tabs>
        <w:ind w:left="1170" w:right="1030" w:firstLine="0"/>
        <w:jc w:val="both"/>
        <w:rPr>
          <w:rFonts w:eastAsia="Calibri"/>
          <w:lang w:val="en-GB"/>
        </w:rPr>
      </w:pPr>
      <w:r>
        <w:t xml:space="preserve"> </w:t>
      </w:r>
      <w:r w:rsidR="0068483F" w:rsidRPr="0068483F">
        <w:t xml:space="preserve">The </w:t>
      </w:r>
      <w:r w:rsidR="00E12124">
        <w:t>Sustainable Development Goals</w:t>
      </w:r>
      <w:r w:rsidR="00E12124" w:rsidRPr="0068483F">
        <w:t xml:space="preserve"> </w:t>
      </w:r>
      <w:r w:rsidR="0068483F" w:rsidRPr="0068483F">
        <w:t xml:space="preserve">have been firmly embedded in major national, sectoral and local development strategies during the last programme cycle. UNDP will now focus on supporting priority sectors and institutions to implement integrated, evidence-based and cross-sectoral policies and programmes to achieve their respective goals, while advocating the </w:t>
      </w:r>
      <w:r w:rsidR="00E12124">
        <w:t>“</w:t>
      </w:r>
      <w:r w:rsidR="0068483F" w:rsidRPr="0068483F">
        <w:t>leave no one behind</w:t>
      </w:r>
      <w:r w:rsidR="00E12124">
        <w:t>”</w:t>
      </w:r>
      <w:r w:rsidR="0068483F" w:rsidRPr="0068483F">
        <w:t xml:space="preserve"> principle. The presence of the </w:t>
      </w:r>
      <w:r w:rsidR="00E12124">
        <w:t>Sustainable Development Goal</w:t>
      </w:r>
      <w:r w:rsidR="00775A44">
        <w:t>s</w:t>
      </w:r>
      <w:r w:rsidR="00E12124" w:rsidRPr="0068483F">
        <w:t xml:space="preserve"> </w:t>
      </w:r>
      <w:r w:rsidR="0068483F" w:rsidRPr="0068483F">
        <w:t>Centre for Africa in Rwanda offers opportunities for collaboration on research, advocacy and capacity strengthening, and for exchange of good practices on implementation, financing and monitoring</w:t>
      </w:r>
      <w:r w:rsidR="00E12124">
        <w:t xml:space="preserve"> of the Goals</w:t>
      </w:r>
      <w:r w:rsidR="0068483F" w:rsidRPr="0068483F">
        <w:t>.</w:t>
      </w:r>
    </w:p>
    <w:p w:rsidR="0065442C" w:rsidRPr="00D13CB0" w:rsidRDefault="0065442C" w:rsidP="00C4374A">
      <w:pPr>
        <w:pStyle w:val="ListParagraph"/>
        <w:ind w:left="1170" w:right="1030"/>
        <w:rPr>
          <w:rFonts w:eastAsia="Calibri"/>
          <w:sz w:val="12"/>
          <w:szCs w:val="12"/>
          <w:lang w:val="en-GB"/>
        </w:rPr>
      </w:pPr>
    </w:p>
    <w:p w:rsidR="000F23D6" w:rsidRPr="00A830B8" w:rsidRDefault="00750165"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0F23D6" w:rsidRPr="00A830B8">
        <w:rPr>
          <w:rFonts w:eastAsia="Calibri"/>
          <w:lang w:val="en-GB"/>
        </w:rPr>
        <w:t>In 2017, UNDP Rwanda received a corporate Gold Gender Seal Certification for its extensive work on gender equality and women’s empowerment. Addressing gender inequalities and their structural causes will remain a bedrock of the new country programme and will be mainstreamed in concrete and measurable ways in all projects.</w:t>
      </w:r>
    </w:p>
    <w:p w:rsidR="00176404" w:rsidRPr="00D13CB0" w:rsidRDefault="00176404" w:rsidP="00C4374A">
      <w:pPr>
        <w:pStyle w:val="ListParagraph"/>
        <w:tabs>
          <w:tab w:val="left" w:pos="1080"/>
        </w:tabs>
        <w:ind w:left="1170" w:right="1030"/>
        <w:contextualSpacing/>
        <w:jc w:val="both"/>
        <w:rPr>
          <w:rFonts w:eastAsia="Calibri"/>
          <w:sz w:val="12"/>
          <w:szCs w:val="12"/>
          <w:lang w:val="en-GB"/>
        </w:rPr>
      </w:pPr>
    </w:p>
    <w:p w:rsidR="000F23D6" w:rsidRDefault="00750165"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0F23D6" w:rsidRPr="00A830B8">
        <w:rPr>
          <w:rFonts w:eastAsia="Calibri"/>
          <w:lang w:val="en-GB"/>
        </w:rPr>
        <w:t xml:space="preserve">The 2017 </w:t>
      </w:r>
      <w:r w:rsidR="00E12124" w:rsidRPr="00775A44">
        <w:rPr>
          <w:rFonts w:eastAsia="Calibri"/>
          <w:lang w:val="en-GB"/>
        </w:rPr>
        <w:t>independent county programme evaluation</w:t>
      </w:r>
      <w:r w:rsidR="00E12124" w:rsidRPr="00A830B8">
        <w:rPr>
          <w:rFonts w:eastAsia="Calibri"/>
          <w:lang w:val="en-GB"/>
        </w:rPr>
        <w:t xml:space="preserve"> </w:t>
      </w:r>
      <w:r w:rsidR="000F23D6" w:rsidRPr="00A830B8">
        <w:rPr>
          <w:rFonts w:eastAsia="Calibri"/>
          <w:lang w:val="en-GB"/>
        </w:rPr>
        <w:t>noted that UNDP enjoys a very favourable relationship with the Government based on mutual trust and a shared commitment to sustainable development. UNDP was one of the first partners to support Rwanda after the genocide</w:t>
      </w:r>
      <w:r w:rsidR="00E45510">
        <w:rPr>
          <w:rFonts w:eastAsia="Calibri"/>
          <w:lang w:val="en-GB"/>
        </w:rPr>
        <w:t xml:space="preserve"> and </w:t>
      </w:r>
      <w:r w:rsidR="000F23D6" w:rsidRPr="00A830B8">
        <w:rPr>
          <w:rFonts w:eastAsia="Calibri"/>
          <w:lang w:val="en-GB"/>
        </w:rPr>
        <w:t>has accumulated decades of country knowledge and experience across a broad spectrum of development issues. These factors place UNDP in a credible and strategic position to support government-led solutions to Rwanda’s development challenges, and to advocate for inclusivity, equity, and triple bottom-lines – social, economic, and environmental development benefits.</w:t>
      </w:r>
    </w:p>
    <w:p w:rsidR="00595625" w:rsidRPr="00595625" w:rsidRDefault="00595625" w:rsidP="00C4374A">
      <w:pPr>
        <w:pStyle w:val="ListParagraph"/>
        <w:ind w:left="1170" w:right="1030"/>
        <w:rPr>
          <w:rFonts w:eastAsia="Calibri"/>
          <w:lang w:val="en-GB"/>
        </w:rPr>
      </w:pPr>
    </w:p>
    <w:p w:rsidR="000F23D6" w:rsidRPr="00A830B8" w:rsidRDefault="00750165"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0F23D6" w:rsidRPr="00A830B8">
        <w:rPr>
          <w:rFonts w:eastAsia="Calibri"/>
          <w:lang w:val="en-GB"/>
        </w:rPr>
        <w:t xml:space="preserve">Across both pillars, UNDP will exploit opportunities to promote and monitor the impact of South-South and </w:t>
      </w:r>
      <w:r w:rsidR="00E12124">
        <w:rPr>
          <w:rFonts w:eastAsia="Calibri"/>
          <w:lang w:val="en-GB"/>
        </w:rPr>
        <w:t>t</w:t>
      </w:r>
      <w:r w:rsidR="00E12124" w:rsidRPr="00A830B8">
        <w:rPr>
          <w:rFonts w:eastAsia="Calibri"/>
          <w:lang w:val="en-GB"/>
        </w:rPr>
        <w:t xml:space="preserve">riangular </w:t>
      </w:r>
      <w:r w:rsidR="000F23D6" w:rsidRPr="00A830B8">
        <w:rPr>
          <w:rFonts w:eastAsia="Calibri"/>
          <w:lang w:val="en-GB"/>
        </w:rPr>
        <w:t>cooperation and collaborate with national centres of excellence</w:t>
      </w:r>
      <w:r w:rsidR="00E12124">
        <w:rPr>
          <w:rFonts w:eastAsia="Calibri"/>
          <w:lang w:val="en-GB"/>
        </w:rPr>
        <w:t>, focusing on r</w:t>
      </w:r>
      <w:r w:rsidR="000F23D6" w:rsidRPr="00A830B8">
        <w:rPr>
          <w:rFonts w:eastAsia="Calibri"/>
          <w:lang w:val="en-GB"/>
        </w:rPr>
        <w:t xml:space="preserve">eplicable home-grown initiatives such as YouthConnekt, FONERWA, community mediation, gender and reconciliation. </w:t>
      </w:r>
      <w:r w:rsidR="00435444">
        <w:rPr>
          <w:rFonts w:eastAsia="Calibri"/>
          <w:lang w:val="en-GB"/>
        </w:rPr>
        <w:t xml:space="preserve">UNDP will promote </w:t>
      </w:r>
      <w:r w:rsidR="00E12124" w:rsidRPr="00A830B8">
        <w:rPr>
          <w:rFonts w:eastAsia="Calibri"/>
          <w:lang w:val="en-GB"/>
        </w:rPr>
        <w:t>knowledge</w:t>
      </w:r>
      <w:r w:rsidR="00E12124">
        <w:rPr>
          <w:rFonts w:eastAsia="Calibri"/>
          <w:lang w:val="en-GB"/>
        </w:rPr>
        <w:t>-</w:t>
      </w:r>
      <w:r w:rsidR="000F23D6" w:rsidRPr="00A830B8">
        <w:rPr>
          <w:rFonts w:eastAsia="Calibri"/>
          <w:lang w:val="en-GB"/>
        </w:rPr>
        <w:t>sharing on issues such as development financing and green growth.</w:t>
      </w:r>
    </w:p>
    <w:p w:rsidR="00383876" w:rsidRPr="00D13CB0" w:rsidRDefault="00383876" w:rsidP="00C4374A">
      <w:pPr>
        <w:tabs>
          <w:tab w:val="left" w:pos="400"/>
        </w:tabs>
        <w:ind w:left="1170" w:right="1030"/>
        <w:contextualSpacing/>
        <w:jc w:val="both"/>
        <w:rPr>
          <w:rFonts w:eastAsia="Calibri"/>
          <w:sz w:val="12"/>
          <w:szCs w:val="12"/>
          <w:lang w:val="en-GB"/>
        </w:rPr>
      </w:pPr>
    </w:p>
    <w:p w:rsidR="003A3CB7" w:rsidRPr="00D13CB0" w:rsidRDefault="003A3CB7" w:rsidP="00C4374A">
      <w:pPr>
        <w:tabs>
          <w:tab w:val="left" w:pos="540"/>
        </w:tabs>
        <w:ind w:left="1170" w:right="1030"/>
        <w:contextualSpacing/>
        <w:jc w:val="both"/>
        <w:rPr>
          <w:rFonts w:eastAsia="Calibri"/>
          <w:b/>
          <w:bCs/>
          <w:sz w:val="24"/>
          <w:szCs w:val="24"/>
          <w:lang w:val="en-GB"/>
        </w:rPr>
      </w:pPr>
      <w:r w:rsidRPr="00011832">
        <w:rPr>
          <w:rFonts w:eastAsia="Calibri"/>
          <w:b/>
          <w:bCs/>
          <w:lang w:val="en-GB"/>
        </w:rPr>
        <w:t xml:space="preserve">Inclusive and </w:t>
      </w:r>
      <w:r w:rsidR="00D13CB0" w:rsidRPr="00011832">
        <w:rPr>
          <w:rFonts w:eastAsia="Calibri"/>
          <w:b/>
          <w:bCs/>
          <w:lang w:val="en-GB"/>
        </w:rPr>
        <w:t>s</w:t>
      </w:r>
      <w:r w:rsidRPr="00011832">
        <w:rPr>
          <w:rFonts w:eastAsia="Calibri"/>
          <w:b/>
          <w:bCs/>
          <w:lang w:val="en-GB"/>
        </w:rPr>
        <w:t xml:space="preserve">ustainable </w:t>
      </w:r>
      <w:r w:rsidR="00D13CB0" w:rsidRPr="00011832">
        <w:rPr>
          <w:rFonts w:eastAsia="Calibri"/>
          <w:b/>
          <w:bCs/>
          <w:lang w:val="en-GB"/>
        </w:rPr>
        <w:t>g</w:t>
      </w:r>
      <w:r w:rsidRPr="00011832">
        <w:rPr>
          <w:rFonts w:eastAsia="Calibri"/>
          <w:b/>
          <w:bCs/>
          <w:lang w:val="en-GB"/>
        </w:rPr>
        <w:t>rowth</w:t>
      </w:r>
    </w:p>
    <w:p w:rsidR="00D13CB0" w:rsidRPr="00D13CB0" w:rsidRDefault="00D13CB0" w:rsidP="00C4374A">
      <w:pPr>
        <w:tabs>
          <w:tab w:val="left" w:pos="540"/>
        </w:tabs>
        <w:ind w:left="1170" w:right="1030"/>
        <w:contextualSpacing/>
        <w:jc w:val="both"/>
        <w:rPr>
          <w:rFonts w:eastAsia="Calibri"/>
          <w:bCs/>
          <w:sz w:val="12"/>
          <w:szCs w:val="12"/>
          <w:lang w:val="en-GB"/>
        </w:rPr>
      </w:pPr>
    </w:p>
    <w:p w:rsidR="00FB01A0" w:rsidRPr="00D8028F" w:rsidRDefault="00750165"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D8028F">
        <w:rPr>
          <w:rFonts w:eastAsia="Calibri"/>
          <w:lang w:val="en-GB"/>
        </w:rPr>
        <w:t xml:space="preserve">Under this pillar, UNDP will provide policy advice, technical assistance and financing to programmes geared at promoting structural economic transformation, catalysing entrepreneurship, creating decent jobs, and generating data to better target and include vulnerable groups. UNDP will also support sustainable and equitable management of natural resources as a </w:t>
      </w:r>
      <w:r w:rsidR="00FB01A0" w:rsidRPr="00D8028F">
        <w:rPr>
          <w:rFonts w:eastAsia="Calibri"/>
          <w:lang w:val="en-GB"/>
        </w:rPr>
        <w:lastRenderedPageBreak/>
        <w:t xml:space="preserve">building block for inclusive and green economic growth, improved livelihoods and enhanced resilience for poor and </w:t>
      </w:r>
      <w:r w:rsidR="00DA0298" w:rsidRPr="00D8028F">
        <w:rPr>
          <w:rFonts w:eastAsia="Calibri"/>
          <w:lang w:val="en-GB"/>
        </w:rPr>
        <w:t>marginali</w:t>
      </w:r>
      <w:r w:rsidR="00DA0298">
        <w:rPr>
          <w:rFonts w:eastAsia="Calibri"/>
          <w:lang w:val="en-GB"/>
        </w:rPr>
        <w:t>z</w:t>
      </w:r>
      <w:r w:rsidR="00DA0298" w:rsidRPr="00D8028F">
        <w:rPr>
          <w:rFonts w:eastAsia="Calibri"/>
          <w:lang w:val="en-GB"/>
        </w:rPr>
        <w:t xml:space="preserve">ed </w:t>
      </w:r>
      <w:r w:rsidR="00FB01A0" w:rsidRPr="00D8028F">
        <w:rPr>
          <w:rFonts w:eastAsia="Calibri"/>
          <w:lang w:val="en-GB"/>
        </w:rPr>
        <w:t>populations.</w:t>
      </w:r>
    </w:p>
    <w:p w:rsidR="0068483F" w:rsidRPr="00D13CB0" w:rsidRDefault="0068483F" w:rsidP="00C4374A">
      <w:pPr>
        <w:pStyle w:val="ListParagraph"/>
        <w:tabs>
          <w:tab w:val="left" w:pos="1080"/>
        </w:tabs>
        <w:ind w:left="1170" w:right="1030"/>
        <w:contextualSpacing/>
        <w:jc w:val="both"/>
        <w:rPr>
          <w:rFonts w:eastAsia="Calibri"/>
          <w:sz w:val="12"/>
          <w:szCs w:val="12"/>
          <w:lang w:val="en-GB"/>
        </w:rPr>
      </w:pPr>
    </w:p>
    <w:p w:rsidR="00FB01A0" w:rsidRPr="00A830B8"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A830B8">
        <w:rPr>
          <w:rFonts w:eastAsia="Calibri"/>
          <w:lang w:val="en-GB"/>
        </w:rPr>
        <w:t xml:space="preserve">At upstream level, UNDP will provide policy advice on inclusive and equitable economic growth, decent job creation with special attention to women’s employment strategies, and the </w:t>
      </w:r>
      <w:r w:rsidR="00DA0298" w:rsidRPr="00A830B8">
        <w:rPr>
          <w:rFonts w:eastAsia="Calibri"/>
          <w:lang w:val="en-GB"/>
        </w:rPr>
        <w:t>locali</w:t>
      </w:r>
      <w:r w:rsidR="00DA0298">
        <w:rPr>
          <w:rFonts w:eastAsia="Calibri"/>
          <w:lang w:val="en-GB"/>
        </w:rPr>
        <w:t>z</w:t>
      </w:r>
      <w:r w:rsidR="00DA0298" w:rsidRPr="00A830B8">
        <w:rPr>
          <w:rFonts w:eastAsia="Calibri"/>
          <w:lang w:val="en-GB"/>
        </w:rPr>
        <w:t xml:space="preserve">ation </w:t>
      </w:r>
      <w:r w:rsidR="00FB01A0" w:rsidRPr="00A830B8">
        <w:rPr>
          <w:rFonts w:eastAsia="Calibri"/>
          <w:lang w:val="en-GB"/>
        </w:rPr>
        <w:t xml:space="preserve">of the </w:t>
      </w:r>
      <w:r w:rsidR="00DA0298">
        <w:rPr>
          <w:rFonts w:eastAsia="Calibri"/>
          <w:lang w:val="en-GB"/>
        </w:rPr>
        <w:t>Sustainable Development Goals</w:t>
      </w:r>
      <w:r w:rsidR="00FB01A0" w:rsidRPr="00A830B8">
        <w:rPr>
          <w:rFonts w:eastAsia="Calibri"/>
          <w:lang w:val="en-GB"/>
        </w:rPr>
        <w:t xml:space="preserve">. In collaboration with the Strategic Policy Unit of the President’s Office, the Ministry of Finance and Economic Planning (MINECOFIN), national stakeholders and think tanks, UNDP will craft a policy research agenda to provide insights and advocacy on key economic and environmental policy reforms and programmes needed to accelerate development. To assist </w:t>
      </w:r>
      <w:r w:rsidR="008668E9">
        <w:rPr>
          <w:rFonts w:eastAsia="Calibri"/>
          <w:lang w:val="en-GB"/>
        </w:rPr>
        <w:t>Rwanda</w:t>
      </w:r>
      <w:r w:rsidR="00FB01A0" w:rsidRPr="00A830B8">
        <w:rPr>
          <w:rFonts w:eastAsia="Calibri"/>
          <w:lang w:val="en-GB"/>
        </w:rPr>
        <w:t xml:space="preserve"> </w:t>
      </w:r>
      <w:r w:rsidR="00DA0298">
        <w:rPr>
          <w:rFonts w:eastAsia="Calibri"/>
          <w:lang w:val="en-GB"/>
        </w:rPr>
        <w:t xml:space="preserve">in </w:t>
      </w:r>
      <w:r w:rsidR="00FB01A0" w:rsidRPr="00A830B8">
        <w:rPr>
          <w:rFonts w:eastAsia="Calibri"/>
          <w:lang w:val="en-GB"/>
        </w:rPr>
        <w:t>diversify</w:t>
      </w:r>
      <w:r w:rsidR="00DA0298">
        <w:rPr>
          <w:rFonts w:eastAsia="Calibri"/>
          <w:lang w:val="en-GB"/>
        </w:rPr>
        <w:t>ing</w:t>
      </w:r>
      <w:r w:rsidR="00FB01A0" w:rsidRPr="00A830B8">
        <w:rPr>
          <w:rFonts w:eastAsia="Calibri"/>
          <w:lang w:val="en-GB"/>
        </w:rPr>
        <w:t xml:space="preserve"> its sources of development financ</w:t>
      </w:r>
      <w:r w:rsidR="00DA0298">
        <w:rPr>
          <w:rFonts w:eastAsia="Calibri"/>
          <w:lang w:val="en-GB"/>
        </w:rPr>
        <w:t>ing</w:t>
      </w:r>
      <w:r w:rsidR="00FB01A0" w:rsidRPr="00A830B8">
        <w:rPr>
          <w:rFonts w:eastAsia="Calibri"/>
          <w:lang w:val="en-GB"/>
        </w:rPr>
        <w:t xml:space="preserve">, UNDP will partner with MINECOFIN, the Private Sector </w:t>
      </w:r>
      <w:r w:rsidR="00011832" w:rsidRPr="00A830B8">
        <w:rPr>
          <w:rFonts w:eastAsia="Calibri"/>
          <w:lang w:val="en-GB"/>
        </w:rPr>
        <w:t>Federation and</w:t>
      </w:r>
      <w:r w:rsidR="00FB01A0" w:rsidRPr="00A830B8">
        <w:rPr>
          <w:rFonts w:eastAsia="Calibri"/>
          <w:lang w:val="en-GB"/>
        </w:rPr>
        <w:t xml:space="preserve"> other development partners to design strategies to attract additional finance from public and private sources</w:t>
      </w:r>
      <w:r w:rsidR="003F516B">
        <w:rPr>
          <w:rFonts w:eastAsia="Calibri"/>
          <w:lang w:val="en-GB"/>
        </w:rPr>
        <w:t xml:space="preserve"> and to </w:t>
      </w:r>
      <w:r w:rsidR="00FB01A0" w:rsidRPr="00A830B8">
        <w:rPr>
          <w:rFonts w:eastAsia="Calibri"/>
          <w:lang w:val="en-GB"/>
        </w:rPr>
        <w:t>test and scale up innovative financing mechanisms.</w:t>
      </w:r>
    </w:p>
    <w:p w:rsidR="00FB01A0" w:rsidRPr="00D13CB0" w:rsidRDefault="00FB01A0" w:rsidP="00C4374A">
      <w:pPr>
        <w:pStyle w:val="ListParagraph"/>
        <w:tabs>
          <w:tab w:val="left" w:pos="1080"/>
        </w:tabs>
        <w:ind w:left="1170" w:right="1030"/>
        <w:jc w:val="both"/>
        <w:rPr>
          <w:rFonts w:eastAsia="Calibri"/>
          <w:sz w:val="12"/>
          <w:szCs w:val="12"/>
          <w:lang w:val="en-GB"/>
        </w:rPr>
      </w:pPr>
    </w:p>
    <w:p w:rsidR="00FB01A0" w:rsidRPr="00A830B8"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A830B8">
        <w:rPr>
          <w:rFonts w:eastAsia="Calibri"/>
          <w:lang w:val="en-GB"/>
        </w:rPr>
        <w:t>Downstream, UNDP will partner with the Ministry of Youth, the private sector, other U</w:t>
      </w:r>
      <w:r w:rsidR="00DA0298">
        <w:rPr>
          <w:rFonts w:eastAsia="Calibri"/>
          <w:lang w:val="en-GB"/>
        </w:rPr>
        <w:t xml:space="preserve">nited </w:t>
      </w:r>
      <w:r w:rsidR="00FB01A0" w:rsidRPr="00A830B8">
        <w:rPr>
          <w:rFonts w:eastAsia="Calibri"/>
          <w:lang w:val="en-GB"/>
        </w:rPr>
        <w:t>N</w:t>
      </w:r>
      <w:r w:rsidR="00DA0298">
        <w:rPr>
          <w:rFonts w:eastAsia="Calibri"/>
          <w:lang w:val="en-GB"/>
        </w:rPr>
        <w:t>ations</w:t>
      </w:r>
      <w:r w:rsidR="00FB01A0" w:rsidRPr="00A830B8">
        <w:rPr>
          <w:rFonts w:eastAsia="Calibri"/>
          <w:lang w:val="en-GB"/>
        </w:rPr>
        <w:t xml:space="preserve"> agencies</w:t>
      </w:r>
      <w:r w:rsidR="00DA0298">
        <w:rPr>
          <w:rFonts w:eastAsia="Calibri"/>
          <w:lang w:val="en-GB"/>
        </w:rPr>
        <w:t xml:space="preserve">, </w:t>
      </w:r>
      <w:r w:rsidR="00FB01A0" w:rsidRPr="00A830B8">
        <w:rPr>
          <w:rFonts w:eastAsia="Calibri"/>
          <w:lang w:val="en-GB"/>
        </w:rPr>
        <w:t>development partners and national stakeholders to scale</w:t>
      </w:r>
      <w:r w:rsidR="00DA0298">
        <w:rPr>
          <w:rFonts w:eastAsia="Calibri"/>
          <w:lang w:val="en-GB"/>
        </w:rPr>
        <w:t xml:space="preserve"> </w:t>
      </w:r>
      <w:r w:rsidR="00FB01A0" w:rsidRPr="00A830B8">
        <w:rPr>
          <w:rFonts w:eastAsia="Calibri"/>
          <w:lang w:val="en-GB"/>
        </w:rPr>
        <w:t xml:space="preserve">up the YouthConnekt programme which has created an innovative platform for youth and </w:t>
      </w:r>
      <w:r w:rsidR="00DA0298">
        <w:rPr>
          <w:rFonts w:eastAsia="Calibri"/>
          <w:lang w:val="en-GB"/>
        </w:rPr>
        <w:t xml:space="preserve">female </w:t>
      </w:r>
      <w:r w:rsidR="00FB01A0" w:rsidRPr="00A830B8">
        <w:rPr>
          <w:rFonts w:eastAsia="Calibri"/>
          <w:lang w:val="en-GB"/>
        </w:rPr>
        <w:t>entrepreneurship</w:t>
      </w:r>
      <w:r w:rsidR="00392CC8">
        <w:rPr>
          <w:rFonts w:eastAsia="Calibri"/>
          <w:lang w:val="en-GB"/>
        </w:rPr>
        <w:t xml:space="preserve"> and</w:t>
      </w:r>
      <w:r w:rsidR="00FB01A0" w:rsidRPr="00A830B8">
        <w:rPr>
          <w:rFonts w:eastAsia="Calibri"/>
          <w:lang w:val="en-GB"/>
        </w:rPr>
        <w:t xml:space="preserve"> job creation</w:t>
      </w:r>
      <w:r w:rsidR="00392CC8">
        <w:rPr>
          <w:rFonts w:eastAsia="Calibri"/>
          <w:lang w:val="en-GB"/>
        </w:rPr>
        <w:t>.</w:t>
      </w:r>
      <w:r w:rsidR="00FB01A0" w:rsidRPr="00A830B8">
        <w:rPr>
          <w:rFonts w:eastAsia="Calibri"/>
          <w:lang w:val="en-GB"/>
        </w:rPr>
        <w:t xml:space="preserve"> To date, the programme has created 6,168 jobs.</w:t>
      </w:r>
      <w:r w:rsidR="00FB01A0" w:rsidRPr="007830FB">
        <w:rPr>
          <w:rStyle w:val="FootnoteReference"/>
          <w:rFonts w:eastAsia="Calibri"/>
          <w:lang w:val="en-GB"/>
        </w:rPr>
        <w:footnoteReference w:id="32"/>
      </w:r>
      <w:r w:rsidR="00FB01A0" w:rsidRPr="00A830B8">
        <w:rPr>
          <w:rFonts w:eastAsia="Calibri"/>
          <w:lang w:val="en-GB"/>
        </w:rPr>
        <w:t xml:space="preserve"> Proven youth development initiatives such as the entrepreneurship boot camps and </w:t>
      </w:r>
      <w:r w:rsidR="00DA0298" w:rsidRPr="00A830B8">
        <w:rPr>
          <w:rFonts w:eastAsia="Calibri"/>
          <w:lang w:val="en-GB"/>
        </w:rPr>
        <w:t>awareness</w:t>
      </w:r>
      <w:r w:rsidR="00DA0298">
        <w:rPr>
          <w:rFonts w:eastAsia="Calibri"/>
          <w:lang w:val="en-GB"/>
        </w:rPr>
        <w:t>-</w:t>
      </w:r>
      <w:r w:rsidR="00FB01A0" w:rsidRPr="00A830B8">
        <w:rPr>
          <w:rFonts w:eastAsia="Calibri"/>
          <w:lang w:val="en-GB"/>
        </w:rPr>
        <w:t xml:space="preserve">raising campaigns will be scaled up, while stronger partnerships will be forged with </w:t>
      </w:r>
      <w:r w:rsidR="00DA0298">
        <w:rPr>
          <w:rFonts w:eastAsia="Calibri"/>
          <w:lang w:val="en-GB"/>
        </w:rPr>
        <w:t>i</w:t>
      </w:r>
      <w:r w:rsidR="00DA0298" w:rsidRPr="00A830B8">
        <w:rPr>
          <w:rFonts w:eastAsia="Calibri"/>
          <w:lang w:val="en-GB"/>
        </w:rPr>
        <w:t xml:space="preserve">nternational </w:t>
      </w:r>
      <w:r w:rsidR="00DA0298">
        <w:rPr>
          <w:rFonts w:eastAsia="Calibri"/>
          <w:lang w:val="en-GB"/>
        </w:rPr>
        <w:t>f</w:t>
      </w:r>
      <w:r w:rsidR="00DA0298" w:rsidRPr="00A830B8">
        <w:rPr>
          <w:rFonts w:eastAsia="Calibri"/>
          <w:lang w:val="en-GB"/>
        </w:rPr>
        <w:t xml:space="preserve">inancial </w:t>
      </w:r>
      <w:r w:rsidR="00DA0298">
        <w:rPr>
          <w:rFonts w:eastAsia="Calibri"/>
          <w:lang w:val="en-GB"/>
        </w:rPr>
        <w:t>i</w:t>
      </w:r>
      <w:r w:rsidR="00FB01A0" w:rsidRPr="00A830B8">
        <w:rPr>
          <w:rFonts w:eastAsia="Calibri"/>
          <w:lang w:val="en-GB"/>
        </w:rPr>
        <w:t xml:space="preserve">nstitutions, foundations, CSOs and private companies to expand job creation, skills development and funding opportunities for </w:t>
      </w:r>
      <w:r w:rsidR="00DA0298">
        <w:rPr>
          <w:rFonts w:eastAsia="Calibri"/>
          <w:lang w:val="en-GB"/>
        </w:rPr>
        <w:t xml:space="preserve">female and </w:t>
      </w:r>
      <w:r w:rsidR="00FB01A0" w:rsidRPr="00A830B8">
        <w:rPr>
          <w:rFonts w:eastAsia="Calibri"/>
          <w:lang w:val="en-GB"/>
        </w:rPr>
        <w:t xml:space="preserve">youth entrepreneurs. </w:t>
      </w:r>
    </w:p>
    <w:p w:rsidR="00FB01A0" w:rsidRPr="00D13CB0" w:rsidRDefault="00FB01A0" w:rsidP="00C4374A">
      <w:pPr>
        <w:pStyle w:val="ListParagraph"/>
        <w:tabs>
          <w:tab w:val="left" w:pos="1080"/>
        </w:tabs>
        <w:ind w:left="1170" w:right="1030"/>
        <w:jc w:val="both"/>
        <w:rPr>
          <w:rFonts w:eastAsia="Calibri"/>
          <w:sz w:val="12"/>
          <w:szCs w:val="12"/>
          <w:lang w:val="en-GB"/>
        </w:rPr>
      </w:pPr>
    </w:p>
    <w:p w:rsidR="00FB01A0" w:rsidRPr="00A830B8" w:rsidRDefault="006649ED" w:rsidP="00D13CB0">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A830B8">
        <w:rPr>
          <w:rFonts w:eastAsia="Calibri"/>
          <w:lang w:val="en-GB"/>
        </w:rPr>
        <w:t xml:space="preserve">UNDP will partner with </w:t>
      </w:r>
      <w:r w:rsidR="00DA0298">
        <w:rPr>
          <w:rFonts w:eastAsia="Calibri"/>
          <w:lang w:val="en-GB"/>
        </w:rPr>
        <w:t>the United Nations Environment Programme (</w:t>
      </w:r>
      <w:r w:rsidR="00FB01A0" w:rsidRPr="00A830B8">
        <w:rPr>
          <w:rFonts w:eastAsia="Calibri"/>
          <w:lang w:val="en-GB"/>
        </w:rPr>
        <w:t>UNEP</w:t>
      </w:r>
      <w:r w:rsidR="00DA0298">
        <w:rPr>
          <w:rFonts w:eastAsia="Calibri"/>
          <w:lang w:val="en-GB"/>
        </w:rPr>
        <w:t>)</w:t>
      </w:r>
      <w:r w:rsidR="00FB01A0" w:rsidRPr="00A830B8">
        <w:rPr>
          <w:rFonts w:eastAsia="Calibri"/>
          <w:lang w:val="en-GB"/>
        </w:rPr>
        <w:t xml:space="preserve">, </w:t>
      </w:r>
      <w:r w:rsidR="00DA0298">
        <w:rPr>
          <w:rFonts w:eastAsia="Calibri"/>
          <w:lang w:val="en-GB"/>
        </w:rPr>
        <w:t>the Food and Agriculture Organization</w:t>
      </w:r>
      <w:r w:rsidR="00FB01A0" w:rsidRPr="00A830B8">
        <w:rPr>
          <w:rFonts w:eastAsia="Calibri"/>
          <w:lang w:val="en-GB"/>
        </w:rPr>
        <w:t>, other U</w:t>
      </w:r>
      <w:r w:rsidR="00DA0298">
        <w:rPr>
          <w:rFonts w:eastAsia="Calibri"/>
          <w:lang w:val="en-GB"/>
        </w:rPr>
        <w:t xml:space="preserve">nited </w:t>
      </w:r>
      <w:r w:rsidR="00FB01A0" w:rsidRPr="00A830B8">
        <w:rPr>
          <w:rFonts w:eastAsia="Calibri"/>
          <w:lang w:val="en-GB"/>
        </w:rPr>
        <w:t>N</w:t>
      </w:r>
      <w:r w:rsidR="00DA0298">
        <w:rPr>
          <w:rFonts w:eastAsia="Calibri"/>
          <w:lang w:val="en-GB"/>
        </w:rPr>
        <w:t>ations</w:t>
      </w:r>
      <w:r w:rsidR="00FB01A0" w:rsidRPr="00A830B8">
        <w:rPr>
          <w:rFonts w:eastAsia="Calibri"/>
          <w:lang w:val="en-GB"/>
        </w:rPr>
        <w:t xml:space="preserve"> agencies and development partners to help strengthen the </w:t>
      </w:r>
      <w:r w:rsidR="00DA0298">
        <w:rPr>
          <w:rFonts w:eastAsia="Calibri"/>
          <w:lang w:val="en-GB"/>
        </w:rPr>
        <w:t>e</w:t>
      </w:r>
      <w:r w:rsidR="00DA0298" w:rsidRPr="00A830B8">
        <w:rPr>
          <w:rFonts w:eastAsia="Calibri"/>
          <w:lang w:val="en-GB"/>
        </w:rPr>
        <w:t xml:space="preserve">nvironment </w:t>
      </w:r>
      <w:r w:rsidR="00FB01A0" w:rsidRPr="00A830B8">
        <w:rPr>
          <w:rFonts w:eastAsia="Calibri"/>
          <w:lang w:val="en-GB"/>
        </w:rPr>
        <w:t xml:space="preserve">and </w:t>
      </w:r>
      <w:r w:rsidR="00DA0298">
        <w:rPr>
          <w:rFonts w:eastAsia="Calibri"/>
          <w:lang w:val="en-GB"/>
        </w:rPr>
        <w:t>n</w:t>
      </w:r>
      <w:r w:rsidR="00DA0298" w:rsidRPr="00A830B8">
        <w:rPr>
          <w:rFonts w:eastAsia="Calibri"/>
          <w:lang w:val="en-GB"/>
        </w:rPr>
        <w:t xml:space="preserve">atural </w:t>
      </w:r>
      <w:r w:rsidR="00011832">
        <w:rPr>
          <w:rFonts w:eastAsia="Calibri"/>
          <w:lang w:val="en-GB"/>
        </w:rPr>
        <w:t>r</w:t>
      </w:r>
      <w:r w:rsidR="00011832" w:rsidRPr="00A830B8">
        <w:rPr>
          <w:rFonts w:eastAsia="Calibri"/>
          <w:lang w:val="en-GB"/>
        </w:rPr>
        <w:t>esources sector</w:t>
      </w:r>
      <w:r w:rsidR="00FB01A0" w:rsidRPr="00A830B8">
        <w:rPr>
          <w:rFonts w:eastAsia="Calibri"/>
          <w:lang w:val="en-GB"/>
        </w:rPr>
        <w:t xml:space="preserve"> by supporting the technical capacity of the Ministry of Environment, FONERWA, Rwanda Environment Management Authority (REMA) and Rwanda Meteorological Agency</w:t>
      </w:r>
      <w:r w:rsidR="00076424">
        <w:rPr>
          <w:rFonts w:eastAsia="Calibri"/>
          <w:lang w:val="en-GB"/>
        </w:rPr>
        <w:t>,</w:t>
      </w:r>
      <w:r w:rsidR="00FB01A0" w:rsidRPr="00A830B8">
        <w:rPr>
          <w:rFonts w:eastAsia="Calibri"/>
          <w:lang w:val="en-GB"/>
        </w:rPr>
        <w:t xml:space="preserve"> building on progress already </w:t>
      </w:r>
      <w:r w:rsidR="00DA0298" w:rsidRPr="00A830B8">
        <w:rPr>
          <w:rFonts w:eastAsia="Calibri"/>
          <w:lang w:val="en-GB"/>
        </w:rPr>
        <w:t>reali</w:t>
      </w:r>
      <w:r w:rsidR="00DA0298">
        <w:rPr>
          <w:rFonts w:eastAsia="Calibri"/>
          <w:lang w:val="en-GB"/>
        </w:rPr>
        <w:t>z</w:t>
      </w:r>
      <w:r w:rsidR="00DA0298" w:rsidRPr="00A830B8">
        <w:rPr>
          <w:rFonts w:eastAsia="Calibri"/>
          <w:lang w:val="en-GB"/>
        </w:rPr>
        <w:t>ed</w:t>
      </w:r>
      <w:r w:rsidR="00FB01A0" w:rsidRPr="00A830B8">
        <w:rPr>
          <w:rFonts w:eastAsia="Calibri"/>
          <w:lang w:val="en-GB"/>
        </w:rPr>
        <w:t>. The UNDP</w:t>
      </w:r>
      <w:r w:rsidR="00DA0298">
        <w:rPr>
          <w:rFonts w:eastAsia="Calibri"/>
          <w:lang w:val="en-GB"/>
        </w:rPr>
        <w:t>/</w:t>
      </w:r>
      <w:r w:rsidR="00FB01A0" w:rsidRPr="00A830B8">
        <w:rPr>
          <w:rFonts w:eastAsia="Calibri"/>
          <w:lang w:val="en-GB"/>
        </w:rPr>
        <w:t xml:space="preserve">UNEP </w:t>
      </w:r>
      <w:r w:rsidR="00DA0298">
        <w:rPr>
          <w:rFonts w:eastAsia="Calibri"/>
          <w:lang w:val="en-GB"/>
        </w:rPr>
        <w:t>p</w:t>
      </w:r>
      <w:r w:rsidR="00DA0298" w:rsidRPr="00A830B8">
        <w:rPr>
          <w:rFonts w:eastAsia="Calibri"/>
          <w:lang w:val="en-GB"/>
        </w:rPr>
        <w:t>overty</w:t>
      </w:r>
      <w:r w:rsidR="00FB01A0" w:rsidRPr="00A830B8">
        <w:rPr>
          <w:rFonts w:eastAsia="Calibri"/>
          <w:lang w:val="en-GB"/>
        </w:rPr>
        <w:t>-</w:t>
      </w:r>
      <w:r w:rsidR="00DA0298">
        <w:rPr>
          <w:rFonts w:eastAsia="Calibri"/>
          <w:lang w:val="en-GB"/>
        </w:rPr>
        <w:t>e</w:t>
      </w:r>
      <w:r w:rsidR="00DA0298" w:rsidRPr="00A830B8">
        <w:rPr>
          <w:rFonts w:eastAsia="Calibri"/>
          <w:lang w:val="en-GB"/>
        </w:rPr>
        <w:t xml:space="preserve">nvironment </w:t>
      </w:r>
      <w:r w:rsidR="00FB01A0" w:rsidRPr="00A830B8">
        <w:rPr>
          <w:rFonts w:eastAsia="Calibri"/>
          <w:lang w:val="en-GB"/>
        </w:rPr>
        <w:t>programme, which supported the mainstreaming of environment, gender and poverty considerations into national</w:t>
      </w:r>
      <w:r w:rsidR="002941AC">
        <w:rPr>
          <w:rFonts w:eastAsia="Calibri"/>
          <w:lang w:val="en-GB"/>
        </w:rPr>
        <w:t xml:space="preserve"> and sub-national </w:t>
      </w:r>
      <w:r w:rsidR="00FB01A0" w:rsidRPr="00A830B8">
        <w:rPr>
          <w:rFonts w:eastAsia="Calibri"/>
          <w:lang w:val="en-GB"/>
        </w:rPr>
        <w:t xml:space="preserve">plans and budgets, will now focus on achieving targets </w:t>
      </w:r>
      <w:r w:rsidR="00DA0298">
        <w:rPr>
          <w:rFonts w:eastAsia="Calibri"/>
          <w:lang w:val="en-GB"/>
        </w:rPr>
        <w:t xml:space="preserve">for environment and natural resources and climate change </w:t>
      </w:r>
      <w:r w:rsidR="00FB01A0" w:rsidRPr="00A830B8">
        <w:rPr>
          <w:rFonts w:eastAsia="Calibri"/>
          <w:lang w:val="en-GB"/>
        </w:rPr>
        <w:t>in districts and priority sectors (agriculture, industry, urbanization and energy). A sector</w:t>
      </w:r>
      <w:r w:rsidR="00DA0298">
        <w:rPr>
          <w:rFonts w:eastAsia="Calibri"/>
          <w:lang w:val="en-GB"/>
        </w:rPr>
        <w:t>al</w:t>
      </w:r>
      <w:r w:rsidR="00FB01A0" w:rsidRPr="00A830B8">
        <w:rPr>
          <w:rFonts w:eastAsia="Calibri"/>
          <w:lang w:val="en-GB"/>
        </w:rPr>
        <w:t xml:space="preserve"> </w:t>
      </w:r>
      <w:r w:rsidR="00DA0298">
        <w:rPr>
          <w:rFonts w:eastAsia="Calibri"/>
          <w:lang w:val="en-GB"/>
        </w:rPr>
        <w:t>monitoring and evaluation</w:t>
      </w:r>
      <w:r w:rsidR="00FB01A0" w:rsidRPr="00A830B8">
        <w:rPr>
          <w:rFonts w:eastAsia="Calibri"/>
          <w:lang w:val="en-GB"/>
        </w:rPr>
        <w:t xml:space="preserve"> system</w:t>
      </w:r>
      <w:r w:rsidR="00DA0298">
        <w:rPr>
          <w:rFonts w:eastAsia="Calibri"/>
          <w:lang w:val="en-GB"/>
        </w:rPr>
        <w:t xml:space="preserve"> financed by UNDP and the Swedish International Development Cooperation Agency </w:t>
      </w:r>
      <w:r w:rsidR="00FB01A0" w:rsidRPr="00A830B8">
        <w:rPr>
          <w:rFonts w:eastAsia="Calibri"/>
          <w:lang w:val="en-GB"/>
        </w:rPr>
        <w:t>will be rolled</w:t>
      </w:r>
      <w:r w:rsidR="00DA0298">
        <w:rPr>
          <w:rFonts w:eastAsia="Calibri"/>
          <w:lang w:val="en-GB"/>
        </w:rPr>
        <w:t xml:space="preserve"> </w:t>
      </w:r>
      <w:r w:rsidR="00FB01A0" w:rsidRPr="00A830B8">
        <w:rPr>
          <w:rFonts w:eastAsia="Calibri"/>
          <w:lang w:val="en-GB"/>
        </w:rPr>
        <w:t xml:space="preserve">out, enabling stronger tracking of performance against NST and </w:t>
      </w:r>
      <w:r w:rsidR="00DA0298">
        <w:rPr>
          <w:rFonts w:eastAsia="Calibri"/>
          <w:lang w:val="en-GB"/>
        </w:rPr>
        <w:t>energy and natural resources</w:t>
      </w:r>
      <w:r w:rsidR="00DA0298" w:rsidRPr="00A830B8">
        <w:rPr>
          <w:rFonts w:eastAsia="Calibri"/>
          <w:lang w:val="en-GB"/>
        </w:rPr>
        <w:t xml:space="preserve"> </w:t>
      </w:r>
      <w:r w:rsidR="00DA0298">
        <w:rPr>
          <w:rFonts w:eastAsia="Calibri"/>
          <w:lang w:val="en-GB"/>
        </w:rPr>
        <w:t>s</w:t>
      </w:r>
      <w:r w:rsidR="00DA0298" w:rsidRPr="00A830B8">
        <w:rPr>
          <w:rFonts w:eastAsia="Calibri"/>
          <w:lang w:val="en-GB"/>
        </w:rPr>
        <w:t xml:space="preserve">ector </w:t>
      </w:r>
      <w:r w:rsidR="00DA0298">
        <w:rPr>
          <w:rFonts w:eastAsia="Calibri"/>
          <w:lang w:val="en-GB"/>
        </w:rPr>
        <w:t>p</w:t>
      </w:r>
      <w:r w:rsidR="00DA0298" w:rsidRPr="00A830B8">
        <w:rPr>
          <w:rFonts w:eastAsia="Calibri"/>
          <w:lang w:val="en-GB"/>
        </w:rPr>
        <w:t xml:space="preserve">lan </w:t>
      </w:r>
      <w:r w:rsidR="00FB01A0" w:rsidRPr="00A830B8">
        <w:rPr>
          <w:rFonts w:eastAsia="Calibri"/>
          <w:lang w:val="en-GB"/>
        </w:rPr>
        <w:t>targets, and fostering cross-sectoral coordination.</w:t>
      </w:r>
    </w:p>
    <w:p w:rsidR="0068483F" w:rsidRPr="00D13CB0" w:rsidRDefault="0068483F" w:rsidP="00C4374A">
      <w:pPr>
        <w:pStyle w:val="ListParagraph"/>
        <w:tabs>
          <w:tab w:val="left" w:pos="1080"/>
        </w:tabs>
        <w:ind w:left="1170" w:right="1030"/>
        <w:contextualSpacing/>
        <w:jc w:val="both"/>
        <w:rPr>
          <w:rFonts w:eastAsia="Calibri"/>
          <w:sz w:val="12"/>
          <w:szCs w:val="12"/>
          <w:lang w:val="en-GB"/>
        </w:rPr>
      </w:pPr>
    </w:p>
    <w:p w:rsidR="00FB01A0" w:rsidRPr="00A830B8"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A830B8">
        <w:rPr>
          <w:rFonts w:eastAsia="Calibri"/>
          <w:lang w:val="en-GB"/>
        </w:rPr>
        <w:t xml:space="preserve">UNDP will provide technical and financial assistance to REMA to help Rwanda domesticate international environmental treaties and attain </w:t>
      </w:r>
      <w:r w:rsidR="00DA0298">
        <w:rPr>
          <w:rFonts w:eastAsia="Calibri"/>
          <w:lang w:val="en-GB"/>
        </w:rPr>
        <w:t>n</w:t>
      </w:r>
      <w:r w:rsidR="00DA0298" w:rsidRPr="00A830B8">
        <w:rPr>
          <w:rFonts w:eastAsia="Calibri"/>
          <w:lang w:val="en-GB"/>
        </w:rPr>
        <w:t xml:space="preserve">ationally </w:t>
      </w:r>
      <w:r w:rsidR="00DA0298">
        <w:rPr>
          <w:rFonts w:eastAsia="Calibri"/>
          <w:lang w:val="en-GB"/>
        </w:rPr>
        <w:t>d</w:t>
      </w:r>
      <w:r w:rsidR="00DA0298" w:rsidRPr="00A830B8">
        <w:rPr>
          <w:rFonts w:eastAsia="Calibri"/>
          <w:lang w:val="en-GB"/>
        </w:rPr>
        <w:t xml:space="preserve">etermined </w:t>
      </w:r>
      <w:r w:rsidR="00DA0298">
        <w:rPr>
          <w:rFonts w:eastAsia="Calibri"/>
          <w:lang w:val="en-GB"/>
        </w:rPr>
        <w:t>c</w:t>
      </w:r>
      <w:r w:rsidR="00DA0298" w:rsidRPr="00A830B8">
        <w:rPr>
          <w:rFonts w:eastAsia="Calibri"/>
          <w:lang w:val="en-GB"/>
        </w:rPr>
        <w:t>ontributions</w:t>
      </w:r>
      <w:r w:rsidR="00FB01A0" w:rsidRPr="00A830B8">
        <w:rPr>
          <w:rFonts w:eastAsia="Calibri"/>
          <w:lang w:val="en-GB"/>
        </w:rPr>
        <w:t>. UNDP will support the rehabilitation and restoration of fragile ecosystems including wetlands and degraded landscapes</w:t>
      </w:r>
      <w:r w:rsidR="003C0100">
        <w:rPr>
          <w:rFonts w:eastAsia="Calibri"/>
          <w:lang w:val="en-GB"/>
        </w:rPr>
        <w:t>, enhancement of f</w:t>
      </w:r>
      <w:r w:rsidR="00FB01A0" w:rsidRPr="00A830B8">
        <w:rPr>
          <w:rFonts w:eastAsia="Calibri"/>
          <w:lang w:val="en-GB"/>
        </w:rPr>
        <w:t xml:space="preserve">orest quality and productivity along the value chain </w:t>
      </w:r>
      <w:r w:rsidR="003C0100">
        <w:rPr>
          <w:rFonts w:eastAsia="Calibri"/>
          <w:lang w:val="en-GB"/>
        </w:rPr>
        <w:t xml:space="preserve">and </w:t>
      </w:r>
      <w:r w:rsidR="003C0100" w:rsidRPr="00A830B8">
        <w:rPr>
          <w:rFonts w:eastAsia="Calibri"/>
          <w:lang w:val="en-GB"/>
        </w:rPr>
        <w:t>promot</w:t>
      </w:r>
      <w:r w:rsidR="003C0100">
        <w:rPr>
          <w:rFonts w:eastAsia="Calibri"/>
          <w:lang w:val="en-GB"/>
        </w:rPr>
        <w:t>e</w:t>
      </w:r>
      <w:r w:rsidR="003C0100" w:rsidRPr="00A830B8">
        <w:rPr>
          <w:rFonts w:eastAsia="Calibri"/>
          <w:lang w:val="en-GB"/>
        </w:rPr>
        <w:t xml:space="preserve"> </w:t>
      </w:r>
      <w:r w:rsidR="00FB01A0" w:rsidRPr="00A830B8">
        <w:rPr>
          <w:rFonts w:eastAsia="Calibri"/>
          <w:lang w:val="en-GB"/>
        </w:rPr>
        <w:t xml:space="preserve">alternative appropriate technology energy options to firewood. UNDP played a catalytic role in the </w:t>
      </w:r>
      <w:r w:rsidR="003C0100">
        <w:rPr>
          <w:rFonts w:eastAsia="Calibri"/>
          <w:lang w:val="en-GB"/>
        </w:rPr>
        <w:t>G</w:t>
      </w:r>
      <w:r w:rsidR="003C0100" w:rsidRPr="00A830B8">
        <w:rPr>
          <w:rFonts w:eastAsia="Calibri"/>
          <w:lang w:val="en-GB"/>
        </w:rPr>
        <w:t xml:space="preserve">overnment's </w:t>
      </w:r>
      <w:r w:rsidR="00FB01A0" w:rsidRPr="00A830B8">
        <w:rPr>
          <w:rFonts w:eastAsia="Calibri"/>
          <w:lang w:val="en-GB"/>
        </w:rPr>
        <w:t xml:space="preserve">Green Village initiative by helping to pilot the first villages and conducting a cost-benefit analysis to demonstrate the value of green development. Lessons </w:t>
      </w:r>
      <w:r w:rsidR="003C0100" w:rsidRPr="00A830B8">
        <w:rPr>
          <w:rFonts w:eastAsia="Calibri"/>
          <w:lang w:val="en-GB"/>
        </w:rPr>
        <w:t>learn</w:t>
      </w:r>
      <w:r w:rsidR="003C0100">
        <w:rPr>
          <w:rFonts w:eastAsia="Calibri"/>
          <w:lang w:val="en-GB"/>
        </w:rPr>
        <w:t>ed</w:t>
      </w:r>
      <w:r w:rsidR="003C0100" w:rsidRPr="00A830B8">
        <w:rPr>
          <w:rFonts w:eastAsia="Calibri"/>
          <w:lang w:val="en-GB"/>
        </w:rPr>
        <w:t xml:space="preserve"> </w:t>
      </w:r>
      <w:r w:rsidR="00FB01A0" w:rsidRPr="00A830B8">
        <w:rPr>
          <w:rFonts w:eastAsia="Calibri"/>
          <w:lang w:val="en-GB"/>
        </w:rPr>
        <w:t>from the model will be used to scale</w:t>
      </w:r>
      <w:r w:rsidR="003C0100">
        <w:rPr>
          <w:rFonts w:eastAsia="Calibri"/>
          <w:lang w:val="en-GB"/>
        </w:rPr>
        <w:t xml:space="preserve"> </w:t>
      </w:r>
      <w:r w:rsidR="00FB01A0" w:rsidRPr="00A830B8">
        <w:rPr>
          <w:rFonts w:eastAsia="Calibri"/>
          <w:lang w:val="en-GB"/>
        </w:rPr>
        <w:t xml:space="preserve">up the provision of appropriate green and </w:t>
      </w:r>
      <w:r w:rsidR="003C0100" w:rsidRPr="00A830B8">
        <w:rPr>
          <w:rFonts w:eastAsia="Calibri"/>
          <w:lang w:val="en-GB"/>
        </w:rPr>
        <w:t>climate</w:t>
      </w:r>
      <w:r w:rsidR="003C0100">
        <w:rPr>
          <w:rFonts w:eastAsia="Calibri"/>
          <w:lang w:val="en-GB"/>
        </w:rPr>
        <w:t>-</w:t>
      </w:r>
      <w:r w:rsidR="00FB01A0" w:rsidRPr="00A830B8">
        <w:rPr>
          <w:rFonts w:eastAsia="Calibri"/>
          <w:lang w:val="en-GB"/>
        </w:rPr>
        <w:t>resilient technologies</w:t>
      </w:r>
      <w:r w:rsidR="000A70FC">
        <w:rPr>
          <w:rFonts w:eastAsia="Calibri"/>
          <w:lang w:val="en-GB"/>
        </w:rPr>
        <w:t xml:space="preserve"> and</w:t>
      </w:r>
      <w:r w:rsidR="00FB01A0" w:rsidRPr="00A830B8">
        <w:rPr>
          <w:rFonts w:eastAsia="Calibri"/>
          <w:lang w:val="en-GB"/>
        </w:rPr>
        <w:t xml:space="preserve"> strengthen community climate resilience. Programmes will seek to enhance community knowledge and awareness of the effects of environmental degradation and means of prevention, leveraging existing partnerships with media and CSOs. UNDP will seek to ensure that both upstream and downstream interventions promote gender-equity and livelihood generation and protect the rights of vulnerable populations such as forest-dependent communities, refugees, female-headed households, persons with disabilities and poor rural farmers.</w:t>
      </w:r>
    </w:p>
    <w:p w:rsidR="002E1FB0" w:rsidRPr="00D13CB0" w:rsidRDefault="002E1FB0" w:rsidP="00C4374A">
      <w:pPr>
        <w:pStyle w:val="ListParagraph"/>
        <w:tabs>
          <w:tab w:val="left" w:pos="1080"/>
        </w:tabs>
        <w:ind w:left="1170" w:right="1030"/>
        <w:contextualSpacing/>
        <w:jc w:val="both"/>
        <w:rPr>
          <w:rFonts w:eastAsia="Calibri"/>
          <w:sz w:val="12"/>
          <w:szCs w:val="12"/>
          <w:lang w:val="en-GB"/>
        </w:rPr>
      </w:pPr>
    </w:p>
    <w:p w:rsidR="00FB01A0" w:rsidRPr="00A830B8"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FB01A0" w:rsidRPr="00A830B8">
        <w:rPr>
          <w:rFonts w:eastAsia="Calibri"/>
          <w:lang w:val="en-GB"/>
        </w:rPr>
        <w:t xml:space="preserve">UNDP has demonstrated its comparative advantage in providing quality technical support to MIDIMAR on disaster risk reduction, response and recovery. </w:t>
      </w:r>
      <w:r w:rsidR="000A70FC">
        <w:rPr>
          <w:rFonts w:eastAsia="Calibri"/>
          <w:lang w:val="en-GB"/>
        </w:rPr>
        <w:t xml:space="preserve">Moving forward, </w:t>
      </w:r>
      <w:r w:rsidR="00FB01A0" w:rsidRPr="00A830B8">
        <w:rPr>
          <w:rFonts w:eastAsia="Calibri"/>
          <w:lang w:val="en-GB"/>
        </w:rPr>
        <w:t xml:space="preserve">UNDP will help </w:t>
      </w:r>
      <w:r w:rsidR="003C0100">
        <w:rPr>
          <w:rFonts w:eastAsia="Calibri"/>
          <w:lang w:val="en-GB"/>
        </w:rPr>
        <w:lastRenderedPageBreak/>
        <w:t xml:space="preserve">to </w:t>
      </w:r>
      <w:r w:rsidR="00FB01A0" w:rsidRPr="00A830B8">
        <w:rPr>
          <w:rFonts w:eastAsia="Calibri"/>
          <w:lang w:val="en-GB"/>
        </w:rPr>
        <w:t>strengthen institutions at national, district and community levels on risk assessment and contingency planning</w:t>
      </w:r>
      <w:r w:rsidR="003C0100">
        <w:rPr>
          <w:rFonts w:eastAsia="Calibri"/>
          <w:lang w:val="en-GB"/>
        </w:rPr>
        <w:t>,</w:t>
      </w:r>
      <w:r w:rsidR="00FB01A0" w:rsidRPr="00A830B8">
        <w:rPr>
          <w:rFonts w:eastAsia="Calibri"/>
          <w:lang w:val="en-GB"/>
        </w:rPr>
        <w:t xml:space="preserve"> using the Sendai </w:t>
      </w:r>
      <w:r w:rsidR="003C0100">
        <w:rPr>
          <w:rFonts w:eastAsia="Calibri"/>
          <w:lang w:val="en-GB"/>
        </w:rPr>
        <w:t>Disaster Risk Management</w:t>
      </w:r>
      <w:r w:rsidR="003C0100" w:rsidRPr="00A830B8">
        <w:rPr>
          <w:rFonts w:eastAsia="Calibri"/>
          <w:lang w:val="en-GB"/>
        </w:rPr>
        <w:t xml:space="preserve"> </w:t>
      </w:r>
      <w:r w:rsidR="00FB01A0" w:rsidRPr="00A830B8">
        <w:rPr>
          <w:rFonts w:eastAsia="Calibri"/>
          <w:lang w:val="en-GB"/>
        </w:rPr>
        <w:t xml:space="preserve">Framework as reference. UNDP interventions will include technical and financial support to enhance the </w:t>
      </w:r>
      <w:r w:rsidR="003C0100" w:rsidRPr="00A830B8">
        <w:rPr>
          <w:rFonts w:eastAsia="Calibri"/>
          <w:lang w:val="en-GB"/>
        </w:rPr>
        <w:t>systemati</w:t>
      </w:r>
      <w:r w:rsidR="003C0100">
        <w:rPr>
          <w:rFonts w:eastAsia="Calibri"/>
          <w:lang w:val="en-GB"/>
        </w:rPr>
        <w:t>z</w:t>
      </w:r>
      <w:r w:rsidR="003C0100" w:rsidRPr="00A830B8">
        <w:rPr>
          <w:rFonts w:eastAsia="Calibri"/>
          <w:lang w:val="en-GB"/>
        </w:rPr>
        <w:t xml:space="preserve">ation </w:t>
      </w:r>
      <w:r w:rsidR="00FB01A0" w:rsidRPr="00A830B8">
        <w:rPr>
          <w:rFonts w:eastAsia="Calibri"/>
          <w:lang w:val="en-GB"/>
        </w:rPr>
        <w:t xml:space="preserve">of meteorological data collection, analysis and dissemination; strengthening of early warning systems; and </w:t>
      </w:r>
      <w:r w:rsidR="003C0100">
        <w:rPr>
          <w:rFonts w:eastAsia="Calibri"/>
          <w:lang w:val="en-GB"/>
        </w:rPr>
        <w:t xml:space="preserve">raising the </w:t>
      </w:r>
      <w:r w:rsidR="00FB01A0" w:rsidRPr="00A830B8">
        <w:rPr>
          <w:rFonts w:eastAsia="Calibri"/>
          <w:lang w:val="en-GB"/>
        </w:rPr>
        <w:t>awareness of women and men on disaster risk reduction and response with focus on drought and flood-prone areas.</w:t>
      </w:r>
    </w:p>
    <w:p w:rsidR="0014216F" w:rsidRPr="00D13CB0" w:rsidRDefault="0014216F" w:rsidP="00C4374A">
      <w:pPr>
        <w:tabs>
          <w:tab w:val="left" w:pos="400"/>
        </w:tabs>
        <w:ind w:left="1170" w:right="1030"/>
        <w:jc w:val="both"/>
        <w:rPr>
          <w:rFonts w:eastAsia="Calibri"/>
          <w:sz w:val="12"/>
          <w:szCs w:val="12"/>
          <w:lang w:val="en-GB"/>
        </w:rPr>
      </w:pPr>
    </w:p>
    <w:p w:rsidR="003A3CB7" w:rsidRPr="00011832" w:rsidRDefault="003A3CB7" w:rsidP="00011832">
      <w:pPr>
        <w:tabs>
          <w:tab w:val="left" w:pos="200"/>
          <w:tab w:val="left" w:pos="900"/>
          <w:tab w:val="left" w:pos="990"/>
          <w:tab w:val="left" w:pos="1170"/>
        </w:tabs>
        <w:spacing w:after="120"/>
        <w:ind w:left="1170" w:right="1030"/>
        <w:contextualSpacing/>
        <w:jc w:val="both"/>
        <w:rPr>
          <w:rFonts w:eastAsia="Calibri"/>
          <w:b/>
          <w:bCs/>
          <w:lang w:val="en-GB"/>
        </w:rPr>
      </w:pPr>
      <w:r w:rsidRPr="00011832">
        <w:rPr>
          <w:rFonts w:eastAsia="Calibri"/>
          <w:b/>
          <w:bCs/>
          <w:lang w:val="en-GB"/>
        </w:rPr>
        <w:t xml:space="preserve">Transformational </w:t>
      </w:r>
      <w:r w:rsidR="00D13CB0" w:rsidRPr="00011832">
        <w:rPr>
          <w:rFonts w:eastAsia="Calibri"/>
          <w:b/>
          <w:bCs/>
          <w:lang w:val="en-GB"/>
        </w:rPr>
        <w:t>g</w:t>
      </w:r>
      <w:r w:rsidRPr="00011832">
        <w:rPr>
          <w:rFonts w:eastAsia="Calibri"/>
          <w:b/>
          <w:bCs/>
          <w:lang w:val="en-GB"/>
        </w:rPr>
        <w:t xml:space="preserve">overnance for </w:t>
      </w:r>
      <w:r w:rsidR="00D13CB0" w:rsidRPr="00011832">
        <w:rPr>
          <w:rFonts w:eastAsia="Calibri"/>
          <w:b/>
          <w:bCs/>
          <w:lang w:val="en-GB"/>
        </w:rPr>
        <w:t>d</w:t>
      </w:r>
      <w:r w:rsidRPr="00011832">
        <w:rPr>
          <w:rFonts w:eastAsia="Calibri"/>
          <w:b/>
          <w:bCs/>
          <w:lang w:val="en-GB"/>
        </w:rPr>
        <w:t>evelopment</w:t>
      </w:r>
    </w:p>
    <w:p w:rsidR="00DB61F0" w:rsidRPr="0010675F" w:rsidRDefault="006649ED" w:rsidP="00D13CB0">
      <w:pPr>
        <w:pStyle w:val="ListParagraph"/>
        <w:numPr>
          <w:ilvl w:val="0"/>
          <w:numId w:val="3"/>
        </w:numPr>
        <w:tabs>
          <w:tab w:val="left" w:pos="720"/>
          <w:tab w:val="left" w:pos="1080"/>
          <w:tab w:val="left" w:pos="1440"/>
        </w:tabs>
        <w:ind w:left="1170" w:right="1030" w:firstLine="0"/>
        <w:contextualSpacing/>
        <w:jc w:val="both"/>
        <w:rPr>
          <w:rFonts w:eastAsia="Calibri"/>
          <w:lang w:val="en-GB"/>
        </w:rPr>
      </w:pPr>
      <w:r>
        <w:rPr>
          <w:rFonts w:eastAsia="Calibri"/>
          <w:lang w:val="en-GB"/>
        </w:rPr>
        <w:t xml:space="preserve"> </w:t>
      </w:r>
      <w:r w:rsidR="00DB61F0" w:rsidRPr="0010675F">
        <w:rPr>
          <w:rFonts w:eastAsia="Calibri"/>
          <w:lang w:val="en-GB"/>
        </w:rPr>
        <w:t xml:space="preserve">Inclusive and sustainable growth can best be </w:t>
      </w:r>
      <w:r w:rsidR="003C0100" w:rsidRPr="0010675F">
        <w:rPr>
          <w:rFonts w:eastAsia="Calibri"/>
          <w:lang w:val="en-GB"/>
        </w:rPr>
        <w:t>reali</w:t>
      </w:r>
      <w:r w:rsidR="003C0100">
        <w:rPr>
          <w:rFonts w:eastAsia="Calibri"/>
          <w:lang w:val="en-GB"/>
        </w:rPr>
        <w:t>z</w:t>
      </w:r>
      <w:r w:rsidR="003C0100" w:rsidRPr="0010675F">
        <w:rPr>
          <w:rFonts w:eastAsia="Calibri"/>
          <w:lang w:val="en-GB"/>
        </w:rPr>
        <w:t xml:space="preserve">ed </w:t>
      </w:r>
      <w:r w:rsidR="00DB61F0" w:rsidRPr="0010675F">
        <w:rPr>
          <w:rFonts w:eastAsia="Calibri"/>
          <w:lang w:val="en-GB"/>
        </w:rPr>
        <w:t xml:space="preserve">if there are sustained investments in creating a peaceful, just and inclusive society in which citizens are engaged and have a voice in decision-making and where institutions are strong, accountable, </w:t>
      </w:r>
      <w:r w:rsidR="003C0100" w:rsidRPr="0010675F">
        <w:rPr>
          <w:rFonts w:eastAsia="Calibri"/>
          <w:lang w:val="en-GB"/>
        </w:rPr>
        <w:t>corruption</w:t>
      </w:r>
      <w:r w:rsidR="003C0100">
        <w:rPr>
          <w:rFonts w:eastAsia="Calibri"/>
          <w:lang w:val="en-GB"/>
        </w:rPr>
        <w:t>-</w:t>
      </w:r>
      <w:r w:rsidR="00DB61F0" w:rsidRPr="0010675F">
        <w:rPr>
          <w:rFonts w:eastAsia="Calibri"/>
          <w:lang w:val="en-GB"/>
        </w:rPr>
        <w:t>free and responsive to the needs of citizens.</w:t>
      </w:r>
      <w:r w:rsidR="00E10BA0" w:rsidRPr="0010675F">
        <w:rPr>
          <w:rFonts w:eastAsia="Calibri"/>
          <w:lang w:val="en-GB"/>
        </w:rPr>
        <w:t xml:space="preserve">  </w:t>
      </w:r>
      <w:r w:rsidR="00DB61F0" w:rsidRPr="0010675F">
        <w:rPr>
          <w:rFonts w:eastAsia="Calibri"/>
          <w:lang w:val="en-GB"/>
        </w:rPr>
        <w:t>UNDP will continue supporting healing and peacebuilding initiatives to foster social cohesion, unity and reconciliation at community level</w:t>
      </w:r>
      <w:r w:rsidR="003C0100">
        <w:rPr>
          <w:rFonts w:eastAsia="Calibri"/>
          <w:lang w:val="en-GB"/>
        </w:rPr>
        <w:t>,</w:t>
      </w:r>
      <w:r w:rsidR="00DB61F0" w:rsidRPr="0010675F">
        <w:rPr>
          <w:rFonts w:eastAsia="Calibri"/>
          <w:lang w:val="en-GB"/>
        </w:rPr>
        <w:t xml:space="preserve"> working closely with CSOs. UNDP will support research and assessments on unity and reconciliation to lay the ground for policy discussions and evidence-based decision-making at national and local levels.</w:t>
      </w:r>
    </w:p>
    <w:p w:rsidR="00DB61F0" w:rsidRPr="00D13CB0" w:rsidRDefault="00DB61F0" w:rsidP="00C4374A">
      <w:pPr>
        <w:pStyle w:val="ListParagraph"/>
        <w:shd w:val="clear" w:color="auto" w:fill="FFFFFF" w:themeFill="background1"/>
        <w:tabs>
          <w:tab w:val="left" w:pos="1080"/>
        </w:tabs>
        <w:ind w:left="1170" w:right="1030"/>
        <w:jc w:val="both"/>
        <w:rPr>
          <w:rFonts w:eastAsia="Calibri"/>
          <w:sz w:val="12"/>
          <w:szCs w:val="12"/>
          <w:lang w:val="en-GB"/>
        </w:rPr>
      </w:pPr>
    </w:p>
    <w:p w:rsidR="00DB61F0" w:rsidRPr="002E1FB0" w:rsidRDefault="006649ED" w:rsidP="00C4374A">
      <w:pPr>
        <w:pStyle w:val="ListParagraph"/>
        <w:numPr>
          <w:ilvl w:val="0"/>
          <w:numId w:val="3"/>
        </w:numPr>
        <w:shd w:val="clear" w:color="auto" w:fill="FFFFFF" w:themeFill="background1"/>
        <w:tabs>
          <w:tab w:val="left" w:pos="1080"/>
        </w:tabs>
        <w:ind w:left="1170" w:right="1030" w:firstLine="0"/>
        <w:contextualSpacing/>
        <w:jc w:val="both"/>
        <w:rPr>
          <w:rFonts w:eastAsia="Calibri"/>
          <w:lang w:val="en-GB"/>
        </w:rPr>
      </w:pPr>
      <w:r>
        <w:rPr>
          <w:rFonts w:eastAsia="Calibri"/>
          <w:lang w:val="en-GB"/>
        </w:rPr>
        <w:t xml:space="preserve"> </w:t>
      </w:r>
      <w:r w:rsidR="00DB61F0" w:rsidRPr="002E1FB0">
        <w:rPr>
          <w:rFonts w:eastAsia="Calibri"/>
          <w:lang w:val="en-GB"/>
        </w:rPr>
        <w:t xml:space="preserve">UNDP will partner with the Rwanda National Police to expand and strengthen its community policing programme, and to promote crime prevention and reduction of existing and emerging crimes. The </w:t>
      </w:r>
      <w:r w:rsidR="003C0100">
        <w:rPr>
          <w:rFonts w:eastAsia="Calibri"/>
          <w:lang w:val="en-GB"/>
        </w:rPr>
        <w:t>v</w:t>
      </w:r>
      <w:r w:rsidR="003C0100" w:rsidRPr="002E1FB0">
        <w:rPr>
          <w:rFonts w:eastAsia="Calibri"/>
          <w:lang w:val="en-GB"/>
        </w:rPr>
        <w:t xml:space="preserve">iolence </w:t>
      </w:r>
      <w:r w:rsidR="003C0100">
        <w:rPr>
          <w:rFonts w:eastAsia="Calibri"/>
          <w:lang w:val="en-GB"/>
        </w:rPr>
        <w:t>a</w:t>
      </w:r>
      <w:r w:rsidR="003C0100" w:rsidRPr="002E1FB0">
        <w:rPr>
          <w:rFonts w:eastAsia="Calibri"/>
          <w:lang w:val="en-GB"/>
        </w:rPr>
        <w:t xml:space="preserve">gainst </w:t>
      </w:r>
      <w:r w:rsidR="003C0100">
        <w:rPr>
          <w:rFonts w:eastAsia="Calibri"/>
          <w:lang w:val="en-GB"/>
        </w:rPr>
        <w:t>w</w:t>
      </w:r>
      <w:r w:rsidR="003C0100" w:rsidRPr="002E1FB0">
        <w:rPr>
          <w:rFonts w:eastAsia="Calibri"/>
          <w:lang w:val="en-GB"/>
        </w:rPr>
        <w:t xml:space="preserve">omen </w:t>
      </w:r>
      <w:r w:rsidR="00DB61F0" w:rsidRPr="002E1FB0">
        <w:rPr>
          <w:rFonts w:eastAsia="Calibri"/>
          <w:lang w:val="en-GB"/>
        </w:rPr>
        <w:t xml:space="preserve">and </w:t>
      </w:r>
      <w:r w:rsidR="003C0100">
        <w:rPr>
          <w:rFonts w:eastAsia="Calibri"/>
          <w:lang w:val="en-GB"/>
        </w:rPr>
        <w:t>g</w:t>
      </w:r>
      <w:r w:rsidR="003C0100" w:rsidRPr="002E1FB0">
        <w:rPr>
          <w:rFonts w:eastAsia="Calibri"/>
          <w:lang w:val="en-GB"/>
        </w:rPr>
        <w:t xml:space="preserve">irls </w:t>
      </w:r>
      <w:r w:rsidR="00DB61F0" w:rsidRPr="002E1FB0">
        <w:rPr>
          <w:rFonts w:eastAsia="Calibri"/>
          <w:lang w:val="en-GB"/>
        </w:rPr>
        <w:t>programme within regional security organs will also be scaled</w:t>
      </w:r>
      <w:r w:rsidR="003C0100">
        <w:rPr>
          <w:rFonts w:eastAsia="Calibri"/>
          <w:lang w:val="en-GB"/>
        </w:rPr>
        <w:t xml:space="preserve"> </w:t>
      </w:r>
      <w:r w:rsidR="00DB61F0" w:rsidRPr="002E1FB0">
        <w:rPr>
          <w:rFonts w:eastAsia="Calibri"/>
          <w:lang w:val="en-GB"/>
        </w:rPr>
        <w:t xml:space="preserve">up. </w:t>
      </w:r>
    </w:p>
    <w:p w:rsidR="00DB61F0" w:rsidRPr="00D13CB0" w:rsidRDefault="00DB61F0" w:rsidP="00C4374A">
      <w:pPr>
        <w:pStyle w:val="ListParagraph"/>
        <w:tabs>
          <w:tab w:val="left" w:pos="1080"/>
        </w:tabs>
        <w:ind w:left="1170" w:right="1030"/>
        <w:jc w:val="both"/>
        <w:rPr>
          <w:rFonts w:eastAsia="Calibri"/>
          <w:sz w:val="12"/>
          <w:szCs w:val="12"/>
          <w:lang w:val="en-GB"/>
        </w:rPr>
      </w:pPr>
    </w:p>
    <w:p w:rsidR="00DB61F0"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DB61F0" w:rsidRPr="00A830B8">
        <w:rPr>
          <w:rFonts w:eastAsia="Calibri"/>
          <w:lang w:val="en-GB"/>
        </w:rPr>
        <w:t xml:space="preserve">UNDP will partner with the Rwanda Correctional Service to promote increased access to justice to the most vulnerable, especially poor inmates and victims of </w:t>
      </w:r>
      <w:r w:rsidR="003C0100">
        <w:rPr>
          <w:rFonts w:eastAsia="Calibri"/>
          <w:lang w:val="en-GB"/>
        </w:rPr>
        <w:t>gender-based violence</w:t>
      </w:r>
      <w:r w:rsidR="003C0100" w:rsidRPr="00A830B8">
        <w:rPr>
          <w:rFonts w:eastAsia="Calibri"/>
          <w:lang w:val="en-GB"/>
        </w:rPr>
        <w:t xml:space="preserve"> </w:t>
      </w:r>
      <w:r w:rsidR="00DB61F0" w:rsidRPr="00A830B8">
        <w:rPr>
          <w:rFonts w:eastAsia="Calibri"/>
          <w:lang w:val="en-GB"/>
        </w:rPr>
        <w:t xml:space="preserve">in partnership with </w:t>
      </w:r>
      <w:r w:rsidR="003C0100">
        <w:rPr>
          <w:rFonts w:eastAsia="Calibri"/>
          <w:lang w:val="en-GB"/>
        </w:rPr>
        <w:t>the United Nations Entity for Gender Equality and the Empowerment of Women (</w:t>
      </w:r>
      <w:r w:rsidR="00DB61F0" w:rsidRPr="00A830B8">
        <w:rPr>
          <w:rFonts w:eastAsia="Calibri"/>
          <w:lang w:val="en-GB"/>
        </w:rPr>
        <w:t>UN</w:t>
      </w:r>
      <w:r w:rsidR="003C0100">
        <w:rPr>
          <w:rFonts w:eastAsia="Calibri"/>
          <w:lang w:val="en-GB"/>
        </w:rPr>
        <w:t>-</w:t>
      </w:r>
      <w:r w:rsidR="00DB61F0" w:rsidRPr="00A830B8">
        <w:rPr>
          <w:rFonts w:eastAsia="Calibri"/>
          <w:lang w:val="en-GB"/>
        </w:rPr>
        <w:t>W</w:t>
      </w:r>
      <w:r w:rsidR="003C0100" w:rsidRPr="00A830B8">
        <w:rPr>
          <w:rFonts w:eastAsia="Calibri"/>
          <w:lang w:val="en-GB"/>
        </w:rPr>
        <w:t>omen</w:t>
      </w:r>
      <w:r w:rsidR="00126FA3">
        <w:rPr>
          <w:rFonts w:eastAsia="Calibri"/>
          <w:lang w:val="en-GB"/>
        </w:rPr>
        <w:t>)</w:t>
      </w:r>
      <w:r w:rsidR="00DB61F0" w:rsidRPr="00A830B8">
        <w:rPr>
          <w:rFonts w:eastAsia="Calibri"/>
          <w:lang w:val="en-GB"/>
        </w:rPr>
        <w:t xml:space="preserve">, Rwanda Bar Association and CSOs. To improve </w:t>
      </w:r>
      <w:r w:rsidR="003C0100">
        <w:rPr>
          <w:rFonts w:eastAsia="Calibri"/>
          <w:lang w:val="en-GB"/>
        </w:rPr>
        <w:t xml:space="preserve">the delivery of </w:t>
      </w:r>
      <w:r w:rsidR="00DB61F0" w:rsidRPr="00A830B8">
        <w:rPr>
          <w:rFonts w:eastAsia="Calibri"/>
          <w:lang w:val="en-GB"/>
        </w:rPr>
        <w:t xml:space="preserve">justice and tackle case backlogs, UNDP will support the use of modern technologies such as the newly established </w:t>
      </w:r>
      <w:r w:rsidR="003C0100">
        <w:rPr>
          <w:rFonts w:eastAsia="Calibri"/>
          <w:lang w:val="en-GB"/>
        </w:rPr>
        <w:t>i</w:t>
      </w:r>
      <w:r w:rsidR="003C0100" w:rsidRPr="00A830B8">
        <w:rPr>
          <w:rFonts w:eastAsia="Calibri"/>
          <w:lang w:val="en-GB"/>
        </w:rPr>
        <w:t xml:space="preserve">ntegrated </w:t>
      </w:r>
      <w:r w:rsidR="003C0100">
        <w:rPr>
          <w:rFonts w:eastAsia="Calibri"/>
          <w:lang w:val="en-GB"/>
        </w:rPr>
        <w:t>e</w:t>
      </w:r>
      <w:r w:rsidR="003C0100" w:rsidRPr="00A830B8">
        <w:rPr>
          <w:rFonts w:eastAsia="Calibri"/>
          <w:lang w:val="en-GB"/>
        </w:rPr>
        <w:t xml:space="preserve">lectronic </w:t>
      </w:r>
      <w:r w:rsidR="003C0100">
        <w:rPr>
          <w:rFonts w:eastAsia="Calibri"/>
          <w:lang w:val="en-GB"/>
        </w:rPr>
        <w:t>c</w:t>
      </w:r>
      <w:r w:rsidR="003C0100" w:rsidRPr="00A830B8">
        <w:rPr>
          <w:rFonts w:eastAsia="Calibri"/>
          <w:lang w:val="en-GB"/>
        </w:rPr>
        <w:t xml:space="preserve">ase </w:t>
      </w:r>
      <w:r w:rsidR="003C0100">
        <w:rPr>
          <w:rFonts w:eastAsia="Calibri"/>
          <w:lang w:val="en-GB"/>
        </w:rPr>
        <w:t>m</w:t>
      </w:r>
      <w:r w:rsidR="003C0100" w:rsidRPr="00A830B8">
        <w:rPr>
          <w:rFonts w:eastAsia="Calibri"/>
          <w:lang w:val="en-GB"/>
        </w:rPr>
        <w:t xml:space="preserve">anagement </w:t>
      </w:r>
      <w:r w:rsidR="003C0100">
        <w:rPr>
          <w:rFonts w:eastAsia="Calibri"/>
          <w:lang w:val="en-GB"/>
        </w:rPr>
        <w:t>s</w:t>
      </w:r>
      <w:r w:rsidR="003C0100" w:rsidRPr="00A830B8">
        <w:rPr>
          <w:rFonts w:eastAsia="Calibri"/>
          <w:lang w:val="en-GB"/>
        </w:rPr>
        <w:t xml:space="preserve">ystem </w:t>
      </w:r>
      <w:r w:rsidR="00DB61F0" w:rsidRPr="00A830B8">
        <w:rPr>
          <w:rFonts w:eastAsia="Calibri"/>
          <w:lang w:val="en-GB"/>
        </w:rPr>
        <w:t xml:space="preserve">by justice sector institutions and communities. UNDP will also contribute to the revision of the policy frameworks around correction and rehabilitation to include alternative measures to imprisonment. </w:t>
      </w:r>
    </w:p>
    <w:p w:rsidR="0052630C" w:rsidRPr="00D13CB0" w:rsidRDefault="0052630C" w:rsidP="00C4374A">
      <w:pPr>
        <w:pStyle w:val="ListParagraph"/>
        <w:ind w:left="1170" w:right="1030"/>
        <w:rPr>
          <w:rFonts w:eastAsia="Calibri"/>
          <w:sz w:val="12"/>
          <w:szCs w:val="12"/>
          <w:lang w:val="en-GB"/>
        </w:rPr>
      </w:pPr>
    </w:p>
    <w:p w:rsidR="00DB61F0" w:rsidRPr="00A830B8" w:rsidRDefault="006649ED" w:rsidP="00C4374A">
      <w:pPr>
        <w:pStyle w:val="ListParagraph"/>
        <w:numPr>
          <w:ilvl w:val="0"/>
          <w:numId w:val="3"/>
        </w:numPr>
        <w:tabs>
          <w:tab w:val="left" w:pos="1080"/>
        </w:tabs>
        <w:ind w:left="1170" w:right="1030" w:firstLine="0"/>
        <w:contextualSpacing/>
        <w:jc w:val="both"/>
        <w:rPr>
          <w:lang w:val="en-GB"/>
        </w:rPr>
      </w:pPr>
      <w:r>
        <w:rPr>
          <w:rFonts w:eastAsia="Calibri"/>
          <w:lang w:val="en-GB"/>
        </w:rPr>
        <w:t xml:space="preserve"> </w:t>
      </w:r>
      <w:r w:rsidR="00DB61F0" w:rsidRPr="00A830B8">
        <w:rPr>
          <w:rFonts w:eastAsia="Calibri"/>
          <w:lang w:val="en-GB"/>
        </w:rPr>
        <w:t>The programme will promote transparency, accountability and improved service delivery</w:t>
      </w:r>
      <w:r w:rsidR="003C0100">
        <w:rPr>
          <w:rFonts w:eastAsia="Calibri"/>
          <w:lang w:val="en-GB"/>
        </w:rPr>
        <w:t>,</w:t>
      </w:r>
      <w:r w:rsidR="00DB61F0" w:rsidRPr="00A830B8">
        <w:rPr>
          <w:rFonts w:eastAsia="Calibri"/>
          <w:lang w:val="en-GB"/>
        </w:rPr>
        <w:t xml:space="preserve"> particularly in public institutions at all levels. UNDP will make strategic upstream investments, supporting the </w:t>
      </w:r>
      <w:r w:rsidR="00DB61F0" w:rsidRPr="00A830B8">
        <w:rPr>
          <w:rFonts w:eastAsia="Calibri"/>
        </w:rPr>
        <w:t>development of a local government capacity</w:t>
      </w:r>
      <w:r w:rsidR="00344BE3">
        <w:rPr>
          <w:rFonts w:eastAsia="Calibri"/>
        </w:rPr>
        <w:t>-</w:t>
      </w:r>
      <w:r w:rsidR="00DB61F0" w:rsidRPr="00A830B8">
        <w:rPr>
          <w:rFonts w:eastAsia="Calibri"/>
        </w:rPr>
        <w:t>building strategy, while enhancing the capacity of CSOs and the Rwanda Governance Board to monitor the quality of service delivery</w:t>
      </w:r>
      <w:r w:rsidR="00DB61F0" w:rsidRPr="00A830B8">
        <w:t>.</w:t>
      </w:r>
      <w:r w:rsidR="00DB61F0" w:rsidRPr="00A830B8">
        <w:rPr>
          <w:rFonts w:eastAsia="Calibri"/>
          <w:lang w:val="en-GB"/>
        </w:rPr>
        <w:t xml:space="preserve"> UNDP will partner with research institutions to conduct independent research on equitable citizen participation in democratic processes to inform policy dialogue and decision making on critical public policy issues. Tools such as the Citizen Report Card, which have proven vital in deepening accountability on service delivery, will be reinforced. The programme will enhance the capacity of CSOs, empowering them to be more relevant in addressing development issues and advocating for people’s rights and greater accountability of State and non-State institutions. Similarly, UNDP will partner with stakeholders to foster a more robust, professional and sustainable media sector, with emphasis on the operationalization and sustainability of the media self-regulatory body, and </w:t>
      </w:r>
      <w:r w:rsidR="00344BE3" w:rsidRPr="00A830B8">
        <w:rPr>
          <w:rFonts w:eastAsia="Calibri"/>
          <w:lang w:val="en-GB"/>
        </w:rPr>
        <w:t>capacity</w:t>
      </w:r>
      <w:r w:rsidR="00344BE3">
        <w:rPr>
          <w:rFonts w:eastAsia="Calibri"/>
          <w:lang w:val="en-GB"/>
        </w:rPr>
        <w:t>-</w:t>
      </w:r>
      <w:r w:rsidR="00DB61F0" w:rsidRPr="00A830B8">
        <w:rPr>
          <w:rFonts w:eastAsia="Calibri"/>
          <w:lang w:val="en-GB"/>
        </w:rPr>
        <w:t xml:space="preserve">building of media houses, managers and practitioners.  </w:t>
      </w:r>
    </w:p>
    <w:p w:rsidR="00701A06" w:rsidRPr="00D13CB0" w:rsidRDefault="00701A06" w:rsidP="00C4374A">
      <w:pPr>
        <w:pStyle w:val="ListParagraph"/>
        <w:tabs>
          <w:tab w:val="left" w:pos="1080"/>
        </w:tabs>
        <w:ind w:left="1170" w:right="1030"/>
        <w:contextualSpacing/>
        <w:jc w:val="both"/>
        <w:rPr>
          <w:rFonts w:eastAsia="Calibri"/>
          <w:sz w:val="12"/>
          <w:szCs w:val="12"/>
          <w:lang w:val="en-GB"/>
        </w:rPr>
      </w:pPr>
    </w:p>
    <w:p w:rsidR="00DB61F0"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DB61F0" w:rsidRPr="00A830B8">
        <w:rPr>
          <w:rFonts w:eastAsia="Calibri"/>
          <w:lang w:val="en-GB"/>
        </w:rPr>
        <w:t>UNDP will continue collaborating with the National Electoral Commission to increase citizen participation in democratic processes, focusing on youth, women and persons with disability.  In line with the N</w:t>
      </w:r>
      <w:r w:rsidR="00126FA3">
        <w:rPr>
          <w:rFonts w:eastAsia="Calibri"/>
          <w:lang w:val="en-GB"/>
        </w:rPr>
        <w:t xml:space="preserve">eeds </w:t>
      </w:r>
      <w:r w:rsidR="00126FA3" w:rsidRPr="00A830B8">
        <w:rPr>
          <w:rFonts w:eastAsia="Calibri"/>
          <w:lang w:val="en-GB"/>
        </w:rPr>
        <w:t>A</w:t>
      </w:r>
      <w:r w:rsidR="00126FA3">
        <w:rPr>
          <w:rFonts w:eastAsia="Calibri"/>
          <w:lang w:val="en-GB"/>
        </w:rPr>
        <w:t xml:space="preserve">ssessment </w:t>
      </w:r>
      <w:r w:rsidR="00DB61F0" w:rsidRPr="00A830B8">
        <w:rPr>
          <w:rFonts w:eastAsia="Calibri"/>
          <w:lang w:val="en-GB"/>
        </w:rPr>
        <w:t>M</w:t>
      </w:r>
      <w:r w:rsidR="00126FA3">
        <w:rPr>
          <w:rFonts w:eastAsia="Calibri"/>
          <w:lang w:val="en-GB"/>
        </w:rPr>
        <w:t>ission</w:t>
      </w:r>
      <w:r w:rsidR="00DB61F0" w:rsidRPr="00A830B8">
        <w:rPr>
          <w:rFonts w:eastAsia="Calibri"/>
          <w:lang w:val="en-GB"/>
        </w:rPr>
        <w:t xml:space="preserve"> recommendations, UNDP will continue supporting the use of </w:t>
      </w:r>
      <w:r w:rsidR="00344BE3">
        <w:rPr>
          <w:rFonts w:eastAsia="Calibri"/>
          <w:lang w:val="en-GB"/>
        </w:rPr>
        <w:t xml:space="preserve">information and communications </w:t>
      </w:r>
      <w:r w:rsidR="00011832">
        <w:rPr>
          <w:rFonts w:eastAsia="Calibri"/>
          <w:lang w:val="en-GB"/>
        </w:rPr>
        <w:t xml:space="preserve">technology </w:t>
      </w:r>
      <w:r w:rsidR="00011832" w:rsidRPr="00A830B8">
        <w:rPr>
          <w:rFonts w:eastAsia="Calibri"/>
          <w:lang w:val="en-GB"/>
        </w:rPr>
        <w:t>in</w:t>
      </w:r>
      <w:r w:rsidR="00DB61F0" w:rsidRPr="00A830B8">
        <w:rPr>
          <w:rFonts w:eastAsia="Calibri"/>
          <w:lang w:val="en-GB"/>
        </w:rPr>
        <w:t xml:space="preserve"> elections to advance citizen participation. UNDP will promote research and policy dialogue on issues pertinent to democratic governance with the aim of helping to broaden political space and deepen the engagement of CSOs in public processes. This assistance will span the current electoral cycle with parliamentary elections in 2018, senatorial elections in 2019 and local elections in 2020.</w:t>
      </w:r>
    </w:p>
    <w:p w:rsidR="00496A7F" w:rsidRPr="00D13CB0" w:rsidRDefault="00496A7F" w:rsidP="00C4374A">
      <w:pPr>
        <w:pStyle w:val="ListParagraph"/>
        <w:ind w:left="1170" w:right="1030"/>
        <w:rPr>
          <w:rFonts w:eastAsia="Calibri"/>
          <w:sz w:val="12"/>
          <w:szCs w:val="12"/>
          <w:lang w:val="en-GB"/>
        </w:rPr>
      </w:pPr>
    </w:p>
    <w:p w:rsidR="00DB61F0" w:rsidRPr="00A830B8" w:rsidRDefault="006649ED" w:rsidP="00C4374A">
      <w:pPr>
        <w:pStyle w:val="ListParagraph"/>
        <w:numPr>
          <w:ilvl w:val="0"/>
          <w:numId w:val="3"/>
        </w:numPr>
        <w:tabs>
          <w:tab w:val="left" w:pos="1080"/>
        </w:tabs>
        <w:ind w:left="1170" w:right="1030" w:firstLine="0"/>
        <w:contextualSpacing/>
        <w:jc w:val="both"/>
        <w:rPr>
          <w:rFonts w:eastAsia="Calibri"/>
          <w:lang w:val="en-GB"/>
        </w:rPr>
      </w:pPr>
      <w:r>
        <w:rPr>
          <w:rFonts w:eastAsia="Calibri"/>
          <w:lang w:val="en-GB"/>
        </w:rPr>
        <w:t xml:space="preserve"> </w:t>
      </w:r>
      <w:r w:rsidR="00DB61F0" w:rsidRPr="00A830B8">
        <w:rPr>
          <w:rFonts w:eastAsia="Calibri"/>
          <w:lang w:val="en-GB"/>
        </w:rPr>
        <w:t xml:space="preserve">Based on its active involvement in the UPR exercises, UNDP will partner with the Office of the </w:t>
      </w:r>
      <w:r w:rsidR="00344BE3">
        <w:rPr>
          <w:rFonts w:eastAsia="Calibri"/>
          <w:lang w:val="en-GB"/>
        </w:rPr>
        <w:t xml:space="preserve">United Nations </w:t>
      </w:r>
      <w:r w:rsidR="00DB61F0" w:rsidRPr="00A830B8">
        <w:rPr>
          <w:rFonts w:eastAsia="Calibri"/>
          <w:lang w:val="en-GB"/>
        </w:rPr>
        <w:t xml:space="preserve">High Commissioner for Human Rights, National Commission for Human Rights and Ministry of Justice to monitor and report on the implementation of the 2015 UPR </w:t>
      </w:r>
      <w:r w:rsidR="00DB61F0" w:rsidRPr="00A830B8">
        <w:rPr>
          <w:rFonts w:eastAsia="Calibri"/>
          <w:lang w:val="en-GB"/>
        </w:rPr>
        <w:lastRenderedPageBreak/>
        <w:t xml:space="preserve">recommendations and </w:t>
      </w:r>
      <w:r w:rsidR="00344BE3">
        <w:rPr>
          <w:rFonts w:eastAsia="Calibri"/>
          <w:lang w:val="en-GB"/>
        </w:rPr>
        <w:t>a</w:t>
      </w:r>
      <w:r w:rsidR="00344BE3" w:rsidRPr="00A830B8">
        <w:rPr>
          <w:rFonts w:eastAsia="Calibri"/>
          <w:lang w:val="en-GB"/>
        </w:rPr>
        <w:t xml:space="preserve">ction </w:t>
      </w:r>
      <w:r w:rsidR="00344BE3">
        <w:rPr>
          <w:rFonts w:eastAsia="Calibri"/>
          <w:lang w:val="en-GB"/>
        </w:rPr>
        <w:t>p</w:t>
      </w:r>
      <w:r w:rsidR="00344BE3" w:rsidRPr="00A830B8">
        <w:rPr>
          <w:rFonts w:eastAsia="Calibri"/>
          <w:lang w:val="en-GB"/>
        </w:rPr>
        <w:t>lan</w:t>
      </w:r>
      <w:r w:rsidR="00DB61F0" w:rsidRPr="00A830B8">
        <w:rPr>
          <w:rFonts w:eastAsia="Calibri"/>
          <w:lang w:val="en-GB"/>
        </w:rPr>
        <w:t xml:space="preserve">. UNDP will </w:t>
      </w:r>
      <w:r w:rsidR="00344BE3">
        <w:rPr>
          <w:rFonts w:eastAsia="Calibri"/>
          <w:lang w:val="en-GB"/>
        </w:rPr>
        <w:t xml:space="preserve">build the capacities of </w:t>
      </w:r>
      <w:r w:rsidR="00DB61F0" w:rsidRPr="00A830B8">
        <w:rPr>
          <w:rFonts w:eastAsia="Calibri"/>
          <w:lang w:val="en-GB"/>
        </w:rPr>
        <w:t xml:space="preserve">CSOs to promote human rights with </w:t>
      </w:r>
      <w:r w:rsidR="00344BE3">
        <w:rPr>
          <w:rFonts w:eastAsia="Calibri"/>
          <w:lang w:val="en-GB"/>
        </w:rPr>
        <w:t xml:space="preserve">an </w:t>
      </w:r>
      <w:r w:rsidR="00DB61F0" w:rsidRPr="00A830B8">
        <w:rPr>
          <w:rFonts w:eastAsia="Calibri"/>
          <w:lang w:val="en-GB"/>
        </w:rPr>
        <w:t>emphasis on people with disabilities, women, and poor inmates. UNDP will partner with research institutes and academia to conduct independent research on human rights with the aim of domesticating the Rights Upfront approach and ensuring human right sensitive development in Rwanda.</w:t>
      </w:r>
    </w:p>
    <w:p w:rsidR="00DB61F0" w:rsidRPr="00D13CB0" w:rsidRDefault="00DB61F0" w:rsidP="00C4374A">
      <w:pPr>
        <w:pStyle w:val="ListParagraph"/>
        <w:tabs>
          <w:tab w:val="left" w:pos="1080"/>
        </w:tabs>
        <w:ind w:left="1170" w:right="1030"/>
        <w:jc w:val="both"/>
        <w:rPr>
          <w:rFonts w:eastAsia="Calibri"/>
          <w:sz w:val="12"/>
          <w:szCs w:val="12"/>
          <w:lang w:val="en-GB"/>
        </w:rPr>
      </w:pPr>
    </w:p>
    <w:p w:rsidR="00DB61F0" w:rsidRPr="00A830B8" w:rsidRDefault="00DB61F0" w:rsidP="00C4374A">
      <w:pPr>
        <w:pStyle w:val="ListParagraph"/>
        <w:numPr>
          <w:ilvl w:val="0"/>
          <w:numId w:val="3"/>
        </w:numPr>
        <w:tabs>
          <w:tab w:val="left" w:pos="1080"/>
        </w:tabs>
        <w:ind w:left="1170" w:right="1030" w:firstLine="0"/>
        <w:contextualSpacing/>
        <w:jc w:val="both"/>
        <w:rPr>
          <w:rFonts w:eastAsia="Calibri"/>
          <w:lang w:val="en-GB"/>
        </w:rPr>
      </w:pPr>
      <w:r w:rsidRPr="00A830B8">
        <w:rPr>
          <w:rFonts w:eastAsia="Calibri"/>
          <w:lang w:val="en-GB"/>
        </w:rPr>
        <w:t xml:space="preserve"> UNDP will partner with the Ministry of Gender, the Gender Monitoring Office, the </w:t>
      </w:r>
      <w:r w:rsidR="00076424">
        <w:rPr>
          <w:rFonts w:eastAsia="Calibri"/>
          <w:lang w:val="en-GB"/>
        </w:rPr>
        <w:t xml:space="preserve">Private Sector Federation </w:t>
      </w:r>
      <w:r w:rsidRPr="00A830B8">
        <w:rPr>
          <w:rFonts w:eastAsia="Calibri"/>
          <w:lang w:val="en-GB"/>
        </w:rPr>
        <w:t>and UN</w:t>
      </w:r>
      <w:r w:rsidR="00344BE3">
        <w:rPr>
          <w:rFonts w:eastAsia="Calibri"/>
          <w:lang w:val="en-GB"/>
        </w:rPr>
        <w:t>-</w:t>
      </w:r>
      <w:r w:rsidRPr="00A830B8">
        <w:rPr>
          <w:rFonts w:eastAsia="Calibri"/>
          <w:lang w:val="en-GB"/>
        </w:rPr>
        <w:t>W</w:t>
      </w:r>
      <w:r w:rsidR="00344BE3" w:rsidRPr="00A830B8">
        <w:rPr>
          <w:rFonts w:eastAsia="Calibri"/>
          <w:lang w:val="en-GB"/>
        </w:rPr>
        <w:t>omen</w:t>
      </w:r>
      <w:r w:rsidRPr="00A830B8">
        <w:rPr>
          <w:rFonts w:eastAsia="Calibri"/>
          <w:lang w:val="en-GB"/>
        </w:rPr>
        <w:t xml:space="preserve"> to promote accountability on gender equality, building on the recently initiated gender equality seal in the private sector initiative. As a cross-unit initiative, UNDP will support a new women’s economic empowerment programme</w:t>
      </w:r>
      <w:r w:rsidR="000A70FC">
        <w:rPr>
          <w:rFonts w:eastAsia="Calibri"/>
          <w:lang w:val="en-GB"/>
        </w:rPr>
        <w:t xml:space="preserve"> and will w</w:t>
      </w:r>
      <w:r w:rsidRPr="00A830B8">
        <w:rPr>
          <w:rFonts w:eastAsia="Calibri"/>
          <w:lang w:val="en-GB"/>
        </w:rPr>
        <w:t xml:space="preserve">ork closely with CSOs and the media to enhance women’s knowledge and capacity to claim their rights. </w:t>
      </w:r>
    </w:p>
    <w:p w:rsidR="00DB61F0" w:rsidRPr="00A830B8" w:rsidRDefault="00DB61F0" w:rsidP="00C4374A">
      <w:pPr>
        <w:pStyle w:val="ListParagraph"/>
        <w:ind w:left="1170" w:right="1030"/>
        <w:jc w:val="both"/>
        <w:rPr>
          <w:rFonts w:eastAsia="Calibri"/>
          <w:lang w:val="en-GB"/>
        </w:rPr>
      </w:pPr>
    </w:p>
    <w:p w:rsidR="003A3CB7" w:rsidRDefault="003A3CB7" w:rsidP="00C4374A">
      <w:pPr>
        <w:pStyle w:val="ListParagraph"/>
        <w:numPr>
          <w:ilvl w:val="0"/>
          <w:numId w:val="5"/>
        </w:numPr>
        <w:tabs>
          <w:tab w:val="left" w:pos="400"/>
        </w:tabs>
        <w:ind w:left="1170" w:right="1030" w:hanging="630"/>
        <w:contextualSpacing/>
        <w:jc w:val="both"/>
        <w:outlineLvl w:val="0"/>
        <w:rPr>
          <w:rFonts w:eastAsia="Calibri"/>
          <w:b/>
          <w:bCs/>
          <w:sz w:val="28"/>
          <w:szCs w:val="28"/>
          <w:lang w:val="en-GB"/>
        </w:rPr>
      </w:pPr>
      <w:bookmarkStart w:id="4" w:name="_Toc506820999"/>
      <w:r w:rsidRPr="004B4D36">
        <w:rPr>
          <w:rFonts w:eastAsia="Calibri"/>
          <w:b/>
          <w:bCs/>
          <w:sz w:val="28"/>
          <w:szCs w:val="28"/>
          <w:lang w:val="en-GB"/>
        </w:rPr>
        <w:t xml:space="preserve">Programme and </w:t>
      </w:r>
      <w:r w:rsidR="00D13CB0">
        <w:rPr>
          <w:rFonts w:eastAsia="Calibri"/>
          <w:b/>
          <w:bCs/>
          <w:sz w:val="28"/>
          <w:szCs w:val="28"/>
          <w:lang w:val="en-GB"/>
        </w:rPr>
        <w:t>r</w:t>
      </w:r>
      <w:r w:rsidRPr="004B4D36">
        <w:rPr>
          <w:rFonts w:eastAsia="Calibri"/>
          <w:b/>
          <w:bCs/>
          <w:sz w:val="28"/>
          <w:szCs w:val="28"/>
          <w:lang w:val="en-GB"/>
        </w:rPr>
        <w:t xml:space="preserve">isk </w:t>
      </w:r>
      <w:r w:rsidR="00D13CB0">
        <w:rPr>
          <w:rFonts w:eastAsia="Calibri"/>
          <w:b/>
          <w:bCs/>
          <w:sz w:val="28"/>
          <w:szCs w:val="28"/>
          <w:lang w:val="en-GB"/>
        </w:rPr>
        <w:t>m</w:t>
      </w:r>
      <w:r w:rsidRPr="004B4D36">
        <w:rPr>
          <w:rFonts w:eastAsia="Calibri"/>
          <w:b/>
          <w:bCs/>
          <w:sz w:val="28"/>
          <w:szCs w:val="28"/>
          <w:lang w:val="en-GB"/>
        </w:rPr>
        <w:t>anagement</w:t>
      </w:r>
      <w:bookmarkEnd w:id="4"/>
    </w:p>
    <w:p w:rsidR="00E67F2D" w:rsidRPr="006649ED" w:rsidRDefault="00E67F2D" w:rsidP="00C4374A">
      <w:pPr>
        <w:pStyle w:val="ListParagraph"/>
        <w:tabs>
          <w:tab w:val="left" w:pos="900"/>
          <w:tab w:val="left" w:pos="990"/>
          <w:tab w:val="left" w:pos="1170"/>
        </w:tabs>
        <w:ind w:left="1170" w:right="1030"/>
        <w:contextualSpacing/>
        <w:jc w:val="both"/>
        <w:rPr>
          <w:rFonts w:eastAsia="Calibri"/>
          <w:sz w:val="16"/>
          <w:szCs w:val="16"/>
          <w:lang w:val="en-GB"/>
        </w:rPr>
      </w:pPr>
    </w:p>
    <w:p w:rsidR="00DB61F0" w:rsidRPr="00A830B8" w:rsidRDefault="006649ED" w:rsidP="00C4374A">
      <w:pPr>
        <w:pStyle w:val="ListParagraph"/>
        <w:numPr>
          <w:ilvl w:val="0"/>
          <w:numId w:val="3"/>
        </w:numPr>
        <w:tabs>
          <w:tab w:val="left" w:pos="900"/>
          <w:tab w:val="left" w:pos="990"/>
          <w:tab w:val="left" w:pos="1170"/>
        </w:tabs>
        <w:ind w:left="1170" w:right="1030" w:firstLine="0"/>
        <w:contextualSpacing/>
        <w:jc w:val="both"/>
        <w:rPr>
          <w:rFonts w:eastAsia="Calibri"/>
          <w:lang w:val="en-GB"/>
        </w:rPr>
      </w:pPr>
      <w:r>
        <w:rPr>
          <w:rFonts w:eastAsia="Calibri"/>
          <w:lang w:val="en-GB"/>
        </w:rPr>
        <w:t xml:space="preserve"> </w:t>
      </w:r>
      <w:r w:rsidR="00DB61F0" w:rsidRPr="00A830B8">
        <w:rPr>
          <w:rFonts w:eastAsia="Calibri"/>
          <w:lang w:val="en-GB"/>
        </w:rPr>
        <w:t>This document outlines the UNDP contributions to national results and serves as the primary unit of accountability to the Executive Board for results alignment and resources assigned to the programme at the country level. Accountabilities of managers at the country, regional and headquarter levels with respect to country programmes is prescribe</w:t>
      </w:r>
      <w:r w:rsidR="00DB61F0" w:rsidRPr="00A830B8">
        <w:rPr>
          <w:rFonts w:eastAsia="Calibri"/>
          <w:color w:val="000000" w:themeColor="text1"/>
          <w:lang w:val="en-GB"/>
        </w:rPr>
        <w:t xml:space="preserve">d in the organization’s </w:t>
      </w:r>
      <w:hyperlink r:id="rId18">
        <w:r w:rsidR="00DB61F0" w:rsidRPr="00A830B8">
          <w:rPr>
            <w:rStyle w:val="Hyperlink"/>
            <w:rFonts w:eastAsia="Calibri"/>
            <w:color w:val="000000" w:themeColor="text1"/>
            <w:lang w:val="en-GB"/>
          </w:rPr>
          <w:t>programme and operations policies and procedures</w:t>
        </w:r>
      </w:hyperlink>
      <w:r w:rsidR="00DB61F0" w:rsidRPr="00A830B8">
        <w:rPr>
          <w:rFonts w:eastAsia="Calibri"/>
          <w:color w:val="000000" w:themeColor="text1"/>
          <w:lang w:val="en-GB"/>
        </w:rPr>
        <w:t xml:space="preserve"> and the </w:t>
      </w:r>
      <w:hyperlink r:id="rId19">
        <w:r w:rsidR="00DB61F0" w:rsidRPr="00A830B8">
          <w:rPr>
            <w:rStyle w:val="Hyperlink"/>
            <w:rFonts w:eastAsia="Calibri"/>
            <w:color w:val="000000" w:themeColor="text1"/>
            <w:lang w:val="en-GB"/>
          </w:rPr>
          <w:t>internal controls framework</w:t>
        </w:r>
      </w:hyperlink>
      <w:r w:rsidR="00DB61F0" w:rsidRPr="00A830B8">
        <w:rPr>
          <w:rFonts w:eastAsia="Calibri"/>
          <w:lang w:val="en-GB"/>
        </w:rPr>
        <w:t>. The programme will be executed under the coordination of MINECOFIN. The One U</w:t>
      </w:r>
      <w:r w:rsidR="00344BE3">
        <w:rPr>
          <w:rFonts w:eastAsia="Calibri"/>
          <w:lang w:val="en-GB"/>
        </w:rPr>
        <w:t xml:space="preserve">nited </w:t>
      </w:r>
      <w:r w:rsidR="00DB61F0" w:rsidRPr="00A830B8">
        <w:rPr>
          <w:rFonts w:eastAsia="Calibri"/>
          <w:lang w:val="en-GB"/>
        </w:rPr>
        <w:t>N</w:t>
      </w:r>
      <w:r w:rsidR="00344BE3">
        <w:rPr>
          <w:rFonts w:eastAsia="Calibri"/>
          <w:lang w:val="en-GB"/>
        </w:rPr>
        <w:t>ations</w:t>
      </w:r>
      <w:r w:rsidR="00DB61F0" w:rsidRPr="00A830B8">
        <w:rPr>
          <w:rFonts w:eastAsia="Calibri"/>
          <w:lang w:val="en-GB"/>
        </w:rPr>
        <w:t xml:space="preserve">-Government of Rwanda Steering Committee, </w:t>
      </w:r>
      <w:r w:rsidR="00344BE3">
        <w:rPr>
          <w:rFonts w:eastAsia="Calibri"/>
          <w:lang w:val="en-GB"/>
        </w:rPr>
        <w:t>comprising</w:t>
      </w:r>
      <w:r w:rsidR="00DB61F0" w:rsidRPr="00A830B8">
        <w:rPr>
          <w:rFonts w:eastAsia="Calibri"/>
          <w:lang w:val="en-GB"/>
        </w:rPr>
        <w:t xml:space="preserve"> MINECOFIN, </w:t>
      </w:r>
      <w:r w:rsidR="00344BE3">
        <w:rPr>
          <w:rFonts w:eastAsia="Calibri"/>
          <w:lang w:val="en-GB"/>
        </w:rPr>
        <w:t>h</w:t>
      </w:r>
      <w:r w:rsidR="00344BE3" w:rsidRPr="00A830B8">
        <w:rPr>
          <w:rFonts w:eastAsia="Calibri"/>
          <w:lang w:val="en-GB"/>
        </w:rPr>
        <w:t xml:space="preserve">eads </w:t>
      </w:r>
      <w:r w:rsidR="00DB61F0" w:rsidRPr="00A830B8">
        <w:rPr>
          <w:rFonts w:eastAsia="Calibri"/>
          <w:lang w:val="en-GB"/>
        </w:rPr>
        <w:t xml:space="preserve">of </w:t>
      </w:r>
      <w:r w:rsidR="00344BE3">
        <w:rPr>
          <w:rFonts w:eastAsia="Calibri"/>
          <w:lang w:val="en-GB"/>
        </w:rPr>
        <w:t>United Nations a</w:t>
      </w:r>
      <w:r w:rsidR="00344BE3" w:rsidRPr="00A830B8">
        <w:rPr>
          <w:rFonts w:eastAsia="Calibri"/>
          <w:lang w:val="en-GB"/>
        </w:rPr>
        <w:t>gencies</w:t>
      </w:r>
      <w:r w:rsidR="00DB61F0" w:rsidRPr="00A830B8">
        <w:rPr>
          <w:rFonts w:eastAsia="Calibri"/>
          <w:lang w:val="en-GB"/>
        </w:rPr>
        <w:t xml:space="preserve"> and representatives of key partner organi</w:t>
      </w:r>
      <w:r w:rsidR="00344BE3">
        <w:rPr>
          <w:rFonts w:eastAsia="Calibri"/>
          <w:lang w:val="en-GB"/>
        </w:rPr>
        <w:t>z</w:t>
      </w:r>
      <w:r w:rsidR="00DB61F0" w:rsidRPr="00A830B8">
        <w:rPr>
          <w:rFonts w:eastAsia="Calibri"/>
          <w:lang w:val="en-GB"/>
        </w:rPr>
        <w:t xml:space="preserve">ations, will provide oversight to ensure the effectiveness of the programme. The programme will be executed nationally. Projects will use the most appropriate implementation modality to ensure an effective and efficient delivery of nationally owned, sustainable results. Direct implementation will safeguard and ensure UNDP accountability in complex programming situations. National ownership and mutual accountability for development results will be strengthened through joint annual workplans and reviews that are in alignment with national priorities. The </w:t>
      </w:r>
      <w:r w:rsidR="00344BE3">
        <w:rPr>
          <w:rFonts w:eastAsia="Calibri"/>
          <w:lang w:val="en-GB"/>
        </w:rPr>
        <w:t>h</w:t>
      </w:r>
      <w:r w:rsidR="00344BE3" w:rsidRPr="00A830B8">
        <w:rPr>
          <w:rFonts w:eastAsia="Calibri"/>
          <w:lang w:val="en-GB"/>
        </w:rPr>
        <w:t xml:space="preserve">armonized </w:t>
      </w:r>
      <w:r w:rsidR="00344BE3">
        <w:rPr>
          <w:rFonts w:eastAsia="Calibri"/>
          <w:lang w:val="en-GB"/>
        </w:rPr>
        <w:t>a</w:t>
      </w:r>
      <w:r w:rsidR="00344BE3" w:rsidRPr="00A830B8">
        <w:rPr>
          <w:rFonts w:eastAsia="Calibri"/>
          <w:lang w:val="en-GB"/>
        </w:rPr>
        <w:t xml:space="preserve">pproach </w:t>
      </w:r>
      <w:r w:rsidR="00DB61F0" w:rsidRPr="00A830B8">
        <w:rPr>
          <w:rFonts w:eastAsia="Calibri"/>
          <w:lang w:val="en-GB"/>
        </w:rPr>
        <w:t xml:space="preserve">to </w:t>
      </w:r>
      <w:r w:rsidR="00344BE3">
        <w:rPr>
          <w:rFonts w:eastAsia="Calibri"/>
          <w:lang w:val="en-GB"/>
        </w:rPr>
        <w:t>c</w:t>
      </w:r>
      <w:r w:rsidR="00344BE3" w:rsidRPr="00A830B8">
        <w:rPr>
          <w:rFonts w:eastAsia="Calibri"/>
          <w:lang w:val="en-GB"/>
        </w:rPr>
        <w:t xml:space="preserve">ash </w:t>
      </w:r>
      <w:r w:rsidR="00344BE3">
        <w:rPr>
          <w:rFonts w:eastAsia="Calibri"/>
          <w:lang w:val="en-GB"/>
        </w:rPr>
        <w:t>t</w:t>
      </w:r>
      <w:r w:rsidR="00344BE3" w:rsidRPr="00A830B8">
        <w:rPr>
          <w:rFonts w:eastAsia="Calibri"/>
          <w:lang w:val="en-GB"/>
        </w:rPr>
        <w:t>ransfer</w:t>
      </w:r>
      <w:r w:rsidR="00344BE3">
        <w:rPr>
          <w:rFonts w:eastAsia="Calibri"/>
          <w:lang w:val="en-GB"/>
        </w:rPr>
        <w:t xml:space="preserve">s </w:t>
      </w:r>
      <w:r w:rsidR="00DB61F0" w:rsidRPr="00A830B8">
        <w:rPr>
          <w:rFonts w:eastAsia="Calibri"/>
          <w:lang w:val="en-GB"/>
        </w:rPr>
        <w:t>will be used to manage financial risks.</w:t>
      </w:r>
    </w:p>
    <w:p w:rsidR="00DB61F0" w:rsidRPr="00D13CB0" w:rsidRDefault="00DB61F0" w:rsidP="00C4374A">
      <w:pPr>
        <w:pStyle w:val="ListParagraph"/>
        <w:tabs>
          <w:tab w:val="left" w:pos="900"/>
          <w:tab w:val="left" w:pos="990"/>
          <w:tab w:val="left" w:pos="1170"/>
        </w:tabs>
        <w:ind w:left="1170" w:right="1030"/>
        <w:contextualSpacing/>
        <w:jc w:val="both"/>
        <w:rPr>
          <w:rFonts w:eastAsia="Calibri"/>
          <w:sz w:val="12"/>
          <w:szCs w:val="12"/>
          <w:lang w:val="en-GB"/>
        </w:rPr>
      </w:pPr>
    </w:p>
    <w:p w:rsidR="00DB61F0" w:rsidRPr="00496A7F" w:rsidRDefault="006649ED" w:rsidP="00C4374A">
      <w:pPr>
        <w:pStyle w:val="ListParagraph"/>
        <w:numPr>
          <w:ilvl w:val="0"/>
          <w:numId w:val="3"/>
        </w:numPr>
        <w:tabs>
          <w:tab w:val="left" w:pos="900"/>
          <w:tab w:val="left" w:pos="990"/>
          <w:tab w:val="left" w:pos="1170"/>
        </w:tabs>
        <w:ind w:left="1170" w:right="1030" w:firstLine="0"/>
        <w:contextualSpacing/>
        <w:jc w:val="both"/>
        <w:rPr>
          <w:rFonts w:eastAsia="Calibri"/>
          <w:lang w:val="en-GB"/>
        </w:rPr>
      </w:pPr>
      <w:r>
        <w:rPr>
          <w:rFonts w:eastAsia="Calibri"/>
          <w:lang w:val="en-GB"/>
        </w:rPr>
        <w:t xml:space="preserve"> </w:t>
      </w:r>
      <w:r w:rsidR="00DB61F0" w:rsidRPr="00496A7F">
        <w:rPr>
          <w:rFonts w:eastAsia="Calibri"/>
          <w:lang w:val="en-GB"/>
        </w:rPr>
        <w:t xml:space="preserve">The </w:t>
      </w:r>
      <w:r w:rsidR="00344BE3">
        <w:rPr>
          <w:rFonts w:eastAsia="Calibri"/>
          <w:lang w:val="en-GB"/>
        </w:rPr>
        <w:t>c</w:t>
      </w:r>
      <w:r w:rsidR="00344BE3" w:rsidRPr="00496A7F">
        <w:rPr>
          <w:rFonts w:eastAsia="Calibri"/>
          <w:lang w:val="en-GB"/>
        </w:rPr>
        <w:t xml:space="preserve">ommon </w:t>
      </w:r>
      <w:r w:rsidR="00344BE3">
        <w:rPr>
          <w:rFonts w:eastAsia="Calibri"/>
          <w:lang w:val="en-GB"/>
        </w:rPr>
        <w:t>c</w:t>
      </w:r>
      <w:r w:rsidR="00344BE3" w:rsidRPr="00496A7F">
        <w:rPr>
          <w:rFonts w:eastAsia="Calibri"/>
          <w:lang w:val="en-GB"/>
        </w:rPr>
        <w:t xml:space="preserve">ountry </w:t>
      </w:r>
      <w:r w:rsidR="00011832">
        <w:rPr>
          <w:rFonts w:eastAsia="Calibri"/>
          <w:lang w:val="en-GB"/>
        </w:rPr>
        <w:t>a</w:t>
      </w:r>
      <w:r w:rsidR="00011832" w:rsidRPr="00496A7F">
        <w:rPr>
          <w:rFonts w:eastAsia="Calibri"/>
          <w:lang w:val="en-GB"/>
        </w:rPr>
        <w:t>nalysis highlighted</w:t>
      </w:r>
      <w:r w:rsidR="00DB61F0" w:rsidRPr="00496A7F">
        <w:rPr>
          <w:rFonts w:eastAsia="Calibri"/>
          <w:lang w:val="en-GB"/>
        </w:rPr>
        <w:t xml:space="preserve"> three major programme and office risks relating to the perceived partiality of the U</w:t>
      </w:r>
      <w:r w:rsidR="00A00ADF">
        <w:rPr>
          <w:rFonts w:eastAsia="Calibri"/>
          <w:lang w:val="en-GB"/>
        </w:rPr>
        <w:t xml:space="preserve">nited </w:t>
      </w:r>
      <w:r w:rsidR="00DB61F0" w:rsidRPr="00496A7F">
        <w:rPr>
          <w:rFonts w:eastAsia="Calibri"/>
          <w:lang w:val="en-GB"/>
        </w:rPr>
        <w:t>N</w:t>
      </w:r>
      <w:r w:rsidR="00A00ADF">
        <w:rPr>
          <w:rFonts w:eastAsia="Calibri"/>
          <w:lang w:val="en-GB"/>
        </w:rPr>
        <w:t>ations</w:t>
      </w:r>
      <w:r w:rsidR="00DB61F0" w:rsidRPr="00496A7F">
        <w:rPr>
          <w:rFonts w:eastAsia="Calibri"/>
          <w:lang w:val="en-GB"/>
        </w:rPr>
        <w:t xml:space="preserve">/UNDP, the domestic and regional security and political situation, and challenges </w:t>
      </w:r>
      <w:r w:rsidR="00A00ADF">
        <w:rPr>
          <w:rFonts w:eastAsia="Calibri"/>
          <w:lang w:val="en-GB"/>
        </w:rPr>
        <w:t xml:space="preserve">in </w:t>
      </w:r>
      <w:r w:rsidR="00A00ADF" w:rsidRPr="00496A7F">
        <w:rPr>
          <w:rFonts w:eastAsia="Calibri"/>
          <w:lang w:val="en-GB"/>
        </w:rPr>
        <w:t>mobili</w:t>
      </w:r>
      <w:r w:rsidR="00A00ADF">
        <w:rPr>
          <w:rFonts w:eastAsia="Calibri"/>
          <w:lang w:val="en-GB"/>
        </w:rPr>
        <w:t>z</w:t>
      </w:r>
      <w:r w:rsidR="00A00ADF" w:rsidRPr="00496A7F">
        <w:rPr>
          <w:rFonts w:eastAsia="Calibri"/>
          <w:lang w:val="en-GB"/>
        </w:rPr>
        <w:t xml:space="preserve">ing </w:t>
      </w:r>
      <w:r w:rsidR="00DB61F0" w:rsidRPr="00496A7F">
        <w:rPr>
          <w:rFonts w:eastAsia="Calibri"/>
          <w:lang w:val="en-GB"/>
        </w:rPr>
        <w:t>adequate financing. Concerns regarding the impartiality and neutrality of the U</w:t>
      </w:r>
      <w:r w:rsidR="00A00ADF">
        <w:rPr>
          <w:rFonts w:eastAsia="Calibri"/>
          <w:lang w:val="en-GB"/>
        </w:rPr>
        <w:t xml:space="preserve">nited </w:t>
      </w:r>
      <w:r w:rsidR="00DB61F0" w:rsidRPr="00496A7F">
        <w:rPr>
          <w:rFonts w:eastAsia="Calibri"/>
          <w:lang w:val="en-GB"/>
        </w:rPr>
        <w:t>N</w:t>
      </w:r>
      <w:r w:rsidR="00A00ADF">
        <w:rPr>
          <w:rFonts w:eastAsia="Calibri"/>
          <w:lang w:val="en-GB"/>
        </w:rPr>
        <w:t>ations</w:t>
      </w:r>
      <w:r w:rsidR="00DB61F0" w:rsidRPr="00496A7F">
        <w:rPr>
          <w:rFonts w:eastAsia="Calibri"/>
          <w:lang w:val="en-GB"/>
        </w:rPr>
        <w:t xml:space="preserve">/UNDP relate particularly to its work in sensitive areas of governance.  UNDP will use the opportunity of the new </w:t>
      </w:r>
      <w:r w:rsidR="00A00ADF">
        <w:rPr>
          <w:rFonts w:eastAsia="Calibri"/>
          <w:lang w:val="en-GB"/>
        </w:rPr>
        <w:t>c</w:t>
      </w:r>
      <w:r w:rsidR="00A00ADF" w:rsidRPr="00496A7F">
        <w:rPr>
          <w:rFonts w:eastAsia="Calibri"/>
          <w:lang w:val="en-GB"/>
        </w:rPr>
        <w:t xml:space="preserve">ountry </w:t>
      </w:r>
      <w:r w:rsidR="00A00ADF">
        <w:rPr>
          <w:rFonts w:eastAsia="Calibri"/>
          <w:lang w:val="en-GB"/>
        </w:rPr>
        <w:t>p</w:t>
      </w:r>
      <w:r w:rsidR="00A00ADF" w:rsidRPr="00496A7F">
        <w:rPr>
          <w:rFonts w:eastAsia="Calibri"/>
          <w:lang w:val="en-GB"/>
        </w:rPr>
        <w:t xml:space="preserve">rogramme </w:t>
      </w:r>
      <w:r w:rsidR="00DB61F0" w:rsidRPr="00496A7F">
        <w:rPr>
          <w:rFonts w:eastAsia="Calibri"/>
          <w:lang w:val="en-GB"/>
        </w:rPr>
        <w:t xml:space="preserve">to explore fresh engagement strategies with key development partners, promoting deeper involvement of partners in policy dialogues and project design, and greater focus on evidence-based information to influence policy discussions. With respect to the regional security situation and the risks of political crises spilling over from neighbouring countries, UNDP will continue ensuring full compliance with </w:t>
      </w:r>
      <w:r w:rsidR="00A00ADF">
        <w:rPr>
          <w:rFonts w:eastAsia="Calibri"/>
          <w:lang w:val="en-GB"/>
        </w:rPr>
        <w:t xml:space="preserve">United Nations Department of Safety and Security </w:t>
      </w:r>
      <w:r w:rsidR="00DB61F0" w:rsidRPr="00496A7F">
        <w:rPr>
          <w:rFonts w:eastAsia="Calibri"/>
          <w:lang w:val="en-GB"/>
        </w:rPr>
        <w:t xml:space="preserve">standards and corporate </w:t>
      </w:r>
      <w:r w:rsidR="00A00ADF">
        <w:rPr>
          <w:rFonts w:eastAsia="Calibri"/>
          <w:lang w:val="en-GB"/>
        </w:rPr>
        <w:t>b</w:t>
      </w:r>
      <w:r w:rsidR="00A00ADF" w:rsidRPr="00496A7F">
        <w:rPr>
          <w:rFonts w:eastAsia="Calibri"/>
          <w:lang w:val="en-GB"/>
        </w:rPr>
        <w:t xml:space="preserve">usiness </w:t>
      </w:r>
      <w:r w:rsidR="00A00ADF">
        <w:rPr>
          <w:rFonts w:eastAsia="Calibri"/>
          <w:lang w:val="en-GB"/>
        </w:rPr>
        <w:t>c</w:t>
      </w:r>
      <w:r w:rsidR="00A00ADF" w:rsidRPr="00496A7F">
        <w:rPr>
          <w:rFonts w:eastAsia="Calibri"/>
          <w:lang w:val="en-GB"/>
        </w:rPr>
        <w:t xml:space="preserve">ontinuity </w:t>
      </w:r>
      <w:r w:rsidR="00A00ADF">
        <w:rPr>
          <w:rFonts w:eastAsia="Calibri"/>
          <w:lang w:val="en-GB"/>
        </w:rPr>
        <w:t>p</w:t>
      </w:r>
      <w:r w:rsidR="00A00ADF" w:rsidRPr="00496A7F">
        <w:rPr>
          <w:rFonts w:eastAsia="Calibri"/>
          <w:lang w:val="en-GB"/>
        </w:rPr>
        <w:t xml:space="preserve">lan </w:t>
      </w:r>
      <w:r w:rsidR="00DB61F0" w:rsidRPr="00496A7F">
        <w:rPr>
          <w:rFonts w:eastAsia="Calibri"/>
          <w:lang w:val="en-GB"/>
        </w:rPr>
        <w:t xml:space="preserve">requirements, while closely monitoring the security situation through national, regional and international mechanisms and information sources. On financing, UNDP has developed a </w:t>
      </w:r>
      <w:r w:rsidR="00A00ADF">
        <w:rPr>
          <w:rFonts w:eastAsia="Calibri"/>
          <w:lang w:val="en-GB"/>
        </w:rPr>
        <w:t>r</w:t>
      </w:r>
      <w:r w:rsidR="00A00ADF" w:rsidRPr="00496A7F">
        <w:rPr>
          <w:rFonts w:eastAsia="Calibri"/>
          <w:lang w:val="en-GB"/>
        </w:rPr>
        <w:t xml:space="preserve">esource </w:t>
      </w:r>
      <w:r w:rsidR="00A00ADF">
        <w:rPr>
          <w:rFonts w:eastAsia="Calibri"/>
          <w:lang w:val="en-GB"/>
        </w:rPr>
        <w:t>m</w:t>
      </w:r>
      <w:r w:rsidR="00A00ADF" w:rsidRPr="00496A7F">
        <w:rPr>
          <w:rFonts w:eastAsia="Calibri"/>
          <w:lang w:val="en-GB"/>
        </w:rPr>
        <w:t>obili</w:t>
      </w:r>
      <w:r w:rsidR="00A00ADF">
        <w:rPr>
          <w:rFonts w:eastAsia="Calibri"/>
          <w:lang w:val="en-GB"/>
        </w:rPr>
        <w:t>z</w:t>
      </w:r>
      <w:r w:rsidR="00A00ADF" w:rsidRPr="00496A7F">
        <w:rPr>
          <w:rFonts w:eastAsia="Calibri"/>
          <w:lang w:val="en-GB"/>
        </w:rPr>
        <w:t xml:space="preserve">ation </w:t>
      </w:r>
      <w:r w:rsidR="00A00ADF">
        <w:rPr>
          <w:rFonts w:eastAsia="Calibri"/>
          <w:lang w:val="en-GB"/>
        </w:rPr>
        <w:t>p</w:t>
      </w:r>
      <w:r w:rsidR="00A00ADF" w:rsidRPr="00496A7F">
        <w:rPr>
          <w:rFonts w:eastAsia="Calibri"/>
          <w:lang w:val="en-GB"/>
        </w:rPr>
        <w:t xml:space="preserve">lan </w:t>
      </w:r>
      <w:r w:rsidR="00DB61F0" w:rsidRPr="00496A7F">
        <w:rPr>
          <w:rFonts w:eastAsia="Calibri"/>
          <w:lang w:val="en-GB"/>
        </w:rPr>
        <w:t xml:space="preserve">geared towards accessing resources from environment funds such as the </w:t>
      </w:r>
      <w:r w:rsidR="00A00ADF">
        <w:rPr>
          <w:rFonts w:eastAsia="Calibri"/>
          <w:lang w:val="en-GB"/>
        </w:rPr>
        <w:t>Green Climate Fund</w:t>
      </w:r>
      <w:r w:rsidR="00A00ADF" w:rsidRPr="00496A7F">
        <w:rPr>
          <w:rFonts w:eastAsia="Calibri"/>
          <w:lang w:val="en-GB"/>
        </w:rPr>
        <w:t xml:space="preserve"> </w:t>
      </w:r>
      <w:r w:rsidR="00DB61F0" w:rsidRPr="00496A7F">
        <w:rPr>
          <w:rFonts w:eastAsia="Calibri"/>
          <w:lang w:val="en-GB"/>
        </w:rPr>
        <w:t xml:space="preserve">and </w:t>
      </w:r>
      <w:r w:rsidR="00A00ADF">
        <w:rPr>
          <w:rFonts w:eastAsia="Calibri"/>
          <w:lang w:val="en-GB"/>
        </w:rPr>
        <w:t>Global Environment Facility</w:t>
      </w:r>
      <w:r w:rsidR="00DB61F0" w:rsidRPr="00496A7F">
        <w:rPr>
          <w:rFonts w:eastAsia="Calibri"/>
          <w:lang w:val="en-GB"/>
        </w:rPr>
        <w:t xml:space="preserve">, non-traditional donors, </w:t>
      </w:r>
      <w:r w:rsidR="006D1C99">
        <w:rPr>
          <w:rFonts w:eastAsia="Calibri"/>
          <w:lang w:val="en-GB"/>
        </w:rPr>
        <w:t>f</w:t>
      </w:r>
      <w:r w:rsidR="00DB61F0" w:rsidRPr="00496A7F">
        <w:rPr>
          <w:rFonts w:eastAsia="Calibri"/>
          <w:lang w:val="en-GB"/>
        </w:rPr>
        <w:t>oundations and the private sector to diversify and expand its financing. Operationally, a revised office financial sustainability plan will be executed and, in line with Executive Board decision 2013/9, all UNDP costs incurred in implementing development activities will be charged to the relevant projects.</w:t>
      </w:r>
    </w:p>
    <w:p w:rsidR="003A3CB7" w:rsidRPr="00A830B8" w:rsidRDefault="003A3CB7" w:rsidP="00C4374A">
      <w:pPr>
        <w:pStyle w:val="Heading1"/>
        <w:tabs>
          <w:tab w:val="left" w:pos="400"/>
        </w:tabs>
        <w:ind w:left="1170" w:right="1030"/>
        <w:jc w:val="both"/>
        <w:rPr>
          <w:rFonts w:ascii="Times New Roman" w:eastAsia="Calibri" w:hAnsi="Times New Roman"/>
          <w:sz w:val="20"/>
          <w:lang w:val="en-GB"/>
        </w:rPr>
      </w:pPr>
    </w:p>
    <w:p w:rsidR="003A3CB7" w:rsidRDefault="003A3CB7" w:rsidP="00D13CB0">
      <w:pPr>
        <w:pStyle w:val="Heading1"/>
        <w:tabs>
          <w:tab w:val="left" w:pos="400"/>
        </w:tabs>
        <w:ind w:left="1170" w:right="1030" w:hanging="540"/>
        <w:jc w:val="both"/>
        <w:rPr>
          <w:rFonts w:ascii="Times New Roman" w:eastAsia="Calibri" w:hAnsi="Times New Roman"/>
          <w:bCs/>
          <w:szCs w:val="28"/>
          <w:lang w:val="en-GB"/>
        </w:rPr>
      </w:pPr>
      <w:bookmarkStart w:id="5" w:name="_Toc506821000"/>
      <w:r w:rsidRPr="00801605">
        <w:rPr>
          <w:rFonts w:ascii="Times New Roman" w:eastAsia="Calibri" w:hAnsi="Times New Roman"/>
          <w:bCs/>
          <w:szCs w:val="28"/>
          <w:lang w:val="en-GB"/>
        </w:rPr>
        <w:t xml:space="preserve">IV. </w:t>
      </w:r>
      <w:r w:rsidR="00D13CB0">
        <w:rPr>
          <w:rFonts w:ascii="Times New Roman" w:eastAsia="Calibri" w:hAnsi="Times New Roman"/>
          <w:bCs/>
          <w:szCs w:val="28"/>
          <w:lang w:val="en-GB"/>
        </w:rPr>
        <w:tab/>
      </w:r>
      <w:r w:rsidRPr="00801605">
        <w:rPr>
          <w:rFonts w:ascii="Times New Roman" w:eastAsia="Calibri" w:hAnsi="Times New Roman"/>
          <w:bCs/>
          <w:szCs w:val="28"/>
          <w:lang w:val="en-GB"/>
        </w:rPr>
        <w:t xml:space="preserve">Monitoring and </w:t>
      </w:r>
      <w:bookmarkEnd w:id="5"/>
      <w:r w:rsidR="00A00ADF">
        <w:rPr>
          <w:rFonts w:ascii="Times New Roman" w:eastAsia="Calibri" w:hAnsi="Times New Roman"/>
          <w:bCs/>
          <w:szCs w:val="28"/>
          <w:lang w:val="en-GB"/>
        </w:rPr>
        <w:t>e</w:t>
      </w:r>
      <w:r w:rsidR="00A00ADF" w:rsidRPr="00801605">
        <w:rPr>
          <w:rFonts w:ascii="Times New Roman" w:eastAsia="Calibri" w:hAnsi="Times New Roman"/>
          <w:bCs/>
          <w:szCs w:val="28"/>
          <w:lang w:val="en-GB"/>
        </w:rPr>
        <w:t>valuation</w:t>
      </w:r>
    </w:p>
    <w:p w:rsidR="00D13CB0" w:rsidRPr="006649ED" w:rsidRDefault="00D13CB0" w:rsidP="00D13CB0">
      <w:pPr>
        <w:rPr>
          <w:rFonts w:eastAsia="Calibri"/>
          <w:sz w:val="16"/>
          <w:szCs w:val="16"/>
          <w:lang w:val="en-GB" w:eastAsia="x-none"/>
        </w:rPr>
      </w:pPr>
    </w:p>
    <w:p w:rsidR="009F4E0C" w:rsidRPr="00A830B8" w:rsidRDefault="006649ED" w:rsidP="00D13CB0">
      <w:pPr>
        <w:pStyle w:val="ListParagraph"/>
        <w:numPr>
          <w:ilvl w:val="0"/>
          <w:numId w:val="3"/>
        </w:numPr>
        <w:tabs>
          <w:tab w:val="left" w:pos="1080"/>
          <w:tab w:val="left" w:pos="1170"/>
          <w:tab w:val="left" w:pos="1260"/>
        </w:tabs>
        <w:ind w:left="1170" w:right="1030" w:firstLine="0"/>
        <w:contextualSpacing/>
        <w:jc w:val="both"/>
        <w:rPr>
          <w:rFonts w:eastAsia="Calibri"/>
          <w:lang w:val="en-GB"/>
        </w:rPr>
      </w:pPr>
      <w:r>
        <w:rPr>
          <w:rFonts w:eastAsia="Calibri"/>
          <w:lang w:val="en-GB"/>
        </w:rPr>
        <w:t xml:space="preserve"> </w:t>
      </w:r>
      <w:r w:rsidR="00A00ADF">
        <w:rPr>
          <w:rFonts w:eastAsia="Calibri"/>
          <w:lang w:val="en-GB"/>
        </w:rPr>
        <w:t>Monitoring and evaluation</w:t>
      </w:r>
      <w:r w:rsidR="009F4E0C" w:rsidRPr="00A830B8">
        <w:rPr>
          <w:rFonts w:eastAsia="Calibri"/>
          <w:lang w:val="en-GB"/>
        </w:rPr>
        <w:t xml:space="preserve"> </w:t>
      </w:r>
      <w:r w:rsidR="00A00ADF">
        <w:rPr>
          <w:rFonts w:eastAsia="Calibri"/>
          <w:lang w:val="en-GB"/>
        </w:rPr>
        <w:t xml:space="preserve">(M&amp;E) </w:t>
      </w:r>
      <w:r w:rsidR="009F4E0C" w:rsidRPr="00A830B8">
        <w:rPr>
          <w:rFonts w:eastAsia="Calibri"/>
          <w:lang w:val="en-GB"/>
        </w:rPr>
        <w:t>of the programme will be aligned with the M&amp;E framework</w:t>
      </w:r>
      <w:r w:rsidR="00A00ADF">
        <w:rPr>
          <w:rFonts w:eastAsia="Calibri"/>
          <w:lang w:val="en-GB"/>
        </w:rPr>
        <w:t>s</w:t>
      </w:r>
      <w:r w:rsidR="009F4E0C" w:rsidRPr="00A830B8">
        <w:rPr>
          <w:rFonts w:eastAsia="Calibri"/>
          <w:lang w:val="en-GB"/>
        </w:rPr>
        <w:t xml:space="preserve"> of the UNDAP and the NST. The programme will contain a clear, measurable and well-defined results framework integrating both the UNDP </w:t>
      </w:r>
      <w:r w:rsidR="00A00ADF">
        <w:rPr>
          <w:rFonts w:eastAsia="Calibri"/>
          <w:lang w:val="en-GB"/>
        </w:rPr>
        <w:t>Strategic Plan</w:t>
      </w:r>
      <w:r w:rsidR="00A00ADF" w:rsidRPr="00A830B8">
        <w:rPr>
          <w:rFonts w:eastAsia="Calibri"/>
          <w:lang w:val="en-GB"/>
        </w:rPr>
        <w:t xml:space="preserve"> </w:t>
      </w:r>
      <w:r w:rsidR="009F4E0C" w:rsidRPr="00A830B8">
        <w:rPr>
          <w:rFonts w:eastAsia="Calibri"/>
          <w:lang w:val="en-GB"/>
        </w:rPr>
        <w:t xml:space="preserve">and national government indicators. As recommended by the UNDAP and </w:t>
      </w:r>
      <w:r w:rsidR="00A00ADF">
        <w:rPr>
          <w:rFonts w:eastAsia="Calibri"/>
          <w:lang w:val="en-GB"/>
        </w:rPr>
        <w:t>country programme</w:t>
      </w:r>
      <w:r w:rsidR="00A00ADF" w:rsidRPr="00A830B8">
        <w:rPr>
          <w:rFonts w:eastAsia="Calibri"/>
          <w:lang w:val="en-GB"/>
        </w:rPr>
        <w:t xml:space="preserve"> </w:t>
      </w:r>
      <w:r w:rsidR="009F4E0C" w:rsidRPr="00A830B8">
        <w:rPr>
          <w:rFonts w:eastAsia="Calibri"/>
          <w:lang w:val="en-GB"/>
        </w:rPr>
        <w:t xml:space="preserve">evaluations, </w:t>
      </w:r>
      <w:r w:rsidR="009F4E0C" w:rsidRPr="00A830B8">
        <w:rPr>
          <w:rFonts w:eastAsia="Calibri"/>
          <w:lang w:val="en-GB"/>
        </w:rPr>
        <w:lastRenderedPageBreak/>
        <w:t>stronger emphasis will be placed on baseline data and on identifying reliable data sources and partners for data collection. At least 5 per</w:t>
      </w:r>
      <w:r w:rsidR="00A00ADF">
        <w:rPr>
          <w:rFonts w:eastAsia="Calibri"/>
          <w:lang w:val="en-GB"/>
        </w:rPr>
        <w:t xml:space="preserve"> </w:t>
      </w:r>
      <w:r w:rsidR="009F4E0C" w:rsidRPr="00A830B8">
        <w:rPr>
          <w:rFonts w:eastAsia="Calibri"/>
          <w:lang w:val="en-GB"/>
        </w:rPr>
        <w:t xml:space="preserve">cent of funds will be earmarked for M&amp;E activities, including a multi-year research agenda and tracer/impact studies in areas such as youth and women’s employment. UNDP will earmark resources to strengthen national data systems, partnering with national statistics agencies, relevant research institutes and development partners. This will include completing work initiated on improving national capacities to monitor and report on </w:t>
      </w:r>
      <w:r w:rsidR="00A00ADF">
        <w:rPr>
          <w:rFonts w:eastAsia="Calibri"/>
          <w:lang w:val="en-GB"/>
        </w:rPr>
        <w:t xml:space="preserve">the 2030 </w:t>
      </w:r>
      <w:r w:rsidR="009F4E0C" w:rsidRPr="00A830B8">
        <w:rPr>
          <w:rFonts w:eastAsia="Calibri"/>
          <w:lang w:val="en-GB"/>
        </w:rPr>
        <w:t>Agenda.</w:t>
      </w:r>
    </w:p>
    <w:p w:rsidR="009F4E0C" w:rsidRPr="0017292C" w:rsidRDefault="009F4E0C" w:rsidP="0017292C">
      <w:pPr>
        <w:pStyle w:val="ListParagraph"/>
        <w:tabs>
          <w:tab w:val="left" w:pos="1080"/>
          <w:tab w:val="left" w:pos="1170"/>
          <w:tab w:val="left" w:pos="1260"/>
          <w:tab w:val="left" w:pos="1440"/>
        </w:tabs>
        <w:ind w:left="1170" w:right="1030"/>
        <w:contextualSpacing/>
        <w:jc w:val="both"/>
        <w:rPr>
          <w:rFonts w:eastAsia="Calibri"/>
          <w:sz w:val="12"/>
          <w:szCs w:val="12"/>
          <w:lang w:val="en-GB"/>
        </w:rPr>
      </w:pPr>
    </w:p>
    <w:p w:rsidR="009F4E0C" w:rsidRPr="00A830B8" w:rsidRDefault="006649ED" w:rsidP="0017292C">
      <w:pPr>
        <w:pStyle w:val="ListParagraph"/>
        <w:numPr>
          <w:ilvl w:val="0"/>
          <w:numId w:val="3"/>
        </w:numPr>
        <w:tabs>
          <w:tab w:val="left" w:pos="1080"/>
          <w:tab w:val="left" w:pos="1170"/>
          <w:tab w:val="left" w:pos="1260"/>
          <w:tab w:val="left" w:pos="1440"/>
          <w:tab w:val="left" w:pos="9200"/>
        </w:tabs>
        <w:ind w:left="1170" w:right="1030" w:firstLine="0"/>
        <w:contextualSpacing/>
        <w:jc w:val="both"/>
        <w:rPr>
          <w:rFonts w:eastAsia="Calibri"/>
          <w:lang w:val="en-GB"/>
        </w:rPr>
      </w:pPr>
      <w:r>
        <w:rPr>
          <w:rFonts w:eastAsia="Calibri"/>
          <w:lang w:val="en-GB"/>
        </w:rPr>
        <w:t xml:space="preserve"> </w:t>
      </w:r>
      <w:r w:rsidR="009F4E0C" w:rsidRPr="00A830B8">
        <w:rPr>
          <w:rFonts w:eastAsia="Calibri"/>
          <w:lang w:val="en-GB"/>
        </w:rPr>
        <w:t xml:space="preserve">Routine monitoring of the country programme outcomes and outputs will be conducted through strengthened “Delivering as One” M&amp;E mechanisms, including the </w:t>
      </w:r>
      <w:r w:rsidR="00A00ADF">
        <w:rPr>
          <w:rFonts w:eastAsia="Calibri"/>
          <w:lang w:val="en-GB"/>
        </w:rPr>
        <w:t>d</w:t>
      </w:r>
      <w:r w:rsidR="00A00ADF" w:rsidRPr="00A830B8">
        <w:rPr>
          <w:rFonts w:eastAsia="Calibri"/>
          <w:lang w:val="en-GB"/>
        </w:rPr>
        <w:t xml:space="preserve">evelopment </w:t>
      </w:r>
      <w:r w:rsidR="00A00ADF">
        <w:rPr>
          <w:rFonts w:eastAsia="Calibri"/>
          <w:lang w:val="en-GB"/>
        </w:rPr>
        <w:t>r</w:t>
      </w:r>
      <w:r w:rsidR="00A00ADF" w:rsidRPr="00A830B8">
        <w:rPr>
          <w:rFonts w:eastAsia="Calibri"/>
          <w:lang w:val="en-GB"/>
        </w:rPr>
        <w:t xml:space="preserve">esults </w:t>
      </w:r>
      <w:r w:rsidR="00CB08E4">
        <w:rPr>
          <w:rFonts w:eastAsia="Calibri"/>
          <w:lang w:val="en-GB"/>
        </w:rPr>
        <w:t>g</w:t>
      </w:r>
      <w:r w:rsidR="00CB08E4" w:rsidRPr="00A830B8">
        <w:rPr>
          <w:rFonts w:eastAsia="Calibri"/>
          <w:lang w:val="en-GB"/>
        </w:rPr>
        <w:t>roups and</w:t>
      </w:r>
      <w:r w:rsidR="009F4E0C" w:rsidRPr="00A830B8">
        <w:rPr>
          <w:rFonts w:eastAsia="Calibri"/>
          <w:lang w:val="en-GB"/>
        </w:rPr>
        <w:t xml:space="preserve"> the United Nations </w:t>
      </w:r>
      <w:r w:rsidR="00A00ADF">
        <w:rPr>
          <w:rFonts w:eastAsia="Calibri"/>
          <w:lang w:val="en-GB"/>
        </w:rPr>
        <w:t>i</w:t>
      </w:r>
      <w:r w:rsidR="00A00ADF" w:rsidRPr="00A830B8">
        <w:rPr>
          <w:rFonts w:eastAsia="Calibri"/>
          <w:lang w:val="en-GB"/>
        </w:rPr>
        <w:t>nter</w:t>
      </w:r>
      <w:r w:rsidR="009F4E0C" w:rsidRPr="00A830B8">
        <w:rPr>
          <w:rFonts w:eastAsia="Calibri"/>
          <w:lang w:val="en-GB"/>
        </w:rPr>
        <w:t>-</w:t>
      </w:r>
      <w:r w:rsidR="00A00ADF">
        <w:rPr>
          <w:rFonts w:eastAsia="Calibri"/>
          <w:lang w:val="en-GB"/>
        </w:rPr>
        <w:t>a</w:t>
      </w:r>
      <w:r w:rsidR="00A00ADF" w:rsidRPr="00A830B8">
        <w:rPr>
          <w:rFonts w:eastAsia="Calibri"/>
          <w:lang w:val="en-GB"/>
        </w:rPr>
        <w:t xml:space="preserve">gency </w:t>
      </w:r>
      <w:r w:rsidR="009F4E0C" w:rsidRPr="00A830B8">
        <w:rPr>
          <w:rFonts w:eastAsia="Calibri"/>
          <w:lang w:val="en-GB"/>
        </w:rPr>
        <w:t xml:space="preserve">M&amp;E </w:t>
      </w:r>
      <w:r w:rsidR="00A00ADF">
        <w:rPr>
          <w:rFonts w:eastAsia="Calibri"/>
          <w:lang w:val="en-GB"/>
        </w:rPr>
        <w:t>g</w:t>
      </w:r>
      <w:r w:rsidR="00A00ADF" w:rsidRPr="00A830B8">
        <w:rPr>
          <w:rFonts w:eastAsia="Calibri"/>
          <w:lang w:val="en-GB"/>
        </w:rPr>
        <w:t>roup</w:t>
      </w:r>
      <w:r w:rsidR="009F4E0C" w:rsidRPr="00A830B8">
        <w:rPr>
          <w:rFonts w:eastAsia="Calibri"/>
          <w:lang w:val="en-GB"/>
        </w:rPr>
        <w:t xml:space="preserve">. </w:t>
      </w:r>
      <w:r w:rsidR="002A326C">
        <w:rPr>
          <w:rFonts w:eastAsia="Calibri"/>
          <w:lang w:val="en-GB"/>
        </w:rPr>
        <w:t>R</w:t>
      </w:r>
      <w:r w:rsidR="009F4E0C" w:rsidRPr="00A830B8">
        <w:rPr>
          <w:rFonts w:eastAsia="Calibri"/>
          <w:lang w:val="en-GB"/>
        </w:rPr>
        <w:t xml:space="preserve">egular reviews of </w:t>
      </w:r>
      <w:r w:rsidR="002A326C">
        <w:rPr>
          <w:rFonts w:eastAsia="Calibri"/>
          <w:lang w:val="en-GB"/>
        </w:rPr>
        <w:t xml:space="preserve">UNDP </w:t>
      </w:r>
      <w:r w:rsidR="009F4E0C" w:rsidRPr="00A830B8">
        <w:rPr>
          <w:rFonts w:eastAsia="Calibri"/>
          <w:lang w:val="en-GB"/>
        </w:rPr>
        <w:t xml:space="preserve">contributions to national results </w:t>
      </w:r>
      <w:r w:rsidR="002A326C">
        <w:rPr>
          <w:rFonts w:eastAsia="Calibri"/>
          <w:lang w:val="en-GB"/>
        </w:rPr>
        <w:t xml:space="preserve">will inform </w:t>
      </w:r>
      <w:r w:rsidR="009F4E0C" w:rsidRPr="00A830B8">
        <w:rPr>
          <w:rFonts w:eastAsia="Calibri"/>
          <w:lang w:val="en-GB"/>
        </w:rPr>
        <w:t>adjustments to the country programme</w:t>
      </w:r>
      <w:r w:rsidR="002A326C">
        <w:rPr>
          <w:rFonts w:eastAsia="Calibri"/>
          <w:lang w:val="en-GB"/>
        </w:rPr>
        <w:t>.</w:t>
      </w:r>
      <w:r w:rsidR="009F4E0C" w:rsidRPr="00A830B8">
        <w:rPr>
          <w:rFonts w:eastAsia="Calibri"/>
          <w:lang w:val="en-GB"/>
        </w:rPr>
        <w:t xml:space="preserve"> UNDP will participate actively with other stakeholders</w:t>
      </w:r>
      <w:r w:rsidR="00A00ADF">
        <w:rPr>
          <w:rFonts w:eastAsia="Calibri"/>
          <w:lang w:val="en-GB"/>
        </w:rPr>
        <w:t xml:space="preserve"> </w:t>
      </w:r>
      <w:r w:rsidR="00A00ADF" w:rsidRPr="00A830B8">
        <w:rPr>
          <w:rFonts w:eastAsia="Calibri"/>
          <w:lang w:val="en-GB"/>
        </w:rPr>
        <w:t>in the joint annual reviews of the UNDAP</w:t>
      </w:r>
      <w:r w:rsidR="009F4E0C" w:rsidRPr="00A830B8">
        <w:rPr>
          <w:rFonts w:eastAsia="Calibri"/>
          <w:lang w:val="en-GB"/>
        </w:rPr>
        <w:t>.</w:t>
      </w:r>
    </w:p>
    <w:p w:rsidR="0068483F" w:rsidRPr="0017292C" w:rsidRDefault="0068483F" w:rsidP="0017292C">
      <w:pPr>
        <w:pStyle w:val="ListParagraph"/>
        <w:tabs>
          <w:tab w:val="left" w:pos="1080"/>
          <w:tab w:val="left" w:pos="1170"/>
          <w:tab w:val="left" w:pos="1260"/>
          <w:tab w:val="left" w:pos="1440"/>
          <w:tab w:val="left" w:pos="9200"/>
        </w:tabs>
        <w:ind w:left="1170" w:right="1030"/>
        <w:contextualSpacing/>
        <w:jc w:val="both"/>
        <w:rPr>
          <w:rFonts w:eastAsia="Calibri"/>
          <w:sz w:val="12"/>
          <w:szCs w:val="12"/>
          <w:lang w:val="en-GB"/>
        </w:rPr>
      </w:pPr>
    </w:p>
    <w:p w:rsidR="009F4E0C" w:rsidRPr="00A830B8" w:rsidRDefault="006649ED" w:rsidP="0017292C">
      <w:pPr>
        <w:pStyle w:val="ListParagraph"/>
        <w:numPr>
          <w:ilvl w:val="0"/>
          <w:numId w:val="3"/>
        </w:numPr>
        <w:tabs>
          <w:tab w:val="left" w:pos="1080"/>
          <w:tab w:val="left" w:pos="1170"/>
          <w:tab w:val="left" w:pos="1260"/>
          <w:tab w:val="left" w:pos="1440"/>
          <w:tab w:val="left" w:pos="9200"/>
        </w:tabs>
        <w:ind w:left="1170" w:right="1030" w:firstLine="0"/>
        <w:contextualSpacing/>
        <w:jc w:val="both"/>
        <w:rPr>
          <w:rFonts w:eastAsia="Calibri"/>
          <w:lang w:val="en-GB"/>
        </w:rPr>
      </w:pPr>
      <w:r>
        <w:rPr>
          <w:rFonts w:eastAsia="Calibri"/>
          <w:lang w:val="en-GB"/>
        </w:rPr>
        <w:t xml:space="preserve"> </w:t>
      </w:r>
      <w:r w:rsidR="009F4E0C" w:rsidRPr="00A830B8">
        <w:rPr>
          <w:rFonts w:eastAsia="Calibri"/>
          <w:lang w:val="en-GB"/>
        </w:rPr>
        <w:t>UNDP will formulate strategies to specifically target the most vulnerable groups through all programmes,</w:t>
      </w:r>
      <w:r>
        <w:rPr>
          <w:rFonts w:eastAsia="Calibri"/>
          <w:lang w:val="en-GB"/>
        </w:rPr>
        <w:t xml:space="preserve"> </w:t>
      </w:r>
      <w:r w:rsidR="009F4E0C" w:rsidRPr="00A830B8">
        <w:rPr>
          <w:rFonts w:eastAsia="Calibri"/>
          <w:lang w:val="en-GB"/>
        </w:rPr>
        <w:t xml:space="preserve">and ensure that the principle of </w:t>
      </w:r>
      <w:r w:rsidR="00A00ADF">
        <w:rPr>
          <w:rFonts w:eastAsia="Calibri"/>
          <w:lang w:val="en-GB"/>
        </w:rPr>
        <w:t>“</w:t>
      </w:r>
      <w:r w:rsidR="00A00ADF" w:rsidRPr="00A830B8">
        <w:rPr>
          <w:rFonts w:eastAsia="Calibri"/>
          <w:lang w:val="en-GB"/>
        </w:rPr>
        <w:t>leav</w:t>
      </w:r>
      <w:r w:rsidR="00A00ADF">
        <w:rPr>
          <w:rFonts w:eastAsia="Calibri"/>
          <w:lang w:val="en-GB"/>
        </w:rPr>
        <w:t>e</w:t>
      </w:r>
      <w:r w:rsidR="00A00ADF" w:rsidRPr="00A830B8">
        <w:rPr>
          <w:rFonts w:eastAsia="Calibri"/>
          <w:lang w:val="en-GB"/>
        </w:rPr>
        <w:t xml:space="preserve"> </w:t>
      </w:r>
      <w:r w:rsidR="009F4E0C" w:rsidRPr="00A830B8">
        <w:rPr>
          <w:rFonts w:eastAsia="Calibri"/>
          <w:lang w:val="en-GB"/>
        </w:rPr>
        <w:t>no one behind</w:t>
      </w:r>
      <w:r w:rsidR="00A00ADF">
        <w:rPr>
          <w:rFonts w:eastAsia="Calibri"/>
          <w:lang w:val="en-GB"/>
        </w:rPr>
        <w:t>”</w:t>
      </w:r>
      <w:r w:rsidR="009F4E0C" w:rsidRPr="00A830B8">
        <w:rPr>
          <w:rFonts w:eastAsia="Calibri"/>
          <w:lang w:val="en-GB"/>
        </w:rPr>
        <w:t xml:space="preserve"> is upheld. </w:t>
      </w:r>
      <w:r w:rsidR="00B13F92">
        <w:rPr>
          <w:rFonts w:eastAsia="Calibri"/>
          <w:lang w:val="en-GB"/>
        </w:rPr>
        <w:t>D</w:t>
      </w:r>
      <w:r w:rsidR="009F4E0C" w:rsidRPr="00A830B8">
        <w:rPr>
          <w:rFonts w:eastAsia="Calibri"/>
          <w:lang w:val="en-GB"/>
        </w:rPr>
        <w:t>isaggregated data will be systematically collected and used with qualitative data/surveys to enrich the evidence and analysis underpinning programmes, and to fill current data gaps that hamper effective targeting of marginalised population</w:t>
      </w:r>
      <w:r w:rsidR="00C33AC8">
        <w:rPr>
          <w:rFonts w:eastAsia="Calibri"/>
          <w:lang w:val="en-GB"/>
        </w:rPr>
        <w:t>s</w:t>
      </w:r>
      <w:r w:rsidR="009F4E0C" w:rsidRPr="00A830B8">
        <w:rPr>
          <w:rFonts w:eastAsia="Calibri"/>
          <w:lang w:val="en-GB"/>
        </w:rPr>
        <w:t xml:space="preserve">. The UNDP </w:t>
      </w:r>
      <w:r w:rsidR="00A00ADF">
        <w:rPr>
          <w:rFonts w:eastAsia="Calibri"/>
          <w:lang w:val="en-GB"/>
        </w:rPr>
        <w:t>g</w:t>
      </w:r>
      <w:r w:rsidR="009F4E0C" w:rsidRPr="00A830B8">
        <w:rPr>
          <w:rFonts w:eastAsia="Calibri"/>
          <w:lang w:val="en-GB"/>
        </w:rPr>
        <w:t xml:space="preserve">ender </w:t>
      </w:r>
      <w:r w:rsidR="00A00ADF">
        <w:rPr>
          <w:rFonts w:eastAsia="Calibri"/>
          <w:lang w:val="en-GB"/>
        </w:rPr>
        <w:t>m</w:t>
      </w:r>
      <w:r w:rsidR="00A00ADF" w:rsidRPr="00A830B8">
        <w:rPr>
          <w:rFonts w:eastAsia="Calibri"/>
          <w:lang w:val="en-GB"/>
        </w:rPr>
        <w:t>arker</w:t>
      </w:r>
      <w:r w:rsidR="009F4E0C" w:rsidRPr="00A830B8">
        <w:rPr>
          <w:rFonts w:eastAsia="Calibri"/>
          <w:lang w:val="en-GB"/>
        </w:rPr>
        <w:t xml:space="preserve">, together with a more robust UNDAP gender monitoring framework, will help promote and monitor investments in tangible gender results.  </w:t>
      </w:r>
    </w:p>
    <w:p w:rsidR="0068483F" w:rsidRPr="0017292C" w:rsidRDefault="0068483F" w:rsidP="0017292C">
      <w:pPr>
        <w:pStyle w:val="ListParagraph"/>
        <w:tabs>
          <w:tab w:val="left" w:pos="1080"/>
          <w:tab w:val="left" w:pos="1170"/>
          <w:tab w:val="left" w:pos="1260"/>
          <w:tab w:val="left" w:pos="1440"/>
          <w:tab w:val="left" w:pos="9200"/>
        </w:tabs>
        <w:ind w:left="1170" w:right="1030"/>
        <w:contextualSpacing/>
        <w:jc w:val="both"/>
        <w:rPr>
          <w:rFonts w:eastAsia="Calibri"/>
          <w:sz w:val="12"/>
          <w:szCs w:val="12"/>
          <w:lang w:val="en-GB"/>
        </w:rPr>
      </w:pPr>
    </w:p>
    <w:p w:rsidR="003A3CB7" w:rsidRPr="00A830B8" w:rsidRDefault="006649ED" w:rsidP="00011832">
      <w:pPr>
        <w:pStyle w:val="ListParagraph"/>
        <w:numPr>
          <w:ilvl w:val="0"/>
          <w:numId w:val="3"/>
        </w:numPr>
        <w:tabs>
          <w:tab w:val="left" w:pos="1080"/>
          <w:tab w:val="left" w:pos="1170"/>
          <w:tab w:val="left" w:pos="1260"/>
          <w:tab w:val="left" w:pos="1440"/>
          <w:tab w:val="left" w:pos="9200"/>
        </w:tabs>
        <w:ind w:left="1170" w:right="1210" w:firstLine="0"/>
        <w:contextualSpacing/>
        <w:jc w:val="both"/>
      </w:pPr>
      <w:r>
        <w:rPr>
          <w:rFonts w:eastAsia="Calibri"/>
          <w:lang w:val="en-GB"/>
        </w:rPr>
        <w:t xml:space="preserve"> </w:t>
      </w:r>
      <w:r w:rsidR="009F4E0C" w:rsidRPr="00076424">
        <w:rPr>
          <w:rFonts w:eastAsia="Calibri"/>
          <w:lang w:val="en-GB"/>
        </w:rPr>
        <w:t xml:space="preserve">UNDP will continue to </w:t>
      </w:r>
      <w:r w:rsidR="00A00ADF" w:rsidRPr="00076424">
        <w:rPr>
          <w:rFonts w:eastAsia="Calibri"/>
          <w:lang w:val="en-GB"/>
        </w:rPr>
        <w:t xml:space="preserve">synergize </w:t>
      </w:r>
      <w:r w:rsidR="009F4E0C" w:rsidRPr="00076424">
        <w:rPr>
          <w:rFonts w:eastAsia="Calibri"/>
          <w:lang w:val="en-GB"/>
        </w:rPr>
        <w:t>its communications, resource mobili</w:t>
      </w:r>
      <w:r w:rsidR="00A00ADF" w:rsidRPr="00076424">
        <w:rPr>
          <w:rFonts w:eastAsia="Calibri"/>
          <w:lang w:val="en-GB"/>
        </w:rPr>
        <w:t>z</w:t>
      </w:r>
      <w:r w:rsidR="009F4E0C" w:rsidRPr="00076424">
        <w:rPr>
          <w:rFonts w:eastAsia="Calibri"/>
          <w:lang w:val="en-GB"/>
        </w:rPr>
        <w:t>ation, and M&amp;E activities to gather and use better information, tell better stories and build stronger partnerships.</w:t>
      </w:r>
    </w:p>
    <w:p w:rsidR="009F4E0C" w:rsidRPr="00A830B8" w:rsidRDefault="009F4E0C" w:rsidP="00A52112">
      <w:pPr>
        <w:ind w:right="1210"/>
        <w:jc w:val="both"/>
      </w:pPr>
    </w:p>
    <w:p w:rsidR="009F4E0C" w:rsidRPr="00A830B8" w:rsidRDefault="009F4E0C" w:rsidP="00A52112">
      <w:pPr>
        <w:ind w:right="1210"/>
        <w:jc w:val="both"/>
      </w:pPr>
    </w:p>
    <w:p w:rsidR="009F4E0C" w:rsidRPr="00A830B8" w:rsidRDefault="009F4E0C" w:rsidP="00A52112">
      <w:pPr>
        <w:ind w:right="1210"/>
        <w:jc w:val="both"/>
        <w:sectPr w:rsidR="009F4E0C" w:rsidRPr="00A830B8" w:rsidSect="00F77B5C">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numStart w:val="7"/>
          </w:endnotePr>
          <w:type w:val="nextColumn"/>
          <w:pgSz w:w="12240" w:h="15840" w:code="1"/>
          <w:pgMar w:top="1166" w:right="1195" w:bottom="1440" w:left="1195" w:header="576" w:footer="1037" w:gutter="0"/>
          <w:cols w:space="720"/>
          <w:noEndnote/>
          <w:titlePg/>
          <w:docGrid w:linePitch="272"/>
        </w:sectPr>
      </w:pPr>
    </w:p>
    <w:p w:rsidR="003A3CB7" w:rsidRPr="00A830B8" w:rsidRDefault="003A3CB7" w:rsidP="00A52112">
      <w:pPr>
        <w:ind w:hanging="540"/>
        <w:jc w:val="both"/>
        <w:rPr>
          <w:b/>
          <w:bCs/>
        </w:rPr>
      </w:pPr>
    </w:p>
    <w:p w:rsidR="003A3CB7" w:rsidRPr="0017292C" w:rsidRDefault="003A3CB7" w:rsidP="00A52112">
      <w:pPr>
        <w:pStyle w:val="Heading1"/>
        <w:jc w:val="both"/>
        <w:rPr>
          <w:rFonts w:ascii="Times New Roman" w:hAnsi="Times New Roman"/>
          <w:bCs/>
          <w:sz w:val="24"/>
          <w:szCs w:val="24"/>
          <w:lang w:val="en-US"/>
        </w:rPr>
      </w:pPr>
      <w:bookmarkStart w:id="6" w:name="_Toc506821001"/>
      <w:r w:rsidRPr="0017292C">
        <w:rPr>
          <w:rFonts w:ascii="Times New Roman" w:hAnsi="Times New Roman"/>
          <w:bCs/>
          <w:sz w:val="24"/>
          <w:szCs w:val="24"/>
        </w:rPr>
        <w:t>Annex</w:t>
      </w:r>
      <w:r w:rsidR="0017292C" w:rsidRPr="0017292C">
        <w:rPr>
          <w:rFonts w:ascii="Times New Roman" w:hAnsi="Times New Roman"/>
          <w:bCs/>
          <w:sz w:val="24"/>
          <w:szCs w:val="24"/>
          <w:lang w:val="en-US"/>
        </w:rPr>
        <w:t>.</w:t>
      </w:r>
      <w:r w:rsidRPr="0017292C">
        <w:rPr>
          <w:rFonts w:ascii="Times New Roman" w:hAnsi="Times New Roman"/>
          <w:bCs/>
          <w:sz w:val="24"/>
          <w:szCs w:val="24"/>
        </w:rPr>
        <w:t xml:space="preserve"> Results and </w:t>
      </w:r>
      <w:r w:rsidR="0017292C" w:rsidRPr="0017292C">
        <w:rPr>
          <w:rFonts w:ascii="Times New Roman" w:hAnsi="Times New Roman"/>
          <w:bCs/>
          <w:sz w:val="24"/>
          <w:szCs w:val="24"/>
          <w:lang w:val="en-US"/>
        </w:rPr>
        <w:t>r</w:t>
      </w:r>
      <w:r w:rsidRPr="0017292C">
        <w:rPr>
          <w:rFonts w:ascii="Times New Roman" w:hAnsi="Times New Roman"/>
          <w:bCs/>
          <w:sz w:val="24"/>
          <w:szCs w:val="24"/>
        </w:rPr>
        <w:t xml:space="preserve">esources </w:t>
      </w:r>
      <w:r w:rsidR="0017292C" w:rsidRPr="0017292C">
        <w:rPr>
          <w:rFonts w:ascii="Times New Roman" w:hAnsi="Times New Roman"/>
          <w:bCs/>
          <w:sz w:val="24"/>
          <w:szCs w:val="24"/>
          <w:lang w:val="en-US"/>
        </w:rPr>
        <w:t>f</w:t>
      </w:r>
      <w:r w:rsidRPr="0017292C">
        <w:rPr>
          <w:rFonts w:ascii="Times New Roman" w:hAnsi="Times New Roman"/>
          <w:bCs/>
          <w:sz w:val="24"/>
          <w:szCs w:val="24"/>
        </w:rPr>
        <w:t xml:space="preserve">ramework </w:t>
      </w:r>
      <w:r w:rsidR="0017292C" w:rsidRPr="0017292C">
        <w:rPr>
          <w:rFonts w:ascii="Times New Roman" w:hAnsi="Times New Roman"/>
          <w:bCs/>
          <w:sz w:val="24"/>
          <w:szCs w:val="24"/>
          <w:lang w:val="en-US"/>
        </w:rPr>
        <w:t xml:space="preserve">for Rwanda </w:t>
      </w:r>
      <w:r w:rsidR="005455AF" w:rsidRPr="0017292C">
        <w:rPr>
          <w:rFonts w:ascii="Times New Roman" w:hAnsi="Times New Roman"/>
          <w:bCs/>
          <w:sz w:val="24"/>
          <w:szCs w:val="24"/>
          <w:lang w:val="en-US"/>
        </w:rPr>
        <w:t>(2018-2023)</w:t>
      </w:r>
      <w:bookmarkEnd w:id="6"/>
    </w:p>
    <w:tbl>
      <w:tblPr>
        <w:tblpPr w:vertAnchor="text" w:horzAnchor="margin" w:tblpX="-486" w:tblpY="163"/>
        <w:tblOverlap w:val="never"/>
        <w:tblW w:w="14395" w:type="dxa"/>
        <w:tblCellMar>
          <w:top w:w="80" w:type="dxa"/>
          <w:left w:w="2" w:type="dxa"/>
          <w:right w:w="3" w:type="dxa"/>
        </w:tblCellMar>
        <w:tblLook w:val="04A0" w:firstRow="1" w:lastRow="0" w:firstColumn="1" w:lastColumn="0" w:noHBand="0" w:noVBand="1"/>
      </w:tblPr>
      <w:tblGrid>
        <w:gridCol w:w="2250"/>
        <w:gridCol w:w="2445"/>
        <w:gridCol w:w="6420"/>
        <w:gridCol w:w="1560"/>
        <w:gridCol w:w="1720"/>
      </w:tblGrid>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B75" w:rsidRPr="0017292C" w:rsidRDefault="00D85B75" w:rsidP="00A52112">
            <w:pPr>
              <w:jc w:val="both"/>
              <w:rPr>
                <w:sz w:val="18"/>
                <w:szCs w:val="18"/>
              </w:rPr>
            </w:pPr>
            <w:r w:rsidRPr="0017292C">
              <w:rPr>
                <w:b/>
                <w:bCs/>
                <w:sz w:val="18"/>
                <w:szCs w:val="18"/>
              </w:rPr>
              <w:t xml:space="preserve">National priority: </w:t>
            </w:r>
            <w:r w:rsidRPr="0017292C">
              <w:rPr>
                <w:sz w:val="18"/>
                <w:szCs w:val="18"/>
              </w:rPr>
              <w:t xml:space="preserve"> Accelerate inclusive economic growth and development founded on the </w:t>
            </w:r>
            <w:r w:rsidR="005576A5">
              <w:rPr>
                <w:sz w:val="18"/>
                <w:szCs w:val="18"/>
              </w:rPr>
              <w:t>p</w:t>
            </w:r>
            <w:r w:rsidR="005576A5" w:rsidRPr="0017292C">
              <w:rPr>
                <w:sz w:val="18"/>
                <w:szCs w:val="18"/>
              </w:rPr>
              <w:t xml:space="preserve">rivate </w:t>
            </w:r>
            <w:r w:rsidR="005576A5">
              <w:rPr>
                <w:sz w:val="18"/>
                <w:szCs w:val="18"/>
              </w:rPr>
              <w:t>s</w:t>
            </w:r>
            <w:r w:rsidR="005576A5" w:rsidRPr="0017292C">
              <w:rPr>
                <w:sz w:val="18"/>
                <w:szCs w:val="18"/>
              </w:rPr>
              <w:t>ector</w:t>
            </w:r>
            <w:r w:rsidRPr="0017292C">
              <w:rPr>
                <w:sz w:val="18"/>
                <w:szCs w:val="18"/>
              </w:rPr>
              <w:t xml:space="preserve">, </w:t>
            </w:r>
            <w:r w:rsidR="005576A5">
              <w:rPr>
                <w:sz w:val="18"/>
                <w:szCs w:val="18"/>
              </w:rPr>
              <w:t>k</w:t>
            </w:r>
            <w:r w:rsidR="005576A5" w:rsidRPr="0017292C">
              <w:rPr>
                <w:sz w:val="18"/>
                <w:szCs w:val="18"/>
              </w:rPr>
              <w:t xml:space="preserve">nowledge </w:t>
            </w:r>
            <w:r w:rsidRPr="0017292C">
              <w:rPr>
                <w:sz w:val="18"/>
                <w:szCs w:val="18"/>
              </w:rPr>
              <w:t xml:space="preserve">and Rwanda’s </w:t>
            </w:r>
            <w:r w:rsidR="005576A5">
              <w:rPr>
                <w:sz w:val="18"/>
                <w:szCs w:val="18"/>
              </w:rPr>
              <w:t>n</w:t>
            </w:r>
            <w:r w:rsidR="005576A5" w:rsidRPr="0017292C">
              <w:rPr>
                <w:sz w:val="18"/>
                <w:szCs w:val="18"/>
              </w:rPr>
              <w:t xml:space="preserve">atural </w:t>
            </w:r>
            <w:r w:rsidR="005576A5">
              <w:rPr>
                <w:sz w:val="18"/>
                <w:szCs w:val="18"/>
              </w:rPr>
              <w:t>r</w:t>
            </w:r>
            <w:r w:rsidR="005576A5" w:rsidRPr="0017292C">
              <w:rPr>
                <w:sz w:val="18"/>
                <w:szCs w:val="18"/>
              </w:rPr>
              <w:t>esources</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B75" w:rsidRPr="0017292C" w:rsidRDefault="00D85B75" w:rsidP="00A52112">
            <w:pPr>
              <w:rPr>
                <w:sz w:val="18"/>
                <w:szCs w:val="18"/>
              </w:rPr>
            </w:pPr>
            <w:r w:rsidRPr="0017292C">
              <w:rPr>
                <w:b/>
                <w:bCs/>
                <w:sz w:val="18"/>
                <w:szCs w:val="18"/>
              </w:rPr>
              <w:t xml:space="preserve">UNDAP outcome 3: </w:t>
            </w:r>
            <w:r w:rsidRPr="0017292C">
              <w:rPr>
                <w:sz w:val="18"/>
                <w:szCs w:val="18"/>
              </w:rPr>
              <w:t xml:space="preserve"> By 2023 people in Rwanda benefit from more inclusive, competitive and sustainable economic growth that generates decent work and promotes quality livelihoods for all</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B75" w:rsidRPr="0017292C" w:rsidRDefault="00D85B75" w:rsidP="00A52112">
            <w:pPr>
              <w:spacing w:after="3"/>
              <w:jc w:val="both"/>
              <w:rPr>
                <w:rFonts w:eastAsia="Calibri"/>
                <w:sz w:val="18"/>
                <w:szCs w:val="18"/>
              </w:rPr>
            </w:pPr>
            <w:r w:rsidRPr="0017292C">
              <w:rPr>
                <w:b/>
                <w:bCs/>
                <w:sz w:val="18"/>
                <w:szCs w:val="18"/>
              </w:rPr>
              <w:t>UNDP S</w:t>
            </w:r>
            <w:r w:rsidR="00A00ADF">
              <w:rPr>
                <w:b/>
                <w:bCs/>
                <w:sz w:val="18"/>
                <w:szCs w:val="18"/>
              </w:rPr>
              <w:t xml:space="preserve">trategic </w:t>
            </w:r>
            <w:r w:rsidRPr="0017292C">
              <w:rPr>
                <w:b/>
                <w:bCs/>
                <w:sz w:val="18"/>
                <w:szCs w:val="18"/>
              </w:rPr>
              <w:t>P</w:t>
            </w:r>
            <w:r w:rsidR="001704E7">
              <w:rPr>
                <w:b/>
                <w:bCs/>
                <w:sz w:val="18"/>
                <w:szCs w:val="18"/>
              </w:rPr>
              <w:t>lan</w:t>
            </w:r>
            <w:r w:rsidRPr="0017292C">
              <w:rPr>
                <w:b/>
                <w:bCs/>
                <w:sz w:val="18"/>
                <w:szCs w:val="18"/>
              </w:rPr>
              <w:t xml:space="preserve"> outcome 1: </w:t>
            </w:r>
            <w:r w:rsidRPr="0017292C">
              <w:rPr>
                <w:sz w:val="18"/>
                <w:szCs w:val="18"/>
              </w:rPr>
              <w:t>Eradicate</w:t>
            </w:r>
            <w:r w:rsidRPr="0017292C">
              <w:rPr>
                <w:rFonts w:eastAsia="Calibri"/>
                <w:sz w:val="18"/>
                <w:szCs w:val="18"/>
              </w:rPr>
              <w:t xml:space="preserve"> poverty in all its forms and dimensions</w:t>
            </w:r>
          </w:p>
        </w:tc>
      </w:tr>
      <w:tr w:rsidR="00D85B75" w:rsidRPr="0017292C" w:rsidTr="009F1994">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5B75" w:rsidRPr="00AE73BD" w:rsidRDefault="00D85B75" w:rsidP="00427734">
            <w:pPr>
              <w:ind w:left="29"/>
              <w:jc w:val="center"/>
              <w:rPr>
                <w:b/>
                <w:bCs/>
                <w:sz w:val="18"/>
                <w:szCs w:val="18"/>
              </w:rPr>
            </w:pPr>
            <w:r w:rsidRPr="00AE73BD">
              <w:rPr>
                <w:b/>
                <w:bCs/>
                <w:sz w:val="18"/>
                <w:szCs w:val="18"/>
              </w:rPr>
              <w:t>UNDAP outcome indicators, baselines, and targets</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5B75" w:rsidRPr="00AE73BD" w:rsidRDefault="00D85B75" w:rsidP="00427734">
            <w:pPr>
              <w:jc w:val="center"/>
              <w:rPr>
                <w:sz w:val="18"/>
                <w:szCs w:val="18"/>
              </w:rPr>
            </w:pPr>
            <w:r w:rsidRPr="00AE73BD">
              <w:rPr>
                <w:b/>
                <w:bCs/>
                <w:sz w:val="18"/>
                <w:szCs w:val="18"/>
              </w:rPr>
              <w:t>Data source, frequency of data collection, and responsibilities</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5B75" w:rsidRPr="00AE73BD" w:rsidRDefault="00D85B75" w:rsidP="00427734">
            <w:pPr>
              <w:ind w:left="427" w:right="349"/>
              <w:jc w:val="center"/>
              <w:rPr>
                <w:sz w:val="18"/>
                <w:szCs w:val="18"/>
              </w:rPr>
            </w:pPr>
            <w:r w:rsidRPr="00AE73BD">
              <w:rPr>
                <w:b/>
                <w:bCs/>
                <w:sz w:val="18"/>
                <w:szCs w:val="18"/>
              </w:rPr>
              <w:t>Indicative country programme outputs</w:t>
            </w:r>
            <w:r w:rsidRPr="00AE73BD">
              <w:rPr>
                <w:rStyle w:val="FootnoteReference"/>
                <w:bCs/>
                <w:sz w:val="18"/>
                <w:szCs w:val="18"/>
              </w:rPr>
              <w:footnoteReference w:id="33"/>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5B75" w:rsidRPr="00AE73BD" w:rsidRDefault="00D85B75" w:rsidP="00427734">
            <w:pPr>
              <w:ind w:left="34"/>
              <w:jc w:val="center"/>
              <w:rPr>
                <w:b/>
                <w:bCs/>
                <w:sz w:val="18"/>
                <w:szCs w:val="18"/>
              </w:rPr>
            </w:pPr>
            <w:r w:rsidRPr="00AE73BD">
              <w:rPr>
                <w:b/>
                <w:bCs/>
                <w:sz w:val="18"/>
                <w:szCs w:val="18"/>
              </w:rPr>
              <w:t xml:space="preserve">Major partners / </w:t>
            </w:r>
            <w:r w:rsidR="00427734" w:rsidRPr="00AE73BD">
              <w:rPr>
                <w:b/>
                <w:bCs/>
                <w:sz w:val="18"/>
                <w:szCs w:val="18"/>
              </w:rPr>
              <w:t>p</w:t>
            </w:r>
            <w:r w:rsidRPr="00AE73BD">
              <w:rPr>
                <w:b/>
                <w:bCs/>
                <w:sz w:val="18"/>
                <w:szCs w:val="18"/>
              </w:rPr>
              <w:t>artnership frameworks</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B75" w:rsidRPr="00AE73BD" w:rsidRDefault="00D85B75" w:rsidP="00427734">
            <w:pPr>
              <w:spacing w:after="32"/>
              <w:ind w:left="89" w:right="49"/>
              <w:jc w:val="center"/>
              <w:rPr>
                <w:sz w:val="18"/>
                <w:szCs w:val="18"/>
              </w:rPr>
            </w:pPr>
            <w:r w:rsidRPr="00AE73BD">
              <w:rPr>
                <w:b/>
                <w:bCs/>
                <w:sz w:val="18"/>
                <w:szCs w:val="18"/>
              </w:rPr>
              <w:t>Indicative resources by outcome</w:t>
            </w:r>
            <w:r w:rsidR="00427734" w:rsidRPr="00AE73BD">
              <w:rPr>
                <w:b/>
                <w:bCs/>
                <w:sz w:val="18"/>
                <w:szCs w:val="18"/>
              </w:rPr>
              <w:t xml:space="preserve"> (in $)</w:t>
            </w:r>
          </w:p>
          <w:p w:rsidR="00D85B75" w:rsidRPr="00AE73BD" w:rsidRDefault="00D85B75" w:rsidP="00427734">
            <w:pPr>
              <w:ind w:left="4"/>
              <w:jc w:val="center"/>
              <w:rPr>
                <w:sz w:val="18"/>
                <w:szCs w:val="18"/>
              </w:rPr>
            </w:pPr>
          </w:p>
        </w:tc>
      </w:tr>
      <w:tr w:rsidR="00D85B75" w:rsidRPr="0017292C" w:rsidTr="00D8626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B75" w:rsidRPr="0017292C" w:rsidRDefault="00D85B75" w:rsidP="000E5E21">
            <w:pPr>
              <w:spacing w:after="28"/>
              <w:ind w:right="137"/>
              <w:rPr>
                <w:b/>
                <w:sz w:val="18"/>
                <w:szCs w:val="18"/>
              </w:rPr>
            </w:pPr>
            <w:r w:rsidRPr="0017292C">
              <w:rPr>
                <w:b/>
                <w:bCs/>
                <w:sz w:val="18"/>
                <w:szCs w:val="18"/>
              </w:rPr>
              <w:t>Indicator</w:t>
            </w:r>
            <w:r w:rsidRPr="0017292C">
              <w:rPr>
                <w:b/>
                <w:bCs/>
                <w:i/>
                <w:iCs/>
                <w:sz w:val="18"/>
                <w:szCs w:val="18"/>
              </w:rPr>
              <w:t xml:space="preserve"> </w:t>
            </w:r>
            <w:r w:rsidRPr="0017292C">
              <w:rPr>
                <w:b/>
                <w:bCs/>
                <w:sz w:val="18"/>
                <w:szCs w:val="18"/>
              </w:rPr>
              <w:t>1.1.</w:t>
            </w:r>
            <w:r w:rsidRPr="0017292C">
              <w:rPr>
                <w:i/>
                <w:iCs/>
                <w:sz w:val="18"/>
                <w:szCs w:val="18"/>
              </w:rPr>
              <w:t xml:space="preserve"> </w:t>
            </w:r>
            <w:r w:rsidRPr="0017292C">
              <w:rPr>
                <w:b/>
                <w:sz w:val="18"/>
                <w:szCs w:val="18"/>
              </w:rPr>
              <w:t>Number of new decent jobs created</w:t>
            </w:r>
          </w:p>
          <w:p w:rsidR="00D85B75" w:rsidRPr="0017292C" w:rsidRDefault="00D85B75" w:rsidP="000E5E21">
            <w:pPr>
              <w:pStyle w:val="NoSpacing"/>
              <w:rPr>
                <w:rFonts w:ascii="Times New Roman" w:hAnsi="Times New Roman" w:cs="Times New Roman"/>
                <w:sz w:val="18"/>
                <w:szCs w:val="18"/>
              </w:rPr>
            </w:pPr>
            <w:r w:rsidRPr="000E5E21">
              <w:rPr>
                <w:rFonts w:ascii="Times New Roman" w:hAnsi="Times New Roman" w:cs="Times New Roman"/>
                <w:i/>
                <w:sz w:val="18"/>
                <w:szCs w:val="18"/>
              </w:rPr>
              <w:t>Baseline</w:t>
            </w:r>
            <w:r w:rsidRPr="005576A5">
              <w:rPr>
                <w:rFonts w:ascii="Times New Roman" w:hAnsi="Times New Roman" w:cs="Times New Roman"/>
                <w:sz w:val="18"/>
                <w:szCs w:val="18"/>
              </w:rPr>
              <w:t>:</w:t>
            </w:r>
            <w:r w:rsidRPr="0017292C">
              <w:rPr>
                <w:rFonts w:ascii="Times New Roman" w:hAnsi="Times New Roman" w:cs="Times New Roman"/>
                <w:sz w:val="18"/>
                <w:szCs w:val="18"/>
              </w:rPr>
              <w:t xml:space="preserve"> 0 (</w:t>
            </w:r>
            <w:r w:rsidR="005576A5">
              <w:rPr>
                <w:rFonts w:ascii="Times New Roman" w:hAnsi="Times New Roman" w:cs="Times New Roman"/>
                <w:sz w:val="18"/>
                <w:szCs w:val="18"/>
              </w:rPr>
              <w:t>National Strategy for Transformation (</w:t>
            </w:r>
            <w:r w:rsidRPr="0017292C">
              <w:rPr>
                <w:rFonts w:ascii="Times New Roman" w:hAnsi="Times New Roman" w:cs="Times New Roman"/>
                <w:sz w:val="18"/>
                <w:szCs w:val="18"/>
              </w:rPr>
              <w:t>NST</w:t>
            </w:r>
            <w:r w:rsidR="005576A5">
              <w:rPr>
                <w:rFonts w:ascii="Times New Roman" w:hAnsi="Times New Roman" w:cs="Times New Roman"/>
                <w:sz w:val="18"/>
                <w:szCs w:val="18"/>
              </w:rPr>
              <w:t>)</w:t>
            </w:r>
            <w:r w:rsidRPr="0017292C">
              <w:rPr>
                <w:rFonts w:ascii="Times New Roman" w:hAnsi="Times New Roman" w:cs="Times New Roman"/>
                <w:sz w:val="18"/>
                <w:szCs w:val="18"/>
              </w:rPr>
              <w:t xml:space="preserve"> year 0)</w:t>
            </w:r>
          </w:p>
          <w:p w:rsidR="00D85B75" w:rsidRPr="0017292C" w:rsidRDefault="00D85B75" w:rsidP="000E5E21">
            <w:pPr>
              <w:pStyle w:val="NoSpacing"/>
              <w:rPr>
                <w:rFonts w:ascii="Times New Roman" w:hAnsi="Times New Roman" w:cs="Times New Roman"/>
                <w:strike/>
                <w:sz w:val="18"/>
                <w:szCs w:val="18"/>
              </w:rPr>
            </w:pPr>
            <w:r w:rsidRPr="000E5E21">
              <w:rPr>
                <w:rFonts w:ascii="Times New Roman" w:hAnsi="Times New Roman" w:cs="Times New Roman"/>
                <w:i/>
                <w:sz w:val="18"/>
                <w:szCs w:val="18"/>
              </w:rPr>
              <w:t>Target</w:t>
            </w:r>
            <w:r w:rsidRPr="00011832">
              <w:rPr>
                <w:rFonts w:ascii="Times New Roman" w:hAnsi="Times New Roman" w:cs="Times New Roman"/>
                <w:sz w:val="18"/>
                <w:szCs w:val="18"/>
              </w:rPr>
              <w:t>:</w:t>
            </w:r>
            <w:r w:rsidRPr="0017292C">
              <w:rPr>
                <w:rFonts w:ascii="Times New Roman" w:hAnsi="Times New Roman" w:cs="Times New Roman"/>
                <w:sz w:val="18"/>
                <w:szCs w:val="18"/>
              </w:rPr>
              <w:t xml:space="preserve"> 1,071,428</w:t>
            </w:r>
          </w:p>
          <w:p w:rsidR="00D85B75" w:rsidRPr="0017292C" w:rsidRDefault="00D85B75" w:rsidP="000E5E21">
            <w:pPr>
              <w:spacing w:after="28"/>
              <w:ind w:right="137"/>
              <w:rPr>
                <w:rFonts w:eastAsia="Calibri"/>
                <w:b/>
                <w:bCs/>
                <w:sz w:val="18"/>
                <w:szCs w:val="18"/>
              </w:rPr>
            </w:pPr>
          </w:p>
          <w:p w:rsidR="00D85B75" w:rsidRPr="0017292C" w:rsidRDefault="00D85B75" w:rsidP="000E5E21">
            <w:pPr>
              <w:spacing w:after="28"/>
              <w:ind w:right="137"/>
              <w:rPr>
                <w:b/>
                <w:i/>
                <w:sz w:val="18"/>
                <w:szCs w:val="18"/>
              </w:rPr>
            </w:pPr>
            <w:r w:rsidRPr="0017292C">
              <w:rPr>
                <w:rFonts w:eastAsia="Calibri"/>
                <w:b/>
                <w:bCs/>
                <w:sz w:val="18"/>
                <w:szCs w:val="18"/>
              </w:rPr>
              <w:t xml:space="preserve">Indicator 1.2 </w:t>
            </w:r>
            <w:r w:rsidRPr="0017292C">
              <w:rPr>
                <w:b/>
                <w:bCs/>
                <w:sz w:val="18"/>
                <w:szCs w:val="18"/>
              </w:rPr>
              <w:t>Private investment as a share of GDP</w:t>
            </w:r>
          </w:p>
          <w:p w:rsidR="00D85B75" w:rsidRPr="0017292C" w:rsidRDefault="00D85B75" w:rsidP="000E5E21">
            <w:pPr>
              <w:spacing w:after="18"/>
              <w:rPr>
                <w:sz w:val="18"/>
                <w:szCs w:val="18"/>
              </w:rPr>
            </w:pPr>
            <w:r w:rsidRPr="000E5E21">
              <w:rPr>
                <w:bCs/>
                <w:i/>
                <w:iCs/>
                <w:sz w:val="18"/>
                <w:szCs w:val="18"/>
              </w:rPr>
              <w:t>Baseline</w:t>
            </w:r>
            <w:r w:rsidRPr="00011832">
              <w:rPr>
                <w:bCs/>
                <w:iCs/>
                <w:sz w:val="18"/>
                <w:szCs w:val="18"/>
              </w:rPr>
              <w:t>:</w:t>
            </w:r>
            <w:r w:rsidRPr="0017292C">
              <w:rPr>
                <w:b/>
                <w:bCs/>
                <w:i/>
                <w:iCs/>
                <w:sz w:val="18"/>
                <w:szCs w:val="18"/>
              </w:rPr>
              <w:t xml:space="preserve">  </w:t>
            </w:r>
            <w:r w:rsidRPr="0017292C">
              <w:rPr>
                <w:sz w:val="18"/>
                <w:szCs w:val="18"/>
              </w:rPr>
              <w:t>15%</w:t>
            </w:r>
            <w:r w:rsidRPr="0017292C">
              <w:rPr>
                <w:i/>
                <w:iCs/>
                <w:sz w:val="18"/>
                <w:szCs w:val="18"/>
              </w:rPr>
              <w:t xml:space="preserve"> </w:t>
            </w:r>
            <w:r w:rsidRPr="0017292C">
              <w:rPr>
                <w:sz w:val="18"/>
                <w:szCs w:val="18"/>
              </w:rPr>
              <w:t xml:space="preserve"> </w:t>
            </w:r>
          </w:p>
          <w:p w:rsidR="00D85B75" w:rsidRPr="0017292C" w:rsidRDefault="00D85B75" w:rsidP="000E5E21">
            <w:pPr>
              <w:spacing w:after="165"/>
              <w:rPr>
                <w:sz w:val="18"/>
                <w:szCs w:val="18"/>
              </w:rPr>
            </w:pPr>
            <w:r w:rsidRPr="000E5E21">
              <w:rPr>
                <w:bCs/>
                <w:i/>
                <w:iCs/>
                <w:sz w:val="18"/>
                <w:szCs w:val="18"/>
              </w:rPr>
              <w:t>Target</w:t>
            </w:r>
            <w:r w:rsidRPr="00011832">
              <w:rPr>
                <w:bCs/>
                <w:iCs/>
                <w:sz w:val="18"/>
                <w:szCs w:val="18"/>
              </w:rPr>
              <w:t>:</w:t>
            </w:r>
            <w:r w:rsidRPr="0017292C">
              <w:rPr>
                <w:b/>
                <w:bCs/>
                <w:i/>
                <w:iCs/>
                <w:sz w:val="18"/>
                <w:szCs w:val="18"/>
              </w:rPr>
              <w:t xml:space="preserve"> </w:t>
            </w:r>
            <w:r w:rsidRPr="0017292C">
              <w:rPr>
                <w:sz w:val="18"/>
                <w:szCs w:val="18"/>
              </w:rPr>
              <w:t>21.6%</w:t>
            </w:r>
          </w:p>
          <w:p w:rsidR="00D85B75" w:rsidRPr="0017292C" w:rsidRDefault="00D85B75" w:rsidP="000E5E21">
            <w:pPr>
              <w:pStyle w:val="NoSpacing"/>
              <w:rPr>
                <w:rFonts w:ascii="Times New Roman" w:hAnsi="Times New Roman" w:cs="Times New Roman"/>
                <w:sz w:val="18"/>
                <w:szCs w:val="18"/>
              </w:rPr>
            </w:pPr>
          </w:p>
          <w:p w:rsidR="00D85B75" w:rsidRPr="0017292C" w:rsidRDefault="00D85B75" w:rsidP="000E5E21">
            <w:pPr>
              <w:pStyle w:val="NoSpacing"/>
              <w:rPr>
                <w:rFonts w:ascii="Times New Roman" w:hAnsi="Times New Roman" w:cs="Times New Roman"/>
                <w:b/>
                <w:sz w:val="18"/>
                <w:szCs w:val="18"/>
              </w:rPr>
            </w:pPr>
            <w:r w:rsidRPr="0017292C">
              <w:rPr>
                <w:rFonts w:ascii="Times New Roman" w:hAnsi="Times New Roman" w:cs="Times New Roman"/>
                <w:b/>
                <w:sz w:val="18"/>
                <w:szCs w:val="18"/>
              </w:rPr>
              <w:t>Indicator 1.3</w:t>
            </w:r>
          </w:p>
          <w:p w:rsidR="00D85B75" w:rsidRPr="0017292C" w:rsidRDefault="00D85B75" w:rsidP="000E5E21">
            <w:pPr>
              <w:pStyle w:val="NoSpacing"/>
              <w:rPr>
                <w:rFonts w:ascii="Times New Roman" w:hAnsi="Times New Roman" w:cs="Times New Roman"/>
                <w:sz w:val="18"/>
                <w:szCs w:val="18"/>
              </w:rPr>
            </w:pPr>
            <w:r w:rsidRPr="0017292C">
              <w:rPr>
                <w:rFonts w:ascii="Times New Roman" w:hAnsi="Times New Roman" w:cs="Times New Roman"/>
                <w:b/>
                <w:sz w:val="18"/>
                <w:szCs w:val="18"/>
              </w:rPr>
              <w:t>Proportion of population living below the national poverty line</w:t>
            </w:r>
          </w:p>
          <w:p w:rsidR="00D85B75" w:rsidRPr="0017292C" w:rsidRDefault="00D85B75" w:rsidP="000E5E21">
            <w:pPr>
              <w:pStyle w:val="NoSpacing"/>
              <w:rPr>
                <w:rFonts w:ascii="Times New Roman" w:hAnsi="Times New Roman" w:cs="Times New Roman"/>
                <w:sz w:val="18"/>
                <w:szCs w:val="18"/>
              </w:rPr>
            </w:pPr>
            <w:r w:rsidRPr="000E5E21">
              <w:rPr>
                <w:rFonts w:ascii="Times New Roman" w:hAnsi="Times New Roman" w:cs="Times New Roman"/>
                <w:i/>
                <w:sz w:val="18"/>
                <w:szCs w:val="18"/>
              </w:rPr>
              <w:t>Baseline</w:t>
            </w:r>
            <w:r w:rsidRPr="0017292C">
              <w:rPr>
                <w:rFonts w:ascii="Times New Roman" w:hAnsi="Times New Roman" w:cs="Times New Roman"/>
                <w:sz w:val="18"/>
                <w:szCs w:val="18"/>
              </w:rPr>
              <w:t xml:space="preserve">: 39.1% (2014) </w:t>
            </w:r>
          </w:p>
          <w:p w:rsidR="00D85B75" w:rsidRPr="0017292C" w:rsidRDefault="00D85B75" w:rsidP="000E5E21">
            <w:pPr>
              <w:pStyle w:val="NoSpacing"/>
              <w:rPr>
                <w:rFonts w:ascii="Times New Roman" w:hAnsi="Times New Roman" w:cs="Times New Roman"/>
                <w:sz w:val="18"/>
                <w:szCs w:val="18"/>
              </w:rPr>
            </w:pPr>
            <w:r w:rsidRPr="000E5E21">
              <w:rPr>
                <w:rFonts w:ascii="Times New Roman" w:hAnsi="Times New Roman" w:cs="Times New Roman"/>
                <w:i/>
                <w:sz w:val="18"/>
                <w:szCs w:val="18"/>
              </w:rPr>
              <w:t>Target:</w:t>
            </w:r>
            <w:r w:rsidRPr="0017292C">
              <w:rPr>
                <w:rFonts w:ascii="Times New Roman" w:hAnsi="Times New Roman" w:cs="Times New Roman"/>
                <w:sz w:val="18"/>
                <w:szCs w:val="18"/>
              </w:rPr>
              <w:t xml:space="preserve"> 16.1% (disaggregated targets not available)</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5576A5" w:rsidP="000E5E21">
            <w:pPr>
              <w:ind w:left="25"/>
              <w:rPr>
                <w:sz w:val="18"/>
                <w:szCs w:val="18"/>
              </w:rPr>
            </w:pPr>
            <w:r>
              <w:rPr>
                <w:sz w:val="18"/>
                <w:szCs w:val="18"/>
              </w:rPr>
              <w:t>National Institute of Statistics Rwanda (</w:t>
            </w:r>
            <w:r w:rsidR="00D85B75" w:rsidRPr="0017292C">
              <w:rPr>
                <w:sz w:val="18"/>
                <w:szCs w:val="18"/>
              </w:rPr>
              <w:t>NISR</w:t>
            </w:r>
            <w:r>
              <w:rPr>
                <w:sz w:val="18"/>
                <w:szCs w:val="18"/>
              </w:rPr>
              <w:t>)</w:t>
            </w:r>
            <w:r w:rsidR="00D85B75" w:rsidRPr="0017292C">
              <w:rPr>
                <w:sz w:val="18"/>
                <w:szCs w:val="18"/>
              </w:rPr>
              <w:t xml:space="preserve"> </w:t>
            </w:r>
            <w:r>
              <w:rPr>
                <w:sz w:val="18"/>
                <w:szCs w:val="18"/>
              </w:rPr>
              <w:t>a</w:t>
            </w:r>
            <w:r w:rsidRPr="0017292C">
              <w:rPr>
                <w:sz w:val="18"/>
                <w:szCs w:val="18"/>
              </w:rPr>
              <w:t xml:space="preserve">nnual </w:t>
            </w:r>
            <w:r>
              <w:rPr>
                <w:sz w:val="18"/>
                <w:szCs w:val="18"/>
              </w:rPr>
              <w:t>l</w:t>
            </w:r>
            <w:r w:rsidRPr="0017292C">
              <w:rPr>
                <w:sz w:val="18"/>
                <w:szCs w:val="18"/>
              </w:rPr>
              <w:t xml:space="preserve">abour </w:t>
            </w:r>
            <w:r>
              <w:rPr>
                <w:sz w:val="18"/>
                <w:szCs w:val="18"/>
              </w:rPr>
              <w:t>f</w:t>
            </w:r>
            <w:r w:rsidRPr="0017292C">
              <w:rPr>
                <w:sz w:val="18"/>
                <w:szCs w:val="18"/>
              </w:rPr>
              <w:t xml:space="preserve">orce </w:t>
            </w:r>
            <w:r>
              <w:rPr>
                <w:sz w:val="18"/>
                <w:szCs w:val="18"/>
              </w:rPr>
              <w:t>s</w:t>
            </w:r>
            <w:r w:rsidRPr="0017292C">
              <w:rPr>
                <w:sz w:val="18"/>
                <w:szCs w:val="18"/>
              </w:rPr>
              <w:t>urvey</w:t>
            </w:r>
            <w:r w:rsidR="00D85B75" w:rsidRPr="0017292C">
              <w:rPr>
                <w:sz w:val="18"/>
                <w:szCs w:val="18"/>
              </w:rPr>
              <w:t xml:space="preserve">, National Bank of Rwanda ODA </w:t>
            </w:r>
            <w:r>
              <w:rPr>
                <w:sz w:val="18"/>
                <w:szCs w:val="18"/>
              </w:rPr>
              <w:t>r</w:t>
            </w:r>
            <w:r w:rsidRPr="0017292C">
              <w:rPr>
                <w:sz w:val="18"/>
                <w:szCs w:val="18"/>
              </w:rPr>
              <w:t>eports</w:t>
            </w:r>
            <w:r w:rsidR="00D85B75" w:rsidRPr="0017292C">
              <w:rPr>
                <w:sz w:val="18"/>
                <w:szCs w:val="18"/>
              </w:rPr>
              <w:t>, Bi</w:t>
            </w:r>
            <w:r w:rsidR="007E4759" w:rsidRPr="0017292C">
              <w:rPr>
                <w:sz w:val="18"/>
                <w:szCs w:val="18"/>
              </w:rPr>
              <w:t xml:space="preserve">annual </w:t>
            </w:r>
            <w:r>
              <w:rPr>
                <w:sz w:val="18"/>
                <w:szCs w:val="18"/>
              </w:rPr>
              <w:t xml:space="preserve">Integrated Household Living Conditions </w:t>
            </w:r>
            <w:r w:rsidR="00D85B75" w:rsidRPr="0017292C">
              <w:rPr>
                <w:sz w:val="18"/>
                <w:szCs w:val="18"/>
              </w:rPr>
              <w:t>Survey</w:t>
            </w:r>
          </w:p>
          <w:p w:rsidR="00D85B75" w:rsidRPr="0017292C" w:rsidRDefault="00D85B75" w:rsidP="000E5E21">
            <w:pPr>
              <w:spacing w:after="14"/>
              <w:ind w:left="25"/>
              <w:rPr>
                <w:sz w:val="18"/>
                <w:szCs w:val="18"/>
              </w:rPr>
            </w:pPr>
          </w:p>
          <w:p w:rsidR="00D85B75" w:rsidRPr="0017292C" w:rsidRDefault="00D85B75" w:rsidP="000E5E21">
            <w:pPr>
              <w:spacing w:after="14"/>
              <w:rPr>
                <w:sz w:val="18"/>
                <w:szCs w:val="18"/>
              </w:rPr>
            </w:pPr>
            <w:r w:rsidRPr="0017292C">
              <w:rPr>
                <w:sz w:val="18"/>
                <w:szCs w:val="18"/>
              </w:rPr>
              <w:t xml:space="preserve"> </w:t>
            </w:r>
            <w:r w:rsidR="005576A5">
              <w:rPr>
                <w:sz w:val="18"/>
                <w:szCs w:val="18"/>
              </w:rPr>
              <w:t>Ministry of Finance and Economic Planning (</w:t>
            </w:r>
            <w:r w:rsidRPr="0017292C">
              <w:rPr>
                <w:sz w:val="18"/>
                <w:szCs w:val="18"/>
              </w:rPr>
              <w:t>MINECOFIN</w:t>
            </w:r>
            <w:r w:rsidR="005576A5">
              <w:rPr>
                <w:sz w:val="18"/>
                <w:szCs w:val="18"/>
              </w:rPr>
              <w:t>)</w:t>
            </w:r>
            <w:r w:rsidRPr="0017292C">
              <w:rPr>
                <w:sz w:val="18"/>
                <w:szCs w:val="18"/>
              </w:rPr>
              <w:t xml:space="preserve"> </w:t>
            </w:r>
            <w:r w:rsidR="005576A5">
              <w:rPr>
                <w:sz w:val="18"/>
                <w:szCs w:val="18"/>
              </w:rPr>
              <w:t>annual d</w:t>
            </w:r>
            <w:r w:rsidR="005576A5" w:rsidRPr="0017292C">
              <w:rPr>
                <w:sz w:val="18"/>
                <w:szCs w:val="18"/>
              </w:rPr>
              <w:t xml:space="preserve">evelopment </w:t>
            </w:r>
            <w:r w:rsidR="005576A5">
              <w:rPr>
                <w:sz w:val="18"/>
                <w:szCs w:val="18"/>
              </w:rPr>
              <w:t>f</w:t>
            </w:r>
            <w:r w:rsidR="005576A5" w:rsidRPr="0017292C">
              <w:rPr>
                <w:sz w:val="18"/>
                <w:szCs w:val="18"/>
              </w:rPr>
              <w:t xml:space="preserve">inance </w:t>
            </w:r>
            <w:r w:rsidRPr="0017292C">
              <w:rPr>
                <w:sz w:val="18"/>
                <w:szCs w:val="18"/>
              </w:rPr>
              <w:t xml:space="preserve">Report </w:t>
            </w:r>
          </w:p>
          <w:p w:rsidR="00D85B75" w:rsidRPr="0017292C" w:rsidRDefault="00D85B75" w:rsidP="000E5E21">
            <w:pPr>
              <w:ind w:left="25"/>
              <w:rPr>
                <w:sz w:val="18"/>
                <w:szCs w:val="18"/>
              </w:rPr>
            </w:pPr>
          </w:p>
          <w:p w:rsidR="00D85B75" w:rsidRPr="0017292C" w:rsidRDefault="00D85B75" w:rsidP="000E5E21">
            <w:pPr>
              <w:ind w:left="25"/>
              <w:rPr>
                <w:sz w:val="18"/>
                <w:szCs w:val="18"/>
              </w:rPr>
            </w:pPr>
            <w:r w:rsidRPr="0017292C">
              <w:rPr>
                <w:sz w:val="18"/>
                <w:szCs w:val="18"/>
              </w:rPr>
              <w:t>Annual project report</w:t>
            </w:r>
          </w:p>
          <w:p w:rsidR="00D85B75" w:rsidRPr="0017292C" w:rsidRDefault="00D85B75" w:rsidP="000E5E21">
            <w:pPr>
              <w:rPr>
                <w:sz w:val="18"/>
                <w:szCs w:val="18"/>
              </w:rPr>
            </w:pPr>
          </w:p>
          <w:p w:rsidR="00D85B75" w:rsidRPr="0017292C" w:rsidRDefault="00D85B75" w:rsidP="000E5E21">
            <w:pPr>
              <w:ind w:left="25"/>
              <w:rPr>
                <w:sz w:val="18"/>
                <w:szCs w:val="18"/>
              </w:rPr>
            </w:pPr>
            <w:r w:rsidRPr="0017292C">
              <w:rPr>
                <w:b/>
                <w:sz w:val="18"/>
                <w:szCs w:val="18"/>
              </w:rPr>
              <w:t xml:space="preserve"> </w:t>
            </w:r>
          </w:p>
          <w:p w:rsidR="00D85B75" w:rsidRPr="0017292C" w:rsidRDefault="00D85B75" w:rsidP="000E5E21">
            <w:pPr>
              <w:spacing w:after="12"/>
              <w:ind w:left="25"/>
              <w:rPr>
                <w:sz w:val="18"/>
                <w:szCs w:val="18"/>
              </w:rPr>
            </w:pPr>
            <w:r w:rsidRPr="0017292C">
              <w:rPr>
                <w:b/>
                <w:sz w:val="18"/>
                <w:szCs w:val="18"/>
              </w:rPr>
              <w:t xml:space="preserve"> </w:t>
            </w:r>
          </w:p>
          <w:p w:rsidR="00D85B75" w:rsidRPr="0017292C" w:rsidRDefault="00D85B75" w:rsidP="00A52112">
            <w:pPr>
              <w:ind w:left="25"/>
              <w:jc w:val="both"/>
              <w:rPr>
                <w:sz w:val="18"/>
                <w:szCs w:val="18"/>
              </w:rPr>
            </w:pP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857A41">
            <w:pPr>
              <w:ind w:left="160" w:right="229"/>
              <w:jc w:val="both"/>
              <w:rPr>
                <w:sz w:val="18"/>
                <w:szCs w:val="18"/>
              </w:rPr>
            </w:pPr>
            <w:r w:rsidRPr="0017292C">
              <w:rPr>
                <w:b/>
                <w:bCs/>
                <w:sz w:val="18"/>
                <w:szCs w:val="18"/>
              </w:rPr>
              <w:t xml:space="preserve">Output 1.1. </w:t>
            </w:r>
            <w:r w:rsidRPr="0017292C">
              <w:rPr>
                <w:sz w:val="18"/>
                <w:szCs w:val="18"/>
              </w:rPr>
              <w:t>MINECOFIN has enhanced technical capacity to access, leverage and utilize development finance to achieve national development objectives.</w:t>
            </w:r>
          </w:p>
          <w:p w:rsidR="00D85B75" w:rsidRPr="0017292C" w:rsidRDefault="00D85B75" w:rsidP="00857A41">
            <w:pPr>
              <w:ind w:left="160" w:right="229"/>
              <w:jc w:val="both"/>
              <w:rPr>
                <w:sz w:val="18"/>
                <w:szCs w:val="18"/>
              </w:rPr>
            </w:pPr>
            <w:r w:rsidRPr="0017292C">
              <w:rPr>
                <w:b/>
                <w:bCs/>
                <w:sz w:val="18"/>
                <w:szCs w:val="18"/>
              </w:rPr>
              <w:t>Indicator 1.1.1.</w:t>
            </w:r>
            <w:r w:rsidRPr="0017292C">
              <w:rPr>
                <w:sz w:val="18"/>
                <w:szCs w:val="18"/>
              </w:rPr>
              <w:t xml:space="preserve">  Extent to which </w:t>
            </w:r>
            <w:r w:rsidR="005576A5">
              <w:rPr>
                <w:sz w:val="18"/>
                <w:szCs w:val="18"/>
              </w:rPr>
              <w:t>G</w:t>
            </w:r>
            <w:r w:rsidR="005576A5" w:rsidRPr="0017292C">
              <w:rPr>
                <w:sz w:val="18"/>
                <w:szCs w:val="18"/>
              </w:rPr>
              <w:t xml:space="preserve">overnment </w:t>
            </w:r>
            <w:r w:rsidRPr="0017292C">
              <w:rPr>
                <w:sz w:val="18"/>
                <w:szCs w:val="18"/>
              </w:rPr>
              <w:t>is effectively implementing a strategy for diversifying sources of development finance.</w:t>
            </w:r>
          </w:p>
          <w:p w:rsidR="00D85B75" w:rsidRPr="0017292C" w:rsidRDefault="00D85B75" w:rsidP="00857A41">
            <w:pPr>
              <w:ind w:left="160" w:right="229"/>
              <w:jc w:val="both"/>
              <w:rPr>
                <w:sz w:val="18"/>
                <w:szCs w:val="18"/>
              </w:rPr>
            </w:pPr>
            <w:r w:rsidRPr="000E5E21">
              <w:rPr>
                <w:bCs/>
                <w:i/>
                <w:iCs/>
                <w:sz w:val="18"/>
                <w:szCs w:val="18"/>
              </w:rPr>
              <w:t>Baseline</w:t>
            </w:r>
            <w:r w:rsidRPr="00011832">
              <w:rPr>
                <w:bCs/>
                <w:iCs/>
                <w:sz w:val="18"/>
                <w:szCs w:val="18"/>
              </w:rPr>
              <w:t>:</w:t>
            </w:r>
            <w:r w:rsidRPr="0017292C">
              <w:rPr>
                <w:b/>
                <w:bCs/>
                <w:sz w:val="18"/>
                <w:szCs w:val="18"/>
              </w:rPr>
              <w:t xml:space="preserve"> </w:t>
            </w:r>
            <w:r w:rsidRPr="0017292C">
              <w:rPr>
                <w:sz w:val="18"/>
                <w:szCs w:val="18"/>
              </w:rPr>
              <w:t>1</w:t>
            </w:r>
            <w:r w:rsidRPr="007830FB">
              <w:rPr>
                <w:rStyle w:val="FootnoteReference"/>
                <w:szCs w:val="18"/>
              </w:rPr>
              <w:footnoteReference w:id="34"/>
            </w:r>
          </w:p>
          <w:p w:rsidR="00D85B75" w:rsidRPr="0017292C" w:rsidRDefault="00D85B75" w:rsidP="00857A41">
            <w:pPr>
              <w:ind w:left="160" w:right="229"/>
              <w:jc w:val="both"/>
              <w:rPr>
                <w:rStyle w:val="EndnoteReference"/>
                <w:sz w:val="18"/>
                <w:szCs w:val="18"/>
              </w:rPr>
            </w:pPr>
            <w:r w:rsidRPr="000E5E21">
              <w:rPr>
                <w:bCs/>
                <w:i/>
                <w:iCs/>
                <w:sz w:val="18"/>
                <w:szCs w:val="18"/>
              </w:rPr>
              <w:t>Target</w:t>
            </w:r>
            <w:r w:rsidRPr="00011832">
              <w:rPr>
                <w:bCs/>
                <w:iCs/>
                <w:sz w:val="18"/>
                <w:szCs w:val="18"/>
              </w:rPr>
              <w:t>:</w:t>
            </w:r>
            <w:r w:rsidRPr="0017292C">
              <w:rPr>
                <w:b/>
                <w:bCs/>
                <w:sz w:val="18"/>
                <w:szCs w:val="18"/>
              </w:rPr>
              <w:t xml:space="preserve"> </w:t>
            </w:r>
            <w:r w:rsidRPr="0017292C">
              <w:rPr>
                <w:sz w:val="18"/>
                <w:szCs w:val="18"/>
              </w:rPr>
              <w:t>3</w:t>
            </w:r>
          </w:p>
          <w:p w:rsidR="00D85B75" w:rsidRPr="0017292C" w:rsidRDefault="00D85B75" w:rsidP="00857A41">
            <w:pPr>
              <w:ind w:left="160" w:right="229"/>
              <w:jc w:val="both"/>
              <w:rPr>
                <w:sz w:val="18"/>
                <w:szCs w:val="18"/>
                <w:vertAlign w:val="superscript"/>
              </w:rPr>
            </w:pPr>
          </w:p>
          <w:p w:rsidR="00D85B75" w:rsidRPr="0017292C" w:rsidRDefault="00D85B75" w:rsidP="00857A41">
            <w:pPr>
              <w:ind w:left="160" w:right="229"/>
              <w:jc w:val="both"/>
              <w:rPr>
                <w:sz w:val="18"/>
                <w:szCs w:val="18"/>
              </w:rPr>
            </w:pPr>
            <w:r w:rsidRPr="0017292C">
              <w:rPr>
                <w:b/>
                <w:bCs/>
                <w:sz w:val="18"/>
                <w:szCs w:val="18"/>
              </w:rPr>
              <w:t>Output 1.2.</w:t>
            </w:r>
            <w:r w:rsidRPr="0017292C">
              <w:rPr>
                <w:sz w:val="18"/>
                <w:szCs w:val="18"/>
              </w:rPr>
              <w:t xml:space="preserve"> Public-private partnerships and institutional arrangements strengthened to create decent jobs and promote entrepreneurship, especially among women and youth.</w:t>
            </w:r>
          </w:p>
          <w:p w:rsidR="00D85B75" w:rsidRPr="0017292C" w:rsidRDefault="00D85B75" w:rsidP="00857A41">
            <w:pPr>
              <w:ind w:left="160" w:right="229"/>
              <w:jc w:val="both"/>
              <w:rPr>
                <w:sz w:val="18"/>
                <w:szCs w:val="18"/>
              </w:rPr>
            </w:pPr>
            <w:r w:rsidRPr="0017292C">
              <w:rPr>
                <w:b/>
                <w:bCs/>
                <w:sz w:val="18"/>
                <w:szCs w:val="18"/>
              </w:rPr>
              <w:t>Indicator 1.2.1.</w:t>
            </w:r>
            <w:r w:rsidRPr="0017292C">
              <w:rPr>
                <w:sz w:val="18"/>
                <w:szCs w:val="18"/>
              </w:rPr>
              <w:t xml:space="preserve"> Number of decent jobs created through YouthConnekt </w:t>
            </w:r>
          </w:p>
          <w:p w:rsidR="00D85B75" w:rsidRPr="0017292C" w:rsidRDefault="00D85B75" w:rsidP="00857A41">
            <w:pPr>
              <w:ind w:left="160" w:right="229"/>
              <w:jc w:val="both"/>
              <w:rPr>
                <w:sz w:val="18"/>
                <w:szCs w:val="18"/>
              </w:rPr>
            </w:pPr>
            <w:r w:rsidRPr="000E5E21">
              <w:rPr>
                <w:bCs/>
                <w:i/>
                <w:iCs/>
                <w:sz w:val="18"/>
                <w:szCs w:val="18"/>
              </w:rPr>
              <w:t>Baseline</w:t>
            </w:r>
            <w:r w:rsidRPr="00011832">
              <w:rPr>
                <w:bCs/>
                <w:iCs/>
                <w:sz w:val="18"/>
                <w:szCs w:val="18"/>
              </w:rPr>
              <w:t>:</w:t>
            </w:r>
            <w:r w:rsidRPr="0017292C">
              <w:rPr>
                <w:b/>
                <w:bCs/>
                <w:i/>
                <w:iCs/>
                <w:sz w:val="18"/>
                <w:szCs w:val="18"/>
              </w:rPr>
              <w:t xml:space="preserve"> </w:t>
            </w:r>
            <w:r w:rsidRPr="0017292C">
              <w:rPr>
                <w:sz w:val="18"/>
                <w:szCs w:val="18"/>
              </w:rPr>
              <w:t xml:space="preserve"> 6,168 (4,247 males; 1,921 females) </w:t>
            </w:r>
          </w:p>
          <w:p w:rsidR="00D85B75" w:rsidRPr="0017292C" w:rsidRDefault="00D85B75" w:rsidP="00857A41">
            <w:pPr>
              <w:ind w:left="160" w:right="229"/>
              <w:jc w:val="both"/>
              <w:rPr>
                <w:sz w:val="18"/>
                <w:szCs w:val="18"/>
              </w:rPr>
            </w:pPr>
            <w:r w:rsidRPr="000E5E21">
              <w:rPr>
                <w:bCs/>
                <w:i/>
                <w:iCs/>
                <w:sz w:val="18"/>
                <w:szCs w:val="18"/>
              </w:rPr>
              <w:t>Target</w:t>
            </w:r>
            <w:r w:rsidRPr="00011832">
              <w:rPr>
                <w:bCs/>
                <w:iCs/>
                <w:sz w:val="18"/>
                <w:szCs w:val="18"/>
              </w:rPr>
              <w:t>:</w:t>
            </w:r>
            <w:r w:rsidRPr="0017292C">
              <w:rPr>
                <w:b/>
                <w:bCs/>
                <w:i/>
                <w:iCs/>
                <w:sz w:val="18"/>
                <w:szCs w:val="18"/>
              </w:rPr>
              <w:t xml:space="preserve">  </w:t>
            </w:r>
            <w:r w:rsidRPr="0017292C">
              <w:rPr>
                <w:sz w:val="18"/>
                <w:szCs w:val="18"/>
              </w:rPr>
              <w:t>21,168 (13,247 males; 7,921 females)</w:t>
            </w:r>
          </w:p>
          <w:p w:rsidR="00D85B75" w:rsidRPr="0017292C" w:rsidRDefault="00D85B75" w:rsidP="00857A41">
            <w:pPr>
              <w:ind w:left="160" w:right="229"/>
              <w:jc w:val="both"/>
              <w:rPr>
                <w:rFonts w:eastAsia="Calibri"/>
                <w:sz w:val="18"/>
                <w:szCs w:val="18"/>
              </w:rPr>
            </w:pPr>
          </w:p>
          <w:p w:rsidR="00D85B75" w:rsidRPr="0017292C" w:rsidRDefault="00D85B75" w:rsidP="00857A41">
            <w:pPr>
              <w:ind w:left="160" w:right="229"/>
              <w:jc w:val="both"/>
              <w:rPr>
                <w:rFonts w:eastAsia="Calibri"/>
                <w:sz w:val="18"/>
                <w:szCs w:val="18"/>
              </w:rPr>
            </w:pPr>
            <w:r w:rsidRPr="0017292C">
              <w:rPr>
                <w:rFonts w:eastAsia="Calibri"/>
                <w:b/>
                <w:sz w:val="18"/>
                <w:szCs w:val="18"/>
              </w:rPr>
              <w:t>Indicator 1.2.2.</w:t>
            </w:r>
            <w:r w:rsidRPr="0017292C">
              <w:rPr>
                <w:rFonts w:eastAsia="Calibri"/>
                <w:sz w:val="18"/>
                <w:szCs w:val="18"/>
              </w:rPr>
              <w:t xml:space="preserve"> Rwanda has enabling environment for expansion of decent work and livelihood for direct creation of employment</w:t>
            </w:r>
          </w:p>
          <w:p w:rsidR="00D85B75" w:rsidRPr="0017292C" w:rsidRDefault="00D85B75" w:rsidP="00857A41">
            <w:pPr>
              <w:ind w:left="160" w:right="229"/>
              <w:jc w:val="both"/>
              <w:rPr>
                <w:rFonts w:eastAsia="Calibri"/>
                <w:sz w:val="18"/>
                <w:szCs w:val="18"/>
              </w:rPr>
            </w:pPr>
            <w:r w:rsidRPr="000E5E21">
              <w:rPr>
                <w:rFonts w:eastAsia="Calibri"/>
                <w:i/>
                <w:sz w:val="18"/>
                <w:szCs w:val="18"/>
              </w:rPr>
              <w:t>Baseline</w:t>
            </w:r>
            <w:r w:rsidRPr="0017292C">
              <w:rPr>
                <w:rFonts w:eastAsia="Calibri"/>
                <w:sz w:val="18"/>
                <w:szCs w:val="18"/>
              </w:rPr>
              <w:t xml:space="preserve">: YouthConnekt </w:t>
            </w:r>
            <w:r w:rsidR="005576A5">
              <w:rPr>
                <w:rFonts w:eastAsia="Calibri"/>
                <w:sz w:val="18"/>
                <w:szCs w:val="18"/>
              </w:rPr>
              <w:t>e</w:t>
            </w:r>
            <w:r w:rsidR="005576A5" w:rsidRPr="0017292C">
              <w:rPr>
                <w:rFonts w:eastAsia="Calibri"/>
                <w:sz w:val="18"/>
                <w:szCs w:val="18"/>
              </w:rPr>
              <w:t xml:space="preserve">xpansion </w:t>
            </w:r>
            <w:r w:rsidR="005576A5">
              <w:rPr>
                <w:rFonts w:eastAsia="Calibri"/>
                <w:sz w:val="18"/>
                <w:szCs w:val="18"/>
              </w:rPr>
              <w:t>c</w:t>
            </w:r>
            <w:r w:rsidR="005576A5" w:rsidRPr="0017292C">
              <w:rPr>
                <w:rFonts w:eastAsia="Calibri"/>
                <w:sz w:val="18"/>
                <w:szCs w:val="18"/>
              </w:rPr>
              <w:t xml:space="preserve">oncept </w:t>
            </w:r>
            <w:r w:rsidRPr="0017292C">
              <w:rPr>
                <w:rFonts w:eastAsia="Calibri"/>
                <w:sz w:val="18"/>
                <w:szCs w:val="18"/>
              </w:rPr>
              <w:t>approved</w:t>
            </w:r>
          </w:p>
          <w:p w:rsidR="00D85B75" w:rsidRPr="0017292C" w:rsidRDefault="00D85B75" w:rsidP="00857A41">
            <w:pPr>
              <w:ind w:left="160" w:right="229"/>
              <w:jc w:val="both"/>
              <w:rPr>
                <w:rFonts w:eastAsia="Calibri"/>
                <w:sz w:val="18"/>
                <w:szCs w:val="18"/>
              </w:rPr>
            </w:pPr>
            <w:r w:rsidRPr="000E5E21">
              <w:rPr>
                <w:rFonts w:eastAsia="Calibri"/>
                <w:i/>
                <w:sz w:val="18"/>
                <w:szCs w:val="18"/>
              </w:rPr>
              <w:t>Target</w:t>
            </w:r>
            <w:r w:rsidRPr="0017292C">
              <w:rPr>
                <w:rFonts w:eastAsia="Calibri"/>
                <w:sz w:val="18"/>
                <w:szCs w:val="18"/>
              </w:rPr>
              <w:t xml:space="preserve">: YouthConnekt Africa Fund and </w:t>
            </w:r>
            <w:r w:rsidR="005576A5">
              <w:rPr>
                <w:rFonts w:eastAsia="Calibri"/>
                <w:sz w:val="18"/>
                <w:szCs w:val="18"/>
              </w:rPr>
              <w:t>h</w:t>
            </w:r>
            <w:r w:rsidR="005576A5" w:rsidRPr="0017292C">
              <w:rPr>
                <w:rFonts w:eastAsia="Calibri"/>
                <w:sz w:val="18"/>
                <w:szCs w:val="18"/>
              </w:rPr>
              <w:t xml:space="preserve">ub </w:t>
            </w:r>
            <w:r w:rsidRPr="0017292C">
              <w:rPr>
                <w:rFonts w:eastAsia="Calibri"/>
                <w:sz w:val="18"/>
                <w:szCs w:val="18"/>
              </w:rPr>
              <w:t>operationalized</w:t>
            </w:r>
          </w:p>
          <w:p w:rsidR="00D85B75" w:rsidRPr="0017292C" w:rsidRDefault="00D85B75" w:rsidP="00A52112">
            <w:pPr>
              <w:spacing w:after="34"/>
              <w:jc w:val="both"/>
              <w:rPr>
                <w:sz w:val="18"/>
                <w:szCs w:val="18"/>
              </w:rPr>
            </w:pPr>
            <w:r w:rsidRPr="0017292C">
              <w:rPr>
                <w:sz w:val="18"/>
                <w:szCs w:val="18"/>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B75" w:rsidRPr="0017292C" w:rsidRDefault="00D85B75" w:rsidP="00427734">
            <w:pPr>
              <w:ind w:left="34"/>
              <w:rPr>
                <w:sz w:val="18"/>
                <w:szCs w:val="18"/>
              </w:rPr>
            </w:pPr>
            <w:r w:rsidRPr="0017292C">
              <w:rPr>
                <w:sz w:val="18"/>
                <w:szCs w:val="18"/>
              </w:rPr>
              <w:t xml:space="preserve">MINECOFIN, </w:t>
            </w:r>
            <w:r w:rsidR="005576A5">
              <w:rPr>
                <w:sz w:val="18"/>
                <w:szCs w:val="18"/>
              </w:rPr>
              <w:t>Private Sector Federation (</w:t>
            </w:r>
            <w:r w:rsidRPr="0017292C">
              <w:rPr>
                <w:sz w:val="18"/>
                <w:szCs w:val="18"/>
              </w:rPr>
              <w:t>PSF</w:t>
            </w:r>
            <w:r w:rsidR="005576A5">
              <w:rPr>
                <w:sz w:val="18"/>
                <w:szCs w:val="18"/>
              </w:rPr>
              <w:t>)</w:t>
            </w:r>
            <w:r w:rsidRPr="0017292C">
              <w:rPr>
                <w:sz w:val="18"/>
                <w:szCs w:val="18"/>
              </w:rPr>
              <w:t>, donors</w:t>
            </w:r>
          </w:p>
          <w:p w:rsidR="00D85B75" w:rsidRPr="0017292C" w:rsidRDefault="00D85B75" w:rsidP="00357D27">
            <w:pPr>
              <w:ind w:left="34"/>
              <w:jc w:val="both"/>
              <w:rPr>
                <w:sz w:val="18"/>
                <w:szCs w:val="18"/>
              </w:rPr>
            </w:pPr>
            <w:r w:rsidRPr="0017292C">
              <w:rPr>
                <w:sz w:val="18"/>
                <w:szCs w:val="18"/>
              </w:rPr>
              <w:t xml:space="preserve"> </w:t>
            </w:r>
          </w:p>
          <w:p w:rsidR="00D85B75" w:rsidRPr="0017292C" w:rsidRDefault="00D85B75" w:rsidP="00357D27">
            <w:pPr>
              <w:ind w:left="34"/>
              <w:jc w:val="both"/>
              <w:rPr>
                <w:sz w:val="18"/>
                <w:szCs w:val="18"/>
              </w:rPr>
            </w:pPr>
          </w:p>
          <w:p w:rsidR="00D85B75" w:rsidRPr="0017292C" w:rsidRDefault="00D85B75" w:rsidP="00357D27">
            <w:pPr>
              <w:ind w:left="34"/>
              <w:jc w:val="both"/>
              <w:rPr>
                <w:sz w:val="18"/>
                <w:szCs w:val="18"/>
              </w:rPr>
            </w:pPr>
          </w:p>
          <w:p w:rsidR="00D85B75" w:rsidRPr="0017292C" w:rsidRDefault="00D85B75" w:rsidP="00357D27">
            <w:pPr>
              <w:ind w:left="34"/>
              <w:jc w:val="both"/>
              <w:rPr>
                <w:sz w:val="18"/>
                <w:szCs w:val="18"/>
              </w:rPr>
            </w:pPr>
          </w:p>
          <w:p w:rsidR="00D85B75" w:rsidRPr="0017292C" w:rsidRDefault="00D85B75" w:rsidP="00357D27">
            <w:pPr>
              <w:ind w:left="34"/>
              <w:jc w:val="both"/>
              <w:rPr>
                <w:sz w:val="18"/>
                <w:szCs w:val="18"/>
              </w:rPr>
            </w:pPr>
          </w:p>
          <w:p w:rsidR="00357D27" w:rsidRPr="0017292C" w:rsidRDefault="00357D27" w:rsidP="00357D27">
            <w:pPr>
              <w:ind w:left="34"/>
              <w:jc w:val="both"/>
              <w:rPr>
                <w:sz w:val="18"/>
                <w:szCs w:val="18"/>
              </w:rPr>
            </w:pPr>
          </w:p>
          <w:p w:rsidR="00357D27" w:rsidRPr="0017292C" w:rsidRDefault="00357D27" w:rsidP="00357D27">
            <w:pPr>
              <w:ind w:left="34"/>
              <w:jc w:val="both"/>
              <w:rPr>
                <w:sz w:val="18"/>
                <w:szCs w:val="18"/>
              </w:rPr>
            </w:pPr>
          </w:p>
          <w:p w:rsidR="00357D27" w:rsidRPr="0017292C" w:rsidRDefault="00357D27" w:rsidP="00357D27">
            <w:pPr>
              <w:ind w:left="34"/>
              <w:jc w:val="both"/>
              <w:rPr>
                <w:sz w:val="18"/>
                <w:szCs w:val="18"/>
              </w:rPr>
            </w:pPr>
          </w:p>
          <w:p w:rsidR="00357D27" w:rsidRPr="0017292C" w:rsidRDefault="00357D27" w:rsidP="00357D27">
            <w:pPr>
              <w:ind w:left="34"/>
              <w:jc w:val="both"/>
              <w:rPr>
                <w:sz w:val="18"/>
                <w:szCs w:val="18"/>
              </w:rPr>
            </w:pPr>
          </w:p>
          <w:p w:rsidR="00357D27" w:rsidRPr="0017292C" w:rsidRDefault="00357D27" w:rsidP="00357D27">
            <w:pPr>
              <w:ind w:left="34"/>
              <w:jc w:val="both"/>
              <w:rPr>
                <w:sz w:val="18"/>
                <w:szCs w:val="18"/>
              </w:rPr>
            </w:pPr>
          </w:p>
          <w:p w:rsidR="00D85B75" w:rsidRPr="0017292C" w:rsidRDefault="00D85B75" w:rsidP="00357D27">
            <w:pPr>
              <w:ind w:left="34"/>
              <w:jc w:val="both"/>
              <w:rPr>
                <w:sz w:val="18"/>
                <w:szCs w:val="18"/>
              </w:rPr>
            </w:pPr>
          </w:p>
          <w:p w:rsidR="00D85B75" w:rsidRPr="0017292C" w:rsidRDefault="00D85B75" w:rsidP="00357D27">
            <w:pPr>
              <w:ind w:left="34"/>
              <w:jc w:val="both"/>
              <w:rPr>
                <w:sz w:val="18"/>
                <w:szCs w:val="18"/>
              </w:rPr>
            </w:pPr>
          </w:p>
          <w:p w:rsidR="00D85B75" w:rsidRPr="0017292C" w:rsidRDefault="00D85B75" w:rsidP="00357D27">
            <w:pPr>
              <w:ind w:left="34"/>
              <w:rPr>
                <w:sz w:val="18"/>
                <w:szCs w:val="18"/>
              </w:rPr>
            </w:pPr>
            <w:r w:rsidRPr="0017292C">
              <w:rPr>
                <w:sz w:val="18"/>
                <w:szCs w:val="18"/>
              </w:rPr>
              <w:t xml:space="preserve"> </w:t>
            </w:r>
            <w:r w:rsidR="005576A5">
              <w:rPr>
                <w:sz w:val="18"/>
                <w:szCs w:val="18"/>
              </w:rPr>
              <w:t>Ministry of Youth</w:t>
            </w:r>
            <w:r w:rsidRPr="0017292C">
              <w:rPr>
                <w:sz w:val="18"/>
                <w:szCs w:val="18"/>
              </w:rPr>
              <w:t>, private sector, CSO</w:t>
            </w:r>
            <w:r w:rsidR="005576A5">
              <w:rPr>
                <w:sz w:val="18"/>
                <w:szCs w:val="18"/>
              </w:rPr>
              <w:t>s</w:t>
            </w:r>
          </w:p>
          <w:p w:rsidR="00D85B75" w:rsidRPr="0017292C" w:rsidRDefault="00D85B75" w:rsidP="00A52112">
            <w:pPr>
              <w:ind w:left="25"/>
              <w:jc w:val="both"/>
              <w:rPr>
                <w:sz w:val="18"/>
                <w:szCs w:val="18"/>
              </w:rPr>
            </w:pPr>
          </w:p>
          <w:p w:rsidR="00D85B75" w:rsidRPr="0017292C" w:rsidRDefault="00D85B75" w:rsidP="00A52112">
            <w:pPr>
              <w:ind w:left="25"/>
              <w:jc w:val="both"/>
              <w:rPr>
                <w:sz w:val="18"/>
                <w:szCs w:val="18"/>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B75" w:rsidRPr="0017292C" w:rsidRDefault="00D85B75" w:rsidP="006C741F">
            <w:pPr>
              <w:spacing w:after="16"/>
              <w:ind w:left="276" w:hanging="90"/>
              <w:jc w:val="both"/>
              <w:rPr>
                <w:sz w:val="18"/>
                <w:szCs w:val="18"/>
              </w:rPr>
            </w:pPr>
            <w:r w:rsidRPr="0017292C">
              <w:rPr>
                <w:b/>
                <w:bCs/>
                <w:sz w:val="18"/>
                <w:szCs w:val="18"/>
              </w:rPr>
              <w:t xml:space="preserve">Regular  </w:t>
            </w:r>
          </w:p>
          <w:p w:rsidR="00D85B75" w:rsidRPr="0017292C" w:rsidRDefault="00D85B75" w:rsidP="006C741F">
            <w:pPr>
              <w:ind w:left="276" w:hanging="90"/>
              <w:jc w:val="both"/>
              <w:rPr>
                <w:b/>
                <w:sz w:val="18"/>
                <w:szCs w:val="18"/>
              </w:rPr>
            </w:pPr>
            <w:r w:rsidRPr="0017292C">
              <w:rPr>
                <w:b/>
                <w:bCs/>
                <w:sz w:val="18"/>
                <w:szCs w:val="18"/>
              </w:rPr>
              <w:t>$5,</w:t>
            </w:r>
            <w:r w:rsidR="00662BF6" w:rsidRPr="0017292C">
              <w:rPr>
                <w:b/>
                <w:bCs/>
                <w:sz w:val="18"/>
                <w:szCs w:val="18"/>
              </w:rPr>
              <w:t>596,750</w:t>
            </w:r>
          </w:p>
          <w:p w:rsidR="00D85B75" w:rsidRPr="0017292C" w:rsidRDefault="00D85B75" w:rsidP="006C741F">
            <w:pPr>
              <w:ind w:left="276" w:hanging="90"/>
              <w:jc w:val="both"/>
              <w:rPr>
                <w:sz w:val="18"/>
                <w:szCs w:val="18"/>
              </w:rPr>
            </w:pPr>
            <w:r w:rsidRPr="0017292C">
              <w:rPr>
                <w:b/>
                <w:sz w:val="18"/>
                <w:szCs w:val="18"/>
              </w:rPr>
              <w:t xml:space="preserve"> </w:t>
            </w:r>
          </w:p>
          <w:p w:rsidR="00D85B75" w:rsidRPr="0017292C" w:rsidRDefault="00D85B75" w:rsidP="006C741F">
            <w:pPr>
              <w:ind w:left="276" w:hanging="90"/>
              <w:jc w:val="both"/>
              <w:rPr>
                <w:sz w:val="18"/>
                <w:szCs w:val="18"/>
              </w:rPr>
            </w:pPr>
            <w:r w:rsidRPr="0017292C">
              <w:rPr>
                <w:b/>
                <w:sz w:val="18"/>
                <w:szCs w:val="18"/>
              </w:rPr>
              <w:t xml:space="preserve"> </w:t>
            </w:r>
          </w:p>
          <w:p w:rsidR="00D85B75" w:rsidRPr="0017292C" w:rsidRDefault="00D85B75" w:rsidP="006C741F">
            <w:pPr>
              <w:spacing w:after="15"/>
              <w:ind w:left="276" w:hanging="90"/>
              <w:jc w:val="both"/>
              <w:rPr>
                <w:sz w:val="18"/>
                <w:szCs w:val="18"/>
              </w:rPr>
            </w:pPr>
            <w:r w:rsidRPr="0017292C">
              <w:rPr>
                <w:b/>
                <w:bCs/>
                <w:sz w:val="18"/>
                <w:szCs w:val="18"/>
              </w:rPr>
              <w:t xml:space="preserve">Other  </w:t>
            </w:r>
          </w:p>
          <w:p w:rsidR="00D85B75" w:rsidRPr="0017292C" w:rsidRDefault="00D85B75" w:rsidP="006C741F">
            <w:pPr>
              <w:ind w:left="276" w:hanging="90"/>
              <w:jc w:val="both"/>
              <w:rPr>
                <w:sz w:val="18"/>
                <w:szCs w:val="18"/>
              </w:rPr>
            </w:pPr>
            <w:r w:rsidRPr="0017292C">
              <w:rPr>
                <w:b/>
                <w:bCs/>
                <w:sz w:val="18"/>
                <w:szCs w:val="18"/>
              </w:rPr>
              <w:t>$8,666,543</w:t>
            </w:r>
          </w:p>
          <w:p w:rsidR="00D85B75" w:rsidRPr="0017292C" w:rsidRDefault="00D85B75" w:rsidP="006C741F">
            <w:pPr>
              <w:ind w:left="276" w:hanging="90"/>
              <w:jc w:val="both"/>
              <w:rPr>
                <w:sz w:val="18"/>
                <w:szCs w:val="18"/>
              </w:rPr>
            </w:pPr>
            <w:r w:rsidRPr="0017292C">
              <w:rPr>
                <w:b/>
                <w:sz w:val="18"/>
                <w:szCs w:val="18"/>
              </w:rPr>
              <w:t xml:space="preserve"> </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ind w:left="106" w:hanging="106"/>
              <w:jc w:val="both"/>
              <w:rPr>
                <w:b/>
                <w:bCs/>
                <w:sz w:val="18"/>
                <w:szCs w:val="18"/>
              </w:rPr>
            </w:pPr>
            <w:r w:rsidRPr="0017292C">
              <w:rPr>
                <w:b/>
                <w:bCs/>
                <w:sz w:val="18"/>
                <w:szCs w:val="18"/>
              </w:rPr>
              <w:t xml:space="preserve">National priority: </w:t>
            </w:r>
            <w:r w:rsidRPr="0017292C">
              <w:rPr>
                <w:sz w:val="18"/>
                <w:szCs w:val="18"/>
              </w:rPr>
              <w:t xml:space="preserve"> Accelerate inclusive economic growth and development founded on the </w:t>
            </w:r>
            <w:r w:rsidR="005576A5">
              <w:rPr>
                <w:sz w:val="18"/>
                <w:szCs w:val="18"/>
              </w:rPr>
              <w:t>p</w:t>
            </w:r>
            <w:r w:rsidR="005576A5" w:rsidRPr="0017292C">
              <w:rPr>
                <w:sz w:val="18"/>
                <w:szCs w:val="18"/>
              </w:rPr>
              <w:t xml:space="preserve">rivate </w:t>
            </w:r>
            <w:r w:rsidR="005576A5">
              <w:rPr>
                <w:sz w:val="18"/>
                <w:szCs w:val="18"/>
              </w:rPr>
              <w:t>s</w:t>
            </w:r>
            <w:r w:rsidR="005576A5" w:rsidRPr="0017292C">
              <w:rPr>
                <w:sz w:val="18"/>
                <w:szCs w:val="18"/>
              </w:rPr>
              <w:t>ector</w:t>
            </w:r>
            <w:r w:rsidRPr="0017292C">
              <w:rPr>
                <w:sz w:val="18"/>
                <w:szCs w:val="18"/>
              </w:rPr>
              <w:t xml:space="preserve">, </w:t>
            </w:r>
            <w:r w:rsidR="005576A5">
              <w:rPr>
                <w:sz w:val="18"/>
                <w:szCs w:val="18"/>
              </w:rPr>
              <w:t>k</w:t>
            </w:r>
            <w:r w:rsidR="005576A5" w:rsidRPr="0017292C">
              <w:rPr>
                <w:sz w:val="18"/>
                <w:szCs w:val="18"/>
              </w:rPr>
              <w:t xml:space="preserve">nowledge </w:t>
            </w:r>
            <w:r w:rsidRPr="0017292C">
              <w:rPr>
                <w:sz w:val="18"/>
                <w:szCs w:val="18"/>
              </w:rPr>
              <w:t xml:space="preserve">and Rwanda’s </w:t>
            </w:r>
            <w:r w:rsidR="005576A5">
              <w:rPr>
                <w:sz w:val="18"/>
                <w:szCs w:val="18"/>
              </w:rPr>
              <w:t>n</w:t>
            </w:r>
            <w:r w:rsidR="005576A5" w:rsidRPr="0017292C">
              <w:rPr>
                <w:sz w:val="18"/>
                <w:szCs w:val="18"/>
              </w:rPr>
              <w:t xml:space="preserve">atural </w:t>
            </w:r>
            <w:r w:rsidR="005576A5">
              <w:rPr>
                <w:sz w:val="18"/>
                <w:szCs w:val="18"/>
              </w:rPr>
              <w:t>r</w:t>
            </w:r>
            <w:r w:rsidR="005576A5" w:rsidRPr="0017292C">
              <w:rPr>
                <w:sz w:val="18"/>
                <w:szCs w:val="18"/>
              </w:rPr>
              <w:t>esources</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ind w:left="106" w:hanging="106"/>
              <w:jc w:val="both"/>
              <w:rPr>
                <w:b/>
                <w:bCs/>
                <w:sz w:val="18"/>
                <w:szCs w:val="18"/>
              </w:rPr>
            </w:pPr>
            <w:r w:rsidRPr="0017292C">
              <w:rPr>
                <w:b/>
                <w:bCs/>
                <w:sz w:val="18"/>
                <w:szCs w:val="18"/>
              </w:rPr>
              <w:t xml:space="preserve">UNDAP outcome 4: </w:t>
            </w:r>
            <w:r w:rsidRPr="0017292C">
              <w:rPr>
                <w:sz w:val="18"/>
                <w:szCs w:val="18"/>
              </w:rPr>
              <w:t>By 2023 Rwandan institutions and communities are more equitably, productively and sustainably managing natural resources and addressing climate change</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ind w:left="106" w:hanging="106"/>
              <w:jc w:val="both"/>
              <w:rPr>
                <w:b/>
                <w:bCs/>
                <w:sz w:val="18"/>
                <w:szCs w:val="18"/>
              </w:rPr>
            </w:pPr>
            <w:r w:rsidRPr="0017292C">
              <w:rPr>
                <w:b/>
                <w:bCs/>
                <w:sz w:val="18"/>
                <w:szCs w:val="18"/>
              </w:rPr>
              <w:t>UNDP S</w:t>
            </w:r>
            <w:r w:rsidR="005576A5">
              <w:rPr>
                <w:b/>
                <w:bCs/>
                <w:sz w:val="18"/>
                <w:szCs w:val="18"/>
              </w:rPr>
              <w:t xml:space="preserve">trategic </w:t>
            </w:r>
            <w:r w:rsidRPr="0017292C">
              <w:rPr>
                <w:b/>
                <w:bCs/>
                <w:sz w:val="18"/>
                <w:szCs w:val="18"/>
              </w:rPr>
              <w:t>P</w:t>
            </w:r>
            <w:r w:rsidR="005576A5">
              <w:rPr>
                <w:b/>
                <w:bCs/>
                <w:sz w:val="18"/>
                <w:szCs w:val="18"/>
              </w:rPr>
              <w:t>lan</w:t>
            </w:r>
            <w:r w:rsidRPr="0017292C">
              <w:rPr>
                <w:b/>
                <w:bCs/>
                <w:sz w:val="18"/>
                <w:szCs w:val="18"/>
              </w:rPr>
              <w:t xml:space="preserve"> outcome 3: </w:t>
            </w:r>
            <w:r w:rsidRPr="0017292C">
              <w:rPr>
                <w:rFonts w:eastAsia="Calibri"/>
                <w:sz w:val="18"/>
                <w:szCs w:val="18"/>
              </w:rPr>
              <w:t>Build resilience to shocks and crises</w:t>
            </w:r>
          </w:p>
        </w:tc>
      </w:tr>
      <w:tr w:rsidR="00D85B75" w:rsidRPr="0017292C" w:rsidTr="00D8626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0E5E21">
            <w:pPr>
              <w:spacing w:after="28"/>
              <w:ind w:right="137"/>
              <w:rPr>
                <w:sz w:val="18"/>
                <w:szCs w:val="18"/>
              </w:rPr>
            </w:pPr>
            <w:r w:rsidRPr="0017292C">
              <w:rPr>
                <w:b/>
                <w:bCs/>
                <w:sz w:val="18"/>
                <w:szCs w:val="18"/>
              </w:rPr>
              <w:t>Indicator 2.1.</w:t>
            </w:r>
            <w:r w:rsidRPr="0017292C">
              <w:rPr>
                <w:sz w:val="18"/>
                <w:szCs w:val="18"/>
              </w:rPr>
              <w:t xml:space="preserve"> Percentage of public expenditure on environment, natural resources and climate </w:t>
            </w:r>
            <w:r w:rsidRPr="0017292C">
              <w:rPr>
                <w:sz w:val="18"/>
                <w:szCs w:val="18"/>
              </w:rPr>
              <w:lastRenderedPageBreak/>
              <w:t>change as a proportion of total public expenditure</w:t>
            </w:r>
          </w:p>
          <w:p w:rsidR="00D85B75" w:rsidRPr="000E5E21" w:rsidRDefault="00D85B75" w:rsidP="00A52112">
            <w:pPr>
              <w:spacing w:after="18"/>
              <w:jc w:val="both"/>
              <w:rPr>
                <w:sz w:val="18"/>
                <w:szCs w:val="18"/>
              </w:rPr>
            </w:pPr>
            <w:r w:rsidRPr="000E5E21">
              <w:rPr>
                <w:bCs/>
                <w:i/>
                <w:iCs/>
                <w:sz w:val="18"/>
                <w:szCs w:val="18"/>
              </w:rPr>
              <w:t>Baseline (2015/16):</w:t>
            </w:r>
            <w:r w:rsidRPr="000E5E21">
              <w:rPr>
                <w:bCs/>
                <w:sz w:val="18"/>
                <w:szCs w:val="18"/>
              </w:rPr>
              <w:t xml:space="preserve"> </w:t>
            </w:r>
            <w:r w:rsidRPr="000E5E21">
              <w:rPr>
                <w:sz w:val="18"/>
                <w:szCs w:val="18"/>
              </w:rPr>
              <w:t xml:space="preserve"> 6.2%  </w:t>
            </w:r>
          </w:p>
          <w:p w:rsidR="00D85B75" w:rsidRPr="0017292C" w:rsidRDefault="00D85B75" w:rsidP="00A52112">
            <w:pPr>
              <w:spacing w:after="165"/>
              <w:jc w:val="both"/>
              <w:rPr>
                <w:rStyle w:val="EndnoteReference"/>
                <w:sz w:val="18"/>
                <w:szCs w:val="18"/>
              </w:rPr>
            </w:pPr>
            <w:r w:rsidRPr="000E5E21">
              <w:rPr>
                <w:bCs/>
                <w:i/>
                <w:iCs/>
                <w:sz w:val="18"/>
                <w:szCs w:val="18"/>
              </w:rPr>
              <w:t>Target:</w:t>
            </w:r>
            <w:r w:rsidRPr="0017292C">
              <w:rPr>
                <w:b/>
                <w:bCs/>
                <w:sz w:val="18"/>
                <w:szCs w:val="18"/>
              </w:rPr>
              <w:t xml:space="preserve"> </w:t>
            </w:r>
            <w:r w:rsidRPr="0017292C">
              <w:rPr>
                <w:sz w:val="18"/>
                <w:szCs w:val="18"/>
              </w:rPr>
              <w:t xml:space="preserve">8% </w:t>
            </w:r>
          </w:p>
          <w:p w:rsidR="00D85B75" w:rsidRPr="0017292C" w:rsidRDefault="00D85B75" w:rsidP="00A52112">
            <w:pPr>
              <w:spacing w:after="7"/>
              <w:ind w:left="142" w:right="110"/>
              <w:jc w:val="both"/>
              <w:rPr>
                <w:b/>
                <w:sz w:val="18"/>
                <w:szCs w:val="18"/>
              </w:rPr>
            </w:pPr>
          </w:p>
          <w:p w:rsidR="00D85B75" w:rsidRPr="0017292C" w:rsidRDefault="00D85B75" w:rsidP="00A52112">
            <w:pPr>
              <w:spacing w:after="28"/>
              <w:ind w:right="137"/>
              <w:jc w:val="both"/>
              <w:rPr>
                <w:b/>
                <w:bCs/>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4"/>
              <w:ind w:left="25"/>
              <w:jc w:val="both"/>
              <w:rPr>
                <w:sz w:val="18"/>
                <w:szCs w:val="18"/>
              </w:rPr>
            </w:pPr>
            <w:r w:rsidRPr="0017292C">
              <w:rPr>
                <w:sz w:val="18"/>
                <w:szCs w:val="18"/>
              </w:rPr>
              <w:lastRenderedPageBreak/>
              <w:t>MINECOFIN</w:t>
            </w:r>
            <w:r w:rsidR="005576A5">
              <w:rPr>
                <w:sz w:val="18"/>
                <w:szCs w:val="18"/>
              </w:rPr>
              <w:t xml:space="preserve"> yearly budget assessment reports</w:t>
            </w:r>
          </w:p>
          <w:p w:rsidR="00D85B75" w:rsidRPr="0017292C" w:rsidRDefault="00D85B75" w:rsidP="00A52112">
            <w:pPr>
              <w:ind w:left="25"/>
              <w:jc w:val="both"/>
              <w:rPr>
                <w:b/>
                <w:bCs/>
                <w:sz w:val="18"/>
                <w:szCs w:val="18"/>
              </w:rPr>
            </w:pPr>
          </w:p>
          <w:p w:rsidR="00D85B75" w:rsidRPr="0017292C" w:rsidRDefault="00D85B75" w:rsidP="00A52112">
            <w:pPr>
              <w:jc w:val="both"/>
              <w:rPr>
                <w:b/>
                <w:bCs/>
                <w:sz w:val="18"/>
                <w:szCs w:val="18"/>
              </w:rPr>
            </w:pPr>
            <w:r w:rsidRPr="0017292C">
              <w:rPr>
                <w:sz w:val="18"/>
                <w:szCs w:val="18"/>
              </w:rPr>
              <w:t xml:space="preserve">Annual </w:t>
            </w:r>
            <w:r w:rsidR="00B26A32">
              <w:rPr>
                <w:sz w:val="18"/>
                <w:szCs w:val="18"/>
              </w:rPr>
              <w:t>j</w:t>
            </w:r>
            <w:r w:rsidR="00B26A32" w:rsidRPr="0017292C">
              <w:rPr>
                <w:sz w:val="18"/>
                <w:szCs w:val="18"/>
              </w:rPr>
              <w:t xml:space="preserve">oint </w:t>
            </w:r>
            <w:r w:rsidR="00B26A32">
              <w:rPr>
                <w:sz w:val="18"/>
                <w:szCs w:val="18"/>
              </w:rPr>
              <w:t>s</w:t>
            </w:r>
            <w:r w:rsidR="00B26A32" w:rsidRPr="0017292C">
              <w:rPr>
                <w:sz w:val="18"/>
                <w:szCs w:val="18"/>
              </w:rPr>
              <w:t xml:space="preserve">ector </w:t>
            </w:r>
            <w:r w:rsidRPr="0017292C">
              <w:rPr>
                <w:sz w:val="18"/>
                <w:szCs w:val="18"/>
              </w:rPr>
              <w:t>review report</w:t>
            </w:r>
          </w:p>
          <w:p w:rsidR="00D85B75" w:rsidRPr="0017292C" w:rsidRDefault="00D85B75" w:rsidP="00A52112">
            <w:pPr>
              <w:ind w:left="25"/>
              <w:jc w:val="both"/>
              <w:rPr>
                <w:sz w:val="18"/>
                <w:szCs w:val="18"/>
              </w:rPr>
            </w:pPr>
          </w:p>
          <w:p w:rsidR="00D85B75" w:rsidRPr="0017292C" w:rsidRDefault="00D85B75" w:rsidP="00A52112">
            <w:pPr>
              <w:jc w:val="both"/>
              <w:rPr>
                <w:sz w:val="18"/>
                <w:szCs w:val="18"/>
              </w:rPr>
            </w:pPr>
          </w:p>
          <w:p w:rsidR="00D85B75" w:rsidRPr="0017292C" w:rsidRDefault="00D85B75" w:rsidP="00A52112">
            <w:pPr>
              <w:ind w:left="25"/>
              <w:jc w:val="both"/>
              <w:rPr>
                <w:sz w:val="18"/>
                <w:szCs w:val="18"/>
              </w:rPr>
            </w:pPr>
          </w:p>
          <w:p w:rsidR="00D85B75" w:rsidRPr="0017292C" w:rsidRDefault="00D85B75" w:rsidP="00A52112">
            <w:pPr>
              <w:ind w:left="25"/>
              <w:jc w:val="both"/>
              <w:rPr>
                <w:sz w:val="18"/>
                <w:szCs w:val="18"/>
              </w:rPr>
            </w:pPr>
          </w:p>
          <w:p w:rsidR="00D85B75" w:rsidRPr="0017292C" w:rsidRDefault="00D85B75" w:rsidP="00A52112">
            <w:pPr>
              <w:ind w:left="25"/>
              <w:jc w:val="both"/>
              <w:rPr>
                <w:sz w:val="18"/>
                <w:szCs w:val="18"/>
              </w:rPr>
            </w:pPr>
          </w:p>
          <w:p w:rsidR="00D85B75" w:rsidRPr="0017292C" w:rsidRDefault="00D85B75" w:rsidP="00A52112">
            <w:pPr>
              <w:ind w:left="25"/>
              <w:jc w:val="both"/>
              <w:rPr>
                <w:sz w:val="18"/>
                <w:szCs w:val="18"/>
              </w:rPr>
            </w:pPr>
          </w:p>
          <w:p w:rsidR="00D85B75" w:rsidRPr="0017292C" w:rsidRDefault="00D85B75" w:rsidP="00A52112">
            <w:pPr>
              <w:ind w:left="25"/>
              <w:jc w:val="both"/>
              <w:rPr>
                <w:b/>
                <w:bCs/>
                <w:sz w:val="18"/>
                <w:szCs w:val="18"/>
              </w:rPr>
            </w:pPr>
          </w:p>
          <w:p w:rsidR="00D85B75" w:rsidRPr="0017292C" w:rsidRDefault="00D85B75" w:rsidP="000E5E21">
            <w:pPr>
              <w:ind w:left="25"/>
              <w:rPr>
                <w:sz w:val="18"/>
                <w:szCs w:val="18"/>
              </w:rPr>
            </w:pPr>
            <w:r w:rsidRPr="0017292C">
              <w:rPr>
                <w:b/>
                <w:bCs/>
                <w:sz w:val="18"/>
                <w:szCs w:val="18"/>
              </w:rPr>
              <w:t xml:space="preserve"> </w:t>
            </w:r>
          </w:p>
          <w:p w:rsidR="00D85B75" w:rsidRPr="0017292C" w:rsidRDefault="00D85B75" w:rsidP="000E5E21">
            <w:pPr>
              <w:ind w:left="25"/>
              <w:rPr>
                <w:sz w:val="18"/>
                <w:szCs w:val="18"/>
              </w:rPr>
            </w:pPr>
            <w:r w:rsidRPr="0017292C">
              <w:rPr>
                <w:sz w:val="18"/>
                <w:szCs w:val="18"/>
              </w:rPr>
              <w:t>Annual project report</w:t>
            </w:r>
          </w:p>
          <w:p w:rsidR="00D85B75" w:rsidRPr="0017292C" w:rsidRDefault="00D85B75" w:rsidP="000E5E21">
            <w:pPr>
              <w:spacing w:after="12"/>
              <w:rPr>
                <w:sz w:val="18"/>
                <w:szCs w:val="18"/>
              </w:rPr>
            </w:pPr>
          </w:p>
          <w:p w:rsidR="00D85B75" w:rsidRPr="0017292C" w:rsidRDefault="00D85B75" w:rsidP="000E5E21">
            <w:pPr>
              <w:spacing w:after="12"/>
              <w:rPr>
                <w:sz w:val="18"/>
                <w:szCs w:val="18"/>
              </w:rPr>
            </w:pPr>
          </w:p>
          <w:p w:rsidR="00D85B75" w:rsidRPr="0017292C" w:rsidRDefault="00D85B75" w:rsidP="000E5E21">
            <w:pPr>
              <w:spacing w:after="12"/>
              <w:rPr>
                <w:sz w:val="18"/>
                <w:szCs w:val="18"/>
              </w:rPr>
            </w:pPr>
          </w:p>
          <w:p w:rsidR="00D85B75" w:rsidRPr="0017292C" w:rsidRDefault="00B26A32" w:rsidP="000E5E21">
            <w:pPr>
              <w:spacing w:after="12"/>
              <w:rPr>
                <w:sz w:val="18"/>
                <w:szCs w:val="18"/>
              </w:rPr>
            </w:pPr>
            <w:r>
              <w:rPr>
                <w:sz w:val="18"/>
                <w:szCs w:val="18"/>
              </w:rPr>
              <w:t>Ministry of Disaster Management and Refugees Affairs</w:t>
            </w:r>
            <w:r w:rsidR="003679FD">
              <w:rPr>
                <w:sz w:val="18"/>
                <w:szCs w:val="18"/>
              </w:rPr>
              <w:t xml:space="preserve"> (MIDIMAR)</w:t>
            </w:r>
            <w:r>
              <w:rPr>
                <w:sz w:val="18"/>
                <w:szCs w:val="18"/>
              </w:rPr>
              <w:t>, r</w:t>
            </w:r>
            <w:r w:rsidR="00D85B75" w:rsidRPr="0017292C">
              <w:rPr>
                <w:sz w:val="18"/>
                <w:szCs w:val="18"/>
              </w:rPr>
              <w:t>eport on Sendai Framework, every five years</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ind w:left="160" w:right="78"/>
              <w:jc w:val="both"/>
              <w:rPr>
                <w:strike/>
                <w:sz w:val="18"/>
                <w:szCs w:val="18"/>
              </w:rPr>
            </w:pPr>
            <w:r w:rsidRPr="0017292C">
              <w:rPr>
                <w:b/>
                <w:bCs/>
                <w:sz w:val="18"/>
                <w:szCs w:val="18"/>
              </w:rPr>
              <w:lastRenderedPageBreak/>
              <w:t xml:space="preserve">Output 2.1. </w:t>
            </w:r>
            <w:r w:rsidR="005576A5">
              <w:rPr>
                <w:sz w:val="18"/>
                <w:szCs w:val="18"/>
              </w:rPr>
              <w:t>Environment and natural resources</w:t>
            </w:r>
            <w:r w:rsidR="005576A5" w:rsidRPr="0017292C">
              <w:rPr>
                <w:sz w:val="18"/>
                <w:szCs w:val="18"/>
              </w:rPr>
              <w:t xml:space="preserve"> </w:t>
            </w:r>
            <w:r w:rsidRPr="0017292C">
              <w:rPr>
                <w:sz w:val="18"/>
                <w:szCs w:val="18"/>
              </w:rPr>
              <w:t xml:space="preserve">sector institutions have enhanced technical capacity to formulate and implement gender-responsive policies and plans and to mainstream </w:t>
            </w:r>
            <w:r w:rsidR="005576A5">
              <w:rPr>
                <w:sz w:val="18"/>
                <w:szCs w:val="18"/>
              </w:rPr>
              <w:t>environment and natural resources</w:t>
            </w:r>
            <w:r w:rsidR="005576A5" w:rsidRPr="0017292C" w:rsidDel="005576A5">
              <w:rPr>
                <w:sz w:val="18"/>
                <w:szCs w:val="18"/>
              </w:rPr>
              <w:t xml:space="preserve"> </w:t>
            </w:r>
            <w:r w:rsidR="005576A5">
              <w:rPr>
                <w:sz w:val="18"/>
                <w:szCs w:val="18"/>
              </w:rPr>
              <w:t>and climate change</w:t>
            </w:r>
            <w:r w:rsidRPr="0017292C">
              <w:rPr>
                <w:sz w:val="18"/>
                <w:szCs w:val="18"/>
              </w:rPr>
              <w:t xml:space="preserve"> in other sectors and districts </w:t>
            </w:r>
          </w:p>
          <w:p w:rsidR="00D85B75" w:rsidRPr="0017292C" w:rsidRDefault="00D85B75" w:rsidP="00A52112">
            <w:pPr>
              <w:ind w:left="160" w:right="78"/>
              <w:jc w:val="both"/>
              <w:rPr>
                <w:sz w:val="18"/>
                <w:szCs w:val="18"/>
              </w:rPr>
            </w:pPr>
            <w:r w:rsidRPr="0017292C">
              <w:rPr>
                <w:b/>
                <w:bCs/>
                <w:sz w:val="18"/>
                <w:szCs w:val="18"/>
              </w:rPr>
              <w:lastRenderedPageBreak/>
              <w:t xml:space="preserve">Indicator 2.1.1. </w:t>
            </w:r>
            <w:r w:rsidRPr="0017292C">
              <w:rPr>
                <w:sz w:val="18"/>
                <w:szCs w:val="18"/>
              </w:rPr>
              <w:t>Percentage of</w:t>
            </w:r>
            <w:r w:rsidR="005576A5">
              <w:rPr>
                <w:sz w:val="18"/>
                <w:szCs w:val="18"/>
              </w:rPr>
              <w:t xml:space="preserve"> environment and natural resources</w:t>
            </w:r>
            <w:r w:rsidR="005576A5" w:rsidRPr="0017292C">
              <w:rPr>
                <w:sz w:val="18"/>
                <w:szCs w:val="18"/>
              </w:rPr>
              <w:t xml:space="preserve"> </w:t>
            </w:r>
            <w:r w:rsidR="005576A5">
              <w:rPr>
                <w:sz w:val="18"/>
                <w:szCs w:val="18"/>
              </w:rPr>
              <w:t xml:space="preserve">and climate </w:t>
            </w:r>
            <w:r w:rsidR="00AE73BD">
              <w:rPr>
                <w:sz w:val="18"/>
                <w:szCs w:val="18"/>
              </w:rPr>
              <w:t>change</w:t>
            </w:r>
            <w:r w:rsidR="00AE73BD" w:rsidRPr="0017292C" w:rsidDel="005576A5">
              <w:rPr>
                <w:sz w:val="18"/>
                <w:szCs w:val="18"/>
              </w:rPr>
              <w:t xml:space="preserve"> </w:t>
            </w:r>
            <w:r w:rsidR="00AE73BD" w:rsidRPr="0017292C">
              <w:rPr>
                <w:sz w:val="18"/>
                <w:szCs w:val="18"/>
              </w:rPr>
              <w:t>targets</w:t>
            </w:r>
            <w:r w:rsidRPr="0017292C">
              <w:rPr>
                <w:sz w:val="18"/>
                <w:szCs w:val="18"/>
              </w:rPr>
              <w:t xml:space="preserve"> met in the 30 districts and </w:t>
            </w:r>
            <w:r w:rsidR="001E2EF5">
              <w:rPr>
                <w:sz w:val="18"/>
                <w:szCs w:val="18"/>
              </w:rPr>
              <w:t xml:space="preserve">4 </w:t>
            </w:r>
            <w:r w:rsidRPr="0017292C">
              <w:rPr>
                <w:sz w:val="18"/>
                <w:szCs w:val="18"/>
              </w:rPr>
              <w:t>priority sectors</w:t>
            </w:r>
          </w:p>
          <w:p w:rsidR="00D85B75" w:rsidRPr="000E5E21" w:rsidRDefault="00D85B75" w:rsidP="00A52112">
            <w:pPr>
              <w:ind w:left="160" w:right="78"/>
              <w:jc w:val="both"/>
              <w:rPr>
                <w:bCs/>
                <w:sz w:val="18"/>
                <w:szCs w:val="18"/>
              </w:rPr>
            </w:pPr>
            <w:r w:rsidRPr="000E5E21">
              <w:rPr>
                <w:bCs/>
                <w:i/>
                <w:iCs/>
                <w:sz w:val="18"/>
                <w:szCs w:val="18"/>
              </w:rPr>
              <w:t xml:space="preserve">Baseline: </w:t>
            </w:r>
            <w:r w:rsidRPr="000E5E21">
              <w:rPr>
                <w:sz w:val="18"/>
                <w:szCs w:val="18"/>
              </w:rPr>
              <w:t xml:space="preserve">0% </w:t>
            </w:r>
          </w:p>
          <w:p w:rsidR="00D85B75" w:rsidRPr="0017292C" w:rsidRDefault="00D85B75" w:rsidP="00A52112">
            <w:pPr>
              <w:ind w:left="160" w:right="748"/>
              <w:jc w:val="both"/>
              <w:rPr>
                <w:sz w:val="18"/>
                <w:szCs w:val="18"/>
              </w:rPr>
            </w:pPr>
            <w:r w:rsidRPr="000E5E21">
              <w:rPr>
                <w:bCs/>
                <w:i/>
                <w:iCs/>
                <w:sz w:val="18"/>
                <w:szCs w:val="18"/>
              </w:rPr>
              <w:t>Target:</w:t>
            </w:r>
            <w:r w:rsidRPr="000E5E21">
              <w:rPr>
                <w:sz w:val="18"/>
                <w:szCs w:val="18"/>
              </w:rPr>
              <w:t xml:space="preserve"> Greater</w:t>
            </w:r>
            <w:r w:rsidRPr="0017292C">
              <w:rPr>
                <w:sz w:val="18"/>
                <w:szCs w:val="18"/>
              </w:rPr>
              <w:t xml:space="preserve"> than 90</w:t>
            </w:r>
            <w:r w:rsidRPr="0017292C">
              <w:rPr>
                <w:rFonts w:eastAsia="Calibri"/>
                <w:sz w:val="18"/>
                <w:szCs w:val="18"/>
              </w:rPr>
              <w:t>%</w:t>
            </w:r>
          </w:p>
          <w:p w:rsidR="00D85B75" w:rsidRPr="0017292C" w:rsidRDefault="00D85B75" w:rsidP="00A52112">
            <w:pPr>
              <w:ind w:left="160" w:right="748"/>
              <w:jc w:val="both"/>
              <w:rPr>
                <w:sz w:val="18"/>
                <w:szCs w:val="18"/>
              </w:rPr>
            </w:pPr>
          </w:p>
          <w:p w:rsidR="00D85B75" w:rsidRPr="0017292C" w:rsidRDefault="00D85B75" w:rsidP="00A52112">
            <w:pPr>
              <w:ind w:left="160" w:right="748"/>
              <w:jc w:val="both"/>
              <w:rPr>
                <w:rFonts w:eastAsia="Calibri"/>
                <w:sz w:val="18"/>
                <w:szCs w:val="18"/>
              </w:rPr>
            </w:pPr>
            <w:r w:rsidRPr="0017292C">
              <w:rPr>
                <w:b/>
                <w:bCs/>
                <w:sz w:val="18"/>
                <w:szCs w:val="18"/>
              </w:rPr>
              <w:t xml:space="preserve">Indicator 2.1.2 </w:t>
            </w:r>
            <w:r w:rsidRPr="0017292C">
              <w:rPr>
                <w:rFonts w:eastAsia="Calibri"/>
                <w:sz w:val="18"/>
                <w:szCs w:val="18"/>
              </w:rPr>
              <w:t xml:space="preserve">Extent to which </w:t>
            </w:r>
            <w:r w:rsidR="00BA5CD5" w:rsidRPr="0017292C">
              <w:rPr>
                <w:rFonts w:eastAsia="Calibri"/>
                <w:sz w:val="18"/>
                <w:szCs w:val="18"/>
              </w:rPr>
              <w:t xml:space="preserve">the </w:t>
            </w:r>
            <w:r w:rsidR="00BA5CD5">
              <w:rPr>
                <w:sz w:val="18"/>
                <w:szCs w:val="18"/>
              </w:rPr>
              <w:t>environment</w:t>
            </w:r>
            <w:r w:rsidR="00B26A32">
              <w:rPr>
                <w:sz w:val="18"/>
                <w:szCs w:val="18"/>
              </w:rPr>
              <w:t xml:space="preserve"> and natural resources</w:t>
            </w:r>
            <w:r w:rsidR="00B26A32" w:rsidRPr="0017292C" w:rsidDel="00B26A32">
              <w:rPr>
                <w:rFonts w:eastAsia="Calibri"/>
                <w:sz w:val="18"/>
                <w:szCs w:val="18"/>
              </w:rPr>
              <w:t xml:space="preserve"> </w:t>
            </w:r>
            <w:r w:rsidR="00B26A32">
              <w:rPr>
                <w:rFonts w:eastAsia="Calibri"/>
                <w:sz w:val="18"/>
                <w:szCs w:val="18"/>
              </w:rPr>
              <w:t>s</w:t>
            </w:r>
            <w:r w:rsidR="00B26A32" w:rsidRPr="0017292C">
              <w:rPr>
                <w:rFonts w:eastAsia="Calibri"/>
                <w:sz w:val="18"/>
                <w:szCs w:val="18"/>
              </w:rPr>
              <w:t xml:space="preserve">ector </w:t>
            </w:r>
            <w:r w:rsidR="00B26A32">
              <w:rPr>
                <w:rFonts w:eastAsia="Calibri"/>
                <w:sz w:val="18"/>
                <w:szCs w:val="18"/>
              </w:rPr>
              <w:t>s</w:t>
            </w:r>
            <w:r w:rsidR="00B26A32" w:rsidRPr="0017292C">
              <w:rPr>
                <w:rFonts w:eastAsia="Calibri"/>
                <w:sz w:val="18"/>
                <w:szCs w:val="18"/>
              </w:rPr>
              <w:t xml:space="preserve">trategic </w:t>
            </w:r>
            <w:r w:rsidR="00B26A32">
              <w:rPr>
                <w:rFonts w:eastAsia="Calibri"/>
                <w:sz w:val="18"/>
                <w:szCs w:val="18"/>
              </w:rPr>
              <w:t>p</w:t>
            </w:r>
            <w:r w:rsidR="00B26A32" w:rsidRPr="0017292C">
              <w:rPr>
                <w:rFonts w:eastAsia="Calibri"/>
                <w:sz w:val="18"/>
                <w:szCs w:val="18"/>
              </w:rPr>
              <w:t xml:space="preserve">lan </w:t>
            </w:r>
            <w:r w:rsidRPr="0017292C">
              <w:rPr>
                <w:rFonts w:eastAsia="Calibri"/>
                <w:sz w:val="18"/>
                <w:szCs w:val="18"/>
              </w:rPr>
              <w:t>is coordinated, monitored and reported</w:t>
            </w:r>
          </w:p>
          <w:p w:rsidR="00D85B75" w:rsidRPr="000E5E21" w:rsidRDefault="00D85B75" w:rsidP="00A52112">
            <w:pPr>
              <w:ind w:left="160" w:right="748"/>
              <w:jc w:val="both"/>
              <w:rPr>
                <w:sz w:val="18"/>
                <w:szCs w:val="18"/>
              </w:rPr>
            </w:pPr>
            <w:r w:rsidRPr="000E5E21">
              <w:rPr>
                <w:bCs/>
                <w:i/>
                <w:iCs/>
                <w:sz w:val="18"/>
                <w:szCs w:val="18"/>
              </w:rPr>
              <w:t xml:space="preserve">Baseline: </w:t>
            </w:r>
            <w:r w:rsidRPr="000E5E21">
              <w:rPr>
                <w:sz w:val="18"/>
                <w:szCs w:val="18"/>
              </w:rPr>
              <w:t>1</w:t>
            </w:r>
            <w:r w:rsidRPr="000E5E21">
              <w:rPr>
                <w:rStyle w:val="FootnoteReference"/>
                <w:szCs w:val="18"/>
              </w:rPr>
              <w:footnoteReference w:id="35"/>
            </w:r>
          </w:p>
          <w:p w:rsidR="00D85B75" w:rsidRPr="000E5E21" w:rsidRDefault="00D85B75" w:rsidP="00A52112">
            <w:pPr>
              <w:ind w:left="160" w:right="748"/>
              <w:jc w:val="both"/>
              <w:rPr>
                <w:sz w:val="18"/>
                <w:szCs w:val="18"/>
              </w:rPr>
            </w:pPr>
            <w:r w:rsidRPr="000E5E21">
              <w:rPr>
                <w:bCs/>
                <w:i/>
                <w:iCs/>
                <w:sz w:val="18"/>
                <w:szCs w:val="18"/>
              </w:rPr>
              <w:t>Target:</w:t>
            </w:r>
            <w:r w:rsidRPr="000E5E21">
              <w:rPr>
                <w:sz w:val="18"/>
                <w:szCs w:val="18"/>
              </w:rPr>
              <w:t xml:space="preserve"> 3 </w:t>
            </w:r>
          </w:p>
          <w:p w:rsidR="00D85B75" w:rsidRPr="000E5E21" w:rsidRDefault="00D85B75" w:rsidP="00A52112">
            <w:pPr>
              <w:ind w:left="160" w:right="748"/>
              <w:jc w:val="both"/>
              <w:rPr>
                <w:sz w:val="18"/>
                <w:szCs w:val="18"/>
              </w:rPr>
            </w:pPr>
          </w:p>
          <w:p w:rsidR="00D85B75" w:rsidRPr="0017292C" w:rsidRDefault="00D85B75" w:rsidP="00857A41">
            <w:pPr>
              <w:ind w:left="160" w:right="319"/>
              <w:jc w:val="both"/>
              <w:rPr>
                <w:sz w:val="18"/>
                <w:szCs w:val="18"/>
              </w:rPr>
            </w:pPr>
            <w:r w:rsidRPr="0017292C">
              <w:rPr>
                <w:b/>
                <w:bCs/>
                <w:sz w:val="18"/>
                <w:szCs w:val="18"/>
              </w:rPr>
              <w:t xml:space="preserve">Output 2.2. </w:t>
            </w:r>
            <w:r w:rsidRPr="0017292C">
              <w:rPr>
                <w:sz w:val="18"/>
                <w:szCs w:val="18"/>
              </w:rPr>
              <w:t>Public institutions, civil society and private sector have improved technical capacities to rehabilitate and restore fragile ecosystems</w:t>
            </w:r>
          </w:p>
          <w:p w:rsidR="00D85B75" w:rsidRPr="0017292C" w:rsidRDefault="00D85B75" w:rsidP="00857A41">
            <w:pPr>
              <w:ind w:left="160" w:right="319"/>
              <w:jc w:val="both"/>
              <w:rPr>
                <w:sz w:val="18"/>
                <w:szCs w:val="18"/>
              </w:rPr>
            </w:pPr>
            <w:r w:rsidRPr="0017292C">
              <w:rPr>
                <w:b/>
                <w:bCs/>
                <w:sz w:val="18"/>
                <w:szCs w:val="18"/>
              </w:rPr>
              <w:t xml:space="preserve">Indicator 2.2.1 </w:t>
            </w:r>
            <w:r w:rsidRPr="0017292C">
              <w:rPr>
                <w:sz w:val="18"/>
                <w:szCs w:val="18"/>
              </w:rPr>
              <w:t xml:space="preserve">Number of </w:t>
            </w:r>
            <w:r w:rsidR="00B26A32">
              <w:rPr>
                <w:sz w:val="18"/>
                <w:szCs w:val="18"/>
              </w:rPr>
              <w:t>hectares</w:t>
            </w:r>
            <w:r w:rsidR="00B26A32" w:rsidRPr="0017292C">
              <w:rPr>
                <w:sz w:val="18"/>
                <w:szCs w:val="18"/>
              </w:rPr>
              <w:t xml:space="preserve"> </w:t>
            </w:r>
            <w:r w:rsidRPr="0017292C">
              <w:rPr>
                <w:sz w:val="18"/>
                <w:szCs w:val="18"/>
              </w:rPr>
              <w:t>of fragile ecosystem restored and rehabilitated</w:t>
            </w:r>
          </w:p>
          <w:p w:rsidR="00D85B75" w:rsidRPr="00C14EB9" w:rsidRDefault="00D85B75" w:rsidP="00857A41">
            <w:pPr>
              <w:ind w:left="160" w:right="319"/>
              <w:jc w:val="both"/>
              <w:rPr>
                <w:rStyle w:val="EndnoteReference"/>
                <w:sz w:val="18"/>
                <w:szCs w:val="18"/>
              </w:rPr>
            </w:pPr>
            <w:r w:rsidRPr="00C14EB9">
              <w:rPr>
                <w:bCs/>
                <w:i/>
                <w:iCs/>
                <w:sz w:val="18"/>
                <w:szCs w:val="18"/>
              </w:rPr>
              <w:t xml:space="preserve">Baseline (2016): </w:t>
            </w:r>
            <w:r w:rsidRPr="00C14EB9">
              <w:rPr>
                <w:sz w:val="18"/>
                <w:szCs w:val="18"/>
              </w:rPr>
              <w:t xml:space="preserve"> 10,000</w:t>
            </w:r>
          </w:p>
          <w:p w:rsidR="00D85B75" w:rsidRPr="00C14EB9" w:rsidRDefault="00D85B75" w:rsidP="00857A41">
            <w:pPr>
              <w:ind w:left="160" w:right="319"/>
              <w:jc w:val="both"/>
              <w:rPr>
                <w:sz w:val="18"/>
                <w:szCs w:val="18"/>
              </w:rPr>
            </w:pPr>
            <w:r w:rsidRPr="00C14EB9">
              <w:rPr>
                <w:bCs/>
                <w:i/>
                <w:iCs/>
                <w:sz w:val="18"/>
                <w:szCs w:val="18"/>
              </w:rPr>
              <w:t xml:space="preserve">Target: </w:t>
            </w:r>
            <w:r w:rsidRPr="00C14EB9">
              <w:rPr>
                <w:sz w:val="18"/>
                <w:szCs w:val="18"/>
              </w:rPr>
              <w:t xml:space="preserve">20,000 </w:t>
            </w:r>
          </w:p>
          <w:p w:rsidR="00D85B75" w:rsidRPr="00C14EB9" w:rsidRDefault="00D85B75" w:rsidP="00857A41">
            <w:pPr>
              <w:ind w:right="319"/>
              <w:jc w:val="both"/>
              <w:rPr>
                <w:sz w:val="18"/>
                <w:szCs w:val="18"/>
              </w:rPr>
            </w:pPr>
          </w:p>
          <w:p w:rsidR="00D85B75" w:rsidRPr="0017292C" w:rsidRDefault="00D85B75" w:rsidP="00857A41">
            <w:pPr>
              <w:ind w:left="160" w:right="319"/>
              <w:jc w:val="both"/>
              <w:rPr>
                <w:sz w:val="18"/>
                <w:szCs w:val="18"/>
              </w:rPr>
            </w:pPr>
            <w:r w:rsidRPr="0017292C">
              <w:rPr>
                <w:b/>
                <w:sz w:val="18"/>
                <w:szCs w:val="18"/>
              </w:rPr>
              <w:t>Indicator 2.2.2</w:t>
            </w:r>
            <w:r w:rsidRPr="0017292C">
              <w:rPr>
                <w:sz w:val="18"/>
                <w:szCs w:val="18"/>
              </w:rPr>
              <w:t xml:space="preserve"> Rwanda has gender-responsive measures in place for equitable access to and benefit sharing of genetic resources</w:t>
            </w:r>
          </w:p>
          <w:p w:rsidR="00D85B75" w:rsidRPr="0017292C" w:rsidRDefault="00D85B75" w:rsidP="00857A41">
            <w:pPr>
              <w:ind w:left="160" w:right="319"/>
              <w:jc w:val="both"/>
              <w:rPr>
                <w:sz w:val="18"/>
                <w:szCs w:val="18"/>
              </w:rPr>
            </w:pPr>
            <w:r w:rsidRPr="00F56366">
              <w:rPr>
                <w:i/>
                <w:sz w:val="18"/>
                <w:szCs w:val="18"/>
              </w:rPr>
              <w:t>Baseline</w:t>
            </w:r>
            <w:r w:rsidRPr="0017292C">
              <w:rPr>
                <w:sz w:val="18"/>
                <w:szCs w:val="18"/>
              </w:rPr>
              <w:t xml:space="preserve">: Ministerial order on </w:t>
            </w:r>
            <w:r w:rsidR="00B26A32" w:rsidRPr="0017292C">
              <w:rPr>
                <w:sz w:val="18"/>
                <w:szCs w:val="18"/>
              </w:rPr>
              <w:t>access to and benefit sharing</w:t>
            </w:r>
            <w:r w:rsidR="00B26A32" w:rsidRPr="0017292C" w:rsidDel="00B26A32">
              <w:rPr>
                <w:sz w:val="18"/>
                <w:szCs w:val="18"/>
              </w:rPr>
              <w:t xml:space="preserve"> </w:t>
            </w:r>
            <w:r w:rsidRPr="0017292C">
              <w:rPr>
                <w:sz w:val="18"/>
                <w:szCs w:val="18"/>
              </w:rPr>
              <w:t>drafted</w:t>
            </w:r>
          </w:p>
          <w:p w:rsidR="00D85B75" w:rsidRPr="0017292C" w:rsidRDefault="00D85B75" w:rsidP="00857A41">
            <w:pPr>
              <w:ind w:left="160" w:right="319"/>
              <w:jc w:val="both"/>
              <w:rPr>
                <w:sz w:val="18"/>
                <w:szCs w:val="18"/>
              </w:rPr>
            </w:pPr>
            <w:r w:rsidRPr="00F56366">
              <w:rPr>
                <w:i/>
                <w:sz w:val="18"/>
                <w:szCs w:val="18"/>
              </w:rPr>
              <w:t>Target</w:t>
            </w:r>
            <w:r w:rsidRPr="0017292C">
              <w:rPr>
                <w:sz w:val="18"/>
                <w:szCs w:val="18"/>
              </w:rPr>
              <w:t>: Legal, institutional and financial framework in place</w:t>
            </w:r>
          </w:p>
          <w:p w:rsidR="00D85B75" w:rsidRPr="0017292C" w:rsidRDefault="00D85B75" w:rsidP="00857A41">
            <w:pPr>
              <w:ind w:left="160" w:right="319"/>
              <w:jc w:val="both"/>
              <w:rPr>
                <w:sz w:val="18"/>
                <w:szCs w:val="18"/>
              </w:rPr>
            </w:pPr>
          </w:p>
          <w:p w:rsidR="00D85B75" w:rsidRPr="0017292C" w:rsidRDefault="00D85B75" w:rsidP="00857A41">
            <w:pPr>
              <w:spacing w:after="12"/>
              <w:ind w:left="160" w:right="319"/>
              <w:jc w:val="both"/>
              <w:rPr>
                <w:b/>
                <w:bCs/>
                <w:sz w:val="18"/>
                <w:szCs w:val="18"/>
              </w:rPr>
            </w:pPr>
          </w:p>
          <w:p w:rsidR="00D85B75" w:rsidRPr="0017292C" w:rsidRDefault="00D85B75" w:rsidP="00857A41">
            <w:pPr>
              <w:spacing w:after="34"/>
              <w:ind w:left="160" w:right="319"/>
              <w:jc w:val="both"/>
              <w:rPr>
                <w:rFonts w:eastAsia="Calibri"/>
                <w:sz w:val="18"/>
                <w:szCs w:val="18"/>
              </w:rPr>
            </w:pPr>
            <w:r w:rsidRPr="0017292C">
              <w:rPr>
                <w:b/>
                <w:bCs/>
                <w:sz w:val="18"/>
                <w:szCs w:val="18"/>
              </w:rPr>
              <w:t xml:space="preserve">Output 2.3. </w:t>
            </w:r>
            <w:r w:rsidRPr="0017292C">
              <w:rPr>
                <w:sz w:val="18"/>
                <w:szCs w:val="18"/>
              </w:rPr>
              <w:t xml:space="preserve"> Institutions at national, district a</w:t>
            </w:r>
            <w:r w:rsidRPr="0017292C">
              <w:rPr>
                <w:rFonts w:eastAsia="Calibri"/>
                <w:sz w:val="18"/>
                <w:szCs w:val="18"/>
              </w:rPr>
              <w:t>nd community level have improved technical capacities</w:t>
            </w:r>
            <w:r w:rsidRPr="0017292C">
              <w:rPr>
                <w:sz w:val="18"/>
                <w:szCs w:val="18"/>
              </w:rPr>
              <w:t xml:space="preserve"> </w:t>
            </w:r>
            <w:r w:rsidRPr="0017292C">
              <w:rPr>
                <w:rFonts w:eastAsia="Calibri"/>
                <w:sz w:val="18"/>
                <w:szCs w:val="18"/>
              </w:rPr>
              <w:t>to reduce risks, manage and respond to natural disasters and limit gender-differentiated impacts</w:t>
            </w:r>
          </w:p>
          <w:p w:rsidR="00D85B75" w:rsidRPr="0017292C" w:rsidRDefault="00D85B75" w:rsidP="00857A41">
            <w:pPr>
              <w:ind w:left="160" w:right="319"/>
              <w:jc w:val="both"/>
              <w:rPr>
                <w:sz w:val="18"/>
                <w:szCs w:val="18"/>
              </w:rPr>
            </w:pPr>
            <w:r w:rsidRPr="00C14EB9">
              <w:rPr>
                <w:b/>
                <w:sz w:val="18"/>
                <w:szCs w:val="18"/>
              </w:rPr>
              <w:t>Indicator 2.3.1</w:t>
            </w:r>
            <w:r w:rsidRPr="0017292C">
              <w:rPr>
                <w:sz w:val="18"/>
                <w:szCs w:val="18"/>
              </w:rPr>
              <w:t xml:space="preserve"> Extent to which the national strategy is in line with Sendai </w:t>
            </w:r>
            <w:r w:rsidR="00B26A32">
              <w:rPr>
                <w:sz w:val="18"/>
                <w:szCs w:val="18"/>
              </w:rPr>
              <w:t>F</w:t>
            </w:r>
            <w:r w:rsidR="00B26A32" w:rsidRPr="0017292C">
              <w:rPr>
                <w:sz w:val="18"/>
                <w:szCs w:val="18"/>
              </w:rPr>
              <w:t xml:space="preserve">ramework </w:t>
            </w:r>
          </w:p>
          <w:p w:rsidR="00D85B75" w:rsidRPr="0017292C" w:rsidRDefault="00D85B75" w:rsidP="00857A41">
            <w:pPr>
              <w:ind w:left="160" w:right="319"/>
              <w:jc w:val="both"/>
              <w:rPr>
                <w:sz w:val="18"/>
                <w:szCs w:val="18"/>
              </w:rPr>
            </w:pPr>
            <w:r w:rsidRPr="00C14EB9">
              <w:rPr>
                <w:i/>
                <w:sz w:val="18"/>
                <w:szCs w:val="18"/>
              </w:rPr>
              <w:t>Baseline</w:t>
            </w:r>
            <w:r w:rsidRPr="0017292C">
              <w:rPr>
                <w:sz w:val="18"/>
                <w:szCs w:val="18"/>
              </w:rPr>
              <w:t>: 1</w:t>
            </w:r>
            <w:r w:rsidRPr="007830FB">
              <w:rPr>
                <w:rStyle w:val="FootnoteReference"/>
                <w:szCs w:val="18"/>
              </w:rPr>
              <w:footnoteReference w:id="36"/>
            </w:r>
          </w:p>
          <w:p w:rsidR="00D85B75" w:rsidRPr="0017292C" w:rsidRDefault="00D85B75" w:rsidP="00857A41">
            <w:pPr>
              <w:ind w:left="160" w:right="319"/>
              <w:jc w:val="both"/>
              <w:rPr>
                <w:sz w:val="18"/>
                <w:szCs w:val="18"/>
              </w:rPr>
            </w:pPr>
            <w:r w:rsidRPr="00C14EB9">
              <w:rPr>
                <w:i/>
                <w:sz w:val="18"/>
                <w:szCs w:val="18"/>
              </w:rPr>
              <w:t>Target</w:t>
            </w:r>
            <w:r w:rsidRPr="0017292C">
              <w:rPr>
                <w:sz w:val="18"/>
                <w:szCs w:val="18"/>
              </w:rPr>
              <w:t xml:space="preserve">: 2 </w:t>
            </w:r>
          </w:p>
          <w:p w:rsidR="00621390" w:rsidRDefault="00621390" w:rsidP="00857A41">
            <w:pPr>
              <w:ind w:left="160" w:right="319"/>
              <w:jc w:val="both"/>
              <w:rPr>
                <w:sz w:val="18"/>
                <w:szCs w:val="18"/>
              </w:rPr>
            </w:pPr>
          </w:p>
          <w:p w:rsidR="00D85B75" w:rsidRPr="0017292C" w:rsidRDefault="00621390" w:rsidP="00857A41">
            <w:pPr>
              <w:ind w:left="160" w:right="319"/>
              <w:jc w:val="both"/>
              <w:rPr>
                <w:sz w:val="18"/>
                <w:szCs w:val="18"/>
              </w:rPr>
            </w:pPr>
            <w:r w:rsidRPr="00621390">
              <w:rPr>
                <w:b/>
                <w:sz w:val="18"/>
                <w:szCs w:val="18"/>
              </w:rPr>
              <w:t xml:space="preserve">Indicator </w:t>
            </w:r>
            <w:r w:rsidR="00D85B75" w:rsidRPr="00621390">
              <w:rPr>
                <w:b/>
                <w:sz w:val="18"/>
                <w:szCs w:val="18"/>
              </w:rPr>
              <w:t>2.3.2</w:t>
            </w:r>
            <w:r w:rsidR="00D85B75" w:rsidRPr="0017292C">
              <w:rPr>
                <w:sz w:val="18"/>
                <w:szCs w:val="18"/>
              </w:rPr>
              <w:t xml:space="preserve"> Number of </w:t>
            </w:r>
            <w:r w:rsidR="00B26A32">
              <w:rPr>
                <w:sz w:val="18"/>
                <w:szCs w:val="18"/>
              </w:rPr>
              <w:t>d</w:t>
            </w:r>
            <w:r w:rsidR="00B26A32" w:rsidRPr="0017292C">
              <w:rPr>
                <w:sz w:val="18"/>
                <w:szCs w:val="18"/>
              </w:rPr>
              <w:t xml:space="preserve">istrict </w:t>
            </w:r>
            <w:r w:rsidR="00B26A32">
              <w:rPr>
                <w:sz w:val="18"/>
                <w:szCs w:val="18"/>
              </w:rPr>
              <w:t>d</w:t>
            </w:r>
            <w:r w:rsidR="00B26A32" w:rsidRPr="0017292C">
              <w:rPr>
                <w:sz w:val="18"/>
                <w:szCs w:val="18"/>
              </w:rPr>
              <w:t xml:space="preserve">evelopment </w:t>
            </w:r>
            <w:r w:rsidR="00B26A32">
              <w:rPr>
                <w:sz w:val="18"/>
                <w:szCs w:val="18"/>
              </w:rPr>
              <w:t>s</w:t>
            </w:r>
            <w:r w:rsidR="00B26A32" w:rsidRPr="0017292C">
              <w:rPr>
                <w:sz w:val="18"/>
                <w:szCs w:val="18"/>
              </w:rPr>
              <w:t xml:space="preserve">trategies </w:t>
            </w:r>
            <w:r w:rsidR="00D85B75" w:rsidRPr="0017292C">
              <w:rPr>
                <w:sz w:val="18"/>
                <w:szCs w:val="18"/>
              </w:rPr>
              <w:t xml:space="preserve">updated with </w:t>
            </w:r>
            <w:r w:rsidR="00B26A32">
              <w:rPr>
                <w:sz w:val="18"/>
                <w:szCs w:val="18"/>
              </w:rPr>
              <w:t>disaster risk management</w:t>
            </w:r>
            <w:r w:rsidR="00B26A32" w:rsidRPr="0017292C">
              <w:rPr>
                <w:sz w:val="18"/>
                <w:szCs w:val="18"/>
              </w:rPr>
              <w:t xml:space="preserve"> </w:t>
            </w:r>
            <w:r w:rsidR="00D85B75" w:rsidRPr="0017292C">
              <w:rPr>
                <w:sz w:val="18"/>
                <w:szCs w:val="18"/>
              </w:rPr>
              <w:t xml:space="preserve">mainstreamed in line with Sendai </w:t>
            </w:r>
            <w:r w:rsidR="00B26A32">
              <w:rPr>
                <w:sz w:val="18"/>
                <w:szCs w:val="18"/>
              </w:rPr>
              <w:t>F</w:t>
            </w:r>
            <w:r w:rsidR="00B26A32" w:rsidRPr="0017292C">
              <w:rPr>
                <w:sz w:val="18"/>
                <w:szCs w:val="18"/>
              </w:rPr>
              <w:t>ramework</w:t>
            </w:r>
            <w:r w:rsidR="00B26A32">
              <w:rPr>
                <w:sz w:val="18"/>
                <w:szCs w:val="18"/>
              </w:rPr>
              <w:t xml:space="preserve"> and national DRR framework</w:t>
            </w:r>
          </w:p>
          <w:p w:rsidR="00D85B75" w:rsidRPr="0017292C" w:rsidRDefault="00D85B75" w:rsidP="00857A41">
            <w:pPr>
              <w:ind w:left="160" w:right="319"/>
              <w:jc w:val="both"/>
              <w:rPr>
                <w:sz w:val="18"/>
                <w:szCs w:val="18"/>
              </w:rPr>
            </w:pPr>
            <w:r w:rsidRPr="00621390">
              <w:rPr>
                <w:i/>
                <w:sz w:val="18"/>
                <w:szCs w:val="18"/>
              </w:rPr>
              <w:t>Baseline</w:t>
            </w:r>
            <w:r w:rsidRPr="0017292C">
              <w:rPr>
                <w:sz w:val="18"/>
                <w:szCs w:val="18"/>
              </w:rPr>
              <w:t xml:space="preserve">: 0 </w:t>
            </w:r>
          </w:p>
          <w:p w:rsidR="00D85B75" w:rsidRPr="0017292C" w:rsidRDefault="00D85B75" w:rsidP="00D86261">
            <w:pPr>
              <w:ind w:left="160" w:right="319"/>
              <w:jc w:val="both"/>
              <w:rPr>
                <w:b/>
                <w:bCs/>
                <w:sz w:val="18"/>
                <w:szCs w:val="18"/>
              </w:rPr>
            </w:pPr>
            <w:r w:rsidRPr="00621390">
              <w:rPr>
                <w:i/>
                <w:sz w:val="18"/>
                <w:szCs w:val="18"/>
              </w:rPr>
              <w:t>Target</w:t>
            </w:r>
            <w:r w:rsidRPr="0017292C">
              <w:rPr>
                <w:sz w:val="18"/>
                <w:szCs w:val="18"/>
              </w:rPr>
              <w:t>: 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B75" w:rsidRPr="0017292C" w:rsidRDefault="00B26A32" w:rsidP="00427734">
            <w:pPr>
              <w:rPr>
                <w:sz w:val="18"/>
                <w:szCs w:val="18"/>
                <w:lang w:val="en-GB"/>
              </w:rPr>
            </w:pPr>
            <w:r>
              <w:rPr>
                <w:sz w:val="18"/>
                <w:szCs w:val="18"/>
                <w:lang w:val="en-GB"/>
              </w:rPr>
              <w:lastRenderedPageBreak/>
              <w:t>Ministry of Environment (</w:t>
            </w:r>
            <w:r w:rsidR="00D85B75" w:rsidRPr="0017292C">
              <w:rPr>
                <w:sz w:val="18"/>
                <w:szCs w:val="18"/>
                <w:lang w:val="en-GB"/>
              </w:rPr>
              <w:t>MoE</w:t>
            </w:r>
            <w:r>
              <w:rPr>
                <w:sz w:val="18"/>
                <w:szCs w:val="18"/>
                <w:lang w:val="en-GB"/>
              </w:rPr>
              <w:t>)</w:t>
            </w:r>
            <w:r w:rsidR="00D85B75" w:rsidRPr="0017292C">
              <w:rPr>
                <w:sz w:val="18"/>
                <w:szCs w:val="18"/>
                <w:lang w:val="en-GB"/>
              </w:rPr>
              <w:t xml:space="preserve">, </w:t>
            </w:r>
            <w:r>
              <w:rPr>
                <w:sz w:val="18"/>
                <w:szCs w:val="18"/>
                <w:lang w:val="en-GB"/>
              </w:rPr>
              <w:t xml:space="preserve">Rwanda Environment Management </w:t>
            </w:r>
            <w:r>
              <w:rPr>
                <w:sz w:val="18"/>
                <w:szCs w:val="18"/>
                <w:lang w:val="en-GB"/>
              </w:rPr>
              <w:lastRenderedPageBreak/>
              <w:t>Authority (</w:t>
            </w:r>
            <w:r w:rsidR="00D85B75" w:rsidRPr="0017292C">
              <w:rPr>
                <w:sz w:val="18"/>
                <w:szCs w:val="18"/>
                <w:lang w:val="en-GB"/>
              </w:rPr>
              <w:t>REMA</w:t>
            </w:r>
            <w:r>
              <w:rPr>
                <w:sz w:val="18"/>
                <w:szCs w:val="18"/>
                <w:lang w:val="en-GB"/>
              </w:rPr>
              <w:t>)</w:t>
            </w:r>
            <w:r w:rsidR="00D85B75" w:rsidRPr="0017292C">
              <w:rPr>
                <w:sz w:val="18"/>
                <w:szCs w:val="18"/>
                <w:lang w:val="en-GB"/>
              </w:rPr>
              <w:t xml:space="preserve">, FONERWA, UNEP, donors </w:t>
            </w: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296C1A" w:rsidP="00427734">
            <w:pPr>
              <w:ind w:left="25"/>
              <w:rPr>
                <w:sz w:val="18"/>
                <w:szCs w:val="18"/>
                <w:lang w:val="en-GB"/>
              </w:rPr>
            </w:pPr>
            <w:r>
              <w:rPr>
                <w:sz w:val="18"/>
                <w:szCs w:val="18"/>
                <w:lang w:val="en-GB"/>
              </w:rPr>
              <w:t xml:space="preserve">MoE/Ministry of Land and Forestry </w:t>
            </w: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rPr>
                <w:sz w:val="18"/>
                <w:szCs w:val="18"/>
              </w:rPr>
            </w:pPr>
          </w:p>
          <w:p w:rsidR="00D85B75" w:rsidRPr="0017292C" w:rsidRDefault="00D85B75" w:rsidP="00427734">
            <w:pPr>
              <w:rPr>
                <w:sz w:val="18"/>
                <w:szCs w:val="18"/>
                <w:lang w:val="en-GB"/>
              </w:rPr>
            </w:pPr>
            <w:r w:rsidRPr="0017292C">
              <w:rPr>
                <w:sz w:val="18"/>
                <w:szCs w:val="18"/>
              </w:rPr>
              <w:t>MoE, REMA, CSO</w:t>
            </w:r>
            <w:r w:rsidR="00B26A32">
              <w:rPr>
                <w:sz w:val="18"/>
                <w:szCs w:val="18"/>
              </w:rPr>
              <w:t>s</w:t>
            </w:r>
            <w:r w:rsidRPr="0017292C">
              <w:rPr>
                <w:sz w:val="18"/>
                <w:szCs w:val="18"/>
              </w:rPr>
              <w:t>, private sector</w:t>
            </w:r>
          </w:p>
          <w:p w:rsidR="00D85B75" w:rsidRPr="0017292C" w:rsidRDefault="00D85B75" w:rsidP="00427734">
            <w:pPr>
              <w:ind w:left="25"/>
              <w:rPr>
                <w:sz w:val="18"/>
                <w:szCs w:val="18"/>
                <w:lang w:val="en-GB"/>
              </w:rPr>
            </w:pP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rPr>
                <w:sz w:val="18"/>
                <w:szCs w:val="18"/>
                <w:lang w:val="en-GB"/>
              </w:rPr>
            </w:pPr>
          </w:p>
          <w:p w:rsidR="00D85B75" w:rsidRPr="0017292C" w:rsidRDefault="00D85B75" w:rsidP="00427734">
            <w:pPr>
              <w:ind w:left="25"/>
              <w:rPr>
                <w:sz w:val="18"/>
                <w:szCs w:val="18"/>
                <w:lang w:val="en-GB"/>
              </w:rPr>
            </w:pPr>
            <w:r w:rsidRPr="0017292C">
              <w:rPr>
                <w:sz w:val="18"/>
                <w:szCs w:val="18"/>
                <w:lang w:val="en-GB"/>
              </w:rPr>
              <w:t xml:space="preserve"> </w:t>
            </w:r>
          </w:p>
          <w:p w:rsidR="00D85B75" w:rsidRPr="0017292C" w:rsidRDefault="00D85B75" w:rsidP="00427734">
            <w:pPr>
              <w:rPr>
                <w:sz w:val="18"/>
                <w:szCs w:val="18"/>
              </w:rPr>
            </w:pPr>
          </w:p>
          <w:p w:rsidR="00D85B75" w:rsidRPr="0017292C" w:rsidRDefault="00D85B75" w:rsidP="00427734">
            <w:pPr>
              <w:rPr>
                <w:sz w:val="18"/>
                <w:szCs w:val="18"/>
              </w:rPr>
            </w:pPr>
          </w:p>
          <w:p w:rsidR="00296C1A" w:rsidRDefault="00296C1A" w:rsidP="00427734">
            <w:pPr>
              <w:rPr>
                <w:sz w:val="18"/>
                <w:szCs w:val="18"/>
              </w:rPr>
            </w:pPr>
          </w:p>
          <w:p w:rsidR="00296C1A" w:rsidRDefault="00296C1A" w:rsidP="00427734">
            <w:pPr>
              <w:rPr>
                <w:sz w:val="18"/>
                <w:szCs w:val="18"/>
              </w:rPr>
            </w:pPr>
          </w:p>
          <w:p w:rsidR="00296C1A" w:rsidRDefault="00296C1A" w:rsidP="00427734">
            <w:pPr>
              <w:rPr>
                <w:sz w:val="18"/>
                <w:szCs w:val="18"/>
              </w:rPr>
            </w:pPr>
          </w:p>
          <w:p w:rsidR="00D85B75" w:rsidRPr="0017292C" w:rsidRDefault="00F56366" w:rsidP="00427734">
            <w:pPr>
              <w:rPr>
                <w:sz w:val="18"/>
                <w:szCs w:val="18"/>
              </w:rPr>
            </w:pPr>
            <w:r w:rsidRPr="0017292C">
              <w:rPr>
                <w:sz w:val="18"/>
                <w:szCs w:val="18"/>
              </w:rPr>
              <w:t xml:space="preserve">MIDIMAR, </w:t>
            </w:r>
            <w:r w:rsidRPr="00A830B8">
              <w:rPr>
                <w:rFonts w:eastAsia="Calibri"/>
                <w:lang w:val="en-GB"/>
              </w:rPr>
              <w:t>Rwanda</w:t>
            </w:r>
            <w:r w:rsidR="00B26A32" w:rsidRPr="00A830B8">
              <w:rPr>
                <w:rFonts w:eastAsia="Calibri"/>
                <w:lang w:val="en-GB"/>
              </w:rPr>
              <w:t xml:space="preserve"> Meteorological Agency</w:t>
            </w:r>
            <w:r w:rsidR="00D85B75" w:rsidRPr="0017292C">
              <w:rPr>
                <w:sz w:val="18"/>
                <w:szCs w:val="18"/>
              </w:rPr>
              <w:t xml:space="preserve">, </w:t>
            </w:r>
            <w:r w:rsidR="00B26A32">
              <w:rPr>
                <w:sz w:val="18"/>
                <w:szCs w:val="18"/>
              </w:rPr>
              <w:t>d</w:t>
            </w:r>
            <w:r w:rsidR="00B26A32" w:rsidRPr="0017292C">
              <w:rPr>
                <w:sz w:val="18"/>
                <w:szCs w:val="18"/>
              </w:rPr>
              <w:t>istricts</w:t>
            </w:r>
            <w:r w:rsidR="00D85B75" w:rsidRPr="0017292C">
              <w:rPr>
                <w:sz w:val="18"/>
                <w:szCs w:val="18"/>
              </w:rPr>
              <w:t xml:space="preserve">, </w:t>
            </w:r>
            <w:r w:rsidR="00B26A32">
              <w:rPr>
                <w:sz w:val="18"/>
                <w:szCs w:val="18"/>
              </w:rPr>
              <w:t>s</w:t>
            </w:r>
            <w:r w:rsidR="00B26A32" w:rsidRPr="0017292C">
              <w:rPr>
                <w:sz w:val="18"/>
                <w:szCs w:val="18"/>
              </w:rPr>
              <w:t>ectors</w:t>
            </w:r>
            <w:r w:rsidR="00D85B75" w:rsidRPr="0017292C">
              <w:rPr>
                <w:sz w:val="18"/>
                <w:szCs w:val="18"/>
              </w:rPr>
              <w:t>, UNHCR</w:t>
            </w:r>
          </w:p>
          <w:p w:rsidR="00D85B75" w:rsidRPr="0017292C" w:rsidRDefault="00D85B75" w:rsidP="00D86261">
            <w:pPr>
              <w:jc w:val="both"/>
              <w:rPr>
                <w:b/>
                <w:bCs/>
                <w:sz w:val="18"/>
                <w:szCs w:val="18"/>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6C741F">
            <w:pPr>
              <w:spacing w:after="16"/>
              <w:ind w:left="96"/>
              <w:jc w:val="both"/>
              <w:rPr>
                <w:b/>
                <w:bCs/>
                <w:sz w:val="18"/>
                <w:szCs w:val="18"/>
              </w:rPr>
            </w:pPr>
            <w:r w:rsidRPr="0017292C">
              <w:rPr>
                <w:b/>
                <w:bCs/>
                <w:sz w:val="18"/>
                <w:szCs w:val="18"/>
              </w:rPr>
              <w:lastRenderedPageBreak/>
              <w:t xml:space="preserve">Regular  </w:t>
            </w:r>
          </w:p>
          <w:p w:rsidR="00D85B75" w:rsidRPr="0017292C" w:rsidRDefault="00D85B75" w:rsidP="006C741F">
            <w:pPr>
              <w:spacing w:after="16"/>
              <w:ind w:left="96"/>
              <w:jc w:val="both"/>
              <w:rPr>
                <w:sz w:val="18"/>
                <w:szCs w:val="18"/>
              </w:rPr>
            </w:pPr>
            <w:r w:rsidRPr="0017292C">
              <w:rPr>
                <w:b/>
                <w:bCs/>
                <w:sz w:val="18"/>
                <w:szCs w:val="18"/>
              </w:rPr>
              <w:t>$9,</w:t>
            </w:r>
            <w:r w:rsidR="009843AC" w:rsidRPr="0017292C">
              <w:rPr>
                <w:b/>
                <w:bCs/>
                <w:sz w:val="18"/>
                <w:szCs w:val="18"/>
              </w:rPr>
              <w:t>626,750</w:t>
            </w:r>
          </w:p>
          <w:p w:rsidR="00D85B75" w:rsidRPr="0017292C" w:rsidRDefault="00D85B75" w:rsidP="006C741F">
            <w:pPr>
              <w:ind w:left="96"/>
              <w:jc w:val="both"/>
              <w:rPr>
                <w:sz w:val="18"/>
                <w:szCs w:val="18"/>
              </w:rPr>
            </w:pPr>
          </w:p>
          <w:p w:rsidR="00D85B75" w:rsidRPr="0017292C" w:rsidRDefault="00D85B75" w:rsidP="006C741F">
            <w:pPr>
              <w:spacing w:after="13"/>
              <w:ind w:left="96"/>
              <w:jc w:val="both"/>
              <w:rPr>
                <w:b/>
                <w:bCs/>
                <w:sz w:val="18"/>
                <w:szCs w:val="18"/>
              </w:rPr>
            </w:pPr>
            <w:r w:rsidRPr="0017292C">
              <w:rPr>
                <w:b/>
                <w:bCs/>
                <w:sz w:val="18"/>
                <w:szCs w:val="18"/>
              </w:rPr>
              <w:t xml:space="preserve">Other </w:t>
            </w:r>
          </w:p>
          <w:p w:rsidR="00D85B75" w:rsidRPr="0017292C" w:rsidRDefault="00D85B75" w:rsidP="006C741F">
            <w:pPr>
              <w:spacing w:after="13"/>
              <w:ind w:left="96"/>
              <w:jc w:val="both"/>
              <w:rPr>
                <w:sz w:val="18"/>
                <w:szCs w:val="18"/>
              </w:rPr>
            </w:pPr>
            <w:r w:rsidRPr="0017292C">
              <w:rPr>
                <w:b/>
                <w:bCs/>
                <w:sz w:val="18"/>
                <w:szCs w:val="18"/>
              </w:rPr>
              <w:t>$24,176,219</w:t>
            </w:r>
          </w:p>
          <w:p w:rsidR="00D85B75" w:rsidRPr="0017292C" w:rsidRDefault="00D85B75" w:rsidP="00A52112">
            <w:pPr>
              <w:spacing w:after="16"/>
              <w:ind w:left="106"/>
              <w:jc w:val="both"/>
              <w:rPr>
                <w:b/>
                <w:bCs/>
                <w:sz w:val="18"/>
                <w:szCs w:val="18"/>
              </w:rPr>
            </w:pPr>
          </w:p>
        </w:tc>
      </w:tr>
    </w:tbl>
    <w:p w:rsidR="00243D3B" w:rsidRDefault="00243D3B">
      <w:r>
        <w:lastRenderedPageBreak/>
        <w:br w:type="page"/>
      </w:r>
    </w:p>
    <w:tbl>
      <w:tblPr>
        <w:tblpPr w:vertAnchor="text" w:horzAnchor="margin" w:tblpX="-486" w:tblpY="163"/>
        <w:tblOverlap w:val="never"/>
        <w:tblW w:w="14395" w:type="dxa"/>
        <w:tblCellMar>
          <w:top w:w="80" w:type="dxa"/>
          <w:left w:w="2" w:type="dxa"/>
          <w:right w:w="3" w:type="dxa"/>
        </w:tblCellMar>
        <w:tblLook w:val="04A0" w:firstRow="1" w:lastRow="0" w:firstColumn="1" w:lastColumn="0" w:noHBand="0" w:noVBand="1"/>
      </w:tblPr>
      <w:tblGrid>
        <w:gridCol w:w="2250"/>
        <w:gridCol w:w="2445"/>
        <w:gridCol w:w="6420"/>
        <w:gridCol w:w="1560"/>
        <w:gridCol w:w="1720"/>
      </w:tblGrid>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jc w:val="both"/>
              <w:rPr>
                <w:b/>
                <w:bCs/>
                <w:sz w:val="18"/>
                <w:szCs w:val="18"/>
              </w:rPr>
            </w:pPr>
            <w:r w:rsidRPr="0017292C">
              <w:rPr>
                <w:b/>
                <w:bCs/>
                <w:sz w:val="18"/>
                <w:szCs w:val="18"/>
              </w:rPr>
              <w:lastRenderedPageBreak/>
              <w:t xml:space="preserve">National priority: </w:t>
            </w:r>
            <w:r w:rsidRPr="0017292C">
              <w:rPr>
                <w:sz w:val="18"/>
                <w:szCs w:val="18"/>
              </w:rPr>
              <w:t xml:space="preserve">Consolidate </w:t>
            </w:r>
            <w:r w:rsidR="003679FD">
              <w:rPr>
                <w:sz w:val="18"/>
                <w:szCs w:val="18"/>
              </w:rPr>
              <w:t>g</w:t>
            </w:r>
            <w:r w:rsidR="003679FD" w:rsidRPr="0017292C">
              <w:rPr>
                <w:sz w:val="18"/>
                <w:szCs w:val="18"/>
              </w:rPr>
              <w:t xml:space="preserve">ood </w:t>
            </w:r>
            <w:r w:rsidR="003679FD">
              <w:rPr>
                <w:sz w:val="18"/>
                <w:szCs w:val="18"/>
              </w:rPr>
              <w:t>g</w:t>
            </w:r>
            <w:r w:rsidRPr="0017292C">
              <w:rPr>
                <w:sz w:val="18"/>
                <w:szCs w:val="18"/>
              </w:rPr>
              <w:t xml:space="preserve">overnance and </w:t>
            </w:r>
            <w:r w:rsidR="003679FD">
              <w:rPr>
                <w:sz w:val="18"/>
                <w:szCs w:val="18"/>
              </w:rPr>
              <w:t>j</w:t>
            </w:r>
            <w:r w:rsidR="003679FD" w:rsidRPr="0017292C">
              <w:rPr>
                <w:sz w:val="18"/>
                <w:szCs w:val="18"/>
              </w:rPr>
              <w:t xml:space="preserve">ustice </w:t>
            </w:r>
            <w:r w:rsidRPr="0017292C">
              <w:rPr>
                <w:sz w:val="18"/>
                <w:szCs w:val="18"/>
              </w:rPr>
              <w:t xml:space="preserve">as building blocks for equitable and sustainable </w:t>
            </w:r>
            <w:r w:rsidR="003679FD">
              <w:rPr>
                <w:sz w:val="18"/>
                <w:szCs w:val="18"/>
              </w:rPr>
              <w:t>n</w:t>
            </w:r>
            <w:r w:rsidR="003679FD" w:rsidRPr="0017292C">
              <w:rPr>
                <w:sz w:val="18"/>
                <w:szCs w:val="18"/>
              </w:rPr>
              <w:t xml:space="preserve">ational </w:t>
            </w:r>
            <w:r w:rsidR="003679FD">
              <w:rPr>
                <w:sz w:val="18"/>
                <w:szCs w:val="18"/>
              </w:rPr>
              <w:t>d</w:t>
            </w:r>
            <w:r w:rsidR="003679FD" w:rsidRPr="0017292C">
              <w:rPr>
                <w:sz w:val="18"/>
                <w:szCs w:val="18"/>
              </w:rPr>
              <w:t>evelopment</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jc w:val="both"/>
              <w:rPr>
                <w:b/>
                <w:bCs/>
                <w:sz w:val="18"/>
                <w:szCs w:val="18"/>
              </w:rPr>
            </w:pPr>
            <w:r w:rsidRPr="0017292C">
              <w:rPr>
                <w:b/>
                <w:bCs/>
                <w:sz w:val="18"/>
                <w:szCs w:val="18"/>
              </w:rPr>
              <w:t xml:space="preserve">UNDAP outcome 5: </w:t>
            </w:r>
            <w:r w:rsidRPr="0017292C">
              <w:rPr>
                <w:sz w:val="18"/>
                <w:szCs w:val="18"/>
              </w:rPr>
              <w:t>By 2023, people in Rwanda benefit from enhanced gender equality, justice, human rights, peace and security</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jc w:val="both"/>
              <w:rPr>
                <w:b/>
                <w:bCs/>
                <w:sz w:val="18"/>
                <w:szCs w:val="18"/>
              </w:rPr>
            </w:pPr>
            <w:r w:rsidRPr="0017292C">
              <w:rPr>
                <w:b/>
                <w:bCs/>
                <w:sz w:val="18"/>
                <w:szCs w:val="18"/>
              </w:rPr>
              <w:t xml:space="preserve">UNDP </w:t>
            </w:r>
            <w:r w:rsidR="003679FD">
              <w:rPr>
                <w:b/>
                <w:bCs/>
                <w:sz w:val="18"/>
                <w:szCs w:val="18"/>
              </w:rPr>
              <w:t>Strategic Plan</w:t>
            </w:r>
            <w:r w:rsidR="003679FD" w:rsidRPr="0017292C">
              <w:rPr>
                <w:b/>
                <w:bCs/>
                <w:sz w:val="18"/>
                <w:szCs w:val="18"/>
              </w:rPr>
              <w:t xml:space="preserve"> </w:t>
            </w:r>
            <w:r w:rsidRPr="0017292C">
              <w:rPr>
                <w:b/>
                <w:bCs/>
                <w:sz w:val="18"/>
                <w:szCs w:val="18"/>
              </w:rPr>
              <w:t xml:space="preserve">outcome 2: </w:t>
            </w:r>
            <w:r w:rsidRPr="0017292C">
              <w:rPr>
                <w:sz w:val="18"/>
                <w:szCs w:val="18"/>
              </w:rPr>
              <w:t xml:space="preserve">Accelerate structural transformations for sustainable development </w:t>
            </w:r>
          </w:p>
        </w:tc>
      </w:tr>
      <w:tr w:rsidR="00D85B75" w:rsidRPr="0017292C" w:rsidTr="00D8626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F70A04">
            <w:pPr>
              <w:ind w:right="78"/>
              <w:rPr>
                <w:sz w:val="18"/>
                <w:szCs w:val="18"/>
              </w:rPr>
            </w:pPr>
            <w:r w:rsidRPr="0017292C">
              <w:rPr>
                <w:b/>
                <w:bCs/>
                <w:sz w:val="18"/>
                <w:szCs w:val="18"/>
              </w:rPr>
              <w:t xml:space="preserve">Indicator 3.1.  </w:t>
            </w:r>
            <w:r w:rsidRPr="0017292C">
              <w:rPr>
                <w:sz w:val="18"/>
                <w:szCs w:val="18"/>
              </w:rPr>
              <w:t xml:space="preserve">Citizen satisfaction with access to legal aid            </w:t>
            </w:r>
          </w:p>
          <w:p w:rsidR="00D85B75" w:rsidRPr="00F70A04" w:rsidRDefault="00D85B75" w:rsidP="00F70A04">
            <w:pPr>
              <w:ind w:right="78"/>
              <w:rPr>
                <w:sz w:val="18"/>
                <w:szCs w:val="18"/>
              </w:rPr>
            </w:pPr>
            <w:r w:rsidRPr="00F70A04">
              <w:rPr>
                <w:bCs/>
                <w:i/>
                <w:iCs/>
                <w:sz w:val="18"/>
                <w:szCs w:val="18"/>
              </w:rPr>
              <w:t>Baseline (2016):</w:t>
            </w:r>
            <w:r w:rsidRPr="00F70A04">
              <w:rPr>
                <w:sz w:val="18"/>
                <w:szCs w:val="18"/>
              </w:rPr>
              <w:t xml:space="preserve"> 64.4% </w:t>
            </w:r>
          </w:p>
          <w:p w:rsidR="00D85B75" w:rsidRPr="00F70A04" w:rsidRDefault="00D85B75" w:rsidP="00F70A04">
            <w:pPr>
              <w:ind w:right="78"/>
              <w:rPr>
                <w:sz w:val="18"/>
                <w:szCs w:val="18"/>
              </w:rPr>
            </w:pPr>
            <w:r w:rsidRPr="00F70A04">
              <w:rPr>
                <w:bCs/>
                <w:i/>
                <w:iCs/>
                <w:sz w:val="18"/>
                <w:szCs w:val="18"/>
              </w:rPr>
              <w:t>Target:</w:t>
            </w:r>
            <w:r w:rsidRPr="00F70A04">
              <w:rPr>
                <w:sz w:val="18"/>
                <w:szCs w:val="18"/>
              </w:rPr>
              <w:t xml:space="preserve"> 75% </w:t>
            </w:r>
          </w:p>
          <w:p w:rsidR="00D85B75" w:rsidRPr="00F70A04" w:rsidRDefault="00D85B75" w:rsidP="00F70A04">
            <w:pPr>
              <w:ind w:right="78"/>
              <w:rPr>
                <w:bCs/>
                <w:sz w:val="18"/>
                <w:szCs w:val="18"/>
              </w:rPr>
            </w:pPr>
            <w:r w:rsidRPr="00F70A04">
              <w:rPr>
                <w:bCs/>
                <w:sz w:val="18"/>
                <w:szCs w:val="18"/>
              </w:rPr>
              <w:t xml:space="preserve"> </w:t>
            </w:r>
          </w:p>
          <w:p w:rsidR="00D85B75" w:rsidRPr="0017292C" w:rsidRDefault="00D85B75" w:rsidP="00F70A04">
            <w:pPr>
              <w:ind w:right="78"/>
              <w:rPr>
                <w:sz w:val="18"/>
                <w:szCs w:val="18"/>
              </w:rPr>
            </w:pPr>
            <w:r w:rsidRPr="0017292C">
              <w:rPr>
                <w:b/>
                <w:bCs/>
                <w:sz w:val="18"/>
                <w:szCs w:val="18"/>
              </w:rPr>
              <w:t xml:space="preserve">Indicator 3.2.  </w:t>
            </w:r>
            <w:r w:rsidRPr="0017292C">
              <w:rPr>
                <w:sz w:val="18"/>
                <w:szCs w:val="18"/>
              </w:rPr>
              <w:t xml:space="preserve">Citizens trust in security organs </w:t>
            </w:r>
            <w:r w:rsidR="003679FD">
              <w:rPr>
                <w:sz w:val="18"/>
                <w:szCs w:val="18"/>
              </w:rPr>
              <w:t xml:space="preserve">Rwanda National Police </w:t>
            </w:r>
            <w:r w:rsidRPr="0017292C">
              <w:rPr>
                <w:sz w:val="18"/>
                <w:szCs w:val="18"/>
              </w:rPr>
              <w:t xml:space="preserve">(RNP) </w:t>
            </w:r>
          </w:p>
          <w:p w:rsidR="00D85B75" w:rsidRPr="00F70A04" w:rsidRDefault="00D85B75" w:rsidP="00F70A04">
            <w:pPr>
              <w:ind w:right="78"/>
              <w:rPr>
                <w:sz w:val="18"/>
                <w:szCs w:val="18"/>
              </w:rPr>
            </w:pPr>
            <w:r w:rsidRPr="00F70A04">
              <w:rPr>
                <w:bCs/>
                <w:i/>
                <w:iCs/>
                <w:sz w:val="18"/>
                <w:szCs w:val="18"/>
              </w:rPr>
              <w:t>Baseline (2016):</w:t>
            </w:r>
            <w:r w:rsidRPr="00F70A04">
              <w:rPr>
                <w:sz w:val="18"/>
                <w:szCs w:val="18"/>
              </w:rPr>
              <w:t xml:space="preserve">  89.78% </w:t>
            </w:r>
          </w:p>
          <w:p w:rsidR="00D85B75" w:rsidRPr="00F70A04" w:rsidRDefault="00D85B75" w:rsidP="00F70A04">
            <w:pPr>
              <w:ind w:right="78"/>
              <w:rPr>
                <w:sz w:val="18"/>
                <w:szCs w:val="18"/>
              </w:rPr>
            </w:pPr>
            <w:r w:rsidRPr="00F70A04">
              <w:rPr>
                <w:bCs/>
                <w:i/>
                <w:iCs/>
                <w:sz w:val="18"/>
                <w:szCs w:val="18"/>
              </w:rPr>
              <w:t>Target:</w:t>
            </w:r>
            <w:r w:rsidRPr="00F70A04">
              <w:rPr>
                <w:sz w:val="18"/>
                <w:szCs w:val="18"/>
              </w:rPr>
              <w:t xml:space="preserve"> 94% </w:t>
            </w:r>
          </w:p>
          <w:p w:rsidR="00D85B75" w:rsidRPr="0017292C" w:rsidRDefault="00D85B75" w:rsidP="00F70A04">
            <w:pPr>
              <w:ind w:right="78"/>
              <w:rPr>
                <w:b/>
                <w:bCs/>
                <w:sz w:val="18"/>
                <w:szCs w:val="18"/>
              </w:rPr>
            </w:pPr>
            <w:r w:rsidRPr="0017292C">
              <w:rPr>
                <w:b/>
                <w:bCs/>
                <w:sz w:val="18"/>
                <w:szCs w:val="18"/>
              </w:rPr>
              <w:t xml:space="preserve">                                             </w:t>
            </w:r>
          </w:p>
          <w:p w:rsidR="00D85B75" w:rsidRPr="0017292C" w:rsidRDefault="00D85B75" w:rsidP="00F70A04">
            <w:pPr>
              <w:ind w:right="78"/>
              <w:rPr>
                <w:sz w:val="18"/>
                <w:szCs w:val="18"/>
              </w:rPr>
            </w:pPr>
            <w:r w:rsidRPr="0017292C">
              <w:rPr>
                <w:b/>
                <w:bCs/>
                <w:sz w:val="18"/>
                <w:szCs w:val="18"/>
              </w:rPr>
              <w:t>Indicator 3.3.</w:t>
            </w:r>
            <w:r w:rsidRPr="0017292C">
              <w:rPr>
                <w:sz w:val="18"/>
                <w:szCs w:val="18"/>
              </w:rPr>
              <w:t xml:space="preserve">  Level of cohesion and mutual trust among Rwandans</w:t>
            </w:r>
            <w:r w:rsidR="00360FE4" w:rsidRPr="007830FB">
              <w:rPr>
                <w:rStyle w:val="FootnoteReference"/>
                <w:szCs w:val="18"/>
              </w:rPr>
              <w:footnoteReference w:id="37"/>
            </w:r>
            <w:r w:rsidRPr="0017292C">
              <w:rPr>
                <w:sz w:val="18"/>
                <w:szCs w:val="18"/>
              </w:rPr>
              <w:t xml:space="preserve"> </w:t>
            </w:r>
          </w:p>
          <w:p w:rsidR="00D85B75" w:rsidRPr="00F70A04" w:rsidRDefault="00D85B75" w:rsidP="00F70A04">
            <w:pPr>
              <w:ind w:right="78"/>
              <w:rPr>
                <w:sz w:val="18"/>
                <w:szCs w:val="18"/>
              </w:rPr>
            </w:pPr>
            <w:r w:rsidRPr="00F70A04">
              <w:rPr>
                <w:bCs/>
                <w:i/>
                <w:iCs/>
                <w:sz w:val="18"/>
                <w:szCs w:val="18"/>
              </w:rPr>
              <w:t>Baseline (2016):</w:t>
            </w:r>
            <w:r w:rsidRPr="00F70A04">
              <w:rPr>
                <w:sz w:val="18"/>
                <w:szCs w:val="18"/>
              </w:rPr>
              <w:t xml:space="preserve"> 75.8% </w:t>
            </w:r>
          </w:p>
          <w:p w:rsidR="00D85B75" w:rsidRPr="0017292C" w:rsidRDefault="00D85B75" w:rsidP="00F70A04">
            <w:pPr>
              <w:ind w:left="128" w:right="78" w:hanging="128"/>
              <w:rPr>
                <w:sz w:val="18"/>
                <w:szCs w:val="18"/>
              </w:rPr>
            </w:pPr>
            <w:r w:rsidRPr="00F70A04">
              <w:rPr>
                <w:bCs/>
                <w:i/>
                <w:iCs/>
                <w:sz w:val="18"/>
                <w:szCs w:val="18"/>
              </w:rPr>
              <w:t>Target</w:t>
            </w:r>
            <w:r w:rsidRPr="0017292C">
              <w:rPr>
                <w:b/>
                <w:bCs/>
                <w:i/>
                <w:iCs/>
                <w:sz w:val="18"/>
                <w:szCs w:val="18"/>
              </w:rPr>
              <w:t>:</w:t>
            </w:r>
            <w:r w:rsidRPr="0017292C">
              <w:rPr>
                <w:sz w:val="18"/>
                <w:szCs w:val="18"/>
              </w:rPr>
              <w:t xml:space="preserve"> 85% </w:t>
            </w:r>
          </w:p>
          <w:p w:rsidR="00D85B75" w:rsidRPr="0017292C" w:rsidRDefault="00D85B75" w:rsidP="00F70A04">
            <w:pPr>
              <w:ind w:right="78"/>
              <w:rPr>
                <w:b/>
                <w:sz w:val="18"/>
                <w:szCs w:val="18"/>
              </w:rPr>
            </w:pPr>
          </w:p>
          <w:p w:rsidR="00D85B75" w:rsidRPr="0017292C" w:rsidRDefault="00D85B75" w:rsidP="00F70A04">
            <w:pPr>
              <w:ind w:right="137"/>
              <w:rPr>
                <w:b/>
                <w:bCs/>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1FB0" w:rsidRPr="0017292C" w:rsidRDefault="00D85B75" w:rsidP="00F70A04">
            <w:pPr>
              <w:rPr>
                <w:sz w:val="18"/>
                <w:szCs w:val="18"/>
              </w:rPr>
            </w:pPr>
            <w:r w:rsidRPr="0017292C">
              <w:rPr>
                <w:sz w:val="18"/>
                <w:szCs w:val="18"/>
              </w:rPr>
              <w:t xml:space="preserve">Annual </w:t>
            </w:r>
            <w:r w:rsidR="003679FD">
              <w:rPr>
                <w:sz w:val="18"/>
                <w:szCs w:val="18"/>
              </w:rPr>
              <w:t>Rwanda Governance Scorecard (</w:t>
            </w:r>
            <w:r w:rsidRPr="0017292C">
              <w:rPr>
                <w:sz w:val="18"/>
                <w:szCs w:val="18"/>
              </w:rPr>
              <w:t>RGS</w:t>
            </w:r>
            <w:r w:rsidR="003679FD">
              <w:rPr>
                <w:sz w:val="18"/>
                <w:szCs w:val="18"/>
              </w:rPr>
              <w:t>)</w:t>
            </w:r>
            <w:r w:rsidR="00C33AC8">
              <w:rPr>
                <w:sz w:val="18"/>
                <w:szCs w:val="18"/>
              </w:rPr>
              <w:t xml:space="preserve"> by Rwanda Governance Board (</w:t>
            </w:r>
            <w:r w:rsidR="00C33AC8" w:rsidRPr="0017292C">
              <w:rPr>
                <w:sz w:val="18"/>
                <w:szCs w:val="18"/>
              </w:rPr>
              <w:t>RGB</w:t>
            </w:r>
            <w:r w:rsidR="00C33AC8">
              <w:rPr>
                <w:sz w:val="18"/>
                <w:szCs w:val="18"/>
              </w:rPr>
              <w:t>)</w:t>
            </w:r>
            <w:r w:rsidR="003679FD">
              <w:rPr>
                <w:sz w:val="18"/>
                <w:szCs w:val="18"/>
              </w:rPr>
              <w:t>;</w:t>
            </w:r>
            <w:r w:rsidRPr="0017292C">
              <w:rPr>
                <w:sz w:val="18"/>
                <w:szCs w:val="18"/>
              </w:rPr>
              <w:t xml:space="preserve"> </w:t>
            </w:r>
          </w:p>
          <w:p w:rsidR="00D85B75" w:rsidRPr="0017292C" w:rsidRDefault="00D85B75" w:rsidP="00F70A04">
            <w:pPr>
              <w:ind w:left="25"/>
              <w:rPr>
                <w:b/>
                <w:bCs/>
                <w:sz w:val="18"/>
                <w:szCs w:val="18"/>
              </w:rPr>
            </w:pPr>
            <w:r w:rsidRPr="0017292C">
              <w:rPr>
                <w:sz w:val="18"/>
                <w:szCs w:val="18"/>
              </w:rPr>
              <w:t xml:space="preserve">Rwanda Reconciliation Barometer report </w:t>
            </w:r>
            <w:r w:rsidR="00C33AC8">
              <w:rPr>
                <w:sz w:val="18"/>
                <w:szCs w:val="18"/>
              </w:rPr>
              <w:t xml:space="preserve">by </w:t>
            </w:r>
            <w:r w:rsidR="003679FD">
              <w:rPr>
                <w:sz w:val="18"/>
                <w:szCs w:val="18"/>
              </w:rPr>
              <w:t>National Unity and Reconciliation Commission (</w:t>
            </w:r>
            <w:r w:rsidRPr="0017292C">
              <w:rPr>
                <w:sz w:val="18"/>
                <w:szCs w:val="18"/>
              </w:rPr>
              <w:t>NURC</w:t>
            </w:r>
            <w:r w:rsidR="003679FD">
              <w:rPr>
                <w:sz w:val="18"/>
                <w:szCs w:val="18"/>
              </w:rPr>
              <w:t>)</w:t>
            </w:r>
            <w:r w:rsidR="00C33AC8">
              <w:rPr>
                <w:sz w:val="18"/>
                <w:szCs w:val="18"/>
              </w:rPr>
              <w:t xml:space="preserve"> (</w:t>
            </w:r>
            <w:r w:rsidR="00C33AC8" w:rsidRPr="0017292C">
              <w:rPr>
                <w:sz w:val="18"/>
                <w:szCs w:val="18"/>
              </w:rPr>
              <w:t>every five years</w:t>
            </w:r>
            <w:r w:rsidR="00C33AC8">
              <w:rPr>
                <w:sz w:val="18"/>
                <w:szCs w:val="18"/>
              </w:rPr>
              <w:t xml:space="preserve">), </w:t>
            </w:r>
            <w:r w:rsidRPr="0017292C">
              <w:rPr>
                <w:sz w:val="18"/>
                <w:szCs w:val="18"/>
              </w:rPr>
              <w:t>W</w:t>
            </w:r>
            <w:r w:rsidR="00A35A2C">
              <w:rPr>
                <w:sz w:val="18"/>
                <w:szCs w:val="18"/>
              </w:rPr>
              <w:t xml:space="preserve">orld </w:t>
            </w:r>
            <w:r w:rsidRPr="0017292C">
              <w:rPr>
                <w:sz w:val="18"/>
                <w:szCs w:val="18"/>
              </w:rPr>
              <w:t>E</w:t>
            </w:r>
            <w:r w:rsidR="00A35A2C">
              <w:rPr>
                <w:sz w:val="18"/>
                <w:szCs w:val="18"/>
              </w:rPr>
              <w:t xml:space="preserve">conomic </w:t>
            </w:r>
            <w:r w:rsidRPr="0017292C">
              <w:rPr>
                <w:sz w:val="18"/>
                <w:szCs w:val="18"/>
              </w:rPr>
              <w:t>F</w:t>
            </w:r>
            <w:r w:rsidR="00A35A2C">
              <w:rPr>
                <w:sz w:val="18"/>
                <w:szCs w:val="18"/>
              </w:rPr>
              <w:t>orum</w:t>
            </w:r>
            <w:r w:rsidR="00C33AC8">
              <w:rPr>
                <w:sz w:val="18"/>
                <w:szCs w:val="18"/>
              </w:rPr>
              <w:t xml:space="preserve"> reports</w:t>
            </w:r>
            <w:r w:rsidRPr="0017292C">
              <w:rPr>
                <w:sz w:val="18"/>
                <w:szCs w:val="18"/>
              </w:rPr>
              <w:t xml:space="preserve"> </w:t>
            </w:r>
          </w:p>
          <w:p w:rsidR="00D85B75" w:rsidRPr="0017292C" w:rsidRDefault="00D85B75" w:rsidP="00F70A04">
            <w:pPr>
              <w:ind w:left="25"/>
              <w:rPr>
                <w:sz w:val="18"/>
                <w:szCs w:val="18"/>
              </w:rPr>
            </w:pPr>
          </w:p>
          <w:p w:rsidR="00D85B75" w:rsidRPr="0017292C" w:rsidRDefault="00D85B75" w:rsidP="00F70A04">
            <w:pPr>
              <w:rPr>
                <w:sz w:val="18"/>
                <w:szCs w:val="18"/>
              </w:rPr>
            </w:pPr>
          </w:p>
          <w:p w:rsidR="00D85B75" w:rsidRPr="0017292C" w:rsidRDefault="008B4A0B" w:rsidP="00F70A04">
            <w:pPr>
              <w:rPr>
                <w:sz w:val="18"/>
                <w:szCs w:val="18"/>
              </w:rPr>
            </w:pPr>
            <w:r>
              <w:rPr>
                <w:sz w:val="18"/>
                <w:szCs w:val="18"/>
              </w:rPr>
              <w:t>Ministry of Justice (</w:t>
            </w:r>
            <w:r w:rsidR="00D85B75" w:rsidRPr="0017292C">
              <w:rPr>
                <w:sz w:val="18"/>
                <w:szCs w:val="18"/>
              </w:rPr>
              <w:t>MINIJUST</w:t>
            </w:r>
            <w:r>
              <w:rPr>
                <w:sz w:val="18"/>
                <w:szCs w:val="18"/>
              </w:rPr>
              <w:t>)</w:t>
            </w:r>
            <w:r w:rsidR="00D85B75" w:rsidRPr="0017292C">
              <w:rPr>
                <w:sz w:val="18"/>
                <w:szCs w:val="18"/>
              </w:rPr>
              <w:t xml:space="preserve"> </w:t>
            </w:r>
            <w:r>
              <w:rPr>
                <w:sz w:val="18"/>
                <w:szCs w:val="18"/>
              </w:rPr>
              <w:t>a</w:t>
            </w:r>
            <w:r w:rsidRPr="0017292C">
              <w:rPr>
                <w:sz w:val="18"/>
                <w:szCs w:val="18"/>
              </w:rPr>
              <w:t xml:space="preserve">nnual </w:t>
            </w:r>
            <w:r>
              <w:rPr>
                <w:sz w:val="18"/>
                <w:szCs w:val="18"/>
              </w:rPr>
              <w:t>j</w:t>
            </w:r>
            <w:r w:rsidRPr="0017292C">
              <w:rPr>
                <w:sz w:val="18"/>
                <w:szCs w:val="18"/>
              </w:rPr>
              <w:t xml:space="preserve">oint </w:t>
            </w:r>
            <w:r>
              <w:rPr>
                <w:sz w:val="18"/>
                <w:szCs w:val="18"/>
              </w:rPr>
              <w:t>s</w:t>
            </w:r>
            <w:r w:rsidRPr="0017292C">
              <w:rPr>
                <w:sz w:val="18"/>
                <w:szCs w:val="18"/>
              </w:rPr>
              <w:t xml:space="preserve">ector </w:t>
            </w:r>
            <w:r>
              <w:rPr>
                <w:sz w:val="18"/>
                <w:szCs w:val="18"/>
              </w:rPr>
              <w:t>r</w:t>
            </w:r>
            <w:r w:rsidRPr="0017292C">
              <w:rPr>
                <w:sz w:val="18"/>
                <w:szCs w:val="18"/>
              </w:rPr>
              <w:t xml:space="preserve">eview </w:t>
            </w:r>
            <w:r>
              <w:rPr>
                <w:sz w:val="18"/>
                <w:szCs w:val="18"/>
              </w:rPr>
              <w:t>r</w:t>
            </w:r>
            <w:r w:rsidRPr="0017292C">
              <w:rPr>
                <w:sz w:val="18"/>
                <w:szCs w:val="18"/>
              </w:rPr>
              <w:t>eport</w:t>
            </w:r>
          </w:p>
          <w:p w:rsidR="00D85B75" w:rsidRPr="0017292C" w:rsidRDefault="00D85B75" w:rsidP="00F70A04">
            <w:pPr>
              <w:ind w:left="25"/>
              <w:rPr>
                <w:sz w:val="18"/>
                <w:szCs w:val="18"/>
              </w:rPr>
            </w:pPr>
          </w:p>
          <w:p w:rsidR="00D85B75" w:rsidRPr="0017292C" w:rsidRDefault="00D85B75" w:rsidP="00F70A04">
            <w:pPr>
              <w:ind w:left="25"/>
              <w:rPr>
                <w:sz w:val="18"/>
                <w:szCs w:val="18"/>
              </w:rPr>
            </w:pPr>
          </w:p>
          <w:p w:rsidR="00D85B75" w:rsidRPr="0017292C" w:rsidRDefault="008B4A0B" w:rsidP="00F70A04">
            <w:pPr>
              <w:ind w:left="25"/>
              <w:rPr>
                <w:sz w:val="18"/>
                <w:szCs w:val="18"/>
              </w:rPr>
            </w:pPr>
            <w:r>
              <w:rPr>
                <w:sz w:val="18"/>
                <w:szCs w:val="18"/>
              </w:rPr>
              <w:t>Rwanda Bar Association (</w:t>
            </w:r>
            <w:r w:rsidR="00D85B75" w:rsidRPr="0017292C">
              <w:rPr>
                <w:sz w:val="18"/>
                <w:szCs w:val="18"/>
              </w:rPr>
              <w:t>RBA</w:t>
            </w:r>
            <w:r>
              <w:rPr>
                <w:sz w:val="18"/>
                <w:szCs w:val="18"/>
              </w:rPr>
              <w:t>)</w:t>
            </w:r>
            <w:r w:rsidR="00D85B75" w:rsidRPr="0017292C">
              <w:rPr>
                <w:sz w:val="18"/>
                <w:szCs w:val="18"/>
              </w:rPr>
              <w:t xml:space="preserve"> </w:t>
            </w:r>
            <w:r>
              <w:rPr>
                <w:sz w:val="18"/>
                <w:szCs w:val="18"/>
              </w:rPr>
              <w:t>a</w:t>
            </w:r>
            <w:r w:rsidRPr="0017292C">
              <w:rPr>
                <w:sz w:val="18"/>
                <w:szCs w:val="18"/>
              </w:rPr>
              <w:t xml:space="preserve">nnual </w:t>
            </w:r>
            <w:r>
              <w:rPr>
                <w:sz w:val="18"/>
                <w:szCs w:val="18"/>
              </w:rPr>
              <w:t>r</w:t>
            </w:r>
            <w:r w:rsidRPr="0017292C">
              <w:rPr>
                <w:sz w:val="18"/>
                <w:szCs w:val="18"/>
              </w:rPr>
              <w:t>eport</w:t>
            </w:r>
          </w:p>
          <w:p w:rsidR="00D85B75" w:rsidRPr="0017292C" w:rsidRDefault="00D85B75" w:rsidP="00F70A04">
            <w:pPr>
              <w:ind w:left="25"/>
              <w:rPr>
                <w:sz w:val="18"/>
                <w:szCs w:val="18"/>
              </w:rPr>
            </w:pPr>
          </w:p>
          <w:p w:rsidR="00D85B75" w:rsidRPr="0017292C" w:rsidRDefault="00D85B75" w:rsidP="00F70A04">
            <w:pPr>
              <w:ind w:left="25"/>
              <w:rPr>
                <w:sz w:val="18"/>
                <w:szCs w:val="18"/>
              </w:rPr>
            </w:pPr>
          </w:p>
          <w:p w:rsidR="00D85B75" w:rsidRPr="0017292C" w:rsidRDefault="00D85B75" w:rsidP="00F70A04">
            <w:pPr>
              <w:ind w:left="25"/>
              <w:rPr>
                <w:sz w:val="18"/>
                <w:szCs w:val="18"/>
              </w:rPr>
            </w:pPr>
          </w:p>
          <w:p w:rsidR="00D85B75" w:rsidRPr="0017292C" w:rsidRDefault="00D85B75" w:rsidP="00F70A04">
            <w:pPr>
              <w:ind w:left="25"/>
              <w:rPr>
                <w:sz w:val="18"/>
                <w:szCs w:val="18"/>
              </w:rPr>
            </w:pPr>
          </w:p>
          <w:p w:rsidR="00D85B75" w:rsidRPr="0017292C" w:rsidRDefault="00D85B75" w:rsidP="00F70A04">
            <w:pPr>
              <w:rPr>
                <w:sz w:val="18"/>
                <w:szCs w:val="18"/>
              </w:rPr>
            </w:pPr>
          </w:p>
          <w:p w:rsidR="00D85B75" w:rsidRPr="0017292C" w:rsidRDefault="00D85B75" w:rsidP="00F70A04">
            <w:pPr>
              <w:rPr>
                <w:sz w:val="18"/>
                <w:szCs w:val="18"/>
              </w:rPr>
            </w:pPr>
          </w:p>
          <w:p w:rsidR="00D85B75" w:rsidRPr="0017292C" w:rsidRDefault="00D85B75" w:rsidP="00F70A04">
            <w:pPr>
              <w:ind w:left="25"/>
              <w:rPr>
                <w:sz w:val="18"/>
                <w:szCs w:val="18"/>
              </w:rPr>
            </w:pPr>
            <w:r w:rsidRPr="0017292C">
              <w:rPr>
                <w:sz w:val="18"/>
                <w:szCs w:val="18"/>
              </w:rPr>
              <w:t xml:space="preserve">RNP </w:t>
            </w:r>
            <w:r w:rsidR="008B4A0B">
              <w:rPr>
                <w:sz w:val="18"/>
                <w:szCs w:val="18"/>
              </w:rPr>
              <w:t>a</w:t>
            </w:r>
            <w:r w:rsidR="008B4A0B" w:rsidRPr="0017292C">
              <w:rPr>
                <w:sz w:val="18"/>
                <w:szCs w:val="18"/>
              </w:rPr>
              <w:t xml:space="preserve">nnual </w:t>
            </w:r>
            <w:r w:rsidR="008B4A0B">
              <w:rPr>
                <w:sz w:val="18"/>
                <w:szCs w:val="18"/>
              </w:rPr>
              <w:t>r</w:t>
            </w:r>
            <w:r w:rsidR="008B4A0B" w:rsidRPr="0017292C">
              <w:rPr>
                <w:sz w:val="18"/>
                <w:szCs w:val="18"/>
              </w:rPr>
              <w:t xml:space="preserve">eport </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857A41">
            <w:pPr>
              <w:ind w:left="151" w:right="229"/>
              <w:jc w:val="both"/>
              <w:rPr>
                <w:rFonts w:eastAsia="Calibri"/>
                <w:sz w:val="18"/>
                <w:szCs w:val="18"/>
              </w:rPr>
            </w:pPr>
            <w:r w:rsidRPr="0017292C">
              <w:rPr>
                <w:b/>
                <w:bCs/>
                <w:sz w:val="18"/>
                <w:szCs w:val="18"/>
              </w:rPr>
              <w:t xml:space="preserve">Output 3.1.  </w:t>
            </w:r>
            <w:r w:rsidRPr="0017292C">
              <w:rPr>
                <w:sz w:val="18"/>
                <w:szCs w:val="18"/>
              </w:rPr>
              <w:t xml:space="preserve"> </w:t>
            </w:r>
            <w:r w:rsidRPr="0017292C">
              <w:rPr>
                <w:rFonts w:eastAsia="Calibri"/>
                <w:sz w:val="18"/>
                <w:szCs w:val="18"/>
              </w:rPr>
              <w:t xml:space="preserve">Public institutions and legal aid providers have enhanced capacity to increase equitable access to quality justice whilst ensuring that human rights commitments are fulfilled. </w:t>
            </w:r>
          </w:p>
          <w:p w:rsidR="00D85B75" w:rsidRPr="0017292C" w:rsidRDefault="00D85B75" w:rsidP="00857A41">
            <w:pPr>
              <w:ind w:left="151" w:right="229"/>
              <w:jc w:val="both"/>
              <w:rPr>
                <w:rFonts w:eastAsia="Calibri"/>
                <w:sz w:val="18"/>
                <w:szCs w:val="18"/>
              </w:rPr>
            </w:pPr>
            <w:r w:rsidRPr="0017292C">
              <w:rPr>
                <w:b/>
                <w:bCs/>
                <w:sz w:val="18"/>
                <w:szCs w:val="18"/>
              </w:rPr>
              <w:t xml:space="preserve">Indicator 3.1.1. </w:t>
            </w:r>
            <w:r w:rsidRPr="0017292C">
              <w:rPr>
                <w:sz w:val="18"/>
                <w:szCs w:val="18"/>
              </w:rPr>
              <w:t>Number</w:t>
            </w:r>
            <w:r w:rsidRPr="0017292C">
              <w:rPr>
                <w:b/>
                <w:bCs/>
                <w:sz w:val="18"/>
                <w:szCs w:val="18"/>
              </w:rPr>
              <w:t xml:space="preserve"> </w:t>
            </w:r>
            <w:r w:rsidRPr="0017292C">
              <w:rPr>
                <w:rFonts w:eastAsia="Calibri"/>
                <w:sz w:val="18"/>
                <w:szCs w:val="18"/>
              </w:rPr>
              <w:t xml:space="preserve">of justice institutions staff with skills to effectively use </w:t>
            </w:r>
            <w:r w:rsidR="008B4A0B">
              <w:rPr>
                <w:rFonts w:eastAsia="Calibri"/>
                <w:sz w:val="18"/>
                <w:szCs w:val="18"/>
              </w:rPr>
              <w:t>e</w:t>
            </w:r>
            <w:r w:rsidR="008B4A0B" w:rsidRPr="0017292C">
              <w:rPr>
                <w:rFonts w:eastAsia="Calibri"/>
                <w:sz w:val="18"/>
                <w:szCs w:val="18"/>
              </w:rPr>
              <w:t xml:space="preserve">lectronic </w:t>
            </w:r>
            <w:r w:rsidR="008B4A0B">
              <w:rPr>
                <w:rFonts w:eastAsia="Calibri"/>
                <w:sz w:val="18"/>
                <w:szCs w:val="18"/>
              </w:rPr>
              <w:t>c</w:t>
            </w:r>
            <w:r w:rsidR="008B4A0B" w:rsidRPr="0017292C">
              <w:rPr>
                <w:rFonts w:eastAsia="Calibri"/>
                <w:sz w:val="18"/>
                <w:szCs w:val="18"/>
              </w:rPr>
              <w:t xml:space="preserve">ase </w:t>
            </w:r>
            <w:r w:rsidR="008B4A0B">
              <w:rPr>
                <w:rFonts w:eastAsia="Calibri"/>
                <w:sz w:val="18"/>
                <w:szCs w:val="18"/>
              </w:rPr>
              <w:t>m</w:t>
            </w:r>
            <w:r w:rsidR="008B4A0B" w:rsidRPr="0017292C">
              <w:rPr>
                <w:rFonts w:eastAsia="Calibri"/>
                <w:sz w:val="18"/>
                <w:szCs w:val="18"/>
              </w:rPr>
              <w:t xml:space="preserve">anagement </w:t>
            </w:r>
            <w:r w:rsidR="008B4A0B">
              <w:rPr>
                <w:rFonts w:eastAsia="Calibri"/>
                <w:sz w:val="18"/>
                <w:szCs w:val="18"/>
              </w:rPr>
              <w:t>s</w:t>
            </w:r>
            <w:r w:rsidR="008B4A0B" w:rsidRPr="0017292C">
              <w:rPr>
                <w:rFonts w:eastAsia="Calibri"/>
                <w:sz w:val="18"/>
                <w:szCs w:val="18"/>
              </w:rPr>
              <w:t>ystem</w:t>
            </w:r>
          </w:p>
          <w:p w:rsidR="00D85B75" w:rsidRPr="00F70A04" w:rsidRDefault="00D85B75" w:rsidP="00857A41">
            <w:pPr>
              <w:ind w:left="151" w:right="229"/>
              <w:jc w:val="both"/>
              <w:rPr>
                <w:bCs/>
                <w:sz w:val="18"/>
                <w:szCs w:val="18"/>
              </w:rPr>
            </w:pPr>
            <w:r w:rsidRPr="00F70A04">
              <w:rPr>
                <w:bCs/>
                <w:i/>
                <w:iCs/>
                <w:sz w:val="18"/>
                <w:szCs w:val="18"/>
              </w:rPr>
              <w:t>Baseline</w:t>
            </w:r>
            <w:r w:rsidRPr="00F70A04">
              <w:rPr>
                <w:bCs/>
                <w:sz w:val="18"/>
                <w:szCs w:val="18"/>
              </w:rPr>
              <w:t xml:space="preserve">: </w:t>
            </w:r>
            <w:r w:rsidRPr="00F70A04">
              <w:rPr>
                <w:sz w:val="18"/>
                <w:szCs w:val="18"/>
              </w:rPr>
              <w:t>1</w:t>
            </w:r>
            <w:r w:rsidR="008B4A0B" w:rsidRPr="00F70A04">
              <w:rPr>
                <w:sz w:val="18"/>
                <w:szCs w:val="18"/>
              </w:rPr>
              <w:t>,</w:t>
            </w:r>
            <w:r w:rsidRPr="00F70A04">
              <w:rPr>
                <w:sz w:val="18"/>
                <w:szCs w:val="18"/>
              </w:rPr>
              <w:t xml:space="preserve">534 </w:t>
            </w:r>
          </w:p>
          <w:p w:rsidR="00D85B75" w:rsidRPr="00F70A04" w:rsidDel="5B5EAFB3" w:rsidRDefault="00D85B75" w:rsidP="00857A41">
            <w:pPr>
              <w:ind w:left="151" w:right="229"/>
              <w:jc w:val="both"/>
              <w:rPr>
                <w:sz w:val="18"/>
                <w:szCs w:val="18"/>
              </w:rPr>
            </w:pPr>
            <w:r w:rsidRPr="00F70A04">
              <w:rPr>
                <w:bCs/>
                <w:i/>
                <w:iCs/>
                <w:sz w:val="18"/>
                <w:szCs w:val="18"/>
              </w:rPr>
              <w:t>Target:</w:t>
            </w:r>
            <w:r w:rsidRPr="00F70A04">
              <w:rPr>
                <w:bCs/>
                <w:sz w:val="18"/>
                <w:szCs w:val="18"/>
              </w:rPr>
              <w:t xml:space="preserve"> </w:t>
            </w:r>
            <w:r w:rsidRPr="00F70A04">
              <w:rPr>
                <w:sz w:val="18"/>
                <w:szCs w:val="18"/>
              </w:rPr>
              <w:t>3</w:t>
            </w:r>
            <w:r w:rsidR="008B4A0B" w:rsidRPr="00F70A04">
              <w:rPr>
                <w:sz w:val="18"/>
                <w:szCs w:val="18"/>
              </w:rPr>
              <w:t>,</w:t>
            </w:r>
            <w:r w:rsidRPr="00F70A04">
              <w:rPr>
                <w:sz w:val="18"/>
                <w:szCs w:val="18"/>
              </w:rPr>
              <w:t>040</w:t>
            </w:r>
            <w:r w:rsidRPr="00F70A04">
              <w:rPr>
                <w:bCs/>
                <w:sz w:val="18"/>
                <w:szCs w:val="18"/>
              </w:rPr>
              <w:t xml:space="preserve"> </w:t>
            </w:r>
          </w:p>
          <w:p w:rsidR="00D85B75" w:rsidRPr="0017292C" w:rsidRDefault="00D85B75" w:rsidP="00857A41">
            <w:pPr>
              <w:ind w:left="151" w:right="229"/>
              <w:jc w:val="both"/>
              <w:rPr>
                <w:b/>
                <w:bCs/>
                <w:sz w:val="18"/>
                <w:szCs w:val="18"/>
              </w:rPr>
            </w:pPr>
          </w:p>
          <w:p w:rsidR="00D85B75" w:rsidRPr="0017292C" w:rsidRDefault="00D85B75" w:rsidP="00857A41">
            <w:pPr>
              <w:ind w:left="151" w:right="229"/>
              <w:jc w:val="both"/>
              <w:rPr>
                <w:sz w:val="18"/>
                <w:szCs w:val="18"/>
              </w:rPr>
            </w:pPr>
            <w:r w:rsidRPr="0017292C">
              <w:rPr>
                <w:b/>
                <w:bCs/>
                <w:sz w:val="18"/>
                <w:szCs w:val="18"/>
              </w:rPr>
              <w:t>Indicator 3.1.2:</w:t>
            </w:r>
            <w:r w:rsidRPr="0017292C">
              <w:rPr>
                <w:sz w:val="18"/>
                <w:szCs w:val="18"/>
              </w:rPr>
              <w:t xml:space="preserve"> Percentage of 2015 UPR recommendations implemented</w:t>
            </w:r>
          </w:p>
          <w:p w:rsidR="00D85B75" w:rsidRPr="00F70A04" w:rsidRDefault="00D85B75" w:rsidP="00857A41">
            <w:pPr>
              <w:ind w:left="151" w:right="229"/>
              <w:jc w:val="both"/>
              <w:rPr>
                <w:bCs/>
                <w:sz w:val="18"/>
                <w:szCs w:val="18"/>
              </w:rPr>
            </w:pPr>
            <w:r w:rsidRPr="00F70A04">
              <w:rPr>
                <w:bCs/>
                <w:i/>
                <w:iCs/>
                <w:sz w:val="18"/>
                <w:szCs w:val="18"/>
              </w:rPr>
              <w:t>Baseline</w:t>
            </w:r>
            <w:r w:rsidRPr="00F70A04">
              <w:rPr>
                <w:bCs/>
                <w:sz w:val="18"/>
                <w:szCs w:val="18"/>
              </w:rPr>
              <w:t>:  68</w:t>
            </w:r>
            <w:r w:rsidRPr="00F70A04">
              <w:rPr>
                <w:sz w:val="18"/>
                <w:szCs w:val="18"/>
              </w:rPr>
              <w:t>%</w:t>
            </w:r>
            <w:r w:rsidRPr="00F70A04">
              <w:rPr>
                <w:bCs/>
                <w:sz w:val="18"/>
                <w:szCs w:val="18"/>
              </w:rPr>
              <w:t xml:space="preserve"> </w:t>
            </w:r>
          </w:p>
          <w:p w:rsidR="00D85B75" w:rsidRPr="00F70A04" w:rsidRDefault="00D85B75" w:rsidP="00857A41">
            <w:pPr>
              <w:ind w:left="151" w:right="229"/>
              <w:jc w:val="both"/>
              <w:rPr>
                <w:sz w:val="18"/>
                <w:szCs w:val="18"/>
              </w:rPr>
            </w:pPr>
            <w:r w:rsidRPr="00F70A04">
              <w:rPr>
                <w:bCs/>
                <w:i/>
                <w:iCs/>
                <w:sz w:val="18"/>
                <w:szCs w:val="18"/>
              </w:rPr>
              <w:t>Target:</w:t>
            </w:r>
            <w:r w:rsidRPr="00F70A04">
              <w:rPr>
                <w:bCs/>
                <w:sz w:val="18"/>
                <w:szCs w:val="18"/>
              </w:rPr>
              <w:t xml:space="preserve"> </w:t>
            </w:r>
            <w:r w:rsidRPr="00F70A04">
              <w:rPr>
                <w:sz w:val="18"/>
                <w:szCs w:val="18"/>
              </w:rPr>
              <w:t>95%</w:t>
            </w:r>
          </w:p>
          <w:p w:rsidR="00D85B75" w:rsidRPr="0017292C" w:rsidRDefault="00D85B75" w:rsidP="00857A41">
            <w:pPr>
              <w:ind w:left="151" w:right="229"/>
              <w:jc w:val="both"/>
              <w:rPr>
                <w:b/>
                <w:bCs/>
                <w:sz w:val="18"/>
                <w:szCs w:val="18"/>
              </w:rPr>
            </w:pPr>
          </w:p>
          <w:p w:rsidR="00D85B75" w:rsidRPr="0017292C" w:rsidRDefault="00D85B75" w:rsidP="00857A41">
            <w:pPr>
              <w:ind w:left="151" w:right="229"/>
              <w:jc w:val="both"/>
              <w:rPr>
                <w:rFonts w:eastAsia="Calibri"/>
                <w:sz w:val="18"/>
                <w:szCs w:val="18"/>
              </w:rPr>
            </w:pPr>
            <w:r w:rsidRPr="0017292C">
              <w:rPr>
                <w:b/>
                <w:bCs/>
                <w:sz w:val="18"/>
                <w:szCs w:val="18"/>
              </w:rPr>
              <w:t xml:space="preserve">Indicator 3.1.3 </w:t>
            </w:r>
            <w:r w:rsidRPr="0017292C">
              <w:rPr>
                <w:sz w:val="18"/>
                <w:szCs w:val="18"/>
              </w:rPr>
              <w:t>Number</w:t>
            </w:r>
            <w:r w:rsidRPr="0017292C">
              <w:rPr>
                <w:rFonts w:eastAsia="Calibri"/>
                <w:sz w:val="18"/>
                <w:szCs w:val="18"/>
              </w:rPr>
              <w:t xml:space="preserve"> of legal aid cases represented by partner legal aid providers disaggregated by sex</w:t>
            </w:r>
          </w:p>
          <w:p w:rsidR="00D85B75" w:rsidRPr="0017292C" w:rsidRDefault="008B4A0B" w:rsidP="00857A41">
            <w:pPr>
              <w:ind w:left="151" w:right="229"/>
              <w:jc w:val="both"/>
              <w:rPr>
                <w:b/>
                <w:i/>
                <w:sz w:val="18"/>
                <w:szCs w:val="18"/>
              </w:rPr>
            </w:pPr>
            <w:r>
              <w:rPr>
                <w:sz w:val="18"/>
                <w:szCs w:val="18"/>
              </w:rPr>
              <w:t>Gender-based violence</w:t>
            </w:r>
            <w:r w:rsidRPr="0017292C">
              <w:rPr>
                <w:sz w:val="18"/>
                <w:szCs w:val="18"/>
              </w:rPr>
              <w:t xml:space="preserve"> </w:t>
            </w:r>
            <w:r w:rsidR="00D85B75" w:rsidRPr="0017292C">
              <w:rPr>
                <w:sz w:val="18"/>
                <w:szCs w:val="18"/>
              </w:rPr>
              <w:t>victims</w:t>
            </w:r>
            <w:r w:rsidR="00D85B75" w:rsidRPr="00F70A04">
              <w:rPr>
                <w:bCs/>
                <w:sz w:val="18"/>
                <w:szCs w:val="18"/>
              </w:rPr>
              <w:t xml:space="preserve">:     </w:t>
            </w:r>
            <w:r w:rsidR="00D85B75" w:rsidRPr="00F70A04">
              <w:rPr>
                <w:bCs/>
                <w:i/>
                <w:iCs/>
                <w:sz w:val="18"/>
                <w:szCs w:val="18"/>
              </w:rPr>
              <w:t>Baseline</w:t>
            </w:r>
            <w:r w:rsidR="00D85B75" w:rsidRPr="00F70A04">
              <w:rPr>
                <w:bCs/>
                <w:sz w:val="18"/>
                <w:szCs w:val="18"/>
              </w:rPr>
              <w:t>:</w:t>
            </w:r>
            <w:r w:rsidR="00D85B75" w:rsidRPr="0017292C">
              <w:rPr>
                <w:b/>
                <w:bCs/>
                <w:sz w:val="18"/>
                <w:szCs w:val="18"/>
              </w:rPr>
              <w:t xml:space="preserve"> </w:t>
            </w:r>
            <w:r w:rsidR="00D85B75" w:rsidRPr="0017292C">
              <w:rPr>
                <w:sz w:val="18"/>
                <w:szCs w:val="18"/>
              </w:rPr>
              <w:t>0</w:t>
            </w:r>
            <w:r w:rsidR="00D85B75" w:rsidRPr="0017292C">
              <w:rPr>
                <w:b/>
                <w:bCs/>
                <w:sz w:val="18"/>
                <w:szCs w:val="18"/>
              </w:rPr>
              <w:t xml:space="preserve"> </w:t>
            </w:r>
          </w:p>
          <w:p w:rsidR="00D85B75" w:rsidRPr="00F70A04" w:rsidRDefault="00D85B75" w:rsidP="00857A41">
            <w:pPr>
              <w:ind w:left="151" w:right="229"/>
              <w:jc w:val="both"/>
              <w:rPr>
                <w:bCs/>
                <w:sz w:val="18"/>
                <w:szCs w:val="18"/>
              </w:rPr>
            </w:pPr>
            <w:r w:rsidRPr="00F70A04">
              <w:rPr>
                <w:bCs/>
                <w:i/>
                <w:iCs/>
                <w:sz w:val="18"/>
                <w:szCs w:val="18"/>
              </w:rPr>
              <w:t>Target</w:t>
            </w:r>
            <w:r w:rsidRPr="00F70A04">
              <w:rPr>
                <w:bCs/>
                <w:sz w:val="18"/>
                <w:szCs w:val="18"/>
              </w:rPr>
              <w:t xml:space="preserve">: </w:t>
            </w:r>
            <w:r w:rsidRPr="00F70A04">
              <w:rPr>
                <w:sz w:val="18"/>
                <w:szCs w:val="18"/>
              </w:rPr>
              <w:t>200</w:t>
            </w:r>
            <w:r w:rsidRPr="00F70A04">
              <w:rPr>
                <w:bCs/>
                <w:sz w:val="18"/>
                <w:szCs w:val="18"/>
              </w:rPr>
              <w:t xml:space="preserve"> </w:t>
            </w:r>
          </w:p>
          <w:p w:rsidR="00D85B75" w:rsidRPr="00F70A04" w:rsidRDefault="00D85B75" w:rsidP="00857A41">
            <w:pPr>
              <w:ind w:left="151" w:right="229"/>
              <w:jc w:val="both"/>
              <w:rPr>
                <w:bCs/>
                <w:sz w:val="18"/>
                <w:szCs w:val="18"/>
              </w:rPr>
            </w:pPr>
            <w:r w:rsidRPr="00F70A04">
              <w:rPr>
                <w:sz w:val="18"/>
                <w:szCs w:val="18"/>
              </w:rPr>
              <w:t>Poor inmates</w:t>
            </w:r>
            <w:r w:rsidRPr="00F70A04">
              <w:rPr>
                <w:bCs/>
                <w:sz w:val="18"/>
                <w:szCs w:val="18"/>
              </w:rPr>
              <w:t xml:space="preserve">:   </w:t>
            </w:r>
            <w:r w:rsidRPr="00F70A04">
              <w:rPr>
                <w:bCs/>
                <w:i/>
                <w:iCs/>
                <w:sz w:val="18"/>
                <w:szCs w:val="18"/>
              </w:rPr>
              <w:t>Baseline</w:t>
            </w:r>
            <w:r w:rsidRPr="00F70A04">
              <w:rPr>
                <w:bCs/>
                <w:sz w:val="18"/>
                <w:szCs w:val="18"/>
              </w:rPr>
              <w:t xml:space="preserve">: </w:t>
            </w:r>
            <w:r w:rsidRPr="00F70A04">
              <w:rPr>
                <w:sz w:val="18"/>
                <w:szCs w:val="18"/>
              </w:rPr>
              <w:t>0</w:t>
            </w:r>
            <w:r w:rsidRPr="00F70A04">
              <w:rPr>
                <w:bCs/>
                <w:sz w:val="18"/>
                <w:szCs w:val="18"/>
              </w:rPr>
              <w:t xml:space="preserve"> </w:t>
            </w:r>
          </w:p>
          <w:p w:rsidR="00D85B75" w:rsidRPr="00F70A04" w:rsidRDefault="00D85B75" w:rsidP="00857A41">
            <w:pPr>
              <w:ind w:left="151" w:right="229"/>
              <w:jc w:val="both"/>
              <w:rPr>
                <w:bCs/>
                <w:sz w:val="18"/>
                <w:szCs w:val="18"/>
              </w:rPr>
            </w:pPr>
            <w:r w:rsidRPr="00F70A04">
              <w:rPr>
                <w:bCs/>
                <w:sz w:val="18"/>
                <w:szCs w:val="18"/>
              </w:rPr>
              <w:t xml:space="preserve">                             </w:t>
            </w:r>
            <w:r w:rsidRPr="00F70A04">
              <w:rPr>
                <w:bCs/>
                <w:i/>
                <w:iCs/>
                <w:sz w:val="18"/>
                <w:szCs w:val="18"/>
              </w:rPr>
              <w:t>Target</w:t>
            </w:r>
            <w:r w:rsidRPr="00F70A04">
              <w:rPr>
                <w:bCs/>
                <w:sz w:val="18"/>
                <w:szCs w:val="18"/>
              </w:rPr>
              <w:t xml:space="preserve">: </w:t>
            </w:r>
            <w:r w:rsidRPr="00F70A04">
              <w:rPr>
                <w:sz w:val="18"/>
                <w:szCs w:val="18"/>
              </w:rPr>
              <w:t>500</w:t>
            </w:r>
            <w:r w:rsidRPr="00F70A04">
              <w:rPr>
                <w:bCs/>
                <w:sz w:val="18"/>
                <w:szCs w:val="18"/>
              </w:rPr>
              <w:t xml:space="preserve"> </w:t>
            </w:r>
          </w:p>
          <w:p w:rsidR="00D85B75" w:rsidRPr="00F70A04" w:rsidRDefault="00D85B75" w:rsidP="00857A41">
            <w:pPr>
              <w:ind w:left="151" w:right="229"/>
              <w:jc w:val="both"/>
              <w:rPr>
                <w:i/>
                <w:sz w:val="18"/>
                <w:szCs w:val="18"/>
              </w:rPr>
            </w:pPr>
            <w:r w:rsidRPr="00F70A04">
              <w:rPr>
                <w:sz w:val="18"/>
                <w:szCs w:val="18"/>
              </w:rPr>
              <w:t>Persons with disability</w:t>
            </w:r>
            <w:r w:rsidRPr="00F70A04">
              <w:rPr>
                <w:bCs/>
                <w:sz w:val="18"/>
                <w:szCs w:val="18"/>
              </w:rPr>
              <w:t xml:space="preserve">: </w:t>
            </w:r>
            <w:r w:rsidRPr="00F70A04">
              <w:rPr>
                <w:bCs/>
                <w:i/>
                <w:iCs/>
                <w:sz w:val="18"/>
                <w:szCs w:val="18"/>
              </w:rPr>
              <w:t>Baseline</w:t>
            </w:r>
            <w:r w:rsidRPr="00F70A04">
              <w:rPr>
                <w:bCs/>
                <w:sz w:val="18"/>
                <w:szCs w:val="18"/>
              </w:rPr>
              <w:t xml:space="preserve">: </w:t>
            </w:r>
            <w:r w:rsidRPr="00F70A04">
              <w:rPr>
                <w:sz w:val="18"/>
                <w:szCs w:val="18"/>
              </w:rPr>
              <w:t>0</w:t>
            </w:r>
            <w:r w:rsidRPr="00F70A04">
              <w:rPr>
                <w:bCs/>
                <w:sz w:val="18"/>
                <w:szCs w:val="18"/>
              </w:rPr>
              <w:t xml:space="preserve"> </w:t>
            </w:r>
          </w:p>
          <w:p w:rsidR="00D85B75" w:rsidRPr="00F70A04" w:rsidRDefault="00D85B75" w:rsidP="00A52112">
            <w:pPr>
              <w:ind w:left="1389" w:firstLine="250"/>
              <w:jc w:val="both"/>
              <w:rPr>
                <w:bCs/>
                <w:sz w:val="18"/>
                <w:szCs w:val="18"/>
              </w:rPr>
            </w:pPr>
            <w:r w:rsidRPr="00F70A04">
              <w:rPr>
                <w:bCs/>
                <w:sz w:val="18"/>
                <w:szCs w:val="18"/>
              </w:rPr>
              <w:t xml:space="preserve">    </w:t>
            </w:r>
            <w:r w:rsidR="00176577" w:rsidRPr="00F70A04">
              <w:rPr>
                <w:bCs/>
                <w:sz w:val="18"/>
                <w:szCs w:val="18"/>
              </w:rPr>
              <w:t xml:space="preserve"> </w:t>
            </w:r>
            <w:r w:rsidRPr="00F70A04">
              <w:rPr>
                <w:bCs/>
                <w:sz w:val="18"/>
                <w:szCs w:val="18"/>
              </w:rPr>
              <w:t xml:space="preserve">    </w:t>
            </w:r>
            <w:r w:rsidRPr="00F70A04">
              <w:rPr>
                <w:bCs/>
                <w:i/>
                <w:iCs/>
                <w:sz w:val="18"/>
                <w:szCs w:val="18"/>
              </w:rPr>
              <w:t>Target</w:t>
            </w:r>
            <w:r w:rsidRPr="00F70A04">
              <w:rPr>
                <w:bCs/>
                <w:sz w:val="18"/>
                <w:szCs w:val="18"/>
              </w:rPr>
              <w:t xml:space="preserve">: </w:t>
            </w:r>
            <w:r w:rsidRPr="00F70A04">
              <w:rPr>
                <w:sz w:val="18"/>
                <w:szCs w:val="18"/>
              </w:rPr>
              <w:t>100</w:t>
            </w:r>
            <w:r w:rsidRPr="00F70A04">
              <w:rPr>
                <w:bCs/>
                <w:sz w:val="18"/>
                <w:szCs w:val="18"/>
              </w:rPr>
              <w:t xml:space="preserve"> </w:t>
            </w:r>
          </w:p>
          <w:p w:rsidR="00D85B75" w:rsidRPr="0017292C" w:rsidRDefault="00D85B75" w:rsidP="00A52112">
            <w:pPr>
              <w:jc w:val="both"/>
              <w:rPr>
                <w:b/>
                <w:bCs/>
                <w:sz w:val="18"/>
                <w:szCs w:val="18"/>
              </w:rPr>
            </w:pPr>
          </w:p>
          <w:p w:rsidR="00D85B75" w:rsidRPr="0017292C" w:rsidRDefault="00D85B75" w:rsidP="00857A41">
            <w:pPr>
              <w:ind w:left="151" w:right="139"/>
              <w:jc w:val="both"/>
              <w:rPr>
                <w:sz w:val="18"/>
                <w:szCs w:val="18"/>
              </w:rPr>
            </w:pPr>
            <w:r w:rsidRPr="0017292C">
              <w:rPr>
                <w:b/>
                <w:bCs/>
                <w:sz w:val="18"/>
                <w:szCs w:val="18"/>
              </w:rPr>
              <w:t xml:space="preserve">Output 3.2. </w:t>
            </w:r>
            <w:r w:rsidRPr="0017292C">
              <w:rPr>
                <w:sz w:val="18"/>
                <w:szCs w:val="18"/>
              </w:rPr>
              <w:t xml:space="preserve">NURC, RNP and CSOs </w:t>
            </w:r>
            <w:r w:rsidRPr="0017292C">
              <w:rPr>
                <w:rFonts w:eastAsia="Calibri"/>
                <w:sz w:val="18"/>
                <w:szCs w:val="18"/>
              </w:rPr>
              <w:t xml:space="preserve">have strengthened capacity to develop and implement evidence-based mechanisms and programmes that promote social cohesion, peace, safety and security </w:t>
            </w:r>
          </w:p>
          <w:p w:rsidR="00D85B75" w:rsidRPr="0017292C" w:rsidRDefault="00D85B75" w:rsidP="00857A41">
            <w:pPr>
              <w:ind w:left="151" w:right="139"/>
              <w:jc w:val="both"/>
              <w:rPr>
                <w:rFonts w:eastAsia="Calibri Light"/>
                <w:b/>
                <w:bCs/>
                <w:sz w:val="18"/>
                <w:szCs w:val="18"/>
              </w:rPr>
            </w:pPr>
          </w:p>
          <w:p w:rsidR="00D85B75" w:rsidRPr="0017292C" w:rsidRDefault="00D85B75" w:rsidP="00857A41">
            <w:pPr>
              <w:ind w:left="151" w:right="139"/>
              <w:jc w:val="both"/>
              <w:rPr>
                <w:rFonts w:eastAsia="Calibri"/>
                <w:color w:val="000000" w:themeColor="text1"/>
                <w:sz w:val="18"/>
                <w:szCs w:val="18"/>
              </w:rPr>
            </w:pPr>
            <w:r w:rsidRPr="0017292C">
              <w:rPr>
                <w:rFonts w:eastAsia="Calibri Light"/>
                <w:b/>
                <w:bCs/>
                <w:sz w:val="18"/>
                <w:szCs w:val="18"/>
              </w:rPr>
              <w:t xml:space="preserve">Indicator 3.2.1 </w:t>
            </w:r>
            <w:r w:rsidRPr="0017292C">
              <w:rPr>
                <w:rFonts w:eastAsia="Calibri"/>
                <w:color w:val="000000" w:themeColor="text1"/>
                <w:sz w:val="18"/>
                <w:szCs w:val="18"/>
              </w:rPr>
              <w:t>Rwanda has current data to inform policies and plans that promote social cohesion and prevent risk of conflict</w:t>
            </w:r>
          </w:p>
          <w:p w:rsidR="00D85B75" w:rsidRPr="0017292C" w:rsidRDefault="00D85B75" w:rsidP="00857A41">
            <w:pPr>
              <w:ind w:left="151" w:right="139"/>
              <w:jc w:val="both"/>
              <w:rPr>
                <w:rFonts w:eastAsia="Calibri"/>
                <w:color w:val="000000" w:themeColor="text1"/>
                <w:sz w:val="18"/>
                <w:szCs w:val="18"/>
              </w:rPr>
            </w:pPr>
            <w:r w:rsidRPr="00343264">
              <w:rPr>
                <w:rFonts w:eastAsia="Calibri"/>
                <w:i/>
                <w:color w:val="000000" w:themeColor="text1"/>
                <w:sz w:val="18"/>
                <w:szCs w:val="18"/>
              </w:rPr>
              <w:t>Baseline</w:t>
            </w:r>
            <w:r w:rsidRPr="0017292C">
              <w:rPr>
                <w:rFonts w:eastAsia="Calibri"/>
                <w:color w:val="000000" w:themeColor="text1"/>
                <w:sz w:val="18"/>
                <w:szCs w:val="18"/>
              </w:rPr>
              <w:t>: Last reconciliation barometer published 2015.</w:t>
            </w:r>
          </w:p>
          <w:p w:rsidR="00D85B75" w:rsidRPr="0017292C" w:rsidRDefault="00D85B75" w:rsidP="00857A41">
            <w:pPr>
              <w:ind w:left="151" w:right="139"/>
              <w:jc w:val="both"/>
              <w:rPr>
                <w:rFonts w:eastAsia="Calibri"/>
                <w:color w:val="000000" w:themeColor="text1"/>
                <w:sz w:val="18"/>
                <w:szCs w:val="18"/>
              </w:rPr>
            </w:pPr>
            <w:r w:rsidRPr="00343264">
              <w:rPr>
                <w:rFonts w:eastAsia="Calibri"/>
                <w:i/>
                <w:color w:val="000000" w:themeColor="text1"/>
                <w:sz w:val="18"/>
                <w:szCs w:val="18"/>
              </w:rPr>
              <w:t>Target</w:t>
            </w:r>
            <w:r w:rsidRPr="0017292C">
              <w:rPr>
                <w:rFonts w:eastAsia="Calibri"/>
                <w:color w:val="000000" w:themeColor="text1"/>
                <w:sz w:val="18"/>
                <w:szCs w:val="18"/>
              </w:rPr>
              <w:t>: New reconciliation barometer published 2020.</w:t>
            </w:r>
          </w:p>
          <w:p w:rsidR="00D85B75" w:rsidRPr="0017292C" w:rsidRDefault="00D85B75" w:rsidP="00857A41">
            <w:pPr>
              <w:ind w:left="151" w:right="139"/>
              <w:jc w:val="both"/>
              <w:rPr>
                <w:sz w:val="18"/>
                <w:szCs w:val="18"/>
              </w:rPr>
            </w:pPr>
          </w:p>
          <w:p w:rsidR="00D85B75" w:rsidRPr="0017292C" w:rsidRDefault="00D85B75" w:rsidP="00857A41">
            <w:pPr>
              <w:ind w:left="151" w:right="139"/>
              <w:jc w:val="both"/>
              <w:rPr>
                <w:sz w:val="18"/>
                <w:szCs w:val="18"/>
              </w:rPr>
            </w:pPr>
            <w:r w:rsidRPr="0017292C">
              <w:rPr>
                <w:rFonts w:eastAsia="Calibri"/>
                <w:b/>
                <w:bCs/>
                <w:sz w:val="18"/>
                <w:szCs w:val="18"/>
              </w:rPr>
              <w:t>Indicator 3.2.2.</w:t>
            </w:r>
            <w:r w:rsidRPr="0017292C">
              <w:rPr>
                <w:rFonts w:eastAsia="Calibri"/>
                <w:sz w:val="18"/>
                <w:szCs w:val="18"/>
              </w:rPr>
              <w:t xml:space="preserve">  Pe</w:t>
            </w:r>
            <w:r w:rsidRPr="0017292C">
              <w:rPr>
                <w:sz w:val="18"/>
                <w:szCs w:val="18"/>
              </w:rPr>
              <w:t>rcentage</w:t>
            </w:r>
            <w:r w:rsidRPr="0017292C">
              <w:rPr>
                <w:rFonts w:eastAsia="Calibri"/>
                <w:sz w:val="18"/>
                <w:szCs w:val="18"/>
              </w:rPr>
              <w:t xml:space="preserve"> increase in crimes reported by communities to the police</w:t>
            </w:r>
          </w:p>
          <w:p w:rsidR="00D85B75" w:rsidRPr="00F70A04" w:rsidRDefault="00D85B75" w:rsidP="00857A41">
            <w:pPr>
              <w:ind w:left="151" w:right="139"/>
              <w:jc w:val="both"/>
              <w:rPr>
                <w:sz w:val="18"/>
                <w:szCs w:val="18"/>
              </w:rPr>
            </w:pPr>
            <w:r w:rsidRPr="00F70A04">
              <w:rPr>
                <w:bCs/>
                <w:i/>
                <w:iCs/>
                <w:sz w:val="18"/>
                <w:szCs w:val="18"/>
              </w:rPr>
              <w:t>Baseline</w:t>
            </w:r>
            <w:r w:rsidRPr="00F70A04">
              <w:rPr>
                <w:bCs/>
                <w:sz w:val="18"/>
                <w:szCs w:val="18"/>
              </w:rPr>
              <w:t xml:space="preserve">: </w:t>
            </w:r>
            <w:r w:rsidR="00454282" w:rsidRPr="00F70A04">
              <w:rPr>
                <w:bCs/>
                <w:sz w:val="18"/>
                <w:szCs w:val="18"/>
              </w:rPr>
              <w:t xml:space="preserve">12.4 </w:t>
            </w:r>
            <w:r w:rsidRPr="00F70A04">
              <w:rPr>
                <w:rFonts w:eastAsia="Calibri Light"/>
                <w:sz w:val="18"/>
                <w:szCs w:val="18"/>
              </w:rPr>
              <w:t xml:space="preserve">% (using </w:t>
            </w:r>
            <w:r w:rsidR="00454282" w:rsidRPr="00F70A04">
              <w:rPr>
                <w:rFonts w:eastAsia="Calibri Light"/>
                <w:sz w:val="18"/>
                <w:szCs w:val="18"/>
              </w:rPr>
              <w:t>2013-2017 data</w:t>
            </w:r>
            <w:r w:rsidRPr="00F70A04">
              <w:rPr>
                <w:rFonts w:eastAsia="Calibri Light"/>
                <w:sz w:val="18"/>
                <w:szCs w:val="18"/>
              </w:rPr>
              <w:t>)</w:t>
            </w:r>
          </w:p>
          <w:p w:rsidR="00D85B75" w:rsidRPr="0017292C" w:rsidRDefault="00D85B75" w:rsidP="00857A41">
            <w:pPr>
              <w:ind w:left="151" w:right="139"/>
              <w:jc w:val="both"/>
              <w:rPr>
                <w:b/>
                <w:sz w:val="18"/>
                <w:szCs w:val="18"/>
              </w:rPr>
            </w:pPr>
            <w:r w:rsidRPr="00F70A04">
              <w:rPr>
                <w:bCs/>
                <w:i/>
                <w:iCs/>
                <w:sz w:val="18"/>
                <w:szCs w:val="18"/>
              </w:rPr>
              <w:t>Target</w:t>
            </w:r>
            <w:r w:rsidRPr="00F70A04">
              <w:rPr>
                <w:bCs/>
                <w:sz w:val="18"/>
                <w:szCs w:val="18"/>
              </w:rPr>
              <w:t xml:space="preserve">: </w:t>
            </w:r>
            <w:r w:rsidR="00454282" w:rsidRPr="00F70A04">
              <w:rPr>
                <w:sz w:val="18"/>
                <w:szCs w:val="18"/>
              </w:rPr>
              <w:t>5-7</w:t>
            </w:r>
            <w:r w:rsidR="00454282" w:rsidRPr="0017292C">
              <w:rPr>
                <w:sz w:val="18"/>
                <w:szCs w:val="18"/>
              </w:rPr>
              <w:t xml:space="preserve"> </w:t>
            </w:r>
            <w:r w:rsidRPr="0017292C">
              <w:rPr>
                <w:sz w:val="18"/>
                <w:szCs w:val="18"/>
              </w:rPr>
              <w:t>% annual increase over 2017 reported cases</w:t>
            </w:r>
            <w:r w:rsidR="00A85A93" w:rsidRPr="007830FB">
              <w:rPr>
                <w:rStyle w:val="FootnoteReference"/>
                <w:szCs w:val="18"/>
              </w:rPr>
              <w:footnoteReference w:id="38"/>
            </w:r>
          </w:p>
          <w:p w:rsidR="00D85B75" w:rsidRPr="0017292C" w:rsidRDefault="00D85B75" w:rsidP="00857A41">
            <w:pPr>
              <w:ind w:left="151" w:right="139"/>
              <w:jc w:val="both"/>
              <w:rPr>
                <w:sz w:val="18"/>
                <w:szCs w:val="18"/>
              </w:rPr>
            </w:pPr>
          </w:p>
          <w:p w:rsidR="00D85B75" w:rsidRPr="0017292C" w:rsidRDefault="00D85B75" w:rsidP="00857A41">
            <w:pPr>
              <w:ind w:left="151" w:right="139"/>
              <w:jc w:val="both"/>
              <w:rPr>
                <w:sz w:val="18"/>
                <w:szCs w:val="18"/>
              </w:rPr>
            </w:pPr>
            <w:r w:rsidRPr="0017292C">
              <w:rPr>
                <w:b/>
                <w:bCs/>
                <w:sz w:val="18"/>
                <w:szCs w:val="18"/>
              </w:rPr>
              <w:t xml:space="preserve">Indicator 3.2.3: </w:t>
            </w:r>
            <w:r w:rsidRPr="0017292C">
              <w:rPr>
                <w:bCs/>
                <w:sz w:val="18"/>
                <w:szCs w:val="18"/>
              </w:rPr>
              <w:t>New</w:t>
            </w:r>
            <w:r w:rsidRPr="0017292C">
              <w:rPr>
                <w:b/>
                <w:bCs/>
                <w:sz w:val="18"/>
                <w:szCs w:val="18"/>
              </w:rPr>
              <w:t xml:space="preserve"> r</w:t>
            </w:r>
            <w:r w:rsidRPr="0017292C">
              <w:rPr>
                <w:sz w:val="18"/>
                <w:szCs w:val="18"/>
              </w:rPr>
              <w:t xml:space="preserve">egulatory and policy framework for correction and alternatives to imprisonment are in place </w:t>
            </w:r>
          </w:p>
          <w:p w:rsidR="00D85B75" w:rsidRPr="00F70A04" w:rsidRDefault="00D85B75" w:rsidP="00857A41">
            <w:pPr>
              <w:ind w:left="151" w:right="139"/>
              <w:jc w:val="both"/>
              <w:rPr>
                <w:sz w:val="18"/>
                <w:szCs w:val="18"/>
              </w:rPr>
            </w:pPr>
            <w:r w:rsidRPr="00F70A04">
              <w:rPr>
                <w:bCs/>
                <w:i/>
                <w:iCs/>
                <w:sz w:val="18"/>
                <w:szCs w:val="18"/>
              </w:rPr>
              <w:t>Baseline</w:t>
            </w:r>
            <w:r w:rsidRPr="00F70A04">
              <w:rPr>
                <w:sz w:val="18"/>
                <w:szCs w:val="18"/>
              </w:rPr>
              <w:t xml:space="preserve">: No  </w:t>
            </w:r>
          </w:p>
          <w:p w:rsidR="00D85B75" w:rsidRPr="0017292C" w:rsidRDefault="00D85B75" w:rsidP="00857A41">
            <w:pPr>
              <w:ind w:left="151" w:right="139"/>
              <w:jc w:val="both"/>
              <w:rPr>
                <w:b/>
                <w:sz w:val="18"/>
                <w:szCs w:val="18"/>
              </w:rPr>
            </w:pPr>
            <w:r w:rsidRPr="00F70A04">
              <w:rPr>
                <w:bCs/>
                <w:i/>
                <w:iCs/>
                <w:sz w:val="18"/>
                <w:szCs w:val="18"/>
              </w:rPr>
              <w:lastRenderedPageBreak/>
              <w:t>Target</w:t>
            </w:r>
            <w:r w:rsidRPr="00F70A04">
              <w:rPr>
                <w:sz w:val="18"/>
                <w:szCs w:val="18"/>
              </w:rPr>
              <w:t>: Yes</w:t>
            </w:r>
            <w:r w:rsidRPr="0017292C">
              <w:rPr>
                <w:sz w:val="18"/>
                <w:szCs w:val="18"/>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B75" w:rsidRPr="0017292C" w:rsidRDefault="00D85B75" w:rsidP="00243D3B">
            <w:pPr>
              <w:rPr>
                <w:sz w:val="18"/>
                <w:szCs w:val="18"/>
              </w:rPr>
            </w:pPr>
            <w:r w:rsidRPr="0017292C">
              <w:rPr>
                <w:sz w:val="18"/>
                <w:szCs w:val="18"/>
              </w:rPr>
              <w:lastRenderedPageBreak/>
              <w:t>UNICEF, UN</w:t>
            </w:r>
            <w:r w:rsidR="008B4A0B">
              <w:rPr>
                <w:sz w:val="18"/>
                <w:szCs w:val="18"/>
              </w:rPr>
              <w:t>-</w:t>
            </w:r>
            <w:r w:rsidRPr="0017292C">
              <w:rPr>
                <w:sz w:val="18"/>
                <w:szCs w:val="18"/>
              </w:rPr>
              <w:t>W</w:t>
            </w:r>
            <w:r w:rsidR="008B4A0B" w:rsidRPr="0017292C">
              <w:rPr>
                <w:sz w:val="18"/>
                <w:szCs w:val="18"/>
              </w:rPr>
              <w:t>omen</w:t>
            </w:r>
            <w:r w:rsidRPr="0017292C">
              <w:rPr>
                <w:sz w:val="18"/>
                <w:szCs w:val="18"/>
              </w:rPr>
              <w:t xml:space="preserve">, MINIJUST, RNP, RBA, NURC, OHCHR, RGB, CSOs, </w:t>
            </w:r>
            <w:r w:rsidR="008B4A0B">
              <w:rPr>
                <w:sz w:val="18"/>
                <w:szCs w:val="18"/>
              </w:rPr>
              <w:t xml:space="preserve">Governments of Japan, Sweden and </w:t>
            </w:r>
            <w:r w:rsidRPr="0017292C">
              <w:rPr>
                <w:sz w:val="18"/>
                <w:szCs w:val="18"/>
              </w:rPr>
              <w:t>Switzerland</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D3B" w:rsidRDefault="00D85B75" w:rsidP="00A52112">
            <w:pPr>
              <w:spacing w:after="16"/>
              <w:ind w:left="106"/>
              <w:jc w:val="both"/>
              <w:rPr>
                <w:b/>
                <w:bCs/>
                <w:sz w:val="18"/>
                <w:szCs w:val="18"/>
              </w:rPr>
            </w:pPr>
            <w:r w:rsidRPr="0017292C">
              <w:rPr>
                <w:b/>
                <w:bCs/>
                <w:sz w:val="18"/>
                <w:szCs w:val="18"/>
              </w:rPr>
              <w:t>Regular</w:t>
            </w:r>
          </w:p>
          <w:p w:rsidR="00D85B75" w:rsidRPr="0017292C" w:rsidRDefault="00D85B75" w:rsidP="00A52112">
            <w:pPr>
              <w:spacing w:after="16"/>
              <w:ind w:left="106"/>
              <w:jc w:val="both"/>
              <w:rPr>
                <w:sz w:val="18"/>
                <w:szCs w:val="18"/>
                <w:lang w:val="en-GB"/>
              </w:rPr>
            </w:pPr>
            <w:r w:rsidRPr="0017292C">
              <w:rPr>
                <w:b/>
                <w:bCs/>
                <w:sz w:val="18"/>
                <w:szCs w:val="18"/>
              </w:rPr>
              <w:t>$7,</w:t>
            </w:r>
            <w:r w:rsidR="009843AC" w:rsidRPr="0017292C">
              <w:rPr>
                <w:b/>
                <w:bCs/>
                <w:sz w:val="18"/>
                <w:szCs w:val="18"/>
              </w:rPr>
              <w:t>611,750</w:t>
            </w:r>
            <w:r w:rsidRPr="0017292C">
              <w:rPr>
                <w:sz w:val="18"/>
                <w:szCs w:val="18"/>
              </w:rPr>
              <w:t xml:space="preserve"> </w:t>
            </w:r>
          </w:p>
          <w:p w:rsidR="00D85B75" w:rsidRPr="0017292C" w:rsidRDefault="00D85B75" w:rsidP="00A52112">
            <w:pPr>
              <w:spacing w:after="16"/>
              <w:ind w:left="106"/>
              <w:jc w:val="both"/>
              <w:rPr>
                <w:b/>
                <w:bCs/>
                <w:sz w:val="18"/>
                <w:szCs w:val="18"/>
              </w:rPr>
            </w:pPr>
          </w:p>
          <w:p w:rsidR="00D85B75" w:rsidRPr="0017292C" w:rsidRDefault="00D85B75" w:rsidP="00A52112">
            <w:pPr>
              <w:spacing w:after="16"/>
              <w:ind w:left="106"/>
              <w:jc w:val="both"/>
              <w:rPr>
                <w:b/>
                <w:sz w:val="18"/>
                <w:szCs w:val="18"/>
              </w:rPr>
            </w:pPr>
          </w:p>
          <w:p w:rsidR="00243D3B" w:rsidRDefault="00D85B75" w:rsidP="00A52112">
            <w:pPr>
              <w:spacing w:after="16"/>
              <w:ind w:left="106"/>
              <w:jc w:val="both"/>
              <w:rPr>
                <w:b/>
                <w:bCs/>
                <w:sz w:val="18"/>
                <w:szCs w:val="18"/>
              </w:rPr>
            </w:pPr>
            <w:r w:rsidRPr="0017292C">
              <w:rPr>
                <w:b/>
                <w:bCs/>
                <w:sz w:val="18"/>
                <w:szCs w:val="18"/>
              </w:rPr>
              <w:t>Other</w:t>
            </w:r>
          </w:p>
          <w:p w:rsidR="00D85B75" w:rsidRPr="0017292C" w:rsidRDefault="00D85B75" w:rsidP="00A52112">
            <w:pPr>
              <w:spacing w:after="16"/>
              <w:ind w:left="106"/>
              <w:jc w:val="both"/>
              <w:rPr>
                <w:sz w:val="18"/>
                <w:szCs w:val="18"/>
              </w:rPr>
            </w:pPr>
            <w:r w:rsidRPr="0017292C">
              <w:rPr>
                <w:b/>
                <w:bCs/>
                <w:sz w:val="18"/>
                <w:szCs w:val="18"/>
              </w:rPr>
              <w:t>$3,000,000</w:t>
            </w:r>
          </w:p>
          <w:p w:rsidR="00D85B75" w:rsidRPr="0017292C" w:rsidRDefault="00D85B75" w:rsidP="00A52112">
            <w:pPr>
              <w:spacing w:after="16"/>
              <w:ind w:left="106"/>
              <w:jc w:val="both"/>
              <w:rPr>
                <w:b/>
                <w:bCs/>
                <w:sz w:val="18"/>
                <w:szCs w:val="18"/>
              </w:rPr>
            </w:pP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jc w:val="both"/>
              <w:rPr>
                <w:b/>
                <w:bCs/>
                <w:sz w:val="18"/>
                <w:szCs w:val="18"/>
              </w:rPr>
            </w:pPr>
            <w:r w:rsidRPr="0017292C">
              <w:rPr>
                <w:b/>
                <w:bCs/>
                <w:sz w:val="18"/>
                <w:szCs w:val="18"/>
              </w:rPr>
              <w:t xml:space="preserve">National priority: </w:t>
            </w:r>
            <w:r w:rsidRPr="0017292C">
              <w:rPr>
                <w:sz w:val="18"/>
                <w:szCs w:val="18"/>
              </w:rPr>
              <w:t>Transformational governance</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jc w:val="both"/>
              <w:rPr>
                <w:b/>
                <w:bCs/>
                <w:sz w:val="18"/>
                <w:szCs w:val="18"/>
              </w:rPr>
            </w:pPr>
            <w:r w:rsidRPr="0017292C">
              <w:rPr>
                <w:b/>
                <w:bCs/>
                <w:sz w:val="18"/>
                <w:szCs w:val="18"/>
              </w:rPr>
              <w:t xml:space="preserve">UNDAP outcome 6: </w:t>
            </w:r>
            <w:r w:rsidRPr="0017292C">
              <w:rPr>
                <w:sz w:val="18"/>
                <w:szCs w:val="18"/>
              </w:rPr>
              <w:t>By 2023, people in Rwanda participate more actively in democratic and development processes and benefit from transparent and accountable public and private sector institutions that develop evidence-based policies and deliver quality services.</w:t>
            </w:r>
          </w:p>
        </w:tc>
      </w:tr>
      <w:tr w:rsidR="00D85B75" w:rsidRPr="0017292C" w:rsidTr="00D86261">
        <w:tc>
          <w:tcPr>
            <w:tcW w:w="1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A52112">
            <w:pPr>
              <w:spacing w:after="16"/>
              <w:jc w:val="both"/>
              <w:rPr>
                <w:b/>
                <w:bCs/>
                <w:sz w:val="18"/>
                <w:szCs w:val="18"/>
              </w:rPr>
            </w:pPr>
            <w:r w:rsidRPr="0017292C">
              <w:rPr>
                <w:b/>
                <w:bCs/>
                <w:sz w:val="18"/>
                <w:szCs w:val="18"/>
              </w:rPr>
              <w:t xml:space="preserve">UNDP </w:t>
            </w:r>
            <w:r w:rsidR="003679FD">
              <w:rPr>
                <w:b/>
                <w:bCs/>
                <w:sz w:val="18"/>
                <w:szCs w:val="18"/>
              </w:rPr>
              <w:t>Strategic Plan</w:t>
            </w:r>
            <w:r w:rsidR="003679FD" w:rsidRPr="0017292C">
              <w:rPr>
                <w:b/>
                <w:bCs/>
                <w:sz w:val="18"/>
                <w:szCs w:val="18"/>
              </w:rPr>
              <w:t xml:space="preserve"> </w:t>
            </w:r>
            <w:r w:rsidRPr="0017292C">
              <w:rPr>
                <w:b/>
                <w:bCs/>
                <w:sz w:val="18"/>
                <w:szCs w:val="18"/>
              </w:rPr>
              <w:t xml:space="preserve">outcome 2: </w:t>
            </w:r>
            <w:r w:rsidRPr="0017292C">
              <w:rPr>
                <w:sz w:val="18"/>
                <w:szCs w:val="18"/>
              </w:rPr>
              <w:t xml:space="preserve"> Accelerate structural transformations for sustainable development </w:t>
            </w:r>
          </w:p>
        </w:tc>
      </w:tr>
      <w:tr w:rsidR="00D85B75" w:rsidRPr="0017292C" w:rsidTr="00D86261">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6F28A4" w:rsidRDefault="00D85B75" w:rsidP="006F28A4">
            <w:pPr>
              <w:ind w:right="78"/>
              <w:rPr>
                <w:sz w:val="18"/>
                <w:szCs w:val="18"/>
              </w:rPr>
            </w:pPr>
            <w:bookmarkStart w:id="7" w:name="_Hlk503433220"/>
            <w:r w:rsidRPr="0017292C">
              <w:rPr>
                <w:b/>
                <w:bCs/>
                <w:sz w:val="18"/>
                <w:szCs w:val="18"/>
              </w:rPr>
              <w:t xml:space="preserve">Indicator 4.1. </w:t>
            </w:r>
            <w:r w:rsidRPr="0017292C">
              <w:rPr>
                <w:sz w:val="18"/>
                <w:szCs w:val="18"/>
              </w:rPr>
              <w:t>Proportion of population who believe decision-</w:t>
            </w:r>
            <w:r w:rsidRPr="006F28A4">
              <w:rPr>
                <w:sz w:val="18"/>
                <w:szCs w:val="18"/>
              </w:rPr>
              <w:t>making is inclusive and responsive, by sex, age, disability and population group</w:t>
            </w:r>
          </w:p>
          <w:p w:rsidR="00D85B75" w:rsidRPr="006F28A4" w:rsidRDefault="00D85B75" w:rsidP="006F28A4">
            <w:pPr>
              <w:ind w:right="78"/>
              <w:rPr>
                <w:bCs/>
                <w:sz w:val="18"/>
                <w:szCs w:val="18"/>
              </w:rPr>
            </w:pPr>
            <w:r w:rsidRPr="006F28A4">
              <w:rPr>
                <w:bCs/>
                <w:i/>
                <w:iCs/>
                <w:sz w:val="18"/>
                <w:szCs w:val="18"/>
              </w:rPr>
              <w:t>Baseline:</w:t>
            </w:r>
            <w:r w:rsidRPr="006F28A4">
              <w:rPr>
                <w:bCs/>
                <w:sz w:val="18"/>
                <w:szCs w:val="18"/>
              </w:rPr>
              <w:t xml:space="preserve"> </w:t>
            </w:r>
            <w:r w:rsidRPr="006F28A4">
              <w:rPr>
                <w:sz w:val="18"/>
                <w:szCs w:val="18"/>
              </w:rPr>
              <w:t>77.01%</w:t>
            </w:r>
          </w:p>
          <w:p w:rsidR="00D85B75" w:rsidRPr="006F28A4" w:rsidRDefault="00D85B75" w:rsidP="006F28A4">
            <w:pPr>
              <w:ind w:right="78"/>
              <w:rPr>
                <w:bCs/>
                <w:sz w:val="18"/>
                <w:szCs w:val="18"/>
              </w:rPr>
            </w:pPr>
            <w:r w:rsidRPr="006F28A4">
              <w:rPr>
                <w:bCs/>
                <w:i/>
                <w:iCs/>
                <w:sz w:val="18"/>
                <w:szCs w:val="18"/>
              </w:rPr>
              <w:t>Target:</w:t>
            </w:r>
            <w:r w:rsidRPr="006F28A4">
              <w:rPr>
                <w:bCs/>
                <w:sz w:val="18"/>
                <w:szCs w:val="18"/>
              </w:rPr>
              <w:t xml:space="preserve"> </w:t>
            </w:r>
            <w:r w:rsidRPr="006F28A4">
              <w:rPr>
                <w:sz w:val="18"/>
                <w:szCs w:val="18"/>
              </w:rPr>
              <w:t>85%</w:t>
            </w:r>
          </w:p>
          <w:p w:rsidR="00D85B75" w:rsidRPr="006F28A4" w:rsidRDefault="00D85B75" w:rsidP="006F28A4">
            <w:pPr>
              <w:ind w:right="78"/>
              <w:rPr>
                <w:bCs/>
                <w:sz w:val="18"/>
                <w:szCs w:val="18"/>
              </w:rPr>
            </w:pPr>
          </w:p>
          <w:p w:rsidR="00D85B75" w:rsidRPr="006F28A4" w:rsidRDefault="00D85B75" w:rsidP="006F28A4">
            <w:pPr>
              <w:ind w:right="78"/>
              <w:rPr>
                <w:sz w:val="18"/>
                <w:szCs w:val="18"/>
              </w:rPr>
            </w:pPr>
            <w:r w:rsidRPr="006F28A4">
              <w:rPr>
                <w:bCs/>
                <w:sz w:val="18"/>
                <w:szCs w:val="18"/>
              </w:rPr>
              <w:t>Indicator 4.2.</w:t>
            </w:r>
            <w:r w:rsidRPr="006F28A4">
              <w:rPr>
                <w:sz w:val="18"/>
                <w:szCs w:val="18"/>
              </w:rPr>
              <w:t xml:space="preserve">  Percentage of </w:t>
            </w:r>
            <w:r w:rsidR="00A35A2C" w:rsidRPr="006F28A4">
              <w:rPr>
                <w:sz w:val="18"/>
                <w:szCs w:val="18"/>
              </w:rPr>
              <w:t>p</w:t>
            </w:r>
            <w:r w:rsidRPr="006F28A4">
              <w:rPr>
                <w:sz w:val="18"/>
                <w:szCs w:val="18"/>
              </w:rPr>
              <w:t xml:space="preserve">eople satisfied with access to public information </w:t>
            </w:r>
          </w:p>
          <w:p w:rsidR="00D85B75" w:rsidRPr="006F28A4" w:rsidRDefault="00D85B75" w:rsidP="006F28A4">
            <w:pPr>
              <w:ind w:right="78"/>
              <w:rPr>
                <w:sz w:val="18"/>
                <w:szCs w:val="18"/>
              </w:rPr>
            </w:pPr>
            <w:r w:rsidRPr="006F28A4">
              <w:rPr>
                <w:bCs/>
                <w:i/>
                <w:iCs/>
                <w:sz w:val="18"/>
                <w:szCs w:val="18"/>
              </w:rPr>
              <w:t>Baseline</w:t>
            </w:r>
            <w:r w:rsidRPr="006F28A4">
              <w:rPr>
                <w:i/>
                <w:iCs/>
                <w:sz w:val="18"/>
                <w:szCs w:val="18"/>
              </w:rPr>
              <w:t>:</w:t>
            </w:r>
            <w:r w:rsidRPr="006F28A4">
              <w:rPr>
                <w:sz w:val="18"/>
                <w:szCs w:val="18"/>
              </w:rPr>
              <w:t xml:space="preserve"> 78.21% </w:t>
            </w:r>
          </w:p>
          <w:p w:rsidR="00D85B75" w:rsidRPr="006F28A4" w:rsidRDefault="00D85B75" w:rsidP="006F28A4">
            <w:pPr>
              <w:ind w:right="78"/>
              <w:rPr>
                <w:sz w:val="18"/>
                <w:szCs w:val="18"/>
              </w:rPr>
            </w:pPr>
            <w:r w:rsidRPr="006F28A4">
              <w:rPr>
                <w:bCs/>
                <w:i/>
                <w:iCs/>
                <w:sz w:val="18"/>
                <w:szCs w:val="18"/>
              </w:rPr>
              <w:t>Target</w:t>
            </w:r>
            <w:r w:rsidRPr="006F28A4">
              <w:rPr>
                <w:i/>
                <w:iCs/>
                <w:sz w:val="18"/>
                <w:szCs w:val="18"/>
              </w:rPr>
              <w:t>:</w:t>
            </w:r>
            <w:r w:rsidRPr="006F28A4">
              <w:rPr>
                <w:sz w:val="18"/>
                <w:szCs w:val="18"/>
              </w:rPr>
              <w:t xml:space="preserve"> 84%</w:t>
            </w:r>
          </w:p>
          <w:bookmarkEnd w:id="7"/>
          <w:p w:rsidR="00D85B75" w:rsidRPr="006F28A4" w:rsidRDefault="00D85B75" w:rsidP="006F28A4">
            <w:pPr>
              <w:ind w:left="142" w:right="78"/>
              <w:rPr>
                <w:bCs/>
                <w:sz w:val="18"/>
                <w:szCs w:val="18"/>
              </w:rPr>
            </w:pPr>
          </w:p>
          <w:p w:rsidR="00D85B75" w:rsidRPr="006F28A4" w:rsidRDefault="00D85B75" w:rsidP="006F28A4">
            <w:pPr>
              <w:ind w:right="78"/>
              <w:rPr>
                <w:sz w:val="18"/>
                <w:szCs w:val="18"/>
              </w:rPr>
            </w:pPr>
            <w:r w:rsidRPr="006F28A4">
              <w:rPr>
                <w:bCs/>
                <w:sz w:val="18"/>
                <w:szCs w:val="18"/>
              </w:rPr>
              <w:t xml:space="preserve">Indicator 4.3: Citizen satisfaction with quality of service delivery. </w:t>
            </w:r>
          </w:p>
          <w:p w:rsidR="00D85B75" w:rsidRPr="006F28A4" w:rsidRDefault="00D85B75" w:rsidP="006F28A4">
            <w:pPr>
              <w:ind w:right="78"/>
              <w:rPr>
                <w:sz w:val="18"/>
                <w:szCs w:val="18"/>
              </w:rPr>
            </w:pPr>
            <w:r w:rsidRPr="006F28A4">
              <w:rPr>
                <w:bCs/>
                <w:i/>
                <w:iCs/>
                <w:sz w:val="18"/>
                <w:szCs w:val="18"/>
              </w:rPr>
              <w:t>Baseline:</w:t>
            </w:r>
            <w:r w:rsidRPr="006F28A4">
              <w:rPr>
                <w:sz w:val="18"/>
                <w:szCs w:val="18"/>
              </w:rPr>
              <w:t xml:space="preserve"> 72.9% </w:t>
            </w:r>
          </w:p>
          <w:p w:rsidR="00D85B75" w:rsidRPr="0017292C" w:rsidRDefault="00D85B75" w:rsidP="006F28A4">
            <w:pPr>
              <w:spacing w:after="28"/>
              <w:ind w:right="137"/>
              <w:rPr>
                <w:b/>
                <w:bCs/>
                <w:sz w:val="18"/>
                <w:szCs w:val="18"/>
              </w:rPr>
            </w:pPr>
            <w:r w:rsidRPr="006F28A4">
              <w:rPr>
                <w:bCs/>
                <w:i/>
                <w:iCs/>
                <w:sz w:val="18"/>
                <w:szCs w:val="18"/>
              </w:rPr>
              <w:t>Target</w:t>
            </w:r>
            <w:r w:rsidRPr="006F28A4">
              <w:rPr>
                <w:i/>
                <w:iCs/>
                <w:sz w:val="18"/>
                <w:szCs w:val="18"/>
              </w:rPr>
              <w:t>:</w:t>
            </w:r>
            <w:r w:rsidRPr="006F28A4">
              <w:rPr>
                <w:sz w:val="18"/>
                <w:szCs w:val="18"/>
              </w:rPr>
              <w:t xml:space="preserve"> 77</w:t>
            </w:r>
            <w:r w:rsidRPr="0017292C">
              <w:rPr>
                <w:sz w:val="18"/>
                <w:szCs w:val="18"/>
              </w:rPr>
              <w:t>.93%</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6F28A4">
            <w:pPr>
              <w:spacing w:after="14"/>
              <w:ind w:left="25"/>
              <w:rPr>
                <w:b/>
                <w:bCs/>
                <w:sz w:val="18"/>
                <w:szCs w:val="18"/>
              </w:rPr>
            </w:pPr>
            <w:r w:rsidRPr="0017292C">
              <w:rPr>
                <w:sz w:val="18"/>
                <w:szCs w:val="18"/>
              </w:rPr>
              <w:t>RGB</w:t>
            </w:r>
            <w:r w:rsidR="008B4A0B">
              <w:rPr>
                <w:sz w:val="18"/>
                <w:szCs w:val="18"/>
              </w:rPr>
              <w:t>:</w:t>
            </w:r>
            <w:r w:rsidRPr="0017292C">
              <w:rPr>
                <w:sz w:val="18"/>
                <w:szCs w:val="18"/>
              </w:rPr>
              <w:t xml:space="preserve"> </w:t>
            </w:r>
            <w:r w:rsidR="008B4A0B">
              <w:rPr>
                <w:sz w:val="18"/>
                <w:szCs w:val="18"/>
              </w:rPr>
              <w:t>a</w:t>
            </w:r>
            <w:r w:rsidR="008B4A0B" w:rsidRPr="0017292C">
              <w:rPr>
                <w:sz w:val="18"/>
                <w:szCs w:val="18"/>
              </w:rPr>
              <w:t xml:space="preserve">nnual </w:t>
            </w:r>
            <w:r w:rsidR="008B4A0B">
              <w:rPr>
                <w:sz w:val="18"/>
                <w:szCs w:val="18"/>
              </w:rPr>
              <w:t xml:space="preserve">reports of </w:t>
            </w:r>
            <w:r w:rsidRPr="0017292C">
              <w:rPr>
                <w:sz w:val="18"/>
                <w:szCs w:val="18"/>
              </w:rPr>
              <w:t>RGS and C</w:t>
            </w:r>
            <w:r w:rsidR="00A35A2C">
              <w:rPr>
                <w:sz w:val="18"/>
                <w:szCs w:val="18"/>
              </w:rPr>
              <w:t xml:space="preserve">itizens </w:t>
            </w:r>
            <w:r w:rsidRPr="0017292C">
              <w:rPr>
                <w:sz w:val="18"/>
                <w:szCs w:val="18"/>
              </w:rPr>
              <w:t>R</w:t>
            </w:r>
            <w:r w:rsidR="00A35A2C">
              <w:rPr>
                <w:sz w:val="18"/>
                <w:szCs w:val="18"/>
              </w:rPr>
              <w:t xml:space="preserve">eport </w:t>
            </w:r>
            <w:r w:rsidRPr="0017292C">
              <w:rPr>
                <w:sz w:val="18"/>
                <w:szCs w:val="18"/>
              </w:rPr>
              <w:t>C</w:t>
            </w:r>
            <w:r w:rsidR="00A35A2C">
              <w:rPr>
                <w:sz w:val="18"/>
                <w:szCs w:val="18"/>
              </w:rPr>
              <w:t>ard (CRC)</w:t>
            </w:r>
          </w:p>
          <w:p w:rsidR="00D85B75" w:rsidRPr="0017292C" w:rsidRDefault="00D85B75" w:rsidP="006F28A4">
            <w:pPr>
              <w:ind w:left="25"/>
              <w:rPr>
                <w:sz w:val="18"/>
                <w:szCs w:val="18"/>
              </w:rPr>
            </w:pPr>
          </w:p>
          <w:p w:rsidR="00D85B75" w:rsidRPr="0017292C" w:rsidRDefault="00D85B75" w:rsidP="006F28A4">
            <w:pPr>
              <w:ind w:left="25"/>
              <w:rPr>
                <w:sz w:val="18"/>
                <w:szCs w:val="18"/>
              </w:rPr>
            </w:pPr>
          </w:p>
          <w:p w:rsidR="00D85B75" w:rsidRPr="0017292C" w:rsidRDefault="008B4A0B" w:rsidP="006F28A4">
            <w:pPr>
              <w:rPr>
                <w:sz w:val="18"/>
                <w:szCs w:val="18"/>
              </w:rPr>
            </w:pPr>
            <w:r>
              <w:rPr>
                <w:sz w:val="18"/>
                <w:szCs w:val="18"/>
              </w:rPr>
              <w:t>National Electoral Commission (NEC) a</w:t>
            </w:r>
            <w:r w:rsidRPr="0017292C">
              <w:rPr>
                <w:sz w:val="18"/>
                <w:szCs w:val="18"/>
              </w:rPr>
              <w:t xml:space="preserve">nnual </w:t>
            </w:r>
            <w:r w:rsidR="00D85B75" w:rsidRPr="0017292C">
              <w:rPr>
                <w:sz w:val="18"/>
                <w:szCs w:val="18"/>
              </w:rPr>
              <w:t>report</w:t>
            </w:r>
          </w:p>
          <w:p w:rsidR="00D85B75" w:rsidRPr="0017292C" w:rsidRDefault="00D85B75" w:rsidP="006F28A4">
            <w:pPr>
              <w:spacing w:after="14"/>
              <w:ind w:left="25"/>
              <w:rPr>
                <w:sz w:val="18"/>
                <w:szCs w:val="18"/>
              </w:rPr>
            </w:pPr>
          </w:p>
          <w:p w:rsidR="00D85B75" w:rsidRPr="0017292C" w:rsidRDefault="00D85B75" w:rsidP="006F28A4">
            <w:pPr>
              <w:ind w:left="25"/>
              <w:rPr>
                <w:b/>
                <w:bCs/>
                <w:sz w:val="18"/>
                <w:szCs w:val="18"/>
              </w:rPr>
            </w:pPr>
          </w:p>
          <w:p w:rsidR="00D85B75" w:rsidRPr="0017292C" w:rsidRDefault="00D85B75" w:rsidP="006F28A4">
            <w:pPr>
              <w:ind w:left="25"/>
              <w:rPr>
                <w:b/>
                <w:bCs/>
                <w:sz w:val="18"/>
                <w:szCs w:val="18"/>
              </w:rPr>
            </w:pPr>
          </w:p>
          <w:p w:rsidR="00D85B75" w:rsidRPr="0017292C" w:rsidRDefault="00D85B75" w:rsidP="006F28A4">
            <w:pPr>
              <w:ind w:left="25"/>
              <w:rPr>
                <w:b/>
                <w:bCs/>
                <w:sz w:val="18"/>
                <w:szCs w:val="18"/>
              </w:rPr>
            </w:pPr>
          </w:p>
          <w:p w:rsidR="00D85B75" w:rsidRPr="0017292C" w:rsidRDefault="00D85B75" w:rsidP="006F28A4">
            <w:pPr>
              <w:rPr>
                <w:sz w:val="18"/>
                <w:szCs w:val="18"/>
              </w:rPr>
            </w:pPr>
            <w:r w:rsidRPr="0017292C">
              <w:rPr>
                <w:sz w:val="18"/>
                <w:szCs w:val="18"/>
              </w:rPr>
              <w:t>Annual R</w:t>
            </w:r>
            <w:r w:rsidR="00A35A2C">
              <w:rPr>
                <w:sz w:val="18"/>
                <w:szCs w:val="18"/>
              </w:rPr>
              <w:t xml:space="preserve">wanda </w:t>
            </w:r>
            <w:r w:rsidRPr="0017292C">
              <w:rPr>
                <w:sz w:val="18"/>
                <w:szCs w:val="18"/>
              </w:rPr>
              <w:t>M</w:t>
            </w:r>
            <w:r w:rsidR="00A35A2C">
              <w:rPr>
                <w:sz w:val="18"/>
                <w:szCs w:val="18"/>
              </w:rPr>
              <w:t xml:space="preserve">edia </w:t>
            </w:r>
            <w:r w:rsidRPr="0017292C">
              <w:rPr>
                <w:sz w:val="18"/>
                <w:szCs w:val="18"/>
              </w:rPr>
              <w:t>B</w:t>
            </w:r>
            <w:r w:rsidR="00A35A2C">
              <w:rPr>
                <w:sz w:val="18"/>
                <w:szCs w:val="18"/>
              </w:rPr>
              <w:t>arometer</w:t>
            </w:r>
            <w:r w:rsidRPr="0017292C">
              <w:rPr>
                <w:sz w:val="18"/>
                <w:szCs w:val="18"/>
              </w:rPr>
              <w:t xml:space="preserve"> report</w:t>
            </w:r>
          </w:p>
          <w:p w:rsidR="00D85B75" w:rsidRPr="0017292C" w:rsidRDefault="00D85B75" w:rsidP="006F28A4">
            <w:pPr>
              <w:rPr>
                <w:sz w:val="18"/>
                <w:szCs w:val="18"/>
              </w:rPr>
            </w:pPr>
          </w:p>
          <w:p w:rsidR="00D85B75" w:rsidRPr="0017292C" w:rsidRDefault="00315FA7" w:rsidP="006F28A4">
            <w:pPr>
              <w:rPr>
                <w:sz w:val="18"/>
                <w:szCs w:val="18"/>
              </w:rPr>
            </w:pPr>
            <w:r>
              <w:rPr>
                <w:sz w:val="18"/>
                <w:szCs w:val="18"/>
              </w:rPr>
              <w:t>Gender Monitoring Office a</w:t>
            </w:r>
            <w:r w:rsidR="00D85B75" w:rsidRPr="0017292C">
              <w:rPr>
                <w:sz w:val="18"/>
                <w:szCs w:val="18"/>
              </w:rPr>
              <w:t>nnual report</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B75" w:rsidRPr="0017292C" w:rsidRDefault="00D85B75" w:rsidP="00857A41">
            <w:pPr>
              <w:ind w:left="165" w:right="229"/>
              <w:jc w:val="both"/>
              <w:rPr>
                <w:b/>
                <w:bCs/>
                <w:sz w:val="18"/>
                <w:szCs w:val="18"/>
              </w:rPr>
            </w:pPr>
            <w:r w:rsidRPr="0017292C">
              <w:rPr>
                <w:b/>
                <w:bCs/>
                <w:sz w:val="18"/>
                <w:szCs w:val="18"/>
              </w:rPr>
              <w:t xml:space="preserve">Output 4.1. </w:t>
            </w:r>
            <w:r w:rsidRPr="0017292C">
              <w:rPr>
                <w:sz w:val="18"/>
                <w:szCs w:val="18"/>
              </w:rPr>
              <w:t xml:space="preserve">NEC and CSOs have required capacities to increase public participation and engagement in democratic processes. </w:t>
            </w:r>
          </w:p>
          <w:p w:rsidR="00D85B75" w:rsidRPr="0017292C" w:rsidDel="68EE76A1" w:rsidRDefault="00D85B75" w:rsidP="00857A41">
            <w:pPr>
              <w:ind w:left="165" w:right="229"/>
              <w:jc w:val="both"/>
              <w:rPr>
                <w:sz w:val="18"/>
                <w:szCs w:val="18"/>
              </w:rPr>
            </w:pPr>
            <w:r w:rsidRPr="0017292C">
              <w:rPr>
                <w:b/>
                <w:bCs/>
                <w:sz w:val="18"/>
                <w:szCs w:val="18"/>
                <w:lang w:val="en-GB"/>
              </w:rPr>
              <w:t>Indicator 4.1.1.</w:t>
            </w:r>
            <w:r w:rsidRPr="0017292C">
              <w:rPr>
                <w:sz w:val="18"/>
                <w:szCs w:val="18"/>
                <w:lang w:val="en-GB"/>
              </w:rPr>
              <w:t xml:space="preserve"> % of eligible voters (disaggregated by sex) benefiting from civic and voter education </w:t>
            </w:r>
          </w:p>
          <w:p w:rsidR="00D85B75" w:rsidRPr="00F70A04" w:rsidDel="68EE76A1" w:rsidRDefault="00D85B75" w:rsidP="00857A41">
            <w:pPr>
              <w:ind w:left="165" w:right="229"/>
              <w:jc w:val="both"/>
              <w:rPr>
                <w:sz w:val="18"/>
                <w:szCs w:val="18"/>
              </w:rPr>
            </w:pPr>
            <w:r w:rsidRPr="00F70A04">
              <w:rPr>
                <w:bCs/>
                <w:i/>
                <w:iCs/>
                <w:sz w:val="18"/>
                <w:szCs w:val="18"/>
              </w:rPr>
              <w:t>Baseline</w:t>
            </w:r>
            <w:r w:rsidRPr="00F70A04">
              <w:rPr>
                <w:i/>
                <w:iCs/>
                <w:sz w:val="18"/>
                <w:szCs w:val="18"/>
              </w:rPr>
              <w:t>:</w:t>
            </w:r>
            <w:r w:rsidRPr="00F70A04">
              <w:rPr>
                <w:sz w:val="18"/>
                <w:szCs w:val="18"/>
              </w:rPr>
              <w:t xml:space="preserve"> 73% </w:t>
            </w:r>
          </w:p>
          <w:p w:rsidR="00D85B75" w:rsidRPr="0017292C" w:rsidDel="68EE76A1" w:rsidRDefault="00D85B75" w:rsidP="00857A41">
            <w:pPr>
              <w:ind w:left="165" w:right="229"/>
              <w:jc w:val="both"/>
              <w:rPr>
                <w:sz w:val="18"/>
                <w:szCs w:val="18"/>
              </w:rPr>
            </w:pPr>
            <w:r w:rsidRPr="00F70A04">
              <w:rPr>
                <w:bCs/>
                <w:i/>
                <w:iCs/>
                <w:sz w:val="18"/>
                <w:szCs w:val="18"/>
              </w:rPr>
              <w:t>Target</w:t>
            </w:r>
            <w:r w:rsidRPr="00F70A04">
              <w:rPr>
                <w:i/>
                <w:iCs/>
                <w:sz w:val="18"/>
                <w:szCs w:val="18"/>
              </w:rPr>
              <w:t>:</w:t>
            </w:r>
            <w:r w:rsidRPr="0017292C">
              <w:rPr>
                <w:sz w:val="18"/>
                <w:szCs w:val="18"/>
              </w:rPr>
              <w:t xml:space="preserve"> 80% (2018 elections onwards) </w:t>
            </w:r>
          </w:p>
          <w:p w:rsidR="00D85B75" w:rsidRPr="0017292C" w:rsidRDefault="00D85B75" w:rsidP="00857A41">
            <w:pPr>
              <w:ind w:left="165" w:right="229"/>
              <w:jc w:val="both"/>
              <w:rPr>
                <w:b/>
                <w:bCs/>
                <w:sz w:val="18"/>
                <w:szCs w:val="18"/>
              </w:rPr>
            </w:pPr>
          </w:p>
          <w:p w:rsidR="00D85B75" w:rsidRPr="0017292C" w:rsidRDefault="00D85B75" w:rsidP="00857A41">
            <w:pPr>
              <w:ind w:left="165" w:right="229"/>
              <w:jc w:val="both"/>
              <w:rPr>
                <w:color w:val="000000" w:themeColor="text1"/>
                <w:sz w:val="18"/>
                <w:szCs w:val="18"/>
              </w:rPr>
            </w:pPr>
            <w:r w:rsidRPr="0017292C">
              <w:rPr>
                <w:b/>
                <w:color w:val="000000" w:themeColor="text1"/>
                <w:sz w:val="18"/>
                <w:szCs w:val="18"/>
              </w:rPr>
              <w:t>Indicator 4.1.2:</w:t>
            </w:r>
            <w:r w:rsidRPr="0017292C">
              <w:rPr>
                <w:color w:val="000000" w:themeColor="text1"/>
                <w:sz w:val="18"/>
                <w:szCs w:val="18"/>
              </w:rPr>
              <w:t xml:space="preserve"> Extent to which the E</w:t>
            </w:r>
            <w:r w:rsidR="00A35A2C">
              <w:rPr>
                <w:color w:val="000000" w:themeColor="text1"/>
                <w:sz w:val="18"/>
                <w:szCs w:val="18"/>
              </w:rPr>
              <w:t xml:space="preserve">lections </w:t>
            </w:r>
            <w:r w:rsidRPr="0017292C">
              <w:rPr>
                <w:color w:val="000000" w:themeColor="text1"/>
                <w:sz w:val="18"/>
                <w:szCs w:val="18"/>
              </w:rPr>
              <w:t>M</w:t>
            </w:r>
            <w:r w:rsidR="00A35A2C">
              <w:rPr>
                <w:color w:val="000000" w:themeColor="text1"/>
                <w:sz w:val="18"/>
                <w:szCs w:val="18"/>
              </w:rPr>
              <w:t xml:space="preserve">anagement </w:t>
            </w:r>
            <w:r w:rsidRPr="0017292C">
              <w:rPr>
                <w:color w:val="000000" w:themeColor="text1"/>
                <w:sz w:val="18"/>
                <w:szCs w:val="18"/>
              </w:rPr>
              <w:t>B</w:t>
            </w:r>
            <w:r w:rsidR="00A35A2C">
              <w:rPr>
                <w:color w:val="000000" w:themeColor="text1"/>
                <w:sz w:val="18"/>
                <w:szCs w:val="18"/>
              </w:rPr>
              <w:t>ody</w:t>
            </w:r>
            <w:r w:rsidRPr="0017292C">
              <w:rPr>
                <w:color w:val="000000" w:themeColor="text1"/>
                <w:sz w:val="18"/>
                <w:szCs w:val="18"/>
              </w:rPr>
              <w:t xml:space="preserve"> has strengthened capacities to conduct inclusive, effective and accountable elections</w:t>
            </w:r>
          </w:p>
          <w:p w:rsidR="00D85B75" w:rsidRPr="0017292C" w:rsidRDefault="00D85B75" w:rsidP="00857A41">
            <w:pPr>
              <w:ind w:left="165" w:right="229"/>
              <w:jc w:val="both"/>
              <w:rPr>
                <w:color w:val="000000" w:themeColor="text1"/>
                <w:sz w:val="18"/>
                <w:szCs w:val="18"/>
              </w:rPr>
            </w:pPr>
            <w:r w:rsidRPr="006F28A4">
              <w:rPr>
                <w:i/>
                <w:color w:val="000000" w:themeColor="text1"/>
                <w:sz w:val="18"/>
                <w:szCs w:val="18"/>
              </w:rPr>
              <w:t>Baseline</w:t>
            </w:r>
            <w:r w:rsidRPr="0017292C">
              <w:rPr>
                <w:color w:val="000000" w:themeColor="text1"/>
                <w:sz w:val="18"/>
                <w:szCs w:val="18"/>
              </w:rPr>
              <w:t>: Electoral calendar partially implemented</w:t>
            </w:r>
          </w:p>
          <w:p w:rsidR="00D85B75" w:rsidRPr="0017292C" w:rsidRDefault="00D85B75" w:rsidP="00857A41">
            <w:pPr>
              <w:ind w:left="165" w:right="229"/>
              <w:jc w:val="both"/>
              <w:rPr>
                <w:color w:val="000000" w:themeColor="text1"/>
                <w:sz w:val="18"/>
                <w:szCs w:val="18"/>
              </w:rPr>
            </w:pPr>
            <w:r w:rsidRPr="006F28A4">
              <w:rPr>
                <w:i/>
                <w:color w:val="000000" w:themeColor="text1"/>
                <w:sz w:val="18"/>
                <w:szCs w:val="18"/>
              </w:rPr>
              <w:t>Target</w:t>
            </w:r>
            <w:r w:rsidRPr="0017292C">
              <w:rPr>
                <w:color w:val="000000" w:themeColor="text1"/>
                <w:sz w:val="18"/>
                <w:szCs w:val="18"/>
              </w:rPr>
              <w:t>: Electoral calendar fully implemented</w:t>
            </w:r>
          </w:p>
          <w:p w:rsidR="006F28A4" w:rsidRDefault="006F28A4" w:rsidP="00857A41">
            <w:pPr>
              <w:ind w:left="165" w:right="229"/>
              <w:jc w:val="both"/>
              <w:rPr>
                <w:b/>
                <w:sz w:val="18"/>
                <w:szCs w:val="18"/>
              </w:rPr>
            </w:pPr>
          </w:p>
          <w:p w:rsidR="00D85B75" w:rsidRPr="0017292C" w:rsidRDefault="00D85B75" w:rsidP="00857A41">
            <w:pPr>
              <w:ind w:left="165" w:right="229"/>
              <w:jc w:val="both"/>
              <w:rPr>
                <w:sz w:val="18"/>
                <w:szCs w:val="18"/>
              </w:rPr>
            </w:pPr>
            <w:r w:rsidRPr="0017292C">
              <w:rPr>
                <w:b/>
                <w:sz w:val="18"/>
                <w:szCs w:val="18"/>
              </w:rPr>
              <w:t>Indicator 4.1.3:</w:t>
            </w:r>
            <w:r w:rsidRPr="0017292C">
              <w:rPr>
                <w:sz w:val="18"/>
                <w:szCs w:val="18"/>
              </w:rPr>
              <w:t xml:space="preserve"> Vibrancy of CSOs in policy formulation (on RGS index)</w:t>
            </w:r>
          </w:p>
          <w:p w:rsidR="00D85B75" w:rsidRPr="0017292C" w:rsidRDefault="00D85B75" w:rsidP="00857A41">
            <w:pPr>
              <w:ind w:left="165" w:right="229"/>
              <w:jc w:val="both"/>
              <w:rPr>
                <w:sz w:val="18"/>
                <w:szCs w:val="18"/>
              </w:rPr>
            </w:pPr>
            <w:r w:rsidRPr="006F28A4">
              <w:rPr>
                <w:i/>
                <w:sz w:val="18"/>
                <w:szCs w:val="18"/>
              </w:rPr>
              <w:t>Baseline</w:t>
            </w:r>
            <w:r w:rsidRPr="0017292C">
              <w:rPr>
                <w:sz w:val="18"/>
                <w:szCs w:val="18"/>
              </w:rPr>
              <w:t>: 67.3</w:t>
            </w:r>
          </w:p>
          <w:p w:rsidR="00D85B75" w:rsidRPr="0017292C" w:rsidRDefault="00D85B75" w:rsidP="00857A41">
            <w:pPr>
              <w:ind w:left="165" w:right="229"/>
              <w:jc w:val="both"/>
              <w:rPr>
                <w:sz w:val="18"/>
                <w:szCs w:val="18"/>
              </w:rPr>
            </w:pPr>
            <w:r w:rsidRPr="006F28A4">
              <w:rPr>
                <w:i/>
                <w:sz w:val="18"/>
                <w:szCs w:val="18"/>
              </w:rPr>
              <w:t>Target</w:t>
            </w:r>
            <w:r w:rsidRPr="0017292C">
              <w:rPr>
                <w:sz w:val="18"/>
                <w:szCs w:val="18"/>
              </w:rPr>
              <w:t>: 80</w:t>
            </w:r>
          </w:p>
          <w:p w:rsidR="00D85B75" w:rsidRPr="0017292C" w:rsidDel="68EE76A1" w:rsidRDefault="00D85B75" w:rsidP="00857A41">
            <w:pPr>
              <w:ind w:left="165" w:right="229"/>
              <w:jc w:val="both"/>
              <w:rPr>
                <w:b/>
                <w:bCs/>
                <w:sz w:val="18"/>
                <w:szCs w:val="18"/>
              </w:rPr>
            </w:pPr>
          </w:p>
          <w:p w:rsidR="00D85B75" w:rsidRPr="0017292C" w:rsidRDefault="00D85B75" w:rsidP="00857A41">
            <w:pPr>
              <w:ind w:left="165" w:right="229"/>
              <w:jc w:val="both"/>
              <w:rPr>
                <w:rFonts w:eastAsia="Calibri"/>
                <w:sz w:val="18"/>
                <w:szCs w:val="18"/>
              </w:rPr>
            </w:pPr>
            <w:r w:rsidRPr="0017292C">
              <w:rPr>
                <w:b/>
                <w:bCs/>
                <w:sz w:val="18"/>
                <w:szCs w:val="18"/>
              </w:rPr>
              <w:t xml:space="preserve">Output 4.2. </w:t>
            </w:r>
            <w:r w:rsidRPr="0017292C">
              <w:rPr>
                <w:rFonts w:eastAsia="Calibri"/>
                <w:sz w:val="18"/>
                <w:szCs w:val="18"/>
              </w:rPr>
              <w:t xml:space="preserve">Media institutions have reinforced technical capacity to increase access to quality information and promote citizen active participation in public processes. </w:t>
            </w:r>
          </w:p>
          <w:p w:rsidR="00252EA7" w:rsidRPr="0017292C" w:rsidRDefault="00252EA7" w:rsidP="00857A41">
            <w:pPr>
              <w:ind w:left="165" w:right="229"/>
              <w:jc w:val="both"/>
              <w:rPr>
                <w:sz w:val="18"/>
                <w:szCs w:val="18"/>
              </w:rPr>
            </w:pPr>
          </w:p>
          <w:p w:rsidR="00D85B75" w:rsidRPr="0017292C" w:rsidRDefault="00D85B75" w:rsidP="00857A41">
            <w:pPr>
              <w:ind w:left="165" w:right="229"/>
              <w:jc w:val="both"/>
              <w:rPr>
                <w:sz w:val="18"/>
                <w:szCs w:val="18"/>
              </w:rPr>
            </w:pPr>
            <w:r w:rsidRPr="0017292C">
              <w:rPr>
                <w:b/>
                <w:sz w:val="18"/>
                <w:szCs w:val="18"/>
              </w:rPr>
              <w:t>Indicator 4.2.1.</w:t>
            </w:r>
            <w:r w:rsidRPr="0017292C">
              <w:rPr>
                <w:sz w:val="18"/>
                <w:szCs w:val="18"/>
              </w:rPr>
              <w:t xml:space="preserve"> Level of citizen satisfaction with media capacity to promote informed decision making</w:t>
            </w:r>
          </w:p>
          <w:p w:rsidR="00D85B75" w:rsidRPr="006F28A4" w:rsidRDefault="00D85B75" w:rsidP="00857A41">
            <w:pPr>
              <w:ind w:left="165" w:right="229"/>
              <w:jc w:val="both"/>
              <w:rPr>
                <w:sz w:val="18"/>
                <w:szCs w:val="18"/>
              </w:rPr>
            </w:pPr>
            <w:r w:rsidRPr="006F28A4">
              <w:rPr>
                <w:i/>
                <w:sz w:val="18"/>
                <w:szCs w:val="18"/>
              </w:rPr>
              <w:t>Baseline</w:t>
            </w:r>
            <w:r w:rsidRPr="006F28A4">
              <w:rPr>
                <w:sz w:val="18"/>
                <w:szCs w:val="18"/>
              </w:rPr>
              <w:t>: TBD (Impact assessment to be conducted)</w:t>
            </w:r>
            <w:r w:rsidRPr="006F28A4">
              <w:rPr>
                <w:bCs/>
                <w:sz w:val="18"/>
                <w:szCs w:val="18"/>
              </w:rPr>
              <w:t xml:space="preserve">    </w:t>
            </w:r>
          </w:p>
          <w:p w:rsidR="00D85B75" w:rsidRPr="0017292C" w:rsidRDefault="00D85B75" w:rsidP="00857A41">
            <w:pPr>
              <w:ind w:left="165" w:right="229"/>
              <w:jc w:val="both"/>
              <w:rPr>
                <w:b/>
                <w:sz w:val="18"/>
                <w:szCs w:val="18"/>
              </w:rPr>
            </w:pPr>
            <w:r w:rsidRPr="006F28A4">
              <w:rPr>
                <w:i/>
                <w:sz w:val="18"/>
                <w:szCs w:val="18"/>
              </w:rPr>
              <w:t>Target</w:t>
            </w:r>
            <w:r w:rsidRPr="0017292C">
              <w:rPr>
                <w:b/>
                <w:sz w:val="18"/>
                <w:szCs w:val="18"/>
              </w:rPr>
              <w:t xml:space="preserve">: </w:t>
            </w:r>
            <w:r w:rsidRPr="0017292C">
              <w:rPr>
                <w:sz w:val="18"/>
                <w:szCs w:val="18"/>
              </w:rPr>
              <w:t>85%</w:t>
            </w:r>
          </w:p>
          <w:p w:rsidR="00D85B75" w:rsidRPr="0017292C" w:rsidRDefault="00D85B75" w:rsidP="00857A41">
            <w:pPr>
              <w:ind w:left="165" w:right="229"/>
              <w:jc w:val="both"/>
              <w:rPr>
                <w:b/>
                <w:bCs/>
                <w:sz w:val="18"/>
                <w:szCs w:val="18"/>
              </w:rPr>
            </w:pPr>
          </w:p>
          <w:p w:rsidR="00D85B75" w:rsidRPr="0017292C" w:rsidRDefault="00D85B75" w:rsidP="00857A41">
            <w:pPr>
              <w:ind w:left="165" w:right="229"/>
              <w:jc w:val="both"/>
              <w:rPr>
                <w:sz w:val="18"/>
                <w:szCs w:val="18"/>
              </w:rPr>
            </w:pPr>
            <w:r w:rsidRPr="0017292C">
              <w:rPr>
                <w:b/>
                <w:bCs/>
                <w:sz w:val="18"/>
                <w:szCs w:val="18"/>
              </w:rPr>
              <w:t>Indicator 4.2.2.</w:t>
            </w:r>
            <w:r w:rsidRPr="0017292C">
              <w:rPr>
                <w:sz w:val="18"/>
                <w:szCs w:val="18"/>
              </w:rPr>
              <w:t xml:space="preserve"> Percentage of complaints resolved against those received by the Media self-regulatory body.  </w:t>
            </w:r>
          </w:p>
          <w:p w:rsidR="00D85B75" w:rsidRPr="006F28A4" w:rsidRDefault="00D85B75" w:rsidP="00857A41">
            <w:pPr>
              <w:ind w:left="165" w:right="229"/>
              <w:jc w:val="both"/>
              <w:rPr>
                <w:sz w:val="18"/>
                <w:szCs w:val="18"/>
              </w:rPr>
            </w:pPr>
            <w:r w:rsidRPr="006F28A4">
              <w:rPr>
                <w:bCs/>
                <w:i/>
                <w:iCs/>
                <w:sz w:val="18"/>
                <w:szCs w:val="18"/>
              </w:rPr>
              <w:t>Baseline</w:t>
            </w:r>
            <w:r w:rsidRPr="006F28A4">
              <w:rPr>
                <w:i/>
                <w:iCs/>
                <w:sz w:val="18"/>
                <w:szCs w:val="18"/>
              </w:rPr>
              <w:t>:</w:t>
            </w:r>
            <w:r w:rsidRPr="006F28A4">
              <w:rPr>
                <w:sz w:val="18"/>
                <w:szCs w:val="18"/>
              </w:rPr>
              <w:t xml:space="preserve"> 80%      </w:t>
            </w:r>
          </w:p>
          <w:p w:rsidR="00D85B75" w:rsidRPr="0017292C" w:rsidRDefault="00D85B75" w:rsidP="00857A41">
            <w:pPr>
              <w:ind w:left="165" w:right="229"/>
              <w:jc w:val="both"/>
              <w:rPr>
                <w:sz w:val="18"/>
                <w:szCs w:val="18"/>
              </w:rPr>
            </w:pPr>
            <w:r w:rsidRPr="006F28A4">
              <w:rPr>
                <w:bCs/>
                <w:i/>
                <w:iCs/>
                <w:sz w:val="18"/>
                <w:szCs w:val="18"/>
              </w:rPr>
              <w:t>Target</w:t>
            </w:r>
            <w:r w:rsidRPr="006F28A4">
              <w:rPr>
                <w:i/>
                <w:iCs/>
                <w:sz w:val="18"/>
                <w:szCs w:val="18"/>
              </w:rPr>
              <w:t>:</w:t>
            </w:r>
            <w:r w:rsidRPr="006F28A4">
              <w:rPr>
                <w:sz w:val="18"/>
                <w:szCs w:val="18"/>
              </w:rPr>
              <w:t xml:space="preserve"> 90%</w:t>
            </w:r>
            <w:r w:rsidRPr="0017292C">
              <w:rPr>
                <w:sz w:val="18"/>
                <w:szCs w:val="18"/>
              </w:rPr>
              <w:t xml:space="preserve"> </w:t>
            </w:r>
          </w:p>
          <w:p w:rsidR="00D85B75" w:rsidRPr="0017292C" w:rsidRDefault="00D85B75" w:rsidP="00857A41">
            <w:pPr>
              <w:ind w:left="165" w:right="229"/>
              <w:jc w:val="both"/>
              <w:rPr>
                <w:sz w:val="18"/>
                <w:szCs w:val="18"/>
              </w:rPr>
            </w:pPr>
            <w:r w:rsidRPr="0017292C">
              <w:rPr>
                <w:sz w:val="18"/>
                <w:szCs w:val="18"/>
              </w:rPr>
              <w:br/>
            </w:r>
            <w:r w:rsidRPr="0017292C">
              <w:rPr>
                <w:b/>
                <w:bCs/>
                <w:sz w:val="18"/>
                <w:szCs w:val="18"/>
              </w:rPr>
              <w:t xml:space="preserve">Output 4.3. </w:t>
            </w:r>
            <w:r w:rsidRPr="0017292C">
              <w:rPr>
                <w:sz w:val="18"/>
                <w:szCs w:val="18"/>
              </w:rPr>
              <w:t>Public and private institutions at all levels are enabled to perform core functions for improved accountability, participation and representation.</w:t>
            </w:r>
          </w:p>
          <w:p w:rsidR="00D85B75" w:rsidRPr="0017292C" w:rsidRDefault="00D85B75" w:rsidP="00857A41">
            <w:pPr>
              <w:ind w:left="165" w:right="229"/>
              <w:jc w:val="both"/>
              <w:rPr>
                <w:sz w:val="18"/>
                <w:szCs w:val="18"/>
              </w:rPr>
            </w:pPr>
            <w:r w:rsidRPr="0017292C">
              <w:rPr>
                <w:b/>
                <w:bCs/>
                <w:sz w:val="18"/>
                <w:szCs w:val="18"/>
              </w:rPr>
              <w:t>Indicator 4.3.1.</w:t>
            </w:r>
            <w:r w:rsidRPr="0017292C">
              <w:rPr>
                <w:sz w:val="18"/>
                <w:szCs w:val="18"/>
              </w:rPr>
              <w:t xml:space="preserve">  National strategy for local government capacity building developed </w:t>
            </w:r>
          </w:p>
          <w:p w:rsidR="00D85B75" w:rsidRPr="006F28A4" w:rsidRDefault="00D85B75" w:rsidP="00857A41">
            <w:pPr>
              <w:ind w:left="165" w:right="229"/>
              <w:jc w:val="both"/>
              <w:rPr>
                <w:sz w:val="18"/>
                <w:szCs w:val="18"/>
              </w:rPr>
            </w:pPr>
            <w:r w:rsidRPr="006F28A4">
              <w:rPr>
                <w:bCs/>
                <w:i/>
                <w:iCs/>
                <w:sz w:val="18"/>
                <w:szCs w:val="18"/>
              </w:rPr>
              <w:t>Baseline:</w:t>
            </w:r>
            <w:r w:rsidRPr="006F28A4">
              <w:rPr>
                <w:bCs/>
                <w:sz w:val="18"/>
                <w:szCs w:val="18"/>
              </w:rPr>
              <w:t xml:space="preserve"> </w:t>
            </w:r>
            <w:r w:rsidRPr="006F28A4">
              <w:rPr>
                <w:sz w:val="18"/>
                <w:szCs w:val="18"/>
              </w:rPr>
              <w:t>No</w:t>
            </w:r>
          </w:p>
          <w:p w:rsidR="00D85B75" w:rsidRPr="0017292C" w:rsidRDefault="00D85B75" w:rsidP="00857A41">
            <w:pPr>
              <w:ind w:left="165" w:right="229"/>
              <w:jc w:val="both"/>
              <w:rPr>
                <w:sz w:val="18"/>
                <w:szCs w:val="18"/>
              </w:rPr>
            </w:pPr>
            <w:r w:rsidRPr="006F28A4">
              <w:rPr>
                <w:bCs/>
                <w:i/>
                <w:iCs/>
                <w:sz w:val="18"/>
                <w:szCs w:val="18"/>
              </w:rPr>
              <w:t>Target:</w:t>
            </w:r>
            <w:r w:rsidRPr="006F28A4">
              <w:rPr>
                <w:bCs/>
                <w:sz w:val="18"/>
                <w:szCs w:val="18"/>
              </w:rPr>
              <w:t xml:space="preserve"> </w:t>
            </w:r>
            <w:r w:rsidRPr="006F28A4">
              <w:rPr>
                <w:sz w:val="18"/>
                <w:szCs w:val="18"/>
              </w:rPr>
              <w:t>Yes</w:t>
            </w:r>
            <w:r w:rsidRPr="0017292C">
              <w:rPr>
                <w:sz w:val="18"/>
                <w:szCs w:val="18"/>
              </w:rPr>
              <w:t xml:space="preserve"> </w:t>
            </w:r>
          </w:p>
          <w:p w:rsidR="00D85B75" w:rsidRPr="0017292C" w:rsidRDefault="00D85B75" w:rsidP="00857A41">
            <w:pPr>
              <w:ind w:right="229"/>
              <w:jc w:val="both"/>
              <w:rPr>
                <w:sz w:val="18"/>
                <w:szCs w:val="18"/>
              </w:rPr>
            </w:pPr>
          </w:p>
          <w:p w:rsidR="00D85B75" w:rsidRPr="0017292C" w:rsidRDefault="00D85B75" w:rsidP="00857A41">
            <w:pPr>
              <w:ind w:left="165" w:right="229"/>
              <w:jc w:val="both"/>
              <w:rPr>
                <w:b/>
                <w:bCs/>
                <w:sz w:val="18"/>
                <w:szCs w:val="18"/>
              </w:rPr>
            </w:pPr>
            <w:r w:rsidRPr="0017292C">
              <w:rPr>
                <w:rFonts w:eastAsia="Calibri"/>
                <w:sz w:val="18"/>
                <w:szCs w:val="18"/>
              </w:rPr>
              <w:lastRenderedPageBreak/>
              <w:t>I</w:t>
            </w:r>
            <w:r w:rsidRPr="0017292C">
              <w:rPr>
                <w:rFonts w:eastAsia="Calibri"/>
                <w:b/>
                <w:bCs/>
                <w:sz w:val="18"/>
                <w:szCs w:val="18"/>
              </w:rPr>
              <w:t>ndicator 4.3.2:</w:t>
            </w:r>
            <w:r w:rsidRPr="0017292C">
              <w:rPr>
                <w:rFonts w:eastAsia="Calibri"/>
                <w:sz w:val="18"/>
                <w:szCs w:val="18"/>
              </w:rPr>
              <w:t xml:space="preserve"> Extent to which Citizen Report Card is used to improve service delivery at District level</w:t>
            </w:r>
          </w:p>
          <w:p w:rsidR="00D85B75" w:rsidRPr="006F28A4" w:rsidRDefault="00D85B75" w:rsidP="00857A41">
            <w:pPr>
              <w:ind w:left="165" w:right="229"/>
              <w:jc w:val="both"/>
              <w:rPr>
                <w:rFonts w:eastAsia="Calibri"/>
                <w:sz w:val="18"/>
                <w:szCs w:val="18"/>
              </w:rPr>
            </w:pPr>
            <w:r w:rsidRPr="006F28A4">
              <w:rPr>
                <w:rFonts w:eastAsia="Calibri"/>
                <w:bCs/>
                <w:i/>
                <w:iCs/>
                <w:sz w:val="18"/>
                <w:szCs w:val="18"/>
              </w:rPr>
              <w:t>Baseline: 2</w:t>
            </w:r>
            <w:r w:rsidRPr="006F28A4">
              <w:rPr>
                <w:rStyle w:val="FootnoteReference"/>
                <w:rFonts w:eastAsia="Calibri"/>
                <w:bCs/>
                <w:iCs/>
                <w:szCs w:val="18"/>
              </w:rPr>
              <w:footnoteReference w:id="39"/>
            </w:r>
          </w:p>
          <w:p w:rsidR="00D85B75" w:rsidRPr="0017292C" w:rsidRDefault="00D85B75" w:rsidP="00857A41">
            <w:pPr>
              <w:spacing w:after="165"/>
              <w:ind w:left="165" w:right="229"/>
              <w:jc w:val="both"/>
              <w:rPr>
                <w:rFonts w:eastAsia="Calibri"/>
                <w:b/>
                <w:bCs/>
                <w:sz w:val="18"/>
                <w:szCs w:val="18"/>
              </w:rPr>
            </w:pPr>
            <w:r w:rsidRPr="006F28A4">
              <w:rPr>
                <w:rFonts w:eastAsia="Calibri"/>
                <w:bCs/>
                <w:i/>
                <w:iCs/>
                <w:sz w:val="18"/>
                <w:szCs w:val="18"/>
              </w:rPr>
              <w:t>Target</w:t>
            </w:r>
            <w:r w:rsidRPr="0017292C">
              <w:rPr>
                <w:rFonts w:eastAsia="Calibri"/>
                <w:i/>
                <w:iCs/>
                <w:sz w:val="18"/>
                <w:szCs w:val="18"/>
              </w:rPr>
              <w:t>:</w:t>
            </w:r>
            <w:r w:rsidRPr="0017292C">
              <w:rPr>
                <w:rFonts w:eastAsia="Calibri"/>
                <w:sz w:val="18"/>
                <w:szCs w:val="18"/>
              </w:rPr>
              <w:t xml:space="preserve"> 3</w:t>
            </w:r>
          </w:p>
          <w:p w:rsidR="00D85B75" w:rsidRPr="0017292C" w:rsidRDefault="00D85B75" w:rsidP="00857A41">
            <w:pPr>
              <w:ind w:left="165" w:right="229"/>
              <w:jc w:val="both"/>
              <w:rPr>
                <w:rFonts w:eastAsia="Calibri Light"/>
                <w:sz w:val="18"/>
                <w:szCs w:val="18"/>
              </w:rPr>
            </w:pPr>
            <w:r w:rsidRPr="0017292C">
              <w:rPr>
                <w:b/>
                <w:bCs/>
                <w:sz w:val="18"/>
                <w:szCs w:val="18"/>
              </w:rPr>
              <w:t>Indic</w:t>
            </w:r>
            <w:r w:rsidRPr="0017292C">
              <w:rPr>
                <w:rFonts w:eastAsia="Calibri"/>
                <w:b/>
                <w:bCs/>
                <w:sz w:val="18"/>
                <w:szCs w:val="18"/>
              </w:rPr>
              <w:t xml:space="preserve">ator 4.3.3. </w:t>
            </w:r>
            <w:r w:rsidRPr="0017292C">
              <w:rPr>
                <w:rFonts w:eastAsia="Calibri"/>
                <w:sz w:val="18"/>
                <w:szCs w:val="18"/>
              </w:rPr>
              <w:t xml:space="preserve"> Number of private companies promoting accountability on gender equality through the gender seal certification </w:t>
            </w:r>
          </w:p>
          <w:p w:rsidR="00D85B75" w:rsidRPr="006F28A4" w:rsidRDefault="00D85B75" w:rsidP="00857A41">
            <w:pPr>
              <w:ind w:left="165" w:right="229"/>
              <w:jc w:val="both"/>
              <w:rPr>
                <w:bCs/>
                <w:sz w:val="18"/>
                <w:szCs w:val="18"/>
              </w:rPr>
            </w:pPr>
            <w:r w:rsidRPr="006F28A4">
              <w:rPr>
                <w:bCs/>
                <w:i/>
                <w:iCs/>
                <w:sz w:val="18"/>
                <w:szCs w:val="18"/>
              </w:rPr>
              <w:t>Baseline:</w:t>
            </w:r>
            <w:r w:rsidRPr="006F28A4">
              <w:rPr>
                <w:bCs/>
                <w:sz w:val="18"/>
                <w:szCs w:val="18"/>
              </w:rPr>
              <w:t xml:space="preserve"> </w:t>
            </w:r>
            <w:r w:rsidRPr="006F28A4">
              <w:rPr>
                <w:sz w:val="18"/>
                <w:szCs w:val="18"/>
              </w:rPr>
              <w:t xml:space="preserve">0  </w:t>
            </w:r>
          </w:p>
          <w:p w:rsidR="00D85B75" w:rsidRPr="0017292C" w:rsidRDefault="00D85B75" w:rsidP="00857A41">
            <w:pPr>
              <w:spacing w:after="18"/>
              <w:ind w:left="165" w:right="229"/>
              <w:jc w:val="both"/>
              <w:rPr>
                <w:b/>
                <w:bCs/>
                <w:sz w:val="18"/>
                <w:szCs w:val="18"/>
              </w:rPr>
            </w:pPr>
            <w:r w:rsidRPr="006F28A4">
              <w:rPr>
                <w:bCs/>
                <w:i/>
                <w:iCs/>
                <w:sz w:val="18"/>
                <w:szCs w:val="18"/>
              </w:rPr>
              <w:t>Target:</w:t>
            </w:r>
            <w:r w:rsidRPr="006F28A4">
              <w:rPr>
                <w:bCs/>
                <w:sz w:val="18"/>
                <w:szCs w:val="18"/>
              </w:rPr>
              <w:t xml:space="preserve"> </w:t>
            </w:r>
            <w:r w:rsidRPr="006F28A4">
              <w:rPr>
                <w:sz w:val="18"/>
                <w:szCs w:val="18"/>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5B75" w:rsidRPr="00390B08" w:rsidRDefault="00D85B75" w:rsidP="00A52112">
            <w:pPr>
              <w:ind w:left="25"/>
              <w:rPr>
                <w:bCs/>
                <w:sz w:val="18"/>
                <w:szCs w:val="18"/>
              </w:rPr>
            </w:pPr>
            <w:r w:rsidRPr="00390B08">
              <w:rPr>
                <w:bCs/>
                <w:sz w:val="18"/>
                <w:szCs w:val="18"/>
              </w:rPr>
              <w:lastRenderedPageBreak/>
              <w:t>UNFPA, UNESCO, UN</w:t>
            </w:r>
            <w:r w:rsidR="00315FA7" w:rsidRPr="00390B08">
              <w:rPr>
                <w:bCs/>
                <w:sz w:val="18"/>
                <w:szCs w:val="18"/>
              </w:rPr>
              <w:t>-</w:t>
            </w:r>
            <w:r w:rsidRPr="00390B08">
              <w:rPr>
                <w:bCs/>
                <w:sz w:val="18"/>
                <w:szCs w:val="18"/>
              </w:rPr>
              <w:t>WOMEN, RGB, NEC, Private Sector</w:t>
            </w:r>
          </w:p>
          <w:p w:rsidR="00D85B75" w:rsidRPr="0017292C" w:rsidRDefault="00D85B75" w:rsidP="00A52112">
            <w:pPr>
              <w:ind w:left="25"/>
              <w:rPr>
                <w:b/>
                <w:bCs/>
                <w:sz w:val="18"/>
                <w:szCs w:val="18"/>
              </w:rPr>
            </w:pPr>
            <w:r w:rsidRPr="00390B08">
              <w:rPr>
                <w:bCs/>
                <w:sz w:val="18"/>
                <w:szCs w:val="18"/>
              </w:rPr>
              <w:t>M</w:t>
            </w:r>
            <w:r w:rsidR="00A35A2C" w:rsidRPr="00390B08">
              <w:rPr>
                <w:bCs/>
                <w:sz w:val="18"/>
                <w:szCs w:val="18"/>
              </w:rPr>
              <w:t xml:space="preserve">edia </w:t>
            </w:r>
            <w:r w:rsidRPr="00390B08">
              <w:rPr>
                <w:bCs/>
                <w:sz w:val="18"/>
                <w:szCs w:val="18"/>
              </w:rPr>
              <w:t>H</w:t>
            </w:r>
            <w:r w:rsidR="00A35A2C" w:rsidRPr="00390B08">
              <w:rPr>
                <w:bCs/>
                <w:sz w:val="18"/>
                <w:szCs w:val="18"/>
              </w:rPr>
              <w:t xml:space="preserve">igh </w:t>
            </w:r>
            <w:r w:rsidRPr="00390B08">
              <w:rPr>
                <w:bCs/>
                <w:sz w:val="18"/>
                <w:szCs w:val="18"/>
              </w:rPr>
              <w:t>C</w:t>
            </w:r>
            <w:r w:rsidR="00A35A2C" w:rsidRPr="00390B08">
              <w:rPr>
                <w:bCs/>
                <w:sz w:val="18"/>
                <w:szCs w:val="18"/>
              </w:rPr>
              <w:t>ouncil</w:t>
            </w:r>
            <w:r w:rsidRPr="00390B08">
              <w:rPr>
                <w:bCs/>
                <w:sz w:val="18"/>
                <w:szCs w:val="18"/>
              </w:rPr>
              <w:t>, Districts, CSOs</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3D3B" w:rsidRDefault="00D85B75" w:rsidP="00A52112">
            <w:pPr>
              <w:spacing w:after="16"/>
              <w:ind w:left="106"/>
              <w:jc w:val="both"/>
              <w:rPr>
                <w:b/>
                <w:bCs/>
                <w:sz w:val="18"/>
                <w:szCs w:val="18"/>
              </w:rPr>
            </w:pPr>
            <w:r w:rsidRPr="0017292C">
              <w:rPr>
                <w:b/>
                <w:bCs/>
                <w:sz w:val="18"/>
                <w:szCs w:val="18"/>
              </w:rPr>
              <w:t>Regular</w:t>
            </w:r>
          </w:p>
          <w:p w:rsidR="00D85B75" w:rsidRPr="0017292C" w:rsidRDefault="00D85B75" w:rsidP="00A52112">
            <w:pPr>
              <w:spacing w:after="16"/>
              <w:ind w:left="106"/>
              <w:jc w:val="both"/>
              <w:rPr>
                <w:sz w:val="18"/>
                <w:szCs w:val="18"/>
              </w:rPr>
            </w:pPr>
            <w:r w:rsidRPr="0017292C">
              <w:rPr>
                <w:b/>
                <w:bCs/>
                <w:sz w:val="18"/>
                <w:szCs w:val="18"/>
              </w:rPr>
              <w:t>$7,</w:t>
            </w:r>
            <w:r w:rsidR="009843AC" w:rsidRPr="0017292C">
              <w:rPr>
                <w:b/>
                <w:bCs/>
                <w:sz w:val="18"/>
                <w:szCs w:val="18"/>
              </w:rPr>
              <w:t>611,750</w:t>
            </w:r>
          </w:p>
          <w:p w:rsidR="00D85B75" w:rsidRPr="0017292C" w:rsidRDefault="00D85B75" w:rsidP="00A52112">
            <w:pPr>
              <w:ind w:left="106"/>
              <w:jc w:val="both"/>
              <w:rPr>
                <w:sz w:val="18"/>
                <w:szCs w:val="18"/>
              </w:rPr>
            </w:pPr>
            <w:r w:rsidRPr="0017292C">
              <w:rPr>
                <w:b/>
                <w:sz w:val="18"/>
                <w:szCs w:val="18"/>
              </w:rPr>
              <w:t xml:space="preserve"> </w:t>
            </w:r>
          </w:p>
          <w:p w:rsidR="00D85B75" w:rsidRPr="0017292C" w:rsidRDefault="00D85B75" w:rsidP="00A52112">
            <w:pPr>
              <w:spacing w:after="15"/>
              <w:ind w:left="106"/>
              <w:jc w:val="both"/>
              <w:rPr>
                <w:sz w:val="18"/>
                <w:szCs w:val="18"/>
              </w:rPr>
            </w:pPr>
            <w:r w:rsidRPr="0017292C">
              <w:rPr>
                <w:b/>
                <w:sz w:val="18"/>
                <w:szCs w:val="18"/>
              </w:rPr>
              <w:t xml:space="preserve"> </w:t>
            </w:r>
          </w:p>
          <w:p w:rsidR="00D85B75" w:rsidRPr="0017292C" w:rsidRDefault="00D85B75" w:rsidP="00A52112">
            <w:pPr>
              <w:spacing w:after="13"/>
              <w:ind w:left="106"/>
              <w:jc w:val="both"/>
              <w:rPr>
                <w:sz w:val="18"/>
                <w:szCs w:val="18"/>
              </w:rPr>
            </w:pPr>
            <w:r w:rsidRPr="0017292C">
              <w:rPr>
                <w:b/>
                <w:bCs/>
                <w:sz w:val="18"/>
                <w:szCs w:val="18"/>
              </w:rPr>
              <w:t xml:space="preserve">Other  </w:t>
            </w:r>
          </w:p>
          <w:p w:rsidR="00D85B75" w:rsidRPr="0017292C" w:rsidRDefault="00D85B75" w:rsidP="00A52112">
            <w:pPr>
              <w:ind w:left="106"/>
              <w:jc w:val="both"/>
              <w:rPr>
                <w:sz w:val="18"/>
                <w:szCs w:val="18"/>
              </w:rPr>
            </w:pPr>
            <w:r w:rsidRPr="0017292C">
              <w:rPr>
                <w:b/>
                <w:bCs/>
                <w:sz w:val="18"/>
                <w:szCs w:val="18"/>
              </w:rPr>
              <w:t>$3,500,000</w:t>
            </w:r>
          </w:p>
          <w:p w:rsidR="00D85B75" w:rsidRPr="0017292C" w:rsidRDefault="00D85B75" w:rsidP="00A52112">
            <w:pPr>
              <w:spacing w:after="16"/>
              <w:ind w:left="106"/>
              <w:jc w:val="both"/>
              <w:rPr>
                <w:b/>
                <w:bCs/>
                <w:sz w:val="18"/>
                <w:szCs w:val="18"/>
              </w:rPr>
            </w:pPr>
          </w:p>
        </w:tc>
      </w:tr>
    </w:tbl>
    <w:p w:rsidR="006B6E78" w:rsidRPr="00A830B8" w:rsidRDefault="006B6E78" w:rsidP="00A52112">
      <w:pPr>
        <w:pStyle w:val="Heading4"/>
        <w:spacing w:after="120"/>
        <w:jc w:val="both"/>
        <w:rPr>
          <w:rFonts w:ascii="Times New Roman" w:hAnsi="Times New Roman"/>
          <w:bCs/>
          <w:color w:val="000000"/>
          <w:sz w:val="20"/>
        </w:rPr>
      </w:pPr>
    </w:p>
    <w:p w:rsidR="006B6E78" w:rsidRPr="00A830B8" w:rsidRDefault="00DA1777" w:rsidP="00DA1777">
      <w:pPr>
        <w:pStyle w:val="Heading4"/>
        <w:spacing w:after="120"/>
        <w:jc w:val="center"/>
        <w:rPr>
          <w:rFonts w:ascii="Times New Roman" w:hAnsi="Times New Roman"/>
          <w:bCs/>
          <w:color w:val="000000"/>
          <w:sz w:val="20"/>
        </w:rPr>
      </w:pPr>
      <w:r w:rsidRPr="00AE4C43">
        <w:rPr>
          <w:b w:val="0"/>
          <w:noProof/>
          <w:color w:val="000000"/>
          <w:sz w:val="16"/>
          <w:szCs w:val="16"/>
        </w:rPr>
        <w:drawing>
          <wp:inline distT="0" distB="0" distL="0" distR="0" wp14:anchorId="5ECF4C3E" wp14:editId="51ACC9E1">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rsidR="00D6679C" w:rsidRPr="00A830B8" w:rsidRDefault="00D6679C" w:rsidP="00A52112">
      <w:pPr>
        <w:jc w:val="both"/>
        <w:rPr>
          <w:color w:val="000000"/>
        </w:rPr>
      </w:pPr>
    </w:p>
    <w:sectPr w:rsidR="00D6679C" w:rsidRPr="00A830B8" w:rsidSect="00F77B5C">
      <w:headerReference w:type="even" r:id="rId27"/>
      <w:headerReference w:type="default" r:id="rId28"/>
      <w:type w:val="nextColumn"/>
      <w:pgSz w:w="15840" w:h="12240" w:orient="landscape"/>
      <w:pgMar w:top="1166" w:right="1195" w:bottom="1440" w:left="119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D0" w:rsidRDefault="00EF69D0" w:rsidP="00441061">
      <w:r>
        <w:separator/>
      </w:r>
    </w:p>
  </w:endnote>
  <w:endnote w:type="continuationSeparator" w:id="0">
    <w:p w:rsidR="00EF69D0" w:rsidRDefault="00EF69D0"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Pr="005841A3" w:rsidRDefault="0034326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Pr="005841A3" w:rsidRDefault="00343264">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5</w:t>
    </w:r>
    <w:r w:rsidRPr="005841A3">
      <w:rPr>
        <w:b/>
        <w:sz w:val="17"/>
        <w:szCs w:val="17"/>
      </w:rPr>
      <w:fldChar w:fldCharType="end"/>
    </w:r>
  </w:p>
  <w:p w:rsidR="00343264" w:rsidRDefault="00343264"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983092"/>
      <w:docPartObj>
        <w:docPartGallery w:val="Page Numbers (Bottom of Page)"/>
        <w:docPartUnique/>
      </w:docPartObj>
    </w:sdtPr>
    <w:sdtEndPr>
      <w:rPr>
        <w:noProof/>
      </w:rPr>
    </w:sdtEndPr>
    <w:sdtContent>
      <w:p w:rsidR="00343264" w:rsidRDefault="00343264">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Pr="005841A3" w:rsidRDefault="0034326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F107E">
      <w:rPr>
        <w:b/>
        <w:noProof/>
        <w:sz w:val="17"/>
        <w:szCs w:val="17"/>
      </w:rPr>
      <w:t>14</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Pr="00CE68BD" w:rsidRDefault="00343264" w:rsidP="00F4678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F107E">
      <w:rPr>
        <w:b/>
        <w:noProof/>
        <w:sz w:val="17"/>
        <w:szCs w:val="17"/>
      </w:rPr>
      <w:t>13</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7"/>
        <w:szCs w:val="17"/>
      </w:rPr>
      <w:id w:val="408198650"/>
      <w:docPartObj>
        <w:docPartGallery w:val="Page Numbers (Bottom of Page)"/>
        <w:docPartUnique/>
      </w:docPartObj>
    </w:sdtPr>
    <w:sdtEndPr>
      <w:rPr>
        <w:noProof/>
      </w:rPr>
    </w:sdtEndPr>
    <w:sdtContent>
      <w:p w:rsidR="00343264" w:rsidRPr="00D62EAC" w:rsidRDefault="00343264">
        <w:pPr>
          <w:pStyle w:val="Footer"/>
          <w:rPr>
            <w:b/>
            <w:sz w:val="17"/>
            <w:szCs w:val="17"/>
          </w:rPr>
        </w:pPr>
        <w:r w:rsidRPr="00D62EAC">
          <w:rPr>
            <w:b/>
            <w:sz w:val="17"/>
            <w:szCs w:val="17"/>
          </w:rPr>
          <w:fldChar w:fldCharType="begin"/>
        </w:r>
        <w:r w:rsidRPr="00D62EAC">
          <w:rPr>
            <w:b/>
            <w:sz w:val="17"/>
            <w:szCs w:val="17"/>
          </w:rPr>
          <w:instrText xml:space="preserve"> PAGE   \* MERGEFORMAT </w:instrText>
        </w:r>
        <w:r w:rsidRPr="00D62EAC">
          <w:rPr>
            <w:b/>
            <w:sz w:val="17"/>
            <w:szCs w:val="17"/>
          </w:rPr>
          <w:fldChar w:fldCharType="separate"/>
        </w:r>
        <w:r w:rsidR="00CF107E">
          <w:rPr>
            <w:b/>
            <w:noProof/>
            <w:sz w:val="17"/>
            <w:szCs w:val="17"/>
          </w:rPr>
          <w:t>2</w:t>
        </w:r>
        <w:r w:rsidRPr="00D62EAC">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D0" w:rsidRDefault="00EF69D0" w:rsidP="00441061">
      <w:r>
        <w:separator/>
      </w:r>
    </w:p>
  </w:footnote>
  <w:footnote w:type="continuationSeparator" w:id="0">
    <w:p w:rsidR="00EF69D0" w:rsidRDefault="00EF69D0" w:rsidP="00441061">
      <w:r>
        <w:continuationSeparator/>
      </w:r>
    </w:p>
  </w:footnote>
  <w:footnote w:id="1">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National Institute of Statistics Rwanda (NISR).</w:t>
      </w:r>
    </w:p>
  </w:footnote>
  <w:footnote w:id="2">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International Monetary Fund (IMF), 2017.</w:t>
      </w:r>
    </w:p>
  </w:footnote>
  <w:footnote w:id="3">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NISR,2016.</w:t>
      </w:r>
    </w:p>
  </w:footnote>
  <w:footnote w:id="4">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UNDP, Human Development Report 2016.</w:t>
      </w:r>
    </w:p>
  </w:footnote>
  <w:footnote w:id="5">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NISR, 2016.</w:t>
      </w:r>
    </w:p>
  </w:footnote>
  <w:footnote w:id="6">
    <w:p w:rsidR="00343264" w:rsidRPr="00944FD5" w:rsidRDefault="00343264">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Fonts w:ascii="Times New Roman" w:hAnsi="Times New Roman"/>
          <w:sz w:val="17"/>
          <w:szCs w:val="17"/>
        </w:rPr>
        <w:t xml:space="preserve"> Millennium Development Goal Monitor Fact Sheet, 2015.</w:t>
      </w:r>
    </w:p>
  </w:footnote>
  <w:footnote w:id="7">
    <w:p w:rsidR="00343264" w:rsidRPr="00944FD5" w:rsidRDefault="00343264" w:rsidP="00B61E95">
      <w:pPr>
        <w:pStyle w:val="FootnoteText"/>
        <w:rPr>
          <w:rStyle w:val="FootnoteReference"/>
          <w:rFonts w:ascii="Times New Roman" w:hAnsi="Times New Roman"/>
          <w:sz w:val="17"/>
          <w:szCs w:val="17"/>
          <w:vertAlign w:val="baseline"/>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Global Gender Gap Report, 2016</w:t>
      </w:r>
      <w:r w:rsidRPr="00944FD5">
        <w:rPr>
          <w:rFonts w:ascii="Times New Roman" w:hAnsi="Times New Roman"/>
          <w:sz w:val="17"/>
          <w:szCs w:val="17"/>
        </w:rPr>
        <w:t>.</w:t>
      </w:r>
    </w:p>
  </w:footnote>
  <w:footnote w:id="8">
    <w:p w:rsidR="00343264" w:rsidRPr="00944FD5" w:rsidRDefault="00343264" w:rsidP="00B61E95">
      <w:pPr>
        <w:pStyle w:val="FootnoteText"/>
        <w:rPr>
          <w:rStyle w:val="FootnoteReference"/>
          <w:rFonts w:ascii="Times New Roman" w:hAnsi="Times New Roman"/>
          <w:sz w:val="17"/>
          <w:szCs w:val="17"/>
          <w:vertAlign w:val="baseline"/>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w:t>
      </w:r>
      <w:r w:rsidRPr="00944FD5">
        <w:rPr>
          <w:rFonts w:ascii="Times New Roman" w:hAnsi="Times New Roman"/>
          <w:sz w:val="17"/>
          <w:szCs w:val="17"/>
        </w:rPr>
        <w:t>World Bank, Ease of doing Business Report, 2017.</w:t>
      </w:r>
    </w:p>
  </w:footnote>
  <w:footnote w:id="9">
    <w:p w:rsidR="00343264" w:rsidRPr="00944FD5" w:rsidRDefault="00343264" w:rsidP="00B61E95">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w:t>
      </w:r>
      <w:r w:rsidRPr="00944FD5">
        <w:rPr>
          <w:rFonts w:ascii="Times New Roman" w:hAnsi="Times New Roman"/>
          <w:sz w:val="17"/>
          <w:szCs w:val="17"/>
        </w:rPr>
        <w:t>Transparency International Corruption Perception Index, 2016</w:t>
      </w:r>
    </w:p>
  </w:footnote>
  <w:footnote w:id="10">
    <w:p w:rsidR="00343264" w:rsidRPr="00944FD5" w:rsidRDefault="00343264" w:rsidP="00B61E95">
      <w:pPr>
        <w:pStyle w:val="FootnoteText"/>
        <w:rPr>
          <w:rStyle w:val="FootnoteReference"/>
          <w:rFonts w:ascii="Times New Roman" w:hAnsi="Times New Roman"/>
          <w:sz w:val="17"/>
          <w:szCs w:val="17"/>
          <w:vertAlign w:val="baseline"/>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w:t>
      </w:r>
      <w:r w:rsidRPr="00944FD5">
        <w:rPr>
          <w:rFonts w:ascii="Times New Roman" w:hAnsi="Times New Roman"/>
          <w:sz w:val="17"/>
          <w:szCs w:val="17"/>
        </w:rPr>
        <w:t>IMF forecast, 2017</w:t>
      </w:r>
    </w:p>
  </w:footnote>
  <w:footnote w:id="11">
    <w:p w:rsidR="00343264" w:rsidRPr="00944FD5" w:rsidRDefault="00343264" w:rsidP="00B61E95">
      <w:pPr>
        <w:pStyle w:val="FootnoteText"/>
        <w:rPr>
          <w:rFonts w:ascii="Times New Roman" w:hAnsi="Times New Roman"/>
          <w:sz w:val="17"/>
          <w:szCs w:val="17"/>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w:t>
      </w:r>
      <w:r w:rsidRPr="00944FD5">
        <w:rPr>
          <w:rFonts w:ascii="Times New Roman" w:hAnsi="Times New Roman"/>
          <w:sz w:val="17"/>
          <w:szCs w:val="17"/>
        </w:rPr>
        <w:t>World Bank, Rwanda Economic Update, 2017.</w:t>
      </w:r>
    </w:p>
  </w:footnote>
  <w:footnote w:id="12">
    <w:p w:rsidR="00343264" w:rsidRPr="00944FD5" w:rsidRDefault="00343264" w:rsidP="00B61E95">
      <w:pPr>
        <w:pStyle w:val="FootnoteText"/>
        <w:rPr>
          <w:rStyle w:val="FootnoteReference"/>
          <w:rFonts w:ascii="Times New Roman" w:hAnsi="Times New Roman"/>
          <w:sz w:val="17"/>
          <w:szCs w:val="17"/>
          <w:vertAlign w:val="baseline"/>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Ibid</w:t>
      </w:r>
      <w:r w:rsidRPr="00944FD5">
        <w:rPr>
          <w:rFonts w:ascii="Times New Roman" w:hAnsi="Times New Roman"/>
          <w:sz w:val="17"/>
          <w:szCs w:val="17"/>
        </w:rPr>
        <w:t>.</w:t>
      </w:r>
    </w:p>
  </w:footnote>
  <w:footnote w:id="13">
    <w:p w:rsidR="00343264" w:rsidRPr="00944FD5" w:rsidRDefault="00343264" w:rsidP="00B61E95">
      <w:pPr>
        <w:pStyle w:val="FootnoteText"/>
        <w:rPr>
          <w:rStyle w:val="FootnoteReference"/>
          <w:rFonts w:ascii="Times New Roman" w:hAnsi="Times New Roman"/>
          <w:sz w:val="17"/>
          <w:szCs w:val="17"/>
        </w:rPr>
      </w:pPr>
      <w:r w:rsidRPr="00944FD5">
        <w:rPr>
          <w:rStyle w:val="FootnoteReference"/>
          <w:rFonts w:ascii="Times New Roman" w:hAnsi="Times New Roman"/>
          <w:sz w:val="17"/>
          <w:szCs w:val="17"/>
        </w:rPr>
        <w:footnoteRef/>
      </w:r>
      <w:r w:rsidRPr="00944FD5">
        <w:rPr>
          <w:rStyle w:val="FootnoteReference"/>
          <w:rFonts w:ascii="Times New Roman" w:hAnsi="Times New Roman"/>
          <w:sz w:val="17"/>
          <w:szCs w:val="17"/>
          <w:vertAlign w:val="baseline"/>
        </w:rPr>
        <w:t xml:space="preserve"> </w:t>
      </w:r>
      <w:r w:rsidRPr="00944FD5">
        <w:rPr>
          <w:rFonts w:ascii="Times New Roman" w:hAnsi="Times New Roman"/>
          <w:sz w:val="17"/>
          <w:szCs w:val="17"/>
        </w:rPr>
        <w:t>NISR</w:t>
      </w:r>
      <w:r w:rsidRPr="00944FD5">
        <w:rPr>
          <w:rStyle w:val="FootnoteReference"/>
          <w:rFonts w:ascii="Times New Roman" w:hAnsi="Times New Roman"/>
          <w:sz w:val="17"/>
          <w:szCs w:val="17"/>
          <w:vertAlign w:val="baseline"/>
        </w:rPr>
        <w:t>, Labor Force Survey, 2017</w:t>
      </w:r>
      <w:r w:rsidRPr="00944FD5">
        <w:rPr>
          <w:rStyle w:val="FootnoteReference"/>
          <w:rFonts w:ascii="Times New Roman" w:hAnsi="Times New Roman"/>
          <w:sz w:val="17"/>
          <w:szCs w:val="17"/>
        </w:rPr>
        <w:t xml:space="preserve"> </w:t>
      </w:r>
    </w:p>
  </w:footnote>
  <w:footnote w:id="14">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t>
      </w:r>
      <w:r w:rsidRPr="000E64DD">
        <w:rPr>
          <w:rFonts w:ascii="Times New Roman" w:hAnsi="Times New Roman"/>
          <w:sz w:val="17"/>
          <w:szCs w:val="17"/>
        </w:rPr>
        <w:t xml:space="preserve">World Bank, </w:t>
      </w:r>
      <w:r w:rsidRPr="000E64DD">
        <w:rPr>
          <w:rStyle w:val="FootnoteReference"/>
          <w:rFonts w:ascii="Times New Roman" w:hAnsi="Times New Roman"/>
          <w:sz w:val="17"/>
          <w:szCs w:val="17"/>
          <w:vertAlign w:val="baseline"/>
        </w:rPr>
        <w:t>World Development Indicators, 2017.</w:t>
      </w:r>
    </w:p>
  </w:footnote>
  <w:footnote w:id="15">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Ministry of Finance and Economic Planning (MINECOFIN)</w:t>
      </w:r>
      <w:r w:rsidRPr="000E64DD">
        <w:rPr>
          <w:rFonts w:ascii="Times New Roman" w:hAnsi="Times New Roman"/>
          <w:sz w:val="17"/>
          <w:szCs w:val="17"/>
        </w:rPr>
        <w:t xml:space="preserve">, </w:t>
      </w:r>
      <w:r w:rsidRPr="000E64DD">
        <w:rPr>
          <w:rStyle w:val="FootnoteReference"/>
          <w:rFonts w:ascii="Times New Roman" w:hAnsi="Times New Roman"/>
          <w:sz w:val="17"/>
          <w:szCs w:val="17"/>
          <w:vertAlign w:val="baseline"/>
        </w:rPr>
        <w:t>Rwanda Official Development Assistance Report, 2017</w:t>
      </w:r>
    </w:p>
  </w:footnote>
  <w:footnote w:id="16">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NISR census, 2012.</w:t>
      </w:r>
    </w:p>
  </w:footnote>
  <w:footnote w:id="17">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NISR Labour Force Survey, 2016.</w:t>
      </w:r>
    </w:p>
  </w:footnote>
  <w:footnote w:id="18">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Ministry of Education, 2016</w:t>
      </w:r>
      <w:r w:rsidRPr="000E64DD">
        <w:rPr>
          <w:rFonts w:ascii="Times New Roman" w:hAnsi="Times New Roman"/>
          <w:sz w:val="17"/>
          <w:szCs w:val="17"/>
        </w:rPr>
        <w:t>.</w:t>
      </w:r>
    </w:p>
  </w:footnote>
  <w:footnote w:id="19">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NISR Labour Force Survey, 2016</w:t>
      </w:r>
      <w:r w:rsidRPr="000E64DD">
        <w:rPr>
          <w:rFonts w:ascii="Times New Roman" w:hAnsi="Times New Roman"/>
          <w:sz w:val="17"/>
          <w:szCs w:val="17"/>
        </w:rPr>
        <w:t>.</w:t>
      </w:r>
    </w:p>
  </w:footnote>
  <w:footnote w:id="20">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Gender Monitoring Office: Gender and Access to Finance, 2017</w:t>
      </w:r>
    </w:p>
  </w:footnote>
  <w:footnote w:id="21">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World Bank Open Database, 2016</w:t>
      </w:r>
    </w:p>
  </w:footnote>
  <w:footnote w:id="22">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NISR, Integrated Household Living Conditions Survey</w:t>
      </w:r>
      <w:r w:rsidRPr="000E64DD">
        <w:rPr>
          <w:rFonts w:ascii="Times New Roman" w:hAnsi="Times New Roman"/>
          <w:sz w:val="17"/>
          <w:szCs w:val="17"/>
        </w:rPr>
        <w:t>,</w:t>
      </w:r>
      <w:r w:rsidRPr="000E64DD">
        <w:rPr>
          <w:rStyle w:val="FootnoteReference"/>
          <w:rFonts w:ascii="Times New Roman" w:hAnsi="Times New Roman"/>
          <w:sz w:val="17"/>
          <w:szCs w:val="17"/>
          <w:vertAlign w:val="baseline"/>
        </w:rPr>
        <w:t xml:space="preserve"> 2014.</w:t>
      </w:r>
    </w:p>
  </w:footnote>
  <w:footnote w:id="23">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t>
      </w:r>
      <w:r w:rsidRPr="000E64DD">
        <w:rPr>
          <w:rFonts w:ascii="Times New Roman" w:hAnsi="Times New Roman"/>
          <w:sz w:val="17"/>
          <w:szCs w:val="17"/>
        </w:rPr>
        <w:t xml:space="preserve">Ministry of Environment, </w:t>
      </w:r>
      <w:r w:rsidRPr="000E64DD">
        <w:rPr>
          <w:rStyle w:val="FootnoteReference"/>
          <w:rFonts w:ascii="Times New Roman" w:hAnsi="Times New Roman"/>
          <w:sz w:val="17"/>
          <w:szCs w:val="17"/>
          <w:vertAlign w:val="baseline"/>
        </w:rPr>
        <w:t>National Biodiversity Strategy and Action Plan, 2016.</w:t>
      </w:r>
    </w:p>
  </w:footnote>
  <w:footnote w:id="24">
    <w:p w:rsidR="00343264" w:rsidRPr="000E64DD" w:rsidRDefault="00343264" w:rsidP="00E177B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t>
      </w:r>
      <w:r w:rsidRPr="000E64DD">
        <w:rPr>
          <w:rFonts w:ascii="Times New Roman" w:hAnsi="Times New Roman"/>
          <w:sz w:val="17"/>
          <w:szCs w:val="17"/>
        </w:rPr>
        <w:t xml:space="preserve">Ministry of Disaster Management and Refugee Affairs (MIDIMAR), </w:t>
      </w:r>
      <w:r w:rsidRPr="000E64DD">
        <w:rPr>
          <w:rStyle w:val="FootnoteReference"/>
          <w:rFonts w:ascii="Times New Roman" w:hAnsi="Times New Roman"/>
          <w:sz w:val="17"/>
          <w:szCs w:val="17"/>
          <w:vertAlign w:val="baseline"/>
        </w:rPr>
        <w:t>Rwanda Disaster Risk Atlas, 2016.</w:t>
      </w:r>
    </w:p>
  </w:footnote>
  <w:footnote w:id="25">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National Unity and Reconciliation Commission (NURC),</w:t>
      </w:r>
      <w:r w:rsidRPr="000E64DD">
        <w:rPr>
          <w:rFonts w:ascii="Times New Roman" w:hAnsi="Times New Roman"/>
          <w:sz w:val="17"/>
          <w:szCs w:val="17"/>
        </w:rPr>
        <w:t xml:space="preserve"> </w:t>
      </w:r>
      <w:r w:rsidRPr="000E64DD">
        <w:rPr>
          <w:rStyle w:val="FootnoteReference"/>
          <w:rFonts w:ascii="Times New Roman" w:hAnsi="Times New Roman"/>
          <w:sz w:val="17"/>
          <w:szCs w:val="17"/>
          <w:vertAlign w:val="baseline"/>
        </w:rPr>
        <w:t>Rwanda Reconciliation Barometer, 2016</w:t>
      </w:r>
    </w:p>
  </w:footnote>
  <w:footnote w:id="26">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Gallup Global Law and Order Report, 2017</w:t>
      </w:r>
    </w:p>
  </w:footnote>
  <w:footnote w:id="27">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Rwanda Governance Scorecard, 2016</w:t>
      </w:r>
    </w:p>
  </w:footnote>
  <w:footnote w:id="28">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t>
      </w:r>
      <w:r w:rsidRPr="000E64DD">
        <w:rPr>
          <w:rFonts w:ascii="Times New Roman" w:hAnsi="Times New Roman"/>
          <w:sz w:val="17"/>
          <w:szCs w:val="17"/>
        </w:rPr>
        <w:t>NISR, Statistical Yearbook 2016</w:t>
      </w:r>
    </w:p>
  </w:footnote>
  <w:footnote w:id="29">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Ministry of Justice, Justice Sector Strategic Plan, 2018-2024</w:t>
      </w:r>
    </w:p>
  </w:footnote>
  <w:footnote w:id="30">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w:t>
      </w:r>
      <w:r w:rsidRPr="000E64DD">
        <w:rPr>
          <w:rFonts w:ascii="Times New Roman" w:hAnsi="Times New Roman"/>
          <w:sz w:val="17"/>
          <w:szCs w:val="17"/>
        </w:rPr>
        <w:t xml:space="preserve">UNDP Evaluation Office, </w:t>
      </w:r>
      <w:r w:rsidRPr="000E64DD">
        <w:rPr>
          <w:rStyle w:val="FootnoteReference"/>
          <w:rFonts w:ascii="Times New Roman" w:hAnsi="Times New Roman"/>
          <w:sz w:val="17"/>
          <w:szCs w:val="17"/>
          <w:vertAlign w:val="baseline"/>
        </w:rPr>
        <w:t>I</w:t>
      </w:r>
      <w:r w:rsidRPr="000E64DD">
        <w:rPr>
          <w:rFonts w:ascii="Times New Roman" w:hAnsi="Times New Roman"/>
          <w:sz w:val="17"/>
          <w:szCs w:val="17"/>
        </w:rPr>
        <w:t>ndependent country programme evaluation</w:t>
      </w:r>
      <w:r w:rsidRPr="000E64DD">
        <w:rPr>
          <w:rStyle w:val="FootnoteReference"/>
          <w:rFonts w:ascii="Times New Roman" w:hAnsi="Times New Roman"/>
          <w:sz w:val="17"/>
          <w:szCs w:val="17"/>
          <w:vertAlign w:val="baseline"/>
        </w:rPr>
        <w:t>, 2017</w:t>
      </w:r>
    </w:p>
  </w:footnote>
  <w:footnote w:id="31">
    <w:p w:rsidR="00343264" w:rsidRPr="000E64DD" w:rsidRDefault="00343264" w:rsidP="0006756E">
      <w:pPr>
        <w:pStyle w:val="FootnoteText"/>
        <w:rPr>
          <w:rStyle w:val="FootnoteReference"/>
          <w:rFonts w:ascii="Times New Roman" w:hAnsi="Times New Roman"/>
          <w:sz w:val="17"/>
          <w:szCs w:val="17"/>
          <w:vertAlign w:val="baseline"/>
        </w:rPr>
      </w:pPr>
      <w:r w:rsidRPr="000E64DD">
        <w:rPr>
          <w:rStyle w:val="FootnoteReference"/>
          <w:rFonts w:ascii="Times New Roman" w:hAnsi="Times New Roman"/>
          <w:sz w:val="17"/>
          <w:szCs w:val="17"/>
        </w:rPr>
        <w:footnoteRef/>
      </w:r>
      <w:r w:rsidRPr="000E64DD">
        <w:rPr>
          <w:rStyle w:val="FootnoteReference"/>
          <w:rFonts w:ascii="Times New Roman" w:hAnsi="Times New Roman"/>
          <w:sz w:val="17"/>
          <w:szCs w:val="17"/>
          <w:vertAlign w:val="baseline"/>
        </w:rPr>
        <w:t xml:space="preserve"> Universal Periodic Review for Rwanda, 2015</w:t>
      </w:r>
    </w:p>
  </w:footnote>
  <w:footnote w:id="32">
    <w:p w:rsidR="00343264" w:rsidRPr="007E4759" w:rsidRDefault="00343264" w:rsidP="00FB01A0">
      <w:pPr>
        <w:pStyle w:val="FootnoteText"/>
        <w:rPr>
          <w:rFonts w:ascii="Times New Roman" w:hAnsi="Times New Roman"/>
          <w:sz w:val="16"/>
          <w:szCs w:val="16"/>
          <w:lang w:val="en-GB"/>
        </w:rPr>
      </w:pPr>
      <w:r w:rsidRPr="007830FB">
        <w:rPr>
          <w:rStyle w:val="FootnoteReference"/>
          <w:rFonts w:ascii="Times New Roman" w:hAnsi="Times New Roman"/>
          <w:szCs w:val="16"/>
        </w:rPr>
        <w:footnoteRef/>
      </w:r>
      <w:r w:rsidRPr="007E4759">
        <w:rPr>
          <w:rFonts w:ascii="Times New Roman" w:hAnsi="Times New Roman"/>
          <w:sz w:val="16"/>
          <w:szCs w:val="16"/>
        </w:rPr>
        <w:t xml:space="preserve"> </w:t>
      </w:r>
      <w:r w:rsidRPr="007E4759">
        <w:rPr>
          <w:rFonts w:ascii="Times New Roman" w:hAnsi="Times New Roman"/>
          <w:sz w:val="16"/>
          <w:szCs w:val="16"/>
          <w:lang w:val="en-GB"/>
        </w:rPr>
        <w:t>Ministry of Youth, 2017</w:t>
      </w:r>
    </w:p>
  </w:footnote>
  <w:footnote w:id="33">
    <w:p w:rsidR="00343264" w:rsidRPr="00243D3B" w:rsidRDefault="00343264" w:rsidP="00D85B75">
      <w:pPr>
        <w:pStyle w:val="FootnoteText"/>
        <w:rPr>
          <w:rFonts w:ascii="Times New Roman" w:hAnsi="Times New Roman"/>
          <w:sz w:val="17"/>
          <w:szCs w:val="17"/>
          <w:lang w:val="en-GB"/>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w:t>
      </w:r>
      <w:r w:rsidRPr="00243D3B">
        <w:rPr>
          <w:rFonts w:ascii="Times New Roman" w:hAnsi="Times New Roman"/>
          <w:sz w:val="17"/>
          <w:szCs w:val="17"/>
          <w:lang w:val="en-GB"/>
        </w:rPr>
        <w:t>All targets are for 2023.</w:t>
      </w:r>
    </w:p>
  </w:footnote>
  <w:footnote w:id="34">
    <w:p w:rsidR="00343264" w:rsidRPr="00243D3B" w:rsidRDefault="00343264" w:rsidP="00D85B75">
      <w:pPr>
        <w:pStyle w:val="FootnoteText"/>
        <w:rPr>
          <w:rFonts w:ascii="Garamond" w:hAnsi="Garamond"/>
          <w:sz w:val="17"/>
          <w:szCs w:val="17"/>
          <w:lang w:val="en-GB"/>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w:t>
      </w:r>
      <w:r w:rsidRPr="00243D3B">
        <w:rPr>
          <w:rFonts w:ascii="Times New Roman" w:hAnsi="Times New Roman"/>
          <w:sz w:val="17"/>
          <w:szCs w:val="17"/>
          <w:lang w:val="en-GB"/>
        </w:rPr>
        <w:t>1- Coherent strategy not in place; 2- Strategy developed and partially implemented; 3- Strategy developed and largely implemented.</w:t>
      </w:r>
    </w:p>
  </w:footnote>
  <w:footnote w:id="35">
    <w:p w:rsidR="00343264" w:rsidRPr="00243D3B" w:rsidRDefault="00343264" w:rsidP="00D85B75">
      <w:pPr>
        <w:pStyle w:val="FootnoteText"/>
        <w:rPr>
          <w:rFonts w:ascii="Times New Roman" w:hAnsi="Times New Roman"/>
          <w:sz w:val="17"/>
          <w:szCs w:val="17"/>
          <w:lang w:val="en-GB"/>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w:t>
      </w:r>
      <w:r w:rsidRPr="00243D3B">
        <w:rPr>
          <w:rFonts w:ascii="Times New Roman" w:hAnsi="Times New Roman"/>
          <w:sz w:val="17"/>
          <w:szCs w:val="17"/>
          <w:lang w:val="en-GB"/>
        </w:rPr>
        <w:t>1- To a small extent; 2- To a moderate extent; 3- To a large extent.</w:t>
      </w:r>
    </w:p>
  </w:footnote>
  <w:footnote w:id="36">
    <w:p w:rsidR="00343264" w:rsidRPr="00243D3B" w:rsidRDefault="00343264" w:rsidP="00D85B75">
      <w:pPr>
        <w:pStyle w:val="FootnoteText"/>
        <w:rPr>
          <w:rFonts w:ascii="Times New Roman" w:hAnsi="Times New Roman"/>
          <w:sz w:val="17"/>
          <w:szCs w:val="17"/>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1 National strategy is partially aligned; 2 National strategy is substantially aligned; 3 National strategy is fully aligned.</w:t>
      </w:r>
    </w:p>
  </w:footnote>
  <w:footnote w:id="37">
    <w:p w:rsidR="00343264" w:rsidRPr="00243D3B" w:rsidRDefault="00343264">
      <w:pPr>
        <w:pStyle w:val="FootnoteText"/>
        <w:rPr>
          <w:rFonts w:ascii="Times New Roman" w:hAnsi="Times New Roman"/>
          <w:sz w:val="17"/>
          <w:szCs w:val="17"/>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As measured by the Rwanda Reconciliation Barometer. </w:t>
      </w:r>
    </w:p>
  </w:footnote>
  <w:footnote w:id="38">
    <w:p w:rsidR="00343264" w:rsidRPr="00243D3B" w:rsidRDefault="00343264">
      <w:pPr>
        <w:pStyle w:val="FootnoteText"/>
        <w:rPr>
          <w:rFonts w:ascii="Times New Roman" w:hAnsi="Times New Roman"/>
          <w:sz w:val="17"/>
          <w:szCs w:val="17"/>
        </w:rPr>
      </w:pPr>
      <w:r w:rsidRPr="00243D3B">
        <w:rPr>
          <w:rStyle w:val="FootnoteReference"/>
          <w:rFonts w:ascii="Times New Roman" w:hAnsi="Times New Roman"/>
          <w:sz w:val="17"/>
          <w:szCs w:val="17"/>
        </w:rPr>
        <w:footnoteRef/>
      </w:r>
      <w:r w:rsidRPr="00243D3B">
        <w:rPr>
          <w:rFonts w:ascii="Times New Roman" w:hAnsi="Times New Roman"/>
          <w:sz w:val="17"/>
          <w:szCs w:val="17"/>
        </w:rPr>
        <w:t xml:space="preserve"> Projected reduction in the rate of crimes reported, assuming effectiveness of community policing initiatives.  </w:t>
      </w:r>
    </w:p>
  </w:footnote>
  <w:footnote w:id="39">
    <w:p w:rsidR="00343264" w:rsidRPr="00390B08" w:rsidRDefault="00343264" w:rsidP="00D85B75">
      <w:pPr>
        <w:pStyle w:val="FootnoteText"/>
        <w:rPr>
          <w:rFonts w:ascii="Times New Roman" w:hAnsi="Times New Roman"/>
          <w:sz w:val="17"/>
          <w:szCs w:val="17"/>
        </w:rPr>
      </w:pPr>
      <w:r w:rsidRPr="00390B08">
        <w:rPr>
          <w:rStyle w:val="FootnoteReference"/>
          <w:rFonts w:ascii="Times New Roman" w:hAnsi="Times New Roman"/>
          <w:sz w:val="17"/>
          <w:szCs w:val="17"/>
        </w:rPr>
        <w:footnoteRef/>
      </w:r>
      <w:r w:rsidRPr="00390B08">
        <w:rPr>
          <w:rFonts w:ascii="Times New Roman" w:hAnsi="Times New Roman"/>
          <w:sz w:val="17"/>
          <w:szCs w:val="17"/>
        </w:rPr>
        <w:t xml:space="preserve"> 1 – limited extent; 2 – to some extent; 3 – to a large extent.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Pr="003C26C1" w:rsidRDefault="00343264" w:rsidP="00A24133">
    <w:pPr>
      <w:pStyle w:val="Header"/>
      <w:jc w:val="center"/>
      <w:rPr>
        <w:rFonts w:ascii="Times New Roman" w:hAnsi="Times New Roman"/>
        <w:sz w:val="18"/>
        <w:lang w:val="en-US"/>
      </w:rPr>
    </w:pPr>
    <w:r w:rsidRPr="003C26C1">
      <w:rPr>
        <w:rFonts w:ascii="Times New Roman" w:hAnsi="Times New Roman"/>
        <w:b/>
        <w:sz w:val="18"/>
        <w:lang w:val="en-US"/>
      </w:rPr>
      <w:t>Dat</w:t>
    </w:r>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December 2016</w:t>
    </w:r>
  </w:p>
  <w:p w:rsidR="00343264" w:rsidRPr="00FB6D3A" w:rsidRDefault="00343264" w:rsidP="00A24133">
    <w:pPr>
      <w:pStyle w:val="Header"/>
      <w:jc w:val="center"/>
      <w:rPr>
        <w:rFonts w:ascii="Times New Roman" w:hAnsi="Times New Roman"/>
        <w:sz w:val="18"/>
        <w:lang w:val="en-US"/>
      </w:rPr>
    </w:pPr>
    <w:r w:rsidRPr="003C26C1">
      <w:rPr>
        <w:rFonts w:ascii="Times New Roman" w:hAnsi="Times New Roman"/>
        <w:b/>
        <w:sz w:val="18"/>
        <w:lang w:val="en-US"/>
      </w:rPr>
      <w:t>Version and status:</w:t>
    </w:r>
    <w:r w:rsidRPr="003C26C1">
      <w:rPr>
        <w:rFonts w:ascii="Times New Roman" w:hAnsi="Times New Roman"/>
        <w:sz w:val="18"/>
        <w:lang w:val="en-US"/>
      </w:rPr>
      <w:t xml:space="preserve"> Revised based on Executive Board decision 2014/7 and for adoption for submissions to the </w:t>
    </w:r>
    <w:r>
      <w:rPr>
        <w:rFonts w:ascii="Times New Roman" w:hAnsi="Times New Roman"/>
        <w:sz w:val="18"/>
        <w:lang w:val="en-US"/>
      </w:rPr>
      <w:t>September 2017</w:t>
    </w:r>
    <w:r w:rsidRPr="003C26C1">
      <w:rPr>
        <w:rFonts w:ascii="Times New Roman" w:hAnsi="Times New Roman"/>
        <w:sz w:val="18"/>
        <w:lang w:val="en-US"/>
      </w:rPr>
      <w:t xml:space="preserve"> session of the Executive Board onwards)</w:t>
    </w:r>
  </w:p>
  <w:p w:rsidR="00343264" w:rsidRDefault="00343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43264" w:rsidRPr="005841A3" w:rsidTr="00D6679C">
      <w:trPr>
        <w:trHeight w:hRule="exact" w:val="80"/>
      </w:trPr>
      <w:tc>
        <w:tcPr>
          <w:tcW w:w="4838" w:type="dxa"/>
          <w:tcBorders>
            <w:bottom w:val="single" w:sz="4" w:space="0" w:color="auto"/>
          </w:tcBorders>
          <w:vAlign w:val="bottom"/>
        </w:tcPr>
        <w:p w:rsidR="00343264" w:rsidRPr="007C6F85" w:rsidRDefault="00343264"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rsidR="00343264" w:rsidRPr="007C6F85" w:rsidRDefault="00343264"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rsidR="00343264" w:rsidRPr="00916E69" w:rsidRDefault="0034326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43264">
      <w:trPr>
        <w:trHeight w:hRule="exact" w:val="864"/>
      </w:trPr>
      <w:tc>
        <w:tcPr>
          <w:tcW w:w="1267" w:type="dxa"/>
          <w:tcBorders>
            <w:top w:val="nil"/>
            <w:left w:val="nil"/>
            <w:bottom w:val="nil"/>
            <w:right w:val="nil"/>
          </w:tcBorders>
          <w:vAlign w:val="bottom"/>
        </w:tcPr>
        <w:p w:rsidR="00343264" w:rsidRPr="007C6F85" w:rsidRDefault="00343264">
          <w:pPr>
            <w:pStyle w:val="Header"/>
            <w:spacing w:after="120"/>
            <w:rPr>
              <w:lang w:val="en-US" w:eastAsia="en-US"/>
            </w:rPr>
          </w:pPr>
        </w:p>
      </w:tc>
      <w:tc>
        <w:tcPr>
          <w:tcW w:w="1872" w:type="dxa"/>
          <w:tcBorders>
            <w:top w:val="nil"/>
            <w:left w:val="nil"/>
            <w:bottom w:val="nil"/>
            <w:right w:val="nil"/>
          </w:tcBorders>
          <w:vAlign w:val="bottom"/>
        </w:tcPr>
        <w:p w:rsidR="00343264" w:rsidRDefault="0034326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343264" w:rsidRPr="007C6F85" w:rsidRDefault="00343264">
          <w:pPr>
            <w:pStyle w:val="Header"/>
            <w:spacing w:after="120"/>
            <w:rPr>
              <w:lang w:val="en-US" w:eastAsia="en-US"/>
            </w:rPr>
          </w:pPr>
        </w:p>
      </w:tc>
      <w:tc>
        <w:tcPr>
          <w:tcW w:w="6876" w:type="dxa"/>
          <w:gridSpan w:val="3"/>
          <w:tcBorders>
            <w:top w:val="nil"/>
            <w:left w:val="nil"/>
            <w:bottom w:val="nil"/>
            <w:right w:val="nil"/>
          </w:tcBorders>
          <w:vAlign w:val="bottom"/>
        </w:tcPr>
        <w:p w:rsidR="00343264" w:rsidRDefault="00343264" w:rsidP="00441061">
          <w:pPr>
            <w:spacing w:after="80"/>
            <w:jc w:val="center"/>
            <w:rPr>
              <w:position w:val="-4"/>
            </w:rPr>
          </w:pPr>
          <w:r>
            <w:rPr>
              <w:position w:val="-4"/>
              <w:sz w:val="40"/>
            </w:rPr>
            <w:t xml:space="preserve">                         DP</w:t>
          </w:r>
          <w:r>
            <w:rPr>
              <w:position w:val="-4"/>
            </w:rPr>
            <w:t>/DCP/RWA/2</w:t>
          </w:r>
        </w:p>
      </w:tc>
    </w:tr>
    <w:tr w:rsidR="00343264" w:rsidTr="00AB4CF3">
      <w:trPr>
        <w:trHeight w:hRule="exact" w:val="1936"/>
      </w:trPr>
      <w:tc>
        <w:tcPr>
          <w:tcW w:w="1267" w:type="dxa"/>
          <w:tcBorders>
            <w:top w:val="single" w:sz="4" w:space="0" w:color="auto"/>
            <w:left w:val="nil"/>
            <w:bottom w:val="single" w:sz="12" w:space="0" w:color="auto"/>
            <w:right w:val="nil"/>
          </w:tcBorders>
        </w:tcPr>
        <w:p w:rsidR="00343264" w:rsidRPr="007C6F85" w:rsidRDefault="0034326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1D348878" wp14:editId="03643126">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rsidR="00343264" w:rsidRPr="007C6F85" w:rsidRDefault="0034326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rsidR="00343264" w:rsidRDefault="0034326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shd w:val="clear" w:color="auto" w:fill="auto"/>
        </w:tcPr>
        <w:p w:rsidR="00343264" w:rsidRPr="00AB4CF3" w:rsidRDefault="00343264">
          <w:pPr>
            <w:pStyle w:val="Header"/>
            <w:spacing w:before="109"/>
            <w:rPr>
              <w:lang w:val="en-US" w:eastAsia="en-US"/>
            </w:rPr>
          </w:pPr>
        </w:p>
      </w:tc>
      <w:tc>
        <w:tcPr>
          <w:tcW w:w="3521" w:type="dxa"/>
          <w:tcBorders>
            <w:top w:val="single" w:sz="4" w:space="0" w:color="auto"/>
            <w:left w:val="nil"/>
            <w:bottom w:val="single" w:sz="12" w:space="0" w:color="auto"/>
            <w:right w:val="nil"/>
          </w:tcBorders>
          <w:shd w:val="clear" w:color="auto" w:fill="auto"/>
        </w:tcPr>
        <w:p w:rsidR="00343264" w:rsidRPr="00AB4CF3" w:rsidRDefault="00343264">
          <w:pPr>
            <w:spacing w:before="240"/>
          </w:pPr>
          <w:r w:rsidRPr="00AB4CF3">
            <w:t>Distr.: General</w:t>
          </w:r>
        </w:p>
        <w:p w:rsidR="00343264" w:rsidRPr="00AB4CF3" w:rsidRDefault="00343264" w:rsidP="00441061">
          <w:r>
            <w:t>12 March 2018</w:t>
          </w:r>
        </w:p>
        <w:p w:rsidR="00343264" w:rsidRPr="00AB4CF3" w:rsidRDefault="00343264"/>
        <w:p w:rsidR="00343264" w:rsidRPr="00AB4CF3" w:rsidRDefault="00343264">
          <w:r w:rsidRPr="00AB4CF3">
            <w:t>Original: English</w:t>
          </w:r>
        </w:p>
      </w:tc>
    </w:tr>
  </w:tbl>
  <w:p w:rsidR="00343264" w:rsidRDefault="0034326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43264" w:rsidRPr="00CE68BD" w:rsidTr="00F46781">
      <w:trPr>
        <w:trHeight w:hRule="exact" w:val="864"/>
      </w:trPr>
      <w:tc>
        <w:tcPr>
          <w:tcW w:w="4838" w:type="dxa"/>
          <w:tcBorders>
            <w:bottom w:val="single" w:sz="4" w:space="0" w:color="auto"/>
          </w:tcBorders>
          <w:vAlign w:val="bottom"/>
        </w:tcPr>
        <w:p w:rsidR="00343264" w:rsidRPr="00CE68BD" w:rsidRDefault="00343264" w:rsidP="00F46781">
          <w:pPr>
            <w:widowControl w:val="0"/>
            <w:tabs>
              <w:tab w:val="center" w:pos="4320"/>
              <w:tab w:val="right" w:pos="8640"/>
            </w:tabs>
            <w:spacing w:after="80"/>
            <w:ind w:left="-1838" w:firstLine="1838"/>
            <w:rPr>
              <w:b/>
              <w:sz w:val="17"/>
              <w:szCs w:val="17"/>
            </w:rPr>
          </w:pPr>
          <w:r>
            <w:rPr>
              <w:b/>
              <w:sz w:val="17"/>
              <w:szCs w:val="17"/>
            </w:rPr>
            <w:t>DP/DCP/RWA</w:t>
          </w:r>
          <w:r w:rsidRPr="009962BD">
            <w:rPr>
              <w:b/>
              <w:sz w:val="17"/>
              <w:szCs w:val="17"/>
            </w:rPr>
            <w:t>/</w:t>
          </w:r>
          <w:r>
            <w:rPr>
              <w:b/>
              <w:sz w:val="17"/>
              <w:szCs w:val="17"/>
            </w:rPr>
            <w:t>2</w:t>
          </w:r>
        </w:p>
      </w:tc>
      <w:tc>
        <w:tcPr>
          <w:tcW w:w="5047" w:type="dxa"/>
          <w:tcBorders>
            <w:bottom w:val="single" w:sz="4" w:space="0" w:color="auto"/>
          </w:tcBorders>
          <w:vAlign w:val="bottom"/>
        </w:tcPr>
        <w:p w:rsidR="00343264" w:rsidRPr="00CE68BD" w:rsidRDefault="00343264" w:rsidP="00F46781">
          <w:pPr>
            <w:widowControl w:val="0"/>
            <w:tabs>
              <w:tab w:val="center" w:pos="4320"/>
              <w:tab w:val="right" w:pos="8640"/>
            </w:tabs>
            <w:rPr>
              <w:sz w:val="17"/>
              <w:szCs w:val="17"/>
            </w:rPr>
          </w:pPr>
        </w:p>
      </w:tc>
    </w:tr>
  </w:tbl>
  <w:p w:rsidR="00343264" w:rsidRPr="00AE2876" w:rsidRDefault="00343264" w:rsidP="00F46781">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43264" w:rsidRPr="009962BD" w:rsidTr="00F46781">
      <w:trPr>
        <w:trHeight w:hRule="exact" w:val="864"/>
      </w:trPr>
      <w:tc>
        <w:tcPr>
          <w:tcW w:w="4838" w:type="dxa"/>
          <w:tcBorders>
            <w:bottom w:val="single" w:sz="4" w:space="0" w:color="auto"/>
          </w:tcBorders>
          <w:vAlign w:val="bottom"/>
        </w:tcPr>
        <w:p w:rsidR="00343264" w:rsidRPr="001457AA" w:rsidRDefault="00343264" w:rsidP="00F46781">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343264" w:rsidRPr="009962BD" w:rsidRDefault="00343264" w:rsidP="00F46781">
          <w:pPr>
            <w:widowControl w:val="0"/>
            <w:tabs>
              <w:tab w:val="center" w:pos="4320"/>
              <w:tab w:val="right" w:pos="8640"/>
            </w:tabs>
            <w:jc w:val="right"/>
            <w:rPr>
              <w:sz w:val="17"/>
              <w:szCs w:val="17"/>
            </w:rPr>
          </w:pPr>
          <w:r>
            <w:rPr>
              <w:b/>
              <w:sz w:val="17"/>
              <w:szCs w:val="17"/>
            </w:rPr>
            <w:t>DP/DCP/RWA</w:t>
          </w:r>
          <w:r w:rsidRPr="009962BD">
            <w:rPr>
              <w:b/>
              <w:sz w:val="17"/>
              <w:szCs w:val="17"/>
            </w:rPr>
            <w:t>/</w:t>
          </w:r>
          <w:r>
            <w:rPr>
              <w:b/>
              <w:sz w:val="17"/>
              <w:szCs w:val="17"/>
            </w:rPr>
            <w:t>2</w:t>
          </w:r>
        </w:p>
      </w:tc>
    </w:tr>
  </w:tbl>
  <w:p w:rsidR="00343264" w:rsidRPr="00AE2876" w:rsidRDefault="00343264" w:rsidP="00F46781">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2" w:type="dxa"/>
      <w:tblLayout w:type="fixed"/>
      <w:tblCellMar>
        <w:left w:w="0" w:type="dxa"/>
        <w:right w:w="0" w:type="dxa"/>
      </w:tblCellMar>
      <w:tblLook w:val="0000" w:firstRow="0" w:lastRow="0" w:firstColumn="0" w:lastColumn="0" w:noHBand="0" w:noVBand="0"/>
    </w:tblPr>
    <w:tblGrid>
      <w:gridCol w:w="1710"/>
      <w:gridCol w:w="1429"/>
      <w:gridCol w:w="20"/>
      <w:gridCol w:w="6523"/>
    </w:tblGrid>
    <w:tr w:rsidR="00343264" w:rsidRPr="00D62EAC" w:rsidTr="00B347ED">
      <w:trPr>
        <w:trHeight w:hRule="exact" w:val="864"/>
      </w:trPr>
      <w:tc>
        <w:tcPr>
          <w:tcW w:w="1710" w:type="dxa"/>
          <w:tcBorders>
            <w:bottom w:val="single" w:sz="4" w:space="0" w:color="auto"/>
          </w:tcBorders>
          <w:shd w:val="clear" w:color="auto" w:fill="auto"/>
          <w:vAlign w:val="bottom"/>
        </w:tcPr>
        <w:p w:rsidR="00343264" w:rsidRPr="00D62EAC" w:rsidRDefault="00343264" w:rsidP="00D62EAC">
          <w:pPr>
            <w:tabs>
              <w:tab w:val="center" w:pos="4320"/>
              <w:tab w:val="right" w:pos="8640"/>
            </w:tabs>
            <w:rPr>
              <w:b/>
              <w:noProof/>
              <w:sz w:val="17"/>
              <w:szCs w:val="17"/>
            </w:rPr>
          </w:pPr>
          <w:r w:rsidRPr="00D62EAC">
            <w:rPr>
              <w:b/>
              <w:spacing w:val="4"/>
              <w:w w:val="103"/>
              <w:kern w:val="14"/>
              <w:position w:val="-4"/>
              <w:sz w:val="17"/>
              <w:szCs w:val="17"/>
              <w:lang w:val="en-GB"/>
            </w:rPr>
            <w:t>DP/DCP/RWA/</w:t>
          </w:r>
          <w:r>
            <w:rPr>
              <w:b/>
              <w:spacing w:val="4"/>
              <w:w w:val="103"/>
              <w:kern w:val="14"/>
              <w:position w:val="-4"/>
              <w:sz w:val="17"/>
              <w:szCs w:val="17"/>
              <w:lang w:val="en-GB"/>
            </w:rPr>
            <w:t>2</w:t>
          </w:r>
        </w:p>
      </w:tc>
      <w:tc>
        <w:tcPr>
          <w:tcW w:w="1429" w:type="dxa"/>
          <w:tcBorders>
            <w:bottom w:val="single" w:sz="4" w:space="0" w:color="auto"/>
          </w:tcBorders>
          <w:shd w:val="clear" w:color="auto" w:fill="auto"/>
          <w:vAlign w:val="bottom"/>
        </w:tcPr>
        <w:p w:rsidR="00343264" w:rsidRPr="00D62EAC" w:rsidRDefault="00343264" w:rsidP="00D62EA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b/>
              <w:spacing w:val="2"/>
              <w:w w:val="96"/>
              <w:kern w:val="14"/>
              <w:sz w:val="17"/>
              <w:szCs w:val="17"/>
              <w:lang w:val="en-GB"/>
            </w:rPr>
          </w:pPr>
        </w:p>
      </w:tc>
      <w:tc>
        <w:tcPr>
          <w:tcW w:w="20" w:type="dxa"/>
          <w:tcBorders>
            <w:bottom w:val="single" w:sz="4" w:space="0" w:color="auto"/>
          </w:tcBorders>
          <w:shd w:val="clear" w:color="auto" w:fill="auto"/>
          <w:vAlign w:val="bottom"/>
        </w:tcPr>
        <w:p w:rsidR="00343264" w:rsidRPr="00D62EAC" w:rsidRDefault="00343264" w:rsidP="00D62EAC">
          <w:pPr>
            <w:tabs>
              <w:tab w:val="center" w:pos="4320"/>
              <w:tab w:val="right" w:pos="8640"/>
            </w:tabs>
            <w:ind w:left="-1788" w:right="995"/>
            <w:rPr>
              <w:b/>
              <w:noProof/>
              <w:sz w:val="17"/>
              <w:szCs w:val="17"/>
            </w:rPr>
          </w:pPr>
        </w:p>
      </w:tc>
      <w:tc>
        <w:tcPr>
          <w:tcW w:w="6523" w:type="dxa"/>
          <w:tcBorders>
            <w:bottom w:val="single" w:sz="4" w:space="0" w:color="auto"/>
          </w:tcBorders>
          <w:shd w:val="clear" w:color="auto" w:fill="auto"/>
          <w:vAlign w:val="bottom"/>
        </w:tcPr>
        <w:p w:rsidR="00343264" w:rsidRPr="00D62EAC" w:rsidRDefault="00343264" w:rsidP="00D62EAC">
          <w:pPr>
            <w:suppressAutoHyphens/>
            <w:ind w:left="-735" w:firstLine="735"/>
            <w:rPr>
              <w:b/>
              <w:spacing w:val="4"/>
              <w:w w:val="103"/>
              <w:kern w:val="14"/>
              <w:position w:val="-4"/>
              <w:sz w:val="17"/>
              <w:szCs w:val="17"/>
              <w:lang w:val="en-GB"/>
            </w:rPr>
          </w:pPr>
        </w:p>
      </w:tc>
    </w:tr>
  </w:tbl>
  <w:p w:rsidR="00343264" w:rsidRPr="00C8562A" w:rsidRDefault="0034326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64" w:rsidRDefault="00343264">
    <w:pPr>
      <w:pStyle w:val="Header"/>
    </w:pPr>
    <w:r>
      <w:rPr>
        <w:noProof/>
        <w:lang w:val="en-US" w:eastAsia="en-US"/>
      </w:rPr>
      <mc:AlternateContent>
        <mc:Choice Requires="wps">
          <w:drawing>
            <wp:anchor distT="0" distB="0" distL="114300" distR="114300" simplePos="0" relativeHeight="251657216" behindDoc="0" locked="0" layoutInCell="0" allowOverlap="1" wp14:anchorId="35BE3235" wp14:editId="5C98E5F5">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43264" w:rsidRPr="005841A3">
                            <w:trPr>
                              <w:trHeight w:hRule="exact" w:val="864"/>
                            </w:trPr>
                            <w:tc>
                              <w:tcPr>
                                <w:tcW w:w="4838" w:type="dxa"/>
                                <w:tcBorders>
                                  <w:bottom w:val="single" w:sz="4" w:space="0" w:color="auto"/>
                                </w:tcBorders>
                                <w:vAlign w:val="bottom"/>
                              </w:tcPr>
                              <w:p w:rsidR="00343264" w:rsidRPr="007C6F85" w:rsidRDefault="0034326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RWA/2</w:t>
                                </w:r>
                              </w:p>
                            </w:tc>
                            <w:tc>
                              <w:tcPr>
                                <w:tcW w:w="8276" w:type="dxa"/>
                                <w:tcBorders>
                                  <w:bottom w:val="single" w:sz="4" w:space="0" w:color="auto"/>
                                </w:tcBorders>
                                <w:vAlign w:val="bottom"/>
                              </w:tcPr>
                              <w:p w:rsidR="00343264" w:rsidRPr="007C6F85" w:rsidRDefault="00343264">
                                <w:pPr>
                                  <w:pStyle w:val="Header"/>
                                  <w:rPr>
                                    <w:rFonts w:ascii="Times New Roman" w:hAnsi="Times New Roman"/>
                                    <w:sz w:val="17"/>
                                    <w:szCs w:val="17"/>
                                    <w:lang w:val="en-US" w:eastAsia="en-US"/>
                                  </w:rPr>
                                </w:pPr>
                              </w:p>
                            </w:tc>
                          </w:tr>
                        </w:tbl>
                        <w:p w:rsidR="00343264" w:rsidRDefault="0034326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BE3235"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43264" w:rsidRPr="005841A3">
                      <w:trPr>
                        <w:trHeight w:hRule="exact" w:val="864"/>
                      </w:trPr>
                      <w:tc>
                        <w:tcPr>
                          <w:tcW w:w="4838" w:type="dxa"/>
                          <w:tcBorders>
                            <w:bottom w:val="single" w:sz="4" w:space="0" w:color="auto"/>
                          </w:tcBorders>
                          <w:vAlign w:val="bottom"/>
                        </w:tcPr>
                        <w:p w:rsidR="00343264" w:rsidRPr="007C6F85" w:rsidRDefault="0034326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RWA/2</w:t>
                          </w:r>
                        </w:p>
                      </w:tc>
                      <w:tc>
                        <w:tcPr>
                          <w:tcW w:w="8276" w:type="dxa"/>
                          <w:tcBorders>
                            <w:bottom w:val="single" w:sz="4" w:space="0" w:color="auto"/>
                          </w:tcBorders>
                          <w:vAlign w:val="bottom"/>
                        </w:tcPr>
                        <w:p w:rsidR="00343264" w:rsidRPr="007C6F85" w:rsidRDefault="00343264">
                          <w:pPr>
                            <w:pStyle w:val="Header"/>
                            <w:rPr>
                              <w:rFonts w:ascii="Times New Roman" w:hAnsi="Times New Roman"/>
                              <w:sz w:val="17"/>
                              <w:szCs w:val="17"/>
                              <w:lang w:val="en-US" w:eastAsia="en-US"/>
                            </w:rPr>
                          </w:pPr>
                        </w:p>
                      </w:tc>
                    </w:tr>
                  </w:tbl>
                  <w:p w:rsidR="00343264" w:rsidRDefault="00343264"/>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7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343264" w:rsidRPr="009962BD" w:rsidTr="0017292C">
      <w:trPr>
        <w:trHeight w:hRule="exact" w:val="864"/>
      </w:trPr>
      <w:tc>
        <w:tcPr>
          <w:tcW w:w="4838" w:type="dxa"/>
          <w:tcBorders>
            <w:bottom w:val="single" w:sz="4" w:space="0" w:color="auto"/>
          </w:tcBorders>
          <w:vAlign w:val="bottom"/>
        </w:tcPr>
        <w:p w:rsidR="00343264" w:rsidRPr="001457AA" w:rsidRDefault="00343264" w:rsidP="0017292C">
          <w:pPr>
            <w:widowControl w:val="0"/>
            <w:tabs>
              <w:tab w:val="center" w:pos="4320"/>
              <w:tab w:val="right" w:pos="8640"/>
            </w:tabs>
            <w:spacing w:after="80"/>
            <w:ind w:left="-450"/>
            <w:rPr>
              <w:b/>
              <w:sz w:val="17"/>
              <w:szCs w:val="17"/>
            </w:rPr>
          </w:pPr>
        </w:p>
      </w:tc>
      <w:tc>
        <w:tcPr>
          <w:tcW w:w="8932" w:type="dxa"/>
          <w:tcBorders>
            <w:bottom w:val="single" w:sz="4" w:space="0" w:color="auto"/>
          </w:tcBorders>
          <w:vAlign w:val="bottom"/>
        </w:tcPr>
        <w:p w:rsidR="00343264" w:rsidRPr="009962BD" w:rsidRDefault="00343264" w:rsidP="00F46781">
          <w:pPr>
            <w:widowControl w:val="0"/>
            <w:tabs>
              <w:tab w:val="center" w:pos="4320"/>
              <w:tab w:val="right" w:pos="8640"/>
            </w:tabs>
            <w:jc w:val="right"/>
            <w:rPr>
              <w:sz w:val="17"/>
              <w:szCs w:val="17"/>
            </w:rPr>
          </w:pPr>
          <w:r>
            <w:rPr>
              <w:b/>
              <w:sz w:val="17"/>
              <w:szCs w:val="17"/>
            </w:rPr>
            <w:t>DP/DCP/RWA</w:t>
          </w:r>
          <w:r w:rsidRPr="009962BD">
            <w:rPr>
              <w:b/>
              <w:sz w:val="17"/>
              <w:szCs w:val="17"/>
            </w:rPr>
            <w:t>/</w:t>
          </w:r>
          <w:r>
            <w:rPr>
              <w:b/>
              <w:sz w:val="17"/>
              <w:szCs w:val="17"/>
            </w:rPr>
            <w:t>2</w:t>
          </w:r>
        </w:p>
      </w:tc>
    </w:tr>
  </w:tbl>
  <w:p w:rsidR="00343264" w:rsidRPr="00AE2876" w:rsidRDefault="00343264" w:rsidP="00F4678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153"/>
    <w:multiLevelType w:val="hybridMultilevel"/>
    <w:tmpl w:val="646E2446"/>
    <w:lvl w:ilvl="0" w:tplc="8E1E9B86">
      <w:start w:val="1"/>
      <w:numFmt w:val="decimal"/>
      <w:lvlText w:val="%1."/>
      <w:lvlJc w:val="left"/>
      <w:pPr>
        <w:tabs>
          <w:tab w:val="num" w:pos="2240"/>
        </w:tabs>
        <w:ind w:left="2336" w:hanging="360"/>
      </w:pPr>
      <w:rPr>
        <w:rFonts w:hint="default"/>
        <w:color w:val="auto"/>
        <w:sz w:val="20"/>
        <w:szCs w:val="20"/>
      </w:rPr>
    </w:lvl>
    <w:lvl w:ilvl="1" w:tplc="04090019" w:tentative="1">
      <w:start w:val="1"/>
      <w:numFmt w:val="lowerLetter"/>
      <w:lvlText w:val="%2."/>
      <w:lvlJc w:val="left"/>
      <w:pPr>
        <w:ind w:left="3056" w:hanging="360"/>
      </w:pPr>
    </w:lvl>
    <w:lvl w:ilvl="2" w:tplc="0409001B" w:tentative="1">
      <w:start w:val="1"/>
      <w:numFmt w:val="lowerRoman"/>
      <w:lvlText w:val="%3."/>
      <w:lvlJc w:val="right"/>
      <w:pPr>
        <w:ind w:left="3776" w:hanging="180"/>
      </w:pPr>
    </w:lvl>
    <w:lvl w:ilvl="3" w:tplc="0409000F" w:tentative="1">
      <w:start w:val="1"/>
      <w:numFmt w:val="decimal"/>
      <w:lvlText w:val="%4."/>
      <w:lvlJc w:val="left"/>
      <w:pPr>
        <w:ind w:left="4496" w:hanging="360"/>
      </w:pPr>
    </w:lvl>
    <w:lvl w:ilvl="4" w:tplc="04090019" w:tentative="1">
      <w:start w:val="1"/>
      <w:numFmt w:val="lowerLetter"/>
      <w:lvlText w:val="%5."/>
      <w:lvlJc w:val="left"/>
      <w:pPr>
        <w:ind w:left="5216" w:hanging="360"/>
      </w:pPr>
    </w:lvl>
    <w:lvl w:ilvl="5" w:tplc="0409001B" w:tentative="1">
      <w:start w:val="1"/>
      <w:numFmt w:val="lowerRoman"/>
      <w:lvlText w:val="%6."/>
      <w:lvlJc w:val="right"/>
      <w:pPr>
        <w:ind w:left="5936" w:hanging="180"/>
      </w:pPr>
    </w:lvl>
    <w:lvl w:ilvl="6" w:tplc="0409000F" w:tentative="1">
      <w:start w:val="1"/>
      <w:numFmt w:val="decimal"/>
      <w:lvlText w:val="%7."/>
      <w:lvlJc w:val="left"/>
      <w:pPr>
        <w:ind w:left="6656" w:hanging="360"/>
      </w:pPr>
    </w:lvl>
    <w:lvl w:ilvl="7" w:tplc="04090019" w:tentative="1">
      <w:start w:val="1"/>
      <w:numFmt w:val="lowerLetter"/>
      <w:lvlText w:val="%8."/>
      <w:lvlJc w:val="left"/>
      <w:pPr>
        <w:ind w:left="7376" w:hanging="360"/>
      </w:pPr>
    </w:lvl>
    <w:lvl w:ilvl="8" w:tplc="0409001B" w:tentative="1">
      <w:start w:val="1"/>
      <w:numFmt w:val="lowerRoman"/>
      <w:lvlText w:val="%9."/>
      <w:lvlJc w:val="right"/>
      <w:pPr>
        <w:ind w:left="8096" w:hanging="180"/>
      </w:pPr>
    </w:lvl>
  </w:abstractNum>
  <w:abstractNum w:abstractNumId="1" w15:restartNumberingAfterBreak="0">
    <w:nsid w:val="10E66E71"/>
    <w:multiLevelType w:val="hybridMultilevel"/>
    <w:tmpl w:val="F79847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C7BDC"/>
    <w:multiLevelType w:val="hybridMultilevel"/>
    <w:tmpl w:val="31B07964"/>
    <w:lvl w:ilvl="0" w:tplc="5A44672E">
      <w:start w:val="1"/>
      <w:numFmt w:val="decimal"/>
      <w:lvlText w:val="%1."/>
      <w:lvlJc w:val="left"/>
      <w:pPr>
        <w:ind w:left="108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009108B"/>
    <w:multiLevelType w:val="hybridMultilevel"/>
    <w:tmpl w:val="8EA61020"/>
    <w:lvl w:ilvl="0" w:tplc="C712B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976374"/>
    <w:multiLevelType w:val="hybridMultilevel"/>
    <w:tmpl w:val="49F6F9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36F"/>
    <w:rsid w:val="000027D2"/>
    <w:rsid w:val="00005E26"/>
    <w:rsid w:val="000104ED"/>
    <w:rsid w:val="00011832"/>
    <w:rsid w:val="00011AB6"/>
    <w:rsid w:val="0001309E"/>
    <w:rsid w:val="00015FDE"/>
    <w:rsid w:val="00016217"/>
    <w:rsid w:val="00016861"/>
    <w:rsid w:val="000200CF"/>
    <w:rsid w:val="000205F1"/>
    <w:rsid w:val="00022047"/>
    <w:rsid w:val="00026FA0"/>
    <w:rsid w:val="000274B9"/>
    <w:rsid w:val="0002758B"/>
    <w:rsid w:val="000276A0"/>
    <w:rsid w:val="000330DB"/>
    <w:rsid w:val="0003429F"/>
    <w:rsid w:val="0003562A"/>
    <w:rsid w:val="00036095"/>
    <w:rsid w:val="00036AF4"/>
    <w:rsid w:val="00041C10"/>
    <w:rsid w:val="00043804"/>
    <w:rsid w:val="000441A1"/>
    <w:rsid w:val="00050869"/>
    <w:rsid w:val="000561C1"/>
    <w:rsid w:val="00056204"/>
    <w:rsid w:val="000570D1"/>
    <w:rsid w:val="000571A9"/>
    <w:rsid w:val="00060290"/>
    <w:rsid w:val="00063E24"/>
    <w:rsid w:val="00066847"/>
    <w:rsid w:val="0006756E"/>
    <w:rsid w:val="00071D91"/>
    <w:rsid w:val="00072229"/>
    <w:rsid w:val="00073CF1"/>
    <w:rsid w:val="00074BD0"/>
    <w:rsid w:val="00074D9A"/>
    <w:rsid w:val="00074DB9"/>
    <w:rsid w:val="000753C4"/>
    <w:rsid w:val="00075DF0"/>
    <w:rsid w:val="000762CA"/>
    <w:rsid w:val="00076424"/>
    <w:rsid w:val="000803A4"/>
    <w:rsid w:val="000806E3"/>
    <w:rsid w:val="0008339E"/>
    <w:rsid w:val="00090AD1"/>
    <w:rsid w:val="00090F4F"/>
    <w:rsid w:val="00091476"/>
    <w:rsid w:val="00092879"/>
    <w:rsid w:val="00094E87"/>
    <w:rsid w:val="00097FB2"/>
    <w:rsid w:val="000A151D"/>
    <w:rsid w:val="000A24C5"/>
    <w:rsid w:val="000A3F7F"/>
    <w:rsid w:val="000A70FC"/>
    <w:rsid w:val="000B3A13"/>
    <w:rsid w:val="000B4BB2"/>
    <w:rsid w:val="000B6379"/>
    <w:rsid w:val="000C76B0"/>
    <w:rsid w:val="000C7BBE"/>
    <w:rsid w:val="000D2475"/>
    <w:rsid w:val="000D263F"/>
    <w:rsid w:val="000D442C"/>
    <w:rsid w:val="000D4DC4"/>
    <w:rsid w:val="000E5E21"/>
    <w:rsid w:val="000E612D"/>
    <w:rsid w:val="000E64DD"/>
    <w:rsid w:val="000E6AB1"/>
    <w:rsid w:val="000E745A"/>
    <w:rsid w:val="000E7E9E"/>
    <w:rsid w:val="000F0044"/>
    <w:rsid w:val="000F23D6"/>
    <w:rsid w:val="000F5541"/>
    <w:rsid w:val="000F703B"/>
    <w:rsid w:val="000F72ED"/>
    <w:rsid w:val="000F7A4C"/>
    <w:rsid w:val="00100D3B"/>
    <w:rsid w:val="0010675F"/>
    <w:rsid w:val="00106EF8"/>
    <w:rsid w:val="001101A2"/>
    <w:rsid w:val="00111489"/>
    <w:rsid w:val="00111792"/>
    <w:rsid w:val="00111797"/>
    <w:rsid w:val="00111B19"/>
    <w:rsid w:val="00112C3D"/>
    <w:rsid w:val="00114A64"/>
    <w:rsid w:val="00115F59"/>
    <w:rsid w:val="00116C1A"/>
    <w:rsid w:val="00121F3E"/>
    <w:rsid w:val="0012229E"/>
    <w:rsid w:val="001229EA"/>
    <w:rsid w:val="00123849"/>
    <w:rsid w:val="00123A5E"/>
    <w:rsid w:val="00125010"/>
    <w:rsid w:val="00125266"/>
    <w:rsid w:val="00125B82"/>
    <w:rsid w:val="00126FA3"/>
    <w:rsid w:val="001305E6"/>
    <w:rsid w:val="0013239A"/>
    <w:rsid w:val="00132D93"/>
    <w:rsid w:val="00133D6B"/>
    <w:rsid w:val="0013761A"/>
    <w:rsid w:val="00137E48"/>
    <w:rsid w:val="0014216F"/>
    <w:rsid w:val="0014423A"/>
    <w:rsid w:val="00147042"/>
    <w:rsid w:val="001471A7"/>
    <w:rsid w:val="001506F6"/>
    <w:rsid w:val="00154032"/>
    <w:rsid w:val="001547D3"/>
    <w:rsid w:val="001559BD"/>
    <w:rsid w:val="00157F09"/>
    <w:rsid w:val="00157F79"/>
    <w:rsid w:val="00163E84"/>
    <w:rsid w:val="00164115"/>
    <w:rsid w:val="001668AA"/>
    <w:rsid w:val="001675B1"/>
    <w:rsid w:val="0016789D"/>
    <w:rsid w:val="00167C87"/>
    <w:rsid w:val="001704E7"/>
    <w:rsid w:val="0017292C"/>
    <w:rsid w:val="00172EE3"/>
    <w:rsid w:val="00176404"/>
    <w:rsid w:val="00176577"/>
    <w:rsid w:val="00177E7E"/>
    <w:rsid w:val="0018356F"/>
    <w:rsid w:val="001876C5"/>
    <w:rsid w:val="00187D68"/>
    <w:rsid w:val="00190155"/>
    <w:rsid w:val="001906B5"/>
    <w:rsid w:val="00194163"/>
    <w:rsid w:val="00194FEB"/>
    <w:rsid w:val="001970A4"/>
    <w:rsid w:val="00197AD1"/>
    <w:rsid w:val="001B0020"/>
    <w:rsid w:val="001B3F87"/>
    <w:rsid w:val="001B4026"/>
    <w:rsid w:val="001B598C"/>
    <w:rsid w:val="001B76A6"/>
    <w:rsid w:val="001C07F8"/>
    <w:rsid w:val="001C1147"/>
    <w:rsid w:val="001C2F59"/>
    <w:rsid w:val="001C6C08"/>
    <w:rsid w:val="001D2056"/>
    <w:rsid w:val="001D42D1"/>
    <w:rsid w:val="001D64E5"/>
    <w:rsid w:val="001D6EB8"/>
    <w:rsid w:val="001D753F"/>
    <w:rsid w:val="001E05EC"/>
    <w:rsid w:val="001E1265"/>
    <w:rsid w:val="001E2EF5"/>
    <w:rsid w:val="001E4809"/>
    <w:rsid w:val="001E4F4F"/>
    <w:rsid w:val="001F27F4"/>
    <w:rsid w:val="001F3DC0"/>
    <w:rsid w:val="001F3F51"/>
    <w:rsid w:val="001F4C5A"/>
    <w:rsid w:val="001F4EA9"/>
    <w:rsid w:val="001F4F73"/>
    <w:rsid w:val="001F6425"/>
    <w:rsid w:val="001F6772"/>
    <w:rsid w:val="001F7421"/>
    <w:rsid w:val="00200195"/>
    <w:rsid w:val="00200B5F"/>
    <w:rsid w:val="00201EEF"/>
    <w:rsid w:val="002047C8"/>
    <w:rsid w:val="002052B3"/>
    <w:rsid w:val="00205453"/>
    <w:rsid w:val="002058F9"/>
    <w:rsid w:val="00205C67"/>
    <w:rsid w:val="0020743B"/>
    <w:rsid w:val="00207F32"/>
    <w:rsid w:val="00210EF9"/>
    <w:rsid w:val="00212B1F"/>
    <w:rsid w:val="00213340"/>
    <w:rsid w:val="00213D7C"/>
    <w:rsid w:val="00214513"/>
    <w:rsid w:val="002155B7"/>
    <w:rsid w:val="0021766A"/>
    <w:rsid w:val="002225D3"/>
    <w:rsid w:val="00222A35"/>
    <w:rsid w:val="0022301D"/>
    <w:rsid w:val="00224B2C"/>
    <w:rsid w:val="00225327"/>
    <w:rsid w:val="00227E55"/>
    <w:rsid w:val="00230397"/>
    <w:rsid w:val="00232AA0"/>
    <w:rsid w:val="00234CDF"/>
    <w:rsid w:val="00236B91"/>
    <w:rsid w:val="0023747F"/>
    <w:rsid w:val="002424C0"/>
    <w:rsid w:val="00242617"/>
    <w:rsid w:val="00242CAA"/>
    <w:rsid w:val="00243D3B"/>
    <w:rsid w:val="0024503B"/>
    <w:rsid w:val="00245D74"/>
    <w:rsid w:val="00246D03"/>
    <w:rsid w:val="00246DDF"/>
    <w:rsid w:val="00252EA7"/>
    <w:rsid w:val="00253C1F"/>
    <w:rsid w:val="00255794"/>
    <w:rsid w:val="002573CC"/>
    <w:rsid w:val="00260FAA"/>
    <w:rsid w:val="00262338"/>
    <w:rsid w:val="00263938"/>
    <w:rsid w:val="002646D7"/>
    <w:rsid w:val="002671D7"/>
    <w:rsid w:val="0027259C"/>
    <w:rsid w:val="00273543"/>
    <w:rsid w:val="00273E31"/>
    <w:rsid w:val="00274C82"/>
    <w:rsid w:val="0027654D"/>
    <w:rsid w:val="002810DF"/>
    <w:rsid w:val="002812AB"/>
    <w:rsid w:val="002816D8"/>
    <w:rsid w:val="00282A8C"/>
    <w:rsid w:val="002854EE"/>
    <w:rsid w:val="0028565C"/>
    <w:rsid w:val="002875DE"/>
    <w:rsid w:val="00287E07"/>
    <w:rsid w:val="00290EB3"/>
    <w:rsid w:val="00292846"/>
    <w:rsid w:val="00292A90"/>
    <w:rsid w:val="002941AC"/>
    <w:rsid w:val="00295F54"/>
    <w:rsid w:val="00296C1A"/>
    <w:rsid w:val="002971D6"/>
    <w:rsid w:val="002A2F08"/>
    <w:rsid w:val="002A326C"/>
    <w:rsid w:val="002A3641"/>
    <w:rsid w:val="002A495F"/>
    <w:rsid w:val="002A686F"/>
    <w:rsid w:val="002A706F"/>
    <w:rsid w:val="002A70EA"/>
    <w:rsid w:val="002A7363"/>
    <w:rsid w:val="002A7F43"/>
    <w:rsid w:val="002B365E"/>
    <w:rsid w:val="002B3E6C"/>
    <w:rsid w:val="002B489A"/>
    <w:rsid w:val="002B6341"/>
    <w:rsid w:val="002B7D2B"/>
    <w:rsid w:val="002C031A"/>
    <w:rsid w:val="002C0526"/>
    <w:rsid w:val="002C27A8"/>
    <w:rsid w:val="002C333E"/>
    <w:rsid w:val="002C36C8"/>
    <w:rsid w:val="002C51A0"/>
    <w:rsid w:val="002C57E0"/>
    <w:rsid w:val="002C7971"/>
    <w:rsid w:val="002D0584"/>
    <w:rsid w:val="002D2E2A"/>
    <w:rsid w:val="002D4274"/>
    <w:rsid w:val="002D5295"/>
    <w:rsid w:val="002D52BF"/>
    <w:rsid w:val="002D68FA"/>
    <w:rsid w:val="002D7ECA"/>
    <w:rsid w:val="002E0141"/>
    <w:rsid w:val="002E0B5D"/>
    <w:rsid w:val="002E0B76"/>
    <w:rsid w:val="002E1495"/>
    <w:rsid w:val="002E1FB0"/>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6D24"/>
    <w:rsid w:val="00307712"/>
    <w:rsid w:val="0031404A"/>
    <w:rsid w:val="00314B7C"/>
    <w:rsid w:val="00314E49"/>
    <w:rsid w:val="00315445"/>
    <w:rsid w:val="00315FA7"/>
    <w:rsid w:val="00317183"/>
    <w:rsid w:val="003204AE"/>
    <w:rsid w:val="003208EF"/>
    <w:rsid w:val="00324846"/>
    <w:rsid w:val="00324ABD"/>
    <w:rsid w:val="00324D9B"/>
    <w:rsid w:val="003272A6"/>
    <w:rsid w:val="003273CB"/>
    <w:rsid w:val="003311CA"/>
    <w:rsid w:val="0033125E"/>
    <w:rsid w:val="0033325E"/>
    <w:rsid w:val="00335143"/>
    <w:rsid w:val="00336913"/>
    <w:rsid w:val="0033718C"/>
    <w:rsid w:val="00337407"/>
    <w:rsid w:val="00337BB8"/>
    <w:rsid w:val="00340E02"/>
    <w:rsid w:val="0034172C"/>
    <w:rsid w:val="00343264"/>
    <w:rsid w:val="00343E6E"/>
    <w:rsid w:val="00343E9A"/>
    <w:rsid w:val="00344BE3"/>
    <w:rsid w:val="003450C8"/>
    <w:rsid w:val="00346D59"/>
    <w:rsid w:val="0034782B"/>
    <w:rsid w:val="00351E5C"/>
    <w:rsid w:val="00351E7A"/>
    <w:rsid w:val="0035580F"/>
    <w:rsid w:val="0035798B"/>
    <w:rsid w:val="00357CB4"/>
    <w:rsid w:val="00357D27"/>
    <w:rsid w:val="003604EE"/>
    <w:rsid w:val="00360FE4"/>
    <w:rsid w:val="0036286B"/>
    <w:rsid w:val="00363371"/>
    <w:rsid w:val="00364989"/>
    <w:rsid w:val="00364CB5"/>
    <w:rsid w:val="003664C0"/>
    <w:rsid w:val="00366769"/>
    <w:rsid w:val="00367558"/>
    <w:rsid w:val="003679FD"/>
    <w:rsid w:val="00367A28"/>
    <w:rsid w:val="00367E04"/>
    <w:rsid w:val="00372D94"/>
    <w:rsid w:val="003761F2"/>
    <w:rsid w:val="00376A05"/>
    <w:rsid w:val="003774FE"/>
    <w:rsid w:val="00383876"/>
    <w:rsid w:val="00390B08"/>
    <w:rsid w:val="00390E30"/>
    <w:rsid w:val="00392CC8"/>
    <w:rsid w:val="00393ABE"/>
    <w:rsid w:val="0039458D"/>
    <w:rsid w:val="00394D61"/>
    <w:rsid w:val="003A1F5A"/>
    <w:rsid w:val="003A20C4"/>
    <w:rsid w:val="003A2ECE"/>
    <w:rsid w:val="003A3ADC"/>
    <w:rsid w:val="003A3CB7"/>
    <w:rsid w:val="003A4252"/>
    <w:rsid w:val="003A539A"/>
    <w:rsid w:val="003A62A4"/>
    <w:rsid w:val="003A7476"/>
    <w:rsid w:val="003A7D86"/>
    <w:rsid w:val="003B0AA1"/>
    <w:rsid w:val="003B243D"/>
    <w:rsid w:val="003B304F"/>
    <w:rsid w:val="003B5D18"/>
    <w:rsid w:val="003B795D"/>
    <w:rsid w:val="003C0100"/>
    <w:rsid w:val="003C26A6"/>
    <w:rsid w:val="003C26C1"/>
    <w:rsid w:val="003C5C11"/>
    <w:rsid w:val="003C6A5A"/>
    <w:rsid w:val="003C6AAD"/>
    <w:rsid w:val="003C76E4"/>
    <w:rsid w:val="003D1D4D"/>
    <w:rsid w:val="003D24CC"/>
    <w:rsid w:val="003D3682"/>
    <w:rsid w:val="003D37DD"/>
    <w:rsid w:val="003D45DF"/>
    <w:rsid w:val="003D47C6"/>
    <w:rsid w:val="003D7E38"/>
    <w:rsid w:val="003D7EAC"/>
    <w:rsid w:val="003E0E28"/>
    <w:rsid w:val="003E1AFA"/>
    <w:rsid w:val="003E379A"/>
    <w:rsid w:val="003E52B0"/>
    <w:rsid w:val="003E64DC"/>
    <w:rsid w:val="003E7A43"/>
    <w:rsid w:val="003F0B58"/>
    <w:rsid w:val="003F0D40"/>
    <w:rsid w:val="003F2236"/>
    <w:rsid w:val="003F27B7"/>
    <w:rsid w:val="003F4051"/>
    <w:rsid w:val="003F516B"/>
    <w:rsid w:val="003F5812"/>
    <w:rsid w:val="003F625A"/>
    <w:rsid w:val="003F6AA4"/>
    <w:rsid w:val="003F6EA1"/>
    <w:rsid w:val="00400E4A"/>
    <w:rsid w:val="00402E9A"/>
    <w:rsid w:val="00403FA8"/>
    <w:rsid w:val="00404040"/>
    <w:rsid w:val="00404213"/>
    <w:rsid w:val="004048AC"/>
    <w:rsid w:val="00404B8E"/>
    <w:rsid w:val="004068C2"/>
    <w:rsid w:val="00412559"/>
    <w:rsid w:val="00415E7F"/>
    <w:rsid w:val="00420288"/>
    <w:rsid w:val="00421C78"/>
    <w:rsid w:val="004224CE"/>
    <w:rsid w:val="00424A78"/>
    <w:rsid w:val="004254DB"/>
    <w:rsid w:val="00427734"/>
    <w:rsid w:val="00427EEA"/>
    <w:rsid w:val="00431836"/>
    <w:rsid w:val="004321E6"/>
    <w:rsid w:val="0043278E"/>
    <w:rsid w:val="00435444"/>
    <w:rsid w:val="004359FF"/>
    <w:rsid w:val="004360AC"/>
    <w:rsid w:val="00436B83"/>
    <w:rsid w:val="004407D6"/>
    <w:rsid w:val="00440C16"/>
    <w:rsid w:val="00441061"/>
    <w:rsid w:val="0044560C"/>
    <w:rsid w:val="004501C9"/>
    <w:rsid w:val="00450C70"/>
    <w:rsid w:val="00453344"/>
    <w:rsid w:val="00454282"/>
    <w:rsid w:val="00454E76"/>
    <w:rsid w:val="00457080"/>
    <w:rsid w:val="00460891"/>
    <w:rsid w:val="00464FB2"/>
    <w:rsid w:val="004662A8"/>
    <w:rsid w:val="00466CDC"/>
    <w:rsid w:val="0046745E"/>
    <w:rsid w:val="00467CBE"/>
    <w:rsid w:val="004736BE"/>
    <w:rsid w:val="0047556D"/>
    <w:rsid w:val="00475789"/>
    <w:rsid w:val="00476170"/>
    <w:rsid w:val="004761EB"/>
    <w:rsid w:val="004820B0"/>
    <w:rsid w:val="00482117"/>
    <w:rsid w:val="00482E2F"/>
    <w:rsid w:val="0048467F"/>
    <w:rsid w:val="004859B4"/>
    <w:rsid w:val="00486ACD"/>
    <w:rsid w:val="00490B8D"/>
    <w:rsid w:val="00492C65"/>
    <w:rsid w:val="0049403F"/>
    <w:rsid w:val="00494323"/>
    <w:rsid w:val="00494349"/>
    <w:rsid w:val="00494485"/>
    <w:rsid w:val="00496A7F"/>
    <w:rsid w:val="0049762B"/>
    <w:rsid w:val="004A0F27"/>
    <w:rsid w:val="004A0F37"/>
    <w:rsid w:val="004A0F68"/>
    <w:rsid w:val="004A3608"/>
    <w:rsid w:val="004A4FBD"/>
    <w:rsid w:val="004A623F"/>
    <w:rsid w:val="004A7810"/>
    <w:rsid w:val="004A7E93"/>
    <w:rsid w:val="004B3CFB"/>
    <w:rsid w:val="004B4D36"/>
    <w:rsid w:val="004B5D6B"/>
    <w:rsid w:val="004B76F8"/>
    <w:rsid w:val="004C1FA6"/>
    <w:rsid w:val="004C5CFD"/>
    <w:rsid w:val="004D12C0"/>
    <w:rsid w:val="004D18EA"/>
    <w:rsid w:val="004D3713"/>
    <w:rsid w:val="004D4C51"/>
    <w:rsid w:val="004D6254"/>
    <w:rsid w:val="004D70FD"/>
    <w:rsid w:val="004D7E99"/>
    <w:rsid w:val="004E00CE"/>
    <w:rsid w:val="004E04D0"/>
    <w:rsid w:val="004E2B9D"/>
    <w:rsid w:val="004E2BDB"/>
    <w:rsid w:val="004F50AF"/>
    <w:rsid w:val="004F681D"/>
    <w:rsid w:val="004F6E14"/>
    <w:rsid w:val="004F791B"/>
    <w:rsid w:val="0050228C"/>
    <w:rsid w:val="00502857"/>
    <w:rsid w:val="005044A9"/>
    <w:rsid w:val="00505994"/>
    <w:rsid w:val="00505FD4"/>
    <w:rsid w:val="00506E25"/>
    <w:rsid w:val="0051132C"/>
    <w:rsid w:val="00511C60"/>
    <w:rsid w:val="00513483"/>
    <w:rsid w:val="00514A55"/>
    <w:rsid w:val="00514EF5"/>
    <w:rsid w:val="005167F1"/>
    <w:rsid w:val="0051782D"/>
    <w:rsid w:val="005201E6"/>
    <w:rsid w:val="0052087E"/>
    <w:rsid w:val="0052315E"/>
    <w:rsid w:val="0052630C"/>
    <w:rsid w:val="00530E6F"/>
    <w:rsid w:val="00530ED3"/>
    <w:rsid w:val="0053241A"/>
    <w:rsid w:val="0053438E"/>
    <w:rsid w:val="005346B7"/>
    <w:rsid w:val="005355EE"/>
    <w:rsid w:val="00535B16"/>
    <w:rsid w:val="005366D0"/>
    <w:rsid w:val="00537E27"/>
    <w:rsid w:val="00540B4D"/>
    <w:rsid w:val="00540FFA"/>
    <w:rsid w:val="00542930"/>
    <w:rsid w:val="005435B3"/>
    <w:rsid w:val="00544BFE"/>
    <w:rsid w:val="005455AF"/>
    <w:rsid w:val="00550849"/>
    <w:rsid w:val="00550866"/>
    <w:rsid w:val="00554BF3"/>
    <w:rsid w:val="0055655F"/>
    <w:rsid w:val="0055657D"/>
    <w:rsid w:val="005576A5"/>
    <w:rsid w:val="00560D0D"/>
    <w:rsid w:val="00565FB1"/>
    <w:rsid w:val="005662FB"/>
    <w:rsid w:val="00567781"/>
    <w:rsid w:val="00567ECC"/>
    <w:rsid w:val="005713B1"/>
    <w:rsid w:val="00581E05"/>
    <w:rsid w:val="00583090"/>
    <w:rsid w:val="005835F4"/>
    <w:rsid w:val="00583EFE"/>
    <w:rsid w:val="00584076"/>
    <w:rsid w:val="005841A3"/>
    <w:rsid w:val="00586D9A"/>
    <w:rsid w:val="00590EAE"/>
    <w:rsid w:val="0059112A"/>
    <w:rsid w:val="00593216"/>
    <w:rsid w:val="00594BC3"/>
    <w:rsid w:val="00595625"/>
    <w:rsid w:val="00596CA7"/>
    <w:rsid w:val="00596DC8"/>
    <w:rsid w:val="00596E16"/>
    <w:rsid w:val="005A16A3"/>
    <w:rsid w:val="005A1C48"/>
    <w:rsid w:val="005A2245"/>
    <w:rsid w:val="005A253A"/>
    <w:rsid w:val="005A40AF"/>
    <w:rsid w:val="005A64BF"/>
    <w:rsid w:val="005B4421"/>
    <w:rsid w:val="005B7929"/>
    <w:rsid w:val="005C23AF"/>
    <w:rsid w:val="005C25D1"/>
    <w:rsid w:val="005C35A9"/>
    <w:rsid w:val="005C464B"/>
    <w:rsid w:val="005C4E5F"/>
    <w:rsid w:val="005C5392"/>
    <w:rsid w:val="005C6B56"/>
    <w:rsid w:val="005C74A0"/>
    <w:rsid w:val="005D052C"/>
    <w:rsid w:val="005D16FE"/>
    <w:rsid w:val="005D4084"/>
    <w:rsid w:val="005D4777"/>
    <w:rsid w:val="005D4C2B"/>
    <w:rsid w:val="005E6B93"/>
    <w:rsid w:val="005E7953"/>
    <w:rsid w:val="005E7E82"/>
    <w:rsid w:val="005F2C42"/>
    <w:rsid w:val="005F6C28"/>
    <w:rsid w:val="005F7AB6"/>
    <w:rsid w:val="005F7E3C"/>
    <w:rsid w:val="00600FA8"/>
    <w:rsid w:val="006063DA"/>
    <w:rsid w:val="00606CD0"/>
    <w:rsid w:val="00606CE3"/>
    <w:rsid w:val="0061129F"/>
    <w:rsid w:val="00611DD3"/>
    <w:rsid w:val="00611EF0"/>
    <w:rsid w:val="00612219"/>
    <w:rsid w:val="00612E04"/>
    <w:rsid w:val="00614CEE"/>
    <w:rsid w:val="006173A4"/>
    <w:rsid w:val="00617C44"/>
    <w:rsid w:val="00620086"/>
    <w:rsid w:val="00621390"/>
    <w:rsid w:val="00622CE4"/>
    <w:rsid w:val="006234A7"/>
    <w:rsid w:val="00623F8E"/>
    <w:rsid w:val="00625917"/>
    <w:rsid w:val="0062789F"/>
    <w:rsid w:val="006301BE"/>
    <w:rsid w:val="0063096E"/>
    <w:rsid w:val="0063221F"/>
    <w:rsid w:val="00633349"/>
    <w:rsid w:val="00633D61"/>
    <w:rsid w:val="0063402B"/>
    <w:rsid w:val="00636570"/>
    <w:rsid w:val="00637859"/>
    <w:rsid w:val="00637901"/>
    <w:rsid w:val="00637E1B"/>
    <w:rsid w:val="006402DF"/>
    <w:rsid w:val="00640600"/>
    <w:rsid w:val="0064164B"/>
    <w:rsid w:val="00644468"/>
    <w:rsid w:val="00645F5E"/>
    <w:rsid w:val="00647B1E"/>
    <w:rsid w:val="00647C55"/>
    <w:rsid w:val="0065008B"/>
    <w:rsid w:val="00653A3B"/>
    <w:rsid w:val="00653FD9"/>
    <w:rsid w:val="0065442C"/>
    <w:rsid w:val="00654D42"/>
    <w:rsid w:val="00656328"/>
    <w:rsid w:val="00657433"/>
    <w:rsid w:val="00660279"/>
    <w:rsid w:val="00660A94"/>
    <w:rsid w:val="006622B9"/>
    <w:rsid w:val="00662BF6"/>
    <w:rsid w:val="00662E1E"/>
    <w:rsid w:val="0066371E"/>
    <w:rsid w:val="006649ED"/>
    <w:rsid w:val="00664DCF"/>
    <w:rsid w:val="006724AD"/>
    <w:rsid w:val="00672BAB"/>
    <w:rsid w:val="0067314A"/>
    <w:rsid w:val="00673D1E"/>
    <w:rsid w:val="006779CF"/>
    <w:rsid w:val="00677A8F"/>
    <w:rsid w:val="00677D63"/>
    <w:rsid w:val="00677F8A"/>
    <w:rsid w:val="006821E3"/>
    <w:rsid w:val="006837BE"/>
    <w:rsid w:val="00683AD6"/>
    <w:rsid w:val="006842AE"/>
    <w:rsid w:val="0068483F"/>
    <w:rsid w:val="006875BA"/>
    <w:rsid w:val="0069097D"/>
    <w:rsid w:val="00693FEA"/>
    <w:rsid w:val="00694C68"/>
    <w:rsid w:val="006A55F6"/>
    <w:rsid w:val="006A5773"/>
    <w:rsid w:val="006A5804"/>
    <w:rsid w:val="006A58F0"/>
    <w:rsid w:val="006A6262"/>
    <w:rsid w:val="006B0372"/>
    <w:rsid w:val="006B0764"/>
    <w:rsid w:val="006B081C"/>
    <w:rsid w:val="006B4467"/>
    <w:rsid w:val="006B6C46"/>
    <w:rsid w:val="006B6E78"/>
    <w:rsid w:val="006C0039"/>
    <w:rsid w:val="006C1927"/>
    <w:rsid w:val="006C2585"/>
    <w:rsid w:val="006C4008"/>
    <w:rsid w:val="006C4E2C"/>
    <w:rsid w:val="006C5931"/>
    <w:rsid w:val="006C73EF"/>
    <w:rsid w:val="006C741F"/>
    <w:rsid w:val="006D1723"/>
    <w:rsid w:val="006D1C99"/>
    <w:rsid w:val="006D5D3F"/>
    <w:rsid w:val="006D60ED"/>
    <w:rsid w:val="006E0B03"/>
    <w:rsid w:val="006E1166"/>
    <w:rsid w:val="006E24D9"/>
    <w:rsid w:val="006E596E"/>
    <w:rsid w:val="006E65E0"/>
    <w:rsid w:val="006F033F"/>
    <w:rsid w:val="006F074E"/>
    <w:rsid w:val="006F24D8"/>
    <w:rsid w:val="006F28A4"/>
    <w:rsid w:val="006F33B8"/>
    <w:rsid w:val="006F4C9C"/>
    <w:rsid w:val="006F640F"/>
    <w:rsid w:val="006F762A"/>
    <w:rsid w:val="00701A06"/>
    <w:rsid w:val="00701B6B"/>
    <w:rsid w:val="0070384F"/>
    <w:rsid w:val="00703A9E"/>
    <w:rsid w:val="00703D6D"/>
    <w:rsid w:val="00703F7A"/>
    <w:rsid w:val="00704095"/>
    <w:rsid w:val="00704152"/>
    <w:rsid w:val="007049E0"/>
    <w:rsid w:val="00704FB5"/>
    <w:rsid w:val="00706B71"/>
    <w:rsid w:val="0071022A"/>
    <w:rsid w:val="0071277A"/>
    <w:rsid w:val="00712EE5"/>
    <w:rsid w:val="00713493"/>
    <w:rsid w:val="00713494"/>
    <w:rsid w:val="00714031"/>
    <w:rsid w:val="00714649"/>
    <w:rsid w:val="0071466E"/>
    <w:rsid w:val="00714A6C"/>
    <w:rsid w:val="00714CD3"/>
    <w:rsid w:val="007206A8"/>
    <w:rsid w:val="0072116D"/>
    <w:rsid w:val="0072226F"/>
    <w:rsid w:val="00725B78"/>
    <w:rsid w:val="00726054"/>
    <w:rsid w:val="00727082"/>
    <w:rsid w:val="0073233C"/>
    <w:rsid w:val="00732D0C"/>
    <w:rsid w:val="00733EAD"/>
    <w:rsid w:val="00734F54"/>
    <w:rsid w:val="00736D93"/>
    <w:rsid w:val="00737C04"/>
    <w:rsid w:val="00737F64"/>
    <w:rsid w:val="00744110"/>
    <w:rsid w:val="00744595"/>
    <w:rsid w:val="00747A52"/>
    <w:rsid w:val="00750165"/>
    <w:rsid w:val="00750F1E"/>
    <w:rsid w:val="00751C12"/>
    <w:rsid w:val="00752691"/>
    <w:rsid w:val="007528F2"/>
    <w:rsid w:val="00753696"/>
    <w:rsid w:val="007575C4"/>
    <w:rsid w:val="00757D63"/>
    <w:rsid w:val="00760CDC"/>
    <w:rsid w:val="00762A1B"/>
    <w:rsid w:val="00762D6D"/>
    <w:rsid w:val="00763700"/>
    <w:rsid w:val="0076427C"/>
    <w:rsid w:val="00765217"/>
    <w:rsid w:val="007659AA"/>
    <w:rsid w:val="00766334"/>
    <w:rsid w:val="0077266C"/>
    <w:rsid w:val="00772802"/>
    <w:rsid w:val="00775066"/>
    <w:rsid w:val="00775A44"/>
    <w:rsid w:val="00776406"/>
    <w:rsid w:val="0078005A"/>
    <w:rsid w:val="00781B6F"/>
    <w:rsid w:val="00781F9C"/>
    <w:rsid w:val="00782DFD"/>
    <w:rsid w:val="007830FB"/>
    <w:rsid w:val="00783681"/>
    <w:rsid w:val="00784424"/>
    <w:rsid w:val="00785474"/>
    <w:rsid w:val="00787B99"/>
    <w:rsid w:val="007925B6"/>
    <w:rsid w:val="0079421C"/>
    <w:rsid w:val="007945C7"/>
    <w:rsid w:val="0079526D"/>
    <w:rsid w:val="00795A2C"/>
    <w:rsid w:val="00797390"/>
    <w:rsid w:val="00797A62"/>
    <w:rsid w:val="007A05B6"/>
    <w:rsid w:val="007A1C0A"/>
    <w:rsid w:val="007A1C59"/>
    <w:rsid w:val="007A5B41"/>
    <w:rsid w:val="007B3A76"/>
    <w:rsid w:val="007B5792"/>
    <w:rsid w:val="007C31E2"/>
    <w:rsid w:val="007C57DA"/>
    <w:rsid w:val="007C5CE1"/>
    <w:rsid w:val="007C6F85"/>
    <w:rsid w:val="007D0569"/>
    <w:rsid w:val="007D16B1"/>
    <w:rsid w:val="007D19E4"/>
    <w:rsid w:val="007D27BD"/>
    <w:rsid w:val="007D7400"/>
    <w:rsid w:val="007D7761"/>
    <w:rsid w:val="007D79FF"/>
    <w:rsid w:val="007E02A7"/>
    <w:rsid w:val="007E2453"/>
    <w:rsid w:val="007E468A"/>
    <w:rsid w:val="007E4759"/>
    <w:rsid w:val="007E51A5"/>
    <w:rsid w:val="007E7F4C"/>
    <w:rsid w:val="007F0E90"/>
    <w:rsid w:val="007F2EC6"/>
    <w:rsid w:val="007F3018"/>
    <w:rsid w:val="007F3E65"/>
    <w:rsid w:val="007F58DE"/>
    <w:rsid w:val="007F6862"/>
    <w:rsid w:val="008013FC"/>
    <w:rsid w:val="00801605"/>
    <w:rsid w:val="008060C3"/>
    <w:rsid w:val="008063A1"/>
    <w:rsid w:val="00807F00"/>
    <w:rsid w:val="008103BE"/>
    <w:rsid w:val="00812095"/>
    <w:rsid w:val="008134BD"/>
    <w:rsid w:val="00814656"/>
    <w:rsid w:val="00815777"/>
    <w:rsid w:val="00820E45"/>
    <w:rsid w:val="00821CA2"/>
    <w:rsid w:val="00821E2C"/>
    <w:rsid w:val="00822835"/>
    <w:rsid w:val="00823075"/>
    <w:rsid w:val="0082459B"/>
    <w:rsid w:val="00826758"/>
    <w:rsid w:val="00832EC3"/>
    <w:rsid w:val="008353E0"/>
    <w:rsid w:val="008365F0"/>
    <w:rsid w:val="00837D9D"/>
    <w:rsid w:val="00841534"/>
    <w:rsid w:val="008462F1"/>
    <w:rsid w:val="00846930"/>
    <w:rsid w:val="00850FDE"/>
    <w:rsid w:val="00852876"/>
    <w:rsid w:val="0085295C"/>
    <w:rsid w:val="008543F5"/>
    <w:rsid w:val="00855004"/>
    <w:rsid w:val="00856AC2"/>
    <w:rsid w:val="008572C4"/>
    <w:rsid w:val="0085733E"/>
    <w:rsid w:val="0085765A"/>
    <w:rsid w:val="00857A41"/>
    <w:rsid w:val="008604A8"/>
    <w:rsid w:val="00860E64"/>
    <w:rsid w:val="0086122E"/>
    <w:rsid w:val="008616F7"/>
    <w:rsid w:val="00861AFA"/>
    <w:rsid w:val="00863C61"/>
    <w:rsid w:val="00865522"/>
    <w:rsid w:val="00865ADF"/>
    <w:rsid w:val="0086644C"/>
    <w:rsid w:val="008666B5"/>
    <w:rsid w:val="008668E9"/>
    <w:rsid w:val="00867806"/>
    <w:rsid w:val="008703B3"/>
    <w:rsid w:val="008734B2"/>
    <w:rsid w:val="00876985"/>
    <w:rsid w:val="00877605"/>
    <w:rsid w:val="00883780"/>
    <w:rsid w:val="00883B99"/>
    <w:rsid w:val="00885066"/>
    <w:rsid w:val="00885B2D"/>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447B"/>
    <w:rsid w:val="008B4A0B"/>
    <w:rsid w:val="008B51FD"/>
    <w:rsid w:val="008B6766"/>
    <w:rsid w:val="008B7186"/>
    <w:rsid w:val="008B7192"/>
    <w:rsid w:val="008C1939"/>
    <w:rsid w:val="008C1E0E"/>
    <w:rsid w:val="008C3396"/>
    <w:rsid w:val="008C621C"/>
    <w:rsid w:val="008C697C"/>
    <w:rsid w:val="008C7448"/>
    <w:rsid w:val="008C75ED"/>
    <w:rsid w:val="008C7649"/>
    <w:rsid w:val="008E0129"/>
    <w:rsid w:val="008E0991"/>
    <w:rsid w:val="008E0997"/>
    <w:rsid w:val="008E338E"/>
    <w:rsid w:val="008E4A02"/>
    <w:rsid w:val="008E57FE"/>
    <w:rsid w:val="008E73B1"/>
    <w:rsid w:val="008F2665"/>
    <w:rsid w:val="008F507E"/>
    <w:rsid w:val="008F5251"/>
    <w:rsid w:val="008F6376"/>
    <w:rsid w:val="00900CC2"/>
    <w:rsid w:val="00901770"/>
    <w:rsid w:val="009019FB"/>
    <w:rsid w:val="009023D2"/>
    <w:rsid w:val="00902AA5"/>
    <w:rsid w:val="009052B7"/>
    <w:rsid w:val="00905B05"/>
    <w:rsid w:val="0090753C"/>
    <w:rsid w:val="00911B66"/>
    <w:rsid w:val="00912A7E"/>
    <w:rsid w:val="0091424A"/>
    <w:rsid w:val="00915330"/>
    <w:rsid w:val="00916E69"/>
    <w:rsid w:val="00917525"/>
    <w:rsid w:val="0091777D"/>
    <w:rsid w:val="00917C39"/>
    <w:rsid w:val="0092057D"/>
    <w:rsid w:val="009205D9"/>
    <w:rsid w:val="009218DE"/>
    <w:rsid w:val="00922D00"/>
    <w:rsid w:val="00923F17"/>
    <w:rsid w:val="009266DA"/>
    <w:rsid w:val="00930DE8"/>
    <w:rsid w:val="009318DD"/>
    <w:rsid w:val="00935413"/>
    <w:rsid w:val="00935F5D"/>
    <w:rsid w:val="0093669F"/>
    <w:rsid w:val="009368E0"/>
    <w:rsid w:val="0094260B"/>
    <w:rsid w:val="00942661"/>
    <w:rsid w:val="00944FD5"/>
    <w:rsid w:val="00945307"/>
    <w:rsid w:val="0094558D"/>
    <w:rsid w:val="00945838"/>
    <w:rsid w:val="00946FCE"/>
    <w:rsid w:val="009515BC"/>
    <w:rsid w:val="0095349A"/>
    <w:rsid w:val="00953B5B"/>
    <w:rsid w:val="00953ED0"/>
    <w:rsid w:val="0095492E"/>
    <w:rsid w:val="00955F7D"/>
    <w:rsid w:val="0095700D"/>
    <w:rsid w:val="0096242F"/>
    <w:rsid w:val="00962E3B"/>
    <w:rsid w:val="00962FF5"/>
    <w:rsid w:val="00964A4E"/>
    <w:rsid w:val="00965B02"/>
    <w:rsid w:val="00965C07"/>
    <w:rsid w:val="00965D2D"/>
    <w:rsid w:val="00970A16"/>
    <w:rsid w:val="00971847"/>
    <w:rsid w:val="00972964"/>
    <w:rsid w:val="0097762F"/>
    <w:rsid w:val="009816B8"/>
    <w:rsid w:val="00983B45"/>
    <w:rsid w:val="00983B5C"/>
    <w:rsid w:val="009843AC"/>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3B72"/>
    <w:rsid w:val="009C41EC"/>
    <w:rsid w:val="009C5238"/>
    <w:rsid w:val="009D12B4"/>
    <w:rsid w:val="009D1E70"/>
    <w:rsid w:val="009D2135"/>
    <w:rsid w:val="009D2FA7"/>
    <w:rsid w:val="009D4CAE"/>
    <w:rsid w:val="009D55F9"/>
    <w:rsid w:val="009D5A11"/>
    <w:rsid w:val="009D6BFF"/>
    <w:rsid w:val="009D765F"/>
    <w:rsid w:val="009D7760"/>
    <w:rsid w:val="009E16E6"/>
    <w:rsid w:val="009E1E62"/>
    <w:rsid w:val="009E2953"/>
    <w:rsid w:val="009E30CE"/>
    <w:rsid w:val="009E4CDF"/>
    <w:rsid w:val="009F04C3"/>
    <w:rsid w:val="009F0760"/>
    <w:rsid w:val="009F0DCE"/>
    <w:rsid w:val="009F1994"/>
    <w:rsid w:val="009F3B29"/>
    <w:rsid w:val="009F4860"/>
    <w:rsid w:val="009F4E0C"/>
    <w:rsid w:val="009F6B26"/>
    <w:rsid w:val="00A00057"/>
    <w:rsid w:val="00A00485"/>
    <w:rsid w:val="00A00ADF"/>
    <w:rsid w:val="00A01A5F"/>
    <w:rsid w:val="00A025AC"/>
    <w:rsid w:val="00A02C96"/>
    <w:rsid w:val="00A02E65"/>
    <w:rsid w:val="00A0340A"/>
    <w:rsid w:val="00A0440C"/>
    <w:rsid w:val="00A047AE"/>
    <w:rsid w:val="00A0585F"/>
    <w:rsid w:val="00A0694A"/>
    <w:rsid w:val="00A077AC"/>
    <w:rsid w:val="00A07A33"/>
    <w:rsid w:val="00A07D80"/>
    <w:rsid w:val="00A10A30"/>
    <w:rsid w:val="00A1137C"/>
    <w:rsid w:val="00A113D7"/>
    <w:rsid w:val="00A11F0F"/>
    <w:rsid w:val="00A16126"/>
    <w:rsid w:val="00A21C6C"/>
    <w:rsid w:val="00A2365A"/>
    <w:rsid w:val="00A24133"/>
    <w:rsid w:val="00A24852"/>
    <w:rsid w:val="00A25DE2"/>
    <w:rsid w:val="00A262BF"/>
    <w:rsid w:val="00A27809"/>
    <w:rsid w:val="00A30533"/>
    <w:rsid w:val="00A317B0"/>
    <w:rsid w:val="00A34591"/>
    <w:rsid w:val="00A34E44"/>
    <w:rsid w:val="00A35A2C"/>
    <w:rsid w:val="00A35EA9"/>
    <w:rsid w:val="00A3629F"/>
    <w:rsid w:val="00A3640F"/>
    <w:rsid w:val="00A37ECF"/>
    <w:rsid w:val="00A40CE2"/>
    <w:rsid w:val="00A42FAE"/>
    <w:rsid w:val="00A47176"/>
    <w:rsid w:val="00A475C5"/>
    <w:rsid w:val="00A4768C"/>
    <w:rsid w:val="00A50A68"/>
    <w:rsid w:val="00A50D3B"/>
    <w:rsid w:val="00A50E38"/>
    <w:rsid w:val="00A50EFD"/>
    <w:rsid w:val="00A510C6"/>
    <w:rsid w:val="00A518AA"/>
    <w:rsid w:val="00A52112"/>
    <w:rsid w:val="00A525E7"/>
    <w:rsid w:val="00A52F9E"/>
    <w:rsid w:val="00A56348"/>
    <w:rsid w:val="00A5703F"/>
    <w:rsid w:val="00A57D39"/>
    <w:rsid w:val="00A61750"/>
    <w:rsid w:val="00A62E04"/>
    <w:rsid w:val="00A6316B"/>
    <w:rsid w:val="00A65316"/>
    <w:rsid w:val="00A6694A"/>
    <w:rsid w:val="00A674FF"/>
    <w:rsid w:val="00A70F69"/>
    <w:rsid w:val="00A72611"/>
    <w:rsid w:val="00A73ABB"/>
    <w:rsid w:val="00A751A1"/>
    <w:rsid w:val="00A76D2C"/>
    <w:rsid w:val="00A77746"/>
    <w:rsid w:val="00A806AA"/>
    <w:rsid w:val="00A81541"/>
    <w:rsid w:val="00A830B8"/>
    <w:rsid w:val="00A83BF6"/>
    <w:rsid w:val="00A85A93"/>
    <w:rsid w:val="00A87B4F"/>
    <w:rsid w:val="00A87F31"/>
    <w:rsid w:val="00A90D27"/>
    <w:rsid w:val="00A9103B"/>
    <w:rsid w:val="00A91284"/>
    <w:rsid w:val="00A918A7"/>
    <w:rsid w:val="00A92871"/>
    <w:rsid w:val="00A955EB"/>
    <w:rsid w:val="00A96635"/>
    <w:rsid w:val="00AA1F49"/>
    <w:rsid w:val="00AA3A2E"/>
    <w:rsid w:val="00AA4099"/>
    <w:rsid w:val="00AA6913"/>
    <w:rsid w:val="00AB2190"/>
    <w:rsid w:val="00AB39EB"/>
    <w:rsid w:val="00AB3F27"/>
    <w:rsid w:val="00AB3FD9"/>
    <w:rsid w:val="00AB4CF3"/>
    <w:rsid w:val="00AB7DE7"/>
    <w:rsid w:val="00AC03AB"/>
    <w:rsid w:val="00AC0650"/>
    <w:rsid w:val="00AC1BE7"/>
    <w:rsid w:val="00AC275F"/>
    <w:rsid w:val="00AC3EE4"/>
    <w:rsid w:val="00AC50A4"/>
    <w:rsid w:val="00AC5A95"/>
    <w:rsid w:val="00AC6074"/>
    <w:rsid w:val="00AC6471"/>
    <w:rsid w:val="00AD12C8"/>
    <w:rsid w:val="00AD1751"/>
    <w:rsid w:val="00AD2B6E"/>
    <w:rsid w:val="00AD3443"/>
    <w:rsid w:val="00AD3C6C"/>
    <w:rsid w:val="00AD4B3C"/>
    <w:rsid w:val="00AD68A5"/>
    <w:rsid w:val="00AE185D"/>
    <w:rsid w:val="00AE1BFE"/>
    <w:rsid w:val="00AE3842"/>
    <w:rsid w:val="00AE3D83"/>
    <w:rsid w:val="00AE4374"/>
    <w:rsid w:val="00AE466A"/>
    <w:rsid w:val="00AE485C"/>
    <w:rsid w:val="00AE73BD"/>
    <w:rsid w:val="00AE7D4F"/>
    <w:rsid w:val="00AE7FE4"/>
    <w:rsid w:val="00AF0117"/>
    <w:rsid w:val="00AF17D3"/>
    <w:rsid w:val="00AF1D77"/>
    <w:rsid w:val="00AF38A9"/>
    <w:rsid w:val="00AF38BA"/>
    <w:rsid w:val="00AF4F67"/>
    <w:rsid w:val="00AF5811"/>
    <w:rsid w:val="00AF6509"/>
    <w:rsid w:val="00B00BBE"/>
    <w:rsid w:val="00B0456E"/>
    <w:rsid w:val="00B06A05"/>
    <w:rsid w:val="00B06BF6"/>
    <w:rsid w:val="00B06F7F"/>
    <w:rsid w:val="00B100F0"/>
    <w:rsid w:val="00B1022B"/>
    <w:rsid w:val="00B13F92"/>
    <w:rsid w:val="00B1402E"/>
    <w:rsid w:val="00B14865"/>
    <w:rsid w:val="00B14BE4"/>
    <w:rsid w:val="00B1642C"/>
    <w:rsid w:val="00B21D50"/>
    <w:rsid w:val="00B22F9B"/>
    <w:rsid w:val="00B23747"/>
    <w:rsid w:val="00B23E0A"/>
    <w:rsid w:val="00B24090"/>
    <w:rsid w:val="00B257E3"/>
    <w:rsid w:val="00B260C7"/>
    <w:rsid w:val="00B26A32"/>
    <w:rsid w:val="00B26A4F"/>
    <w:rsid w:val="00B27494"/>
    <w:rsid w:val="00B279B9"/>
    <w:rsid w:val="00B27BFD"/>
    <w:rsid w:val="00B347ED"/>
    <w:rsid w:val="00B34F48"/>
    <w:rsid w:val="00B377BC"/>
    <w:rsid w:val="00B46FD3"/>
    <w:rsid w:val="00B51BA0"/>
    <w:rsid w:val="00B535BD"/>
    <w:rsid w:val="00B53701"/>
    <w:rsid w:val="00B56A26"/>
    <w:rsid w:val="00B6110A"/>
    <w:rsid w:val="00B6176A"/>
    <w:rsid w:val="00B61E95"/>
    <w:rsid w:val="00B6301A"/>
    <w:rsid w:val="00B64CAD"/>
    <w:rsid w:val="00B651FA"/>
    <w:rsid w:val="00B66751"/>
    <w:rsid w:val="00B67AA6"/>
    <w:rsid w:val="00B7066C"/>
    <w:rsid w:val="00B717D8"/>
    <w:rsid w:val="00B72C9B"/>
    <w:rsid w:val="00B72DF3"/>
    <w:rsid w:val="00B74146"/>
    <w:rsid w:val="00B76F6C"/>
    <w:rsid w:val="00B8080B"/>
    <w:rsid w:val="00B811EF"/>
    <w:rsid w:val="00B82A91"/>
    <w:rsid w:val="00B831B9"/>
    <w:rsid w:val="00B846FB"/>
    <w:rsid w:val="00B86EF1"/>
    <w:rsid w:val="00B87EF3"/>
    <w:rsid w:val="00B90674"/>
    <w:rsid w:val="00B91FFF"/>
    <w:rsid w:val="00B923B8"/>
    <w:rsid w:val="00B934E3"/>
    <w:rsid w:val="00B94323"/>
    <w:rsid w:val="00B94444"/>
    <w:rsid w:val="00B9566B"/>
    <w:rsid w:val="00B95F92"/>
    <w:rsid w:val="00B961B7"/>
    <w:rsid w:val="00B963D4"/>
    <w:rsid w:val="00B9772B"/>
    <w:rsid w:val="00B97A6E"/>
    <w:rsid w:val="00BA2DEF"/>
    <w:rsid w:val="00BA35F2"/>
    <w:rsid w:val="00BA42FB"/>
    <w:rsid w:val="00BA4768"/>
    <w:rsid w:val="00BA4A92"/>
    <w:rsid w:val="00BA516F"/>
    <w:rsid w:val="00BA5CD5"/>
    <w:rsid w:val="00BA628C"/>
    <w:rsid w:val="00BA7059"/>
    <w:rsid w:val="00BB0051"/>
    <w:rsid w:val="00BB02C6"/>
    <w:rsid w:val="00BB1082"/>
    <w:rsid w:val="00BB1B8E"/>
    <w:rsid w:val="00BB2127"/>
    <w:rsid w:val="00BB3805"/>
    <w:rsid w:val="00BB4589"/>
    <w:rsid w:val="00BB52A5"/>
    <w:rsid w:val="00BB5893"/>
    <w:rsid w:val="00BB6740"/>
    <w:rsid w:val="00BB7EA1"/>
    <w:rsid w:val="00BB7F81"/>
    <w:rsid w:val="00BC269B"/>
    <w:rsid w:val="00BC27D2"/>
    <w:rsid w:val="00BD2BFE"/>
    <w:rsid w:val="00BD35E1"/>
    <w:rsid w:val="00BD54FC"/>
    <w:rsid w:val="00BD63C3"/>
    <w:rsid w:val="00BD67CE"/>
    <w:rsid w:val="00BD76A4"/>
    <w:rsid w:val="00BD7EBF"/>
    <w:rsid w:val="00BE1C8A"/>
    <w:rsid w:val="00BE4728"/>
    <w:rsid w:val="00BE4857"/>
    <w:rsid w:val="00BE4F8E"/>
    <w:rsid w:val="00BE5847"/>
    <w:rsid w:val="00BE5BE0"/>
    <w:rsid w:val="00BE697B"/>
    <w:rsid w:val="00BE70E8"/>
    <w:rsid w:val="00BF0E76"/>
    <w:rsid w:val="00BF19DC"/>
    <w:rsid w:val="00BF2B3E"/>
    <w:rsid w:val="00BF2DAF"/>
    <w:rsid w:val="00BF4E1B"/>
    <w:rsid w:val="00C01083"/>
    <w:rsid w:val="00C0480F"/>
    <w:rsid w:val="00C1043C"/>
    <w:rsid w:val="00C12A51"/>
    <w:rsid w:val="00C12CD1"/>
    <w:rsid w:val="00C14EB9"/>
    <w:rsid w:val="00C1591E"/>
    <w:rsid w:val="00C173EE"/>
    <w:rsid w:val="00C20D36"/>
    <w:rsid w:val="00C21038"/>
    <w:rsid w:val="00C2286B"/>
    <w:rsid w:val="00C2396B"/>
    <w:rsid w:val="00C26865"/>
    <w:rsid w:val="00C2785F"/>
    <w:rsid w:val="00C30BA6"/>
    <w:rsid w:val="00C31467"/>
    <w:rsid w:val="00C33AC8"/>
    <w:rsid w:val="00C33F0C"/>
    <w:rsid w:val="00C34CCB"/>
    <w:rsid w:val="00C34D57"/>
    <w:rsid w:val="00C35515"/>
    <w:rsid w:val="00C35807"/>
    <w:rsid w:val="00C35A4B"/>
    <w:rsid w:val="00C36696"/>
    <w:rsid w:val="00C36720"/>
    <w:rsid w:val="00C36777"/>
    <w:rsid w:val="00C37518"/>
    <w:rsid w:val="00C37F00"/>
    <w:rsid w:val="00C421C9"/>
    <w:rsid w:val="00C424C2"/>
    <w:rsid w:val="00C42A3A"/>
    <w:rsid w:val="00C4374A"/>
    <w:rsid w:val="00C437C6"/>
    <w:rsid w:val="00C4517F"/>
    <w:rsid w:val="00C45232"/>
    <w:rsid w:val="00C46E94"/>
    <w:rsid w:val="00C4713F"/>
    <w:rsid w:val="00C52097"/>
    <w:rsid w:val="00C52BA5"/>
    <w:rsid w:val="00C52F47"/>
    <w:rsid w:val="00C53323"/>
    <w:rsid w:val="00C54D8C"/>
    <w:rsid w:val="00C57493"/>
    <w:rsid w:val="00C603B2"/>
    <w:rsid w:val="00C605E6"/>
    <w:rsid w:val="00C64D07"/>
    <w:rsid w:val="00C66CEF"/>
    <w:rsid w:val="00C670FE"/>
    <w:rsid w:val="00C71087"/>
    <w:rsid w:val="00C71E3C"/>
    <w:rsid w:val="00C73C17"/>
    <w:rsid w:val="00C75492"/>
    <w:rsid w:val="00C77C78"/>
    <w:rsid w:val="00C813BD"/>
    <w:rsid w:val="00C8146C"/>
    <w:rsid w:val="00C8231E"/>
    <w:rsid w:val="00C846DD"/>
    <w:rsid w:val="00C85CA6"/>
    <w:rsid w:val="00C873DA"/>
    <w:rsid w:val="00C90A7F"/>
    <w:rsid w:val="00C9147E"/>
    <w:rsid w:val="00C925ED"/>
    <w:rsid w:val="00C9339F"/>
    <w:rsid w:val="00C96A10"/>
    <w:rsid w:val="00C9753B"/>
    <w:rsid w:val="00CA0C87"/>
    <w:rsid w:val="00CA19CD"/>
    <w:rsid w:val="00CA262D"/>
    <w:rsid w:val="00CA4A62"/>
    <w:rsid w:val="00CA561E"/>
    <w:rsid w:val="00CA5B58"/>
    <w:rsid w:val="00CA659E"/>
    <w:rsid w:val="00CB08E4"/>
    <w:rsid w:val="00CB23DD"/>
    <w:rsid w:val="00CB2757"/>
    <w:rsid w:val="00CB2FE7"/>
    <w:rsid w:val="00CB3B57"/>
    <w:rsid w:val="00CB42AE"/>
    <w:rsid w:val="00CB6768"/>
    <w:rsid w:val="00CB6C07"/>
    <w:rsid w:val="00CC17DB"/>
    <w:rsid w:val="00CC2F01"/>
    <w:rsid w:val="00CC5025"/>
    <w:rsid w:val="00CC6453"/>
    <w:rsid w:val="00CD2D8A"/>
    <w:rsid w:val="00CD31EA"/>
    <w:rsid w:val="00CD692F"/>
    <w:rsid w:val="00CE0392"/>
    <w:rsid w:val="00CE0753"/>
    <w:rsid w:val="00CE2303"/>
    <w:rsid w:val="00CE5481"/>
    <w:rsid w:val="00CE5482"/>
    <w:rsid w:val="00CE5866"/>
    <w:rsid w:val="00CF003F"/>
    <w:rsid w:val="00CF0045"/>
    <w:rsid w:val="00CF107E"/>
    <w:rsid w:val="00CF7194"/>
    <w:rsid w:val="00CF7C90"/>
    <w:rsid w:val="00CF7EA0"/>
    <w:rsid w:val="00D00600"/>
    <w:rsid w:val="00D00A29"/>
    <w:rsid w:val="00D01EA4"/>
    <w:rsid w:val="00D02612"/>
    <w:rsid w:val="00D0329F"/>
    <w:rsid w:val="00D04F9C"/>
    <w:rsid w:val="00D06299"/>
    <w:rsid w:val="00D06B2D"/>
    <w:rsid w:val="00D1045D"/>
    <w:rsid w:val="00D1267C"/>
    <w:rsid w:val="00D133AA"/>
    <w:rsid w:val="00D13B0B"/>
    <w:rsid w:val="00D13CB0"/>
    <w:rsid w:val="00D13CCF"/>
    <w:rsid w:val="00D14CF7"/>
    <w:rsid w:val="00D1576E"/>
    <w:rsid w:val="00D15E67"/>
    <w:rsid w:val="00D20ABB"/>
    <w:rsid w:val="00D24AEE"/>
    <w:rsid w:val="00D2546D"/>
    <w:rsid w:val="00D26A33"/>
    <w:rsid w:val="00D3073E"/>
    <w:rsid w:val="00D31676"/>
    <w:rsid w:val="00D316C8"/>
    <w:rsid w:val="00D337D5"/>
    <w:rsid w:val="00D34817"/>
    <w:rsid w:val="00D365BB"/>
    <w:rsid w:val="00D3795A"/>
    <w:rsid w:val="00D37AB5"/>
    <w:rsid w:val="00D40C74"/>
    <w:rsid w:val="00D4181D"/>
    <w:rsid w:val="00D43282"/>
    <w:rsid w:val="00D43EA4"/>
    <w:rsid w:val="00D44508"/>
    <w:rsid w:val="00D47810"/>
    <w:rsid w:val="00D5128E"/>
    <w:rsid w:val="00D52FD0"/>
    <w:rsid w:val="00D54385"/>
    <w:rsid w:val="00D6259C"/>
    <w:rsid w:val="00D62EAC"/>
    <w:rsid w:val="00D63B91"/>
    <w:rsid w:val="00D64A4A"/>
    <w:rsid w:val="00D6679C"/>
    <w:rsid w:val="00D72F5D"/>
    <w:rsid w:val="00D73EE6"/>
    <w:rsid w:val="00D742D2"/>
    <w:rsid w:val="00D744DC"/>
    <w:rsid w:val="00D75CF7"/>
    <w:rsid w:val="00D75F59"/>
    <w:rsid w:val="00D776C3"/>
    <w:rsid w:val="00D80153"/>
    <w:rsid w:val="00D8028F"/>
    <w:rsid w:val="00D8111B"/>
    <w:rsid w:val="00D81AC7"/>
    <w:rsid w:val="00D83E45"/>
    <w:rsid w:val="00D842CD"/>
    <w:rsid w:val="00D8495C"/>
    <w:rsid w:val="00D85B75"/>
    <w:rsid w:val="00D86261"/>
    <w:rsid w:val="00D86737"/>
    <w:rsid w:val="00D8696A"/>
    <w:rsid w:val="00D90F5A"/>
    <w:rsid w:val="00D9153B"/>
    <w:rsid w:val="00D95903"/>
    <w:rsid w:val="00D95D78"/>
    <w:rsid w:val="00DA0298"/>
    <w:rsid w:val="00DA0810"/>
    <w:rsid w:val="00DA1777"/>
    <w:rsid w:val="00DA3FCE"/>
    <w:rsid w:val="00DA4A01"/>
    <w:rsid w:val="00DB11DA"/>
    <w:rsid w:val="00DB2BE7"/>
    <w:rsid w:val="00DB4203"/>
    <w:rsid w:val="00DB61F0"/>
    <w:rsid w:val="00DB7CA1"/>
    <w:rsid w:val="00DC094F"/>
    <w:rsid w:val="00DC24B5"/>
    <w:rsid w:val="00DC25DA"/>
    <w:rsid w:val="00DC4C59"/>
    <w:rsid w:val="00DC5149"/>
    <w:rsid w:val="00DC68E1"/>
    <w:rsid w:val="00DC7FCE"/>
    <w:rsid w:val="00DD1B88"/>
    <w:rsid w:val="00DD334C"/>
    <w:rsid w:val="00DD3C08"/>
    <w:rsid w:val="00DE0476"/>
    <w:rsid w:val="00DE1B2F"/>
    <w:rsid w:val="00DE1C5A"/>
    <w:rsid w:val="00DE2AAC"/>
    <w:rsid w:val="00DE5E04"/>
    <w:rsid w:val="00DE6634"/>
    <w:rsid w:val="00DF1125"/>
    <w:rsid w:val="00DF27AC"/>
    <w:rsid w:val="00DF28E7"/>
    <w:rsid w:val="00DF2FD1"/>
    <w:rsid w:val="00DF399A"/>
    <w:rsid w:val="00DF447B"/>
    <w:rsid w:val="00DF461B"/>
    <w:rsid w:val="00DF5E73"/>
    <w:rsid w:val="00DF6280"/>
    <w:rsid w:val="00DF7B14"/>
    <w:rsid w:val="00E00009"/>
    <w:rsid w:val="00E01EF4"/>
    <w:rsid w:val="00E02CF2"/>
    <w:rsid w:val="00E04947"/>
    <w:rsid w:val="00E069F7"/>
    <w:rsid w:val="00E06C35"/>
    <w:rsid w:val="00E0710D"/>
    <w:rsid w:val="00E07F71"/>
    <w:rsid w:val="00E10BA0"/>
    <w:rsid w:val="00E114D8"/>
    <w:rsid w:val="00E12124"/>
    <w:rsid w:val="00E1256E"/>
    <w:rsid w:val="00E1347F"/>
    <w:rsid w:val="00E1621B"/>
    <w:rsid w:val="00E177BE"/>
    <w:rsid w:val="00E21114"/>
    <w:rsid w:val="00E22B84"/>
    <w:rsid w:val="00E26045"/>
    <w:rsid w:val="00E26BDB"/>
    <w:rsid w:val="00E27304"/>
    <w:rsid w:val="00E304D5"/>
    <w:rsid w:val="00E33084"/>
    <w:rsid w:val="00E337F5"/>
    <w:rsid w:val="00E339E4"/>
    <w:rsid w:val="00E34EBC"/>
    <w:rsid w:val="00E37211"/>
    <w:rsid w:val="00E37848"/>
    <w:rsid w:val="00E378D6"/>
    <w:rsid w:val="00E3798F"/>
    <w:rsid w:val="00E4034D"/>
    <w:rsid w:val="00E404B3"/>
    <w:rsid w:val="00E41EE7"/>
    <w:rsid w:val="00E42084"/>
    <w:rsid w:val="00E44854"/>
    <w:rsid w:val="00E45510"/>
    <w:rsid w:val="00E471CF"/>
    <w:rsid w:val="00E47AD0"/>
    <w:rsid w:val="00E55808"/>
    <w:rsid w:val="00E559EA"/>
    <w:rsid w:val="00E5696D"/>
    <w:rsid w:val="00E56E45"/>
    <w:rsid w:val="00E6161C"/>
    <w:rsid w:val="00E6264C"/>
    <w:rsid w:val="00E62DEC"/>
    <w:rsid w:val="00E63233"/>
    <w:rsid w:val="00E63FE6"/>
    <w:rsid w:val="00E65960"/>
    <w:rsid w:val="00E65F8A"/>
    <w:rsid w:val="00E66ECB"/>
    <w:rsid w:val="00E67486"/>
    <w:rsid w:val="00E67F2D"/>
    <w:rsid w:val="00E727CE"/>
    <w:rsid w:val="00E73D84"/>
    <w:rsid w:val="00E73E6C"/>
    <w:rsid w:val="00E749E1"/>
    <w:rsid w:val="00E8007A"/>
    <w:rsid w:val="00E80578"/>
    <w:rsid w:val="00E80B43"/>
    <w:rsid w:val="00E833CB"/>
    <w:rsid w:val="00E83995"/>
    <w:rsid w:val="00E83CBA"/>
    <w:rsid w:val="00E83D2E"/>
    <w:rsid w:val="00E83FB2"/>
    <w:rsid w:val="00E844D4"/>
    <w:rsid w:val="00E90615"/>
    <w:rsid w:val="00E91FE0"/>
    <w:rsid w:val="00E93479"/>
    <w:rsid w:val="00E95AC2"/>
    <w:rsid w:val="00E97167"/>
    <w:rsid w:val="00E97DBB"/>
    <w:rsid w:val="00EA0169"/>
    <w:rsid w:val="00EA093A"/>
    <w:rsid w:val="00EA3781"/>
    <w:rsid w:val="00EA5023"/>
    <w:rsid w:val="00EA7061"/>
    <w:rsid w:val="00EA7C5B"/>
    <w:rsid w:val="00EA7EC1"/>
    <w:rsid w:val="00EB13FE"/>
    <w:rsid w:val="00EB254B"/>
    <w:rsid w:val="00EB39F1"/>
    <w:rsid w:val="00EB460F"/>
    <w:rsid w:val="00EB472E"/>
    <w:rsid w:val="00EB5434"/>
    <w:rsid w:val="00EB5D6C"/>
    <w:rsid w:val="00EB6A9B"/>
    <w:rsid w:val="00EB76D6"/>
    <w:rsid w:val="00EC0178"/>
    <w:rsid w:val="00EC049F"/>
    <w:rsid w:val="00EC11E3"/>
    <w:rsid w:val="00EC2A76"/>
    <w:rsid w:val="00EC2CEE"/>
    <w:rsid w:val="00EC77A5"/>
    <w:rsid w:val="00ED024E"/>
    <w:rsid w:val="00ED194C"/>
    <w:rsid w:val="00ED2C26"/>
    <w:rsid w:val="00ED3898"/>
    <w:rsid w:val="00ED5EC2"/>
    <w:rsid w:val="00EE0DF2"/>
    <w:rsid w:val="00EE1124"/>
    <w:rsid w:val="00EE1AAB"/>
    <w:rsid w:val="00EE21DD"/>
    <w:rsid w:val="00EE56DF"/>
    <w:rsid w:val="00EE5ED7"/>
    <w:rsid w:val="00EE64CC"/>
    <w:rsid w:val="00EE6D6B"/>
    <w:rsid w:val="00EF18F6"/>
    <w:rsid w:val="00EF1A24"/>
    <w:rsid w:val="00EF1BF1"/>
    <w:rsid w:val="00EF69D0"/>
    <w:rsid w:val="00EF71E1"/>
    <w:rsid w:val="00F0066E"/>
    <w:rsid w:val="00F01BD5"/>
    <w:rsid w:val="00F024E3"/>
    <w:rsid w:val="00F0264E"/>
    <w:rsid w:val="00F02815"/>
    <w:rsid w:val="00F05A59"/>
    <w:rsid w:val="00F05EAF"/>
    <w:rsid w:val="00F06D7C"/>
    <w:rsid w:val="00F1049D"/>
    <w:rsid w:val="00F119F0"/>
    <w:rsid w:val="00F129FB"/>
    <w:rsid w:val="00F147FD"/>
    <w:rsid w:val="00F15FC1"/>
    <w:rsid w:val="00F166CE"/>
    <w:rsid w:val="00F17762"/>
    <w:rsid w:val="00F221F5"/>
    <w:rsid w:val="00F23C5A"/>
    <w:rsid w:val="00F23E91"/>
    <w:rsid w:val="00F24395"/>
    <w:rsid w:val="00F261BC"/>
    <w:rsid w:val="00F277D4"/>
    <w:rsid w:val="00F31104"/>
    <w:rsid w:val="00F33E65"/>
    <w:rsid w:val="00F34E93"/>
    <w:rsid w:val="00F41B50"/>
    <w:rsid w:val="00F43F5A"/>
    <w:rsid w:val="00F44511"/>
    <w:rsid w:val="00F4474B"/>
    <w:rsid w:val="00F46781"/>
    <w:rsid w:val="00F5097D"/>
    <w:rsid w:val="00F513E5"/>
    <w:rsid w:val="00F5219B"/>
    <w:rsid w:val="00F53138"/>
    <w:rsid w:val="00F534C0"/>
    <w:rsid w:val="00F54930"/>
    <w:rsid w:val="00F5523B"/>
    <w:rsid w:val="00F56366"/>
    <w:rsid w:val="00F60C8D"/>
    <w:rsid w:val="00F623B6"/>
    <w:rsid w:val="00F6280F"/>
    <w:rsid w:val="00F62819"/>
    <w:rsid w:val="00F6394B"/>
    <w:rsid w:val="00F6653B"/>
    <w:rsid w:val="00F708D9"/>
    <w:rsid w:val="00F70A04"/>
    <w:rsid w:val="00F720FB"/>
    <w:rsid w:val="00F721C2"/>
    <w:rsid w:val="00F77B5C"/>
    <w:rsid w:val="00F80602"/>
    <w:rsid w:val="00F81376"/>
    <w:rsid w:val="00F84C20"/>
    <w:rsid w:val="00F87614"/>
    <w:rsid w:val="00F92112"/>
    <w:rsid w:val="00F9230A"/>
    <w:rsid w:val="00F92366"/>
    <w:rsid w:val="00F92753"/>
    <w:rsid w:val="00F9598E"/>
    <w:rsid w:val="00F96B32"/>
    <w:rsid w:val="00F9735A"/>
    <w:rsid w:val="00FA42F4"/>
    <w:rsid w:val="00FA6502"/>
    <w:rsid w:val="00FB01A0"/>
    <w:rsid w:val="00FB0730"/>
    <w:rsid w:val="00FB0BC1"/>
    <w:rsid w:val="00FB14A0"/>
    <w:rsid w:val="00FB4E4A"/>
    <w:rsid w:val="00FB6D3A"/>
    <w:rsid w:val="00FB7924"/>
    <w:rsid w:val="00FB7F35"/>
    <w:rsid w:val="00FC091A"/>
    <w:rsid w:val="00FC11D6"/>
    <w:rsid w:val="00FC48DD"/>
    <w:rsid w:val="00FC569E"/>
    <w:rsid w:val="00FC67E5"/>
    <w:rsid w:val="00FC6BFF"/>
    <w:rsid w:val="00FC710C"/>
    <w:rsid w:val="00FC7B5F"/>
    <w:rsid w:val="00FD0393"/>
    <w:rsid w:val="00FD04EB"/>
    <w:rsid w:val="00FD1036"/>
    <w:rsid w:val="00FD131D"/>
    <w:rsid w:val="00FD3A92"/>
    <w:rsid w:val="00FD5177"/>
    <w:rsid w:val="00FE35E1"/>
    <w:rsid w:val="00FE3AFC"/>
    <w:rsid w:val="00FE6D86"/>
    <w:rsid w:val="00FF0DA7"/>
    <w:rsid w:val="00FF3276"/>
    <w:rsid w:val="00FF4397"/>
    <w:rsid w:val="00FF4A2D"/>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E46D8"/>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Ref,de nota al pie,16 Point,Superscript 6 Point,BVI fnr,Error-Fußnotenzeichen5,Error-Fußnotenzeichen6,Error-Fußnotenzeichen3,Footnote Reference1,Footnote Reference Number,Footnote Reference_LVL6,Footnote Reference_LVL61,f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Bullets,List Paragraph1,Akapit z listą BS,WB Para,Table of contents numbered,Graphic,List Paragraph Char Char,Resume Title,heading 4,ADB paragraph numbering,references,lp1,Bullet List,TOC style,Bullets1,H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WB Para Char,Table of contents numbered Char,Graphic Char,List Paragraph Char Char Char,Resume Title Char,heading 4 Char,references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numbering" w:customStyle="1" w:styleId="NoList1">
    <w:name w:val="No List1"/>
    <w:next w:val="NoList"/>
    <w:uiPriority w:val="99"/>
    <w:semiHidden/>
    <w:unhideWhenUsed/>
    <w:rsid w:val="003A3CB7"/>
  </w:style>
  <w:style w:type="paragraph" w:styleId="NormalWeb">
    <w:name w:val="Normal (Web)"/>
    <w:basedOn w:val="Normal"/>
    <w:uiPriority w:val="99"/>
    <w:semiHidden/>
    <w:unhideWhenUsed/>
    <w:rsid w:val="003A3CB7"/>
    <w:pPr>
      <w:spacing w:before="100" w:beforeAutospacing="1" w:after="100" w:afterAutospacing="1"/>
    </w:pPr>
    <w:rPr>
      <w:rFonts w:ascii="Times" w:hAnsi="Times"/>
      <w:sz w:val="24"/>
      <w:szCs w:val="24"/>
      <w:lang w:val="en-AU"/>
    </w:rPr>
  </w:style>
  <w:style w:type="character" w:styleId="EndnoteReference">
    <w:name w:val="endnote reference"/>
    <w:basedOn w:val="DefaultParagraphFont"/>
    <w:uiPriority w:val="99"/>
    <w:semiHidden/>
    <w:unhideWhenUsed/>
    <w:rsid w:val="003A3CB7"/>
    <w:rPr>
      <w:vertAlign w:val="superscript"/>
    </w:rPr>
  </w:style>
  <w:style w:type="paragraph" w:styleId="TOCHeading">
    <w:name w:val="TOC Heading"/>
    <w:basedOn w:val="Heading1"/>
    <w:next w:val="Normal"/>
    <w:uiPriority w:val="39"/>
    <w:unhideWhenUsed/>
    <w:qFormat/>
    <w:rsid w:val="003A3CB7"/>
    <w:pPr>
      <w:keepLines/>
      <w:widowControl/>
      <w:suppressAutoHyphens w:val="0"/>
      <w:spacing w:before="24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3A3CB7"/>
    <w:pPr>
      <w:spacing w:after="100"/>
    </w:pPr>
  </w:style>
  <w:style w:type="paragraph" w:styleId="NoSpacing">
    <w:name w:val="No Spacing"/>
    <w:uiPriority w:val="1"/>
    <w:qFormat/>
    <w:rsid w:val="00D85B7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9915096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undp.org/content/undp/en/home/operations/accountability/programme_and_operationspoliciesandprocedures.htm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info.undp.org/global/popp/rma/Pages/internal-control-framewor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A177D7-3DDA-4B89-AB62-62E2E884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5798</Words>
  <Characters>35255</Characters>
  <Application>Microsoft Office Word</Application>
  <DocSecurity>0</DocSecurity>
  <Lines>859</Lines>
  <Paragraphs>277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40776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2018-02-20T19:27:00Z</cp:lastPrinted>
  <dcterms:created xsi:type="dcterms:W3CDTF">2018-03-06T15:58:00Z</dcterms:created>
  <dcterms:modified xsi:type="dcterms:W3CDTF">2018-03-06T16:29:00Z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