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8276C" w14:textId="77777777" w:rsidR="001E1D12" w:rsidRPr="001E1D12" w:rsidRDefault="001E1D12" w:rsidP="009A3A7E">
      <w:pPr>
        <w:spacing w:after="0" w:line="240" w:lineRule="auto"/>
        <w:jc w:val="center"/>
        <w:rPr>
          <w:rFonts w:ascii="Calibri" w:eastAsia="Calibri" w:hAnsi="Calibri" w:cs="Times New Roman"/>
          <w:b/>
          <w:sz w:val="24"/>
          <w:szCs w:val="24"/>
        </w:rPr>
      </w:pPr>
      <w:bookmarkStart w:id="0" w:name="_GoBack"/>
      <w:bookmarkEnd w:id="0"/>
      <w:r w:rsidRPr="001E1D12">
        <w:rPr>
          <w:rFonts w:ascii="Calibri" w:eastAsia="Calibri" w:hAnsi="Calibri" w:cs="Times New Roman"/>
          <w:b/>
          <w:sz w:val="24"/>
          <w:szCs w:val="24"/>
        </w:rPr>
        <w:t>UN PACIFIC STRATEGY RESULTS FRAMEWORK</w:t>
      </w:r>
    </w:p>
    <w:p w14:paraId="25FD2264" w14:textId="25782CC2" w:rsidR="001E1D12" w:rsidRDefault="00F13B4C" w:rsidP="001E1D12">
      <w:pPr>
        <w:spacing w:after="0" w:line="240" w:lineRule="auto"/>
        <w:ind w:left="-284"/>
        <w:jc w:val="center"/>
      </w:pPr>
      <w:r>
        <w:rPr>
          <w:rFonts w:ascii="Calibri" w:eastAsia="Calibri" w:hAnsi="Calibri" w:cs="Times New Roman"/>
          <w:sz w:val="24"/>
          <w:szCs w:val="24"/>
        </w:rPr>
        <w:t xml:space="preserve"> (Last updated 25</w:t>
      </w:r>
      <w:r w:rsidR="001E1D12" w:rsidRPr="001E1D12">
        <w:rPr>
          <w:rFonts w:ascii="Calibri" w:eastAsia="Calibri" w:hAnsi="Calibri" w:cs="Times New Roman"/>
          <w:sz w:val="24"/>
          <w:szCs w:val="24"/>
        </w:rPr>
        <w:t xml:space="preserve"> </w:t>
      </w:r>
      <w:r w:rsidR="00313BEB">
        <w:rPr>
          <w:rFonts w:ascii="Calibri" w:eastAsia="Calibri" w:hAnsi="Calibri" w:cs="Times New Roman"/>
          <w:sz w:val="24"/>
          <w:szCs w:val="24"/>
        </w:rPr>
        <w:t>April</w:t>
      </w:r>
      <w:r w:rsidR="001E1D12" w:rsidRPr="001E1D12">
        <w:rPr>
          <w:rFonts w:ascii="Calibri" w:eastAsia="Calibri" w:hAnsi="Calibri" w:cs="Times New Roman"/>
          <w:sz w:val="24"/>
          <w:szCs w:val="24"/>
        </w:rPr>
        <w:t xml:space="preserve"> </w:t>
      </w:r>
      <w:r w:rsidR="001E1D12">
        <w:rPr>
          <w:rFonts w:ascii="Calibri" w:eastAsia="Calibri" w:hAnsi="Calibri" w:cs="Times New Roman"/>
          <w:sz w:val="24"/>
          <w:szCs w:val="24"/>
        </w:rPr>
        <w:t>UNPS</w:t>
      </w:r>
      <w:r w:rsidR="001E1D12" w:rsidRPr="001E1D12">
        <w:rPr>
          <w:rFonts w:ascii="Calibri" w:eastAsia="Calibri" w:hAnsi="Calibri" w:cs="Times New Roman"/>
          <w:sz w:val="24"/>
          <w:szCs w:val="24"/>
        </w:rPr>
        <w:t xml:space="preserve"> 2017)</w:t>
      </w:r>
    </w:p>
    <w:tbl>
      <w:tblPr>
        <w:tblStyle w:val="TableGrid"/>
        <w:tblW w:w="15774" w:type="dxa"/>
        <w:tblInd w:w="-10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
        <w:gridCol w:w="668"/>
        <w:gridCol w:w="4565"/>
        <w:gridCol w:w="2082"/>
        <w:gridCol w:w="2177"/>
        <w:gridCol w:w="3095"/>
        <w:gridCol w:w="3153"/>
        <w:gridCol w:w="24"/>
      </w:tblGrid>
      <w:tr w:rsidR="001E1D12" w:rsidRPr="001E1D12" w14:paraId="2A1D2832" w14:textId="77777777" w:rsidTr="001E1D12">
        <w:trPr>
          <w:gridBefore w:val="1"/>
          <w:gridAfter w:val="1"/>
          <w:wBefore w:w="10" w:type="dxa"/>
          <w:wAfter w:w="24" w:type="dxa"/>
          <w:trHeight w:val="644"/>
        </w:trPr>
        <w:tc>
          <w:tcPr>
            <w:tcW w:w="15740" w:type="dxa"/>
            <w:gridSpan w:val="6"/>
            <w:shd w:val="clear" w:color="auto" w:fill="002060"/>
          </w:tcPr>
          <w:p w14:paraId="7B1D2D18" w14:textId="77777777" w:rsidR="001E1D12" w:rsidRPr="00B6509B" w:rsidRDefault="001E1D12" w:rsidP="001E1D12">
            <w:pPr>
              <w:jc w:val="center"/>
              <w:rPr>
                <w:rFonts w:ascii="Calibri" w:eastAsia="Calibri" w:hAnsi="Calibri" w:cs="Times New Roman"/>
                <w:b/>
              </w:rPr>
            </w:pPr>
            <w:r w:rsidRPr="00B6509B">
              <w:rPr>
                <w:rFonts w:ascii="Calibri" w:eastAsia="Calibri" w:hAnsi="Calibri" w:cs="Times New Roman"/>
                <w:b/>
              </w:rPr>
              <w:t>UN PACIFIC STRATEGY RESULTS FRAMEWORK</w:t>
            </w:r>
          </w:p>
          <w:p w14:paraId="2957D899" w14:textId="77777777" w:rsidR="001E1D12" w:rsidRPr="001E1D12" w:rsidRDefault="001E1D12" w:rsidP="001E1D12">
            <w:pPr>
              <w:jc w:val="center"/>
              <w:rPr>
                <w:rFonts w:ascii="Calibri" w:eastAsia="Calibri" w:hAnsi="Calibri" w:cs="Times New Roman"/>
                <w:b/>
                <w:sz w:val="28"/>
                <w:szCs w:val="28"/>
              </w:rPr>
            </w:pPr>
            <w:r w:rsidRPr="00B6509B">
              <w:rPr>
                <w:rFonts w:ascii="Calibri" w:eastAsia="Calibri" w:hAnsi="Calibri" w:cs="Times New Roman"/>
                <w:b/>
              </w:rPr>
              <w:t>2018 – 2022</w:t>
            </w:r>
          </w:p>
        </w:tc>
      </w:tr>
      <w:tr w:rsidR="001E1D12" w:rsidRPr="001E1D12" w14:paraId="043149EA" w14:textId="77777777" w:rsidTr="001E1D12">
        <w:trPr>
          <w:gridBefore w:val="1"/>
          <w:gridAfter w:val="1"/>
          <w:wBefore w:w="10" w:type="dxa"/>
          <w:wAfter w:w="24" w:type="dxa"/>
          <w:trHeight w:val="104"/>
        </w:trPr>
        <w:tc>
          <w:tcPr>
            <w:tcW w:w="15740" w:type="dxa"/>
            <w:gridSpan w:val="6"/>
            <w:shd w:val="clear" w:color="auto" w:fill="DEEAF6"/>
          </w:tcPr>
          <w:p w14:paraId="3B9BCBFF" w14:textId="77777777" w:rsidR="001E1D12" w:rsidRPr="00B6509B" w:rsidRDefault="001E1D12" w:rsidP="001E1D12">
            <w:pPr>
              <w:rPr>
                <w:rFonts w:ascii="Calibri" w:eastAsia="Calibri" w:hAnsi="Calibri" w:cs="Helvetica"/>
                <w:color w:val="354257"/>
                <w:sz w:val="18"/>
                <w:szCs w:val="18"/>
              </w:rPr>
            </w:pPr>
            <w:r w:rsidRPr="00B6509B">
              <w:rPr>
                <w:rFonts w:ascii="Calibri" w:eastAsia="Calibri" w:hAnsi="Calibri" w:cs="Times New Roman"/>
                <w:b/>
                <w:sz w:val="18"/>
                <w:szCs w:val="18"/>
              </w:rPr>
              <w:t>Outcome 1:</w:t>
            </w:r>
            <w:r w:rsidRPr="00B6509B">
              <w:rPr>
                <w:rFonts w:ascii="Calibri" w:eastAsia="Calibri" w:hAnsi="Calibri" w:cs="Helvetica"/>
                <w:color w:val="354257"/>
                <w:sz w:val="18"/>
                <w:szCs w:val="18"/>
              </w:rPr>
              <w:t xml:space="preserve"> </w:t>
            </w:r>
            <w:r w:rsidRPr="00B6509B">
              <w:rPr>
                <w:rFonts w:ascii="Calibri" w:eastAsia="Calibri" w:hAnsi="Calibri" w:cs="Helvetica"/>
                <w:b/>
                <w:color w:val="354257"/>
                <w:sz w:val="18"/>
                <w:szCs w:val="18"/>
              </w:rPr>
              <w:t>Climate Change, Disaster Resilience and Environmental Protection</w:t>
            </w:r>
          </w:p>
          <w:p w14:paraId="62EDDA90" w14:textId="77777777" w:rsidR="001E1D12" w:rsidRPr="00B6509B" w:rsidRDefault="001E1D12" w:rsidP="001E1D12">
            <w:pPr>
              <w:shd w:val="clear" w:color="auto" w:fill="DEEAF6"/>
              <w:rPr>
                <w:rFonts w:ascii="Calibri" w:eastAsia="Calibri" w:hAnsi="Calibri" w:cs="Helvetica"/>
                <w:b/>
                <w:color w:val="354257"/>
                <w:sz w:val="18"/>
                <w:szCs w:val="18"/>
              </w:rPr>
            </w:pPr>
          </w:p>
          <w:p w14:paraId="59E6B9DA" w14:textId="77777777" w:rsidR="001E1D12" w:rsidRPr="00B6509B" w:rsidRDefault="001E1D12" w:rsidP="001E1D12">
            <w:pPr>
              <w:shd w:val="clear" w:color="auto" w:fill="DEEAF6"/>
              <w:rPr>
                <w:rFonts w:ascii="Calibri" w:eastAsia="Calibri" w:hAnsi="Calibri" w:cs="Times New Roman"/>
                <w:sz w:val="18"/>
                <w:szCs w:val="18"/>
              </w:rPr>
            </w:pPr>
            <w:r w:rsidRPr="00B6509B">
              <w:rPr>
                <w:rFonts w:ascii="Calibri" w:eastAsia="Calibri" w:hAnsi="Calibri" w:cs="Helvetica"/>
                <w:b/>
                <w:color w:val="354257"/>
                <w:sz w:val="18"/>
                <w:szCs w:val="18"/>
              </w:rPr>
              <w:t>Outcome Statement:</w:t>
            </w:r>
            <w:r w:rsidRPr="00B6509B">
              <w:rPr>
                <w:rFonts w:ascii="Calibri" w:eastAsia="Calibri" w:hAnsi="Calibri" w:cs="Helvetica"/>
                <w:color w:val="354257"/>
                <w:sz w:val="18"/>
                <w:szCs w:val="18"/>
              </w:rPr>
              <w:t xml:space="preserve"> </w:t>
            </w:r>
            <w:r w:rsidRPr="00B6509B">
              <w:rPr>
                <w:rFonts w:ascii="Calibri" w:eastAsia="Calibri" w:hAnsi="Calibri" w:cs="Times New Roman"/>
                <w:sz w:val="18"/>
                <w:szCs w:val="18"/>
              </w:rPr>
              <w:t>By 2022, people and ecosystems in the Pacific are more resilient to the impacts of climate change, climate variability and disasters; and environmental protection is strengthened.</w:t>
            </w:r>
          </w:p>
          <w:p w14:paraId="0374BD7C" w14:textId="77777777" w:rsidR="001E1D12" w:rsidRPr="00B6509B" w:rsidRDefault="001E1D12" w:rsidP="001E1D12">
            <w:pPr>
              <w:rPr>
                <w:rFonts w:ascii="Calibri" w:eastAsia="Calibri" w:hAnsi="Calibri" w:cs="Helvetica"/>
                <w:b/>
                <w:sz w:val="18"/>
                <w:szCs w:val="18"/>
              </w:rPr>
            </w:pPr>
          </w:p>
          <w:p w14:paraId="3095F6FE" w14:textId="54C1FE60" w:rsidR="001E1D12" w:rsidRPr="001E1D12" w:rsidRDefault="001E1D12" w:rsidP="001E1D12">
            <w:pPr>
              <w:shd w:val="clear" w:color="auto" w:fill="DEEAF6"/>
              <w:rPr>
                <w:rFonts w:ascii="Calibri" w:eastAsia="Calibri" w:hAnsi="Calibri" w:cs="Helvetica"/>
                <w:color w:val="FF0000"/>
                <w:sz w:val="20"/>
                <w:szCs w:val="20"/>
              </w:rPr>
            </w:pPr>
            <w:r w:rsidRPr="00B6509B">
              <w:rPr>
                <w:rFonts w:ascii="Calibri" w:eastAsia="Calibri" w:hAnsi="Calibri" w:cs="Helvetica"/>
                <w:b/>
                <w:sz w:val="18"/>
                <w:szCs w:val="18"/>
              </w:rPr>
              <w:t>Collaborating agencies</w:t>
            </w:r>
            <w:r w:rsidRPr="00B6509B">
              <w:rPr>
                <w:rFonts w:ascii="Calibri" w:eastAsia="Calibri" w:hAnsi="Calibri" w:cs="Helvetica"/>
                <w:b/>
                <w:sz w:val="18"/>
                <w:szCs w:val="18"/>
                <w:vertAlign w:val="superscript"/>
              </w:rPr>
              <w:footnoteReference w:id="1"/>
            </w:r>
            <w:r w:rsidRPr="00B6509B">
              <w:rPr>
                <w:rFonts w:ascii="Calibri" w:eastAsia="Calibri" w:hAnsi="Calibri" w:cs="Helvetica"/>
                <w:b/>
                <w:sz w:val="18"/>
                <w:szCs w:val="18"/>
              </w:rPr>
              <w:t>:</w:t>
            </w:r>
            <w:r w:rsidRPr="00B6509B">
              <w:rPr>
                <w:rFonts w:ascii="Calibri" w:eastAsia="Calibri" w:hAnsi="Calibri" w:cs="Helvetica"/>
                <w:sz w:val="18"/>
                <w:szCs w:val="18"/>
              </w:rPr>
              <w:t xml:space="preserve"> </w:t>
            </w:r>
            <w:r w:rsidRPr="00B6509B">
              <w:rPr>
                <w:rFonts w:ascii="Calibri" w:eastAsia="Calibri" w:hAnsi="Calibri" w:cs="Helvetica"/>
                <w:bCs/>
                <w:sz w:val="18"/>
                <w:szCs w:val="18"/>
              </w:rPr>
              <w:t xml:space="preserve">FAO; ILO; IOM; UNDP; </w:t>
            </w:r>
            <w:r w:rsidR="00B34482">
              <w:rPr>
                <w:rFonts w:ascii="Calibri" w:eastAsia="Calibri" w:hAnsi="Calibri" w:cs="Helvetica"/>
                <w:bCs/>
                <w:sz w:val="18"/>
                <w:szCs w:val="18"/>
              </w:rPr>
              <w:t xml:space="preserve">UNEP; </w:t>
            </w:r>
            <w:r w:rsidRPr="00B6509B">
              <w:rPr>
                <w:rFonts w:ascii="Calibri" w:eastAsia="Calibri" w:hAnsi="Calibri" w:cs="Helvetica"/>
                <w:bCs/>
                <w:sz w:val="18"/>
                <w:szCs w:val="18"/>
              </w:rPr>
              <w:t>UNESCAP; UNESCO; UNFPA; UNHABITAT; UNICEF; UNISDR; UNODC; OHCHR; UN Women;  WHO; WMO</w:t>
            </w:r>
          </w:p>
        </w:tc>
      </w:tr>
      <w:tr w:rsidR="001E1D12" w:rsidRPr="00653E49" w14:paraId="4C1264B7" w14:textId="77777777" w:rsidTr="001E1D12">
        <w:trPr>
          <w:trHeight w:val="402"/>
        </w:trPr>
        <w:tc>
          <w:tcPr>
            <w:tcW w:w="678" w:type="dxa"/>
            <w:gridSpan w:val="2"/>
            <w:shd w:val="clear" w:color="auto" w:fill="D9D9D9" w:themeFill="background1" w:themeFillShade="D9"/>
          </w:tcPr>
          <w:p w14:paraId="71ED4F1A" w14:textId="77777777" w:rsidR="001E1D12" w:rsidRPr="00B6509B" w:rsidRDefault="001E1D12" w:rsidP="00B6509B">
            <w:pPr>
              <w:jc w:val="both"/>
              <w:rPr>
                <w:i/>
                <w:sz w:val="18"/>
                <w:szCs w:val="18"/>
              </w:rPr>
            </w:pPr>
          </w:p>
        </w:tc>
        <w:tc>
          <w:tcPr>
            <w:tcW w:w="4565" w:type="dxa"/>
            <w:shd w:val="clear" w:color="auto" w:fill="D9D9D9" w:themeFill="background1" w:themeFillShade="D9"/>
          </w:tcPr>
          <w:p w14:paraId="38008205" w14:textId="77777777" w:rsidR="001E1D12" w:rsidRPr="00B6509B" w:rsidRDefault="001E1D12" w:rsidP="00B6509B">
            <w:pPr>
              <w:widowControl w:val="0"/>
              <w:autoSpaceDE w:val="0"/>
              <w:autoSpaceDN w:val="0"/>
              <w:adjustRightInd w:val="0"/>
              <w:jc w:val="both"/>
              <w:rPr>
                <w:b/>
                <w:sz w:val="18"/>
                <w:szCs w:val="18"/>
              </w:rPr>
            </w:pPr>
            <w:r w:rsidRPr="00B6509B">
              <w:rPr>
                <w:b/>
                <w:sz w:val="18"/>
                <w:szCs w:val="18"/>
              </w:rPr>
              <w:t>Indicator</w:t>
            </w:r>
          </w:p>
          <w:p w14:paraId="0688D11D" w14:textId="77777777" w:rsidR="001E1D12" w:rsidRPr="00B6509B" w:rsidRDefault="001E1D12" w:rsidP="00B6509B">
            <w:pPr>
              <w:widowControl w:val="0"/>
              <w:autoSpaceDE w:val="0"/>
              <w:autoSpaceDN w:val="0"/>
              <w:adjustRightInd w:val="0"/>
              <w:jc w:val="both"/>
              <w:rPr>
                <w:i/>
                <w:sz w:val="18"/>
                <w:szCs w:val="18"/>
              </w:rPr>
            </w:pPr>
          </w:p>
        </w:tc>
        <w:tc>
          <w:tcPr>
            <w:tcW w:w="2082" w:type="dxa"/>
            <w:shd w:val="clear" w:color="auto" w:fill="D9D9D9" w:themeFill="background1" w:themeFillShade="D9"/>
          </w:tcPr>
          <w:p w14:paraId="49CAEA1A" w14:textId="77777777" w:rsidR="001E1D12" w:rsidRPr="00B6509B" w:rsidRDefault="001E1D12" w:rsidP="00B6509B">
            <w:pPr>
              <w:jc w:val="both"/>
              <w:rPr>
                <w:b/>
                <w:sz w:val="18"/>
                <w:szCs w:val="18"/>
              </w:rPr>
            </w:pPr>
            <w:r w:rsidRPr="00B6509B">
              <w:rPr>
                <w:b/>
                <w:sz w:val="18"/>
                <w:szCs w:val="18"/>
              </w:rPr>
              <w:t>Baseline</w:t>
            </w:r>
          </w:p>
        </w:tc>
        <w:tc>
          <w:tcPr>
            <w:tcW w:w="2177" w:type="dxa"/>
            <w:shd w:val="clear" w:color="auto" w:fill="D9D9D9" w:themeFill="background1" w:themeFillShade="D9"/>
          </w:tcPr>
          <w:p w14:paraId="0883B380" w14:textId="77777777" w:rsidR="001E1D12" w:rsidRPr="00B6509B" w:rsidRDefault="001E1D12" w:rsidP="00B6509B">
            <w:pPr>
              <w:jc w:val="both"/>
              <w:rPr>
                <w:b/>
                <w:sz w:val="18"/>
                <w:szCs w:val="18"/>
              </w:rPr>
            </w:pPr>
            <w:r w:rsidRPr="00B6509B">
              <w:rPr>
                <w:b/>
                <w:sz w:val="18"/>
                <w:szCs w:val="18"/>
              </w:rPr>
              <w:t>Target</w:t>
            </w:r>
          </w:p>
        </w:tc>
        <w:tc>
          <w:tcPr>
            <w:tcW w:w="3095" w:type="dxa"/>
            <w:shd w:val="clear" w:color="auto" w:fill="D9D9D9" w:themeFill="background1" w:themeFillShade="D9"/>
          </w:tcPr>
          <w:p w14:paraId="3F89F6FD" w14:textId="77777777" w:rsidR="001E1D12" w:rsidRPr="00B6509B" w:rsidRDefault="001E1D12" w:rsidP="00B6509B">
            <w:pPr>
              <w:jc w:val="both"/>
              <w:rPr>
                <w:sz w:val="18"/>
                <w:szCs w:val="18"/>
              </w:rPr>
            </w:pPr>
            <w:r w:rsidRPr="00B6509B">
              <w:rPr>
                <w:b/>
                <w:sz w:val="18"/>
                <w:szCs w:val="18"/>
              </w:rPr>
              <w:t>Means of verification</w:t>
            </w:r>
          </w:p>
        </w:tc>
        <w:tc>
          <w:tcPr>
            <w:tcW w:w="3177" w:type="dxa"/>
            <w:gridSpan w:val="2"/>
            <w:shd w:val="clear" w:color="auto" w:fill="D9D9D9" w:themeFill="background1" w:themeFillShade="D9"/>
          </w:tcPr>
          <w:p w14:paraId="2AD5184F" w14:textId="77777777" w:rsidR="001E1D12" w:rsidRPr="00B6509B" w:rsidRDefault="001E1D12" w:rsidP="00B6509B">
            <w:pPr>
              <w:jc w:val="both"/>
              <w:rPr>
                <w:sz w:val="18"/>
                <w:szCs w:val="18"/>
                <w:lang w:val="fr-FR"/>
              </w:rPr>
            </w:pPr>
            <w:r w:rsidRPr="00B6509B">
              <w:rPr>
                <w:b/>
                <w:sz w:val="18"/>
                <w:szCs w:val="18"/>
                <w:lang w:val="fr-FR"/>
              </w:rPr>
              <w:t>UN Partners, Govt, CSOs, Donors, etc</w:t>
            </w:r>
          </w:p>
        </w:tc>
      </w:tr>
      <w:tr w:rsidR="001E1D12" w:rsidRPr="00B6509B" w14:paraId="7535D12E" w14:textId="77777777" w:rsidTr="008D46E5">
        <w:trPr>
          <w:trHeight w:val="429"/>
        </w:trPr>
        <w:tc>
          <w:tcPr>
            <w:tcW w:w="678" w:type="dxa"/>
            <w:gridSpan w:val="2"/>
            <w:shd w:val="clear" w:color="auto" w:fill="auto"/>
          </w:tcPr>
          <w:p w14:paraId="78AEAE66" w14:textId="77777777" w:rsidR="001E1D12" w:rsidRPr="00B6509B" w:rsidRDefault="001E1D12" w:rsidP="008D46E5">
            <w:pPr>
              <w:jc w:val="both"/>
              <w:rPr>
                <w:sz w:val="18"/>
                <w:szCs w:val="18"/>
              </w:rPr>
            </w:pPr>
            <w:r w:rsidRPr="00B6509B">
              <w:rPr>
                <w:sz w:val="18"/>
                <w:szCs w:val="18"/>
              </w:rPr>
              <w:t>1.1</w:t>
            </w:r>
          </w:p>
        </w:tc>
        <w:tc>
          <w:tcPr>
            <w:tcW w:w="4565" w:type="dxa"/>
            <w:shd w:val="clear" w:color="auto" w:fill="auto"/>
            <w:vAlign w:val="center"/>
          </w:tcPr>
          <w:p w14:paraId="60656ACD" w14:textId="77777777" w:rsidR="001E1D12" w:rsidRPr="00B6509B" w:rsidRDefault="001E1D12" w:rsidP="008D46E5">
            <w:pPr>
              <w:jc w:val="both"/>
              <w:rPr>
                <w:rFonts w:ascii="Calibri" w:hAnsi="Calibri"/>
                <w:sz w:val="18"/>
                <w:szCs w:val="18"/>
                <w:u w:val="single"/>
              </w:rPr>
            </w:pPr>
          </w:p>
          <w:p w14:paraId="2DBF1C1B" w14:textId="0066E67A" w:rsidR="001E1D12" w:rsidRPr="00B6509B" w:rsidRDefault="001E1D12" w:rsidP="008D46E5">
            <w:pPr>
              <w:jc w:val="both"/>
              <w:rPr>
                <w:sz w:val="18"/>
                <w:szCs w:val="18"/>
              </w:rPr>
            </w:pPr>
            <w:r w:rsidRPr="00B6509B">
              <w:rPr>
                <w:rFonts w:ascii="Calibri" w:hAnsi="Calibri"/>
                <w:sz w:val="18"/>
                <w:szCs w:val="18"/>
              </w:rPr>
              <w:t>Number of PICTs whose Number of deaths, missing persons and persons affected by disaster per 100,000 people – by age sex, and location has reduced</w:t>
            </w:r>
            <w:r w:rsidR="00971F0B" w:rsidRPr="00B6509B">
              <w:rPr>
                <w:rFonts w:ascii="Calibri" w:eastAsia="Calibri" w:hAnsi="Calibri" w:cs="Times New Roman"/>
                <w:sz w:val="18"/>
                <w:szCs w:val="18"/>
              </w:rPr>
              <w:t xml:space="preserve"> based on the latest available data</w:t>
            </w:r>
            <w:r w:rsidR="00AD1BE6">
              <w:rPr>
                <w:rStyle w:val="FootnoteReference"/>
                <w:rFonts w:ascii="Calibri" w:eastAsia="Calibri" w:hAnsi="Calibri" w:cs="Times New Roman"/>
                <w:sz w:val="18"/>
                <w:szCs w:val="18"/>
              </w:rPr>
              <w:footnoteReference w:id="2"/>
            </w:r>
            <w:r w:rsidRPr="00B6509B">
              <w:rPr>
                <w:rFonts w:ascii="Calibri" w:hAnsi="Calibri"/>
                <w:sz w:val="18"/>
                <w:szCs w:val="18"/>
              </w:rPr>
              <w:t xml:space="preserve"> (SDG 11.5.1)</w:t>
            </w:r>
          </w:p>
        </w:tc>
        <w:tc>
          <w:tcPr>
            <w:tcW w:w="2082" w:type="dxa"/>
            <w:shd w:val="clear" w:color="auto" w:fill="auto"/>
          </w:tcPr>
          <w:p w14:paraId="17A6054A" w14:textId="0C465453" w:rsidR="001E1D12" w:rsidRPr="0026335B" w:rsidRDefault="00653E49" w:rsidP="008D46E5">
            <w:pPr>
              <w:jc w:val="center"/>
              <w:rPr>
                <w:b/>
                <w:sz w:val="18"/>
                <w:szCs w:val="18"/>
              </w:rPr>
            </w:pPr>
            <w:r w:rsidRPr="0026335B">
              <w:rPr>
                <w:b/>
                <w:sz w:val="18"/>
                <w:szCs w:val="18"/>
              </w:rPr>
              <w:t>0</w:t>
            </w:r>
          </w:p>
          <w:p w14:paraId="57259450" w14:textId="77777777" w:rsidR="001E1D12" w:rsidRPr="0026335B" w:rsidRDefault="001E1D12" w:rsidP="008D46E5">
            <w:pPr>
              <w:pStyle w:val="ListParagraph"/>
              <w:jc w:val="center"/>
              <w:rPr>
                <w:b/>
                <w:sz w:val="18"/>
                <w:szCs w:val="18"/>
              </w:rPr>
            </w:pPr>
          </w:p>
        </w:tc>
        <w:tc>
          <w:tcPr>
            <w:tcW w:w="2177" w:type="dxa"/>
            <w:shd w:val="clear" w:color="auto" w:fill="auto"/>
          </w:tcPr>
          <w:p w14:paraId="57B7B640" w14:textId="77777777" w:rsidR="001E1D12" w:rsidRPr="0026335B" w:rsidRDefault="00BE2A4C" w:rsidP="008D46E5">
            <w:pPr>
              <w:jc w:val="center"/>
              <w:rPr>
                <w:b/>
                <w:sz w:val="18"/>
                <w:szCs w:val="18"/>
              </w:rPr>
            </w:pPr>
            <w:r w:rsidRPr="0026335B">
              <w:rPr>
                <w:b/>
                <w:sz w:val="18"/>
                <w:szCs w:val="18"/>
              </w:rPr>
              <w:t>8</w:t>
            </w:r>
          </w:p>
          <w:p w14:paraId="3DD79263" w14:textId="77777777" w:rsidR="001E1D12" w:rsidRPr="0026335B" w:rsidRDefault="001E1D12" w:rsidP="008D46E5">
            <w:pPr>
              <w:jc w:val="center"/>
              <w:rPr>
                <w:b/>
                <w:sz w:val="18"/>
                <w:szCs w:val="18"/>
              </w:rPr>
            </w:pPr>
          </w:p>
          <w:p w14:paraId="1217B157" w14:textId="77777777" w:rsidR="001E1D12" w:rsidRPr="0026335B" w:rsidRDefault="001E1D12" w:rsidP="008D46E5">
            <w:pPr>
              <w:jc w:val="center"/>
              <w:rPr>
                <w:b/>
                <w:sz w:val="18"/>
                <w:szCs w:val="18"/>
              </w:rPr>
            </w:pPr>
          </w:p>
        </w:tc>
        <w:tc>
          <w:tcPr>
            <w:tcW w:w="3095" w:type="dxa"/>
            <w:shd w:val="clear" w:color="auto" w:fill="auto"/>
          </w:tcPr>
          <w:p w14:paraId="31FB141F" w14:textId="61035519" w:rsidR="001E1D12" w:rsidRPr="00B6509B" w:rsidRDefault="001E1D12" w:rsidP="008D46E5">
            <w:pPr>
              <w:jc w:val="both"/>
              <w:rPr>
                <w:sz w:val="18"/>
                <w:szCs w:val="18"/>
              </w:rPr>
            </w:pPr>
            <w:r w:rsidRPr="00B6509B">
              <w:rPr>
                <w:sz w:val="18"/>
                <w:szCs w:val="18"/>
              </w:rPr>
              <w:t>SFDRR biennial national reporting; PDaLo; PDNA</w:t>
            </w:r>
            <w:r w:rsidR="00B46524" w:rsidRPr="00B6509B">
              <w:rPr>
                <w:sz w:val="18"/>
                <w:szCs w:val="18"/>
              </w:rPr>
              <w:t xml:space="preserve">, </w:t>
            </w:r>
            <w:r w:rsidR="00B46524" w:rsidRPr="00B6509B">
              <w:rPr>
                <w:rFonts w:ascii="Calibri" w:eastAsia="Calibri" w:hAnsi="Calibri" w:cs="Times New Roman"/>
                <w:sz w:val="18"/>
                <w:szCs w:val="18"/>
              </w:rPr>
              <w:t>National and regional DTM reports</w:t>
            </w:r>
            <w:r w:rsidR="00316FF5">
              <w:rPr>
                <w:rFonts w:ascii="Calibri" w:eastAsia="Calibri" w:hAnsi="Calibri" w:cs="Times New Roman"/>
                <w:sz w:val="18"/>
                <w:szCs w:val="18"/>
              </w:rPr>
              <w:t>, Situation Reports</w:t>
            </w:r>
          </w:p>
        </w:tc>
        <w:tc>
          <w:tcPr>
            <w:tcW w:w="3177" w:type="dxa"/>
            <w:gridSpan w:val="2"/>
            <w:shd w:val="clear" w:color="auto" w:fill="auto"/>
          </w:tcPr>
          <w:p w14:paraId="11E765B7" w14:textId="4599756D" w:rsidR="001E1D12" w:rsidRPr="00B6509B" w:rsidRDefault="00B5406F" w:rsidP="00373F01">
            <w:pPr>
              <w:jc w:val="both"/>
              <w:rPr>
                <w:sz w:val="18"/>
                <w:szCs w:val="18"/>
              </w:rPr>
            </w:pPr>
            <w:r w:rsidRPr="00B6509B">
              <w:rPr>
                <w:sz w:val="18"/>
                <w:szCs w:val="18"/>
              </w:rPr>
              <w:t>SPC, SPREP, UNDP, UNESCAP, UNESCO, UNEP, UNFPA, UNHabitat, UNICEF, UNISDR, UNOCHA, UNWomen, USP, WB, WFP,</w:t>
            </w:r>
            <w:r w:rsidR="00373F01">
              <w:rPr>
                <w:sz w:val="18"/>
                <w:szCs w:val="18"/>
              </w:rPr>
              <w:t xml:space="preserve"> </w:t>
            </w:r>
            <w:r w:rsidRPr="00B6509B">
              <w:rPr>
                <w:sz w:val="18"/>
                <w:szCs w:val="18"/>
              </w:rPr>
              <w:t>WHO, WMO, and other civil society organizations</w:t>
            </w:r>
            <w:r w:rsidR="00373F01">
              <w:rPr>
                <w:sz w:val="18"/>
                <w:szCs w:val="18"/>
              </w:rPr>
              <w:t>.</w:t>
            </w:r>
          </w:p>
        </w:tc>
      </w:tr>
      <w:tr w:rsidR="001E1D12" w:rsidRPr="00B6509B" w14:paraId="51CFE742" w14:textId="77777777" w:rsidTr="008D46E5">
        <w:trPr>
          <w:trHeight w:val="800"/>
        </w:trPr>
        <w:tc>
          <w:tcPr>
            <w:tcW w:w="678" w:type="dxa"/>
            <w:gridSpan w:val="2"/>
            <w:shd w:val="clear" w:color="auto" w:fill="auto"/>
          </w:tcPr>
          <w:p w14:paraId="2CA6B84A" w14:textId="77777777" w:rsidR="001E1D12" w:rsidRPr="00B6509B" w:rsidRDefault="001E1D12" w:rsidP="008D46E5">
            <w:pPr>
              <w:jc w:val="both"/>
              <w:rPr>
                <w:sz w:val="18"/>
                <w:szCs w:val="18"/>
              </w:rPr>
            </w:pPr>
            <w:r w:rsidRPr="00B6509B">
              <w:rPr>
                <w:sz w:val="18"/>
                <w:szCs w:val="18"/>
              </w:rPr>
              <w:t>1.2</w:t>
            </w:r>
          </w:p>
        </w:tc>
        <w:tc>
          <w:tcPr>
            <w:tcW w:w="4565" w:type="dxa"/>
            <w:shd w:val="clear" w:color="auto" w:fill="auto"/>
            <w:vAlign w:val="center"/>
          </w:tcPr>
          <w:p w14:paraId="12F8BBFD" w14:textId="77777777" w:rsidR="001E1D12" w:rsidRPr="00B6509B" w:rsidRDefault="001E1D12" w:rsidP="008D46E5">
            <w:pPr>
              <w:jc w:val="both"/>
              <w:rPr>
                <w:rFonts w:ascii="Calibri" w:hAnsi="Calibri"/>
                <w:sz w:val="18"/>
                <w:szCs w:val="18"/>
              </w:rPr>
            </w:pPr>
            <w:r w:rsidRPr="008D46E5">
              <w:rPr>
                <w:rFonts w:ascii="Calibri" w:hAnsi="Calibri"/>
                <w:sz w:val="18"/>
                <w:szCs w:val="18"/>
              </w:rPr>
              <w:t xml:space="preserve">Number of PICTs whose direct disaster economic loss in relation to regional </w:t>
            </w:r>
            <w:r w:rsidRPr="00B6509B">
              <w:rPr>
                <w:rFonts w:ascii="Calibri" w:hAnsi="Calibri"/>
                <w:sz w:val="18"/>
                <w:szCs w:val="18"/>
              </w:rPr>
              <w:t>GDP, including disaster damage to critical infrastructure and disruption of basic services has reduced</w:t>
            </w:r>
            <w:r w:rsidR="00971F0B" w:rsidRPr="00B6509B">
              <w:rPr>
                <w:rFonts w:ascii="Calibri" w:hAnsi="Calibri"/>
                <w:sz w:val="18"/>
                <w:szCs w:val="18"/>
              </w:rPr>
              <w:t xml:space="preserve"> </w:t>
            </w:r>
            <w:r w:rsidR="00971F0B" w:rsidRPr="00B6509B">
              <w:rPr>
                <w:rFonts w:ascii="Calibri" w:eastAsia="Calibri" w:hAnsi="Calibri" w:cs="Times New Roman"/>
                <w:sz w:val="18"/>
                <w:szCs w:val="18"/>
              </w:rPr>
              <w:t>based on the latest available data</w:t>
            </w:r>
            <w:r w:rsidR="00971F0B" w:rsidRPr="00B6509B">
              <w:rPr>
                <w:rStyle w:val="FootnoteReference"/>
                <w:rFonts w:ascii="Calibri" w:hAnsi="Calibri"/>
                <w:sz w:val="18"/>
                <w:szCs w:val="18"/>
              </w:rPr>
              <w:t xml:space="preserve"> </w:t>
            </w:r>
            <w:r w:rsidRPr="00B6509B">
              <w:rPr>
                <w:rStyle w:val="FootnoteReference"/>
                <w:rFonts w:ascii="Calibri" w:hAnsi="Calibri"/>
                <w:sz w:val="18"/>
                <w:szCs w:val="18"/>
              </w:rPr>
              <w:footnoteReference w:id="3"/>
            </w:r>
            <w:r w:rsidRPr="00B6509B">
              <w:rPr>
                <w:rFonts w:ascii="Calibri" w:hAnsi="Calibri"/>
                <w:sz w:val="18"/>
                <w:szCs w:val="18"/>
              </w:rPr>
              <w:t xml:space="preserve"> (SDG 11.5.2)</w:t>
            </w:r>
          </w:p>
          <w:p w14:paraId="6B5088DD" w14:textId="77777777" w:rsidR="001E1D12" w:rsidRPr="00B6509B" w:rsidRDefault="001E1D12" w:rsidP="008D46E5">
            <w:pPr>
              <w:jc w:val="both"/>
              <w:rPr>
                <w:rFonts w:ascii="Calibri" w:hAnsi="Calibri"/>
                <w:sz w:val="18"/>
                <w:szCs w:val="18"/>
              </w:rPr>
            </w:pPr>
          </w:p>
        </w:tc>
        <w:tc>
          <w:tcPr>
            <w:tcW w:w="2082" w:type="dxa"/>
            <w:shd w:val="clear" w:color="auto" w:fill="auto"/>
          </w:tcPr>
          <w:p w14:paraId="0B9F69B8" w14:textId="77777777" w:rsidR="001E1D12" w:rsidRPr="0026335B" w:rsidRDefault="001E1D12" w:rsidP="008D46E5">
            <w:pPr>
              <w:jc w:val="center"/>
              <w:rPr>
                <w:b/>
                <w:sz w:val="18"/>
                <w:szCs w:val="18"/>
              </w:rPr>
            </w:pPr>
          </w:p>
          <w:p w14:paraId="7DA76CD1" w14:textId="011DBD8C" w:rsidR="001E1D12" w:rsidRPr="0026335B" w:rsidRDefault="00653E49" w:rsidP="008D46E5">
            <w:pPr>
              <w:jc w:val="center"/>
              <w:rPr>
                <w:b/>
                <w:sz w:val="18"/>
                <w:szCs w:val="18"/>
              </w:rPr>
            </w:pPr>
            <w:r w:rsidRPr="0026335B">
              <w:rPr>
                <w:b/>
                <w:sz w:val="18"/>
                <w:szCs w:val="18"/>
              </w:rPr>
              <w:t>0</w:t>
            </w:r>
          </w:p>
          <w:p w14:paraId="1B0677E1" w14:textId="77777777" w:rsidR="001E1D12" w:rsidRPr="0026335B" w:rsidRDefault="001E1D12" w:rsidP="008D46E5">
            <w:pPr>
              <w:pStyle w:val="ListParagraph"/>
              <w:jc w:val="center"/>
              <w:rPr>
                <w:b/>
                <w:sz w:val="18"/>
                <w:szCs w:val="18"/>
              </w:rPr>
            </w:pPr>
          </w:p>
        </w:tc>
        <w:tc>
          <w:tcPr>
            <w:tcW w:w="2177" w:type="dxa"/>
            <w:shd w:val="clear" w:color="auto" w:fill="auto"/>
          </w:tcPr>
          <w:p w14:paraId="6231A038" w14:textId="77777777" w:rsidR="001E1D12" w:rsidRPr="0026335B" w:rsidRDefault="001E1D12" w:rsidP="008D46E5">
            <w:pPr>
              <w:jc w:val="center"/>
              <w:rPr>
                <w:rFonts w:eastAsia="Calibri" w:cs="Times New Roman"/>
                <w:b/>
                <w:sz w:val="18"/>
                <w:szCs w:val="18"/>
              </w:rPr>
            </w:pPr>
          </w:p>
          <w:p w14:paraId="24DC6800" w14:textId="382455D1" w:rsidR="001E1D12" w:rsidRPr="0026335B" w:rsidRDefault="00B76A59" w:rsidP="008D46E5">
            <w:pPr>
              <w:jc w:val="center"/>
              <w:rPr>
                <w:b/>
                <w:sz w:val="18"/>
                <w:szCs w:val="18"/>
              </w:rPr>
            </w:pPr>
            <w:r w:rsidRPr="0026335B">
              <w:rPr>
                <w:b/>
                <w:sz w:val="18"/>
                <w:szCs w:val="18"/>
              </w:rPr>
              <w:t>8</w:t>
            </w:r>
          </w:p>
          <w:p w14:paraId="368E91CE" w14:textId="77777777" w:rsidR="001E1D12" w:rsidRPr="0026335B" w:rsidRDefault="001E1D12" w:rsidP="008D46E5">
            <w:pPr>
              <w:jc w:val="center"/>
              <w:rPr>
                <w:b/>
                <w:sz w:val="18"/>
                <w:szCs w:val="18"/>
              </w:rPr>
            </w:pPr>
          </w:p>
          <w:p w14:paraId="167C6275" w14:textId="77777777" w:rsidR="001E1D12" w:rsidRPr="0026335B" w:rsidRDefault="001E1D12" w:rsidP="008D46E5">
            <w:pPr>
              <w:jc w:val="center"/>
              <w:rPr>
                <w:b/>
                <w:sz w:val="18"/>
                <w:szCs w:val="18"/>
              </w:rPr>
            </w:pPr>
          </w:p>
        </w:tc>
        <w:tc>
          <w:tcPr>
            <w:tcW w:w="3095" w:type="dxa"/>
            <w:shd w:val="clear" w:color="auto" w:fill="auto"/>
          </w:tcPr>
          <w:p w14:paraId="3CD9D515" w14:textId="77777777" w:rsidR="001E1D12" w:rsidRPr="00B6509B" w:rsidRDefault="001E1D12" w:rsidP="008D46E5">
            <w:pPr>
              <w:jc w:val="both"/>
              <w:rPr>
                <w:sz w:val="18"/>
                <w:szCs w:val="18"/>
              </w:rPr>
            </w:pPr>
            <w:r w:rsidRPr="00B6509B">
              <w:rPr>
                <w:sz w:val="18"/>
                <w:szCs w:val="18"/>
              </w:rPr>
              <w:t>SFDRR biennial national reporting; PDaLo; PDNA</w:t>
            </w:r>
          </w:p>
        </w:tc>
        <w:tc>
          <w:tcPr>
            <w:tcW w:w="3177" w:type="dxa"/>
            <w:gridSpan w:val="2"/>
            <w:shd w:val="clear" w:color="auto" w:fill="auto"/>
          </w:tcPr>
          <w:p w14:paraId="0BD05169" w14:textId="278712C5" w:rsidR="001E1D12" w:rsidRPr="00B6509B" w:rsidRDefault="00CB0565" w:rsidP="008D46E5">
            <w:pPr>
              <w:jc w:val="both"/>
              <w:rPr>
                <w:b/>
                <w:sz w:val="18"/>
                <w:szCs w:val="18"/>
              </w:rPr>
            </w:pPr>
            <w:r w:rsidRPr="00CB0565">
              <w:rPr>
                <w:rFonts w:ascii="Calibri" w:eastAsia="Calibri" w:hAnsi="Calibri" w:cs="Times New Roman"/>
                <w:sz w:val="18"/>
                <w:szCs w:val="18"/>
              </w:rPr>
              <w:t>SPC, SPREP, UNDP, UNESCAP, UNESCO, UNEP, UNFPA, UNHabitat, UNICEF, UNISDR, UNOCHA, UNWomen, USP, WB, WFP, WHO, WMO, and other civil society organizations</w:t>
            </w:r>
            <w:r>
              <w:rPr>
                <w:rFonts w:ascii="Calibri" w:eastAsia="Calibri" w:hAnsi="Calibri" w:cs="Times New Roman"/>
                <w:sz w:val="18"/>
                <w:szCs w:val="18"/>
              </w:rPr>
              <w:t>.</w:t>
            </w:r>
          </w:p>
        </w:tc>
      </w:tr>
      <w:tr w:rsidR="001E1D12" w:rsidRPr="00B6509B" w14:paraId="679956D4" w14:textId="77777777" w:rsidTr="00313BEB">
        <w:trPr>
          <w:trHeight w:val="1122"/>
        </w:trPr>
        <w:tc>
          <w:tcPr>
            <w:tcW w:w="678" w:type="dxa"/>
            <w:gridSpan w:val="2"/>
            <w:shd w:val="clear" w:color="auto" w:fill="auto"/>
          </w:tcPr>
          <w:p w14:paraId="2FE7BF12" w14:textId="77777777" w:rsidR="001E1D12" w:rsidRPr="00B6509B" w:rsidRDefault="001E1D12" w:rsidP="008D46E5">
            <w:pPr>
              <w:jc w:val="both"/>
              <w:rPr>
                <w:sz w:val="18"/>
                <w:szCs w:val="18"/>
              </w:rPr>
            </w:pPr>
            <w:r w:rsidRPr="00B6509B">
              <w:rPr>
                <w:sz w:val="18"/>
                <w:szCs w:val="18"/>
              </w:rPr>
              <w:t>1.3</w:t>
            </w:r>
          </w:p>
        </w:tc>
        <w:tc>
          <w:tcPr>
            <w:tcW w:w="4565" w:type="dxa"/>
            <w:shd w:val="clear" w:color="auto" w:fill="auto"/>
            <w:vAlign w:val="center"/>
          </w:tcPr>
          <w:p w14:paraId="6899E530" w14:textId="77777777" w:rsidR="001E1D12" w:rsidRPr="00B6509B" w:rsidRDefault="001E1D12" w:rsidP="008D46E5">
            <w:pPr>
              <w:jc w:val="both"/>
              <w:rPr>
                <w:sz w:val="18"/>
                <w:szCs w:val="18"/>
              </w:rPr>
            </w:pPr>
            <w:r w:rsidRPr="00B6509B">
              <w:rPr>
                <w:sz w:val="18"/>
                <w:szCs w:val="18"/>
              </w:rPr>
              <w:t>Number of PICTs that have established a national and at least one sectoral development plan incorporating climate change and disaster risk management</w:t>
            </w:r>
            <w:r w:rsidRPr="00B6509B">
              <w:rPr>
                <w:rStyle w:val="FootnoteReference"/>
                <w:rFonts w:ascii="Calibri" w:hAnsi="Calibri"/>
                <w:sz w:val="18"/>
                <w:szCs w:val="18"/>
              </w:rPr>
              <w:t xml:space="preserve"> </w:t>
            </w:r>
            <w:r w:rsidRPr="00B6509B">
              <w:rPr>
                <w:rStyle w:val="FootnoteReference"/>
                <w:rFonts w:ascii="Calibri" w:hAnsi="Calibri"/>
                <w:sz w:val="18"/>
                <w:szCs w:val="18"/>
              </w:rPr>
              <w:footnoteReference w:id="4"/>
            </w:r>
            <w:r w:rsidRPr="00B6509B">
              <w:rPr>
                <w:rFonts w:ascii="Calibri" w:hAnsi="Calibri"/>
                <w:sz w:val="18"/>
                <w:szCs w:val="18"/>
              </w:rPr>
              <w:t xml:space="preserve"> (SDG 13.1.1)</w:t>
            </w:r>
          </w:p>
        </w:tc>
        <w:tc>
          <w:tcPr>
            <w:tcW w:w="2082" w:type="dxa"/>
            <w:shd w:val="clear" w:color="auto" w:fill="auto"/>
          </w:tcPr>
          <w:p w14:paraId="0562DBE8" w14:textId="0BB33962" w:rsidR="00B3101E" w:rsidRPr="0026335B" w:rsidRDefault="00B3101E" w:rsidP="008D46E5">
            <w:pPr>
              <w:jc w:val="center"/>
              <w:rPr>
                <w:b/>
                <w:sz w:val="18"/>
                <w:szCs w:val="18"/>
              </w:rPr>
            </w:pPr>
            <w:r w:rsidRPr="0026335B">
              <w:rPr>
                <w:b/>
                <w:sz w:val="18"/>
                <w:szCs w:val="18"/>
              </w:rPr>
              <w:t>6</w:t>
            </w:r>
          </w:p>
          <w:p w14:paraId="3C9B14FE" w14:textId="77777777" w:rsidR="00B3101E" w:rsidRPr="0026335B" w:rsidRDefault="00B3101E" w:rsidP="008D46E5">
            <w:pPr>
              <w:jc w:val="center"/>
              <w:rPr>
                <w:b/>
                <w:sz w:val="18"/>
                <w:szCs w:val="18"/>
              </w:rPr>
            </w:pPr>
          </w:p>
        </w:tc>
        <w:tc>
          <w:tcPr>
            <w:tcW w:w="2177" w:type="dxa"/>
            <w:shd w:val="clear" w:color="auto" w:fill="auto"/>
          </w:tcPr>
          <w:p w14:paraId="0C8AAC6C" w14:textId="75AD2304" w:rsidR="00B3101E" w:rsidRPr="0026335B" w:rsidRDefault="00B3101E" w:rsidP="008D46E5">
            <w:pPr>
              <w:jc w:val="center"/>
              <w:rPr>
                <w:b/>
                <w:sz w:val="18"/>
                <w:szCs w:val="18"/>
              </w:rPr>
            </w:pPr>
            <w:r w:rsidRPr="0026335B">
              <w:rPr>
                <w:b/>
                <w:sz w:val="18"/>
                <w:szCs w:val="18"/>
              </w:rPr>
              <w:t>13</w:t>
            </w:r>
          </w:p>
        </w:tc>
        <w:tc>
          <w:tcPr>
            <w:tcW w:w="3095" w:type="dxa"/>
            <w:shd w:val="clear" w:color="auto" w:fill="auto"/>
          </w:tcPr>
          <w:p w14:paraId="3F0573EA" w14:textId="26C3C7AC" w:rsidR="001E1D12" w:rsidRPr="00B6509B" w:rsidRDefault="001E1D12" w:rsidP="008D46E5">
            <w:pPr>
              <w:jc w:val="both"/>
              <w:rPr>
                <w:sz w:val="18"/>
                <w:szCs w:val="18"/>
              </w:rPr>
            </w:pPr>
            <w:r w:rsidRPr="00B6509B">
              <w:rPr>
                <w:sz w:val="18"/>
                <w:szCs w:val="18"/>
              </w:rPr>
              <w:t>SFDRR biennial national reporting; UN Agency Annual Report</w:t>
            </w:r>
            <w:r w:rsidR="00B46524" w:rsidRPr="00B6509B">
              <w:rPr>
                <w:sz w:val="18"/>
                <w:szCs w:val="18"/>
              </w:rPr>
              <w:t xml:space="preserve">, </w:t>
            </w:r>
            <w:r w:rsidR="00B46524" w:rsidRPr="00B6509B">
              <w:rPr>
                <w:rFonts w:ascii="Calibri" w:eastAsia="Calibri" w:hAnsi="Calibri" w:cs="Times New Roman"/>
                <w:sz w:val="18"/>
                <w:szCs w:val="18"/>
              </w:rPr>
              <w:t>OCHA &amp; PHT reports</w:t>
            </w:r>
            <w:r w:rsidR="00316FF5">
              <w:rPr>
                <w:rFonts w:ascii="Calibri" w:eastAsia="Calibri" w:hAnsi="Calibri" w:cs="Times New Roman"/>
                <w:sz w:val="18"/>
                <w:szCs w:val="18"/>
              </w:rPr>
              <w:t xml:space="preserve">, </w:t>
            </w:r>
            <w:r w:rsidR="00316FF5" w:rsidRPr="00316FF5">
              <w:rPr>
                <w:rFonts w:ascii="Calibri" w:eastAsia="Calibri" w:hAnsi="Calibri" w:cs="Times New Roman"/>
                <w:sz w:val="18"/>
                <w:szCs w:val="18"/>
              </w:rPr>
              <w:t>PHT Cluster Coordinators a</w:t>
            </w:r>
            <w:r w:rsidR="00316FF5">
              <w:rPr>
                <w:rFonts w:ascii="Calibri" w:eastAsia="Calibri" w:hAnsi="Calibri" w:cs="Times New Roman"/>
                <w:sz w:val="18"/>
                <w:szCs w:val="18"/>
              </w:rPr>
              <w:t>nnual regional plans/strategies</w:t>
            </w:r>
          </w:p>
        </w:tc>
        <w:tc>
          <w:tcPr>
            <w:tcW w:w="3177" w:type="dxa"/>
            <w:gridSpan w:val="2"/>
            <w:shd w:val="clear" w:color="auto" w:fill="auto"/>
          </w:tcPr>
          <w:p w14:paraId="4F3CB930" w14:textId="2C3A3436" w:rsidR="001E1D12" w:rsidRPr="00B6509B" w:rsidRDefault="00373F01" w:rsidP="008D46E5">
            <w:pPr>
              <w:jc w:val="both"/>
              <w:rPr>
                <w:sz w:val="18"/>
                <w:szCs w:val="18"/>
              </w:rPr>
            </w:pPr>
            <w:r w:rsidRPr="00B6509B">
              <w:rPr>
                <w:sz w:val="18"/>
                <w:szCs w:val="18"/>
              </w:rPr>
              <w:t>SPC, SPREP, UNDP, UNESCAP, UNESCO, UNEP, UNFPA, UNHabitat, UNICEF, UNISDR, UNOCHA, UNWomen, USP, WB, WFP,</w:t>
            </w:r>
            <w:r>
              <w:rPr>
                <w:sz w:val="18"/>
                <w:szCs w:val="18"/>
              </w:rPr>
              <w:t xml:space="preserve"> </w:t>
            </w:r>
            <w:r w:rsidRPr="00B6509B">
              <w:rPr>
                <w:sz w:val="18"/>
                <w:szCs w:val="18"/>
              </w:rPr>
              <w:t>WHO, WMO, and other civil society organizations</w:t>
            </w:r>
            <w:r>
              <w:rPr>
                <w:sz w:val="18"/>
                <w:szCs w:val="18"/>
              </w:rPr>
              <w:t>.</w:t>
            </w:r>
          </w:p>
        </w:tc>
      </w:tr>
      <w:tr w:rsidR="001E1D12" w:rsidRPr="00B6509B" w14:paraId="70B201AD" w14:textId="77777777" w:rsidTr="008D46E5">
        <w:trPr>
          <w:trHeight w:val="1509"/>
        </w:trPr>
        <w:tc>
          <w:tcPr>
            <w:tcW w:w="678" w:type="dxa"/>
            <w:gridSpan w:val="2"/>
            <w:shd w:val="clear" w:color="auto" w:fill="auto"/>
          </w:tcPr>
          <w:p w14:paraId="00A4EE8B" w14:textId="77777777" w:rsidR="001E1D12" w:rsidRPr="00B6509B" w:rsidRDefault="001E1D12" w:rsidP="008D46E5">
            <w:pPr>
              <w:jc w:val="both"/>
              <w:rPr>
                <w:sz w:val="18"/>
                <w:szCs w:val="18"/>
              </w:rPr>
            </w:pPr>
            <w:r w:rsidRPr="00B6509B">
              <w:rPr>
                <w:sz w:val="18"/>
                <w:szCs w:val="18"/>
              </w:rPr>
              <w:lastRenderedPageBreak/>
              <w:t>1.4</w:t>
            </w:r>
          </w:p>
        </w:tc>
        <w:tc>
          <w:tcPr>
            <w:tcW w:w="4565" w:type="dxa"/>
            <w:shd w:val="clear" w:color="auto" w:fill="auto"/>
          </w:tcPr>
          <w:p w14:paraId="525FF0B5" w14:textId="43BBAE0C" w:rsidR="001E1D12" w:rsidRPr="00B6509B" w:rsidRDefault="001E1D12" w:rsidP="008D46E5">
            <w:pPr>
              <w:jc w:val="both"/>
              <w:rPr>
                <w:rFonts w:ascii="Calibri" w:hAnsi="Calibri"/>
                <w:sz w:val="18"/>
                <w:szCs w:val="18"/>
              </w:rPr>
            </w:pPr>
            <w:r w:rsidRPr="00B6509B">
              <w:rPr>
                <w:rFonts w:ascii="Calibri" w:eastAsia="Calibri" w:hAnsi="Calibri" w:cs="Times New Roman"/>
                <w:sz w:val="18"/>
                <w:szCs w:val="18"/>
              </w:rPr>
              <w:t xml:space="preserve">Number of PICTs with Nationally Determined Contributions (NDC) and National Adaptation Plans (NAP) under the UNFCCC at least </w:t>
            </w:r>
            <w:r w:rsidRPr="004A0426">
              <w:rPr>
                <w:rFonts w:ascii="Calibri" w:eastAsia="Calibri" w:hAnsi="Calibri" w:cs="Times New Roman"/>
                <w:b/>
                <w:sz w:val="18"/>
                <w:szCs w:val="18"/>
              </w:rPr>
              <w:t>partially</w:t>
            </w:r>
            <w:r w:rsidRPr="00B6509B">
              <w:rPr>
                <w:rFonts w:ascii="Calibri" w:eastAsia="Calibri" w:hAnsi="Calibri" w:cs="Times New Roman"/>
                <w:sz w:val="18"/>
                <w:szCs w:val="18"/>
              </w:rPr>
              <w:t xml:space="preserve"> implemented</w:t>
            </w:r>
            <w:r w:rsidRPr="00B6509B">
              <w:rPr>
                <w:rStyle w:val="FootnoteReference"/>
                <w:bCs/>
                <w:sz w:val="18"/>
                <w:szCs w:val="18"/>
              </w:rPr>
              <w:t xml:space="preserve"> </w:t>
            </w:r>
            <w:r w:rsidRPr="00B6509B">
              <w:rPr>
                <w:rStyle w:val="FootnoteReference"/>
                <w:bCs/>
                <w:sz w:val="18"/>
                <w:szCs w:val="18"/>
              </w:rPr>
              <w:footnoteReference w:id="5"/>
            </w:r>
            <w:r w:rsidRPr="00B6509B">
              <w:rPr>
                <w:sz w:val="18"/>
                <w:szCs w:val="18"/>
              </w:rPr>
              <w:t xml:space="preserve"> (SDG 13.2.1)</w:t>
            </w:r>
          </w:p>
        </w:tc>
        <w:tc>
          <w:tcPr>
            <w:tcW w:w="2082" w:type="dxa"/>
            <w:shd w:val="clear" w:color="auto" w:fill="auto"/>
          </w:tcPr>
          <w:p w14:paraId="45A24205" w14:textId="77777777" w:rsidR="001E1D12" w:rsidRPr="0026335B" w:rsidRDefault="001E1D12" w:rsidP="008D46E5">
            <w:pPr>
              <w:jc w:val="center"/>
              <w:rPr>
                <w:b/>
                <w:sz w:val="18"/>
                <w:szCs w:val="18"/>
              </w:rPr>
            </w:pPr>
            <w:r w:rsidRPr="0026335B">
              <w:rPr>
                <w:b/>
                <w:sz w:val="18"/>
                <w:szCs w:val="18"/>
              </w:rPr>
              <w:t>0</w:t>
            </w:r>
          </w:p>
        </w:tc>
        <w:tc>
          <w:tcPr>
            <w:tcW w:w="2177" w:type="dxa"/>
            <w:shd w:val="clear" w:color="auto" w:fill="auto"/>
          </w:tcPr>
          <w:p w14:paraId="7CCB9F31" w14:textId="77777777" w:rsidR="001E1D12" w:rsidRPr="0026335B" w:rsidRDefault="001E1D12" w:rsidP="008D46E5">
            <w:pPr>
              <w:jc w:val="center"/>
              <w:rPr>
                <w:b/>
                <w:sz w:val="18"/>
                <w:szCs w:val="18"/>
              </w:rPr>
            </w:pPr>
            <w:r w:rsidRPr="0026335B">
              <w:rPr>
                <w:b/>
                <w:sz w:val="18"/>
                <w:szCs w:val="18"/>
              </w:rPr>
              <w:t>8</w:t>
            </w:r>
          </w:p>
          <w:p w14:paraId="2AA711CA" w14:textId="77777777" w:rsidR="001E1D12" w:rsidRPr="0026335B" w:rsidRDefault="001E1D12" w:rsidP="008D46E5">
            <w:pPr>
              <w:jc w:val="center"/>
              <w:rPr>
                <w:b/>
                <w:sz w:val="18"/>
                <w:szCs w:val="18"/>
              </w:rPr>
            </w:pPr>
          </w:p>
        </w:tc>
        <w:tc>
          <w:tcPr>
            <w:tcW w:w="3095" w:type="dxa"/>
            <w:shd w:val="clear" w:color="auto" w:fill="auto"/>
          </w:tcPr>
          <w:p w14:paraId="666236F1" w14:textId="77777777" w:rsidR="001E1D12" w:rsidRPr="00B6509B" w:rsidRDefault="001E1D12" w:rsidP="008D46E5">
            <w:pPr>
              <w:jc w:val="both"/>
              <w:rPr>
                <w:sz w:val="18"/>
                <w:szCs w:val="18"/>
              </w:rPr>
            </w:pPr>
            <w:r w:rsidRPr="00B6509B">
              <w:rPr>
                <w:sz w:val="18"/>
                <w:szCs w:val="18"/>
              </w:rPr>
              <w:t>National Communications, National reports, Biennial Update Reports</w:t>
            </w:r>
          </w:p>
        </w:tc>
        <w:tc>
          <w:tcPr>
            <w:tcW w:w="3177" w:type="dxa"/>
            <w:gridSpan w:val="2"/>
            <w:shd w:val="clear" w:color="auto" w:fill="auto"/>
          </w:tcPr>
          <w:p w14:paraId="60E29D1B" w14:textId="77777777" w:rsidR="001E1D12" w:rsidRPr="00B6509B" w:rsidRDefault="00C92448" w:rsidP="008D46E5">
            <w:pPr>
              <w:jc w:val="both"/>
              <w:rPr>
                <w:b/>
                <w:sz w:val="18"/>
                <w:szCs w:val="18"/>
              </w:rPr>
            </w:pPr>
            <w:r w:rsidRPr="00B6509B">
              <w:rPr>
                <w:sz w:val="18"/>
                <w:szCs w:val="18"/>
              </w:rPr>
              <w:t>Adaptation Fund, ADB,CI,CROP agencies, Deutsche Gesellschaft für Internationale Zusammenarbeit (GIZ), FFA, J</w:t>
            </w:r>
            <w:r w:rsidR="00F57017" w:rsidRPr="00B6509B">
              <w:rPr>
                <w:sz w:val="18"/>
                <w:szCs w:val="18"/>
              </w:rPr>
              <w:t xml:space="preserve"> GEF, GCF, Governments of Australia, Canada, Germany, Russia, China and other development partners, </w:t>
            </w:r>
            <w:r w:rsidRPr="00B6509B">
              <w:rPr>
                <w:sz w:val="18"/>
                <w:szCs w:val="18"/>
              </w:rPr>
              <w:t xml:space="preserve">Live and Learn, </w:t>
            </w:r>
            <w:r w:rsidR="00F57017" w:rsidRPr="00B6509B">
              <w:rPr>
                <w:sz w:val="18"/>
                <w:szCs w:val="18"/>
              </w:rPr>
              <w:t xml:space="preserve">Ministry of Environment and Climate Change for PICTs, National Development Institutions, PIFS, Research and Academic Institutions: James Cook University, Australia, Select provincial and local authorities, SPC, SPREP, </w:t>
            </w:r>
            <w:r w:rsidRPr="00B6509B">
              <w:rPr>
                <w:sz w:val="18"/>
                <w:szCs w:val="18"/>
              </w:rPr>
              <w:t xml:space="preserve">World Conservation Society, </w:t>
            </w:r>
            <w:r w:rsidR="001E1D12" w:rsidRPr="00B6509B">
              <w:rPr>
                <w:sz w:val="18"/>
                <w:szCs w:val="18"/>
              </w:rPr>
              <w:t xml:space="preserve">UNDP, UNESCO, UNICEF, </w:t>
            </w:r>
            <w:r w:rsidR="00B21BEB" w:rsidRPr="00B6509B">
              <w:rPr>
                <w:sz w:val="18"/>
                <w:szCs w:val="18"/>
              </w:rPr>
              <w:t xml:space="preserve">UNEP, </w:t>
            </w:r>
            <w:r w:rsidR="00F57017" w:rsidRPr="00B6509B">
              <w:rPr>
                <w:sz w:val="18"/>
                <w:szCs w:val="18"/>
              </w:rPr>
              <w:t xml:space="preserve">United States Agency for International Development USAID), USP, WB, </w:t>
            </w:r>
            <w:r w:rsidR="001E1D12" w:rsidRPr="00B6509B">
              <w:rPr>
                <w:sz w:val="18"/>
                <w:szCs w:val="18"/>
              </w:rPr>
              <w:t xml:space="preserve">WHO, </w:t>
            </w:r>
            <w:r w:rsidR="00F57017" w:rsidRPr="00B6509B">
              <w:rPr>
                <w:sz w:val="18"/>
                <w:szCs w:val="18"/>
              </w:rPr>
              <w:t xml:space="preserve">WWF and other civil society organizations </w:t>
            </w:r>
          </w:p>
        </w:tc>
      </w:tr>
      <w:tr w:rsidR="001E1D12" w:rsidRPr="00B6509B" w14:paraId="1D7E0CA4" w14:textId="77777777" w:rsidTr="008D46E5">
        <w:trPr>
          <w:trHeight w:val="1131"/>
        </w:trPr>
        <w:tc>
          <w:tcPr>
            <w:tcW w:w="678" w:type="dxa"/>
            <w:gridSpan w:val="2"/>
            <w:shd w:val="clear" w:color="auto" w:fill="auto"/>
          </w:tcPr>
          <w:p w14:paraId="77F74720" w14:textId="77777777" w:rsidR="001E1D12" w:rsidRPr="00B6509B" w:rsidRDefault="001E1D12" w:rsidP="008D46E5">
            <w:pPr>
              <w:jc w:val="both"/>
              <w:rPr>
                <w:sz w:val="18"/>
                <w:szCs w:val="18"/>
              </w:rPr>
            </w:pPr>
            <w:r w:rsidRPr="00B6509B">
              <w:rPr>
                <w:sz w:val="18"/>
                <w:szCs w:val="18"/>
              </w:rPr>
              <w:t>1.5</w:t>
            </w:r>
          </w:p>
        </w:tc>
        <w:tc>
          <w:tcPr>
            <w:tcW w:w="4565" w:type="dxa"/>
            <w:shd w:val="clear" w:color="auto" w:fill="auto"/>
            <w:vAlign w:val="center"/>
          </w:tcPr>
          <w:p w14:paraId="64708B70" w14:textId="2A5FFCDC" w:rsidR="001E1D12" w:rsidRPr="00B6509B" w:rsidRDefault="00D774F5" w:rsidP="008D46E5">
            <w:pPr>
              <w:jc w:val="both"/>
              <w:rPr>
                <w:rFonts w:ascii="Calibri" w:hAnsi="Calibri"/>
                <w:sz w:val="18"/>
                <w:szCs w:val="18"/>
              </w:rPr>
            </w:pPr>
            <w:r w:rsidRPr="00D774F5">
              <w:rPr>
                <w:rFonts w:ascii="Calibri" w:hAnsi="Calibri"/>
                <w:sz w:val="18"/>
                <w:szCs w:val="18"/>
              </w:rPr>
              <w:t>Number of PICTs with increased coverage of terrestrial and marine areas that are protected</w:t>
            </w:r>
            <w:r w:rsidR="001E1D12" w:rsidRPr="00B6509B">
              <w:rPr>
                <w:rStyle w:val="FootnoteReference"/>
                <w:rFonts w:ascii="Calibri" w:hAnsi="Calibri"/>
                <w:sz w:val="18"/>
                <w:szCs w:val="18"/>
              </w:rPr>
              <w:footnoteReference w:id="6"/>
            </w:r>
            <w:r w:rsidR="001E1D12" w:rsidRPr="00B6509B">
              <w:rPr>
                <w:rFonts w:ascii="Calibri" w:hAnsi="Calibri"/>
                <w:sz w:val="18"/>
                <w:szCs w:val="18"/>
              </w:rPr>
              <w:t xml:space="preserve"> </w:t>
            </w:r>
          </w:p>
        </w:tc>
        <w:tc>
          <w:tcPr>
            <w:tcW w:w="2082" w:type="dxa"/>
            <w:shd w:val="clear" w:color="auto" w:fill="auto"/>
          </w:tcPr>
          <w:p w14:paraId="03F57DD2" w14:textId="1E91A972" w:rsidR="001E1D12" w:rsidRPr="0026335B" w:rsidRDefault="00D774F5" w:rsidP="00D774F5">
            <w:pPr>
              <w:jc w:val="center"/>
              <w:rPr>
                <w:b/>
                <w:sz w:val="18"/>
                <w:szCs w:val="18"/>
              </w:rPr>
            </w:pPr>
            <w:r w:rsidRPr="0026335B">
              <w:rPr>
                <w:b/>
                <w:sz w:val="18"/>
                <w:szCs w:val="18"/>
              </w:rPr>
              <w:t>0</w:t>
            </w:r>
          </w:p>
        </w:tc>
        <w:tc>
          <w:tcPr>
            <w:tcW w:w="2177" w:type="dxa"/>
            <w:shd w:val="clear" w:color="auto" w:fill="auto"/>
          </w:tcPr>
          <w:p w14:paraId="7BE898CF" w14:textId="579D8837" w:rsidR="001E1D12" w:rsidRPr="0026335B" w:rsidRDefault="006E33ED" w:rsidP="00D774F5">
            <w:pPr>
              <w:jc w:val="center"/>
              <w:rPr>
                <w:b/>
                <w:sz w:val="18"/>
                <w:szCs w:val="18"/>
              </w:rPr>
            </w:pPr>
            <w:r w:rsidRPr="0026335B">
              <w:rPr>
                <w:b/>
                <w:sz w:val="18"/>
                <w:szCs w:val="18"/>
              </w:rPr>
              <w:t>10</w:t>
            </w:r>
          </w:p>
          <w:p w14:paraId="253B2DE5" w14:textId="77777777" w:rsidR="001E1D12" w:rsidRPr="0026335B" w:rsidRDefault="001E1D12" w:rsidP="00D774F5">
            <w:pPr>
              <w:jc w:val="center"/>
              <w:rPr>
                <w:b/>
                <w:sz w:val="18"/>
                <w:szCs w:val="18"/>
              </w:rPr>
            </w:pPr>
          </w:p>
        </w:tc>
        <w:tc>
          <w:tcPr>
            <w:tcW w:w="3095" w:type="dxa"/>
            <w:shd w:val="clear" w:color="auto" w:fill="auto"/>
          </w:tcPr>
          <w:p w14:paraId="6A5C64DC" w14:textId="77C533CF" w:rsidR="001E1D12" w:rsidRPr="00B6509B" w:rsidRDefault="001E1D12" w:rsidP="008D46E5">
            <w:pPr>
              <w:jc w:val="both"/>
              <w:rPr>
                <w:sz w:val="18"/>
                <w:szCs w:val="18"/>
              </w:rPr>
            </w:pPr>
            <w:r w:rsidRPr="00B6509B">
              <w:rPr>
                <w:sz w:val="18"/>
                <w:szCs w:val="18"/>
              </w:rPr>
              <w:t>World Data Base of Protected Areas; National Report to the UNCBD, Pacific Islands Protected Areas Portal</w:t>
            </w:r>
            <w:r w:rsidR="00AC7FA6" w:rsidRPr="00B6509B">
              <w:rPr>
                <w:sz w:val="18"/>
                <w:szCs w:val="18"/>
              </w:rPr>
              <w:t xml:space="preserve">, </w:t>
            </w:r>
            <w:r w:rsidR="00AC7FA6" w:rsidRPr="00B6509B">
              <w:rPr>
                <w:rFonts w:ascii="Calibri" w:eastAsia="Calibri" w:hAnsi="Calibri" w:cs="Times New Roman"/>
                <w:sz w:val="18"/>
                <w:szCs w:val="18"/>
              </w:rPr>
              <w:t>Micronesian Challenges (North Pacific)</w:t>
            </w:r>
          </w:p>
        </w:tc>
        <w:tc>
          <w:tcPr>
            <w:tcW w:w="3177" w:type="dxa"/>
            <w:gridSpan w:val="2"/>
            <w:shd w:val="clear" w:color="auto" w:fill="auto"/>
          </w:tcPr>
          <w:p w14:paraId="75962E60" w14:textId="63618BCD" w:rsidR="001E1D12" w:rsidRPr="00B6509B" w:rsidRDefault="00B5406F" w:rsidP="008D46E5">
            <w:pPr>
              <w:jc w:val="both"/>
              <w:rPr>
                <w:sz w:val="18"/>
                <w:szCs w:val="18"/>
              </w:rPr>
            </w:pPr>
            <w:r w:rsidRPr="00B6509B">
              <w:rPr>
                <w:sz w:val="18"/>
                <w:szCs w:val="18"/>
              </w:rPr>
              <w:t xml:space="preserve">Adaptation Fund, ADB,CI,CROP agencies, Deutsche Gesellschaft für Internationale Zusammenarbeit (GIZ), FAO,FFA, J GEF, GCF, Governments of Australia, Canada, Germany, ILO, Russia, China and other development partners, Live and Learn, </w:t>
            </w:r>
            <w:r w:rsidR="00AC7FA6" w:rsidRPr="00B6509B">
              <w:rPr>
                <w:sz w:val="18"/>
                <w:szCs w:val="18"/>
              </w:rPr>
              <w:t>IOM,</w:t>
            </w:r>
            <w:r w:rsidRPr="00B6509B">
              <w:rPr>
                <w:sz w:val="18"/>
                <w:szCs w:val="18"/>
              </w:rPr>
              <w:t>Ministry of Environment and Climate Change for PICTs, National Development Institutions, PIFS, Research and Academic Institutions: James Cook University, Australia, Select provincial and local authorities, SPC, SPREP, World Conservation Society, UNDP, UNEP, UNESCO, United States Agency for International Development USAID), USP, WB, WHO, WWF and other civil society organizations</w:t>
            </w:r>
          </w:p>
        </w:tc>
      </w:tr>
    </w:tbl>
    <w:p w14:paraId="07B7BB7C" w14:textId="77777777" w:rsidR="001E1D12" w:rsidRDefault="001E1D12" w:rsidP="008D46E5">
      <w:pPr>
        <w:jc w:val="both"/>
        <w:rPr>
          <w:sz w:val="18"/>
          <w:szCs w:val="18"/>
        </w:rPr>
      </w:pPr>
    </w:p>
    <w:p w14:paraId="03F47F2D" w14:textId="77777777" w:rsidR="006F56FF" w:rsidRPr="00B6509B" w:rsidRDefault="006F56FF" w:rsidP="008D46E5">
      <w:pPr>
        <w:jc w:val="both"/>
        <w:rPr>
          <w:sz w:val="18"/>
          <w:szCs w:val="18"/>
        </w:rPr>
      </w:pPr>
    </w:p>
    <w:tbl>
      <w:tblPr>
        <w:tblStyle w:val="TableGrid"/>
        <w:tblW w:w="15740" w:type="dxa"/>
        <w:tblInd w:w="-9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740"/>
      </w:tblGrid>
      <w:tr w:rsidR="001E1D12" w:rsidRPr="00B6509B" w14:paraId="03E4EB8C" w14:textId="77777777" w:rsidTr="001E1D12">
        <w:tc>
          <w:tcPr>
            <w:tcW w:w="15740" w:type="dxa"/>
            <w:shd w:val="clear" w:color="auto" w:fill="DEEAF6" w:themeFill="accent1" w:themeFillTint="33"/>
          </w:tcPr>
          <w:p w14:paraId="279E6E26" w14:textId="77777777" w:rsidR="006F56FF" w:rsidRDefault="006F56FF" w:rsidP="008D46E5">
            <w:pPr>
              <w:jc w:val="both"/>
              <w:rPr>
                <w:b/>
                <w:sz w:val="18"/>
                <w:szCs w:val="18"/>
              </w:rPr>
            </w:pPr>
          </w:p>
          <w:p w14:paraId="3BF006F7" w14:textId="77777777" w:rsidR="001E1D12" w:rsidRPr="00B6509B" w:rsidRDefault="001E1D12" w:rsidP="008D46E5">
            <w:pPr>
              <w:jc w:val="both"/>
              <w:rPr>
                <w:b/>
                <w:sz w:val="18"/>
                <w:szCs w:val="18"/>
              </w:rPr>
            </w:pPr>
            <w:r w:rsidRPr="00B6509B">
              <w:rPr>
                <w:b/>
                <w:sz w:val="18"/>
                <w:szCs w:val="18"/>
              </w:rPr>
              <w:t xml:space="preserve">Outcome 2: </w:t>
            </w:r>
            <w:r w:rsidRPr="00B6509B">
              <w:rPr>
                <w:rFonts w:cs="Helvetica"/>
                <w:b/>
                <w:sz w:val="18"/>
                <w:szCs w:val="18"/>
              </w:rPr>
              <w:t>Gender Equality</w:t>
            </w:r>
          </w:p>
          <w:p w14:paraId="02481491" w14:textId="77777777" w:rsidR="001E1D12" w:rsidRPr="00B6509B" w:rsidRDefault="001E1D12" w:rsidP="008D46E5">
            <w:pPr>
              <w:jc w:val="both"/>
              <w:rPr>
                <w:b/>
                <w:sz w:val="18"/>
                <w:szCs w:val="18"/>
              </w:rPr>
            </w:pPr>
          </w:p>
          <w:p w14:paraId="2249A232" w14:textId="77777777" w:rsidR="001E1D12" w:rsidRPr="00B6509B" w:rsidRDefault="001E1D12" w:rsidP="008D46E5">
            <w:pPr>
              <w:jc w:val="both"/>
              <w:rPr>
                <w:rFonts w:cs="Helvetica"/>
                <w:sz w:val="18"/>
                <w:szCs w:val="18"/>
              </w:rPr>
            </w:pPr>
            <w:r w:rsidRPr="00B6509B">
              <w:rPr>
                <w:b/>
                <w:sz w:val="18"/>
                <w:szCs w:val="18"/>
              </w:rPr>
              <w:t>Outcome Statement:</w:t>
            </w:r>
            <w:r w:rsidRPr="00B6509B">
              <w:rPr>
                <w:sz w:val="18"/>
                <w:szCs w:val="18"/>
              </w:rPr>
              <w:t xml:space="preserve"> </w:t>
            </w:r>
            <w:r w:rsidRPr="00B6509B">
              <w:rPr>
                <w:rFonts w:cs="Helvetica"/>
                <w:sz w:val="18"/>
                <w:szCs w:val="18"/>
              </w:rPr>
              <w:t>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w:t>
            </w:r>
          </w:p>
          <w:p w14:paraId="7DE00F63" w14:textId="77777777" w:rsidR="001E1D12" w:rsidRPr="00B6509B" w:rsidRDefault="001E1D12" w:rsidP="008D46E5">
            <w:pPr>
              <w:jc w:val="both"/>
              <w:rPr>
                <w:rFonts w:cs="Helvetica"/>
                <w:b/>
                <w:sz w:val="18"/>
                <w:szCs w:val="18"/>
                <w:shd w:val="clear" w:color="auto" w:fill="DEEAF6" w:themeFill="accent1" w:themeFillTint="33"/>
              </w:rPr>
            </w:pPr>
          </w:p>
          <w:p w14:paraId="17BB34CA" w14:textId="1F90EAC5" w:rsidR="001E1D12" w:rsidRPr="00B6509B" w:rsidRDefault="001E1D12" w:rsidP="008D46E5">
            <w:pPr>
              <w:jc w:val="both"/>
              <w:rPr>
                <w:b/>
                <w:sz w:val="18"/>
                <w:szCs w:val="18"/>
              </w:rPr>
            </w:pPr>
            <w:r w:rsidRPr="00B6509B">
              <w:rPr>
                <w:rFonts w:cs="Helvetica"/>
                <w:b/>
                <w:sz w:val="18"/>
                <w:szCs w:val="18"/>
                <w:shd w:val="clear" w:color="auto" w:fill="DEEAF6" w:themeFill="accent1" w:themeFillTint="33"/>
              </w:rPr>
              <w:t>Collaborating agencies:</w:t>
            </w:r>
            <w:r w:rsidRPr="00B6509B">
              <w:rPr>
                <w:rFonts w:cs="Helvetica"/>
                <w:sz w:val="18"/>
                <w:szCs w:val="18"/>
                <w:shd w:val="clear" w:color="auto" w:fill="DEEAF6" w:themeFill="accent1" w:themeFillTint="33"/>
              </w:rPr>
              <w:t xml:space="preserve"> ILO; IOM; UNAIDS; UNDP; UNESCO;  UNFPA; U</w:t>
            </w:r>
            <w:r w:rsidR="00C92448" w:rsidRPr="00B6509B">
              <w:rPr>
                <w:rFonts w:cs="Helvetica"/>
                <w:sz w:val="18"/>
                <w:szCs w:val="18"/>
                <w:shd w:val="clear" w:color="auto" w:fill="DEEAF6" w:themeFill="accent1" w:themeFillTint="33"/>
              </w:rPr>
              <w:t>NICEF; UNODC; UNOHCHR; UN Women</w:t>
            </w:r>
          </w:p>
        </w:tc>
      </w:tr>
    </w:tbl>
    <w:p w14:paraId="002D1C40" w14:textId="77777777" w:rsidR="001E1D12" w:rsidRPr="00B6509B" w:rsidRDefault="001E1D12" w:rsidP="008D46E5">
      <w:pPr>
        <w:jc w:val="both"/>
        <w:rPr>
          <w:sz w:val="18"/>
          <w:szCs w:val="18"/>
        </w:rPr>
      </w:pPr>
    </w:p>
    <w:tbl>
      <w:tblPr>
        <w:tblStyle w:val="TableGrid1"/>
        <w:tblW w:w="5670" w:type="pct"/>
        <w:tblInd w:w="-10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2"/>
        <w:gridCol w:w="4592"/>
        <w:gridCol w:w="2163"/>
        <w:gridCol w:w="2163"/>
        <w:gridCol w:w="2653"/>
        <w:gridCol w:w="3587"/>
      </w:tblGrid>
      <w:tr w:rsidR="001E1D12" w:rsidRPr="00653E49" w14:paraId="0793A1F4" w14:textId="77777777" w:rsidTr="001E1D12">
        <w:trPr>
          <w:trHeight w:val="357"/>
          <w:tblHeader/>
        </w:trPr>
        <w:tc>
          <w:tcPr>
            <w:tcW w:w="200" w:type="pct"/>
            <w:shd w:val="clear" w:color="auto" w:fill="D9D9D9"/>
          </w:tcPr>
          <w:p w14:paraId="5DA1742D" w14:textId="77777777" w:rsidR="001E1D12" w:rsidRPr="00B6509B" w:rsidRDefault="001E1D12" w:rsidP="008D46E5">
            <w:pPr>
              <w:jc w:val="both"/>
              <w:rPr>
                <w:rFonts w:ascii="Calibri" w:eastAsia="Calibri" w:hAnsi="Calibri" w:cs="Times New Roman"/>
                <w:sz w:val="18"/>
                <w:szCs w:val="18"/>
              </w:rPr>
            </w:pPr>
          </w:p>
        </w:tc>
        <w:tc>
          <w:tcPr>
            <w:tcW w:w="1454" w:type="pct"/>
            <w:shd w:val="clear" w:color="auto" w:fill="D9D9D9"/>
          </w:tcPr>
          <w:p w14:paraId="15F2D3A5" w14:textId="77777777" w:rsidR="001E1D12"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b/>
                <w:sz w:val="18"/>
                <w:szCs w:val="18"/>
              </w:rPr>
              <w:t>Indicator</w:t>
            </w:r>
          </w:p>
        </w:tc>
        <w:tc>
          <w:tcPr>
            <w:tcW w:w="685" w:type="pct"/>
            <w:shd w:val="clear" w:color="auto" w:fill="D9D9D9"/>
          </w:tcPr>
          <w:p w14:paraId="1FAE1505" w14:textId="77777777" w:rsidR="001E1D12"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b/>
                <w:sz w:val="18"/>
                <w:szCs w:val="18"/>
              </w:rPr>
              <w:t>Baseline</w:t>
            </w:r>
          </w:p>
        </w:tc>
        <w:tc>
          <w:tcPr>
            <w:tcW w:w="685" w:type="pct"/>
            <w:shd w:val="clear" w:color="auto" w:fill="D9D9D9"/>
          </w:tcPr>
          <w:p w14:paraId="74691D81" w14:textId="77777777" w:rsidR="001E1D12"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b/>
                <w:sz w:val="18"/>
                <w:szCs w:val="18"/>
              </w:rPr>
              <w:t>Target</w:t>
            </w:r>
          </w:p>
        </w:tc>
        <w:tc>
          <w:tcPr>
            <w:tcW w:w="840" w:type="pct"/>
            <w:shd w:val="clear" w:color="auto" w:fill="D9D9D9"/>
          </w:tcPr>
          <w:p w14:paraId="7F9DE302"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b/>
                <w:sz w:val="18"/>
                <w:szCs w:val="18"/>
              </w:rPr>
              <w:t>Means of verification</w:t>
            </w:r>
          </w:p>
        </w:tc>
        <w:tc>
          <w:tcPr>
            <w:tcW w:w="1136" w:type="pct"/>
            <w:shd w:val="clear" w:color="auto" w:fill="D9D9D9"/>
          </w:tcPr>
          <w:p w14:paraId="671ABB63" w14:textId="77777777" w:rsidR="001E1D12" w:rsidRPr="00B6509B" w:rsidRDefault="001E1D12" w:rsidP="008D46E5">
            <w:pPr>
              <w:jc w:val="both"/>
              <w:rPr>
                <w:rFonts w:ascii="Calibri" w:eastAsia="Calibri" w:hAnsi="Calibri" w:cs="Times New Roman"/>
                <w:sz w:val="18"/>
                <w:szCs w:val="18"/>
                <w:lang w:val="fr-FR"/>
              </w:rPr>
            </w:pPr>
            <w:r w:rsidRPr="00B6509B">
              <w:rPr>
                <w:rFonts w:ascii="Calibri" w:eastAsia="Calibri" w:hAnsi="Calibri" w:cs="Times New Roman"/>
                <w:b/>
                <w:sz w:val="18"/>
                <w:szCs w:val="18"/>
                <w:lang w:val="fr-FR"/>
              </w:rPr>
              <w:t>UN Partners, Govt, CSOs, Donors, etc</w:t>
            </w:r>
          </w:p>
        </w:tc>
      </w:tr>
      <w:tr w:rsidR="001E1D12" w:rsidRPr="00B6509B" w14:paraId="34E6BB3B" w14:textId="77777777" w:rsidTr="008D46E5">
        <w:trPr>
          <w:trHeight w:val="368"/>
        </w:trPr>
        <w:tc>
          <w:tcPr>
            <w:tcW w:w="200" w:type="pct"/>
            <w:shd w:val="clear" w:color="auto" w:fill="auto"/>
          </w:tcPr>
          <w:p w14:paraId="45B8D113"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2.1</w:t>
            </w:r>
          </w:p>
        </w:tc>
        <w:tc>
          <w:tcPr>
            <w:tcW w:w="1454" w:type="pct"/>
            <w:shd w:val="clear" w:color="auto" w:fill="auto"/>
            <w:vAlign w:val="center"/>
          </w:tcPr>
          <w:p w14:paraId="5E39B206"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lang w:val="en-GB"/>
              </w:rPr>
              <w:t>Number of PICTs whose adolescent birth rate per 1000 women in that age group has decreased</w:t>
            </w:r>
            <w:r w:rsidR="00971F0B" w:rsidRPr="00B6509B">
              <w:rPr>
                <w:rFonts w:ascii="Calibri" w:eastAsia="Calibri" w:hAnsi="Calibri" w:cs="Times New Roman"/>
                <w:sz w:val="18"/>
                <w:szCs w:val="18"/>
                <w:lang w:val="en-GB"/>
              </w:rPr>
              <w:t xml:space="preserve"> </w:t>
            </w:r>
            <w:r w:rsidR="00971F0B" w:rsidRPr="00B6509B">
              <w:rPr>
                <w:rFonts w:ascii="Calibri" w:eastAsia="Calibri" w:hAnsi="Calibri" w:cs="Times New Roman"/>
                <w:sz w:val="18"/>
                <w:szCs w:val="18"/>
              </w:rPr>
              <w:t>based on the latest available data</w:t>
            </w:r>
            <w:r w:rsidRPr="00B6509B">
              <w:rPr>
                <w:rFonts w:ascii="Calibri" w:eastAsia="Calibri" w:hAnsi="Calibri" w:cs="Times New Roman"/>
                <w:sz w:val="18"/>
                <w:szCs w:val="18"/>
                <w:lang w:val="en-GB"/>
              </w:rPr>
              <w:t xml:space="preserve">. </w:t>
            </w:r>
            <w:r w:rsidRPr="00B6509B">
              <w:rPr>
                <w:rFonts w:ascii="Calibri" w:eastAsia="Calibri" w:hAnsi="Calibri" w:cs="Times New Roman"/>
                <w:sz w:val="18"/>
                <w:szCs w:val="18"/>
                <w:vertAlign w:val="superscript"/>
              </w:rPr>
              <w:footnoteReference w:id="7"/>
            </w:r>
            <w:r w:rsidRPr="00B6509B">
              <w:rPr>
                <w:rFonts w:ascii="Calibri" w:eastAsia="Calibri" w:hAnsi="Calibri" w:cs="Times New Roman"/>
                <w:sz w:val="18"/>
                <w:szCs w:val="18"/>
              </w:rPr>
              <w:t xml:space="preserve"> (SDG 3.7.2)</w:t>
            </w:r>
          </w:p>
        </w:tc>
        <w:tc>
          <w:tcPr>
            <w:tcW w:w="685" w:type="pct"/>
            <w:shd w:val="clear" w:color="auto" w:fill="auto"/>
          </w:tcPr>
          <w:p w14:paraId="666F6E23" w14:textId="27ACFBE5" w:rsidR="001E1D12" w:rsidRPr="0026335B" w:rsidRDefault="00653E49" w:rsidP="008D46E5">
            <w:pPr>
              <w:jc w:val="center"/>
              <w:rPr>
                <w:rFonts w:ascii="Calibri" w:eastAsia="Calibri" w:hAnsi="Calibri" w:cs="Times New Roman"/>
                <w:b/>
                <w:sz w:val="18"/>
                <w:szCs w:val="18"/>
                <w:lang w:val="en-GB"/>
              </w:rPr>
            </w:pPr>
            <w:r w:rsidRPr="0026335B">
              <w:rPr>
                <w:rFonts w:ascii="Calibri" w:eastAsia="Calibri" w:hAnsi="Calibri" w:cs="Times New Roman"/>
                <w:b/>
                <w:sz w:val="18"/>
                <w:szCs w:val="18"/>
                <w:lang w:val="en-GB"/>
              </w:rPr>
              <w:t>0</w:t>
            </w:r>
          </w:p>
          <w:p w14:paraId="5BE12C60" w14:textId="77777777" w:rsidR="001E1D12" w:rsidRPr="0026335B" w:rsidRDefault="001E1D12" w:rsidP="008D46E5">
            <w:pPr>
              <w:jc w:val="center"/>
              <w:rPr>
                <w:rFonts w:ascii="Calibri" w:eastAsia="Calibri" w:hAnsi="Calibri" w:cs="Times New Roman"/>
                <w:b/>
                <w:sz w:val="18"/>
                <w:szCs w:val="18"/>
              </w:rPr>
            </w:pPr>
          </w:p>
        </w:tc>
        <w:tc>
          <w:tcPr>
            <w:tcW w:w="685" w:type="pct"/>
            <w:shd w:val="clear" w:color="auto" w:fill="auto"/>
          </w:tcPr>
          <w:p w14:paraId="68703BC9" w14:textId="3AD1E3EB" w:rsidR="001E1D12" w:rsidRPr="0026335B" w:rsidRDefault="001E1D12" w:rsidP="008D46E5">
            <w:pPr>
              <w:jc w:val="center"/>
              <w:rPr>
                <w:rFonts w:ascii="Calibri" w:eastAsia="Calibri" w:hAnsi="Calibri" w:cs="Times New Roman"/>
                <w:b/>
                <w:sz w:val="18"/>
                <w:szCs w:val="18"/>
                <w:lang w:val="fr-FR"/>
              </w:rPr>
            </w:pPr>
            <w:r w:rsidRPr="0026335B">
              <w:rPr>
                <w:rFonts w:ascii="Calibri" w:eastAsia="Calibri" w:hAnsi="Calibri" w:cs="Times New Roman"/>
                <w:b/>
                <w:sz w:val="18"/>
                <w:szCs w:val="18"/>
                <w:lang w:val="fr-FR"/>
              </w:rPr>
              <w:t>14</w:t>
            </w:r>
          </w:p>
          <w:p w14:paraId="34B270DA" w14:textId="77777777" w:rsidR="001E1D12" w:rsidRPr="0026335B" w:rsidRDefault="001E1D12" w:rsidP="008D46E5">
            <w:pPr>
              <w:jc w:val="center"/>
              <w:rPr>
                <w:rFonts w:ascii="Calibri" w:eastAsia="Calibri" w:hAnsi="Calibri" w:cs="Times New Roman"/>
                <w:b/>
                <w:sz w:val="18"/>
                <w:szCs w:val="18"/>
                <w:lang w:val="fr-FR"/>
              </w:rPr>
            </w:pPr>
          </w:p>
        </w:tc>
        <w:tc>
          <w:tcPr>
            <w:tcW w:w="840" w:type="pct"/>
            <w:shd w:val="clear" w:color="auto" w:fill="auto"/>
          </w:tcPr>
          <w:p w14:paraId="3CA02513"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Demographic Health Survey (DHS) Report; Population and Housing Census (PHC) Report</w:t>
            </w:r>
          </w:p>
        </w:tc>
        <w:tc>
          <w:tcPr>
            <w:tcW w:w="1136" w:type="pct"/>
            <w:shd w:val="clear" w:color="auto" w:fill="auto"/>
          </w:tcPr>
          <w:p w14:paraId="66BB277C" w14:textId="1FDBE2FA" w:rsidR="001E1D12" w:rsidRPr="00B6509B" w:rsidRDefault="00C92448"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Department of Police for PICTs, </w:t>
            </w:r>
            <w:r w:rsidR="00D21729" w:rsidRPr="00B6509B">
              <w:rPr>
                <w:rFonts w:ascii="Calibri" w:eastAsia="Calibri" w:hAnsi="Calibri" w:cs="Times New Roman"/>
                <w:sz w:val="18"/>
                <w:szCs w:val="18"/>
              </w:rPr>
              <w:t xml:space="preserve">IOM, </w:t>
            </w:r>
            <w:r w:rsidRPr="00B6509B">
              <w:rPr>
                <w:rFonts w:ascii="Calibri" w:eastAsia="Calibri" w:hAnsi="Calibri" w:cs="Times New Roman"/>
                <w:sz w:val="18"/>
                <w:szCs w:val="18"/>
              </w:rPr>
              <w:t>Ministry of Health for PICTs, Ministry of Women, Children and Poverty Alleviation for PICTs, Ministry of Youth for PICTs, UNFPA, UNICEF, WHO</w:t>
            </w:r>
          </w:p>
        </w:tc>
      </w:tr>
      <w:tr w:rsidR="001E1D12" w:rsidRPr="00B6509B" w14:paraId="3AE4A48C" w14:textId="77777777" w:rsidTr="008D46E5">
        <w:trPr>
          <w:trHeight w:val="368"/>
        </w:trPr>
        <w:tc>
          <w:tcPr>
            <w:tcW w:w="200" w:type="pct"/>
            <w:shd w:val="clear" w:color="auto" w:fill="auto"/>
          </w:tcPr>
          <w:p w14:paraId="12A99197"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2.2</w:t>
            </w:r>
          </w:p>
        </w:tc>
        <w:tc>
          <w:tcPr>
            <w:tcW w:w="1454" w:type="pct"/>
            <w:shd w:val="clear" w:color="auto" w:fill="auto"/>
          </w:tcPr>
          <w:p w14:paraId="0E430874"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Number of PICTS whose proportion of ever-partnered women and girls aged 15 years and older subjected to physical, sexual or psychological violence by a current or former intimate partner in the previous 12 months, by form </w:t>
            </w:r>
            <w:r w:rsidRPr="008D46E5">
              <w:rPr>
                <w:rFonts w:ascii="Calibri" w:eastAsia="Calibri" w:hAnsi="Calibri" w:cs="Times New Roman"/>
                <w:sz w:val="18"/>
                <w:szCs w:val="18"/>
              </w:rPr>
              <w:t xml:space="preserve">of violence and by age has decreased based on the latest available data </w:t>
            </w:r>
            <w:r w:rsidRPr="008D46E5">
              <w:rPr>
                <w:rFonts w:ascii="Calibri" w:eastAsia="Calibri" w:hAnsi="Calibri" w:cs="Times New Roman"/>
                <w:sz w:val="18"/>
                <w:szCs w:val="18"/>
                <w:vertAlign w:val="superscript"/>
              </w:rPr>
              <w:footnoteReference w:id="8"/>
            </w:r>
            <w:r w:rsidRPr="008D46E5">
              <w:rPr>
                <w:rFonts w:ascii="Calibri" w:eastAsia="Calibri" w:hAnsi="Calibri" w:cs="Times New Roman"/>
                <w:sz w:val="18"/>
                <w:szCs w:val="18"/>
              </w:rPr>
              <w:t xml:space="preserve"> (SDG</w:t>
            </w:r>
            <w:r w:rsidRPr="00B6509B">
              <w:rPr>
                <w:rFonts w:ascii="Calibri" w:eastAsia="Calibri" w:hAnsi="Calibri" w:cs="Times New Roman"/>
                <w:sz w:val="18"/>
                <w:szCs w:val="18"/>
              </w:rPr>
              <w:t xml:space="preserve"> 5.2.1)</w:t>
            </w:r>
          </w:p>
        </w:tc>
        <w:tc>
          <w:tcPr>
            <w:tcW w:w="685" w:type="pct"/>
            <w:shd w:val="clear" w:color="auto" w:fill="auto"/>
          </w:tcPr>
          <w:p w14:paraId="3CA7FF44"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p w14:paraId="13F8A53A" w14:textId="77777777" w:rsidR="001E1D12" w:rsidRPr="0026335B" w:rsidRDefault="001E1D12" w:rsidP="008D46E5">
            <w:pPr>
              <w:jc w:val="center"/>
              <w:rPr>
                <w:rFonts w:ascii="Calibri" w:eastAsia="Calibri" w:hAnsi="Calibri" w:cs="Times New Roman"/>
                <w:b/>
                <w:sz w:val="18"/>
                <w:szCs w:val="18"/>
              </w:rPr>
            </w:pPr>
          </w:p>
          <w:p w14:paraId="44E76D86" w14:textId="77777777" w:rsidR="001E1D12" w:rsidRPr="0026335B" w:rsidRDefault="001E1D12" w:rsidP="008D46E5">
            <w:pPr>
              <w:jc w:val="center"/>
              <w:rPr>
                <w:rFonts w:ascii="Calibri" w:eastAsia="Calibri" w:hAnsi="Calibri" w:cs="Times New Roman"/>
                <w:b/>
                <w:sz w:val="18"/>
                <w:szCs w:val="18"/>
              </w:rPr>
            </w:pPr>
          </w:p>
        </w:tc>
        <w:tc>
          <w:tcPr>
            <w:tcW w:w="685" w:type="pct"/>
            <w:shd w:val="clear" w:color="auto" w:fill="auto"/>
          </w:tcPr>
          <w:p w14:paraId="7D618425"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6</w:t>
            </w:r>
          </w:p>
          <w:p w14:paraId="211770CF" w14:textId="77777777" w:rsidR="001E1D12" w:rsidRPr="0026335B" w:rsidRDefault="001E1D12" w:rsidP="008D46E5">
            <w:pPr>
              <w:jc w:val="center"/>
              <w:rPr>
                <w:rFonts w:ascii="Calibri" w:eastAsia="Calibri" w:hAnsi="Calibri" w:cs="Times New Roman"/>
                <w:b/>
                <w:sz w:val="18"/>
                <w:szCs w:val="18"/>
              </w:rPr>
            </w:pPr>
          </w:p>
          <w:p w14:paraId="1B4F884C" w14:textId="77777777" w:rsidR="001E1D12" w:rsidRPr="0026335B" w:rsidRDefault="001E1D12" w:rsidP="008D46E5">
            <w:pPr>
              <w:jc w:val="center"/>
              <w:rPr>
                <w:rFonts w:ascii="Calibri" w:eastAsia="Calibri" w:hAnsi="Calibri" w:cs="Times New Roman"/>
                <w:b/>
                <w:sz w:val="18"/>
                <w:szCs w:val="18"/>
              </w:rPr>
            </w:pPr>
          </w:p>
        </w:tc>
        <w:tc>
          <w:tcPr>
            <w:tcW w:w="840" w:type="pct"/>
            <w:shd w:val="clear" w:color="auto" w:fill="auto"/>
          </w:tcPr>
          <w:p w14:paraId="552C8FF1"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Family Health Safety Study (FHSS) Report; Demographic Health Survey (DHS) Report</w:t>
            </w:r>
          </w:p>
        </w:tc>
        <w:tc>
          <w:tcPr>
            <w:tcW w:w="1136" w:type="pct"/>
            <w:shd w:val="clear" w:color="auto" w:fill="auto"/>
          </w:tcPr>
          <w:p w14:paraId="299B0391" w14:textId="519F41F9" w:rsidR="001E1D12" w:rsidRPr="00B6509B" w:rsidRDefault="00C92448"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Department of Police for PICTs, Family Health Association, </w:t>
            </w:r>
            <w:r w:rsidR="00D21729" w:rsidRPr="00B6509B">
              <w:rPr>
                <w:rFonts w:ascii="Calibri" w:eastAsia="Calibri" w:hAnsi="Calibri" w:cs="Times New Roman"/>
                <w:sz w:val="18"/>
                <w:szCs w:val="18"/>
              </w:rPr>
              <w:t xml:space="preserve">IOM, </w:t>
            </w:r>
            <w:r w:rsidR="001E1D12" w:rsidRPr="00B6509B">
              <w:rPr>
                <w:rFonts w:ascii="Calibri" w:eastAsia="Calibri" w:hAnsi="Calibri" w:cs="Times New Roman"/>
                <w:sz w:val="18"/>
                <w:szCs w:val="18"/>
              </w:rPr>
              <w:t xml:space="preserve">IPPF, </w:t>
            </w:r>
            <w:r w:rsidRPr="00B6509B">
              <w:rPr>
                <w:rFonts w:ascii="Calibri" w:eastAsia="Calibri" w:hAnsi="Calibri" w:cs="Times New Roman"/>
                <w:sz w:val="18"/>
                <w:szCs w:val="18"/>
              </w:rPr>
              <w:t>Ministry of Health for PICTs ,</w:t>
            </w:r>
            <w:r w:rsidR="001E1D12" w:rsidRPr="00B6509B">
              <w:rPr>
                <w:rFonts w:ascii="Calibri" w:eastAsia="Calibri" w:hAnsi="Calibri" w:cs="Times New Roman"/>
                <w:sz w:val="18"/>
                <w:szCs w:val="18"/>
              </w:rPr>
              <w:t>Ministry of Women, Children and Poverty Alleviation for PICT</w:t>
            </w:r>
            <w:r w:rsidRPr="00B6509B">
              <w:rPr>
                <w:rFonts w:ascii="Calibri" w:eastAsia="Calibri" w:hAnsi="Calibri" w:cs="Times New Roman"/>
                <w:sz w:val="18"/>
                <w:szCs w:val="18"/>
              </w:rPr>
              <w:t>s, Ministry of Youth for PICTs,</w:t>
            </w:r>
            <w:r w:rsidR="001E1D12" w:rsidRPr="00B6509B">
              <w:rPr>
                <w:rFonts w:ascii="Calibri" w:eastAsia="Calibri" w:hAnsi="Calibri" w:cs="Times New Roman"/>
                <w:sz w:val="18"/>
                <w:szCs w:val="18"/>
              </w:rPr>
              <w:t xml:space="preserve"> </w:t>
            </w:r>
            <w:r w:rsidRPr="00B6509B">
              <w:rPr>
                <w:rFonts w:ascii="Calibri" w:eastAsia="Calibri" w:hAnsi="Calibri" w:cs="Times New Roman"/>
                <w:sz w:val="18"/>
                <w:szCs w:val="18"/>
              </w:rPr>
              <w:t>UNFPA, UN Women</w:t>
            </w:r>
          </w:p>
        </w:tc>
      </w:tr>
      <w:tr w:rsidR="001E1D12" w:rsidRPr="00B6509B" w14:paraId="21B0DAA8" w14:textId="77777777" w:rsidTr="008D46E5">
        <w:trPr>
          <w:trHeight w:val="1176"/>
        </w:trPr>
        <w:tc>
          <w:tcPr>
            <w:tcW w:w="200" w:type="pct"/>
            <w:shd w:val="clear" w:color="auto" w:fill="auto"/>
          </w:tcPr>
          <w:p w14:paraId="708964A6"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2.3</w:t>
            </w:r>
          </w:p>
        </w:tc>
        <w:tc>
          <w:tcPr>
            <w:tcW w:w="1454" w:type="pct"/>
            <w:shd w:val="clear" w:color="auto" w:fill="auto"/>
          </w:tcPr>
          <w:p w14:paraId="61E733AE" w14:textId="0F8CF1AF"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Number of PICTs whose proportion of women and girls aged 15 years and older subjected to sexual violence by persons other than an intimate partner in the previous 12 months, by age and place of occurrence has decreased based on the latest available data</w:t>
            </w:r>
            <w:r w:rsidR="00AD1BE6">
              <w:rPr>
                <w:rStyle w:val="FootnoteReference"/>
                <w:rFonts w:ascii="Calibri" w:eastAsia="Calibri" w:hAnsi="Calibri" w:cs="Times New Roman"/>
                <w:sz w:val="18"/>
                <w:szCs w:val="18"/>
              </w:rPr>
              <w:footnoteReference w:id="9"/>
            </w:r>
            <w:r w:rsidRPr="00B6509B">
              <w:rPr>
                <w:rFonts w:ascii="Calibri" w:eastAsia="Calibri" w:hAnsi="Calibri" w:cs="Times New Roman"/>
                <w:sz w:val="18"/>
                <w:szCs w:val="18"/>
              </w:rPr>
              <w:t xml:space="preserve"> </w:t>
            </w:r>
            <w:r w:rsidR="00AD1BE6">
              <w:rPr>
                <w:rFonts w:ascii="Calibri" w:eastAsia="Calibri" w:hAnsi="Calibri" w:cs="Times New Roman"/>
                <w:sz w:val="18"/>
                <w:szCs w:val="18"/>
              </w:rPr>
              <w:t>(</w:t>
            </w:r>
            <w:r w:rsidRPr="00B6509B">
              <w:rPr>
                <w:rFonts w:ascii="Calibri" w:eastAsia="Calibri" w:hAnsi="Calibri" w:cs="Times New Roman"/>
                <w:sz w:val="18"/>
                <w:szCs w:val="18"/>
              </w:rPr>
              <w:t>SDG 5.2.2)</w:t>
            </w:r>
          </w:p>
        </w:tc>
        <w:tc>
          <w:tcPr>
            <w:tcW w:w="685" w:type="pct"/>
            <w:shd w:val="clear" w:color="auto" w:fill="auto"/>
          </w:tcPr>
          <w:p w14:paraId="7DB69251"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p w14:paraId="60183425" w14:textId="77777777" w:rsidR="001E1D12" w:rsidRPr="0026335B" w:rsidRDefault="001E1D12" w:rsidP="008D46E5">
            <w:pPr>
              <w:jc w:val="center"/>
              <w:rPr>
                <w:rFonts w:ascii="Calibri" w:eastAsia="Calibri" w:hAnsi="Calibri" w:cs="Times New Roman"/>
                <w:b/>
                <w:sz w:val="18"/>
                <w:szCs w:val="18"/>
              </w:rPr>
            </w:pPr>
          </w:p>
        </w:tc>
        <w:tc>
          <w:tcPr>
            <w:tcW w:w="685" w:type="pct"/>
            <w:shd w:val="clear" w:color="auto" w:fill="auto"/>
          </w:tcPr>
          <w:p w14:paraId="1B956010" w14:textId="212171E2"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6</w:t>
            </w:r>
          </w:p>
          <w:p w14:paraId="4C92F983" w14:textId="77777777" w:rsidR="001E1D12" w:rsidRPr="0026335B" w:rsidRDefault="001E1D12" w:rsidP="008D46E5">
            <w:pPr>
              <w:jc w:val="center"/>
              <w:rPr>
                <w:rFonts w:ascii="Calibri" w:eastAsia="Calibri" w:hAnsi="Calibri" w:cs="Times New Roman"/>
                <w:b/>
                <w:sz w:val="18"/>
                <w:szCs w:val="18"/>
              </w:rPr>
            </w:pPr>
          </w:p>
        </w:tc>
        <w:tc>
          <w:tcPr>
            <w:tcW w:w="840" w:type="pct"/>
            <w:shd w:val="clear" w:color="auto" w:fill="auto"/>
          </w:tcPr>
          <w:p w14:paraId="3D7AFD2B"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Family Health Safety Study (FHSS) Report; Demographic Health Survey (DHS) Report</w:t>
            </w:r>
          </w:p>
        </w:tc>
        <w:tc>
          <w:tcPr>
            <w:tcW w:w="1136" w:type="pct"/>
            <w:shd w:val="clear" w:color="auto" w:fill="auto"/>
          </w:tcPr>
          <w:p w14:paraId="324F27A6" w14:textId="70CA5696" w:rsidR="001E1D12" w:rsidRPr="00B6509B" w:rsidRDefault="00C92448"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Department of Police for PICTs, ILO, </w:t>
            </w:r>
            <w:r w:rsidR="00CE470C" w:rsidRPr="00B6509B">
              <w:rPr>
                <w:rFonts w:ascii="Calibri" w:eastAsia="Calibri" w:hAnsi="Calibri" w:cs="Times New Roman"/>
                <w:sz w:val="18"/>
                <w:szCs w:val="18"/>
              </w:rPr>
              <w:t xml:space="preserve">IOM, </w:t>
            </w:r>
            <w:r w:rsidRPr="00B6509B">
              <w:rPr>
                <w:rFonts w:ascii="Calibri" w:eastAsia="Calibri" w:hAnsi="Calibri" w:cs="Times New Roman"/>
                <w:sz w:val="18"/>
                <w:szCs w:val="18"/>
              </w:rPr>
              <w:t>Ministry of Health for PICTs, Ministry of Women, Children and Poverty Alleviation for PICTs, Ministry of Youth for PICTs, UNFPA, UNICEF, UNWomen</w:t>
            </w:r>
          </w:p>
        </w:tc>
      </w:tr>
      <w:tr w:rsidR="001E1D12" w:rsidRPr="00B6509B" w14:paraId="155D3D1A" w14:textId="77777777" w:rsidTr="008D46E5">
        <w:trPr>
          <w:trHeight w:val="368"/>
        </w:trPr>
        <w:tc>
          <w:tcPr>
            <w:tcW w:w="200" w:type="pct"/>
            <w:shd w:val="clear" w:color="auto" w:fill="auto"/>
          </w:tcPr>
          <w:p w14:paraId="18C12039"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2.4</w:t>
            </w:r>
          </w:p>
        </w:tc>
        <w:tc>
          <w:tcPr>
            <w:tcW w:w="1454" w:type="pct"/>
            <w:shd w:val="clear" w:color="auto" w:fill="auto"/>
          </w:tcPr>
          <w:p w14:paraId="43FDDF3B"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Number of PICTS whose proportion of women aged 20-24 years who were married or in a union before age 15 and before age 18 has decreased</w:t>
            </w:r>
            <w:r w:rsidRPr="00B6509B">
              <w:rPr>
                <w:rFonts w:ascii="Calibri" w:eastAsia="Calibri" w:hAnsi="Calibri" w:cs="Times New Roman"/>
                <w:sz w:val="18"/>
                <w:szCs w:val="18"/>
                <w:vertAlign w:val="superscript"/>
              </w:rPr>
              <w:t xml:space="preserve"> </w:t>
            </w:r>
            <w:r w:rsidRPr="00B6509B">
              <w:rPr>
                <w:rFonts w:ascii="Calibri" w:eastAsia="Calibri" w:hAnsi="Calibri" w:cs="Times New Roman"/>
                <w:sz w:val="18"/>
                <w:szCs w:val="18"/>
              </w:rPr>
              <w:t xml:space="preserve">based on the latest available data </w:t>
            </w:r>
            <w:r w:rsidRPr="00B6509B">
              <w:rPr>
                <w:rFonts w:ascii="Calibri" w:eastAsia="Calibri" w:hAnsi="Calibri" w:cs="Times New Roman"/>
                <w:sz w:val="18"/>
                <w:szCs w:val="18"/>
                <w:vertAlign w:val="superscript"/>
              </w:rPr>
              <w:footnoteReference w:id="10"/>
            </w:r>
            <w:r w:rsidRPr="00B6509B">
              <w:rPr>
                <w:rFonts w:ascii="Calibri" w:eastAsia="Calibri" w:hAnsi="Calibri" w:cs="Times New Roman"/>
                <w:sz w:val="18"/>
                <w:szCs w:val="18"/>
              </w:rPr>
              <w:t>(SDG 5.3.1)</w:t>
            </w:r>
          </w:p>
        </w:tc>
        <w:tc>
          <w:tcPr>
            <w:tcW w:w="685" w:type="pct"/>
            <w:shd w:val="clear" w:color="auto" w:fill="auto"/>
          </w:tcPr>
          <w:p w14:paraId="7D69C0EF" w14:textId="1B1AB7D5"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tc>
        <w:tc>
          <w:tcPr>
            <w:tcW w:w="685" w:type="pct"/>
            <w:shd w:val="clear" w:color="auto" w:fill="auto"/>
          </w:tcPr>
          <w:p w14:paraId="5D1B7D3E" w14:textId="6B0B19DA" w:rsidR="001E1D12" w:rsidRPr="0026335B" w:rsidRDefault="001E1D12" w:rsidP="008D46E5">
            <w:pPr>
              <w:jc w:val="center"/>
              <w:rPr>
                <w:rFonts w:ascii="Calibri" w:eastAsia="Calibri" w:hAnsi="Calibri" w:cs="Times New Roman"/>
                <w:b/>
                <w:sz w:val="18"/>
                <w:szCs w:val="18"/>
                <w:lang w:val="fr-FR"/>
              </w:rPr>
            </w:pPr>
            <w:r w:rsidRPr="0026335B">
              <w:rPr>
                <w:rFonts w:ascii="Calibri" w:eastAsia="Calibri" w:hAnsi="Calibri" w:cs="Times New Roman"/>
                <w:b/>
                <w:sz w:val="18"/>
                <w:szCs w:val="18"/>
                <w:lang w:val="fr-FR"/>
              </w:rPr>
              <w:t>6</w:t>
            </w:r>
          </w:p>
        </w:tc>
        <w:tc>
          <w:tcPr>
            <w:tcW w:w="840" w:type="pct"/>
            <w:shd w:val="clear" w:color="auto" w:fill="auto"/>
          </w:tcPr>
          <w:p w14:paraId="02A0AD70"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State of the World’s Children Report</w:t>
            </w:r>
          </w:p>
        </w:tc>
        <w:tc>
          <w:tcPr>
            <w:tcW w:w="1136" w:type="pct"/>
            <w:shd w:val="clear" w:color="auto" w:fill="auto"/>
          </w:tcPr>
          <w:p w14:paraId="692A431A" w14:textId="77777777" w:rsidR="001E1D12" w:rsidRPr="00B6509B" w:rsidRDefault="00C92448" w:rsidP="008D46E5">
            <w:pPr>
              <w:jc w:val="both"/>
              <w:rPr>
                <w:rFonts w:ascii="Calibri" w:eastAsia="Calibri" w:hAnsi="Calibri" w:cs="Times New Roman"/>
                <w:sz w:val="18"/>
                <w:szCs w:val="18"/>
              </w:rPr>
            </w:pPr>
            <w:r w:rsidRPr="00B6509B">
              <w:rPr>
                <w:rFonts w:ascii="Calibri" w:eastAsia="Calibri" w:hAnsi="Calibri" w:cs="Times New Roman"/>
                <w:sz w:val="18"/>
                <w:szCs w:val="18"/>
              </w:rPr>
              <w:t>Ministry of Health for PICTs,  Ministry of Women, Children and Poverty Alleviation for PICTs, Ministry of Youth for PICTs, UNFPA, UNICEF,  UNWomen</w:t>
            </w:r>
          </w:p>
        </w:tc>
      </w:tr>
    </w:tbl>
    <w:p w14:paraId="689C5A9A" w14:textId="77777777" w:rsidR="00C97D45" w:rsidRDefault="00C97D45" w:rsidP="008D46E5">
      <w:pPr>
        <w:jc w:val="both"/>
        <w:rPr>
          <w:sz w:val="18"/>
          <w:szCs w:val="18"/>
        </w:rPr>
      </w:pPr>
    </w:p>
    <w:p w14:paraId="1B46559D" w14:textId="77777777" w:rsidR="00790FE6" w:rsidRDefault="00790FE6" w:rsidP="008D46E5">
      <w:pPr>
        <w:jc w:val="both"/>
        <w:rPr>
          <w:sz w:val="18"/>
          <w:szCs w:val="18"/>
        </w:rPr>
      </w:pPr>
    </w:p>
    <w:p w14:paraId="744F3090" w14:textId="77777777" w:rsidR="00790FE6" w:rsidRPr="00B6509B" w:rsidRDefault="00790FE6" w:rsidP="008D46E5">
      <w:pPr>
        <w:jc w:val="both"/>
        <w:rPr>
          <w:sz w:val="18"/>
          <w:szCs w:val="18"/>
        </w:rPr>
      </w:pPr>
    </w:p>
    <w:tbl>
      <w:tblPr>
        <w:tblStyle w:val="TableGrid"/>
        <w:tblW w:w="15840" w:type="dxa"/>
        <w:tblInd w:w="-10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840"/>
      </w:tblGrid>
      <w:tr w:rsidR="001E1D12" w:rsidRPr="00B6509B" w14:paraId="258DDDFB" w14:textId="77777777" w:rsidTr="001E1D12">
        <w:tc>
          <w:tcPr>
            <w:tcW w:w="15840" w:type="dxa"/>
            <w:shd w:val="clear" w:color="auto" w:fill="DEEAF6" w:themeFill="accent1" w:themeFillTint="33"/>
          </w:tcPr>
          <w:p w14:paraId="08C2ACDB" w14:textId="77777777" w:rsidR="001E1D12" w:rsidRPr="00B6509B" w:rsidRDefault="001E1D12" w:rsidP="008D46E5">
            <w:pPr>
              <w:jc w:val="both"/>
              <w:rPr>
                <w:b/>
                <w:sz w:val="18"/>
                <w:szCs w:val="18"/>
              </w:rPr>
            </w:pPr>
            <w:r w:rsidRPr="00B6509B">
              <w:rPr>
                <w:b/>
                <w:sz w:val="18"/>
                <w:szCs w:val="18"/>
              </w:rPr>
              <w:t>Outcome 3: Sustainable and Inclusive Economic Empowerment</w:t>
            </w:r>
          </w:p>
          <w:p w14:paraId="2F6DF87E" w14:textId="77777777" w:rsidR="001E1D12" w:rsidRPr="00B6509B" w:rsidRDefault="001E1D12" w:rsidP="008D46E5">
            <w:pPr>
              <w:jc w:val="both"/>
              <w:rPr>
                <w:b/>
                <w:sz w:val="18"/>
                <w:szCs w:val="18"/>
              </w:rPr>
            </w:pPr>
          </w:p>
          <w:p w14:paraId="28E2D6B0" w14:textId="77777777" w:rsidR="001E1D12" w:rsidRPr="00B6509B" w:rsidRDefault="001E1D12" w:rsidP="008D46E5">
            <w:pPr>
              <w:jc w:val="both"/>
              <w:rPr>
                <w:sz w:val="18"/>
                <w:szCs w:val="18"/>
              </w:rPr>
            </w:pPr>
            <w:r w:rsidRPr="00B6509B">
              <w:rPr>
                <w:b/>
                <w:sz w:val="18"/>
                <w:szCs w:val="18"/>
              </w:rPr>
              <w:t>Outcome Statement:</w:t>
            </w:r>
            <w:r w:rsidRPr="00B6509B">
              <w:rPr>
                <w:sz w:val="18"/>
                <w:szCs w:val="18"/>
              </w:rPr>
              <w:t xml:space="preserve"> By 2022, people in the Pacific in particular youth, women and vulnerable groups, benefit from inclusive and sustainable economic development that creates decent jobs, reduces multi–dimensional poverty and inequalities, and promotes economic empowerment.</w:t>
            </w:r>
          </w:p>
          <w:p w14:paraId="2152DA68" w14:textId="77777777" w:rsidR="001E1D12" w:rsidRPr="00B6509B" w:rsidRDefault="001E1D12" w:rsidP="008D46E5">
            <w:pPr>
              <w:jc w:val="both"/>
              <w:rPr>
                <w:b/>
                <w:sz w:val="18"/>
                <w:szCs w:val="18"/>
                <w:shd w:val="clear" w:color="auto" w:fill="DEEAF6" w:themeFill="accent1" w:themeFillTint="33"/>
              </w:rPr>
            </w:pPr>
          </w:p>
          <w:p w14:paraId="029191AA" w14:textId="68772066" w:rsidR="001E1D12" w:rsidRPr="00B6509B" w:rsidRDefault="001E1D12" w:rsidP="008D46E5">
            <w:pPr>
              <w:jc w:val="both"/>
              <w:rPr>
                <w:b/>
                <w:sz w:val="18"/>
                <w:szCs w:val="18"/>
              </w:rPr>
            </w:pPr>
            <w:r w:rsidRPr="00B6509B">
              <w:rPr>
                <w:b/>
                <w:sz w:val="18"/>
                <w:szCs w:val="18"/>
                <w:shd w:val="clear" w:color="auto" w:fill="DEEAF6" w:themeFill="accent1" w:themeFillTint="33"/>
              </w:rPr>
              <w:t>Collaborating agencies:</w:t>
            </w:r>
            <w:r w:rsidRPr="00B6509B">
              <w:rPr>
                <w:sz w:val="18"/>
                <w:szCs w:val="18"/>
                <w:shd w:val="clear" w:color="auto" w:fill="DEEAF6" w:themeFill="accent1" w:themeFillTint="33"/>
              </w:rPr>
              <w:t xml:space="preserve"> </w:t>
            </w:r>
            <w:r w:rsidR="00760FE6" w:rsidRPr="00B6509B">
              <w:rPr>
                <w:sz w:val="18"/>
                <w:szCs w:val="18"/>
                <w:shd w:val="clear" w:color="auto" w:fill="DEEAF6" w:themeFill="accent1" w:themeFillTint="33"/>
              </w:rPr>
              <w:t xml:space="preserve">FAO, </w:t>
            </w:r>
            <w:r w:rsidR="00DF3598">
              <w:rPr>
                <w:sz w:val="18"/>
                <w:szCs w:val="18"/>
                <w:shd w:val="clear" w:color="auto" w:fill="DEEAF6" w:themeFill="accent1" w:themeFillTint="33"/>
              </w:rPr>
              <w:t xml:space="preserve">IFAD; </w:t>
            </w:r>
            <w:r w:rsidRPr="00B6509B">
              <w:rPr>
                <w:sz w:val="18"/>
                <w:szCs w:val="18"/>
                <w:shd w:val="clear" w:color="auto" w:fill="DEEAF6" w:themeFill="accent1" w:themeFillTint="33"/>
              </w:rPr>
              <w:t>ILO; IOM; UNDP; UNESCAP; UNESCO; UNFPA; UNICEF;  UNODC; UN Women;  WHO; WMO</w:t>
            </w:r>
          </w:p>
        </w:tc>
      </w:tr>
    </w:tbl>
    <w:p w14:paraId="4E89BB01" w14:textId="77777777" w:rsidR="001E1D12" w:rsidRPr="00B6509B" w:rsidRDefault="001E1D12" w:rsidP="008D46E5">
      <w:pPr>
        <w:jc w:val="both"/>
        <w:rPr>
          <w:sz w:val="18"/>
          <w:szCs w:val="18"/>
        </w:rPr>
      </w:pPr>
    </w:p>
    <w:tbl>
      <w:tblPr>
        <w:tblStyle w:val="TableGrid2"/>
        <w:tblW w:w="15830" w:type="dxa"/>
        <w:tblInd w:w="-9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20"/>
        <w:gridCol w:w="4590"/>
        <w:gridCol w:w="2160"/>
        <w:gridCol w:w="2160"/>
        <w:gridCol w:w="2700"/>
        <w:gridCol w:w="3600"/>
      </w:tblGrid>
      <w:tr w:rsidR="001E1D12" w:rsidRPr="00653E49" w14:paraId="29903F3B" w14:textId="77777777" w:rsidTr="001E1D12">
        <w:trPr>
          <w:trHeight w:val="474"/>
          <w:tblHeader/>
        </w:trPr>
        <w:tc>
          <w:tcPr>
            <w:tcW w:w="620" w:type="dxa"/>
            <w:shd w:val="clear" w:color="auto" w:fill="D9D9D9"/>
          </w:tcPr>
          <w:p w14:paraId="14D7F786" w14:textId="77777777" w:rsidR="001E1D12" w:rsidRPr="00B6509B" w:rsidRDefault="001E1D12" w:rsidP="008D46E5">
            <w:pPr>
              <w:jc w:val="both"/>
              <w:rPr>
                <w:rFonts w:ascii="Calibri" w:eastAsia="Calibri" w:hAnsi="Calibri" w:cs="Times New Roman"/>
                <w:sz w:val="18"/>
                <w:szCs w:val="18"/>
              </w:rPr>
            </w:pPr>
          </w:p>
        </w:tc>
        <w:tc>
          <w:tcPr>
            <w:tcW w:w="4590" w:type="dxa"/>
            <w:shd w:val="clear" w:color="auto" w:fill="D9D9D9"/>
          </w:tcPr>
          <w:p w14:paraId="3C3F8135" w14:textId="77777777" w:rsidR="001E1D12" w:rsidRPr="00B6509B" w:rsidRDefault="001E1D12" w:rsidP="008D46E5">
            <w:pPr>
              <w:widowControl w:val="0"/>
              <w:autoSpaceDE w:val="0"/>
              <w:autoSpaceDN w:val="0"/>
              <w:adjustRightInd w:val="0"/>
              <w:jc w:val="both"/>
              <w:rPr>
                <w:rFonts w:ascii="Calibri" w:eastAsia="Calibri" w:hAnsi="Calibri" w:cs="Times New Roman"/>
                <w:sz w:val="18"/>
                <w:szCs w:val="18"/>
              </w:rPr>
            </w:pPr>
            <w:r w:rsidRPr="00B6509B">
              <w:rPr>
                <w:rFonts w:ascii="Calibri" w:eastAsia="Calibri" w:hAnsi="Calibri" w:cs="Times New Roman"/>
                <w:b/>
                <w:sz w:val="18"/>
                <w:szCs w:val="18"/>
              </w:rPr>
              <w:t>Indicator</w:t>
            </w:r>
          </w:p>
        </w:tc>
        <w:tc>
          <w:tcPr>
            <w:tcW w:w="2160" w:type="dxa"/>
            <w:shd w:val="clear" w:color="auto" w:fill="D9D9D9"/>
          </w:tcPr>
          <w:p w14:paraId="6B4CAA90" w14:textId="77777777" w:rsidR="001E1D12"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b/>
                <w:sz w:val="18"/>
                <w:szCs w:val="18"/>
              </w:rPr>
              <w:t>Baseline</w:t>
            </w:r>
          </w:p>
        </w:tc>
        <w:tc>
          <w:tcPr>
            <w:tcW w:w="2160" w:type="dxa"/>
            <w:shd w:val="clear" w:color="auto" w:fill="D9D9D9"/>
          </w:tcPr>
          <w:p w14:paraId="77384E1F" w14:textId="77777777" w:rsidR="001E1D12"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b/>
                <w:sz w:val="18"/>
                <w:szCs w:val="18"/>
              </w:rPr>
              <w:t>Target</w:t>
            </w:r>
          </w:p>
        </w:tc>
        <w:tc>
          <w:tcPr>
            <w:tcW w:w="2700" w:type="dxa"/>
            <w:shd w:val="clear" w:color="auto" w:fill="D9D9D9"/>
          </w:tcPr>
          <w:p w14:paraId="4619E62F"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b/>
                <w:sz w:val="18"/>
                <w:szCs w:val="18"/>
              </w:rPr>
              <w:t>Means of verification</w:t>
            </w:r>
          </w:p>
        </w:tc>
        <w:tc>
          <w:tcPr>
            <w:tcW w:w="3600" w:type="dxa"/>
            <w:shd w:val="clear" w:color="auto" w:fill="D9D9D9"/>
          </w:tcPr>
          <w:p w14:paraId="6AA07AB4" w14:textId="77777777" w:rsidR="001E1D12" w:rsidRPr="00B6509B" w:rsidRDefault="001E1D12" w:rsidP="008D46E5">
            <w:pPr>
              <w:jc w:val="both"/>
              <w:rPr>
                <w:rFonts w:ascii="Calibri" w:eastAsia="Calibri" w:hAnsi="Calibri" w:cs="Times New Roman"/>
                <w:sz w:val="18"/>
                <w:szCs w:val="18"/>
                <w:lang w:val="fr-FR"/>
              </w:rPr>
            </w:pPr>
            <w:r w:rsidRPr="00B6509B">
              <w:rPr>
                <w:rFonts w:ascii="Calibri" w:eastAsia="Calibri" w:hAnsi="Calibri" w:cs="Times New Roman"/>
                <w:b/>
                <w:sz w:val="18"/>
                <w:szCs w:val="18"/>
                <w:lang w:val="fr-FR"/>
              </w:rPr>
              <w:t>UN Partners, Govt, CSOs, Donors, etc</w:t>
            </w:r>
          </w:p>
        </w:tc>
      </w:tr>
      <w:tr w:rsidR="001725A1" w:rsidRPr="00B6509B" w14:paraId="6126B458" w14:textId="77777777" w:rsidTr="008D46E5">
        <w:tc>
          <w:tcPr>
            <w:tcW w:w="620" w:type="dxa"/>
            <w:shd w:val="clear" w:color="auto" w:fill="auto"/>
          </w:tcPr>
          <w:p w14:paraId="1DD68D3B" w14:textId="77777777"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t>3.1</w:t>
            </w:r>
          </w:p>
        </w:tc>
        <w:tc>
          <w:tcPr>
            <w:tcW w:w="4590" w:type="dxa"/>
            <w:shd w:val="clear" w:color="auto" w:fill="auto"/>
          </w:tcPr>
          <w:p w14:paraId="4AF4DF42" w14:textId="77777777" w:rsidR="001725A1" w:rsidRPr="00B6509B" w:rsidRDefault="001725A1" w:rsidP="008D46E5">
            <w:pPr>
              <w:jc w:val="both"/>
              <w:rPr>
                <w:rFonts w:ascii="Calibri" w:eastAsia="Calibri" w:hAnsi="Calibri" w:cs="Times New Roman"/>
                <w:sz w:val="18"/>
                <w:szCs w:val="18"/>
              </w:rPr>
            </w:pPr>
            <w:r w:rsidRPr="008D46E5">
              <w:rPr>
                <w:rFonts w:ascii="Calibri" w:eastAsia="Calibri" w:hAnsi="Calibri" w:cs="Times New Roman"/>
                <w:sz w:val="18"/>
                <w:szCs w:val="18"/>
              </w:rPr>
              <w:t>Number of PICTs in which the proportion of population living below the national poverty line, by sex and age [disability status and geography] has decreased based on the latest available data</w:t>
            </w:r>
            <w:r w:rsidRPr="008D46E5">
              <w:rPr>
                <w:rFonts w:ascii="Calibri" w:eastAsia="Calibri" w:hAnsi="Calibri" w:cs="Times New Roman"/>
                <w:sz w:val="18"/>
                <w:szCs w:val="18"/>
                <w:vertAlign w:val="superscript"/>
              </w:rPr>
              <w:t xml:space="preserve"> </w:t>
            </w:r>
            <w:r w:rsidRPr="008D46E5">
              <w:rPr>
                <w:rFonts w:ascii="Calibri" w:eastAsia="Calibri" w:hAnsi="Calibri" w:cs="Times New Roman"/>
                <w:sz w:val="18"/>
                <w:szCs w:val="18"/>
                <w:vertAlign w:val="superscript"/>
              </w:rPr>
              <w:footnoteReference w:id="11"/>
            </w:r>
            <w:r w:rsidRPr="008D46E5">
              <w:rPr>
                <w:rFonts w:ascii="Calibri" w:eastAsia="Calibri" w:hAnsi="Calibri" w:cs="Times New Roman"/>
                <w:sz w:val="18"/>
                <w:szCs w:val="18"/>
              </w:rPr>
              <w:t xml:space="preserve"> (SDG</w:t>
            </w:r>
            <w:r w:rsidRPr="00B6509B">
              <w:rPr>
                <w:rFonts w:ascii="Calibri" w:eastAsia="Calibri" w:hAnsi="Calibri" w:cs="Times New Roman"/>
                <w:sz w:val="18"/>
                <w:szCs w:val="18"/>
              </w:rPr>
              <w:t xml:space="preserve"> 1.2.1)</w:t>
            </w:r>
          </w:p>
        </w:tc>
        <w:tc>
          <w:tcPr>
            <w:tcW w:w="2160" w:type="dxa"/>
            <w:shd w:val="clear" w:color="auto" w:fill="auto"/>
          </w:tcPr>
          <w:p w14:paraId="2F25C41D" w14:textId="77777777" w:rsidR="001725A1" w:rsidRPr="0026335B" w:rsidRDefault="001725A1"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tc>
        <w:tc>
          <w:tcPr>
            <w:tcW w:w="2160" w:type="dxa"/>
            <w:shd w:val="clear" w:color="auto" w:fill="auto"/>
          </w:tcPr>
          <w:p w14:paraId="56E15DE8" w14:textId="0A6D2377" w:rsidR="001725A1" w:rsidRPr="0026335B" w:rsidRDefault="00653E49" w:rsidP="008D46E5">
            <w:pPr>
              <w:jc w:val="center"/>
              <w:rPr>
                <w:rFonts w:ascii="Calibri" w:eastAsia="Calibri" w:hAnsi="Calibri" w:cs="Times New Roman"/>
                <w:b/>
                <w:sz w:val="18"/>
                <w:szCs w:val="18"/>
                <w:shd w:val="clear" w:color="auto" w:fill="E2EFD9"/>
                <w:lang w:val="fr-FR"/>
              </w:rPr>
            </w:pPr>
            <w:r w:rsidRPr="0026335B">
              <w:rPr>
                <w:rFonts w:ascii="Calibri" w:eastAsia="Calibri" w:hAnsi="Calibri" w:cs="Times New Roman"/>
                <w:b/>
                <w:sz w:val="18"/>
                <w:szCs w:val="18"/>
                <w:lang w:val="fr-FR"/>
              </w:rPr>
              <w:t>14</w:t>
            </w:r>
          </w:p>
          <w:p w14:paraId="1EDC712A" w14:textId="77777777" w:rsidR="001725A1" w:rsidRPr="0026335B" w:rsidRDefault="001725A1" w:rsidP="008D46E5">
            <w:pPr>
              <w:jc w:val="center"/>
              <w:rPr>
                <w:rFonts w:ascii="Calibri" w:eastAsia="Calibri" w:hAnsi="Calibri" w:cs="Times New Roman"/>
                <w:b/>
                <w:sz w:val="18"/>
                <w:szCs w:val="18"/>
                <w:lang w:val="fr-FR"/>
              </w:rPr>
            </w:pPr>
          </w:p>
        </w:tc>
        <w:tc>
          <w:tcPr>
            <w:tcW w:w="2700" w:type="dxa"/>
            <w:shd w:val="clear" w:color="auto" w:fill="auto"/>
          </w:tcPr>
          <w:p w14:paraId="09EE109C" w14:textId="79D382F1"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t>HIES Report</w:t>
            </w:r>
          </w:p>
        </w:tc>
        <w:tc>
          <w:tcPr>
            <w:tcW w:w="3600" w:type="dxa"/>
            <w:vMerge w:val="restart"/>
            <w:shd w:val="clear" w:color="auto" w:fill="auto"/>
          </w:tcPr>
          <w:p w14:paraId="642100C0" w14:textId="6BA20B84"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Bristol University, </w:t>
            </w:r>
            <w:r w:rsidRPr="006F76F8">
              <w:rPr>
                <w:rFonts w:ascii="Calibri" w:eastAsia="Calibri" w:hAnsi="Calibri" w:cs="Times New Roman"/>
                <w:sz w:val="18"/>
                <w:szCs w:val="18"/>
              </w:rPr>
              <w:t>Bureau of Statistics for PICTs,</w:t>
            </w:r>
            <w:r>
              <w:rPr>
                <w:rFonts w:ascii="Calibri" w:eastAsia="Calibri" w:hAnsi="Calibri" w:cs="Times New Roman"/>
                <w:sz w:val="18"/>
                <w:szCs w:val="18"/>
              </w:rPr>
              <w:t xml:space="preserve"> </w:t>
            </w:r>
            <w:r w:rsidRPr="006F76F8">
              <w:rPr>
                <w:rFonts w:ascii="Calibri" w:eastAsia="Calibri" w:hAnsi="Calibri" w:cs="Times New Roman"/>
                <w:sz w:val="18"/>
                <w:szCs w:val="18"/>
              </w:rPr>
              <w:t xml:space="preserve">Central Banks, </w:t>
            </w:r>
            <w:r w:rsidRPr="00B6509B">
              <w:rPr>
                <w:rFonts w:ascii="Calibri" w:eastAsia="Calibri" w:hAnsi="Calibri" w:cs="Times New Roman"/>
                <w:sz w:val="18"/>
                <w:szCs w:val="18"/>
              </w:rPr>
              <w:t xml:space="preserve">FAO,ILO, </w:t>
            </w:r>
            <w:r w:rsidRPr="008D46E5">
              <w:rPr>
                <w:rFonts w:ascii="Calibri" w:eastAsia="Calibri" w:hAnsi="Calibri" w:cs="Times New Roman"/>
                <w:sz w:val="18"/>
                <w:szCs w:val="18"/>
              </w:rPr>
              <w:t>Ministry of National Planning and Finance for PICTs, Ministry of Youth for PICTs, Ministry of</w:t>
            </w:r>
            <w:r w:rsidRPr="00B6509B">
              <w:rPr>
                <w:rFonts w:ascii="Calibri" w:eastAsia="Calibri" w:hAnsi="Calibri" w:cs="Times New Roman"/>
                <w:sz w:val="18"/>
                <w:szCs w:val="18"/>
              </w:rPr>
              <w:t xml:space="preserve"> Women, Children and Poverty Alleviation for PICTs, </w:t>
            </w:r>
            <w:r w:rsidRPr="006F76F8">
              <w:rPr>
                <w:rFonts w:ascii="Calibri" w:eastAsia="Calibri" w:hAnsi="Calibri" w:cs="Times New Roman"/>
                <w:sz w:val="18"/>
                <w:szCs w:val="18"/>
              </w:rPr>
              <w:t>NSO,</w:t>
            </w:r>
            <w:r>
              <w:rPr>
                <w:rFonts w:ascii="Calibri" w:eastAsia="Calibri" w:hAnsi="Calibri" w:cs="Times New Roman"/>
                <w:sz w:val="18"/>
                <w:szCs w:val="18"/>
              </w:rPr>
              <w:t xml:space="preserve"> Private sector, </w:t>
            </w:r>
            <w:r w:rsidRPr="006F76F8">
              <w:rPr>
                <w:rFonts w:ascii="Calibri" w:eastAsia="Calibri" w:hAnsi="Calibri" w:cs="Times New Roman"/>
                <w:sz w:val="18"/>
                <w:szCs w:val="18"/>
              </w:rPr>
              <w:t>SPC,</w:t>
            </w:r>
            <w:r>
              <w:t xml:space="preserve"> </w:t>
            </w:r>
            <w:r w:rsidRPr="006F76F8">
              <w:rPr>
                <w:rFonts w:ascii="Calibri" w:eastAsia="Calibri" w:hAnsi="Calibri" w:cs="Times New Roman"/>
                <w:sz w:val="18"/>
                <w:szCs w:val="18"/>
              </w:rPr>
              <w:t>UNCDF, UNDP, UNESCAP, UNFPA,</w:t>
            </w:r>
            <w:r>
              <w:t xml:space="preserve"> </w:t>
            </w:r>
            <w:r w:rsidRPr="006F76F8">
              <w:rPr>
                <w:rFonts w:ascii="Calibri" w:eastAsia="Calibri" w:hAnsi="Calibri" w:cs="Times New Roman"/>
                <w:sz w:val="18"/>
                <w:szCs w:val="18"/>
              </w:rPr>
              <w:t>UNICEF,</w:t>
            </w:r>
            <w:r>
              <w:rPr>
                <w:rFonts w:ascii="Calibri" w:eastAsia="Calibri" w:hAnsi="Calibri" w:cs="Times New Roman"/>
                <w:sz w:val="18"/>
                <w:szCs w:val="18"/>
              </w:rPr>
              <w:t>UN Women</w:t>
            </w:r>
            <w:r w:rsidRPr="006F76F8">
              <w:rPr>
                <w:rFonts w:ascii="Calibri" w:eastAsia="Calibri" w:hAnsi="Calibri" w:cs="Times New Roman"/>
                <w:sz w:val="18"/>
                <w:szCs w:val="18"/>
              </w:rPr>
              <w:t xml:space="preserve"> </w:t>
            </w:r>
          </w:p>
        </w:tc>
      </w:tr>
      <w:tr w:rsidR="001725A1" w:rsidRPr="00B6509B" w14:paraId="61257B9A" w14:textId="77777777" w:rsidTr="008D46E5">
        <w:tc>
          <w:tcPr>
            <w:tcW w:w="620" w:type="dxa"/>
            <w:shd w:val="clear" w:color="auto" w:fill="auto"/>
          </w:tcPr>
          <w:p w14:paraId="4B719F71" w14:textId="6DA0FEBB"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t>3.2</w:t>
            </w:r>
          </w:p>
        </w:tc>
        <w:tc>
          <w:tcPr>
            <w:tcW w:w="4590" w:type="dxa"/>
            <w:shd w:val="clear" w:color="auto" w:fill="auto"/>
          </w:tcPr>
          <w:p w14:paraId="60FE8778" w14:textId="54592D7D" w:rsidR="001725A1" w:rsidRPr="00557E1C" w:rsidRDefault="001725A1" w:rsidP="008D46E5">
            <w:pPr>
              <w:jc w:val="both"/>
              <w:rPr>
                <w:rFonts w:ascii="Calibri" w:eastAsia="Calibri" w:hAnsi="Calibri" w:cs="Times New Roman"/>
                <w:sz w:val="18"/>
                <w:szCs w:val="18"/>
                <w:shd w:val="clear" w:color="auto" w:fill="92D050"/>
              </w:rPr>
            </w:pPr>
            <w:r w:rsidRPr="008D46E5">
              <w:rPr>
                <w:rFonts w:ascii="Calibri" w:eastAsia="Calibri" w:hAnsi="Calibri" w:cs="Times New Roman"/>
                <w:sz w:val="18"/>
                <w:szCs w:val="18"/>
              </w:rPr>
              <w:t>Number of PICTs in which the proportion</w:t>
            </w:r>
            <w:r w:rsidRPr="00B6509B">
              <w:rPr>
                <w:rFonts w:ascii="Calibri" w:eastAsia="Calibri" w:hAnsi="Calibri" w:cs="Times New Roman"/>
                <w:sz w:val="18"/>
                <w:szCs w:val="18"/>
              </w:rPr>
              <w:t xml:space="preserve"> of men, women, youth and children of all ages living in poverty in all </w:t>
            </w:r>
            <w:r w:rsidRPr="008D46E5">
              <w:rPr>
                <w:rFonts w:ascii="Calibri" w:eastAsia="Calibri" w:hAnsi="Calibri" w:cs="Times New Roman"/>
                <w:sz w:val="18"/>
                <w:szCs w:val="18"/>
              </w:rPr>
              <w:t>its dimensions according to national definitions has decreased based on the latest available data</w:t>
            </w:r>
            <w:r w:rsidRPr="008D46E5">
              <w:rPr>
                <w:rFonts w:ascii="Calibri" w:eastAsia="Calibri" w:hAnsi="Calibri" w:cs="Times New Roman"/>
                <w:sz w:val="18"/>
                <w:szCs w:val="18"/>
                <w:vertAlign w:val="superscript"/>
              </w:rPr>
              <w:t xml:space="preserve"> </w:t>
            </w:r>
            <w:r w:rsidRPr="008D46E5">
              <w:rPr>
                <w:rFonts w:ascii="Calibri" w:eastAsia="Calibri" w:hAnsi="Calibri" w:cs="Times New Roman"/>
                <w:sz w:val="18"/>
                <w:szCs w:val="18"/>
                <w:vertAlign w:val="superscript"/>
              </w:rPr>
              <w:footnoteReference w:id="12"/>
            </w:r>
            <w:r w:rsidRPr="008D46E5">
              <w:rPr>
                <w:rFonts w:ascii="Calibri" w:eastAsia="Calibri" w:hAnsi="Calibri" w:cs="Times New Roman"/>
                <w:sz w:val="18"/>
                <w:szCs w:val="18"/>
              </w:rPr>
              <w:t>(SDG 1.2.2)</w:t>
            </w:r>
          </w:p>
        </w:tc>
        <w:tc>
          <w:tcPr>
            <w:tcW w:w="2160" w:type="dxa"/>
            <w:shd w:val="clear" w:color="auto" w:fill="auto"/>
          </w:tcPr>
          <w:p w14:paraId="1F9FE322" w14:textId="4BCABDD0" w:rsidR="001725A1" w:rsidRPr="0026335B" w:rsidRDefault="001725A1"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tc>
        <w:tc>
          <w:tcPr>
            <w:tcW w:w="2160" w:type="dxa"/>
            <w:shd w:val="clear" w:color="auto" w:fill="auto"/>
          </w:tcPr>
          <w:p w14:paraId="53D94F57" w14:textId="3BE0C149" w:rsidR="001725A1" w:rsidRPr="0026335B" w:rsidRDefault="001725A1"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8</w:t>
            </w:r>
          </w:p>
        </w:tc>
        <w:tc>
          <w:tcPr>
            <w:tcW w:w="2700" w:type="dxa"/>
            <w:shd w:val="clear" w:color="auto" w:fill="auto"/>
          </w:tcPr>
          <w:p w14:paraId="52C59B17" w14:textId="4BA42D34" w:rsidR="001725A1" w:rsidRPr="00B6509B" w:rsidRDefault="001725A1" w:rsidP="008D46E5">
            <w:pPr>
              <w:jc w:val="both"/>
              <w:rPr>
                <w:rFonts w:ascii="Calibri" w:eastAsia="Calibri" w:hAnsi="Calibri" w:cs="Times New Roman"/>
                <w:sz w:val="18"/>
                <w:szCs w:val="18"/>
              </w:rPr>
            </w:pPr>
            <w:r w:rsidRPr="001725A1">
              <w:rPr>
                <w:rFonts w:ascii="Calibri" w:eastAsia="Calibri" w:hAnsi="Calibri" w:cs="Times New Roman"/>
                <w:sz w:val="18"/>
                <w:szCs w:val="18"/>
              </w:rPr>
              <w:t>HIES Report, DHS, UNICEF data</w:t>
            </w:r>
          </w:p>
        </w:tc>
        <w:tc>
          <w:tcPr>
            <w:tcW w:w="3600" w:type="dxa"/>
            <w:vMerge/>
            <w:shd w:val="clear" w:color="auto" w:fill="auto"/>
          </w:tcPr>
          <w:p w14:paraId="01DB9D12" w14:textId="77777777" w:rsidR="001725A1" w:rsidRPr="008127EA" w:rsidRDefault="001725A1" w:rsidP="008D46E5">
            <w:pPr>
              <w:jc w:val="both"/>
              <w:rPr>
                <w:rFonts w:ascii="Calibri" w:eastAsia="Calibri" w:hAnsi="Calibri" w:cs="Times New Roman"/>
                <w:sz w:val="18"/>
                <w:szCs w:val="18"/>
              </w:rPr>
            </w:pPr>
          </w:p>
        </w:tc>
      </w:tr>
      <w:tr w:rsidR="001725A1" w:rsidRPr="00B6509B" w14:paraId="4C1DAB88" w14:textId="77777777" w:rsidTr="008D46E5">
        <w:tc>
          <w:tcPr>
            <w:tcW w:w="620" w:type="dxa"/>
            <w:shd w:val="clear" w:color="auto" w:fill="auto"/>
          </w:tcPr>
          <w:p w14:paraId="4DB36C13" w14:textId="77777777"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t>3.3</w:t>
            </w:r>
          </w:p>
        </w:tc>
        <w:tc>
          <w:tcPr>
            <w:tcW w:w="4590" w:type="dxa"/>
            <w:shd w:val="clear" w:color="auto" w:fill="auto"/>
          </w:tcPr>
          <w:p w14:paraId="7746037E" w14:textId="5B1CF760" w:rsidR="001725A1" w:rsidRPr="00B6509B" w:rsidRDefault="001725A1" w:rsidP="008D46E5">
            <w:pPr>
              <w:jc w:val="both"/>
              <w:rPr>
                <w:rFonts w:ascii="Calibri" w:eastAsia="Calibri" w:hAnsi="Calibri" w:cs="Times New Roman"/>
                <w:sz w:val="18"/>
                <w:szCs w:val="18"/>
              </w:rPr>
            </w:pPr>
            <w:r w:rsidRPr="008D46E5">
              <w:rPr>
                <w:rFonts w:ascii="Calibri" w:eastAsia="Calibri" w:hAnsi="Calibri" w:cs="Times New Roman"/>
                <w:sz w:val="18"/>
                <w:szCs w:val="18"/>
              </w:rPr>
              <w:t>Number of PICTs in which the proportion of vulnerable populations (children, unemployed persons, older persons, pregnant women, newborns, work-injury victims and the poor)  covered by social protection floors/systems, disaggregated by sex and age, has increased</w:t>
            </w:r>
            <w:r w:rsidRPr="008D46E5">
              <w:rPr>
                <w:rFonts w:ascii="Calibri" w:eastAsia="Calibri" w:hAnsi="Calibri" w:cs="Times New Roman"/>
                <w:sz w:val="18"/>
                <w:szCs w:val="18"/>
                <w:vertAlign w:val="superscript"/>
              </w:rPr>
              <w:footnoteReference w:id="13"/>
            </w:r>
            <w:r w:rsidRPr="008D46E5">
              <w:rPr>
                <w:rFonts w:ascii="Calibri" w:eastAsia="Calibri" w:hAnsi="Calibri" w:cs="Times New Roman"/>
                <w:sz w:val="18"/>
                <w:szCs w:val="18"/>
              </w:rPr>
              <w:t xml:space="preserve"> (SDG 1.3.1</w:t>
            </w:r>
            <w:r w:rsidRPr="00B6509B">
              <w:rPr>
                <w:rFonts w:ascii="Calibri" w:eastAsia="Calibri" w:hAnsi="Calibri" w:cs="Times New Roman"/>
                <w:sz w:val="18"/>
                <w:szCs w:val="18"/>
              </w:rPr>
              <w:t xml:space="preserve">) </w:t>
            </w:r>
          </w:p>
        </w:tc>
        <w:tc>
          <w:tcPr>
            <w:tcW w:w="2160" w:type="dxa"/>
            <w:shd w:val="clear" w:color="auto" w:fill="auto"/>
          </w:tcPr>
          <w:p w14:paraId="5400FCDF" w14:textId="77777777" w:rsidR="001725A1" w:rsidRPr="0026335B" w:rsidRDefault="001725A1"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tc>
        <w:tc>
          <w:tcPr>
            <w:tcW w:w="2160" w:type="dxa"/>
            <w:shd w:val="clear" w:color="auto" w:fill="auto"/>
          </w:tcPr>
          <w:p w14:paraId="44F1D9D8" w14:textId="42B726A7" w:rsidR="001725A1" w:rsidRPr="0026335B" w:rsidRDefault="001725A1"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9</w:t>
            </w:r>
          </w:p>
        </w:tc>
        <w:tc>
          <w:tcPr>
            <w:tcW w:w="2700" w:type="dxa"/>
            <w:shd w:val="clear" w:color="auto" w:fill="auto"/>
          </w:tcPr>
          <w:p w14:paraId="448A1CEB" w14:textId="668E5094"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National social protection registers/ information system </w:t>
            </w:r>
          </w:p>
        </w:tc>
        <w:tc>
          <w:tcPr>
            <w:tcW w:w="3600" w:type="dxa"/>
            <w:shd w:val="clear" w:color="auto" w:fill="auto"/>
          </w:tcPr>
          <w:p w14:paraId="486C7AF4" w14:textId="41DDC195" w:rsidR="001725A1" w:rsidRPr="00B6509B" w:rsidRDefault="00C376F7" w:rsidP="008D46E5">
            <w:pPr>
              <w:jc w:val="both"/>
              <w:rPr>
                <w:rFonts w:ascii="Calibri" w:eastAsia="Calibri" w:hAnsi="Calibri" w:cs="Times New Roman"/>
                <w:sz w:val="18"/>
                <w:szCs w:val="18"/>
              </w:rPr>
            </w:pPr>
            <w:r>
              <w:rPr>
                <w:rFonts w:ascii="Calibri" w:eastAsia="Calibri" w:hAnsi="Calibri" w:cs="Times New Roman"/>
                <w:sz w:val="18"/>
                <w:szCs w:val="18"/>
              </w:rPr>
              <w:t xml:space="preserve">ILO, </w:t>
            </w:r>
            <w:r w:rsidR="001725A1" w:rsidRPr="008127EA">
              <w:rPr>
                <w:rFonts w:ascii="Calibri" w:eastAsia="Calibri" w:hAnsi="Calibri" w:cs="Times New Roman"/>
                <w:sz w:val="18"/>
                <w:szCs w:val="18"/>
              </w:rPr>
              <w:t>Ministry of Labour and Industrial Relations for PICTs, Ministry of Women, Children and Poverty Alleviation for PICTs, Ministry of Youth for PICTs, National Provident Funds</w:t>
            </w:r>
            <w:r w:rsidR="001725A1">
              <w:rPr>
                <w:rFonts w:ascii="Calibri" w:eastAsia="Calibri" w:hAnsi="Calibri" w:cs="Times New Roman"/>
                <w:sz w:val="18"/>
                <w:szCs w:val="18"/>
              </w:rPr>
              <w:t xml:space="preserve">, </w:t>
            </w:r>
            <w:r w:rsidR="001725A1" w:rsidRPr="008127EA">
              <w:rPr>
                <w:rFonts w:ascii="Calibri" w:eastAsia="Calibri" w:hAnsi="Calibri" w:cs="Times New Roman"/>
                <w:sz w:val="18"/>
                <w:szCs w:val="18"/>
              </w:rPr>
              <w:t xml:space="preserve"> UNCDF,  </w:t>
            </w:r>
            <w:r w:rsidR="001725A1">
              <w:rPr>
                <w:rFonts w:ascii="Calibri" w:eastAsia="Calibri" w:hAnsi="Calibri" w:cs="Times New Roman"/>
                <w:sz w:val="18"/>
                <w:szCs w:val="18"/>
              </w:rPr>
              <w:t>UNICEF, UNFPA, UN Women</w:t>
            </w:r>
          </w:p>
          <w:p w14:paraId="04B5C39A" w14:textId="77777777" w:rsidR="001725A1" w:rsidRPr="00B6509B" w:rsidRDefault="001725A1" w:rsidP="008D46E5">
            <w:pPr>
              <w:jc w:val="both"/>
              <w:rPr>
                <w:rFonts w:ascii="Calibri" w:eastAsia="Calibri" w:hAnsi="Calibri" w:cs="Times New Roman"/>
                <w:b/>
                <w:sz w:val="18"/>
                <w:szCs w:val="18"/>
              </w:rPr>
            </w:pPr>
          </w:p>
        </w:tc>
      </w:tr>
      <w:tr w:rsidR="001725A1" w:rsidRPr="00B6509B" w14:paraId="4263A135" w14:textId="77777777" w:rsidTr="008D46E5">
        <w:tc>
          <w:tcPr>
            <w:tcW w:w="620" w:type="dxa"/>
            <w:shd w:val="clear" w:color="auto" w:fill="auto"/>
          </w:tcPr>
          <w:p w14:paraId="294A7047" w14:textId="77777777"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t>3.4</w:t>
            </w:r>
          </w:p>
        </w:tc>
        <w:tc>
          <w:tcPr>
            <w:tcW w:w="4590" w:type="dxa"/>
            <w:shd w:val="clear" w:color="auto" w:fill="auto"/>
          </w:tcPr>
          <w:p w14:paraId="27C20E8A" w14:textId="77777777" w:rsidR="001725A1" w:rsidRPr="00B6509B" w:rsidRDefault="001725A1" w:rsidP="008D46E5">
            <w:pPr>
              <w:jc w:val="both"/>
              <w:rPr>
                <w:rFonts w:ascii="Calibri" w:eastAsia="Calibri" w:hAnsi="Calibri" w:cs="Times New Roman"/>
                <w:sz w:val="18"/>
                <w:szCs w:val="18"/>
              </w:rPr>
            </w:pPr>
            <w:r w:rsidRPr="008D46E5">
              <w:rPr>
                <w:rFonts w:ascii="Calibri" w:eastAsia="Calibri" w:hAnsi="Calibri" w:cs="Times New Roman"/>
                <w:sz w:val="18"/>
                <w:szCs w:val="18"/>
              </w:rPr>
              <w:t>Number of PICTs in which the</w:t>
            </w:r>
            <w:r w:rsidRPr="00B6509B">
              <w:rPr>
                <w:rFonts w:ascii="Calibri" w:eastAsia="Calibri" w:hAnsi="Calibri" w:cs="Times New Roman"/>
                <w:sz w:val="18"/>
                <w:szCs w:val="18"/>
              </w:rPr>
              <w:t xml:space="preserve"> unemployment rate by sex, age and persons with disabilities (decent </w:t>
            </w:r>
            <w:r w:rsidRPr="008D46E5">
              <w:rPr>
                <w:rFonts w:ascii="Calibri" w:eastAsia="Calibri" w:hAnsi="Calibri" w:cs="Times New Roman"/>
                <w:sz w:val="18"/>
                <w:szCs w:val="18"/>
              </w:rPr>
              <w:t>jobs) has decreased based on the latest available data</w:t>
            </w:r>
            <w:r w:rsidRPr="008D46E5">
              <w:rPr>
                <w:rFonts w:ascii="Calibri" w:eastAsia="Calibri" w:hAnsi="Calibri" w:cs="Times New Roman"/>
                <w:sz w:val="18"/>
                <w:szCs w:val="18"/>
                <w:vertAlign w:val="superscript"/>
              </w:rPr>
              <w:t xml:space="preserve"> </w:t>
            </w:r>
            <w:r w:rsidRPr="008D46E5">
              <w:rPr>
                <w:rFonts w:ascii="Calibri" w:eastAsia="Calibri" w:hAnsi="Calibri" w:cs="Times New Roman"/>
                <w:sz w:val="18"/>
                <w:szCs w:val="18"/>
                <w:vertAlign w:val="superscript"/>
              </w:rPr>
              <w:footnoteReference w:id="14"/>
            </w:r>
            <w:r w:rsidRPr="008D46E5">
              <w:rPr>
                <w:rFonts w:ascii="Calibri" w:eastAsia="Calibri" w:hAnsi="Calibri" w:cs="Times New Roman"/>
                <w:sz w:val="18"/>
                <w:szCs w:val="18"/>
              </w:rPr>
              <w:t xml:space="preserve">(SDG 8.5.2) </w:t>
            </w:r>
          </w:p>
        </w:tc>
        <w:tc>
          <w:tcPr>
            <w:tcW w:w="2160" w:type="dxa"/>
            <w:shd w:val="clear" w:color="auto" w:fill="auto"/>
          </w:tcPr>
          <w:p w14:paraId="5AB48731" w14:textId="77777777" w:rsidR="001725A1" w:rsidRPr="0026335B" w:rsidRDefault="001725A1"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tc>
        <w:tc>
          <w:tcPr>
            <w:tcW w:w="2160" w:type="dxa"/>
            <w:shd w:val="clear" w:color="auto" w:fill="auto"/>
          </w:tcPr>
          <w:p w14:paraId="5AB35271" w14:textId="5088E1C4" w:rsidR="001725A1" w:rsidRPr="0026335B" w:rsidRDefault="001725A1"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8</w:t>
            </w:r>
          </w:p>
        </w:tc>
        <w:tc>
          <w:tcPr>
            <w:tcW w:w="2700" w:type="dxa"/>
            <w:shd w:val="clear" w:color="auto" w:fill="auto"/>
          </w:tcPr>
          <w:p w14:paraId="2C6EAB9E" w14:textId="77777777"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t>Labour Force Survey Report</w:t>
            </w:r>
          </w:p>
          <w:p w14:paraId="2CBA9BD3" w14:textId="77777777" w:rsidR="001725A1" w:rsidRPr="00B6509B" w:rsidRDefault="001725A1" w:rsidP="008D46E5">
            <w:pPr>
              <w:jc w:val="both"/>
              <w:rPr>
                <w:rFonts w:ascii="Calibri" w:eastAsia="Calibri" w:hAnsi="Calibri" w:cs="Times New Roman"/>
                <w:sz w:val="18"/>
                <w:szCs w:val="18"/>
              </w:rPr>
            </w:pPr>
          </w:p>
        </w:tc>
        <w:tc>
          <w:tcPr>
            <w:tcW w:w="3600" w:type="dxa"/>
            <w:shd w:val="clear" w:color="auto" w:fill="auto"/>
          </w:tcPr>
          <w:p w14:paraId="1D89969C" w14:textId="17E175AD" w:rsidR="001725A1" w:rsidRPr="00B6509B" w:rsidRDefault="001725A1" w:rsidP="008D46E5">
            <w:pPr>
              <w:jc w:val="both"/>
              <w:rPr>
                <w:rFonts w:ascii="Calibri" w:eastAsia="Calibri" w:hAnsi="Calibri" w:cs="Times New Roman"/>
                <w:b/>
                <w:sz w:val="18"/>
                <w:szCs w:val="18"/>
              </w:rPr>
            </w:pPr>
            <w:r w:rsidRPr="008127EA">
              <w:rPr>
                <w:rFonts w:ascii="Calibri" w:eastAsia="Calibri" w:hAnsi="Calibri" w:cs="Times New Roman"/>
                <w:sz w:val="18"/>
                <w:szCs w:val="18"/>
              </w:rPr>
              <w:t>BOS,</w:t>
            </w:r>
            <w:r>
              <w:t xml:space="preserve"> </w:t>
            </w:r>
            <w:r w:rsidRPr="008127EA">
              <w:rPr>
                <w:rFonts w:ascii="Calibri" w:eastAsia="Calibri" w:hAnsi="Calibri" w:cs="Times New Roman"/>
                <w:sz w:val="18"/>
                <w:szCs w:val="18"/>
              </w:rPr>
              <w:t>IOM, ILO</w:t>
            </w:r>
            <w:r>
              <w:rPr>
                <w:rFonts w:ascii="Calibri" w:eastAsia="Calibri" w:hAnsi="Calibri" w:cs="Times New Roman"/>
                <w:sz w:val="18"/>
                <w:szCs w:val="18"/>
              </w:rPr>
              <w:t>,</w:t>
            </w:r>
            <w:r w:rsidRPr="008127EA">
              <w:rPr>
                <w:rFonts w:ascii="Calibri" w:eastAsia="Calibri" w:hAnsi="Calibri" w:cs="Times New Roman"/>
                <w:sz w:val="18"/>
                <w:szCs w:val="18"/>
              </w:rPr>
              <w:t xml:space="preserve"> Ministry of Labour and Industrial Relations for PICTs</w:t>
            </w:r>
            <w:r w:rsidRPr="00B6509B">
              <w:rPr>
                <w:rFonts w:ascii="Calibri" w:eastAsia="Calibri" w:hAnsi="Calibri" w:cs="Times New Roman"/>
                <w:sz w:val="18"/>
                <w:szCs w:val="18"/>
              </w:rPr>
              <w:t xml:space="preserve">, </w:t>
            </w:r>
            <w:r w:rsidRPr="008127EA">
              <w:rPr>
                <w:rFonts w:ascii="Calibri" w:eastAsia="Calibri" w:hAnsi="Calibri" w:cs="Times New Roman"/>
                <w:sz w:val="18"/>
                <w:szCs w:val="18"/>
              </w:rPr>
              <w:t xml:space="preserve">UNFPA, </w:t>
            </w:r>
            <w:r>
              <w:rPr>
                <w:rFonts w:ascii="Calibri" w:eastAsia="Calibri" w:hAnsi="Calibri" w:cs="Times New Roman"/>
                <w:sz w:val="18"/>
                <w:szCs w:val="18"/>
              </w:rPr>
              <w:t>UNDP</w:t>
            </w:r>
            <w:r w:rsidRPr="00B6509B">
              <w:rPr>
                <w:rFonts w:ascii="Calibri" w:eastAsia="Calibri" w:hAnsi="Calibri" w:cs="Times New Roman"/>
                <w:sz w:val="18"/>
                <w:szCs w:val="18"/>
              </w:rPr>
              <w:t xml:space="preserve"> </w:t>
            </w:r>
          </w:p>
        </w:tc>
      </w:tr>
      <w:tr w:rsidR="001725A1" w:rsidRPr="00B6509B" w14:paraId="7A394ECF" w14:textId="77777777" w:rsidTr="008D46E5">
        <w:tc>
          <w:tcPr>
            <w:tcW w:w="620" w:type="dxa"/>
            <w:shd w:val="clear" w:color="auto" w:fill="auto"/>
          </w:tcPr>
          <w:p w14:paraId="032C537C" w14:textId="77777777"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t>3.5</w:t>
            </w:r>
          </w:p>
        </w:tc>
        <w:tc>
          <w:tcPr>
            <w:tcW w:w="4590" w:type="dxa"/>
            <w:shd w:val="clear" w:color="auto" w:fill="auto"/>
          </w:tcPr>
          <w:p w14:paraId="568B7EBB" w14:textId="77777777"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Number of PICTS where the frequency rates of fatal and non-fatal occupation injuries by sex and migrant status has decreased </w:t>
            </w:r>
            <w:r w:rsidRPr="008D46E5">
              <w:rPr>
                <w:rFonts w:ascii="Calibri" w:eastAsia="Calibri" w:hAnsi="Calibri" w:cs="Times New Roman"/>
                <w:sz w:val="18"/>
                <w:szCs w:val="18"/>
              </w:rPr>
              <w:t>based on the latest available data (</w:t>
            </w:r>
            <w:r w:rsidRPr="00B6509B">
              <w:rPr>
                <w:rFonts w:ascii="Calibri" w:eastAsia="Calibri" w:hAnsi="Calibri" w:cs="Times New Roman"/>
                <w:sz w:val="18"/>
                <w:szCs w:val="18"/>
              </w:rPr>
              <w:t>decent jobs)</w:t>
            </w:r>
            <w:r w:rsidRPr="00B6509B">
              <w:rPr>
                <w:rFonts w:ascii="Calibri" w:eastAsia="Calibri" w:hAnsi="Calibri" w:cs="Times New Roman"/>
                <w:sz w:val="18"/>
                <w:szCs w:val="18"/>
                <w:vertAlign w:val="superscript"/>
              </w:rPr>
              <w:footnoteReference w:id="15"/>
            </w:r>
            <w:r w:rsidRPr="00B6509B">
              <w:rPr>
                <w:rFonts w:ascii="Calibri" w:eastAsia="Calibri" w:hAnsi="Calibri" w:cs="Times New Roman"/>
                <w:sz w:val="18"/>
                <w:szCs w:val="18"/>
              </w:rPr>
              <w:t xml:space="preserve"> (SDG 8.8.1)</w:t>
            </w:r>
          </w:p>
        </w:tc>
        <w:tc>
          <w:tcPr>
            <w:tcW w:w="2160" w:type="dxa"/>
            <w:shd w:val="clear" w:color="auto" w:fill="auto"/>
          </w:tcPr>
          <w:p w14:paraId="4A6F2AAD" w14:textId="03380CCD" w:rsidR="001725A1" w:rsidRPr="0026335B" w:rsidRDefault="001725A1" w:rsidP="008D46E5">
            <w:pPr>
              <w:jc w:val="center"/>
              <w:rPr>
                <w:rFonts w:ascii="Calibri" w:eastAsia="Calibri" w:hAnsi="Calibri" w:cs="Times New Roman"/>
                <w:b/>
                <w:sz w:val="18"/>
                <w:szCs w:val="18"/>
              </w:rPr>
            </w:pPr>
            <w:r w:rsidRPr="0026335B">
              <w:rPr>
                <w:b/>
                <w:sz w:val="18"/>
                <w:szCs w:val="18"/>
              </w:rPr>
              <w:t>0</w:t>
            </w:r>
          </w:p>
        </w:tc>
        <w:tc>
          <w:tcPr>
            <w:tcW w:w="2160" w:type="dxa"/>
            <w:shd w:val="clear" w:color="auto" w:fill="auto"/>
          </w:tcPr>
          <w:p w14:paraId="130D980F" w14:textId="1BE0A786" w:rsidR="001725A1" w:rsidRPr="0026335B" w:rsidRDefault="00040E26"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4</w:t>
            </w:r>
          </w:p>
        </w:tc>
        <w:tc>
          <w:tcPr>
            <w:tcW w:w="2700" w:type="dxa"/>
            <w:shd w:val="clear" w:color="auto" w:fill="auto"/>
          </w:tcPr>
          <w:p w14:paraId="7C4EDF1F" w14:textId="77777777" w:rsidR="001725A1" w:rsidRPr="00B6509B" w:rsidRDefault="001725A1" w:rsidP="008D46E5">
            <w:pPr>
              <w:jc w:val="both"/>
              <w:rPr>
                <w:b/>
                <w:bCs/>
                <w:sz w:val="18"/>
                <w:szCs w:val="18"/>
              </w:rPr>
            </w:pPr>
            <w:r w:rsidRPr="00B6509B">
              <w:rPr>
                <w:sz w:val="18"/>
                <w:szCs w:val="18"/>
              </w:rPr>
              <w:t>Ministry of Labour of PICTs Administrative Records</w:t>
            </w:r>
          </w:p>
          <w:p w14:paraId="0B8F45C1" w14:textId="7C08E53A" w:rsidR="001725A1" w:rsidRPr="00B6509B" w:rsidRDefault="001725A1" w:rsidP="008D46E5">
            <w:pPr>
              <w:jc w:val="both"/>
              <w:rPr>
                <w:rFonts w:ascii="Calibri" w:eastAsia="Calibri" w:hAnsi="Calibri" w:cs="Times New Roman"/>
                <w:sz w:val="18"/>
                <w:szCs w:val="18"/>
              </w:rPr>
            </w:pPr>
          </w:p>
        </w:tc>
        <w:tc>
          <w:tcPr>
            <w:tcW w:w="3600" w:type="dxa"/>
            <w:shd w:val="clear" w:color="auto" w:fill="auto"/>
          </w:tcPr>
          <w:p w14:paraId="1273A979" w14:textId="2AAD750C" w:rsidR="001725A1" w:rsidRPr="00B6509B" w:rsidRDefault="001725A1" w:rsidP="008D46E5">
            <w:pPr>
              <w:jc w:val="both"/>
              <w:rPr>
                <w:rFonts w:ascii="Calibri" w:eastAsia="Calibri" w:hAnsi="Calibri" w:cs="Times New Roman"/>
                <w:sz w:val="18"/>
                <w:szCs w:val="18"/>
              </w:rPr>
            </w:pPr>
            <w:r w:rsidRPr="008127EA">
              <w:rPr>
                <w:rFonts w:ascii="Calibri" w:eastAsia="Calibri" w:hAnsi="Calibri" w:cs="Times New Roman"/>
                <w:sz w:val="18"/>
                <w:szCs w:val="18"/>
              </w:rPr>
              <w:t xml:space="preserve">BOS, </w:t>
            </w:r>
            <w:r w:rsidRPr="00B6509B">
              <w:rPr>
                <w:rFonts w:ascii="Calibri" w:eastAsia="Calibri" w:hAnsi="Calibri" w:cs="Times New Roman"/>
                <w:sz w:val="18"/>
                <w:szCs w:val="18"/>
              </w:rPr>
              <w:t>ILO, IOM,</w:t>
            </w:r>
            <w:r>
              <w:t xml:space="preserve"> </w:t>
            </w:r>
            <w:r w:rsidRPr="008127EA">
              <w:rPr>
                <w:rFonts w:ascii="Calibri" w:eastAsia="Calibri" w:hAnsi="Calibri" w:cs="Times New Roman"/>
                <w:sz w:val="18"/>
                <w:szCs w:val="18"/>
              </w:rPr>
              <w:t xml:space="preserve">Ministry of Labour for PICTs </w:t>
            </w:r>
            <w:r>
              <w:rPr>
                <w:rFonts w:ascii="Calibri" w:eastAsia="Calibri" w:hAnsi="Calibri" w:cs="Times New Roman"/>
                <w:sz w:val="18"/>
                <w:szCs w:val="18"/>
              </w:rPr>
              <w:t>,</w:t>
            </w:r>
            <w:r w:rsidRPr="00B6509B">
              <w:rPr>
                <w:rFonts w:ascii="Calibri" w:eastAsia="Calibri" w:hAnsi="Calibri" w:cs="Times New Roman"/>
                <w:sz w:val="18"/>
                <w:szCs w:val="18"/>
              </w:rPr>
              <w:t>WHO</w:t>
            </w:r>
          </w:p>
        </w:tc>
      </w:tr>
      <w:tr w:rsidR="001725A1" w:rsidRPr="00B6509B" w14:paraId="243BE5D9" w14:textId="77777777" w:rsidTr="008D46E5">
        <w:tc>
          <w:tcPr>
            <w:tcW w:w="620" w:type="dxa"/>
            <w:shd w:val="clear" w:color="auto" w:fill="auto"/>
          </w:tcPr>
          <w:p w14:paraId="039162D3" w14:textId="77777777"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lastRenderedPageBreak/>
              <w:t>3.6</w:t>
            </w:r>
          </w:p>
        </w:tc>
        <w:tc>
          <w:tcPr>
            <w:tcW w:w="4590" w:type="dxa"/>
            <w:shd w:val="clear" w:color="auto" w:fill="auto"/>
          </w:tcPr>
          <w:p w14:paraId="7B88E36F" w14:textId="77777777" w:rsidR="001725A1" w:rsidRPr="00B6509B" w:rsidRDefault="001725A1" w:rsidP="008D46E5">
            <w:pPr>
              <w:jc w:val="both"/>
              <w:rPr>
                <w:rFonts w:ascii="Calibri" w:eastAsia="Calibri" w:hAnsi="Calibri" w:cs="Times New Roman"/>
                <w:sz w:val="18"/>
                <w:szCs w:val="18"/>
                <w:shd w:val="clear" w:color="auto" w:fill="E2EFD9"/>
              </w:rPr>
            </w:pPr>
            <w:r w:rsidRPr="008D46E5">
              <w:rPr>
                <w:rFonts w:ascii="Calibri" w:eastAsia="Calibri" w:hAnsi="Calibri" w:cs="Times New Roman"/>
                <w:sz w:val="18"/>
                <w:szCs w:val="18"/>
              </w:rPr>
              <w:t>Number of countries in which the percentage of the population with access to formal financial services has increased based on the latest available data</w:t>
            </w:r>
            <w:r w:rsidRPr="008D46E5">
              <w:rPr>
                <w:rFonts w:ascii="Calibri" w:eastAsia="Calibri" w:hAnsi="Calibri" w:cs="Times New Roman"/>
                <w:sz w:val="18"/>
                <w:szCs w:val="18"/>
                <w:vertAlign w:val="superscript"/>
              </w:rPr>
              <w:footnoteReference w:id="16"/>
            </w:r>
            <w:r w:rsidRPr="008D46E5">
              <w:rPr>
                <w:rFonts w:ascii="Calibri" w:eastAsia="Calibri" w:hAnsi="Calibri" w:cs="Times New Roman"/>
                <w:sz w:val="18"/>
                <w:szCs w:val="18"/>
              </w:rPr>
              <w:t xml:space="preserve"> (SDG 8.10)</w:t>
            </w:r>
          </w:p>
        </w:tc>
        <w:tc>
          <w:tcPr>
            <w:tcW w:w="2160" w:type="dxa"/>
            <w:shd w:val="clear" w:color="auto" w:fill="auto"/>
          </w:tcPr>
          <w:p w14:paraId="4D8A0EA9" w14:textId="3BE1A34B" w:rsidR="001725A1" w:rsidRPr="0026335B" w:rsidRDefault="001725A1"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tc>
        <w:tc>
          <w:tcPr>
            <w:tcW w:w="2160" w:type="dxa"/>
            <w:shd w:val="clear" w:color="auto" w:fill="auto"/>
          </w:tcPr>
          <w:p w14:paraId="4461549E" w14:textId="77777777" w:rsidR="001725A1" w:rsidRPr="0026335B" w:rsidDel="00135EDA" w:rsidRDefault="001725A1"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5</w:t>
            </w:r>
          </w:p>
        </w:tc>
        <w:tc>
          <w:tcPr>
            <w:tcW w:w="2700" w:type="dxa"/>
            <w:shd w:val="clear" w:color="auto" w:fill="auto"/>
          </w:tcPr>
          <w:p w14:paraId="60371AD0" w14:textId="2C2A8E05"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t>National demand side surveys,</w:t>
            </w:r>
            <w:r>
              <w:rPr>
                <w:rFonts w:ascii="Calibri" w:eastAsia="Calibri" w:hAnsi="Calibri" w:cs="Times New Roman"/>
                <w:sz w:val="18"/>
                <w:szCs w:val="18"/>
              </w:rPr>
              <w:t xml:space="preserve"> </w:t>
            </w:r>
            <w:r w:rsidRPr="00B6509B">
              <w:rPr>
                <w:rFonts w:ascii="Calibri" w:eastAsia="Calibri" w:hAnsi="Calibri" w:cs="Times New Roman"/>
                <w:sz w:val="18"/>
                <w:szCs w:val="18"/>
              </w:rPr>
              <w:t>Central side supply side data</w:t>
            </w:r>
          </w:p>
        </w:tc>
        <w:tc>
          <w:tcPr>
            <w:tcW w:w="3600" w:type="dxa"/>
            <w:shd w:val="clear" w:color="auto" w:fill="auto"/>
          </w:tcPr>
          <w:p w14:paraId="3D0C844A" w14:textId="77777777" w:rsidR="001725A1" w:rsidRPr="00B6509B" w:rsidRDefault="001725A1" w:rsidP="008D46E5">
            <w:pPr>
              <w:jc w:val="both"/>
              <w:rPr>
                <w:rFonts w:ascii="Calibri" w:eastAsia="Calibri" w:hAnsi="Calibri" w:cs="Times New Roman"/>
                <w:sz w:val="18"/>
                <w:szCs w:val="18"/>
              </w:rPr>
            </w:pPr>
            <w:r w:rsidRPr="00B6509B">
              <w:rPr>
                <w:rFonts w:ascii="Calibri" w:eastAsia="Calibri" w:hAnsi="Calibri" w:cs="Times New Roman"/>
                <w:sz w:val="18"/>
                <w:szCs w:val="18"/>
              </w:rPr>
              <w:t>Central Banks, Ministry of Finance and National Planning for all PICTs, NSOs, Private Sector, UNCDF, UNDP, UN Women</w:t>
            </w:r>
          </w:p>
        </w:tc>
      </w:tr>
    </w:tbl>
    <w:p w14:paraId="28ED7CF1" w14:textId="77777777" w:rsidR="001E1D12" w:rsidRPr="00B6509B" w:rsidRDefault="001E1D12" w:rsidP="008D46E5">
      <w:pPr>
        <w:jc w:val="both"/>
        <w:rPr>
          <w:sz w:val="18"/>
          <w:szCs w:val="18"/>
        </w:rPr>
      </w:pPr>
    </w:p>
    <w:tbl>
      <w:tblPr>
        <w:tblStyle w:val="TableGrid"/>
        <w:tblW w:w="15840" w:type="dxa"/>
        <w:tblInd w:w="-10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840"/>
      </w:tblGrid>
      <w:tr w:rsidR="001E1D12" w:rsidRPr="00B6509B" w14:paraId="31DD094D" w14:textId="77777777" w:rsidTr="001E1D12">
        <w:tc>
          <w:tcPr>
            <w:tcW w:w="15840" w:type="dxa"/>
            <w:shd w:val="clear" w:color="auto" w:fill="DEEAF6" w:themeFill="accent1" w:themeFillTint="33"/>
          </w:tcPr>
          <w:p w14:paraId="39DEEB7D" w14:textId="77777777" w:rsidR="001E1D12" w:rsidRPr="00B6509B" w:rsidRDefault="001E1D12" w:rsidP="008D46E5">
            <w:pPr>
              <w:jc w:val="both"/>
              <w:rPr>
                <w:b/>
                <w:sz w:val="18"/>
                <w:szCs w:val="18"/>
              </w:rPr>
            </w:pPr>
            <w:r w:rsidRPr="00B6509B">
              <w:rPr>
                <w:b/>
                <w:sz w:val="18"/>
                <w:szCs w:val="18"/>
              </w:rPr>
              <w:t>Outcome 4: Equitable Basic Services</w:t>
            </w:r>
          </w:p>
          <w:p w14:paraId="37FCEE41" w14:textId="77777777" w:rsidR="001E1D12" w:rsidRPr="00B6509B" w:rsidRDefault="001E1D12" w:rsidP="008D46E5">
            <w:pPr>
              <w:jc w:val="both"/>
              <w:rPr>
                <w:b/>
                <w:sz w:val="18"/>
                <w:szCs w:val="18"/>
              </w:rPr>
            </w:pPr>
          </w:p>
          <w:p w14:paraId="7D4D1744" w14:textId="77777777" w:rsidR="001E1D12" w:rsidRPr="00B6509B" w:rsidRDefault="001E1D12" w:rsidP="008D46E5">
            <w:pPr>
              <w:jc w:val="both"/>
              <w:rPr>
                <w:rFonts w:cs="Times New Roman"/>
                <w:sz w:val="18"/>
                <w:szCs w:val="18"/>
              </w:rPr>
            </w:pPr>
            <w:r w:rsidRPr="00B6509B">
              <w:rPr>
                <w:b/>
                <w:sz w:val="18"/>
                <w:szCs w:val="18"/>
              </w:rPr>
              <w:t>Outcome Statement:</w:t>
            </w:r>
            <w:r w:rsidRPr="00B6509B">
              <w:rPr>
                <w:sz w:val="18"/>
                <w:szCs w:val="18"/>
              </w:rPr>
              <w:t xml:space="preserve"> </w:t>
            </w:r>
            <w:r w:rsidRPr="00B6509B">
              <w:rPr>
                <w:rFonts w:cs="Times New Roman"/>
                <w:sz w:val="18"/>
                <w:szCs w:val="18"/>
              </w:rPr>
              <w:t>By 2022, more people in the Pacific, particularly the most vulnerable have increased equitable access to and utilization of inclusive, resilient and quality basic services.</w:t>
            </w:r>
          </w:p>
          <w:p w14:paraId="11827BE0" w14:textId="77777777" w:rsidR="001E1D12" w:rsidRPr="00B6509B" w:rsidRDefault="001E1D12" w:rsidP="008D46E5">
            <w:pPr>
              <w:jc w:val="both"/>
              <w:rPr>
                <w:b/>
                <w:sz w:val="18"/>
                <w:szCs w:val="18"/>
                <w:shd w:val="clear" w:color="auto" w:fill="DEEAF6" w:themeFill="accent1" w:themeFillTint="33"/>
              </w:rPr>
            </w:pPr>
          </w:p>
          <w:p w14:paraId="55D6F0B4" w14:textId="77777777" w:rsidR="001E1D12" w:rsidRPr="00B6509B" w:rsidRDefault="001E1D12" w:rsidP="008D46E5">
            <w:pPr>
              <w:jc w:val="both"/>
              <w:rPr>
                <w:b/>
                <w:sz w:val="18"/>
                <w:szCs w:val="18"/>
              </w:rPr>
            </w:pPr>
            <w:r w:rsidRPr="00B6509B">
              <w:rPr>
                <w:b/>
                <w:sz w:val="18"/>
                <w:szCs w:val="18"/>
                <w:shd w:val="clear" w:color="auto" w:fill="DEEAF6" w:themeFill="accent1" w:themeFillTint="33"/>
              </w:rPr>
              <w:t>Collaborating agencies:</w:t>
            </w:r>
            <w:r w:rsidRPr="00B6509B">
              <w:rPr>
                <w:sz w:val="18"/>
                <w:szCs w:val="18"/>
                <w:shd w:val="clear" w:color="auto" w:fill="DEEAF6" w:themeFill="accent1" w:themeFillTint="33"/>
              </w:rPr>
              <w:t xml:space="preserve"> ILO; IOM; UNAIDS;  UNDP; UNESCO; UNFPA; UNHABITAT; UNICEF; UN Women; WHO</w:t>
            </w:r>
          </w:p>
        </w:tc>
      </w:tr>
    </w:tbl>
    <w:p w14:paraId="07BA95A2" w14:textId="77777777" w:rsidR="001E1D12" w:rsidRPr="00B6509B" w:rsidRDefault="001E1D12" w:rsidP="008D46E5">
      <w:pPr>
        <w:jc w:val="both"/>
        <w:rPr>
          <w:sz w:val="18"/>
          <w:szCs w:val="18"/>
        </w:rPr>
      </w:pPr>
    </w:p>
    <w:tbl>
      <w:tblPr>
        <w:tblStyle w:val="TableGrid3"/>
        <w:tblW w:w="5694" w:type="pct"/>
        <w:tblInd w:w="-10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30"/>
        <w:gridCol w:w="4536"/>
        <w:gridCol w:w="7"/>
        <w:gridCol w:w="2124"/>
        <w:gridCol w:w="2253"/>
        <w:gridCol w:w="2703"/>
        <w:gridCol w:w="3604"/>
      </w:tblGrid>
      <w:tr w:rsidR="001E1D12" w:rsidRPr="00653E49" w14:paraId="28D576ED" w14:textId="77777777" w:rsidTr="001E1D12">
        <w:trPr>
          <w:trHeight w:val="244"/>
          <w:tblHeader/>
        </w:trPr>
        <w:tc>
          <w:tcPr>
            <w:tcW w:w="630" w:type="dxa"/>
            <w:shd w:val="clear" w:color="auto" w:fill="D9D9D9"/>
          </w:tcPr>
          <w:p w14:paraId="1C0B2658" w14:textId="77777777" w:rsidR="001E1D12" w:rsidRPr="00B6509B" w:rsidRDefault="001E1D12" w:rsidP="008D46E5">
            <w:pPr>
              <w:jc w:val="both"/>
              <w:rPr>
                <w:rFonts w:ascii="Calibri" w:eastAsia="Calibri" w:hAnsi="Calibri" w:cs="Times New Roman"/>
                <w:sz w:val="18"/>
                <w:szCs w:val="18"/>
              </w:rPr>
            </w:pPr>
          </w:p>
        </w:tc>
        <w:tc>
          <w:tcPr>
            <w:tcW w:w="4531" w:type="dxa"/>
            <w:shd w:val="clear" w:color="auto" w:fill="D9D9D9"/>
          </w:tcPr>
          <w:p w14:paraId="72CAC42C"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b/>
                <w:sz w:val="18"/>
                <w:szCs w:val="18"/>
              </w:rPr>
              <w:t>Indicator</w:t>
            </w:r>
          </w:p>
        </w:tc>
        <w:tc>
          <w:tcPr>
            <w:tcW w:w="2129" w:type="dxa"/>
            <w:gridSpan w:val="2"/>
            <w:shd w:val="clear" w:color="auto" w:fill="D9D9D9"/>
          </w:tcPr>
          <w:p w14:paraId="67D4D3C1" w14:textId="77777777" w:rsidR="001E1D12"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b/>
                <w:sz w:val="18"/>
                <w:szCs w:val="18"/>
              </w:rPr>
              <w:t>Baseline</w:t>
            </w:r>
          </w:p>
        </w:tc>
        <w:tc>
          <w:tcPr>
            <w:tcW w:w="2251" w:type="dxa"/>
            <w:shd w:val="clear" w:color="auto" w:fill="D9D9D9"/>
          </w:tcPr>
          <w:p w14:paraId="6ACC720C" w14:textId="77777777" w:rsidR="001E1D12"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b/>
                <w:sz w:val="18"/>
                <w:szCs w:val="18"/>
              </w:rPr>
              <w:t>Target</w:t>
            </w:r>
          </w:p>
        </w:tc>
        <w:tc>
          <w:tcPr>
            <w:tcW w:w="2700" w:type="dxa"/>
            <w:shd w:val="clear" w:color="auto" w:fill="D9D9D9"/>
          </w:tcPr>
          <w:p w14:paraId="40401585"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b/>
                <w:sz w:val="18"/>
                <w:szCs w:val="18"/>
              </w:rPr>
              <w:t>Means of verification</w:t>
            </w:r>
          </w:p>
        </w:tc>
        <w:tc>
          <w:tcPr>
            <w:tcW w:w="3600" w:type="dxa"/>
            <w:shd w:val="clear" w:color="auto" w:fill="D9D9D9"/>
          </w:tcPr>
          <w:p w14:paraId="75865D2A" w14:textId="77777777" w:rsidR="001E1D12" w:rsidRPr="00B6509B" w:rsidRDefault="001E1D12" w:rsidP="008D46E5">
            <w:pPr>
              <w:jc w:val="both"/>
              <w:rPr>
                <w:rFonts w:ascii="Calibri" w:eastAsia="Calibri" w:hAnsi="Calibri" w:cs="Times New Roman"/>
                <w:b/>
                <w:sz w:val="18"/>
                <w:szCs w:val="18"/>
                <w:lang w:val="fr-FR"/>
              </w:rPr>
            </w:pPr>
            <w:r w:rsidRPr="00B6509B">
              <w:rPr>
                <w:rFonts w:ascii="Calibri" w:eastAsia="Calibri" w:hAnsi="Calibri" w:cs="Times New Roman"/>
                <w:b/>
                <w:sz w:val="18"/>
                <w:szCs w:val="18"/>
                <w:lang w:val="fr-FR"/>
              </w:rPr>
              <w:t>UN Partners, Govt, CSOs, Donors, etc</w:t>
            </w:r>
          </w:p>
          <w:p w14:paraId="3EB109E5" w14:textId="77777777" w:rsidR="001E1D12" w:rsidRPr="00B6509B" w:rsidRDefault="001E1D12" w:rsidP="008D46E5">
            <w:pPr>
              <w:jc w:val="both"/>
              <w:rPr>
                <w:rFonts w:ascii="Calibri" w:eastAsia="Calibri" w:hAnsi="Calibri" w:cs="Times New Roman"/>
                <w:sz w:val="18"/>
                <w:szCs w:val="18"/>
                <w:lang w:val="fr-FR"/>
              </w:rPr>
            </w:pPr>
          </w:p>
        </w:tc>
      </w:tr>
      <w:tr w:rsidR="001E1D12" w:rsidRPr="00B6509B" w14:paraId="60C8E4B9" w14:textId="77777777" w:rsidTr="008D46E5">
        <w:tc>
          <w:tcPr>
            <w:tcW w:w="630" w:type="dxa"/>
            <w:shd w:val="clear" w:color="auto" w:fill="auto"/>
          </w:tcPr>
          <w:p w14:paraId="204028AF"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4.1</w:t>
            </w:r>
          </w:p>
        </w:tc>
        <w:tc>
          <w:tcPr>
            <w:tcW w:w="4531" w:type="dxa"/>
            <w:shd w:val="clear" w:color="auto" w:fill="auto"/>
          </w:tcPr>
          <w:p w14:paraId="23C8B005" w14:textId="01891AAC" w:rsidR="007C60C4" w:rsidRPr="00B6509B" w:rsidRDefault="007C60C4" w:rsidP="008D46E5">
            <w:pPr>
              <w:jc w:val="both"/>
              <w:rPr>
                <w:rFonts w:ascii="Calibri" w:eastAsia="Calibri" w:hAnsi="Calibri" w:cs="Times New Roman"/>
                <w:sz w:val="18"/>
                <w:szCs w:val="18"/>
              </w:rPr>
            </w:pPr>
            <w:r w:rsidRPr="00B6509B">
              <w:rPr>
                <w:rFonts w:ascii="Calibri" w:eastAsia="Calibri" w:hAnsi="Calibri" w:cs="Times New Roman"/>
                <w:sz w:val="18"/>
                <w:szCs w:val="18"/>
              </w:rPr>
              <w:t>Number of PICTs in which at least 95 percent of births are attended by skilled health personnel</w:t>
            </w:r>
            <w:r w:rsidRPr="00B6509B">
              <w:rPr>
                <w:rStyle w:val="FootnoteReference"/>
                <w:rFonts w:ascii="Calibri" w:eastAsia="Calibri" w:hAnsi="Calibri" w:cs="Times New Roman"/>
                <w:sz w:val="18"/>
                <w:szCs w:val="18"/>
              </w:rPr>
              <w:footnoteReference w:id="17"/>
            </w:r>
          </w:p>
          <w:p w14:paraId="58657918" w14:textId="651569CF" w:rsidR="001E1D12" w:rsidRPr="00B6509B" w:rsidRDefault="007C60C4"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  (SDG 3.1.2)</w:t>
            </w:r>
          </w:p>
        </w:tc>
        <w:tc>
          <w:tcPr>
            <w:tcW w:w="2129" w:type="dxa"/>
            <w:gridSpan w:val="2"/>
            <w:shd w:val="clear" w:color="auto" w:fill="auto"/>
          </w:tcPr>
          <w:p w14:paraId="47E37E69" w14:textId="17A9CB79" w:rsidR="001E1D12" w:rsidRPr="0026335B" w:rsidRDefault="00D43B03"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9</w:t>
            </w:r>
          </w:p>
          <w:p w14:paraId="7D75632C" w14:textId="77777777" w:rsidR="001E1D12" w:rsidRPr="0026335B" w:rsidRDefault="001E1D12" w:rsidP="008D46E5">
            <w:pPr>
              <w:jc w:val="center"/>
              <w:rPr>
                <w:rFonts w:ascii="Calibri" w:eastAsia="Calibri" w:hAnsi="Calibri" w:cs="Times New Roman"/>
                <w:b/>
                <w:sz w:val="18"/>
                <w:szCs w:val="18"/>
              </w:rPr>
            </w:pPr>
          </w:p>
        </w:tc>
        <w:tc>
          <w:tcPr>
            <w:tcW w:w="2251" w:type="dxa"/>
            <w:shd w:val="clear" w:color="auto" w:fill="auto"/>
          </w:tcPr>
          <w:p w14:paraId="1B6A97CE"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14</w:t>
            </w:r>
          </w:p>
          <w:p w14:paraId="634E8763" w14:textId="77777777" w:rsidR="001E1D12" w:rsidRPr="0026335B" w:rsidRDefault="001E1D12" w:rsidP="008D46E5">
            <w:pPr>
              <w:jc w:val="center"/>
              <w:rPr>
                <w:rFonts w:ascii="Calibri" w:eastAsia="Calibri" w:hAnsi="Calibri" w:cs="Times New Roman"/>
                <w:b/>
                <w:sz w:val="18"/>
                <w:szCs w:val="18"/>
              </w:rPr>
            </w:pPr>
          </w:p>
        </w:tc>
        <w:tc>
          <w:tcPr>
            <w:tcW w:w="2700" w:type="dxa"/>
            <w:shd w:val="clear" w:color="auto" w:fill="auto"/>
          </w:tcPr>
          <w:p w14:paraId="56ACBABA"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Country Population and Housing Census and DHS Reports</w:t>
            </w:r>
          </w:p>
        </w:tc>
        <w:tc>
          <w:tcPr>
            <w:tcW w:w="3600" w:type="dxa"/>
            <w:shd w:val="clear" w:color="auto" w:fill="auto"/>
          </w:tcPr>
          <w:p w14:paraId="3B8462A3" w14:textId="77777777" w:rsidR="001E1D12" w:rsidRPr="00B6509B" w:rsidRDefault="00340A10" w:rsidP="008D46E5">
            <w:pPr>
              <w:jc w:val="both"/>
              <w:rPr>
                <w:rFonts w:ascii="Calibri" w:eastAsia="Calibri" w:hAnsi="Calibri" w:cs="Times New Roman"/>
                <w:sz w:val="18"/>
                <w:szCs w:val="18"/>
              </w:rPr>
            </w:pPr>
            <w:r w:rsidRPr="00B6509B">
              <w:rPr>
                <w:rFonts w:ascii="Calibri" w:eastAsia="Calibri" w:hAnsi="Calibri" w:cs="Times New Roman"/>
                <w:sz w:val="18"/>
                <w:szCs w:val="18"/>
              </w:rPr>
              <w:t>Ministry of Health for all PICTs,</w:t>
            </w:r>
            <w:r w:rsidR="005B3D4A" w:rsidRPr="00B6509B">
              <w:rPr>
                <w:rFonts w:ascii="Calibri" w:eastAsia="Calibri" w:hAnsi="Calibri" w:cs="Times New Roman"/>
                <w:sz w:val="18"/>
                <w:szCs w:val="18"/>
              </w:rPr>
              <w:t xml:space="preserve"> </w:t>
            </w:r>
            <w:r w:rsidRPr="00B6509B">
              <w:rPr>
                <w:rFonts w:ascii="Calibri" w:eastAsia="Calibri" w:hAnsi="Calibri" w:cs="Times New Roman"/>
                <w:sz w:val="18"/>
                <w:szCs w:val="18"/>
              </w:rPr>
              <w:t>Ministry of Women, Children and Poverty Alleviation for PICTs, UNFPA, UNICEF, WHO</w:t>
            </w:r>
            <w:r w:rsidR="005B3D4A" w:rsidRPr="00B6509B">
              <w:rPr>
                <w:rFonts w:ascii="Calibri" w:eastAsia="Calibri" w:hAnsi="Calibri" w:cs="Times New Roman"/>
                <w:sz w:val="18"/>
                <w:szCs w:val="18"/>
              </w:rPr>
              <w:t>, World Bank</w:t>
            </w:r>
          </w:p>
        </w:tc>
      </w:tr>
      <w:tr w:rsidR="001E1D12" w:rsidRPr="00B6509B" w14:paraId="7607C614" w14:textId="77777777" w:rsidTr="008D46E5">
        <w:tc>
          <w:tcPr>
            <w:tcW w:w="630" w:type="dxa"/>
            <w:shd w:val="clear" w:color="auto" w:fill="auto"/>
          </w:tcPr>
          <w:p w14:paraId="15FB816C"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4.2</w:t>
            </w:r>
          </w:p>
        </w:tc>
        <w:tc>
          <w:tcPr>
            <w:tcW w:w="4531" w:type="dxa"/>
            <w:shd w:val="clear" w:color="auto" w:fill="auto"/>
          </w:tcPr>
          <w:p w14:paraId="6CA0DB82" w14:textId="77777777" w:rsidR="001E1D12" w:rsidRPr="00B6509B" w:rsidRDefault="001E1D12" w:rsidP="008D46E5">
            <w:pPr>
              <w:jc w:val="both"/>
              <w:rPr>
                <w:rFonts w:ascii="Calibri" w:eastAsia="Calibri" w:hAnsi="Calibri" w:cs="Times New Roman"/>
                <w:bCs/>
                <w:sz w:val="18"/>
                <w:szCs w:val="18"/>
                <w:lang w:val="en-AU"/>
              </w:rPr>
            </w:pPr>
            <w:r w:rsidRPr="008D46E5">
              <w:rPr>
                <w:rFonts w:ascii="Calibri" w:eastAsia="Calibri" w:hAnsi="Calibri" w:cs="Times New Roman"/>
                <w:sz w:val="18"/>
                <w:szCs w:val="18"/>
              </w:rPr>
              <w:t xml:space="preserve">Number of PICTs in which the </w:t>
            </w:r>
            <w:r w:rsidRPr="008D46E5">
              <w:rPr>
                <w:rFonts w:ascii="Calibri" w:eastAsia="Calibri" w:hAnsi="Calibri" w:cs="Times New Roman"/>
                <w:bCs/>
                <w:sz w:val="18"/>
                <w:szCs w:val="18"/>
              </w:rPr>
              <w:t>Under-5 Mortality Ratio has</w:t>
            </w:r>
            <w:r w:rsidRPr="00B6509B">
              <w:rPr>
                <w:rFonts w:ascii="Calibri" w:eastAsia="Calibri" w:hAnsi="Calibri" w:cs="Times New Roman"/>
                <w:bCs/>
                <w:sz w:val="18"/>
                <w:szCs w:val="18"/>
                <w:shd w:val="clear" w:color="auto" w:fill="92D050"/>
              </w:rPr>
              <w:t xml:space="preserve"> </w:t>
            </w:r>
            <w:r w:rsidRPr="008D46E5">
              <w:rPr>
                <w:rFonts w:ascii="Calibri" w:eastAsia="Calibri" w:hAnsi="Calibri" w:cs="Times New Roman"/>
                <w:bCs/>
                <w:sz w:val="18"/>
                <w:szCs w:val="18"/>
              </w:rPr>
              <w:t>decreased</w:t>
            </w:r>
            <w:r w:rsidR="009E0EBF" w:rsidRPr="008D46E5">
              <w:rPr>
                <w:rFonts w:ascii="Calibri" w:eastAsia="Calibri" w:hAnsi="Calibri" w:cs="Times New Roman"/>
                <w:bCs/>
                <w:sz w:val="18"/>
                <w:szCs w:val="18"/>
              </w:rPr>
              <w:t xml:space="preserve"> </w:t>
            </w:r>
            <w:r w:rsidR="009E0EBF" w:rsidRPr="00B6509B">
              <w:rPr>
                <w:rFonts w:ascii="Calibri" w:eastAsia="Calibri" w:hAnsi="Calibri" w:cs="Times New Roman"/>
                <w:sz w:val="18"/>
                <w:szCs w:val="18"/>
              </w:rPr>
              <w:t xml:space="preserve">based on the latest available </w:t>
            </w:r>
            <w:r w:rsidR="009E0EBF" w:rsidRPr="008D46E5">
              <w:rPr>
                <w:rFonts w:ascii="Calibri" w:eastAsia="Calibri" w:hAnsi="Calibri" w:cs="Times New Roman"/>
                <w:sz w:val="18"/>
                <w:szCs w:val="18"/>
              </w:rPr>
              <w:t>data</w:t>
            </w:r>
            <w:r w:rsidR="009E0EBF" w:rsidRPr="008D46E5">
              <w:rPr>
                <w:rFonts w:ascii="Calibri" w:eastAsia="Calibri" w:hAnsi="Calibri" w:cs="Times New Roman"/>
                <w:bCs/>
                <w:sz w:val="18"/>
                <w:szCs w:val="18"/>
                <w:vertAlign w:val="superscript"/>
              </w:rPr>
              <w:t xml:space="preserve"> </w:t>
            </w:r>
            <w:r w:rsidRPr="008D46E5">
              <w:rPr>
                <w:rFonts w:ascii="Calibri" w:eastAsia="Calibri" w:hAnsi="Calibri" w:cs="Times New Roman"/>
                <w:bCs/>
                <w:sz w:val="18"/>
                <w:szCs w:val="18"/>
                <w:vertAlign w:val="superscript"/>
              </w:rPr>
              <w:footnoteReference w:id="18"/>
            </w:r>
            <w:r w:rsidRPr="008D46E5">
              <w:rPr>
                <w:rFonts w:ascii="Calibri" w:eastAsia="Calibri" w:hAnsi="Calibri" w:cs="Times New Roman"/>
                <w:bCs/>
                <w:sz w:val="18"/>
                <w:szCs w:val="18"/>
              </w:rPr>
              <w:t xml:space="preserve"> (SDG 3.2.1)</w:t>
            </w:r>
          </w:p>
        </w:tc>
        <w:tc>
          <w:tcPr>
            <w:tcW w:w="2129" w:type="dxa"/>
            <w:gridSpan w:val="2"/>
            <w:shd w:val="clear" w:color="auto" w:fill="auto"/>
          </w:tcPr>
          <w:p w14:paraId="7211EACE"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tc>
        <w:tc>
          <w:tcPr>
            <w:tcW w:w="2251" w:type="dxa"/>
            <w:shd w:val="clear" w:color="auto" w:fill="auto"/>
          </w:tcPr>
          <w:p w14:paraId="3469E649" w14:textId="77777777" w:rsidR="001E1D12" w:rsidRPr="0026335B" w:rsidRDefault="001E1D12" w:rsidP="008D46E5">
            <w:pPr>
              <w:jc w:val="center"/>
              <w:rPr>
                <w:rFonts w:ascii="Calibri" w:eastAsia="Calibri" w:hAnsi="Calibri" w:cs="Times New Roman"/>
                <w:b/>
                <w:sz w:val="18"/>
                <w:szCs w:val="18"/>
              </w:rPr>
            </w:pPr>
          </w:p>
          <w:p w14:paraId="5DB44553"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5</w:t>
            </w:r>
          </w:p>
        </w:tc>
        <w:tc>
          <w:tcPr>
            <w:tcW w:w="2700" w:type="dxa"/>
            <w:shd w:val="clear" w:color="auto" w:fill="auto"/>
          </w:tcPr>
          <w:p w14:paraId="67D473F1"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Population and Housing Census </w:t>
            </w:r>
          </w:p>
        </w:tc>
        <w:tc>
          <w:tcPr>
            <w:tcW w:w="3600" w:type="dxa"/>
            <w:shd w:val="clear" w:color="auto" w:fill="auto"/>
          </w:tcPr>
          <w:p w14:paraId="5C70C8E1" w14:textId="77777777" w:rsidR="001E1D12" w:rsidRPr="00B6509B" w:rsidRDefault="00340A10"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ADB, </w:t>
            </w:r>
            <w:r w:rsidR="005B3D4A" w:rsidRPr="00B6509B">
              <w:rPr>
                <w:rFonts w:ascii="Calibri" w:eastAsia="Calibri" w:hAnsi="Calibri" w:cs="Times New Roman"/>
                <w:sz w:val="18"/>
                <w:szCs w:val="18"/>
              </w:rPr>
              <w:t xml:space="preserve">Ministry of Women, </w:t>
            </w:r>
            <w:r w:rsidR="001C02B5" w:rsidRPr="00B6509B">
              <w:rPr>
                <w:rFonts w:ascii="Calibri" w:eastAsia="Calibri" w:hAnsi="Calibri" w:cs="Times New Roman"/>
                <w:sz w:val="18"/>
                <w:szCs w:val="18"/>
              </w:rPr>
              <w:t>Children</w:t>
            </w:r>
            <w:r w:rsidRPr="00B6509B">
              <w:rPr>
                <w:rFonts w:ascii="Calibri" w:eastAsia="Calibri" w:hAnsi="Calibri" w:cs="Times New Roman"/>
                <w:sz w:val="18"/>
                <w:szCs w:val="18"/>
              </w:rPr>
              <w:t xml:space="preserve"> and Poverty Alleviation for PICTs, </w:t>
            </w:r>
            <w:r w:rsidR="001C02B5" w:rsidRPr="00B6509B">
              <w:rPr>
                <w:rFonts w:ascii="Calibri" w:eastAsia="Calibri" w:hAnsi="Calibri" w:cs="Times New Roman"/>
                <w:sz w:val="18"/>
                <w:szCs w:val="18"/>
              </w:rPr>
              <w:t xml:space="preserve">PIFS, Red Cross, SPC, </w:t>
            </w:r>
            <w:r w:rsidR="001E1D12" w:rsidRPr="00B6509B">
              <w:rPr>
                <w:rFonts w:ascii="Calibri" w:eastAsia="Calibri" w:hAnsi="Calibri" w:cs="Times New Roman"/>
                <w:sz w:val="18"/>
                <w:szCs w:val="18"/>
              </w:rPr>
              <w:t xml:space="preserve">UNICEF, WHO, </w:t>
            </w:r>
            <w:r w:rsidR="001C02B5" w:rsidRPr="00B6509B">
              <w:rPr>
                <w:rFonts w:ascii="Calibri" w:eastAsia="Calibri" w:hAnsi="Calibri" w:cs="Times New Roman"/>
                <w:sz w:val="18"/>
                <w:szCs w:val="18"/>
              </w:rPr>
              <w:t>World Vision</w:t>
            </w:r>
          </w:p>
          <w:p w14:paraId="6DD741E4" w14:textId="77777777" w:rsidR="001E1D12" w:rsidRPr="00B6509B" w:rsidRDefault="001E1D12" w:rsidP="008D46E5">
            <w:pPr>
              <w:jc w:val="both"/>
              <w:rPr>
                <w:rFonts w:ascii="Calibri" w:eastAsia="Calibri" w:hAnsi="Calibri" w:cs="Times New Roman"/>
                <w:sz w:val="18"/>
                <w:szCs w:val="18"/>
              </w:rPr>
            </w:pPr>
          </w:p>
        </w:tc>
      </w:tr>
      <w:tr w:rsidR="001E1D12" w:rsidRPr="00B6509B" w14:paraId="6B88167A" w14:textId="77777777" w:rsidTr="008D46E5">
        <w:tc>
          <w:tcPr>
            <w:tcW w:w="630" w:type="dxa"/>
            <w:shd w:val="clear" w:color="auto" w:fill="auto"/>
          </w:tcPr>
          <w:p w14:paraId="2346F004"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4.3</w:t>
            </w:r>
          </w:p>
        </w:tc>
        <w:tc>
          <w:tcPr>
            <w:tcW w:w="4531" w:type="dxa"/>
            <w:shd w:val="clear" w:color="auto" w:fill="auto"/>
          </w:tcPr>
          <w:p w14:paraId="7372A1F1"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Number of PICTs in which the number of new HIV infections per 1,000 uninfected population, by sex, age and key populations has decreased</w:t>
            </w:r>
            <w:r w:rsidRPr="00B6509B">
              <w:rPr>
                <w:rFonts w:ascii="Calibri" w:eastAsia="Calibri" w:hAnsi="Calibri" w:cs="Times New Roman"/>
                <w:sz w:val="18"/>
                <w:szCs w:val="18"/>
                <w:vertAlign w:val="superscript"/>
              </w:rPr>
              <w:footnoteReference w:id="19"/>
            </w:r>
            <w:r w:rsidRPr="00B6509B">
              <w:rPr>
                <w:rFonts w:ascii="Calibri" w:eastAsia="Calibri" w:hAnsi="Calibri" w:cs="Times New Roman"/>
                <w:sz w:val="18"/>
                <w:szCs w:val="18"/>
              </w:rPr>
              <w:t xml:space="preserve"> (SDG 3.3.1) </w:t>
            </w:r>
          </w:p>
        </w:tc>
        <w:tc>
          <w:tcPr>
            <w:tcW w:w="2129" w:type="dxa"/>
            <w:gridSpan w:val="2"/>
            <w:shd w:val="clear" w:color="auto" w:fill="auto"/>
          </w:tcPr>
          <w:p w14:paraId="0FBB8840"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p w14:paraId="2866AFBB" w14:textId="77777777" w:rsidR="001E1D12" w:rsidRPr="0026335B" w:rsidRDefault="001E1D12" w:rsidP="008D46E5">
            <w:pPr>
              <w:jc w:val="center"/>
              <w:rPr>
                <w:rFonts w:ascii="Calibri" w:eastAsia="Calibri" w:hAnsi="Calibri" w:cs="Times New Roman"/>
                <w:b/>
                <w:sz w:val="18"/>
                <w:szCs w:val="18"/>
              </w:rPr>
            </w:pPr>
          </w:p>
          <w:p w14:paraId="0670606B" w14:textId="77777777" w:rsidR="001E1D12" w:rsidRPr="0026335B" w:rsidRDefault="001E1D12" w:rsidP="008D46E5">
            <w:pPr>
              <w:jc w:val="center"/>
              <w:rPr>
                <w:rFonts w:ascii="Calibri" w:eastAsia="Calibri" w:hAnsi="Calibri" w:cs="Times New Roman"/>
                <w:b/>
                <w:sz w:val="18"/>
                <w:szCs w:val="18"/>
              </w:rPr>
            </w:pPr>
          </w:p>
        </w:tc>
        <w:tc>
          <w:tcPr>
            <w:tcW w:w="2251" w:type="dxa"/>
            <w:shd w:val="clear" w:color="auto" w:fill="auto"/>
          </w:tcPr>
          <w:p w14:paraId="202FA74A" w14:textId="40BAE6AA"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1</w:t>
            </w:r>
            <w:r w:rsidR="00875920" w:rsidRPr="0026335B">
              <w:rPr>
                <w:rFonts w:ascii="Calibri" w:eastAsia="Calibri" w:hAnsi="Calibri" w:cs="Times New Roman"/>
                <w:b/>
                <w:sz w:val="18"/>
                <w:szCs w:val="18"/>
              </w:rPr>
              <w:t>3</w:t>
            </w:r>
          </w:p>
          <w:p w14:paraId="5F31811F" w14:textId="77777777" w:rsidR="001E1D12" w:rsidRPr="0026335B" w:rsidRDefault="001E1D12" w:rsidP="008D46E5">
            <w:pPr>
              <w:jc w:val="center"/>
              <w:rPr>
                <w:rFonts w:ascii="Calibri" w:eastAsia="Calibri" w:hAnsi="Calibri" w:cs="Times New Roman"/>
                <w:b/>
                <w:sz w:val="18"/>
                <w:szCs w:val="18"/>
              </w:rPr>
            </w:pPr>
          </w:p>
          <w:p w14:paraId="093367CB" w14:textId="77777777" w:rsidR="001E1D12" w:rsidRPr="0026335B" w:rsidRDefault="001E1D12" w:rsidP="008D46E5">
            <w:pPr>
              <w:jc w:val="center"/>
              <w:rPr>
                <w:rFonts w:ascii="Calibri" w:eastAsia="Calibri" w:hAnsi="Calibri" w:cs="Times New Roman"/>
                <w:b/>
                <w:sz w:val="18"/>
                <w:szCs w:val="18"/>
              </w:rPr>
            </w:pPr>
          </w:p>
        </w:tc>
        <w:tc>
          <w:tcPr>
            <w:tcW w:w="2700" w:type="dxa"/>
            <w:shd w:val="clear" w:color="auto" w:fill="auto"/>
          </w:tcPr>
          <w:p w14:paraId="14218EF2"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UNAIDS Reference Group, UNAIDS RST Bangkok for Spectrum Modelling; household or key population surveys with HIV incidence –testing, Regular Surveillance System among key populations</w:t>
            </w:r>
          </w:p>
          <w:p w14:paraId="6675963B" w14:textId="77777777" w:rsidR="001E1D12" w:rsidRPr="00B6509B" w:rsidRDefault="001E1D12" w:rsidP="008D46E5">
            <w:pPr>
              <w:jc w:val="both"/>
              <w:rPr>
                <w:rFonts w:ascii="Calibri" w:eastAsia="Calibri" w:hAnsi="Calibri" w:cs="Times New Roman"/>
                <w:sz w:val="18"/>
                <w:szCs w:val="18"/>
              </w:rPr>
            </w:pPr>
          </w:p>
          <w:p w14:paraId="481137BD"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Global AIDS Monitoring Reports http://www.unaids.org/en/dataanalysis/knowyourresponse/countryprogressreports/2016countries</w:t>
            </w:r>
          </w:p>
        </w:tc>
        <w:tc>
          <w:tcPr>
            <w:tcW w:w="3600" w:type="dxa"/>
            <w:shd w:val="clear" w:color="auto" w:fill="auto"/>
          </w:tcPr>
          <w:p w14:paraId="5794337D" w14:textId="77777777" w:rsidR="001E1D12" w:rsidRPr="00B6509B" w:rsidRDefault="001C02B5"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Ministry of Health for PICTs, Ministry of Women, Children and Poverty Alleviation for PICTs,  </w:t>
            </w:r>
            <w:r w:rsidR="001E1D12" w:rsidRPr="00B6509B">
              <w:rPr>
                <w:rFonts w:ascii="Calibri" w:eastAsia="Calibri" w:hAnsi="Calibri" w:cs="Times New Roman"/>
                <w:sz w:val="18"/>
                <w:szCs w:val="18"/>
              </w:rPr>
              <w:t xml:space="preserve">UNAIDS, </w:t>
            </w:r>
            <w:r w:rsidRPr="00B6509B">
              <w:rPr>
                <w:rFonts w:ascii="Calibri" w:eastAsia="Calibri" w:hAnsi="Calibri" w:cs="Times New Roman"/>
                <w:sz w:val="18"/>
                <w:szCs w:val="18"/>
              </w:rPr>
              <w:t>UNDP, UNICEF UNFPA ,WHO</w:t>
            </w:r>
          </w:p>
        </w:tc>
      </w:tr>
      <w:tr w:rsidR="001E1D12" w:rsidRPr="00B6509B" w14:paraId="290D4C3E" w14:textId="77777777" w:rsidTr="008D46E5">
        <w:tc>
          <w:tcPr>
            <w:tcW w:w="630" w:type="dxa"/>
            <w:shd w:val="clear" w:color="auto" w:fill="auto"/>
          </w:tcPr>
          <w:p w14:paraId="5ED33EE1"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lastRenderedPageBreak/>
              <w:t>4.4</w:t>
            </w:r>
          </w:p>
        </w:tc>
        <w:tc>
          <w:tcPr>
            <w:tcW w:w="4531" w:type="dxa"/>
            <w:shd w:val="clear" w:color="auto" w:fill="auto"/>
          </w:tcPr>
          <w:p w14:paraId="6920219E"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Number of PICTs in which the Maternal Mortality Ratio</w:t>
            </w:r>
            <w:r w:rsidRPr="00B6509B">
              <w:rPr>
                <w:rFonts w:ascii="Calibri" w:eastAsia="Calibri" w:hAnsi="Calibri" w:cs="Times New Roman"/>
                <w:sz w:val="18"/>
                <w:szCs w:val="18"/>
                <w:vertAlign w:val="superscript"/>
              </w:rPr>
              <w:footnoteReference w:id="20"/>
            </w:r>
            <w:r w:rsidRPr="00B6509B">
              <w:rPr>
                <w:rFonts w:ascii="Calibri" w:eastAsia="Calibri" w:hAnsi="Calibri" w:cs="Times New Roman"/>
                <w:sz w:val="18"/>
                <w:szCs w:val="18"/>
              </w:rPr>
              <w:t xml:space="preserve"> has decreased</w:t>
            </w:r>
            <w:r w:rsidR="009E0EBF" w:rsidRPr="00B6509B">
              <w:rPr>
                <w:rFonts w:ascii="Calibri" w:eastAsia="Calibri" w:hAnsi="Calibri" w:cs="Times New Roman"/>
                <w:sz w:val="18"/>
                <w:szCs w:val="18"/>
              </w:rPr>
              <w:t xml:space="preserve"> based on the latest available data </w:t>
            </w:r>
            <w:r w:rsidRPr="00B6509B">
              <w:rPr>
                <w:rFonts w:ascii="Calibri" w:eastAsia="Calibri" w:hAnsi="Calibri" w:cs="Times New Roman"/>
                <w:sz w:val="18"/>
                <w:szCs w:val="18"/>
              </w:rPr>
              <w:t xml:space="preserve">(SDG 3.3.1) </w:t>
            </w:r>
          </w:p>
        </w:tc>
        <w:tc>
          <w:tcPr>
            <w:tcW w:w="2129" w:type="dxa"/>
            <w:gridSpan w:val="2"/>
            <w:shd w:val="clear" w:color="auto" w:fill="auto"/>
          </w:tcPr>
          <w:p w14:paraId="10B6891C" w14:textId="581FA70A" w:rsidR="001E1D12" w:rsidRPr="0026335B" w:rsidRDefault="009532B3"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p w14:paraId="45B6C16D" w14:textId="77777777" w:rsidR="001E1D12" w:rsidRPr="0026335B" w:rsidRDefault="001E1D12" w:rsidP="008D46E5">
            <w:pPr>
              <w:jc w:val="center"/>
              <w:rPr>
                <w:rFonts w:ascii="Calibri" w:eastAsia="Calibri" w:hAnsi="Calibri" w:cs="Times New Roman"/>
                <w:b/>
                <w:sz w:val="18"/>
                <w:szCs w:val="18"/>
              </w:rPr>
            </w:pPr>
          </w:p>
        </w:tc>
        <w:tc>
          <w:tcPr>
            <w:tcW w:w="2251" w:type="dxa"/>
            <w:shd w:val="clear" w:color="auto" w:fill="auto"/>
          </w:tcPr>
          <w:p w14:paraId="0F274CAA"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14</w:t>
            </w:r>
          </w:p>
          <w:p w14:paraId="71B4D5F8" w14:textId="77777777" w:rsidR="001E1D12" w:rsidRPr="0026335B" w:rsidRDefault="001E1D12" w:rsidP="008D46E5">
            <w:pPr>
              <w:jc w:val="center"/>
              <w:rPr>
                <w:rFonts w:ascii="Calibri" w:eastAsia="Calibri" w:hAnsi="Calibri" w:cs="Times New Roman"/>
                <w:b/>
                <w:sz w:val="18"/>
                <w:szCs w:val="18"/>
              </w:rPr>
            </w:pPr>
          </w:p>
        </w:tc>
        <w:tc>
          <w:tcPr>
            <w:tcW w:w="2700" w:type="dxa"/>
            <w:shd w:val="clear" w:color="auto" w:fill="auto"/>
          </w:tcPr>
          <w:p w14:paraId="41817E7C"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Country Population and Housing Census and DHS Reports</w:t>
            </w:r>
          </w:p>
        </w:tc>
        <w:tc>
          <w:tcPr>
            <w:tcW w:w="3600" w:type="dxa"/>
            <w:shd w:val="clear" w:color="auto" w:fill="auto"/>
          </w:tcPr>
          <w:p w14:paraId="1FDE2A66" w14:textId="77777777" w:rsidR="001E1D12" w:rsidRPr="00B6509B" w:rsidRDefault="001C02B5" w:rsidP="008D46E5">
            <w:pPr>
              <w:jc w:val="both"/>
              <w:rPr>
                <w:rFonts w:ascii="Calibri" w:eastAsia="Calibri" w:hAnsi="Calibri" w:cs="Times New Roman"/>
                <w:sz w:val="18"/>
                <w:szCs w:val="18"/>
              </w:rPr>
            </w:pPr>
            <w:r w:rsidRPr="00B6509B">
              <w:rPr>
                <w:rFonts w:ascii="Calibri" w:eastAsia="Calibri" w:hAnsi="Calibri" w:cs="Times New Roman"/>
                <w:sz w:val="18"/>
                <w:szCs w:val="18"/>
              </w:rPr>
              <w:t>IPPF , Ministry of Health for PICTs, Ministry of Women, Children and Poverty Alleviation for PICTs, UNFPA,UNICEF,UN Women, WHO</w:t>
            </w:r>
          </w:p>
        </w:tc>
      </w:tr>
      <w:tr w:rsidR="001E1D12" w:rsidRPr="00B6509B" w14:paraId="6E2302FD" w14:textId="77777777" w:rsidTr="008D46E5">
        <w:tc>
          <w:tcPr>
            <w:tcW w:w="630" w:type="dxa"/>
            <w:shd w:val="clear" w:color="auto" w:fill="auto"/>
          </w:tcPr>
          <w:p w14:paraId="7E32C168"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4.5</w:t>
            </w:r>
          </w:p>
        </w:tc>
        <w:tc>
          <w:tcPr>
            <w:tcW w:w="4538" w:type="dxa"/>
            <w:gridSpan w:val="2"/>
            <w:shd w:val="clear" w:color="auto" w:fill="auto"/>
            <w:vAlign w:val="center"/>
          </w:tcPr>
          <w:p w14:paraId="7C32BFA5"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bCs/>
                <w:sz w:val="18"/>
                <w:szCs w:val="18"/>
                <w:lang w:val="en-AU"/>
              </w:rPr>
              <w:t>Number of PICTs whose proportion of women of reproductive age (aged 15-49) who have their need for family planning satisfied with modern methods has increased</w:t>
            </w:r>
            <w:r w:rsidR="009E0EBF" w:rsidRPr="00B6509B">
              <w:rPr>
                <w:rFonts w:ascii="Calibri" w:eastAsia="Calibri" w:hAnsi="Calibri" w:cs="Times New Roman"/>
                <w:bCs/>
                <w:sz w:val="18"/>
                <w:szCs w:val="18"/>
                <w:lang w:val="en-AU"/>
              </w:rPr>
              <w:t xml:space="preserve"> </w:t>
            </w:r>
            <w:r w:rsidR="009E0EBF" w:rsidRPr="00B6509B">
              <w:rPr>
                <w:rFonts w:ascii="Calibri" w:eastAsia="Calibri" w:hAnsi="Calibri" w:cs="Times New Roman"/>
                <w:sz w:val="18"/>
                <w:szCs w:val="18"/>
              </w:rPr>
              <w:t>based on the latest available data</w:t>
            </w:r>
            <w:r w:rsidRPr="00B6509B">
              <w:rPr>
                <w:rFonts w:ascii="Calibri" w:eastAsia="Calibri" w:hAnsi="Calibri" w:cs="Times New Roman"/>
                <w:bCs/>
                <w:sz w:val="18"/>
                <w:szCs w:val="18"/>
                <w:lang w:val="en-AU"/>
              </w:rPr>
              <w:t>.</w:t>
            </w:r>
            <w:r w:rsidRPr="00B6509B">
              <w:rPr>
                <w:rFonts w:ascii="Calibri" w:eastAsia="Calibri" w:hAnsi="Calibri" w:cs="Times New Roman"/>
                <w:sz w:val="18"/>
                <w:szCs w:val="18"/>
                <w:vertAlign w:val="superscript"/>
              </w:rPr>
              <w:footnoteReference w:id="21"/>
            </w:r>
            <w:r w:rsidRPr="00B6509B">
              <w:rPr>
                <w:rFonts w:ascii="Calibri" w:eastAsia="Calibri" w:hAnsi="Calibri" w:cs="Times New Roman"/>
                <w:bCs/>
                <w:sz w:val="18"/>
                <w:szCs w:val="18"/>
                <w:lang w:val="en-AU"/>
              </w:rPr>
              <w:t xml:space="preserve"> (SDG 3.7.1)</w:t>
            </w:r>
          </w:p>
        </w:tc>
        <w:tc>
          <w:tcPr>
            <w:tcW w:w="2122" w:type="dxa"/>
            <w:shd w:val="clear" w:color="auto" w:fill="auto"/>
          </w:tcPr>
          <w:p w14:paraId="41EF095D" w14:textId="51581721" w:rsidR="001E1D12" w:rsidRPr="0026335B" w:rsidRDefault="00FB184C"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p w14:paraId="0A470855" w14:textId="77777777" w:rsidR="001E1D12" w:rsidRPr="0026335B" w:rsidRDefault="001E1D12" w:rsidP="008D46E5">
            <w:pPr>
              <w:jc w:val="center"/>
              <w:rPr>
                <w:rFonts w:ascii="Calibri" w:eastAsia="Calibri" w:hAnsi="Calibri" w:cs="Times New Roman"/>
                <w:b/>
                <w:sz w:val="18"/>
                <w:szCs w:val="18"/>
              </w:rPr>
            </w:pPr>
          </w:p>
          <w:p w14:paraId="62176CA9" w14:textId="77777777" w:rsidR="001E1D12" w:rsidRPr="0026335B" w:rsidRDefault="001E1D12" w:rsidP="008D46E5">
            <w:pPr>
              <w:jc w:val="center"/>
              <w:rPr>
                <w:rFonts w:ascii="Calibri" w:eastAsia="Calibri" w:hAnsi="Calibri" w:cs="Times New Roman"/>
                <w:b/>
                <w:sz w:val="18"/>
                <w:szCs w:val="18"/>
              </w:rPr>
            </w:pPr>
          </w:p>
        </w:tc>
        <w:tc>
          <w:tcPr>
            <w:tcW w:w="2251" w:type="dxa"/>
            <w:shd w:val="clear" w:color="auto" w:fill="auto"/>
          </w:tcPr>
          <w:p w14:paraId="37B069AF" w14:textId="23EBB83C"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10</w:t>
            </w:r>
          </w:p>
          <w:p w14:paraId="05D333B2" w14:textId="77777777" w:rsidR="001E1D12" w:rsidRPr="0026335B" w:rsidRDefault="001E1D12" w:rsidP="008D46E5">
            <w:pPr>
              <w:jc w:val="center"/>
              <w:rPr>
                <w:rFonts w:ascii="Calibri" w:eastAsia="Calibri" w:hAnsi="Calibri" w:cs="Times New Roman"/>
                <w:b/>
                <w:sz w:val="18"/>
                <w:szCs w:val="18"/>
              </w:rPr>
            </w:pPr>
          </w:p>
          <w:p w14:paraId="1272F455" w14:textId="77777777" w:rsidR="001E1D12" w:rsidRPr="0026335B" w:rsidRDefault="001E1D12" w:rsidP="008D46E5">
            <w:pPr>
              <w:jc w:val="center"/>
              <w:rPr>
                <w:rFonts w:ascii="Calibri" w:eastAsia="Calibri" w:hAnsi="Calibri" w:cs="Times New Roman"/>
                <w:b/>
                <w:sz w:val="18"/>
                <w:szCs w:val="18"/>
              </w:rPr>
            </w:pPr>
          </w:p>
        </w:tc>
        <w:tc>
          <w:tcPr>
            <w:tcW w:w="2700" w:type="dxa"/>
            <w:shd w:val="clear" w:color="auto" w:fill="auto"/>
          </w:tcPr>
          <w:p w14:paraId="5F140AFD"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Country Demographic Health Survey (DHS) Reports and Population and Housing Census (PHC) Reports</w:t>
            </w:r>
          </w:p>
        </w:tc>
        <w:tc>
          <w:tcPr>
            <w:tcW w:w="3600" w:type="dxa"/>
            <w:shd w:val="clear" w:color="auto" w:fill="auto"/>
            <w:vAlign w:val="center"/>
          </w:tcPr>
          <w:p w14:paraId="1EF668E6" w14:textId="1965FD6D" w:rsidR="001E1D12" w:rsidRPr="00B6509B" w:rsidRDefault="00D21729" w:rsidP="008D46E5">
            <w:pPr>
              <w:jc w:val="both"/>
              <w:rPr>
                <w:rFonts w:ascii="Calibri" w:eastAsia="Calibri" w:hAnsi="Calibri" w:cs="Times New Roman"/>
                <w:sz w:val="18"/>
                <w:szCs w:val="18"/>
              </w:rPr>
            </w:pPr>
            <w:r w:rsidRPr="00B6509B">
              <w:rPr>
                <w:rFonts w:ascii="Calibri" w:eastAsia="Calibri" w:hAnsi="Calibri" w:cs="Times New Roman"/>
                <w:sz w:val="18"/>
                <w:szCs w:val="18"/>
              </w:rPr>
              <w:t>IOM,</w:t>
            </w:r>
            <w:r w:rsidR="00D661CC" w:rsidRPr="00B6509B">
              <w:rPr>
                <w:rFonts w:ascii="Calibri" w:eastAsia="Calibri" w:hAnsi="Calibri" w:cs="Times New Roman"/>
                <w:sz w:val="18"/>
                <w:szCs w:val="18"/>
              </w:rPr>
              <w:t xml:space="preserve"> </w:t>
            </w:r>
            <w:r w:rsidR="001C02B5" w:rsidRPr="00B6509B">
              <w:rPr>
                <w:rFonts w:ascii="Calibri" w:eastAsia="Calibri" w:hAnsi="Calibri" w:cs="Times New Roman"/>
                <w:sz w:val="18"/>
                <w:szCs w:val="18"/>
              </w:rPr>
              <w:t>Ministry of Health for PICTs, Ministry of Women, Children and Poverty Alleviation for PICTs, UNFPA, WHO</w:t>
            </w:r>
          </w:p>
        </w:tc>
      </w:tr>
      <w:tr w:rsidR="001E1D12" w:rsidRPr="00B6509B" w14:paraId="3806145B" w14:textId="77777777" w:rsidTr="008D46E5">
        <w:tc>
          <w:tcPr>
            <w:tcW w:w="630" w:type="dxa"/>
            <w:shd w:val="clear" w:color="auto" w:fill="auto"/>
          </w:tcPr>
          <w:p w14:paraId="50369008"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4.6</w:t>
            </w:r>
          </w:p>
        </w:tc>
        <w:tc>
          <w:tcPr>
            <w:tcW w:w="4538" w:type="dxa"/>
            <w:gridSpan w:val="2"/>
            <w:shd w:val="clear" w:color="auto" w:fill="auto"/>
          </w:tcPr>
          <w:p w14:paraId="584060F1"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Proportion of children in the Pacific: in grades 4/6 at the end of primary achieving at least a minimum proficiency level in (i) literacy (ii) numeracy, by sex. (This indicator was revised since the Pacific regional benchmarking for literacy and numeracy is done in grades 4 and 6).</w:t>
            </w:r>
            <w:r w:rsidRPr="00B6509B">
              <w:rPr>
                <w:rFonts w:ascii="Calibri" w:eastAsia="Calibri" w:hAnsi="Calibri" w:cs="Times New Roman"/>
                <w:sz w:val="18"/>
                <w:szCs w:val="18"/>
                <w:vertAlign w:val="superscript"/>
              </w:rPr>
              <w:footnoteReference w:id="22"/>
            </w:r>
            <w:r w:rsidRPr="00B6509B">
              <w:rPr>
                <w:rFonts w:ascii="Calibri" w:eastAsia="Calibri" w:hAnsi="Calibri" w:cs="Times New Roman"/>
                <w:sz w:val="18"/>
                <w:szCs w:val="18"/>
              </w:rPr>
              <w:t xml:space="preserve"> (SDG 4.1.1)</w:t>
            </w:r>
          </w:p>
        </w:tc>
        <w:tc>
          <w:tcPr>
            <w:tcW w:w="2122" w:type="dxa"/>
            <w:shd w:val="clear" w:color="auto" w:fill="auto"/>
          </w:tcPr>
          <w:p w14:paraId="38D3D5D1"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Year 4 Literacy: 46.4%</w:t>
            </w:r>
          </w:p>
          <w:p w14:paraId="31BE8BB8"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Boys: 40.5%  Girls:52.2%</w:t>
            </w:r>
          </w:p>
          <w:p w14:paraId="7602CEAF"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Year 4 Numeracy: 86.2%</w:t>
            </w:r>
          </w:p>
          <w:p w14:paraId="64BFFC4B"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Boys: 84.2% Girls: 88.2%</w:t>
            </w:r>
          </w:p>
          <w:p w14:paraId="343EB8AA"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Year 6 Literacy: 45.7%</w:t>
            </w:r>
          </w:p>
          <w:p w14:paraId="653F2F6B"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Boys: 39.9% Girls: 51.6%</w:t>
            </w:r>
          </w:p>
          <w:p w14:paraId="440AF7A9"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Year 6 Numeracy: 67.9%</w:t>
            </w:r>
          </w:p>
          <w:p w14:paraId="1D1C5D81" w14:textId="4B992D59" w:rsidR="00D36683"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sz w:val="18"/>
                <w:szCs w:val="18"/>
              </w:rPr>
              <w:t>Boys: 65.5%  Girls:70.4%</w:t>
            </w:r>
          </w:p>
        </w:tc>
        <w:tc>
          <w:tcPr>
            <w:tcW w:w="2251" w:type="dxa"/>
            <w:shd w:val="clear" w:color="auto" w:fill="auto"/>
          </w:tcPr>
          <w:p w14:paraId="643BE1D2"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Year 4 Literacy: 55%</w:t>
            </w:r>
          </w:p>
          <w:p w14:paraId="68532BD3"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Boys: 50%  Girls: 60%</w:t>
            </w:r>
          </w:p>
          <w:p w14:paraId="59C52521"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Year 4 Numeracy: 94%</w:t>
            </w:r>
          </w:p>
          <w:p w14:paraId="7B2E36E8"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Boys:  90%   Girls: 98%</w:t>
            </w:r>
          </w:p>
          <w:p w14:paraId="36FD4CE8"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Year 6 Literacy: 65%</w:t>
            </w:r>
          </w:p>
          <w:p w14:paraId="2E7C260A"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Boys:  60%    Girls: 70%</w:t>
            </w:r>
          </w:p>
          <w:p w14:paraId="6BCC2B97"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Year 6 Numeracy: 80%</w:t>
            </w:r>
          </w:p>
          <w:p w14:paraId="17CFE55C" w14:textId="220057D8"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Boys: 75%    Girls: 85%</w:t>
            </w:r>
          </w:p>
        </w:tc>
        <w:tc>
          <w:tcPr>
            <w:tcW w:w="2700" w:type="dxa"/>
            <w:shd w:val="clear" w:color="auto" w:fill="auto"/>
          </w:tcPr>
          <w:p w14:paraId="1D9EB505"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Pacific Islands Literacy and Numeracy Assessment (PILNA) Regional Report 2015 by Pacific Community </w:t>
            </w:r>
          </w:p>
        </w:tc>
        <w:tc>
          <w:tcPr>
            <w:tcW w:w="3600" w:type="dxa"/>
            <w:shd w:val="clear" w:color="auto" w:fill="auto"/>
          </w:tcPr>
          <w:p w14:paraId="66893012" w14:textId="4425AC40" w:rsidR="001E1D12" w:rsidRPr="00B6509B" w:rsidRDefault="008127EA" w:rsidP="008D46E5">
            <w:pPr>
              <w:spacing w:after="80"/>
              <w:jc w:val="both"/>
              <w:rPr>
                <w:rFonts w:ascii="Calibri" w:eastAsia="Calibri" w:hAnsi="Calibri" w:cs="Times New Roman"/>
                <w:sz w:val="18"/>
                <w:szCs w:val="18"/>
              </w:rPr>
            </w:pPr>
            <w:r>
              <w:rPr>
                <w:rFonts w:ascii="Calibri" w:eastAsia="Calibri" w:hAnsi="Calibri" w:cs="Times New Roman"/>
                <w:sz w:val="18"/>
                <w:szCs w:val="18"/>
              </w:rPr>
              <w:t xml:space="preserve">ADB, </w:t>
            </w:r>
            <w:r w:rsidRPr="008127EA">
              <w:rPr>
                <w:rFonts w:ascii="Calibri" w:eastAsia="Calibri" w:hAnsi="Calibri" w:cs="Times New Roman"/>
                <w:sz w:val="18"/>
                <w:szCs w:val="18"/>
              </w:rPr>
              <w:t>DFAT,</w:t>
            </w:r>
            <w:r>
              <w:rPr>
                <w:rFonts w:ascii="Calibri" w:eastAsia="Calibri" w:hAnsi="Calibri" w:cs="Times New Roman"/>
                <w:sz w:val="18"/>
                <w:szCs w:val="18"/>
              </w:rPr>
              <w:t xml:space="preserve"> </w:t>
            </w:r>
            <w:r w:rsidRPr="008127EA">
              <w:rPr>
                <w:rFonts w:ascii="Calibri" w:eastAsia="Calibri" w:hAnsi="Calibri" w:cs="Times New Roman"/>
                <w:sz w:val="18"/>
                <w:szCs w:val="18"/>
              </w:rPr>
              <w:t xml:space="preserve">MFAT, Ministries of Education, PIFS, SPC,  PRC4ECCE </w:t>
            </w:r>
            <w:r w:rsidR="001E1D12" w:rsidRPr="00B6509B">
              <w:rPr>
                <w:rFonts w:ascii="Calibri" w:eastAsia="Calibri" w:hAnsi="Calibri" w:cs="Times New Roman"/>
                <w:sz w:val="18"/>
                <w:szCs w:val="18"/>
              </w:rPr>
              <w:t xml:space="preserve">UNESCO,UNICEF, </w:t>
            </w:r>
            <w:r>
              <w:rPr>
                <w:rFonts w:ascii="Calibri" w:eastAsia="Calibri" w:hAnsi="Calibri" w:cs="Times New Roman"/>
                <w:sz w:val="18"/>
                <w:szCs w:val="18"/>
              </w:rPr>
              <w:t>World Bank</w:t>
            </w:r>
          </w:p>
        </w:tc>
      </w:tr>
      <w:tr w:rsidR="001E1D12" w:rsidRPr="00B6509B" w14:paraId="238EC02C" w14:textId="77777777" w:rsidTr="008D46E5">
        <w:tc>
          <w:tcPr>
            <w:tcW w:w="630" w:type="dxa"/>
            <w:shd w:val="clear" w:color="auto" w:fill="auto"/>
          </w:tcPr>
          <w:p w14:paraId="5C47BD86"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4.7</w:t>
            </w:r>
          </w:p>
        </w:tc>
        <w:tc>
          <w:tcPr>
            <w:tcW w:w="4538" w:type="dxa"/>
            <w:gridSpan w:val="2"/>
            <w:shd w:val="clear" w:color="auto" w:fill="auto"/>
          </w:tcPr>
          <w:p w14:paraId="473EAF0C"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Number of PICTs in which the proportion of population using basic drinking water services has increased</w:t>
            </w:r>
            <w:r w:rsidR="009E0EBF" w:rsidRPr="00B6509B">
              <w:rPr>
                <w:rFonts w:ascii="Calibri" w:eastAsia="Calibri" w:hAnsi="Calibri" w:cs="Times New Roman"/>
                <w:sz w:val="18"/>
                <w:szCs w:val="18"/>
              </w:rPr>
              <w:t xml:space="preserve"> based on the latest available data</w:t>
            </w:r>
            <w:r w:rsidRPr="00B6509B">
              <w:rPr>
                <w:rFonts w:ascii="Calibri" w:eastAsia="Calibri" w:hAnsi="Calibri" w:cs="Times New Roman"/>
                <w:sz w:val="18"/>
                <w:szCs w:val="18"/>
                <w:vertAlign w:val="superscript"/>
              </w:rPr>
              <w:t xml:space="preserve">  </w:t>
            </w:r>
            <w:r w:rsidRPr="00B6509B">
              <w:rPr>
                <w:rFonts w:ascii="Calibri" w:eastAsia="Calibri" w:hAnsi="Calibri" w:cs="Times New Roman"/>
                <w:sz w:val="18"/>
                <w:szCs w:val="18"/>
                <w:vertAlign w:val="superscript"/>
              </w:rPr>
              <w:footnoteReference w:id="23"/>
            </w:r>
            <w:r w:rsidRPr="00B6509B">
              <w:rPr>
                <w:rFonts w:ascii="Calibri" w:eastAsia="Calibri" w:hAnsi="Calibri" w:cs="Times New Roman"/>
                <w:sz w:val="18"/>
                <w:szCs w:val="18"/>
              </w:rPr>
              <w:t xml:space="preserve"> (SDG 6.1.1) </w:t>
            </w:r>
          </w:p>
        </w:tc>
        <w:tc>
          <w:tcPr>
            <w:tcW w:w="2122" w:type="dxa"/>
            <w:shd w:val="clear" w:color="auto" w:fill="auto"/>
          </w:tcPr>
          <w:p w14:paraId="4ACE3261"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tc>
        <w:tc>
          <w:tcPr>
            <w:tcW w:w="2251" w:type="dxa"/>
            <w:shd w:val="clear" w:color="auto" w:fill="auto"/>
          </w:tcPr>
          <w:p w14:paraId="636F96F7"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14</w:t>
            </w:r>
          </w:p>
          <w:p w14:paraId="4AFF78DE" w14:textId="77777777" w:rsidR="001E1D12" w:rsidRPr="0026335B" w:rsidRDefault="001E1D12" w:rsidP="008D46E5">
            <w:pPr>
              <w:jc w:val="center"/>
              <w:rPr>
                <w:rFonts w:ascii="Calibri" w:eastAsia="Calibri" w:hAnsi="Calibri" w:cs="Times New Roman"/>
                <w:b/>
                <w:sz w:val="18"/>
                <w:szCs w:val="18"/>
              </w:rPr>
            </w:pPr>
          </w:p>
          <w:p w14:paraId="45CCAF25" w14:textId="77777777" w:rsidR="001E1D12" w:rsidRPr="0026335B" w:rsidRDefault="001E1D12" w:rsidP="008D46E5">
            <w:pPr>
              <w:jc w:val="center"/>
              <w:rPr>
                <w:rFonts w:ascii="Calibri" w:eastAsia="Calibri" w:hAnsi="Calibri" w:cs="Times New Roman"/>
                <w:b/>
                <w:sz w:val="18"/>
                <w:szCs w:val="18"/>
              </w:rPr>
            </w:pPr>
          </w:p>
        </w:tc>
        <w:tc>
          <w:tcPr>
            <w:tcW w:w="2700" w:type="dxa"/>
            <w:shd w:val="clear" w:color="auto" w:fill="auto"/>
          </w:tcPr>
          <w:p w14:paraId="5867F7C1"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DHS</w:t>
            </w:r>
          </w:p>
        </w:tc>
        <w:tc>
          <w:tcPr>
            <w:tcW w:w="3600" w:type="dxa"/>
            <w:shd w:val="clear" w:color="auto" w:fill="auto"/>
          </w:tcPr>
          <w:p w14:paraId="279894BC" w14:textId="3DA17523" w:rsidR="001E1D12" w:rsidRPr="00B6509B" w:rsidRDefault="00B744CD" w:rsidP="008D46E5">
            <w:pPr>
              <w:spacing w:after="80"/>
              <w:jc w:val="both"/>
              <w:rPr>
                <w:rFonts w:ascii="Calibri" w:eastAsia="Calibri" w:hAnsi="Calibri" w:cs="Times New Roman"/>
                <w:sz w:val="18"/>
                <w:szCs w:val="18"/>
              </w:rPr>
            </w:pPr>
            <w:r w:rsidRPr="00B6509B">
              <w:rPr>
                <w:rFonts w:ascii="Calibri" w:eastAsia="Calibri" w:hAnsi="Calibri" w:cs="Times New Roman"/>
                <w:sz w:val="18"/>
                <w:szCs w:val="18"/>
              </w:rPr>
              <w:t xml:space="preserve">IOM, </w:t>
            </w:r>
            <w:r w:rsidR="001E1D12" w:rsidRPr="00B6509B">
              <w:rPr>
                <w:rFonts w:ascii="Calibri" w:eastAsia="Calibri" w:hAnsi="Calibri" w:cs="Times New Roman"/>
                <w:sz w:val="18"/>
                <w:szCs w:val="18"/>
              </w:rPr>
              <w:t>UNICEF, WHO, Ministries of Health, Education, Infrastructure and Public Utilities, Pacific Regional Infrastructure Facility members, local island and town councils, NGO members of the Pacific WASH Coalition, SPC, University of the South Pacific, the International Water Centre, The Water Institute</w:t>
            </w:r>
          </w:p>
        </w:tc>
      </w:tr>
      <w:tr w:rsidR="001E1D12" w:rsidRPr="00B6509B" w14:paraId="466B948A" w14:textId="77777777" w:rsidTr="008D46E5">
        <w:tc>
          <w:tcPr>
            <w:tcW w:w="630" w:type="dxa"/>
            <w:shd w:val="clear" w:color="auto" w:fill="auto"/>
          </w:tcPr>
          <w:p w14:paraId="366F2397"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4.8</w:t>
            </w:r>
          </w:p>
        </w:tc>
        <w:tc>
          <w:tcPr>
            <w:tcW w:w="4538" w:type="dxa"/>
            <w:gridSpan w:val="2"/>
            <w:shd w:val="clear" w:color="auto" w:fill="auto"/>
          </w:tcPr>
          <w:p w14:paraId="60B515E5"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Number of PICTs with baselines in which the proportion of population using basic sanitation services has increased</w:t>
            </w:r>
            <w:r w:rsidR="009E0EBF" w:rsidRPr="00B6509B">
              <w:rPr>
                <w:rFonts w:ascii="Calibri" w:eastAsia="Calibri" w:hAnsi="Calibri" w:cs="Times New Roman"/>
                <w:sz w:val="18"/>
                <w:szCs w:val="18"/>
              </w:rPr>
              <w:t xml:space="preserve"> based on the latest available data</w:t>
            </w:r>
            <w:r w:rsidRPr="00B6509B">
              <w:rPr>
                <w:rFonts w:ascii="Calibri" w:eastAsia="Calibri" w:hAnsi="Calibri" w:cs="Times New Roman"/>
                <w:sz w:val="18"/>
                <w:szCs w:val="18"/>
                <w:vertAlign w:val="superscript"/>
              </w:rPr>
              <w:footnoteReference w:id="24"/>
            </w:r>
            <w:r w:rsidRPr="00B6509B">
              <w:rPr>
                <w:rFonts w:ascii="Calibri" w:eastAsia="Calibri" w:hAnsi="Calibri" w:cs="Times New Roman"/>
                <w:sz w:val="18"/>
                <w:szCs w:val="18"/>
              </w:rPr>
              <w:t xml:space="preserve"> (SDG 6.2.1)</w:t>
            </w:r>
            <w:r w:rsidRPr="00B6509B">
              <w:rPr>
                <w:rFonts w:ascii="Calibri" w:eastAsia="Calibri" w:hAnsi="Calibri" w:cs="Times New Roman"/>
                <w:sz w:val="18"/>
                <w:szCs w:val="18"/>
                <w:shd w:val="clear" w:color="auto" w:fill="92D050"/>
              </w:rPr>
              <w:t xml:space="preserve"> </w:t>
            </w:r>
          </w:p>
        </w:tc>
        <w:tc>
          <w:tcPr>
            <w:tcW w:w="2122" w:type="dxa"/>
            <w:shd w:val="clear" w:color="auto" w:fill="auto"/>
          </w:tcPr>
          <w:p w14:paraId="1E15DB51"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tc>
        <w:tc>
          <w:tcPr>
            <w:tcW w:w="2251" w:type="dxa"/>
            <w:shd w:val="clear" w:color="auto" w:fill="auto"/>
          </w:tcPr>
          <w:p w14:paraId="478B8632"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14</w:t>
            </w:r>
          </w:p>
          <w:p w14:paraId="4EA808DA" w14:textId="77777777" w:rsidR="001E1D12" w:rsidRPr="0026335B" w:rsidRDefault="001E1D12" w:rsidP="008D46E5">
            <w:pPr>
              <w:jc w:val="center"/>
              <w:rPr>
                <w:rFonts w:ascii="Calibri" w:eastAsia="Calibri" w:hAnsi="Calibri" w:cs="Times New Roman"/>
                <w:b/>
                <w:sz w:val="18"/>
                <w:szCs w:val="18"/>
              </w:rPr>
            </w:pPr>
          </w:p>
          <w:p w14:paraId="1F686120" w14:textId="77777777" w:rsidR="001E1D12" w:rsidRPr="0026335B" w:rsidRDefault="001E1D12" w:rsidP="008D46E5">
            <w:pPr>
              <w:jc w:val="center"/>
              <w:rPr>
                <w:rFonts w:ascii="Calibri" w:eastAsia="Calibri" w:hAnsi="Calibri" w:cs="Times New Roman"/>
                <w:b/>
                <w:sz w:val="18"/>
                <w:szCs w:val="18"/>
              </w:rPr>
            </w:pPr>
          </w:p>
        </w:tc>
        <w:tc>
          <w:tcPr>
            <w:tcW w:w="2700" w:type="dxa"/>
            <w:shd w:val="clear" w:color="auto" w:fill="auto"/>
          </w:tcPr>
          <w:p w14:paraId="0262B882"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DHS</w:t>
            </w:r>
          </w:p>
        </w:tc>
        <w:tc>
          <w:tcPr>
            <w:tcW w:w="3600" w:type="dxa"/>
            <w:shd w:val="clear" w:color="auto" w:fill="auto"/>
            <w:vAlign w:val="center"/>
          </w:tcPr>
          <w:p w14:paraId="204D0954" w14:textId="76178FE3" w:rsidR="001E1D12" w:rsidRPr="00B6509B" w:rsidRDefault="00B744CD" w:rsidP="008D46E5">
            <w:pPr>
              <w:spacing w:after="80"/>
              <w:jc w:val="both"/>
              <w:rPr>
                <w:rFonts w:ascii="Calibri" w:eastAsia="Calibri" w:hAnsi="Calibri" w:cs="Times New Roman"/>
                <w:sz w:val="18"/>
                <w:szCs w:val="18"/>
              </w:rPr>
            </w:pPr>
            <w:r w:rsidRPr="00B6509B">
              <w:rPr>
                <w:rFonts w:ascii="Calibri" w:eastAsia="Calibri" w:hAnsi="Calibri" w:cs="Times New Roman"/>
                <w:sz w:val="18"/>
                <w:szCs w:val="18"/>
              </w:rPr>
              <w:t xml:space="preserve">IOM, </w:t>
            </w:r>
            <w:r w:rsidR="001E1D12" w:rsidRPr="00B6509B">
              <w:rPr>
                <w:rFonts w:ascii="Calibri" w:eastAsia="Calibri" w:hAnsi="Calibri" w:cs="Times New Roman"/>
                <w:sz w:val="18"/>
                <w:szCs w:val="18"/>
              </w:rPr>
              <w:t>UNICEF, WHO, Ministries of Health, Education, Infrastructure and Public Utilities, Pacific Regional Infrastructure Facility members, local island and town councils, NGO members of the Pacific WASH Coalition, SPC, University of the South Pacific, the International Water Centre, The Water Institute</w:t>
            </w:r>
          </w:p>
        </w:tc>
      </w:tr>
      <w:tr w:rsidR="001E1D12" w:rsidRPr="00B6509B" w14:paraId="3E0035EB" w14:textId="77777777" w:rsidTr="008D46E5">
        <w:trPr>
          <w:trHeight w:val="1122"/>
        </w:trPr>
        <w:tc>
          <w:tcPr>
            <w:tcW w:w="630" w:type="dxa"/>
            <w:shd w:val="clear" w:color="auto" w:fill="auto"/>
          </w:tcPr>
          <w:p w14:paraId="282E4561"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lastRenderedPageBreak/>
              <w:t>4.9</w:t>
            </w:r>
          </w:p>
        </w:tc>
        <w:tc>
          <w:tcPr>
            <w:tcW w:w="4538" w:type="dxa"/>
            <w:gridSpan w:val="2"/>
            <w:shd w:val="clear" w:color="auto" w:fill="auto"/>
          </w:tcPr>
          <w:p w14:paraId="726EAD9E" w14:textId="22628447" w:rsidR="001E1D12" w:rsidRPr="00B6509B" w:rsidRDefault="00C47CB7" w:rsidP="008D46E5">
            <w:pPr>
              <w:jc w:val="both"/>
              <w:rPr>
                <w:rFonts w:ascii="Calibri" w:eastAsia="Calibri" w:hAnsi="Calibri" w:cs="Times New Roman"/>
                <w:sz w:val="18"/>
                <w:szCs w:val="18"/>
              </w:rPr>
            </w:pPr>
            <w:r w:rsidRPr="00C47CB7">
              <w:rPr>
                <w:rFonts w:ascii="Calibri" w:eastAsia="Calibri" w:hAnsi="Calibri" w:cs="Times New Roman"/>
                <w:sz w:val="18"/>
                <w:szCs w:val="18"/>
              </w:rPr>
              <w:t>Number of PICTs where (i) prevalence of stunting among children under five has decreased, and Number of PICTs where (ii) prevalence of overweight and obesity among children under five has not increased; and number of PICTs where (iii) prevalence of overweight among adolescents, has not increased</w:t>
            </w:r>
            <w:r w:rsidR="00BE6461">
              <w:rPr>
                <w:rStyle w:val="FootnoteReference"/>
                <w:rFonts w:ascii="Calibri" w:eastAsia="Calibri" w:hAnsi="Calibri" w:cs="Times New Roman"/>
                <w:sz w:val="18"/>
                <w:szCs w:val="18"/>
              </w:rPr>
              <w:footnoteReference w:id="25"/>
            </w:r>
          </w:p>
        </w:tc>
        <w:tc>
          <w:tcPr>
            <w:tcW w:w="2122" w:type="dxa"/>
            <w:shd w:val="clear" w:color="auto" w:fill="auto"/>
          </w:tcPr>
          <w:p w14:paraId="1B077B84" w14:textId="77777777" w:rsidR="001E1D12" w:rsidRPr="0026335B" w:rsidRDefault="00981E76"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i</w:t>
            </w:r>
            <w:r w:rsidR="001E1D12" w:rsidRPr="0026335B">
              <w:rPr>
                <w:rFonts w:ascii="Calibri" w:eastAsia="Calibri" w:hAnsi="Calibri" w:cs="Times New Roman"/>
                <w:b/>
                <w:sz w:val="18"/>
                <w:szCs w:val="18"/>
              </w:rPr>
              <w:t>) 0</w:t>
            </w:r>
          </w:p>
          <w:p w14:paraId="091A26D6" w14:textId="77777777" w:rsidR="001E1D12" w:rsidRPr="0026335B" w:rsidRDefault="001E1D12" w:rsidP="008D46E5">
            <w:pPr>
              <w:jc w:val="center"/>
              <w:rPr>
                <w:rFonts w:ascii="Calibri" w:eastAsia="Calibri" w:hAnsi="Calibri" w:cs="Times New Roman"/>
                <w:b/>
                <w:sz w:val="18"/>
                <w:szCs w:val="18"/>
              </w:rPr>
            </w:pPr>
          </w:p>
          <w:p w14:paraId="4B5095D7" w14:textId="77777777" w:rsidR="001E1D12" w:rsidRPr="0026335B" w:rsidRDefault="00981E76"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ii</w:t>
            </w:r>
            <w:r w:rsidR="001E1D12" w:rsidRPr="0026335B">
              <w:rPr>
                <w:rFonts w:ascii="Calibri" w:eastAsia="Calibri" w:hAnsi="Calibri" w:cs="Times New Roman"/>
                <w:b/>
                <w:sz w:val="18"/>
                <w:szCs w:val="18"/>
              </w:rPr>
              <w:t>) 0</w:t>
            </w:r>
          </w:p>
          <w:p w14:paraId="6D91387D" w14:textId="77777777" w:rsidR="001E1D12" w:rsidRPr="0026335B" w:rsidRDefault="001E1D12" w:rsidP="008D46E5">
            <w:pPr>
              <w:jc w:val="center"/>
              <w:rPr>
                <w:rFonts w:ascii="Calibri" w:eastAsia="Calibri" w:hAnsi="Calibri" w:cs="Times New Roman"/>
                <w:b/>
                <w:sz w:val="18"/>
                <w:szCs w:val="18"/>
              </w:rPr>
            </w:pPr>
          </w:p>
          <w:p w14:paraId="7730F603" w14:textId="77777777" w:rsidR="001E1D12" w:rsidRPr="0026335B" w:rsidRDefault="00981E76"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iii</w:t>
            </w:r>
            <w:r w:rsidR="001E1D12" w:rsidRPr="0026335B">
              <w:rPr>
                <w:rFonts w:ascii="Calibri" w:eastAsia="Calibri" w:hAnsi="Calibri" w:cs="Times New Roman"/>
                <w:b/>
                <w:sz w:val="18"/>
                <w:szCs w:val="18"/>
              </w:rPr>
              <w:t>) 0</w:t>
            </w:r>
          </w:p>
        </w:tc>
        <w:tc>
          <w:tcPr>
            <w:tcW w:w="2251" w:type="dxa"/>
            <w:shd w:val="clear" w:color="auto" w:fill="auto"/>
          </w:tcPr>
          <w:p w14:paraId="2C5AD2CB" w14:textId="23EED164" w:rsidR="001E1D12" w:rsidRPr="0026335B" w:rsidRDefault="0026335B"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i)  6</w:t>
            </w:r>
          </w:p>
          <w:p w14:paraId="33557968" w14:textId="77777777" w:rsidR="001E1D12" w:rsidRPr="0026335B" w:rsidRDefault="001E1D12" w:rsidP="008D46E5">
            <w:pPr>
              <w:jc w:val="center"/>
              <w:rPr>
                <w:rFonts w:ascii="Calibri" w:eastAsia="Calibri" w:hAnsi="Calibri" w:cs="Times New Roman"/>
                <w:b/>
                <w:sz w:val="18"/>
                <w:szCs w:val="18"/>
              </w:rPr>
            </w:pPr>
          </w:p>
          <w:p w14:paraId="711F6571" w14:textId="5705F7D2" w:rsidR="001E1D12" w:rsidRPr="0026335B" w:rsidRDefault="00981E76"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ii</w:t>
            </w:r>
            <w:r w:rsidR="001E1D12" w:rsidRPr="0026335B">
              <w:rPr>
                <w:rFonts w:ascii="Calibri" w:eastAsia="Calibri" w:hAnsi="Calibri" w:cs="Times New Roman"/>
                <w:b/>
                <w:sz w:val="18"/>
                <w:szCs w:val="18"/>
              </w:rPr>
              <w:t>)</w:t>
            </w:r>
            <w:r w:rsidR="0026335B" w:rsidRPr="0026335B">
              <w:rPr>
                <w:rFonts w:ascii="Calibri" w:eastAsia="Calibri" w:hAnsi="Calibri" w:cs="Times New Roman"/>
                <w:b/>
                <w:sz w:val="18"/>
                <w:szCs w:val="18"/>
              </w:rPr>
              <w:t xml:space="preserve"> 7</w:t>
            </w:r>
          </w:p>
          <w:p w14:paraId="5C839802" w14:textId="77777777" w:rsidR="000F056E" w:rsidRPr="0026335B" w:rsidRDefault="000F056E" w:rsidP="008D46E5">
            <w:pPr>
              <w:jc w:val="center"/>
              <w:rPr>
                <w:rFonts w:ascii="Calibri" w:eastAsia="Calibri" w:hAnsi="Calibri" w:cs="Times New Roman"/>
                <w:b/>
                <w:sz w:val="18"/>
                <w:szCs w:val="18"/>
              </w:rPr>
            </w:pPr>
          </w:p>
          <w:p w14:paraId="1F011875" w14:textId="302B2DF6" w:rsidR="001E1D12" w:rsidRPr="0026335B" w:rsidRDefault="00981E76"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iii</w:t>
            </w:r>
            <w:r w:rsidR="001E1D12" w:rsidRPr="0026335B">
              <w:rPr>
                <w:rFonts w:ascii="Calibri" w:eastAsia="Calibri" w:hAnsi="Calibri" w:cs="Times New Roman"/>
                <w:b/>
                <w:sz w:val="18"/>
                <w:szCs w:val="18"/>
              </w:rPr>
              <w:t>) 14</w:t>
            </w:r>
          </w:p>
        </w:tc>
        <w:tc>
          <w:tcPr>
            <w:tcW w:w="2700" w:type="dxa"/>
            <w:shd w:val="clear" w:color="auto" w:fill="auto"/>
          </w:tcPr>
          <w:p w14:paraId="08141062"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DHS, National Nutrition Survey</w:t>
            </w:r>
          </w:p>
        </w:tc>
        <w:tc>
          <w:tcPr>
            <w:tcW w:w="3600" w:type="dxa"/>
            <w:shd w:val="clear" w:color="auto" w:fill="auto"/>
            <w:vAlign w:val="center"/>
          </w:tcPr>
          <w:p w14:paraId="0746FEF1" w14:textId="22BD1346" w:rsidR="008127EA" w:rsidRPr="00B6509B" w:rsidRDefault="008127EA" w:rsidP="008D46E5">
            <w:pPr>
              <w:jc w:val="both"/>
              <w:rPr>
                <w:rFonts w:ascii="Calibri" w:eastAsia="Calibri" w:hAnsi="Calibri" w:cs="Times New Roman"/>
                <w:sz w:val="18"/>
                <w:szCs w:val="18"/>
              </w:rPr>
            </w:pPr>
            <w:r w:rsidRPr="008127EA">
              <w:rPr>
                <w:rFonts w:ascii="Calibri" w:eastAsia="Calibri" w:hAnsi="Calibri" w:cs="Times New Roman"/>
                <w:sz w:val="18"/>
                <w:szCs w:val="18"/>
              </w:rPr>
              <w:t>ADB, Ministries of Health,  PIFS, Red Cross Scaling up Nutrition</w:t>
            </w:r>
            <w:r>
              <w:rPr>
                <w:rFonts w:ascii="Calibri" w:eastAsia="Calibri" w:hAnsi="Calibri" w:cs="Times New Roman"/>
                <w:sz w:val="18"/>
                <w:szCs w:val="18"/>
              </w:rPr>
              <w:t xml:space="preserve">, </w:t>
            </w:r>
            <w:r w:rsidRPr="008127EA">
              <w:rPr>
                <w:rFonts w:ascii="Calibri" w:eastAsia="Calibri" w:hAnsi="Calibri" w:cs="Times New Roman"/>
                <w:sz w:val="18"/>
                <w:szCs w:val="18"/>
              </w:rPr>
              <w:t>SPC</w:t>
            </w:r>
            <w:r>
              <w:rPr>
                <w:rFonts w:ascii="Calibri" w:eastAsia="Calibri" w:hAnsi="Calibri" w:cs="Times New Roman"/>
                <w:sz w:val="18"/>
                <w:szCs w:val="18"/>
              </w:rPr>
              <w:t xml:space="preserve">, </w:t>
            </w:r>
            <w:r w:rsidR="001E1D12" w:rsidRPr="00B6509B">
              <w:rPr>
                <w:rFonts w:ascii="Calibri" w:eastAsia="Calibri" w:hAnsi="Calibri" w:cs="Times New Roman"/>
                <w:sz w:val="18"/>
                <w:szCs w:val="18"/>
              </w:rPr>
              <w:t xml:space="preserve">UNICEF, WHO, </w:t>
            </w:r>
            <w:r w:rsidRPr="00B6509B">
              <w:rPr>
                <w:rFonts w:ascii="Calibri" w:eastAsia="Calibri" w:hAnsi="Calibri" w:cs="Times New Roman"/>
                <w:sz w:val="18"/>
                <w:szCs w:val="18"/>
              </w:rPr>
              <w:t xml:space="preserve">World Bank, World </w:t>
            </w:r>
            <w:r>
              <w:rPr>
                <w:rFonts w:ascii="Calibri" w:eastAsia="Calibri" w:hAnsi="Calibri" w:cs="Times New Roman"/>
                <w:sz w:val="18"/>
                <w:szCs w:val="18"/>
              </w:rPr>
              <w:t>Vision</w:t>
            </w:r>
          </w:p>
          <w:p w14:paraId="04C524D8" w14:textId="7ABB7597" w:rsidR="001E1D12" w:rsidRPr="00B6509B" w:rsidRDefault="001E1D12" w:rsidP="008D46E5">
            <w:pPr>
              <w:jc w:val="both"/>
              <w:rPr>
                <w:rFonts w:ascii="Calibri" w:eastAsia="Calibri" w:hAnsi="Calibri" w:cs="Times New Roman"/>
                <w:sz w:val="18"/>
                <w:szCs w:val="18"/>
              </w:rPr>
            </w:pPr>
          </w:p>
          <w:p w14:paraId="14C75478" w14:textId="77777777" w:rsidR="001E1D12" w:rsidRPr="00B6509B" w:rsidRDefault="001E1D12" w:rsidP="008D46E5">
            <w:pPr>
              <w:jc w:val="both"/>
              <w:rPr>
                <w:rFonts w:ascii="Calibri" w:eastAsia="Calibri" w:hAnsi="Calibri" w:cs="Times New Roman"/>
                <w:sz w:val="18"/>
                <w:szCs w:val="18"/>
              </w:rPr>
            </w:pPr>
          </w:p>
        </w:tc>
      </w:tr>
      <w:tr w:rsidR="001E1D12" w:rsidRPr="00B6509B" w14:paraId="3192BDAC" w14:textId="77777777" w:rsidTr="008D46E5">
        <w:tc>
          <w:tcPr>
            <w:tcW w:w="630" w:type="dxa"/>
            <w:shd w:val="clear" w:color="auto" w:fill="auto"/>
          </w:tcPr>
          <w:p w14:paraId="2921464C"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4.10</w:t>
            </w:r>
          </w:p>
        </w:tc>
        <w:tc>
          <w:tcPr>
            <w:tcW w:w="4538" w:type="dxa"/>
            <w:gridSpan w:val="2"/>
            <w:shd w:val="clear" w:color="auto" w:fill="auto"/>
          </w:tcPr>
          <w:p w14:paraId="7C92A7D9" w14:textId="77777777" w:rsidR="001E1D12" w:rsidRPr="00B6509B" w:rsidRDefault="001E1D12" w:rsidP="008D46E5">
            <w:pPr>
              <w:jc w:val="both"/>
              <w:rPr>
                <w:rFonts w:ascii="Calibri" w:eastAsia="Calibri" w:hAnsi="Calibri" w:cs="Times New Roman"/>
                <w:sz w:val="18"/>
                <w:szCs w:val="18"/>
              </w:rPr>
            </w:pPr>
            <w:r w:rsidRPr="008D46E5">
              <w:rPr>
                <w:rFonts w:ascii="Calibri" w:eastAsia="Calibri" w:hAnsi="Calibri" w:cs="Times New Roman"/>
                <w:sz w:val="18"/>
                <w:szCs w:val="18"/>
              </w:rPr>
              <w:t>Number of PICTs in which the current Tobacco use among persons aged 15 years and over has decreased</w:t>
            </w:r>
            <w:r w:rsidR="009E0EBF" w:rsidRPr="008D46E5">
              <w:rPr>
                <w:rFonts w:ascii="Calibri" w:eastAsia="Calibri" w:hAnsi="Calibri" w:cs="Times New Roman"/>
                <w:sz w:val="18"/>
                <w:szCs w:val="18"/>
              </w:rPr>
              <w:t xml:space="preserve"> </w:t>
            </w:r>
            <w:r w:rsidR="009E0EBF" w:rsidRPr="00B6509B">
              <w:rPr>
                <w:rFonts w:ascii="Calibri" w:eastAsia="Calibri" w:hAnsi="Calibri" w:cs="Times New Roman"/>
                <w:sz w:val="18"/>
                <w:szCs w:val="18"/>
              </w:rPr>
              <w:t>based on the latest available data</w:t>
            </w:r>
            <w:r w:rsidR="009E0EBF" w:rsidRPr="008D46E5">
              <w:rPr>
                <w:rFonts w:ascii="Calibri" w:eastAsia="Calibri" w:hAnsi="Calibri" w:cs="Times New Roman"/>
                <w:sz w:val="18"/>
                <w:szCs w:val="18"/>
              </w:rPr>
              <w:t>.</w:t>
            </w:r>
            <w:r w:rsidR="009E0EBF" w:rsidRPr="008D46E5">
              <w:rPr>
                <w:rFonts w:ascii="Calibri" w:eastAsia="Calibri" w:hAnsi="Calibri" w:cs="Times New Roman"/>
                <w:sz w:val="18"/>
                <w:szCs w:val="18"/>
                <w:vertAlign w:val="superscript"/>
              </w:rPr>
              <w:t xml:space="preserve"> </w:t>
            </w:r>
            <w:r w:rsidRPr="008D46E5">
              <w:rPr>
                <w:rFonts w:ascii="Calibri" w:eastAsia="Calibri" w:hAnsi="Calibri" w:cs="Times New Roman"/>
                <w:sz w:val="18"/>
                <w:szCs w:val="18"/>
                <w:vertAlign w:val="superscript"/>
              </w:rPr>
              <w:footnoteReference w:id="26"/>
            </w:r>
          </w:p>
        </w:tc>
        <w:tc>
          <w:tcPr>
            <w:tcW w:w="2122" w:type="dxa"/>
            <w:shd w:val="clear" w:color="auto" w:fill="auto"/>
          </w:tcPr>
          <w:p w14:paraId="213E32A9"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0</w:t>
            </w:r>
          </w:p>
          <w:p w14:paraId="6A2A3690" w14:textId="77777777" w:rsidR="001E1D12" w:rsidRPr="0026335B" w:rsidRDefault="001E1D12" w:rsidP="008D46E5">
            <w:pPr>
              <w:jc w:val="center"/>
              <w:rPr>
                <w:rFonts w:ascii="Calibri" w:eastAsia="Calibri" w:hAnsi="Calibri" w:cs="Times New Roman"/>
                <w:b/>
                <w:sz w:val="18"/>
                <w:szCs w:val="18"/>
              </w:rPr>
            </w:pPr>
          </w:p>
        </w:tc>
        <w:tc>
          <w:tcPr>
            <w:tcW w:w="2251" w:type="dxa"/>
            <w:shd w:val="clear" w:color="auto" w:fill="auto"/>
          </w:tcPr>
          <w:p w14:paraId="707C22DA"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14</w:t>
            </w:r>
          </w:p>
        </w:tc>
        <w:tc>
          <w:tcPr>
            <w:tcW w:w="2700" w:type="dxa"/>
            <w:shd w:val="clear" w:color="auto" w:fill="auto"/>
          </w:tcPr>
          <w:p w14:paraId="6551FEA7"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WHO’s Global reports on Tobacco (GTCR)Global estimation on tobacco use</w:t>
            </w:r>
          </w:p>
        </w:tc>
        <w:tc>
          <w:tcPr>
            <w:tcW w:w="3600" w:type="dxa"/>
            <w:shd w:val="clear" w:color="auto" w:fill="auto"/>
          </w:tcPr>
          <w:p w14:paraId="15A33772" w14:textId="5C6017D9" w:rsidR="001E1D12" w:rsidRPr="00B6509B" w:rsidRDefault="008127EA" w:rsidP="008D46E5">
            <w:pPr>
              <w:jc w:val="both"/>
              <w:rPr>
                <w:rFonts w:ascii="Calibri" w:eastAsia="Calibri" w:hAnsi="Calibri" w:cs="Times New Roman"/>
                <w:sz w:val="18"/>
                <w:szCs w:val="18"/>
              </w:rPr>
            </w:pPr>
            <w:r w:rsidRPr="008127EA">
              <w:rPr>
                <w:rFonts w:ascii="Calibri" w:eastAsia="Calibri" w:hAnsi="Calibri" w:cs="Times New Roman"/>
                <w:sz w:val="18"/>
                <w:szCs w:val="18"/>
              </w:rPr>
              <w:t>FCA (Framework Convention Alliance),</w:t>
            </w:r>
            <w:r>
              <w:rPr>
                <w:rFonts w:ascii="Calibri" w:eastAsia="Calibri" w:hAnsi="Calibri" w:cs="Times New Roman"/>
                <w:sz w:val="18"/>
                <w:szCs w:val="18"/>
              </w:rPr>
              <w:t xml:space="preserve"> </w:t>
            </w:r>
            <w:r w:rsidRPr="008127EA">
              <w:rPr>
                <w:rFonts w:ascii="Calibri" w:eastAsia="Calibri" w:hAnsi="Calibri" w:cs="Times New Roman"/>
                <w:sz w:val="18"/>
                <w:szCs w:val="18"/>
              </w:rPr>
              <w:t xml:space="preserve">Ministry of Health for PICTs, </w:t>
            </w:r>
            <w:r>
              <w:rPr>
                <w:rFonts w:ascii="Calibri" w:eastAsia="Calibri" w:hAnsi="Calibri" w:cs="Times New Roman"/>
                <w:sz w:val="18"/>
                <w:szCs w:val="18"/>
              </w:rPr>
              <w:t>WHO</w:t>
            </w:r>
            <w:r w:rsidR="001E1D12" w:rsidRPr="00B6509B">
              <w:rPr>
                <w:rFonts w:ascii="Calibri" w:eastAsia="Calibri" w:hAnsi="Calibri" w:cs="Times New Roman"/>
                <w:sz w:val="18"/>
                <w:szCs w:val="18"/>
              </w:rPr>
              <w:t xml:space="preserve"> </w:t>
            </w:r>
          </w:p>
        </w:tc>
      </w:tr>
      <w:tr w:rsidR="001E1D12" w:rsidRPr="00B6509B" w14:paraId="2E855F03" w14:textId="77777777" w:rsidTr="008D46E5">
        <w:trPr>
          <w:trHeight w:val="1032"/>
        </w:trPr>
        <w:tc>
          <w:tcPr>
            <w:tcW w:w="630" w:type="dxa"/>
            <w:shd w:val="clear" w:color="auto" w:fill="auto"/>
          </w:tcPr>
          <w:p w14:paraId="65833E3B"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4.11</w:t>
            </w:r>
          </w:p>
        </w:tc>
        <w:tc>
          <w:tcPr>
            <w:tcW w:w="4538" w:type="dxa"/>
            <w:gridSpan w:val="2"/>
            <w:shd w:val="clear" w:color="auto" w:fill="auto"/>
          </w:tcPr>
          <w:p w14:paraId="76F759F6" w14:textId="20EE3AB0" w:rsidR="001E1D12" w:rsidRPr="00B6509B" w:rsidRDefault="007F3E36" w:rsidP="008D46E5">
            <w:pPr>
              <w:jc w:val="both"/>
              <w:rPr>
                <w:rFonts w:ascii="Calibri" w:eastAsia="Calibri" w:hAnsi="Calibri" w:cs="Times New Roman"/>
                <w:sz w:val="18"/>
                <w:szCs w:val="18"/>
              </w:rPr>
            </w:pPr>
            <w:r w:rsidRPr="008D46E5">
              <w:rPr>
                <w:rFonts w:ascii="Calibri" w:eastAsia="Calibri" w:hAnsi="Calibri" w:cs="Times New Roman"/>
                <w:sz w:val="18"/>
                <w:szCs w:val="18"/>
              </w:rPr>
              <w:t>Out</w:t>
            </w:r>
            <w:r w:rsidR="001E1D12" w:rsidRPr="00B6509B">
              <w:rPr>
                <w:rFonts w:ascii="Calibri" w:eastAsia="Calibri" w:hAnsi="Calibri" w:cs="Times New Roman"/>
                <w:color w:val="FF0000"/>
                <w:sz w:val="18"/>
                <w:szCs w:val="18"/>
              </w:rPr>
              <w:t xml:space="preserve"> </w:t>
            </w:r>
            <w:r w:rsidR="001E1D12" w:rsidRPr="00B6509B">
              <w:rPr>
                <w:rFonts w:ascii="Calibri" w:eastAsia="Calibri" w:hAnsi="Calibri" w:cs="Times New Roman"/>
                <w:sz w:val="18"/>
                <w:szCs w:val="18"/>
              </w:rPr>
              <w:t>of school rate for primary and secondary education</w:t>
            </w:r>
            <w:r w:rsidR="001E1D12" w:rsidRPr="008D46E5">
              <w:rPr>
                <w:rFonts w:ascii="Calibri" w:eastAsia="Calibri" w:hAnsi="Calibri" w:cs="Times New Roman"/>
                <w:sz w:val="18"/>
                <w:szCs w:val="18"/>
                <w:vertAlign w:val="superscript"/>
              </w:rPr>
              <w:footnoteReference w:id="27"/>
            </w:r>
            <w:r w:rsidR="0028236F" w:rsidRPr="008D46E5">
              <w:rPr>
                <w:rFonts w:ascii="Calibri" w:eastAsia="Calibri" w:hAnsi="Calibri" w:cs="Times New Roman"/>
                <w:sz w:val="18"/>
                <w:szCs w:val="18"/>
              </w:rPr>
              <w:t>in</w:t>
            </w:r>
            <w:r w:rsidR="0028236F" w:rsidRPr="00B6509B">
              <w:rPr>
                <w:rFonts w:ascii="Calibri" w:eastAsia="Calibri" w:hAnsi="Calibri" w:cs="Times New Roman"/>
                <w:sz w:val="18"/>
                <w:szCs w:val="18"/>
                <w:shd w:val="clear" w:color="auto" w:fill="92D050"/>
              </w:rPr>
              <w:t xml:space="preserve"> </w:t>
            </w:r>
            <w:r w:rsidR="0028236F" w:rsidRPr="008D46E5">
              <w:rPr>
                <w:rFonts w:ascii="Calibri" w:eastAsia="Calibri" w:hAnsi="Calibri" w:cs="Times New Roman"/>
                <w:sz w:val="18"/>
                <w:szCs w:val="18"/>
              </w:rPr>
              <w:t>the Pacific</w:t>
            </w:r>
            <w:r w:rsidR="0028236F" w:rsidRPr="00B6509B">
              <w:rPr>
                <w:rFonts w:ascii="Calibri" w:eastAsia="Calibri" w:hAnsi="Calibri" w:cs="Times New Roman"/>
                <w:sz w:val="18"/>
                <w:szCs w:val="18"/>
                <w:shd w:val="clear" w:color="auto" w:fill="E2EFD9"/>
              </w:rPr>
              <w:t xml:space="preserve"> </w:t>
            </w:r>
          </w:p>
        </w:tc>
        <w:tc>
          <w:tcPr>
            <w:tcW w:w="2122" w:type="dxa"/>
            <w:shd w:val="clear" w:color="auto" w:fill="auto"/>
          </w:tcPr>
          <w:p w14:paraId="0A432E3A"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Primary: 10.0%</w:t>
            </w:r>
          </w:p>
          <w:p w14:paraId="4E512449"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Boys:      Girls:  </w:t>
            </w:r>
          </w:p>
          <w:p w14:paraId="19E9EDB9"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Lower Secondary: 15.8%</w:t>
            </w:r>
          </w:p>
          <w:p w14:paraId="49065273" w14:textId="76289418"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Boys:      Girls: </w:t>
            </w:r>
          </w:p>
        </w:tc>
        <w:tc>
          <w:tcPr>
            <w:tcW w:w="2251" w:type="dxa"/>
            <w:shd w:val="clear" w:color="auto" w:fill="auto"/>
          </w:tcPr>
          <w:p w14:paraId="1295F400"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Primary: 7.0%</w:t>
            </w:r>
          </w:p>
          <w:p w14:paraId="1DBE5EE5"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Boys:        Girls:</w:t>
            </w:r>
          </w:p>
          <w:p w14:paraId="2B4B4831"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Lower Secondary: 12.5%</w:t>
            </w:r>
          </w:p>
          <w:p w14:paraId="140CDC3D" w14:textId="40B1A723"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Boys:        Girls:</w:t>
            </w:r>
          </w:p>
        </w:tc>
        <w:tc>
          <w:tcPr>
            <w:tcW w:w="2700" w:type="dxa"/>
            <w:shd w:val="clear" w:color="auto" w:fill="auto"/>
          </w:tcPr>
          <w:p w14:paraId="4C69C463"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Out of School Children 2014</w:t>
            </w:r>
          </w:p>
          <w:p w14:paraId="109FE019"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UIS Data Centre</w:t>
            </w:r>
          </w:p>
          <w:p w14:paraId="6064DDDF"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data.uis.unesco.org</w:t>
            </w:r>
          </w:p>
        </w:tc>
        <w:tc>
          <w:tcPr>
            <w:tcW w:w="3600" w:type="dxa"/>
            <w:shd w:val="clear" w:color="auto" w:fill="auto"/>
          </w:tcPr>
          <w:p w14:paraId="63AAE7A4" w14:textId="6D1BDEBA" w:rsidR="001E1D12" w:rsidRPr="00B6509B" w:rsidRDefault="008127EA" w:rsidP="008D46E5">
            <w:pPr>
              <w:spacing w:after="80"/>
              <w:jc w:val="both"/>
              <w:rPr>
                <w:rFonts w:ascii="Calibri" w:eastAsia="Calibri" w:hAnsi="Calibri" w:cs="Times New Roman"/>
                <w:sz w:val="18"/>
                <w:szCs w:val="18"/>
              </w:rPr>
            </w:pPr>
            <w:r>
              <w:rPr>
                <w:rFonts w:ascii="Calibri" w:eastAsia="Calibri" w:hAnsi="Calibri" w:cs="Times New Roman"/>
                <w:sz w:val="18"/>
                <w:szCs w:val="18"/>
              </w:rPr>
              <w:t xml:space="preserve">ADB, </w:t>
            </w:r>
            <w:r w:rsidRPr="008127EA">
              <w:rPr>
                <w:rFonts w:ascii="Calibri" w:eastAsia="Calibri" w:hAnsi="Calibri" w:cs="Times New Roman"/>
                <w:sz w:val="18"/>
                <w:szCs w:val="18"/>
              </w:rPr>
              <w:t>DFAT</w:t>
            </w:r>
            <w:r>
              <w:rPr>
                <w:rFonts w:ascii="Calibri" w:eastAsia="Calibri" w:hAnsi="Calibri" w:cs="Times New Roman"/>
                <w:sz w:val="18"/>
                <w:szCs w:val="18"/>
              </w:rPr>
              <w:t>, I</w:t>
            </w:r>
            <w:r w:rsidR="001E1D12" w:rsidRPr="00B6509B">
              <w:rPr>
                <w:rFonts w:ascii="Calibri" w:eastAsia="Calibri" w:hAnsi="Calibri" w:cs="Times New Roman"/>
                <w:sz w:val="18"/>
                <w:szCs w:val="18"/>
              </w:rPr>
              <w:t>FAD,</w:t>
            </w:r>
            <w:r>
              <w:rPr>
                <w:rFonts w:ascii="Calibri" w:eastAsia="Calibri" w:hAnsi="Calibri" w:cs="Times New Roman"/>
                <w:sz w:val="18"/>
                <w:szCs w:val="18"/>
              </w:rPr>
              <w:t xml:space="preserve"> </w:t>
            </w:r>
            <w:r w:rsidR="007E7423">
              <w:rPr>
                <w:rFonts w:ascii="Calibri" w:eastAsia="Calibri" w:hAnsi="Calibri" w:cs="Times New Roman"/>
                <w:sz w:val="18"/>
                <w:szCs w:val="18"/>
              </w:rPr>
              <w:t xml:space="preserve">ILO, </w:t>
            </w:r>
            <w:r>
              <w:rPr>
                <w:rFonts w:ascii="Calibri" w:eastAsia="Calibri" w:hAnsi="Calibri" w:cs="Times New Roman"/>
                <w:sz w:val="18"/>
                <w:szCs w:val="18"/>
              </w:rPr>
              <w:t xml:space="preserve">MFAT, </w:t>
            </w:r>
            <w:r w:rsidRPr="008127EA">
              <w:rPr>
                <w:rFonts w:ascii="Calibri" w:eastAsia="Calibri" w:hAnsi="Calibri" w:cs="Times New Roman"/>
                <w:sz w:val="18"/>
                <w:szCs w:val="18"/>
              </w:rPr>
              <w:t>Ministry of Education for PICTs,  Ministry of Labour for PICTs, World Bank,</w:t>
            </w:r>
            <w:r>
              <w:rPr>
                <w:rFonts w:ascii="Calibri" w:eastAsia="Calibri" w:hAnsi="Calibri" w:cs="Times New Roman"/>
                <w:sz w:val="18"/>
                <w:szCs w:val="18"/>
              </w:rPr>
              <w:t xml:space="preserve"> </w:t>
            </w:r>
            <w:r w:rsidRPr="008127EA">
              <w:rPr>
                <w:rFonts w:ascii="Calibri" w:eastAsia="Calibri" w:hAnsi="Calibri" w:cs="Times New Roman"/>
                <w:sz w:val="18"/>
                <w:szCs w:val="18"/>
              </w:rPr>
              <w:t>PIFS,</w:t>
            </w:r>
            <w:r>
              <w:rPr>
                <w:rFonts w:ascii="Calibri" w:eastAsia="Calibri" w:hAnsi="Calibri" w:cs="Times New Roman"/>
                <w:sz w:val="18"/>
                <w:szCs w:val="18"/>
              </w:rPr>
              <w:t xml:space="preserve"> </w:t>
            </w:r>
            <w:r w:rsidRPr="008127EA">
              <w:rPr>
                <w:rFonts w:ascii="Calibri" w:eastAsia="Calibri" w:hAnsi="Calibri" w:cs="Times New Roman"/>
                <w:sz w:val="18"/>
                <w:szCs w:val="18"/>
              </w:rPr>
              <w:t>SPC, UNESCAP,</w:t>
            </w:r>
            <w:r>
              <w:rPr>
                <w:rFonts w:ascii="Calibri" w:eastAsia="Calibri" w:hAnsi="Calibri" w:cs="Times New Roman"/>
                <w:sz w:val="18"/>
                <w:szCs w:val="18"/>
              </w:rPr>
              <w:t xml:space="preserve"> </w:t>
            </w:r>
            <w:r w:rsidRPr="008127EA">
              <w:rPr>
                <w:rFonts w:ascii="Calibri" w:eastAsia="Calibri" w:hAnsi="Calibri" w:cs="Times New Roman"/>
                <w:sz w:val="18"/>
                <w:szCs w:val="18"/>
              </w:rPr>
              <w:t>UNESCO,</w:t>
            </w:r>
            <w:r>
              <w:rPr>
                <w:rFonts w:ascii="Calibri" w:eastAsia="Calibri" w:hAnsi="Calibri" w:cs="Times New Roman"/>
                <w:sz w:val="18"/>
                <w:szCs w:val="18"/>
              </w:rPr>
              <w:t xml:space="preserve"> </w:t>
            </w:r>
            <w:r w:rsidRPr="008127EA">
              <w:rPr>
                <w:rFonts w:ascii="Calibri" w:eastAsia="Calibri" w:hAnsi="Calibri" w:cs="Times New Roman"/>
                <w:sz w:val="18"/>
                <w:szCs w:val="18"/>
              </w:rPr>
              <w:t>UNICEF,</w:t>
            </w:r>
            <w:r>
              <w:rPr>
                <w:rFonts w:ascii="Calibri" w:eastAsia="Calibri" w:hAnsi="Calibri" w:cs="Times New Roman"/>
                <w:sz w:val="18"/>
                <w:szCs w:val="18"/>
              </w:rPr>
              <w:t xml:space="preserve"> </w:t>
            </w:r>
            <w:r w:rsidRPr="008127EA">
              <w:rPr>
                <w:rFonts w:ascii="Calibri" w:eastAsia="Calibri" w:hAnsi="Calibri" w:cs="Times New Roman"/>
                <w:sz w:val="18"/>
                <w:szCs w:val="18"/>
              </w:rPr>
              <w:t>WHO</w:t>
            </w:r>
          </w:p>
        </w:tc>
      </w:tr>
    </w:tbl>
    <w:p w14:paraId="52A62A03" w14:textId="77777777" w:rsidR="00C97D45" w:rsidRPr="00B6509B" w:rsidRDefault="00C97D45" w:rsidP="008D46E5">
      <w:pPr>
        <w:jc w:val="both"/>
        <w:rPr>
          <w:sz w:val="18"/>
          <w:szCs w:val="18"/>
        </w:rPr>
      </w:pPr>
    </w:p>
    <w:tbl>
      <w:tblPr>
        <w:tblStyle w:val="TableGrid"/>
        <w:tblW w:w="15840" w:type="dxa"/>
        <w:tblInd w:w="-10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840"/>
      </w:tblGrid>
      <w:tr w:rsidR="001E1D12" w:rsidRPr="00B6509B" w14:paraId="65534E4F" w14:textId="77777777" w:rsidTr="001E1D12">
        <w:tc>
          <w:tcPr>
            <w:tcW w:w="15840" w:type="dxa"/>
            <w:shd w:val="clear" w:color="auto" w:fill="DEEAF6" w:themeFill="accent1" w:themeFillTint="33"/>
          </w:tcPr>
          <w:p w14:paraId="45D75E44" w14:textId="77777777" w:rsidR="001E1D12" w:rsidRPr="00B6509B" w:rsidRDefault="001E1D12" w:rsidP="008D46E5">
            <w:pPr>
              <w:jc w:val="both"/>
              <w:rPr>
                <w:b/>
                <w:sz w:val="18"/>
                <w:szCs w:val="18"/>
              </w:rPr>
            </w:pPr>
            <w:r w:rsidRPr="00B6509B">
              <w:rPr>
                <w:b/>
                <w:sz w:val="18"/>
                <w:szCs w:val="18"/>
              </w:rPr>
              <w:t>Outcome 5: Governance and Community Engagement</w:t>
            </w:r>
          </w:p>
          <w:p w14:paraId="72481F88" w14:textId="77777777" w:rsidR="001E1D12" w:rsidRPr="00B6509B" w:rsidRDefault="001E1D12" w:rsidP="008D46E5">
            <w:pPr>
              <w:jc w:val="both"/>
              <w:rPr>
                <w:b/>
                <w:sz w:val="18"/>
                <w:szCs w:val="18"/>
              </w:rPr>
            </w:pPr>
          </w:p>
          <w:p w14:paraId="53EE9386" w14:textId="77777777" w:rsidR="001E1D12" w:rsidRPr="00B6509B" w:rsidRDefault="001E1D12" w:rsidP="008D46E5">
            <w:pPr>
              <w:jc w:val="both"/>
              <w:rPr>
                <w:rFonts w:cs="Times New Roman"/>
                <w:bCs/>
                <w:sz w:val="18"/>
                <w:szCs w:val="18"/>
              </w:rPr>
            </w:pPr>
            <w:r w:rsidRPr="00B6509B">
              <w:rPr>
                <w:b/>
                <w:sz w:val="18"/>
                <w:szCs w:val="18"/>
              </w:rPr>
              <w:t>Outcome Statement:</w:t>
            </w:r>
            <w:r w:rsidRPr="00B6509B">
              <w:rPr>
                <w:sz w:val="18"/>
                <w:szCs w:val="18"/>
              </w:rPr>
              <w:t xml:space="preserve"> </w:t>
            </w:r>
            <w:r w:rsidRPr="00B6509B">
              <w:rPr>
                <w:rFonts w:cs="Times New Roman"/>
                <w:bCs/>
                <w:sz w:val="18"/>
                <w:szCs w:val="18"/>
              </w:rPr>
              <w:t>By 2022, people and communities in the Pacific will contribute to and benefit from inclusive, informed and transparent decision making processes; accountable and responsive institutions; and improved access to justice.</w:t>
            </w:r>
          </w:p>
          <w:p w14:paraId="029E63E9" w14:textId="77777777" w:rsidR="001E1D12" w:rsidRPr="00B6509B" w:rsidRDefault="001E1D12" w:rsidP="008D46E5">
            <w:pPr>
              <w:jc w:val="both"/>
              <w:rPr>
                <w:b/>
                <w:sz w:val="18"/>
                <w:szCs w:val="18"/>
                <w:shd w:val="clear" w:color="auto" w:fill="DEEAF6" w:themeFill="accent1" w:themeFillTint="33"/>
              </w:rPr>
            </w:pPr>
          </w:p>
          <w:p w14:paraId="116B8829" w14:textId="4A654D08" w:rsidR="001E1D12" w:rsidRPr="00B6509B" w:rsidRDefault="001E1D12" w:rsidP="008D46E5">
            <w:pPr>
              <w:jc w:val="both"/>
              <w:rPr>
                <w:b/>
                <w:sz w:val="18"/>
                <w:szCs w:val="18"/>
              </w:rPr>
            </w:pPr>
            <w:r w:rsidRPr="00B6509B">
              <w:rPr>
                <w:b/>
                <w:sz w:val="18"/>
                <w:szCs w:val="18"/>
                <w:shd w:val="clear" w:color="auto" w:fill="DEEAF6" w:themeFill="accent1" w:themeFillTint="33"/>
              </w:rPr>
              <w:t>Collaborating agencies:</w:t>
            </w:r>
            <w:r w:rsidRPr="00B6509B">
              <w:rPr>
                <w:sz w:val="18"/>
                <w:szCs w:val="18"/>
                <w:shd w:val="clear" w:color="auto" w:fill="DEEAF6" w:themeFill="accent1" w:themeFillTint="33"/>
              </w:rPr>
              <w:t xml:space="preserve"> ILO; </w:t>
            </w:r>
            <w:r w:rsidR="00FC781E" w:rsidRPr="00B6509B">
              <w:rPr>
                <w:sz w:val="18"/>
                <w:szCs w:val="18"/>
                <w:shd w:val="clear" w:color="auto" w:fill="DEEAF6" w:themeFill="accent1" w:themeFillTint="33"/>
              </w:rPr>
              <w:t xml:space="preserve">IOM; </w:t>
            </w:r>
            <w:r w:rsidRPr="00B6509B">
              <w:rPr>
                <w:sz w:val="18"/>
                <w:szCs w:val="18"/>
                <w:shd w:val="clear" w:color="auto" w:fill="DEEAF6" w:themeFill="accent1" w:themeFillTint="33"/>
              </w:rPr>
              <w:t>UNDP; UNESCO; UNFPA; UNHABITAT; UNICEF; UNODC; UNOHCHR; UN Women</w:t>
            </w:r>
          </w:p>
        </w:tc>
      </w:tr>
    </w:tbl>
    <w:p w14:paraId="47F00D22" w14:textId="77777777" w:rsidR="001E1D12" w:rsidRPr="00B6509B" w:rsidRDefault="001E1D12" w:rsidP="008D46E5">
      <w:pPr>
        <w:jc w:val="both"/>
        <w:rPr>
          <w:sz w:val="18"/>
          <w:szCs w:val="18"/>
        </w:rPr>
      </w:pPr>
    </w:p>
    <w:tbl>
      <w:tblPr>
        <w:tblStyle w:val="TableGrid4"/>
        <w:tblW w:w="5694" w:type="pct"/>
        <w:tblInd w:w="-10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30"/>
        <w:gridCol w:w="4602"/>
        <w:gridCol w:w="2252"/>
        <w:gridCol w:w="2071"/>
        <w:gridCol w:w="2699"/>
        <w:gridCol w:w="3603"/>
      </w:tblGrid>
      <w:tr w:rsidR="001E1D12" w:rsidRPr="00653E49" w14:paraId="06083E73" w14:textId="77777777" w:rsidTr="001E1D12">
        <w:trPr>
          <w:trHeight w:val="357"/>
          <w:tblHeader/>
        </w:trPr>
        <w:tc>
          <w:tcPr>
            <w:tcW w:w="199" w:type="pct"/>
            <w:shd w:val="clear" w:color="auto" w:fill="D9D9D9"/>
          </w:tcPr>
          <w:p w14:paraId="5F34A26C" w14:textId="77777777" w:rsidR="001E1D12" w:rsidRPr="00B6509B" w:rsidRDefault="001E1D12" w:rsidP="008D46E5">
            <w:pPr>
              <w:jc w:val="both"/>
              <w:rPr>
                <w:rFonts w:ascii="Calibri" w:eastAsia="Calibri" w:hAnsi="Calibri" w:cs="Times New Roman"/>
                <w:sz w:val="18"/>
                <w:szCs w:val="18"/>
              </w:rPr>
            </w:pPr>
          </w:p>
        </w:tc>
        <w:tc>
          <w:tcPr>
            <w:tcW w:w="1451" w:type="pct"/>
            <w:shd w:val="clear" w:color="auto" w:fill="D9D9D9"/>
          </w:tcPr>
          <w:p w14:paraId="0147F79C"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b/>
                <w:sz w:val="18"/>
                <w:szCs w:val="18"/>
              </w:rPr>
              <w:t>Indicator</w:t>
            </w:r>
          </w:p>
        </w:tc>
        <w:tc>
          <w:tcPr>
            <w:tcW w:w="710" w:type="pct"/>
            <w:shd w:val="clear" w:color="auto" w:fill="D9D9D9"/>
          </w:tcPr>
          <w:p w14:paraId="40F2BE24" w14:textId="77777777" w:rsidR="001E1D12"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b/>
                <w:sz w:val="18"/>
                <w:szCs w:val="18"/>
              </w:rPr>
              <w:t>Baseline</w:t>
            </w:r>
          </w:p>
        </w:tc>
        <w:tc>
          <w:tcPr>
            <w:tcW w:w="653" w:type="pct"/>
            <w:shd w:val="clear" w:color="auto" w:fill="D9D9D9"/>
          </w:tcPr>
          <w:p w14:paraId="3B7533D6" w14:textId="77777777" w:rsidR="001E1D12"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b/>
                <w:sz w:val="18"/>
                <w:szCs w:val="18"/>
              </w:rPr>
              <w:t>Target</w:t>
            </w:r>
          </w:p>
        </w:tc>
        <w:tc>
          <w:tcPr>
            <w:tcW w:w="851" w:type="pct"/>
            <w:shd w:val="clear" w:color="auto" w:fill="D9D9D9"/>
          </w:tcPr>
          <w:p w14:paraId="1A5265FF" w14:textId="77777777" w:rsidR="001E1D12"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b/>
                <w:sz w:val="18"/>
                <w:szCs w:val="18"/>
              </w:rPr>
              <w:t>Means of verification</w:t>
            </w:r>
          </w:p>
          <w:p w14:paraId="661FA587" w14:textId="77777777" w:rsidR="001E1D12" w:rsidRPr="00B6509B" w:rsidRDefault="001E1D12" w:rsidP="008D46E5">
            <w:pPr>
              <w:jc w:val="both"/>
              <w:rPr>
                <w:rFonts w:ascii="Calibri" w:eastAsia="Calibri" w:hAnsi="Calibri" w:cs="Times New Roman"/>
                <w:sz w:val="18"/>
                <w:szCs w:val="18"/>
              </w:rPr>
            </w:pPr>
          </w:p>
        </w:tc>
        <w:tc>
          <w:tcPr>
            <w:tcW w:w="1136" w:type="pct"/>
            <w:shd w:val="clear" w:color="auto" w:fill="D9D9D9"/>
          </w:tcPr>
          <w:p w14:paraId="671E073B" w14:textId="77777777" w:rsidR="001E1D12" w:rsidRPr="00B6509B" w:rsidRDefault="001E1D12" w:rsidP="008D46E5">
            <w:pPr>
              <w:jc w:val="both"/>
              <w:rPr>
                <w:rFonts w:ascii="Calibri" w:eastAsia="Calibri" w:hAnsi="Calibri" w:cs="Times New Roman"/>
                <w:sz w:val="18"/>
                <w:szCs w:val="18"/>
                <w:lang w:val="fr-FR"/>
              </w:rPr>
            </w:pPr>
            <w:r w:rsidRPr="00B6509B">
              <w:rPr>
                <w:rFonts w:ascii="Calibri" w:eastAsia="Calibri" w:hAnsi="Calibri" w:cs="Times New Roman"/>
                <w:b/>
                <w:sz w:val="18"/>
                <w:szCs w:val="18"/>
                <w:lang w:val="fr-FR"/>
              </w:rPr>
              <w:t>UN Partners, Govt, CSOs, Donors, etc</w:t>
            </w:r>
          </w:p>
        </w:tc>
      </w:tr>
      <w:tr w:rsidR="001E1D12" w:rsidRPr="00B6509B" w14:paraId="584304F9" w14:textId="77777777" w:rsidTr="0026335B">
        <w:trPr>
          <w:trHeight w:val="1113"/>
        </w:trPr>
        <w:tc>
          <w:tcPr>
            <w:tcW w:w="199" w:type="pct"/>
            <w:shd w:val="clear" w:color="auto" w:fill="auto"/>
          </w:tcPr>
          <w:p w14:paraId="0550775B"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5.1</w:t>
            </w:r>
          </w:p>
        </w:tc>
        <w:tc>
          <w:tcPr>
            <w:tcW w:w="1451" w:type="pct"/>
            <w:shd w:val="clear" w:color="auto" w:fill="auto"/>
          </w:tcPr>
          <w:p w14:paraId="30B4E8A2" w14:textId="0A511927" w:rsidR="00290ECB" w:rsidRPr="00B6509B" w:rsidRDefault="001E1D12" w:rsidP="008D46E5">
            <w:pPr>
              <w:jc w:val="both"/>
              <w:rPr>
                <w:rFonts w:ascii="Calibri" w:eastAsia="Calibri" w:hAnsi="Calibri" w:cs="Times New Roman"/>
                <w:sz w:val="18"/>
                <w:szCs w:val="18"/>
              </w:rPr>
            </w:pPr>
            <w:r w:rsidRPr="008D46E5">
              <w:rPr>
                <w:rFonts w:ascii="Calibri" w:eastAsia="Calibri" w:hAnsi="Calibri" w:cs="Times New Roman"/>
                <w:sz w:val="18"/>
                <w:szCs w:val="18"/>
              </w:rPr>
              <w:t xml:space="preserve">Number of PICTs in which the </w:t>
            </w:r>
            <w:r w:rsidRPr="00B6509B">
              <w:rPr>
                <w:rFonts w:ascii="Calibri" w:eastAsia="Calibri" w:hAnsi="Calibri" w:cs="Times New Roman"/>
                <w:sz w:val="18"/>
                <w:szCs w:val="18"/>
              </w:rPr>
              <w:t>proportion of seats held by</w:t>
            </w:r>
            <w:r w:rsidR="006D274E" w:rsidRPr="00B6509B">
              <w:rPr>
                <w:rFonts w:ascii="Calibri" w:eastAsia="Calibri" w:hAnsi="Calibri" w:cs="Times New Roman"/>
                <w:sz w:val="18"/>
                <w:szCs w:val="18"/>
              </w:rPr>
              <w:t xml:space="preserve"> women in national parliaments </w:t>
            </w:r>
            <w:r w:rsidRPr="008D46E5">
              <w:rPr>
                <w:rFonts w:ascii="Calibri" w:eastAsia="Calibri" w:hAnsi="Calibri" w:cs="Times New Roman"/>
                <w:sz w:val="18"/>
                <w:szCs w:val="18"/>
              </w:rPr>
              <w:t>has increased</w:t>
            </w:r>
            <w:r w:rsidR="007F3E36" w:rsidRPr="008D46E5">
              <w:rPr>
                <w:rFonts w:ascii="Calibri" w:eastAsia="Calibri" w:hAnsi="Calibri" w:cs="Times New Roman"/>
                <w:sz w:val="18"/>
                <w:szCs w:val="18"/>
              </w:rPr>
              <w:t xml:space="preserve"> </w:t>
            </w:r>
            <w:r w:rsidR="007F3E36" w:rsidRPr="00B6509B">
              <w:rPr>
                <w:rFonts w:ascii="Calibri" w:eastAsia="Calibri" w:hAnsi="Calibri" w:cs="Times New Roman"/>
                <w:sz w:val="18"/>
                <w:szCs w:val="18"/>
              </w:rPr>
              <w:t>based on the latest available data</w:t>
            </w:r>
            <w:r w:rsidRPr="00B6509B">
              <w:rPr>
                <w:rFonts w:ascii="Calibri" w:eastAsia="Calibri" w:hAnsi="Calibri" w:cs="Times New Roman"/>
                <w:sz w:val="18"/>
                <w:szCs w:val="18"/>
              </w:rPr>
              <w:t xml:space="preserve"> </w:t>
            </w:r>
            <w:r w:rsidRPr="00B6509B">
              <w:rPr>
                <w:rFonts w:ascii="Calibri" w:eastAsia="Calibri" w:hAnsi="Calibri" w:cs="Times New Roman"/>
                <w:sz w:val="18"/>
                <w:szCs w:val="18"/>
                <w:vertAlign w:val="superscript"/>
              </w:rPr>
              <w:footnoteReference w:id="28"/>
            </w:r>
            <w:r w:rsidRPr="00B6509B">
              <w:rPr>
                <w:rFonts w:ascii="Calibri" w:eastAsia="Calibri" w:hAnsi="Calibri" w:cs="Times New Roman"/>
                <w:sz w:val="18"/>
                <w:szCs w:val="18"/>
              </w:rPr>
              <w:t xml:space="preserve"> (SDG 5.5.1) </w:t>
            </w:r>
          </w:p>
          <w:p w14:paraId="7AFF8CA9" w14:textId="4A980170" w:rsidR="00290ECB" w:rsidRPr="00B6509B" w:rsidRDefault="00290ECB" w:rsidP="008D46E5">
            <w:pPr>
              <w:jc w:val="both"/>
              <w:rPr>
                <w:rFonts w:ascii="Calibri" w:eastAsia="Calibri" w:hAnsi="Calibri" w:cs="Times New Roman"/>
                <w:sz w:val="18"/>
                <w:szCs w:val="18"/>
              </w:rPr>
            </w:pPr>
          </w:p>
        </w:tc>
        <w:tc>
          <w:tcPr>
            <w:tcW w:w="710" w:type="pct"/>
            <w:shd w:val="clear" w:color="auto" w:fill="auto"/>
          </w:tcPr>
          <w:p w14:paraId="12D4324F" w14:textId="77777777" w:rsidR="00290ECB" w:rsidRPr="00B6509B" w:rsidRDefault="00290ECB" w:rsidP="0026335B">
            <w:pPr>
              <w:jc w:val="center"/>
              <w:rPr>
                <w:rFonts w:ascii="Calibri" w:eastAsia="Calibri" w:hAnsi="Calibri" w:cs="Times New Roman"/>
                <w:sz w:val="18"/>
                <w:szCs w:val="18"/>
              </w:rPr>
            </w:pPr>
          </w:p>
          <w:p w14:paraId="719AC51B" w14:textId="77777777" w:rsidR="00290ECB" w:rsidRPr="00B6509B" w:rsidRDefault="00290ECB" w:rsidP="0026335B">
            <w:pPr>
              <w:jc w:val="center"/>
              <w:rPr>
                <w:rFonts w:ascii="Calibri" w:eastAsia="Calibri" w:hAnsi="Calibri" w:cs="Times New Roman"/>
                <w:sz w:val="18"/>
                <w:szCs w:val="18"/>
              </w:rPr>
            </w:pPr>
          </w:p>
          <w:p w14:paraId="5790BE96" w14:textId="657F4A3C" w:rsidR="00290ECB" w:rsidRPr="00B6509B" w:rsidRDefault="00212DCF" w:rsidP="0026335B">
            <w:pPr>
              <w:jc w:val="center"/>
              <w:rPr>
                <w:rFonts w:ascii="Calibri" w:eastAsia="Calibri" w:hAnsi="Calibri" w:cs="Times New Roman"/>
                <w:sz w:val="18"/>
                <w:szCs w:val="18"/>
              </w:rPr>
            </w:pPr>
            <w:r>
              <w:rPr>
                <w:rFonts w:ascii="Calibri" w:eastAsia="Calibri" w:hAnsi="Calibri" w:cs="Times New Roman"/>
                <w:sz w:val="18"/>
                <w:szCs w:val="18"/>
              </w:rPr>
              <w:t>0</w:t>
            </w:r>
          </w:p>
          <w:p w14:paraId="38C42ED9" w14:textId="501D43EE" w:rsidR="00290ECB" w:rsidRPr="00B6509B" w:rsidRDefault="00290ECB" w:rsidP="0026335B">
            <w:pPr>
              <w:jc w:val="center"/>
              <w:rPr>
                <w:rFonts w:ascii="Calibri" w:eastAsia="Calibri" w:hAnsi="Calibri" w:cs="Times New Roman"/>
                <w:sz w:val="18"/>
                <w:szCs w:val="18"/>
              </w:rPr>
            </w:pPr>
          </w:p>
        </w:tc>
        <w:tc>
          <w:tcPr>
            <w:tcW w:w="653" w:type="pct"/>
            <w:shd w:val="clear" w:color="auto" w:fill="auto"/>
          </w:tcPr>
          <w:p w14:paraId="706B9DF7" w14:textId="77777777" w:rsidR="00D36683" w:rsidRPr="00B6509B" w:rsidRDefault="00D36683" w:rsidP="0026335B">
            <w:pPr>
              <w:jc w:val="center"/>
              <w:rPr>
                <w:rFonts w:ascii="Calibri" w:eastAsia="Calibri" w:hAnsi="Calibri" w:cs="Times New Roman"/>
                <w:b/>
                <w:sz w:val="18"/>
                <w:szCs w:val="18"/>
              </w:rPr>
            </w:pPr>
          </w:p>
          <w:p w14:paraId="3284F46E" w14:textId="77777777" w:rsidR="00D36683" w:rsidRPr="00B6509B" w:rsidRDefault="00D36683" w:rsidP="0026335B">
            <w:pPr>
              <w:jc w:val="center"/>
              <w:rPr>
                <w:rFonts w:ascii="Calibri" w:eastAsia="Calibri" w:hAnsi="Calibri" w:cs="Times New Roman"/>
                <w:b/>
                <w:color w:val="FF0000"/>
                <w:sz w:val="18"/>
                <w:szCs w:val="18"/>
              </w:rPr>
            </w:pPr>
          </w:p>
          <w:p w14:paraId="31A1F65B" w14:textId="77777777" w:rsidR="00290ECB" w:rsidRPr="00B6509B" w:rsidRDefault="00290ECB" w:rsidP="0026335B">
            <w:pPr>
              <w:jc w:val="center"/>
              <w:rPr>
                <w:rFonts w:ascii="Calibri" w:eastAsia="Calibri" w:hAnsi="Calibri" w:cs="Times New Roman"/>
                <w:b/>
                <w:color w:val="FF0000"/>
                <w:sz w:val="18"/>
                <w:szCs w:val="18"/>
              </w:rPr>
            </w:pPr>
          </w:p>
          <w:p w14:paraId="6B97F973" w14:textId="14A20513" w:rsidR="00290ECB" w:rsidRPr="00B6509B" w:rsidRDefault="00212DCF" w:rsidP="0026335B">
            <w:pPr>
              <w:jc w:val="center"/>
              <w:rPr>
                <w:rFonts w:ascii="Calibri" w:eastAsia="Calibri" w:hAnsi="Calibri" w:cs="Times New Roman"/>
                <w:color w:val="FF0000"/>
                <w:sz w:val="18"/>
                <w:szCs w:val="18"/>
              </w:rPr>
            </w:pPr>
            <w:r>
              <w:rPr>
                <w:rFonts w:ascii="Calibri" w:eastAsia="Calibri" w:hAnsi="Calibri" w:cs="Times New Roman"/>
                <w:sz w:val="18"/>
                <w:szCs w:val="18"/>
              </w:rPr>
              <w:t>14</w:t>
            </w:r>
          </w:p>
        </w:tc>
        <w:tc>
          <w:tcPr>
            <w:tcW w:w="851" w:type="pct"/>
            <w:shd w:val="clear" w:color="auto" w:fill="auto"/>
          </w:tcPr>
          <w:p w14:paraId="4049A032"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Survey </w:t>
            </w:r>
          </w:p>
          <w:p w14:paraId="63937BE6"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PACWIP website, the IPU Parline database and follow up with stakeholders in country to verify</w:t>
            </w:r>
          </w:p>
        </w:tc>
        <w:tc>
          <w:tcPr>
            <w:tcW w:w="1136" w:type="pct"/>
            <w:shd w:val="clear" w:color="auto" w:fill="auto"/>
          </w:tcPr>
          <w:p w14:paraId="2C050950" w14:textId="084004E2" w:rsidR="001E1D12" w:rsidRPr="00B6509B" w:rsidRDefault="008127EA" w:rsidP="008D46E5">
            <w:pPr>
              <w:jc w:val="both"/>
              <w:rPr>
                <w:rFonts w:ascii="Calibri" w:eastAsia="Calibri" w:hAnsi="Calibri" w:cs="Times New Roman"/>
                <w:sz w:val="18"/>
                <w:szCs w:val="18"/>
              </w:rPr>
            </w:pPr>
            <w:r w:rsidRPr="008127EA">
              <w:rPr>
                <w:rFonts w:ascii="Calibri" w:eastAsia="Calibri" w:hAnsi="Calibri" w:cs="Times New Roman"/>
                <w:sz w:val="18"/>
                <w:szCs w:val="18"/>
              </w:rPr>
              <w:t xml:space="preserve">Ministry of Justice for PICTs, Parliament and Legislature for PICTs </w:t>
            </w:r>
            <w:r>
              <w:rPr>
                <w:rFonts w:ascii="Calibri" w:eastAsia="Calibri" w:hAnsi="Calibri" w:cs="Times New Roman"/>
                <w:sz w:val="18"/>
                <w:szCs w:val="18"/>
              </w:rPr>
              <w:t>UNDP, UNOHCHR, UN Women</w:t>
            </w:r>
          </w:p>
        </w:tc>
      </w:tr>
      <w:tr w:rsidR="001E1D12" w:rsidRPr="00B6509B" w14:paraId="06D10DF7" w14:textId="77777777" w:rsidTr="008D46E5">
        <w:tc>
          <w:tcPr>
            <w:tcW w:w="199" w:type="pct"/>
            <w:shd w:val="clear" w:color="auto" w:fill="auto"/>
          </w:tcPr>
          <w:p w14:paraId="1E22A62A" w14:textId="6D1F43AE"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lastRenderedPageBreak/>
              <w:t>5.2</w:t>
            </w:r>
          </w:p>
        </w:tc>
        <w:tc>
          <w:tcPr>
            <w:tcW w:w="1451" w:type="pct"/>
            <w:shd w:val="clear" w:color="auto" w:fill="auto"/>
          </w:tcPr>
          <w:p w14:paraId="324D6DB4" w14:textId="77777777" w:rsidR="001E1D12" w:rsidRPr="00B6509B" w:rsidRDefault="001E1D12" w:rsidP="008D46E5">
            <w:pPr>
              <w:jc w:val="both"/>
              <w:rPr>
                <w:rFonts w:ascii="Calibri" w:eastAsia="Calibri" w:hAnsi="Calibri" w:cs="Times New Roman"/>
                <w:sz w:val="18"/>
                <w:szCs w:val="18"/>
              </w:rPr>
            </w:pPr>
            <w:r w:rsidRPr="008D46E5">
              <w:rPr>
                <w:rFonts w:ascii="Calibri" w:eastAsia="Calibri" w:hAnsi="Calibri" w:cs="Times New Roman"/>
                <w:sz w:val="18"/>
                <w:szCs w:val="18"/>
              </w:rPr>
              <w:t>Number of PICTs in which the</w:t>
            </w:r>
            <w:r w:rsidRPr="00B6509B">
              <w:rPr>
                <w:rFonts w:ascii="Calibri" w:eastAsia="Calibri" w:hAnsi="Calibri" w:cs="Times New Roman"/>
                <w:sz w:val="18"/>
                <w:szCs w:val="18"/>
              </w:rPr>
              <w:t xml:space="preserve"> unsentenced detainees as a proportion of overall prison </w:t>
            </w:r>
            <w:r w:rsidRPr="008D46E5">
              <w:rPr>
                <w:rFonts w:ascii="Calibri" w:eastAsia="Calibri" w:hAnsi="Calibri" w:cs="Times New Roman"/>
                <w:sz w:val="18"/>
                <w:szCs w:val="18"/>
              </w:rPr>
              <w:t xml:space="preserve">population has decreased </w:t>
            </w:r>
            <w:r w:rsidR="007F3E36" w:rsidRPr="00B6509B">
              <w:rPr>
                <w:rFonts w:ascii="Calibri" w:eastAsia="Calibri" w:hAnsi="Calibri" w:cs="Times New Roman"/>
                <w:sz w:val="18"/>
                <w:szCs w:val="18"/>
              </w:rPr>
              <w:t>based on the latest available data</w:t>
            </w:r>
            <w:r w:rsidR="007F3E36" w:rsidRPr="00B6509B">
              <w:rPr>
                <w:rFonts w:ascii="Calibri" w:eastAsia="Calibri" w:hAnsi="Calibri" w:cs="Times New Roman"/>
                <w:sz w:val="18"/>
                <w:szCs w:val="18"/>
                <w:vertAlign w:val="superscript"/>
              </w:rPr>
              <w:t xml:space="preserve"> </w:t>
            </w:r>
            <w:r w:rsidRPr="00B6509B">
              <w:rPr>
                <w:rFonts w:ascii="Calibri" w:eastAsia="Calibri" w:hAnsi="Calibri" w:cs="Times New Roman"/>
                <w:sz w:val="18"/>
                <w:szCs w:val="18"/>
                <w:vertAlign w:val="superscript"/>
              </w:rPr>
              <w:footnoteReference w:id="29"/>
            </w:r>
            <w:r w:rsidRPr="00B6509B">
              <w:rPr>
                <w:rFonts w:ascii="Calibri" w:eastAsia="Calibri" w:hAnsi="Calibri" w:cs="Times New Roman"/>
                <w:sz w:val="18"/>
                <w:szCs w:val="18"/>
              </w:rPr>
              <w:t xml:space="preserve"> (SDG 16.3.2)</w:t>
            </w:r>
          </w:p>
        </w:tc>
        <w:tc>
          <w:tcPr>
            <w:tcW w:w="710" w:type="pct"/>
            <w:shd w:val="clear" w:color="auto" w:fill="auto"/>
          </w:tcPr>
          <w:p w14:paraId="5F766110" w14:textId="79689021" w:rsidR="001E1D12" w:rsidRPr="005242F9" w:rsidRDefault="005242F9" w:rsidP="008D46E5">
            <w:pPr>
              <w:jc w:val="both"/>
              <w:rPr>
                <w:rFonts w:ascii="Calibri" w:eastAsia="Calibri" w:hAnsi="Calibri" w:cs="Times New Roman"/>
                <w:sz w:val="18"/>
                <w:szCs w:val="18"/>
              </w:rPr>
            </w:pPr>
            <w:r w:rsidRPr="005242F9">
              <w:rPr>
                <w:rFonts w:ascii="Calibri" w:eastAsia="Calibri" w:hAnsi="Calibri" w:cs="Times New Roman"/>
                <w:sz w:val="18"/>
                <w:szCs w:val="18"/>
              </w:rPr>
              <w:t>To be confirmed in May</w:t>
            </w:r>
            <w:r w:rsidR="00C13838">
              <w:rPr>
                <w:rFonts w:ascii="Calibri" w:eastAsia="Calibri" w:hAnsi="Calibri" w:cs="Times New Roman"/>
                <w:sz w:val="18"/>
                <w:szCs w:val="18"/>
              </w:rPr>
              <w:t>, 2017</w:t>
            </w:r>
          </w:p>
        </w:tc>
        <w:tc>
          <w:tcPr>
            <w:tcW w:w="653" w:type="pct"/>
            <w:shd w:val="clear" w:color="auto" w:fill="auto"/>
          </w:tcPr>
          <w:p w14:paraId="5B769860" w14:textId="3B6E2F62" w:rsidR="001E1D12" w:rsidRPr="00B6509B" w:rsidRDefault="005242F9" w:rsidP="008D46E5">
            <w:pPr>
              <w:jc w:val="both"/>
              <w:rPr>
                <w:rFonts w:ascii="Calibri" w:eastAsia="Calibri" w:hAnsi="Calibri" w:cs="Times New Roman"/>
                <w:sz w:val="18"/>
                <w:szCs w:val="18"/>
              </w:rPr>
            </w:pPr>
            <w:r w:rsidRPr="005242F9">
              <w:rPr>
                <w:rFonts w:ascii="Calibri" w:eastAsia="Calibri" w:hAnsi="Calibri" w:cs="Times New Roman"/>
                <w:sz w:val="18"/>
                <w:szCs w:val="18"/>
              </w:rPr>
              <w:t>To be confirmed in May</w:t>
            </w:r>
            <w:r w:rsidR="00C13838">
              <w:rPr>
                <w:rFonts w:ascii="Calibri" w:eastAsia="Calibri" w:hAnsi="Calibri" w:cs="Times New Roman"/>
                <w:sz w:val="18"/>
                <w:szCs w:val="18"/>
              </w:rPr>
              <w:t>, 2017</w:t>
            </w:r>
          </w:p>
        </w:tc>
        <w:tc>
          <w:tcPr>
            <w:tcW w:w="851" w:type="pct"/>
            <w:shd w:val="clear" w:color="auto" w:fill="auto"/>
          </w:tcPr>
          <w:p w14:paraId="6FC0747D" w14:textId="77777777" w:rsidR="001E1D12" w:rsidRPr="00B6509B" w:rsidRDefault="001E1D12" w:rsidP="008D46E5">
            <w:pPr>
              <w:jc w:val="both"/>
              <w:rPr>
                <w:rFonts w:ascii="Calibri" w:eastAsia="Calibri" w:hAnsi="Calibri" w:cs="Times New Roman"/>
                <w:sz w:val="18"/>
                <w:szCs w:val="18"/>
              </w:rPr>
            </w:pPr>
          </w:p>
        </w:tc>
        <w:tc>
          <w:tcPr>
            <w:tcW w:w="1136" w:type="pct"/>
            <w:shd w:val="clear" w:color="auto" w:fill="auto"/>
          </w:tcPr>
          <w:p w14:paraId="4541C28A" w14:textId="7FECA4AB" w:rsidR="001E1D12" w:rsidRPr="00B6509B" w:rsidRDefault="008127EA" w:rsidP="008D46E5">
            <w:pPr>
              <w:jc w:val="both"/>
              <w:rPr>
                <w:rFonts w:ascii="Calibri" w:eastAsia="Calibri" w:hAnsi="Calibri" w:cs="Times New Roman"/>
                <w:sz w:val="18"/>
                <w:szCs w:val="18"/>
              </w:rPr>
            </w:pPr>
            <w:r w:rsidRPr="008127EA">
              <w:rPr>
                <w:rFonts w:ascii="Calibri" w:eastAsia="Calibri" w:hAnsi="Calibri" w:cs="Times New Roman"/>
                <w:sz w:val="18"/>
                <w:szCs w:val="18"/>
              </w:rPr>
              <w:t xml:space="preserve">Ministry of Defence for PICTs, Department of Prison for PICTs </w:t>
            </w:r>
            <w:r>
              <w:rPr>
                <w:rFonts w:ascii="Calibri" w:eastAsia="Calibri" w:hAnsi="Calibri" w:cs="Times New Roman"/>
                <w:sz w:val="18"/>
                <w:szCs w:val="18"/>
              </w:rPr>
              <w:t>UNDP, UNOHCHR</w:t>
            </w:r>
            <w:r w:rsidR="001E1D12" w:rsidRPr="00B6509B">
              <w:rPr>
                <w:rFonts w:ascii="Calibri" w:eastAsia="Calibri" w:hAnsi="Calibri" w:cs="Times New Roman"/>
                <w:sz w:val="18"/>
                <w:szCs w:val="18"/>
              </w:rPr>
              <w:t xml:space="preserve"> </w:t>
            </w:r>
          </w:p>
        </w:tc>
      </w:tr>
      <w:tr w:rsidR="001E1D12" w:rsidRPr="00B6509B" w14:paraId="3760A561" w14:textId="77777777" w:rsidTr="008D46E5">
        <w:tc>
          <w:tcPr>
            <w:tcW w:w="199" w:type="pct"/>
            <w:shd w:val="clear" w:color="auto" w:fill="auto"/>
          </w:tcPr>
          <w:p w14:paraId="1D116A70"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5.3</w:t>
            </w:r>
          </w:p>
        </w:tc>
        <w:tc>
          <w:tcPr>
            <w:tcW w:w="1451" w:type="pct"/>
            <w:shd w:val="clear" w:color="auto" w:fill="auto"/>
            <w:vAlign w:val="center"/>
          </w:tcPr>
          <w:p w14:paraId="7EF366BF" w14:textId="5AB99B75" w:rsidR="004A062C" w:rsidRPr="004A062C" w:rsidRDefault="004A062C" w:rsidP="008D46E5">
            <w:pPr>
              <w:pStyle w:val="CommentText"/>
              <w:rPr>
                <w:sz w:val="18"/>
                <w:szCs w:val="18"/>
              </w:rPr>
            </w:pPr>
            <w:r w:rsidRPr="004A062C">
              <w:rPr>
                <w:rFonts w:ascii="Calibri" w:eastAsia="Calibri" w:hAnsi="Calibri" w:cs="Times New Roman"/>
                <w:sz w:val="18"/>
                <w:szCs w:val="18"/>
                <w:lang w:val="en-GB" w:eastAsia="ko-KR"/>
              </w:rPr>
              <w:t xml:space="preserve">Number of PICTs(a) whose </w:t>
            </w:r>
            <w:r w:rsidRPr="004A062C">
              <w:rPr>
                <w:sz w:val="18"/>
                <w:szCs w:val="18"/>
              </w:rPr>
              <w:t xml:space="preserve">proportion of under 5 years of age whose births have been registered with the civil authority have increased; and number of PICTs that have </w:t>
            </w:r>
            <w:r w:rsidRPr="004A062C">
              <w:rPr>
                <w:rFonts w:ascii="Calibri" w:eastAsia="Calibri" w:hAnsi="Calibri" w:cs="Times New Roman"/>
                <w:sz w:val="18"/>
                <w:szCs w:val="18"/>
                <w:lang w:val="en-GB" w:eastAsia="ko-KR"/>
              </w:rPr>
              <w:t>(b) achieved 80 percent death registration</w:t>
            </w:r>
            <w:r w:rsidRPr="004A062C">
              <w:rPr>
                <w:sz w:val="18"/>
                <w:szCs w:val="18"/>
              </w:rPr>
              <w:t xml:space="preserve"> (SDG 16.9.1)</w:t>
            </w:r>
          </w:p>
          <w:p w14:paraId="1DB9EDE9" w14:textId="4248D3D5" w:rsidR="001E1D12" w:rsidRPr="00B6509B" w:rsidRDefault="00CA01AF" w:rsidP="008D46E5">
            <w:pPr>
              <w:jc w:val="both"/>
              <w:rPr>
                <w:rFonts w:ascii="Calibri" w:eastAsia="Calibri" w:hAnsi="Calibri" w:cs="Times New Roman"/>
                <w:sz w:val="18"/>
                <w:szCs w:val="18"/>
              </w:rPr>
            </w:pPr>
            <w:r>
              <w:rPr>
                <w:rStyle w:val="FootnoteReference"/>
                <w:rFonts w:ascii="Calibri" w:eastAsia="Calibri" w:hAnsi="Calibri" w:cs="Times New Roman"/>
                <w:sz w:val="18"/>
                <w:szCs w:val="18"/>
              </w:rPr>
              <w:footnoteReference w:id="30"/>
            </w:r>
          </w:p>
        </w:tc>
        <w:tc>
          <w:tcPr>
            <w:tcW w:w="710" w:type="pct"/>
            <w:shd w:val="clear" w:color="auto" w:fill="auto"/>
          </w:tcPr>
          <w:p w14:paraId="00E8B507" w14:textId="77777777" w:rsidR="001E1D12" w:rsidRPr="0026335B" w:rsidRDefault="001E1D12" w:rsidP="008D46E5">
            <w:pPr>
              <w:jc w:val="center"/>
              <w:rPr>
                <w:rFonts w:ascii="Calibri" w:eastAsia="Calibri" w:hAnsi="Calibri" w:cs="Times New Roman"/>
                <w:b/>
                <w:sz w:val="18"/>
                <w:szCs w:val="18"/>
                <w:lang w:val="en-GB" w:eastAsia="ko-KR"/>
              </w:rPr>
            </w:pPr>
            <w:r w:rsidRPr="0026335B">
              <w:rPr>
                <w:rFonts w:ascii="Calibri" w:eastAsia="Calibri" w:hAnsi="Calibri" w:cs="Times New Roman"/>
                <w:b/>
                <w:sz w:val="18"/>
                <w:szCs w:val="18"/>
                <w:lang w:val="en-GB" w:eastAsia="ko-KR"/>
              </w:rPr>
              <w:t>(a)</w:t>
            </w:r>
            <w:r w:rsidR="00E100E0" w:rsidRPr="0026335B">
              <w:rPr>
                <w:rFonts w:ascii="Calibri" w:eastAsia="Calibri" w:hAnsi="Calibri" w:cs="Times New Roman"/>
                <w:b/>
                <w:sz w:val="18"/>
                <w:szCs w:val="18"/>
                <w:lang w:val="en-GB" w:eastAsia="ko-KR"/>
              </w:rPr>
              <w:t xml:space="preserve"> </w:t>
            </w:r>
            <w:r w:rsidRPr="0026335B">
              <w:rPr>
                <w:rFonts w:ascii="Calibri" w:eastAsia="Calibri" w:hAnsi="Calibri" w:cs="Times New Roman"/>
                <w:b/>
                <w:sz w:val="18"/>
                <w:szCs w:val="18"/>
                <w:lang w:val="en-GB" w:eastAsia="ko-KR"/>
              </w:rPr>
              <w:t>0</w:t>
            </w:r>
          </w:p>
          <w:p w14:paraId="7A75758D" w14:textId="1D71AC5F" w:rsidR="001E1D12" w:rsidRPr="0026335B" w:rsidRDefault="001E1D12" w:rsidP="008D46E5">
            <w:pPr>
              <w:jc w:val="center"/>
              <w:rPr>
                <w:rFonts w:ascii="Calibri" w:eastAsia="Calibri" w:hAnsi="Calibri" w:cs="Times New Roman"/>
                <w:b/>
                <w:sz w:val="18"/>
                <w:szCs w:val="18"/>
                <w:lang w:val="en-GB" w:eastAsia="ko-KR"/>
              </w:rPr>
            </w:pPr>
            <w:r w:rsidRPr="0026335B">
              <w:rPr>
                <w:rFonts w:ascii="Calibri" w:eastAsia="Calibri" w:hAnsi="Calibri" w:cs="Times New Roman"/>
                <w:b/>
                <w:sz w:val="18"/>
                <w:szCs w:val="18"/>
                <w:lang w:val="en-GB" w:eastAsia="ko-KR"/>
              </w:rPr>
              <w:t xml:space="preserve">(b) </w:t>
            </w:r>
            <w:r w:rsidR="008A0C0A" w:rsidRPr="0026335B">
              <w:rPr>
                <w:rFonts w:ascii="Calibri" w:eastAsia="Calibri" w:hAnsi="Calibri" w:cs="Times New Roman"/>
                <w:b/>
                <w:sz w:val="18"/>
                <w:szCs w:val="18"/>
                <w:lang w:val="en-GB" w:eastAsia="ko-KR"/>
              </w:rPr>
              <w:t>5</w:t>
            </w:r>
          </w:p>
        </w:tc>
        <w:tc>
          <w:tcPr>
            <w:tcW w:w="653" w:type="pct"/>
            <w:shd w:val="clear" w:color="auto" w:fill="auto"/>
          </w:tcPr>
          <w:p w14:paraId="072BA248" w14:textId="3FA70CF9" w:rsidR="001E1D12" w:rsidRPr="0026335B" w:rsidRDefault="001E1D12" w:rsidP="008D46E5">
            <w:pPr>
              <w:jc w:val="center"/>
              <w:rPr>
                <w:rFonts w:ascii="Calibri" w:eastAsia="Calibri" w:hAnsi="Calibri" w:cs="Times New Roman"/>
                <w:b/>
                <w:sz w:val="18"/>
                <w:szCs w:val="18"/>
                <w:lang w:val="en-GB" w:eastAsia="ko-KR"/>
              </w:rPr>
            </w:pPr>
            <w:r w:rsidRPr="0026335B">
              <w:rPr>
                <w:rFonts w:ascii="Calibri" w:eastAsia="Calibri" w:hAnsi="Calibri" w:cs="Times New Roman"/>
                <w:b/>
                <w:sz w:val="18"/>
                <w:szCs w:val="18"/>
                <w:lang w:val="en-GB" w:eastAsia="ko-KR"/>
              </w:rPr>
              <w:t>(a)14</w:t>
            </w:r>
          </w:p>
          <w:p w14:paraId="2FFD4D25" w14:textId="514CFF1C" w:rsidR="001E1D12" w:rsidRPr="0026335B" w:rsidRDefault="001E1D12" w:rsidP="008D46E5">
            <w:pPr>
              <w:jc w:val="center"/>
              <w:rPr>
                <w:rFonts w:ascii="Calibri" w:eastAsia="Calibri" w:hAnsi="Calibri" w:cs="Times New Roman"/>
                <w:b/>
                <w:sz w:val="18"/>
                <w:szCs w:val="18"/>
                <w:lang w:val="en-GB" w:eastAsia="ko-KR"/>
              </w:rPr>
            </w:pPr>
            <w:r w:rsidRPr="0026335B">
              <w:rPr>
                <w:rFonts w:ascii="Calibri" w:eastAsia="Calibri" w:hAnsi="Calibri" w:cs="Times New Roman"/>
                <w:b/>
                <w:sz w:val="18"/>
                <w:szCs w:val="18"/>
                <w:lang w:val="en-GB" w:eastAsia="ko-KR"/>
              </w:rPr>
              <w:t>(b)</w:t>
            </w:r>
            <w:r w:rsidR="008A0C0A" w:rsidRPr="0026335B">
              <w:rPr>
                <w:rFonts w:ascii="Calibri" w:eastAsia="Calibri" w:hAnsi="Calibri" w:cs="Times New Roman"/>
                <w:b/>
                <w:sz w:val="18"/>
                <w:szCs w:val="18"/>
                <w:lang w:val="en-GB" w:eastAsia="ko-KR"/>
              </w:rPr>
              <w:t>7</w:t>
            </w:r>
          </w:p>
        </w:tc>
        <w:tc>
          <w:tcPr>
            <w:tcW w:w="851" w:type="pct"/>
            <w:shd w:val="clear" w:color="auto" w:fill="auto"/>
          </w:tcPr>
          <w:p w14:paraId="238545A2" w14:textId="77777777" w:rsidR="001E1D12" w:rsidRPr="00B6509B" w:rsidRDefault="001E1D12" w:rsidP="008D46E5">
            <w:pPr>
              <w:jc w:val="both"/>
              <w:rPr>
                <w:rFonts w:ascii="Calibri" w:eastAsia="Calibri" w:hAnsi="Calibri" w:cs="Times New Roman"/>
                <w:sz w:val="18"/>
                <w:szCs w:val="18"/>
                <w:lang w:val="en-GB" w:eastAsia="ko-KR"/>
              </w:rPr>
            </w:pPr>
            <w:r w:rsidRPr="00B6509B">
              <w:rPr>
                <w:rFonts w:ascii="Calibri" w:eastAsia="Calibri" w:hAnsi="Calibri" w:cs="Times New Roman"/>
                <w:sz w:val="18"/>
                <w:szCs w:val="18"/>
                <w:lang w:val="en-GB" w:eastAsia="ko-KR"/>
              </w:rPr>
              <w:t>UNSD Coverage of civil registration system</w:t>
            </w:r>
          </w:p>
        </w:tc>
        <w:tc>
          <w:tcPr>
            <w:tcW w:w="1136" w:type="pct"/>
            <w:shd w:val="clear" w:color="auto" w:fill="auto"/>
          </w:tcPr>
          <w:p w14:paraId="4ACD0C60" w14:textId="49FE182D" w:rsidR="001E1D12" w:rsidRPr="00B6509B" w:rsidRDefault="008127EA" w:rsidP="008D46E5">
            <w:pPr>
              <w:jc w:val="both"/>
              <w:rPr>
                <w:rFonts w:ascii="Calibri" w:eastAsia="Calibri" w:hAnsi="Calibri" w:cs="Times New Roman"/>
                <w:sz w:val="18"/>
                <w:szCs w:val="18"/>
              </w:rPr>
            </w:pPr>
            <w:r w:rsidRPr="008127EA">
              <w:rPr>
                <w:rFonts w:ascii="Calibri" w:eastAsia="Calibri" w:hAnsi="Calibri" w:cs="Times New Roman"/>
                <w:sz w:val="18"/>
                <w:szCs w:val="18"/>
              </w:rPr>
              <w:t>Ministry of Health for PICTs</w:t>
            </w:r>
            <w:r>
              <w:rPr>
                <w:rFonts w:ascii="Calibri" w:eastAsia="Calibri" w:hAnsi="Calibri" w:cs="Times New Roman"/>
                <w:sz w:val="18"/>
                <w:szCs w:val="18"/>
              </w:rPr>
              <w:t>,</w:t>
            </w:r>
            <w:r w:rsidRPr="008127EA">
              <w:rPr>
                <w:rFonts w:ascii="Calibri" w:eastAsia="Calibri" w:hAnsi="Calibri" w:cs="Times New Roman"/>
                <w:sz w:val="18"/>
                <w:szCs w:val="18"/>
              </w:rPr>
              <w:t xml:space="preserve"> Ministry of Justice for PICTs, </w:t>
            </w:r>
            <w:r>
              <w:rPr>
                <w:rFonts w:ascii="Calibri" w:eastAsia="Calibri" w:hAnsi="Calibri" w:cs="Times New Roman"/>
                <w:sz w:val="18"/>
                <w:szCs w:val="18"/>
              </w:rPr>
              <w:t>UNFPA,UNICEF, WHO</w:t>
            </w:r>
          </w:p>
        </w:tc>
      </w:tr>
      <w:tr w:rsidR="001E1D12" w:rsidRPr="00B6509B" w14:paraId="5416FB88" w14:textId="77777777" w:rsidTr="008D46E5">
        <w:tc>
          <w:tcPr>
            <w:tcW w:w="199" w:type="pct"/>
            <w:shd w:val="clear" w:color="auto" w:fill="auto"/>
          </w:tcPr>
          <w:p w14:paraId="11B5404D"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5.4</w:t>
            </w:r>
          </w:p>
        </w:tc>
        <w:tc>
          <w:tcPr>
            <w:tcW w:w="1451" w:type="pct"/>
            <w:shd w:val="clear" w:color="auto" w:fill="auto"/>
          </w:tcPr>
          <w:p w14:paraId="71707714" w14:textId="5CC98246"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Number of PICTs that adopt and implement constitutional, statutory and/or policy guarantees for public access to information</w:t>
            </w:r>
            <w:r w:rsidRPr="00B6509B">
              <w:rPr>
                <w:rFonts w:ascii="Calibri" w:eastAsia="Calibri" w:hAnsi="Calibri" w:cs="Times New Roman"/>
                <w:sz w:val="18"/>
                <w:szCs w:val="18"/>
                <w:vertAlign w:val="superscript"/>
              </w:rPr>
              <w:footnoteReference w:id="31"/>
            </w:r>
            <w:r w:rsidRPr="00B6509B">
              <w:rPr>
                <w:rFonts w:ascii="Calibri" w:eastAsia="Calibri" w:hAnsi="Calibri" w:cs="Times New Roman"/>
                <w:sz w:val="18"/>
                <w:szCs w:val="18"/>
              </w:rPr>
              <w:t>(SDG 16.10</w:t>
            </w:r>
            <w:r w:rsidR="00364C85" w:rsidRPr="00B6509B">
              <w:rPr>
                <w:rFonts w:ascii="Calibri" w:eastAsia="Calibri" w:hAnsi="Calibri" w:cs="Times New Roman"/>
                <w:sz w:val="18"/>
                <w:szCs w:val="18"/>
              </w:rPr>
              <w:t>.2</w:t>
            </w:r>
            <w:r w:rsidRPr="00B6509B">
              <w:rPr>
                <w:rFonts w:ascii="Calibri" w:eastAsia="Calibri" w:hAnsi="Calibri" w:cs="Times New Roman"/>
                <w:sz w:val="18"/>
                <w:szCs w:val="18"/>
              </w:rPr>
              <w:t>)</w:t>
            </w:r>
          </w:p>
        </w:tc>
        <w:tc>
          <w:tcPr>
            <w:tcW w:w="710" w:type="pct"/>
            <w:shd w:val="clear" w:color="auto" w:fill="auto"/>
          </w:tcPr>
          <w:p w14:paraId="02952172" w14:textId="77777777" w:rsidR="001E1D12" w:rsidRPr="0026335B" w:rsidRDefault="00D66B90" w:rsidP="008D46E5">
            <w:pPr>
              <w:autoSpaceDE w:val="0"/>
              <w:autoSpaceDN w:val="0"/>
              <w:adjustRightInd w:val="0"/>
              <w:ind w:left="34"/>
              <w:jc w:val="center"/>
              <w:rPr>
                <w:rFonts w:ascii="Calibri" w:eastAsia="Calibri" w:hAnsi="Calibri" w:cs="Calibri"/>
                <w:b/>
                <w:sz w:val="18"/>
                <w:szCs w:val="18"/>
                <w:lang w:val="en-NZ"/>
              </w:rPr>
            </w:pPr>
            <w:r w:rsidRPr="0026335B">
              <w:rPr>
                <w:rFonts w:ascii="Calibri" w:eastAsia="Calibri" w:hAnsi="Calibri" w:cs="Calibri"/>
                <w:b/>
                <w:sz w:val="18"/>
                <w:szCs w:val="18"/>
                <w:lang w:val="en-NZ"/>
              </w:rPr>
              <w:t>11</w:t>
            </w:r>
          </w:p>
        </w:tc>
        <w:tc>
          <w:tcPr>
            <w:tcW w:w="653" w:type="pct"/>
            <w:shd w:val="clear" w:color="auto" w:fill="auto"/>
          </w:tcPr>
          <w:p w14:paraId="2E30CA89" w14:textId="77777777" w:rsidR="001E1D12" w:rsidRPr="0026335B" w:rsidRDefault="00D66B90" w:rsidP="008D46E5">
            <w:pPr>
              <w:autoSpaceDE w:val="0"/>
              <w:autoSpaceDN w:val="0"/>
              <w:adjustRightInd w:val="0"/>
              <w:ind w:left="34"/>
              <w:jc w:val="center"/>
              <w:rPr>
                <w:rFonts w:ascii="Calibri" w:eastAsia="Calibri" w:hAnsi="Calibri" w:cs="Calibri"/>
                <w:b/>
                <w:sz w:val="18"/>
                <w:szCs w:val="18"/>
                <w:lang w:val="en-NZ"/>
              </w:rPr>
            </w:pPr>
            <w:r w:rsidRPr="0026335B">
              <w:rPr>
                <w:rFonts w:ascii="Calibri" w:eastAsia="Calibri" w:hAnsi="Calibri" w:cs="Calibri"/>
                <w:b/>
                <w:sz w:val="18"/>
                <w:szCs w:val="18"/>
                <w:lang w:val="en-NZ"/>
              </w:rPr>
              <w:t>14</w:t>
            </w:r>
          </w:p>
        </w:tc>
        <w:tc>
          <w:tcPr>
            <w:tcW w:w="851" w:type="pct"/>
            <w:shd w:val="clear" w:color="auto" w:fill="auto"/>
          </w:tcPr>
          <w:p w14:paraId="72951DEB" w14:textId="4D9CDC74" w:rsidR="001E1D12" w:rsidRPr="00B6509B" w:rsidRDefault="001E1D12" w:rsidP="008D46E5">
            <w:pPr>
              <w:autoSpaceDE w:val="0"/>
              <w:autoSpaceDN w:val="0"/>
              <w:adjustRightInd w:val="0"/>
              <w:ind w:left="34"/>
              <w:jc w:val="both"/>
              <w:rPr>
                <w:rFonts w:ascii="Calibri" w:eastAsia="Calibri" w:hAnsi="Calibri" w:cs="Times New Roman"/>
                <w:sz w:val="18"/>
                <w:szCs w:val="18"/>
              </w:rPr>
            </w:pPr>
            <w:r w:rsidRPr="00B6509B">
              <w:rPr>
                <w:rFonts w:ascii="Calibri" w:eastAsia="Calibri" w:hAnsi="Calibri" w:cs="Calibri"/>
                <w:sz w:val="18"/>
                <w:szCs w:val="18"/>
                <w:lang w:val="en-NZ"/>
              </w:rPr>
              <w:t>UNESCO World Trends in Freedom of Expression and Media Development Reports</w:t>
            </w:r>
            <w:r w:rsidR="00CA21FF">
              <w:rPr>
                <w:rFonts w:ascii="Calibri" w:eastAsia="Calibri" w:hAnsi="Calibri" w:cs="Calibri"/>
                <w:sz w:val="18"/>
                <w:szCs w:val="18"/>
                <w:lang w:val="en-NZ"/>
              </w:rPr>
              <w:t xml:space="preserve">, </w:t>
            </w:r>
            <w:r w:rsidRPr="00B6509B">
              <w:rPr>
                <w:rFonts w:ascii="Calibri" w:eastAsia="Calibri" w:hAnsi="Calibri" w:cs="Calibri"/>
                <w:sz w:val="18"/>
                <w:szCs w:val="18"/>
                <w:lang w:val="en-NZ"/>
              </w:rPr>
              <w:t>UNESCO Media Assessment Indicators Reports</w:t>
            </w:r>
            <w:r w:rsidR="00CA21FF">
              <w:rPr>
                <w:rFonts w:ascii="Calibri" w:eastAsia="Calibri" w:hAnsi="Calibri" w:cs="Calibri"/>
                <w:sz w:val="18"/>
                <w:szCs w:val="18"/>
                <w:lang w:val="en-NZ"/>
              </w:rPr>
              <w:t xml:space="preserve">, </w:t>
            </w:r>
            <w:r w:rsidRPr="00B6509B">
              <w:rPr>
                <w:rFonts w:ascii="Calibri" w:eastAsia="Calibri" w:hAnsi="Calibri" w:cs="Times New Roman"/>
                <w:sz w:val="18"/>
                <w:szCs w:val="18"/>
              </w:rPr>
              <w:t>World Bank Reports</w:t>
            </w:r>
          </w:p>
        </w:tc>
        <w:tc>
          <w:tcPr>
            <w:tcW w:w="1136" w:type="pct"/>
            <w:shd w:val="clear" w:color="auto" w:fill="auto"/>
          </w:tcPr>
          <w:p w14:paraId="5DA9BF26" w14:textId="027E3636" w:rsidR="001E1D12" w:rsidRPr="00B6509B" w:rsidRDefault="008127EA" w:rsidP="008D46E5">
            <w:pPr>
              <w:jc w:val="both"/>
              <w:rPr>
                <w:rFonts w:ascii="Calibri" w:eastAsia="Calibri" w:hAnsi="Calibri" w:cs="Times New Roman"/>
                <w:sz w:val="18"/>
                <w:szCs w:val="18"/>
              </w:rPr>
            </w:pPr>
            <w:r w:rsidRPr="008127EA">
              <w:rPr>
                <w:rFonts w:ascii="Calibri" w:eastAsia="Calibri" w:hAnsi="Calibri" w:cs="Times New Roman"/>
                <w:sz w:val="18"/>
                <w:szCs w:val="18"/>
              </w:rPr>
              <w:t>Ministry of Justice for PICTs</w:t>
            </w:r>
            <w:r>
              <w:rPr>
                <w:rFonts w:ascii="Calibri" w:eastAsia="Calibri" w:hAnsi="Calibri" w:cs="Times New Roman"/>
                <w:sz w:val="18"/>
                <w:szCs w:val="18"/>
              </w:rPr>
              <w:t xml:space="preserve">, </w:t>
            </w:r>
            <w:r w:rsidR="002810DA" w:rsidRPr="00B6509B">
              <w:rPr>
                <w:rFonts w:ascii="Calibri" w:eastAsia="Calibri" w:hAnsi="Calibri" w:cs="Times New Roman"/>
                <w:sz w:val="18"/>
                <w:szCs w:val="18"/>
              </w:rPr>
              <w:t xml:space="preserve">NSOs , UNDP, UNESCO, UNFPA, </w:t>
            </w:r>
            <w:r>
              <w:rPr>
                <w:rFonts w:ascii="Calibri" w:eastAsia="Calibri" w:hAnsi="Calibri" w:cs="Times New Roman"/>
                <w:sz w:val="18"/>
                <w:szCs w:val="18"/>
              </w:rPr>
              <w:t>UNODC,UNOHCHR</w:t>
            </w:r>
            <w:r w:rsidR="001E1D12" w:rsidRPr="00B6509B">
              <w:rPr>
                <w:rFonts w:ascii="Calibri" w:eastAsia="Calibri" w:hAnsi="Calibri" w:cs="Times New Roman"/>
                <w:sz w:val="18"/>
                <w:szCs w:val="18"/>
              </w:rPr>
              <w:t xml:space="preserve">  </w:t>
            </w:r>
          </w:p>
        </w:tc>
      </w:tr>
      <w:tr w:rsidR="001E1D12" w:rsidRPr="00B6509B" w14:paraId="7DB65597" w14:textId="77777777" w:rsidTr="008D46E5">
        <w:trPr>
          <w:trHeight w:val="1266"/>
        </w:trPr>
        <w:tc>
          <w:tcPr>
            <w:tcW w:w="199" w:type="pct"/>
            <w:shd w:val="clear" w:color="auto" w:fill="auto"/>
          </w:tcPr>
          <w:p w14:paraId="10BC6B5F"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5.5</w:t>
            </w:r>
          </w:p>
        </w:tc>
        <w:tc>
          <w:tcPr>
            <w:tcW w:w="1451" w:type="pct"/>
            <w:shd w:val="clear" w:color="auto" w:fill="auto"/>
            <w:vAlign w:val="center"/>
          </w:tcPr>
          <w:p w14:paraId="276FE29F" w14:textId="695880CD"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lang w:val="en-GB" w:eastAsia="ko-KR"/>
              </w:rPr>
              <w:t xml:space="preserve">Number of </w:t>
            </w:r>
            <w:r w:rsidRPr="00B6509B">
              <w:rPr>
                <w:rFonts w:ascii="Calibri" w:eastAsia="Calibri" w:hAnsi="Calibri" w:cs="Times New Roman"/>
                <w:sz w:val="18"/>
                <w:szCs w:val="18"/>
              </w:rPr>
              <w:t>PICTs</w:t>
            </w:r>
            <w:r w:rsidRPr="00B6509B">
              <w:rPr>
                <w:rFonts w:ascii="Calibri" w:eastAsia="Calibri" w:hAnsi="Calibri" w:cs="Times New Roman"/>
                <w:sz w:val="18"/>
                <w:szCs w:val="18"/>
                <w:lang w:val="en-GB" w:eastAsia="ko-KR"/>
              </w:rPr>
              <w:t xml:space="preserve"> that </w:t>
            </w:r>
            <w:r w:rsidR="007F3E36" w:rsidRPr="00B6509B">
              <w:rPr>
                <w:rFonts w:ascii="Calibri" w:eastAsia="Calibri" w:hAnsi="Calibri" w:cs="Times New Roman"/>
                <w:sz w:val="18"/>
                <w:szCs w:val="18"/>
                <w:lang w:val="en-GB" w:eastAsia="ko-KR"/>
              </w:rPr>
              <w:t>have</w:t>
            </w:r>
            <w:r w:rsidRPr="00B6509B">
              <w:rPr>
                <w:rFonts w:ascii="Calibri" w:eastAsia="Calibri" w:hAnsi="Calibri" w:cs="Times New Roman"/>
                <w:sz w:val="18"/>
                <w:szCs w:val="18"/>
                <w:lang w:val="en-GB" w:eastAsia="ko-KR"/>
              </w:rPr>
              <w:t xml:space="preserve"> conducted at least one population and housing census in the last 10 years</w:t>
            </w:r>
            <w:r w:rsidRPr="00B6509B">
              <w:rPr>
                <w:rFonts w:ascii="Calibri" w:eastAsia="Calibri" w:hAnsi="Calibri" w:cs="Times New Roman"/>
                <w:sz w:val="18"/>
                <w:szCs w:val="18"/>
                <w:vertAlign w:val="superscript"/>
              </w:rPr>
              <w:footnoteReference w:id="32"/>
            </w:r>
            <w:r w:rsidR="00B6509B">
              <w:rPr>
                <w:rFonts w:ascii="Calibri" w:eastAsia="Calibri" w:hAnsi="Calibri" w:cs="Times New Roman"/>
                <w:sz w:val="18"/>
                <w:szCs w:val="18"/>
              </w:rPr>
              <w:t xml:space="preserve"> (SDG 17.9.2) </w:t>
            </w:r>
          </w:p>
        </w:tc>
        <w:tc>
          <w:tcPr>
            <w:tcW w:w="710" w:type="pct"/>
            <w:shd w:val="clear" w:color="auto" w:fill="auto"/>
          </w:tcPr>
          <w:p w14:paraId="0A55AFB4" w14:textId="250788FA" w:rsidR="001E1D12" w:rsidRPr="0026335B" w:rsidRDefault="001E1D12" w:rsidP="008D46E5">
            <w:pPr>
              <w:jc w:val="center"/>
              <w:rPr>
                <w:rFonts w:ascii="Calibri" w:eastAsia="Calibri" w:hAnsi="Calibri" w:cs="Times New Roman"/>
                <w:b/>
                <w:sz w:val="18"/>
                <w:szCs w:val="18"/>
                <w:lang w:val="en-GB" w:eastAsia="ko-KR"/>
              </w:rPr>
            </w:pPr>
            <w:r w:rsidRPr="0026335B">
              <w:rPr>
                <w:rFonts w:ascii="Calibri" w:eastAsia="Calibri" w:hAnsi="Calibri" w:cs="Times New Roman"/>
                <w:b/>
                <w:sz w:val="18"/>
                <w:szCs w:val="18"/>
                <w:lang w:val="en-GB" w:eastAsia="ko-KR"/>
              </w:rPr>
              <w:t>14</w:t>
            </w:r>
          </w:p>
          <w:p w14:paraId="144239E0" w14:textId="77777777" w:rsidR="001E1D12" w:rsidRPr="0026335B" w:rsidRDefault="001E1D12" w:rsidP="008D46E5">
            <w:pPr>
              <w:jc w:val="center"/>
              <w:rPr>
                <w:rFonts w:ascii="Calibri" w:eastAsia="Calibri" w:hAnsi="Calibri" w:cs="Times New Roman"/>
                <w:b/>
                <w:sz w:val="18"/>
                <w:szCs w:val="18"/>
                <w:lang w:val="en-GB" w:eastAsia="ko-KR"/>
              </w:rPr>
            </w:pPr>
          </w:p>
          <w:p w14:paraId="4BB303AA" w14:textId="77777777" w:rsidR="001E1D12" w:rsidRPr="0026335B" w:rsidRDefault="001E1D12" w:rsidP="008D46E5">
            <w:pPr>
              <w:jc w:val="center"/>
              <w:rPr>
                <w:rFonts w:ascii="Calibri" w:eastAsia="Calibri" w:hAnsi="Calibri" w:cs="Times New Roman"/>
                <w:b/>
                <w:sz w:val="18"/>
                <w:szCs w:val="18"/>
                <w:lang w:val="en-GB" w:eastAsia="ko-KR"/>
              </w:rPr>
            </w:pPr>
          </w:p>
          <w:p w14:paraId="2DA080ED" w14:textId="77777777" w:rsidR="001E1D12" w:rsidRPr="0026335B" w:rsidRDefault="001E1D12" w:rsidP="008D46E5">
            <w:pPr>
              <w:jc w:val="center"/>
              <w:rPr>
                <w:rFonts w:ascii="Calibri" w:eastAsia="Calibri" w:hAnsi="Calibri" w:cs="Times New Roman"/>
                <w:b/>
                <w:sz w:val="18"/>
                <w:szCs w:val="18"/>
                <w:lang w:val="en-GB" w:eastAsia="ko-KR"/>
              </w:rPr>
            </w:pPr>
          </w:p>
        </w:tc>
        <w:tc>
          <w:tcPr>
            <w:tcW w:w="653" w:type="pct"/>
            <w:shd w:val="clear" w:color="auto" w:fill="auto"/>
          </w:tcPr>
          <w:p w14:paraId="017EDAB8" w14:textId="2D1E949F" w:rsidR="001E1D12" w:rsidRPr="0026335B" w:rsidRDefault="00707C97" w:rsidP="008D46E5">
            <w:pPr>
              <w:jc w:val="center"/>
              <w:rPr>
                <w:rFonts w:ascii="Calibri" w:eastAsia="Calibri" w:hAnsi="Calibri" w:cs="Times New Roman"/>
                <w:b/>
                <w:sz w:val="18"/>
                <w:szCs w:val="18"/>
                <w:lang w:val="en-GB" w:eastAsia="ko-KR"/>
              </w:rPr>
            </w:pPr>
            <w:r w:rsidRPr="0026335B">
              <w:rPr>
                <w:rFonts w:ascii="Calibri" w:eastAsia="Calibri" w:hAnsi="Calibri" w:cs="Times New Roman"/>
                <w:b/>
                <w:sz w:val="18"/>
                <w:szCs w:val="18"/>
                <w:lang w:val="en-GB" w:eastAsia="ko-KR"/>
              </w:rPr>
              <w:t>14</w:t>
            </w:r>
          </w:p>
          <w:p w14:paraId="7A99776B" w14:textId="77777777" w:rsidR="001E1D12" w:rsidRPr="0026335B" w:rsidRDefault="001E1D12" w:rsidP="008D46E5">
            <w:pPr>
              <w:jc w:val="center"/>
              <w:rPr>
                <w:rFonts w:ascii="Calibri" w:eastAsia="Calibri" w:hAnsi="Calibri" w:cs="Times New Roman"/>
                <w:b/>
                <w:sz w:val="18"/>
                <w:szCs w:val="18"/>
                <w:lang w:val="en-GB" w:eastAsia="ko-KR"/>
              </w:rPr>
            </w:pPr>
          </w:p>
        </w:tc>
        <w:tc>
          <w:tcPr>
            <w:tcW w:w="851" w:type="pct"/>
            <w:shd w:val="clear" w:color="auto" w:fill="auto"/>
          </w:tcPr>
          <w:p w14:paraId="6C873503"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PICTS Population and Housing Census Reports, PRISM Collections website - </w:t>
            </w:r>
            <w:hyperlink r:id="rId12" w:history="1">
              <w:r w:rsidRPr="00B6509B">
                <w:rPr>
                  <w:rFonts w:ascii="Calibri" w:eastAsia="Calibri" w:hAnsi="Calibri" w:cs="Times New Roman"/>
                  <w:sz w:val="18"/>
                  <w:szCs w:val="18"/>
                  <w:u w:val="single"/>
                </w:rPr>
                <w:t>http://prism.spc.int/reports/census</w:t>
              </w:r>
            </w:hyperlink>
          </w:p>
          <w:p w14:paraId="1A09A41C"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 xml:space="preserve">      </w:t>
            </w:r>
          </w:p>
        </w:tc>
        <w:tc>
          <w:tcPr>
            <w:tcW w:w="1136" w:type="pct"/>
            <w:shd w:val="clear" w:color="auto" w:fill="auto"/>
          </w:tcPr>
          <w:p w14:paraId="7B9E29CB" w14:textId="613C73B7" w:rsidR="001E1D12" w:rsidRPr="00B6509B" w:rsidRDefault="008127EA" w:rsidP="008D46E5">
            <w:pPr>
              <w:jc w:val="both"/>
              <w:rPr>
                <w:rFonts w:ascii="Calibri" w:eastAsia="Calibri" w:hAnsi="Calibri" w:cs="Times New Roman"/>
                <w:sz w:val="18"/>
                <w:szCs w:val="18"/>
              </w:rPr>
            </w:pPr>
            <w:r w:rsidRPr="008127EA">
              <w:rPr>
                <w:rFonts w:ascii="Calibri" w:eastAsia="Calibri" w:hAnsi="Calibri" w:cs="Times New Roman"/>
                <w:sz w:val="18"/>
                <w:szCs w:val="18"/>
              </w:rPr>
              <w:t xml:space="preserve">Bureau of Statistics for PICTs, </w:t>
            </w:r>
            <w:r w:rsidR="001E1D12" w:rsidRPr="00B6509B">
              <w:rPr>
                <w:rFonts w:ascii="Calibri" w:eastAsia="Calibri" w:hAnsi="Calibri" w:cs="Times New Roman"/>
                <w:sz w:val="18"/>
                <w:szCs w:val="18"/>
              </w:rPr>
              <w:t xml:space="preserve">CRVS office, </w:t>
            </w:r>
            <w:r w:rsidR="007E7423">
              <w:rPr>
                <w:rFonts w:ascii="Calibri" w:eastAsia="Calibri" w:hAnsi="Calibri" w:cs="Times New Roman"/>
                <w:sz w:val="18"/>
                <w:szCs w:val="18"/>
              </w:rPr>
              <w:t xml:space="preserve">ILO, </w:t>
            </w:r>
            <w:r w:rsidRPr="008127EA">
              <w:rPr>
                <w:rFonts w:ascii="Calibri" w:eastAsia="Calibri" w:hAnsi="Calibri" w:cs="Times New Roman"/>
                <w:sz w:val="18"/>
                <w:szCs w:val="18"/>
              </w:rPr>
              <w:t xml:space="preserve">Justice, Ministry of Finance and Planning and Finance for PICTs, SPC </w:t>
            </w:r>
            <w:r w:rsidR="001E1D12" w:rsidRPr="00B6509B">
              <w:rPr>
                <w:rFonts w:ascii="Calibri" w:eastAsia="Calibri" w:hAnsi="Calibri" w:cs="Times New Roman"/>
                <w:sz w:val="18"/>
                <w:szCs w:val="18"/>
              </w:rPr>
              <w:t>General, Line ministries, National Statistical Offices</w:t>
            </w:r>
            <w:r>
              <w:rPr>
                <w:rFonts w:ascii="Calibri" w:eastAsia="Calibri" w:hAnsi="Calibri" w:cs="Times New Roman"/>
                <w:sz w:val="18"/>
                <w:szCs w:val="18"/>
              </w:rPr>
              <w:t xml:space="preserve">, </w:t>
            </w:r>
            <w:r w:rsidR="001E1D12" w:rsidRPr="00B6509B">
              <w:rPr>
                <w:rFonts w:ascii="Calibri" w:eastAsia="Calibri" w:hAnsi="Calibri" w:cs="Times New Roman"/>
                <w:sz w:val="18"/>
                <w:szCs w:val="18"/>
              </w:rPr>
              <w:t>Office of Attorney Poli</w:t>
            </w:r>
            <w:r>
              <w:rPr>
                <w:rFonts w:ascii="Calibri" w:eastAsia="Calibri" w:hAnsi="Calibri" w:cs="Times New Roman"/>
                <w:sz w:val="18"/>
                <w:szCs w:val="18"/>
              </w:rPr>
              <w:t>ce, UNESCAP, UNFPA, UNICEF, WHO</w:t>
            </w:r>
            <w:r w:rsidR="001E1D12" w:rsidRPr="00B6509B">
              <w:rPr>
                <w:rFonts w:ascii="Calibri" w:eastAsia="Calibri" w:hAnsi="Calibri" w:cs="Times New Roman"/>
                <w:sz w:val="18"/>
                <w:szCs w:val="18"/>
              </w:rPr>
              <w:t xml:space="preserve"> </w:t>
            </w:r>
          </w:p>
        </w:tc>
      </w:tr>
      <w:tr w:rsidR="001E1D12" w:rsidRPr="00B6509B" w14:paraId="42A6B2B5" w14:textId="77777777" w:rsidTr="008D46E5">
        <w:trPr>
          <w:trHeight w:val="611"/>
        </w:trPr>
        <w:tc>
          <w:tcPr>
            <w:tcW w:w="199" w:type="pct"/>
            <w:shd w:val="clear" w:color="auto" w:fill="auto"/>
          </w:tcPr>
          <w:p w14:paraId="56FE8401"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5.6</w:t>
            </w:r>
          </w:p>
        </w:tc>
        <w:tc>
          <w:tcPr>
            <w:tcW w:w="1451" w:type="pct"/>
            <w:shd w:val="clear" w:color="auto" w:fill="auto"/>
          </w:tcPr>
          <w:p w14:paraId="7D1B07D5" w14:textId="24F4D48C" w:rsidR="001E1D12" w:rsidRPr="00B6509B" w:rsidRDefault="001E1D12" w:rsidP="008D46E5">
            <w:pPr>
              <w:jc w:val="both"/>
              <w:rPr>
                <w:rFonts w:ascii="Calibri" w:eastAsia="Calibri" w:hAnsi="Calibri" w:cs="Times New Roman"/>
                <w:sz w:val="18"/>
                <w:szCs w:val="18"/>
                <w:u w:val="single"/>
              </w:rPr>
            </w:pPr>
            <w:r w:rsidRPr="00B6509B">
              <w:rPr>
                <w:rFonts w:ascii="Calibri" w:eastAsia="Calibri" w:hAnsi="Calibri" w:cs="Times New Roman"/>
                <w:sz w:val="18"/>
                <w:szCs w:val="18"/>
                <w:lang w:val="en-GB"/>
              </w:rPr>
              <w:t xml:space="preserve">Number of </w:t>
            </w:r>
            <w:r w:rsidRPr="00B6509B">
              <w:rPr>
                <w:rFonts w:ascii="Calibri" w:eastAsia="Calibri" w:hAnsi="Calibri" w:cs="Times New Roman"/>
                <w:sz w:val="18"/>
                <w:szCs w:val="18"/>
              </w:rPr>
              <w:t>PICTs</w:t>
            </w:r>
            <w:r w:rsidRPr="00B6509B">
              <w:rPr>
                <w:rFonts w:ascii="Calibri" w:eastAsia="Calibri" w:hAnsi="Calibri" w:cs="Times New Roman"/>
                <w:sz w:val="18"/>
                <w:szCs w:val="18"/>
                <w:lang w:val="en-GB"/>
              </w:rPr>
              <w:t xml:space="preserve"> with established and </w:t>
            </w:r>
            <w:r w:rsidR="00735665" w:rsidRPr="00B6509B">
              <w:rPr>
                <w:rFonts w:ascii="Calibri" w:eastAsia="Calibri" w:hAnsi="Calibri" w:cs="Times New Roman"/>
                <w:sz w:val="18"/>
                <w:szCs w:val="18"/>
                <w:lang w:val="en-GB"/>
              </w:rPr>
              <w:t>implemented</w:t>
            </w:r>
            <w:r w:rsidRPr="00B6509B">
              <w:rPr>
                <w:rFonts w:ascii="Calibri" w:eastAsia="Calibri" w:hAnsi="Calibri" w:cs="Times New Roman"/>
                <w:sz w:val="18"/>
                <w:szCs w:val="18"/>
                <w:lang w:val="en-GB"/>
              </w:rPr>
              <w:t xml:space="preserve"> of anti – corruption policies</w:t>
            </w:r>
            <w:r w:rsidRPr="00B6509B">
              <w:rPr>
                <w:rFonts w:ascii="Calibri" w:eastAsia="Calibri" w:hAnsi="Calibri" w:cs="Times New Roman"/>
                <w:sz w:val="18"/>
                <w:szCs w:val="18"/>
                <w:vertAlign w:val="superscript"/>
              </w:rPr>
              <w:t xml:space="preserve"> </w:t>
            </w:r>
            <w:r w:rsidRPr="00B6509B">
              <w:rPr>
                <w:rFonts w:ascii="Calibri" w:eastAsia="Calibri" w:hAnsi="Calibri" w:cs="Times New Roman"/>
                <w:sz w:val="18"/>
                <w:szCs w:val="18"/>
                <w:vertAlign w:val="superscript"/>
              </w:rPr>
              <w:footnoteReference w:id="33"/>
            </w:r>
          </w:p>
        </w:tc>
        <w:tc>
          <w:tcPr>
            <w:tcW w:w="710" w:type="pct"/>
            <w:shd w:val="clear" w:color="auto" w:fill="auto"/>
          </w:tcPr>
          <w:p w14:paraId="11085EAF" w14:textId="51715836" w:rsidR="001E1D12" w:rsidRPr="0026335B" w:rsidRDefault="00735665" w:rsidP="008D46E5">
            <w:pPr>
              <w:jc w:val="center"/>
              <w:rPr>
                <w:rFonts w:ascii="Calibri" w:eastAsia="Calibri" w:hAnsi="Calibri" w:cs="Times New Roman"/>
                <w:b/>
                <w:sz w:val="18"/>
                <w:szCs w:val="18"/>
                <w:lang w:val="en-GB"/>
              </w:rPr>
            </w:pPr>
            <w:r w:rsidRPr="0026335B">
              <w:rPr>
                <w:rFonts w:ascii="Calibri" w:eastAsia="Calibri" w:hAnsi="Calibri" w:cs="Times New Roman"/>
                <w:b/>
                <w:sz w:val="18"/>
                <w:szCs w:val="18"/>
                <w:lang w:val="en-GB"/>
              </w:rPr>
              <w:t>1</w:t>
            </w:r>
          </w:p>
        </w:tc>
        <w:tc>
          <w:tcPr>
            <w:tcW w:w="653" w:type="pct"/>
            <w:shd w:val="clear" w:color="auto" w:fill="auto"/>
          </w:tcPr>
          <w:p w14:paraId="09250D0F" w14:textId="09385B47" w:rsidR="001E1D12" w:rsidRPr="0026335B" w:rsidRDefault="001E1D12" w:rsidP="008D46E5">
            <w:pPr>
              <w:jc w:val="center"/>
              <w:rPr>
                <w:rFonts w:ascii="Calibri" w:eastAsia="Calibri" w:hAnsi="Calibri" w:cs="Times New Roman"/>
                <w:b/>
                <w:sz w:val="18"/>
                <w:szCs w:val="18"/>
                <w:lang w:val="en-GB"/>
              </w:rPr>
            </w:pPr>
            <w:r w:rsidRPr="0026335B">
              <w:rPr>
                <w:rFonts w:ascii="Calibri" w:eastAsia="Calibri" w:hAnsi="Calibri" w:cs="Times New Roman"/>
                <w:b/>
                <w:sz w:val="18"/>
                <w:szCs w:val="18"/>
                <w:lang w:val="en-GB"/>
              </w:rPr>
              <w:t>7</w:t>
            </w:r>
          </w:p>
        </w:tc>
        <w:tc>
          <w:tcPr>
            <w:tcW w:w="851" w:type="pct"/>
            <w:shd w:val="clear" w:color="auto" w:fill="auto"/>
          </w:tcPr>
          <w:p w14:paraId="6D72B5BD"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lang w:val="en-GB"/>
              </w:rPr>
              <w:t>Strategy document- public information. Obtained through UNCAC reviews and UN-PRAC field presence</w:t>
            </w:r>
          </w:p>
        </w:tc>
        <w:tc>
          <w:tcPr>
            <w:tcW w:w="1136" w:type="pct"/>
            <w:shd w:val="clear" w:color="auto" w:fill="auto"/>
          </w:tcPr>
          <w:p w14:paraId="64B303D3" w14:textId="55246D0E" w:rsidR="001E1D12" w:rsidRPr="00B6509B" w:rsidRDefault="008127EA" w:rsidP="008D46E5">
            <w:pPr>
              <w:jc w:val="both"/>
              <w:rPr>
                <w:rFonts w:ascii="Calibri" w:eastAsia="Calibri" w:hAnsi="Calibri" w:cs="Times New Roman"/>
                <w:sz w:val="18"/>
                <w:szCs w:val="18"/>
              </w:rPr>
            </w:pPr>
            <w:r w:rsidRPr="008127EA">
              <w:rPr>
                <w:rFonts w:ascii="Calibri" w:eastAsia="Calibri" w:hAnsi="Calibri" w:cs="Times New Roman"/>
                <w:sz w:val="18"/>
                <w:szCs w:val="18"/>
              </w:rPr>
              <w:t>Ministry of Justice for PICTs</w:t>
            </w:r>
            <w:r>
              <w:rPr>
                <w:rFonts w:ascii="Calibri" w:eastAsia="Calibri" w:hAnsi="Calibri" w:cs="Times New Roman"/>
                <w:sz w:val="18"/>
                <w:szCs w:val="18"/>
              </w:rPr>
              <w:t>, UNDP, UNESCO, UNODC</w:t>
            </w:r>
            <w:r w:rsidR="001E1D12" w:rsidRPr="00B6509B">
              <w:rPr>
                <w:rFonts w:ascii="Calibri" w:eastAsia="Calibri" w:hAnsi="Calibri" w:cs="Times New Roman"/>
                <w:sz w:val="18"/>
                <w:szCs w:val="18"/>
              </w:rPr>
              <w:t xml:space="preserve"> </w:t>
            </w:r>
          </w:p>
        </w:tc>
      </w:tr>
    </w:tbl>
    <w:p w14:paraId="387E2169" w14:textId="77777777" w:rsidR="0090528A" w:rsidRPr="00B6509B" w:rsidRDefault="0090528A" w:rsidP="008D46E5">
      <w:pPr>
        <w:jc w:val="both"/>
        <w:rPr>
          <w:sz w:val="18"/>
          <w:szCs w:val="18"/>
        </w:rPr>
      </w:pPr>
    </w:p>
    <w:tbl>
      <w:tblPr>
        <w:tblStyle w:val="TableGrid"/>
        <w:tblW w:w="15840" w:type="dxa"/>
        <w:tblInd w:w="-10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840"/>
      </w:tblGrid>
      <w:tr w:rsidR="001E1D12" w:rsidRPr="00B6509B" w14:paraId="61EFB87D" w14:textId="77777777" w:rsidTr="001E1D12">
        <w:tc>
          <w:tcPr>
            <w:tcW w:w="15840" w:type="dxa"/>
            <w:shd w:val="clear" w:color="auto" w:fill="DEEAF6" w:themeFill="accent1" w:themeFillTint="33"/>
          </w:tcPr>
          <w:p w14:paraId="1CD3A56B" w14:textId="77777777" w:rsidR="001E1D12" w:rsidRPr="00B6509B" w:rsidRDefault="001E1D12" w:rsidP="008D46E5">
            <w:pPr>
              <w:jc w:val="both"/>
              <w:rPr>
                <w:b/>
                <w:sz w:val="18"/>
                <w:szCs w:val="18"/>
              </w:rPr>
            </w:pPr>
            <w:r w:rsidRPr="00B6509B">
              <w:rPr>
                <w:b/>
                <w:sz w:val="18"/>
                <w:szCs w:val="18"/>
              </w:rPr>
              <w:t>Outcome 6: Human Rights</w:t>
            </w:r>
          </w:p>
          <w:p w14:paraId="7E7DB85C" w14:textId="77777777" w:rsidR="001E1D12" w:rsidRPr="00B6509B" w:rsidRDefault="001E1D12" w:rsidP="008D46E5">
            <w:pPr>
              <w:jc w:val="both"/>
              <w:rPr>
                <w:b/>
                <w:sz w:val="18"/>
                <w:szCs w:val="18"/>
              </w:rPr>
            </w:pPr>
          </w:p>
          <w:p w14:paraId="38168DFE" w14:textId="77777777" w:rsidR="001E1D12" w:rsidRPr="00B6509B" w:rsidRDefault="001E1D12" w:rsidP="008D46E5">
            <w:pPr>
              <w:jc w:val="both"/>
              <w:rPr>
                <w:sz w:val="18"/>
                <w:szCs w:val="18"/>
              </w:rPr>
            </w:pPr>
            <w:r w:rsidRPr="00B6509B">
              <w:rPr>
                <w:b/>
                <w:sz w:val="18"/>
                <w:szCs w:val="18"/>
              </w:rPr>
              <w:t>Outcome Statement:</w:t>
            </w:r>
            <w:r w:rsidRPr="00B6509B">
              <w:rPr>
                <w:sz w:val="18"/>
                <w:szCs w:val="18"/>
              </w:rPr>
              <w:t xml:space="preserve"> By 2022, people in the Pacific have </w:t>
            </w:r>
            <w:r w:rsidRPr="00B6509B">
              <w:rPr>
                <w:b/>
                <w:sz w:val="18"/>
                <w:szCs w:val="18"/>
              </w:rPr>
              <w:t>strengthened</w:t>
            </w:r>
            <w:r w:rsidRPr="00B6509B">
              <w:rPr>
                <w:b/>
                <w:sz w:val="18"/>
                <w:szCs w:val="18"/>
                <w:shd w:val="clear" w:color="auto" w:fill="DEEAF6" w:themeFill="accent1" w:themeFillTint="33"/>
              </w:rPr>
              <w:t xml:space="preserve"> legal framework and institutions</w:t>
            </w:r>
            <w:r w:rsidRPr="00B6509B">
              <w:rPr>
                <w:sz w:val="18"/>
                <w:szCs w:val="18"/>
                <w:shd w:val="clear" w:color="auto" w:fill="DEEAF6" w:themeFill="accent1" w:themeFillTint="33"/>
              </w:rPr>
              <w:t xml:space="preserve"> that deliver human rights protection in accordance with international commitments under relevant treaties, Conventions and Universal Periodic Review (UPR).</w:t>
            </w:r>
          </w:p>
          <w:p w14:paraId="54522AC1" w14:textId="77777777" w:rsidR="001E1D12" w:rsidRPr="00B6509B" w:rsidRDefault="001E1D12" w:rsidP="008D46E5">
            <w:pPr>
              <w:jc w:val="both"/>
              <w:rPr>
                <w:b/>
                <w:sz w:val="18"/>
                <w:szCs w:val="18"/>
                <w:shd w:val="clear" w:color="auto" w:fill="DEEAF6" w:themeFill="accent1" w:themeFillTint="33"/>
              </w:rPr>
            </w:pPr>
          </w:p>
          <w:p w14:paraId="6F3F1403" w14:textId="77777777" w:rsidR="001E1D12" w:rsidRPr="00B6509B" w:rsidRDefault="001E1D12" w:rsidP="008D46E5">
            <w:pPr>
              <w:jc w:val="both"/>
              <w:rPr>
                <w:b/>
                <w:sz w:val="18"/>
                <w:szCs w:val="18"/>
              </w:rPr>
            </w:pPr>
            <w:r w:rsidRPr="00B6509B">
              <w:rPr>
                <w:b/>
                <w:sz w:val="18"/>
                <w:szCs w:val="18"/>
                <w:shd w:val="clear" w:color="auto" w:fill="DEEAF6" w:themeFill="accent1" w:themeFillTint="33"/>
              </w:rPr>
              <w:t>Collaborating agencies:</w:t>
            </w:r>
            <w:r w:rsidRPr="00B6509B">
              <w:rPr>
                <w:sz w:val="18"/>
                <w:szCs w:val="18"/>
                <w:shd w:val="clear" w:color="auto" w:fill="DEEAF6" w:themeFill="accent1" w:themeFillTint="33"/>
              </w:rPr>
              <w:t xml:space="preserve"> UNICEF; UNDP; UNFPA;  OHCHR; IOM; UNAIDS;ILO; UNESCO; UN Women; UNESCAP</w:t>
            </w:r>
          </w:p>
        </w:tc>
      </w:tr>
    </w:tbl>
    <w:p w14:paraId="448587EC" w14:textId="77777777" w:rsidR="001E1D12" w:rsidRPr="00B6509B" w:rsidRDefault="001E1D12" w:rsidP="008D46E5">
      <w:pPr>
        <w:jc w:val="both"/>
        <w:rPr>
          <w:sz w:val="18"/>
          <w:szCs w:val="18"/>
        </w:rPr>
      </w:pPr>
    </w:p>
    <w:tbl>
      <w:tblPr>
        <w:tblStyle w:val="TableGrid5"/>
        <w:tblW w:w="5694" w:type="pct"/>
        <w:tblInd w:w="-10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28"/>
        <w:gridCol w:w="4494"/>
        <w:gridCol w:w="2356"/>
        <w:gridCol w:w="2071"/>
        <w:gridCol w:w="2702"/>
        <w:gridCol w:w="3606"/>
      </w:tblGrid>
      <w:tr w:rsidR="001E1D12" w:rsidRPr="00653E49" w14:paraId="09D17011" w14:textId="77777777" w:rsidTr="00773BDF">
        <w:trPr>
          <w:trHeight w:val="556"/>
          <w:tblHeader/>
        </w:trPr>
        <w:tc>
          <w:tcPr>
            <w:tcW w:w="198" w:type="pct"/>
            <w:shd w:val="clear" w:color="auto" w:fill="D9D9D9"/>
          </w:tcPr>
          <w:p w14:paraId="51BC53E2" w14:textId="77777777" w:rsidR="001E1D12" w:rsidRPr="00B6509B" w:rsidRDefault="001E1D12" w:rsidP="008D46E5">
            <w:pPr>
              <w:jc w:val="both"/>
              <w:rPr>
                <w:rFonts w:ascii="Calibri" w:eastAsia="Calibri" w:hAnsi="Calibri" w:cs="Times New Roman"/>
                <w:sz w:val="18"/>
                <w:szCs w:val="18"/>
              </w:rPr>
            </w:pPr>
          </w:p>
          <w:p w14:paraId="40EAD533" w14:textId="77777777" w:rsidR="001E1D12" w:rsidRPr="00B6509B" w:rsidRDefault="001E1D12" w:rsidP="008D46E5">
            <w:pPr>
              <w:jc w:val="both"/>
              <w:rPr>
                <w:rFonts w:ascii="Calibri" w:eastAsia="Calibri" w:hAnsi="Calibri" w:cs="Times New Roman"/>
                <w:sz w:val="18"/>
                <w:szCs w:val="18"/>
              </w:rPr>
            </w:pPr>
          </w:p>
        </w:tc>
        <w:tc>
          <w:tcPr>
            <w:tcW w:w="1417" w:type="pct"/>
            <w:shd w:val="clear" w:color="auto" w:fill="D9D9D9"/>
          </w:tcPr>
          <w:p w14:paraId="0C01E60A" w14:textId="77777777" w:rsidR="001E1D12" w:rsidRPr="00B6509B" w:rsidRDefault="001E1D12" w:rsidP="008D46E5">
            <w:pPr>
              <w:widowControl w:val="0"/>
              <w:autoSpaceDE w:val="0"/>
              <w:autoSpaceDN w:val="0"/>
              <w:adjustRightInd w:val="0"/>
              <w:jc w:val="both"/>
              <w:rPr>
                <w:rFonts w:ascii="Calibri" w:eastAsia="Calibri" w:hAnsi="Calibri" w:cs="Times New Roman"/>
                <w:b/>
                <w:sz w:val="18"/>
                <w:szCs w:val="18"/>
              </w:rPr>
            </w:pPr>
          </w:p>
          <w:p w14:paraId="3FE2BF50"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b/>
                <w:sz w:val="18"/>
                <w:szCs w:val="18"/>
              </w:rPr>
              <w:t>Indicator</w:t>
            </w:r>
          </w:p>
        </w:tc>
        <w:tc>
          <w:tcPr>
            <w:tcW w:w="743" w:type="pct"/>
            <w:shd w:val="clear" w:color="auto" w:fill="D9D9D9"/>
          </w:tcPr>
          <w:p w14:paraId="78D223F2" w14:textId="77777777" w:rsidR="001E1D12"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b/>
                <w:sz w:val="18"/>
                <w:szCs w:val="18"/>
              </w:rPr>
              <w:t>Baseline</w:t>
            </w:r>
          </w:p>
        </w:tc>
        <w:tc>
          <w:tcPr>
            <w:tcW w:w="653" w:type="pct"/>
            <w:shd w:val="clear" w:color="auto" w:fill="D9D9D9"/>
          </w:tcPr>
          <w:p w14:paraId="30B9EA7C" w14:textId="77777777" w:rsidR="001E1D12" w:rsidRPr="00B6509B" w:rsidRDefault="001E1D12" w:rsidP="008D46E5">
            <w:pPr>
              <w:jc w:val="both"/>
              <w:rPr>
                <w:rFonts w:ascii="Calibri" w:eastAsia="Calibri" w:hAnsi="Calibri" w:cs="Times New Roman"/>
                <w:b/>
                <w:sz w:val="18"/>
                <w:szCs w:val="18"/>
              </w:rPr>
            </w:pPr>
            <w:r w:rsidRPr="00B6509B">
              <w:rPr>
                <w:rFonts w:ascii="Calibri" w:eastAsia="Calibri" w:hAnsi="Calibri" w:cs="Times New Roman"/>
                <w:b/>
                <w:sz w:val="18"/>
                <w:szCs w:val="18"/>
              </w:rPr>
              <w:t>Target</w:t>
            </w:r>
          </w:p>
        </w:tc>
        <w:tc>
          <w:tcPr>
            <w:tcW w:w="852" w:type="pct"/>
            <w:shd w:val="clear" w:color="auto" w:fill="D9D9D9"/>
          </w:tcPr>
          <w:p w14:paraId="67655C5A"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b/>
                <w:sz w:val="18"/>
                <w:szCs w:val="18"/>
              </w:rPr>
              <w:t>Means of verification</w:t>
            </w:r>
          </w:p>
        </w:tc>
        <w:tc>
          <w:tcPr>
            <w:tcW w:w="1137" w:type="pct"/>
            <w:shd w:val="clear" w:color="auto" w:fill="D9D9D9"/>
          </w:tcPr>
          <w:p w14:paraId="3694E993" w14:textId="77777777" w:rsidR="001E1D12" w:rsidRPr="00B6509B" w:rsidRDefault="001E1D12" w:rsidP="008D46E5">
            <w:pPr>
              <w:jc w:val="both"/>
              <w:rPr>
                <w:rFonts w:ascii="Calibri" w:eastAsia="Calibri" w:hAnsi="Calibri" w:cs="Times New Roman"/>
                <w:sz w:val="18"/>
                <w:szCs w:val="18"/>
                <w:lang w:val="fr-FR"/>
              </w:rPr>
            </w:pPr>
            <w:r w:rsidRPr="00B6509B">
              <w:rPr>
                <w:rFonts w:ascii="Calibri" w:eastAsia="Calibri" w:hAnsi="Calibri" w:cs="Times New Roman"/>
                <w:b/>
                <w:sz w:val="18"/>
                <w:szCs w:val="18"/>
                <w:lang w:val="fr-FR"/>
              </w:rPr>
              <w:t>UN Partners, Govt, CSOs, Donors, etc</w:t>
            </w:r>
          </w:p>
        </w:tc>
      </w:tr>
      <w:tr w:rsidR="001E1D12" w:rsidRPr="00B6509B" w14:paraId="01B6AB05" w14:textId="77777777" w:rsidTr="008D46E5">
        <w:trPr>
          <w:trHeight w:val="546"/>
        </w:trPr>
        <w:tc>
          <w:tcPr>
            <w:tcW w:w="198" w:type="pct"/>
            <w:shd w:val="clear" w:color="auto" w:fill="auto"/>
          </w:tcPr>
          <w:p w14:paraId="42C4F07A"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6.1</w:t>
            </w:r>
          </w:p>
        </w:tc>
        <w:tc>
          <w:tcPr>
            <w:tcW w:w="1417" w:type="pct"/>
            <w:shd w:val="clear" w:color="auto" w:fill="auto"/>
          </w:tcPr>
          <w:p w14:paraId="184A49EC"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Number of PICTs with NHRIs compliant with the Paris Principles</w:t>
            </w:r>
            <w:r w:rsidRPr="00B6509B">
              <w:rPr>
                <w:rFonts w:ascii="Calibri" w:eastAsia="Calibri" w:hAnsi="Calibri" w:cs="Times New Roman"/>
                <w:sz w:val="18"/>
                <w:szCs w:val="18"/>
                <w:vertAlign w:val="superscript"/>
              </w:rPr>
              <w:t xml:space="preserve"> </w:t>
            </w:r>
            <w:r w:rsidRPr="00B6509B">
              <w:rPr>
                <w:rFonts w:ascii="Calibri" w:eastAsia="Calibri" w:hAnsi="Calibri" w:cs="Times New Roman"/>
                <w:sz w:val="18"/>
                <w:szCs w:val="18"/>
                <w:vertAlign w:val="superscript"/>
              </w:rPr>
              <w:footnoteReference w:id="34"/>
            </w:r>
            <w:r w:rsidRPr="00B6509B">
              <w:rPr>
                <w:rFonts w:ascii="Calibri" w:eastAsia="Calibri" w:hAnsi="Calibri" w:cs="Times New Roman"/>
                <w:sz w:val="18"/>
                <w:szCs w:val="18"/>
              </w:rPr>
              <w:t xml:space="preserve"> (SDG 16.a.1)</w:t>
            </w:r>
          </w:p>
        </w:tc>
        <w:tc>
          <w:tcPr>
            <w:tcW w:w="743" w:type="pct"/>
            <w:shd w:val="clear" w:color="auto" w:fill="auto"/>
          </w:tcPr>
          <w:p w14:paraId="75028ECA"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1</w:t>
            </w:r>
          </w:p>
        </w:tc>
        <w:tc>
          <w:tcPr>
            <w:tcW w:w="653" w:type="pct"/>
            <w:shd w:val="clear" w:color="auto" w:fill="auto"/>
          </w:tcPr>
          <w:p w14:paraId="7E2CD417"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5</w:t>
            </w:r>
          </w:p>
        </w:tc>
        <w:tc>
          <w:tcPr>
            <w:tcW w:w="852" w:type="pct"/>
            <w:shd w:val="clear" w:color="auto" w:fill="auto"/>
          </w:tcPr>
          <w:p w14:paraId="18D1682D"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Global Alliance of NHRIs (GANHRI)</w:t>
            </w:r>
          </w:p>
        </w:tc>
        <w:tc>
          <w:tcPr>
            <w:tcW w:w="1137" w:type="pct"/>
            <w:shd w:val="clear" w:color="auto" w:fill="auto"/>
          </w:tcPr>
          <w:p w14:paraId="34963687" w14:textId="795E3432" w:rsidR="001E1D12" w:rsidRPr="00B6509B" w:rsidRDefault="00715479" w:rsidP="008D46E5">
            <w:pPr>
              <w:jc w:val="both"/>
              <w:rPr>
                <w:rFonts w:ascii="Calibri" w:eastAsia="Calibri" w:hAnsi="Calibri" w:cs="Times New Roman"/>
                <w:sz w:val="18"/>
                <w:szCs w:val="18"/>
              </w:rPr>
            </w:pPr>
            <w:r w:rsidRPr="00B6509B">
              <w:rPr>
                <w:rFonts w:ascii="Calibri" w:eastAsia="Calibri" w:hAnsi="Calibri" w:cs="Times New Roman"/>
                <w:sz w:val="18"/>
                <w:szCs w:val="18"/>
              </w:rPr>
              <w:t>Asia Pacific Forum of NHRI,</w:t>
            </w:r>
            <w:r w:rsidR="00B744CD" w:rsidRPr="00B6509B">
              <w:rPr>
                <w:rFonts w:ascii="Calibri" w:eastAsia="Calibri" w:hAnsi="Calibri" w:cs="Times New Roman"/>
                <w:sz w:val="18"/>
                <w:szCs w:val="18"/>
              </w:rPr>
              <w:t xml:space="preserve">IOM, </w:t>
            </w:r>
            <w:r w:rsidRPr="00B6509B">
              <w:rPr>
                <w:rFonts w:ascii="Calibri" w:eastAsia="Calibri" w:hAnsi="Calibri" w:cs="Times New Roman"/>
                <w:sz w:val="18"/>
                <w:szCs w:val="18"/>
              </w:rPr>
              <w:t xml:space="preserve">Ministry of Foreign Affairs for PICTs, Ministry of Justice for PICTs, Ministry of Woman Affairs for PICTs, National Human Rights Committees for PICTS, Parliament and Legislature for PICTs, RRRT, SPC, </w:t>
            </w:r>
            <w:r w:rsidR="001E1D12" w:rsidRPr="00B6509B">
              <w:rPr>
                <w:rFonts w:ascii="Calibri" w:eastAsia="Calibri" w:hAnsi="Calibri" w:cs="Times New Roman"/>
                <w:sz w:val="18"/>
                <w:szCs w:val="18"/>
              </w:rPr>
              <w:t xml:space="preserve">UNDP, UNOHCHR </w:t>
            </w:r>
          </w:p>
        </w:tc>
      </w:tr>
      <w:tr w:rsidR="001E1D12" w:rsidRPr="00B6509B" w14:paraId="2B94F14D" w14:textId="77777777" w:rsidTr="008D46E5">
        <w:trPr>
          <w:trHeight w:val="429"/>
        </w:trPr>
        <w:tc>
          <w:tcPr>
            <w:tcW w:w="198" w:type="pct"/>
            <w:shd w:val="clear" w:color="auto" w:fill="auto"/>
          </w:tcPr>
          <w:p w14:paraId="57CB875A"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6.2</w:t>
            </w:r>
          </w:p>
        </w:tc>
        <w:tc>
          <w:tcPr>
            <w:tcW w:w="1417" w:type="pct"/>
            <w:shd w:val="clear" w:color="auto" w:fill="auto"/>
          </w:tcPr>
          <w:p w14:paraId="36146BCE"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Number of PICTs with up to date reporting to treaty bodies.</w:t>
            </w:r>
            <w:r w:rsidRPr="00B6509B">
              <w:rPr>
                <w:rFonts w:ascii="Calibri" w:eastAsia="Calibri" w:hAnsi="Calibri" w:cs="Times New Roman"/>
                <w:sz w:val="18"/>
                <w:szCs w:val="18"/>
                <w:vertAlign w:val="superscript"/>
              </w:rPr>
              <w:footnoteReference w:id="35"/>
            </w:r>
            <w:r w:rsidRPr="00B6509B">
              <w:rPr>
                <w:rFonts w:ascii="Calibri" w:eastAsia="Calibri" w:hAnsi="Calibri" w:cs="Times New Roman"/>
                <w:sz w:val="18"/>
                <w:szCs w:val="18"/>
              </w:rPr>
              <w:t xml:space="preserve"> </w:t>
            </w:r>
          </w:p>
        </w:tc>
        <w:tc>
          <w:tcPr>
            <w:tcW w:w="743" w:type="pct"/>
            <w:shd w:val="clear" w:color="auto" w:fill="auto"/>
          </w:tcPr>
          <w:p w14:paraId="48787BBA"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1</w:t>
            </w:r>
          </w:p>
        </w:tc>
        <w:tc>
          <w:tcPr>
            <w:tcW w:w="653" w:type="pct"/>
            <w:shd w:val="clear" w:color="auto" w:fill="auto"/>
          </w:tcPr>
          <w:p w14:paraId="512F69C2"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11</w:t>
            </w:r>
          </w:p>
        </w:tc>
        <w:tc>
          <w:tcPr>
            <w:tcW w:w="852" w:type="pct"/>
            <w:shd w:val="clear" w:color="auto" w:fill="auto"/>
          </w:tcPr>
          <w:p w14:paraId="22F9137E"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OHCHR website where reports are posted</w:t>
            </w:r>
          </w:p>
        </w:tc>
        <w:tc>
          <w:tcPr>
            <w:tcW w:w="1137" w:type="pct"/>
            <w:shd w:val="clear" w:color="auto" w:fill="auto"/>
          </w:tcPr>
          <w:p w14:paraId="486D7E59" w14:textId="48D3A276" w:rsidR="001E1D12" w:rsidRPr="00B6509B" w:rsidRDefault="00790FE6" w:rsidP="008D46E5">
            <w:pPr>
              <w:jc w:val="both"/>
              <w:rPr>
                <w:rFonts w:ascii="Calibri" w:eastAsia="Calibri" w:hAnsi="Calibri" w:cs="Times New Roman"/>
                <w:sz w:val="18"/>
                <w:szCs w:val="18"/>
              </w:rPr>
            </w:pPr>
            <w:r w:rsidRPr="00790FE6">
              <w:rPr>
                <w:rFonts w:ascii="Calibri" w:eastAsia="Calibri" w:hAnsi="Calibri" w:cs="Times New Roman"/>
                <w:sz w:val="18"/>
                <w:szCs w:val="18"/>
              </w:rPr>
              <w:t xml:space="preserve">Ministry of Justice for PICTs, Parliament and Legislature for PICTs, SPC RRRT </w:t>
            </w:r>
            <w:r>
              <w:rPr>
                <w:rFonts w:ascii="Calibri" w:eastAsia="Calibri" w:hAnsi="Calibri" w:cs="Times New Roman"/>
                <w:sz w:val="18"/>
                <w:szCs w:val="18"/>
              </w:rPr>
              <w:t>UNICEF, UNOHCHR, UN Women</w:t>
            </w:r>
            <w:r w:rsidR="001E1D12" w:rsidRPr="00B6509B">
              <w:rPr>
                <w:rFonts w:ascii="Calibri" w:eastAsia="Calibri" w:hAnsi="Calibri" w:cs="Times New Roman"/>
                <w:sz w:val="18"/>
                <w:szCs w:val="18"/>
              </w:rPr>
              <w:t xml:space="preserve"> </w:t>
            </w:r>
          </w:p>
        </w:tc>
      </w:tr>
      <w:tr w:rsidR="001E1D12" w:rsidRPr="00B6509B" w14:paraId="7827EAE2" w14:textId="77777777" w:rsidTr="008D46E5">
        <w:trPr>
          <w:trHeight w:val="694"/>
        </w:trPr>
        <w:tc>
          <w:tcPr>
            <w:tcW w:w="198" w:type="pct"/>
            <w:shd w:val="clear" w:color="auto" w:fill="auto"/>
          </w:tcPr>
          <w:p w14:paraId="0BF9F011"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6.3</w:t>
            </w:r>
          </w:p>
        </w:tc>
        <w:tc>
          <w:tcPr>
            <w:tcW w:w="1417" w:type="pct"/>
            <w:shd w:val="clear" w:color="auto" w:fill="auto"/>
          </w:tcPr>
          <w:p w14:paraId="0E7B6E88"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Number of PICTs with national implementation plans for treaty bodies and Universal Periodic Review</w:t>
            </w:r>
            <w:r w:rsidRPr="00B6509B">
              <w:rPr>
                <w:rFonts w:ascii="Calibri" w:eastAsia="Calibri" w:hAnsi="Calibri" w:cs="Times New Roman"/>
                <w:sz w:val="18"/>
                <w:szCs w:val="18"/>
                <w:vertAlign w:val="superscript"/>
              </w:rPr>
              <w:t xml:space="preserve"> </w:t>
            </w:r>
            <w:r w:rsidRPr="00B6509B">
              <w:rPr>
                <w:rFonts w:ascii="Calibri" w:eastAsia="Calibri" w:hAnsi="Calibri" w:cs="Times New Roman"/>
                <w:sz w:val="18"/>
                <w:szCs w:val="18"/>
                <w:vertAlign w:val="superscript"/>
              </w:rPr>
              <w:footnoteReference w:id="36"/>
            </w:r>
            <w:r w:rsidRPr="00B6509B">
              <w:rPr>
                <w:rFonts w:ascii="Calibri" w:eastAsia="Calibri" w:hAnsi="Calibri" w:cs="Times New Roman"/>
                <w:sz w:val="18"/>
                <w:szCs w:val="18"/>
              </w:rPr>
              <w:t xml:space="preserve"> </w:t>
            </w:r>
          </w:p>
        </w:tc>
        <w:tc>
          <w:tcPr>
            <w:tcW w:w="743" w:type="pct"/>
            <w:shd w:val="clear" w:color="auto" w:fill="auto"/>
          </w:tcPr>
          <w:p w14:paraId="304C0D48" w14:textId="77777777" w:rsidR="001E1D12" w:rsidRPr="0026335B" w:rsidRDefault="001E1D12"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3</w:t>
            </w:r>
          </w:p>
        </w:tc>
        <w:tc>
          <w:tcPr>
            <w:tcW w:w="653" w:type="pct"/>
            <w:shd w:val="clear" w:color="auto" w:fill="auto"/>
          </w:tcPr>
          <w:p w14:paraId="70A64DA2" w14:textId="77777777" w:rsidR="001E1D12" w:rsidRPr="0026335B" w:rsidRDefault="001E1D12" w:rsidP="008D46E5">
            <w:pPr>
              <w:jc w:val="center"/>
              <w:rPr>
                <w:rFonts w:ascii="Calibri" w:eastAsia="Calibri" w:hAnsi="Calibri" w:cs="Times New Roman"/>
                <w:b/>
                <w:sz w:val="18"/>
                <w:szCs w:val="18"/>
                <w:lang w:val="fr-FR"/>
              </w:rPr>
            </w:pPr>
            <w:r w:rsidRPr="0026335B">
              <w:rPr>
                <w:rFonts w:ascii="Calibri" w:eastAsia="Calibri" w:hAnsi="Calibri" w:cs="Times New Roman"/>
                <w:b/>
                <w:sz w:val="18"/>
                <w:szCs w:val="18"/>
                <w:lang w:val="fr-FR"/>
              </w:rPr>
              <w:t>8</w:t>
            </w:r>
          </w:p>
        </w:tc>
        <w:tc>
          <w:tcPr>
            <w:tcW w:w="852" w:type="pct"/>
            <w:shd w:val="clear" w:color="auto" w:fill="auto"/>
          </w:tcPr>
          <w:p w14:paraId="36FD2ED2" w14:textId="77777777" w:rsidR="001E1D12" w:rsidRPr="00B6509B" w:rsidRDefault="001E1D12" w:rsidP="008D46E5">
            <w:pPr>
              <w:jc w:val="both"/>
              <w:rPr>
                <w:rFonts w:ascii="Calibri" w:eastAsia="Calibri" w:hAnsi="Calibri" w:cs="Times New Roman"/>
                <w:sz w:val="18"/>
                <w:szCs w:val="18"/>
              </w:rPr>
            </w:pPr>
            <w:r w:rsidRPr="00B6509B">
              <w:rPr>
                <w:rFonts w:ascii="Calibri" w:eastAsia="Calibri" w:hAnsi="Calibri" w:cs="Times New Roman"/>
                <w:sz w:val="18"/>
                <w:szCs w:val="18"/>
              </w:rPr>
              <w:t>OHCHR and Governments</w:t>
            </w:r>
          </w:p>
        </w:tc>
        <w:tc>
          <w:tcPr>
            <w:tcW w:w="1137" w:type="pct"/>
            <w:shd w:val="clear" w:color="auto" w:fill="auto"/>
          </w:tcPr>
          <w:p w14:paraId="29FA0894" w14:textId="2DC24F6D" w:rsidR="001E1D12" w:rsidRPr="00B6509B" w:rsidRDefault="00790FE6" w:rsidP="008D46E5">
            <w:pPr>
              <w:jc w:val="both"/>
              <w:rPr>
                <w:rFonts w:ascii="Calibri" w:eastAsia="Calibri" w:hAnsi="Calibri" w:cs="Times New Roman"/>
                <w:sz w:val="18"/>
                <w:szCs w:val="18"/>
              </w:rPr>
            </w:pPr>
            <w:r w:rsidRPr="00790FE6">
              <w:rPr>
                <w:rFonts w:ascii="Calibri" w:eastAsia="Calibri" w:hAnsi="Calibri" w:cs="Times New Roman"/>
                <w:sz w:val="18"/>
                <w:szCs w:val="18"/>
              </w:rPr>
              <w:t>Ministry of Justice for PICTs, Parliament and Legislature for PICTs, SPC RRRT</w:t>
            </w:r>
            <w:r>
              <w:rPr>
                <w:rFonts w:ascii="Calibri" w:eastAsia="Calibri" w:hAnsi="Calibri" w:cs="Times New Roman"/>
                <w:sz w:val="18"/>
                <w:szCs w:val="18"/>
              </w:rPr>
              <w:t xml:space="preserve">, </w:t>
            </w:r>
            <w:r w:rsidR="001E1D12" w:rsidRPr="00B6509B">
              <w:rPr>
                <w:rFonts w:ascii="Calibri" w:eastAsia="Calibri" w:hAnsi="Calibri" w:cs="Times New Roman"/>
                <w:sz w:val="18"/>
                <w:szCs w:val="18"/>
              </w:rPr>
              <w:t>UNESCAP, UN</w:t>
            </w:r>
            <w:r>
              <w:rPr>
                <w:rFonts w:ascii="Calibri" w:eastAsia="Calibri" w:hAnsi="Calibri" w:cs="Times New Roman"/>
                <w:sz w:val="18"/>
                <w:szCs w:val="18"/>
              </w:rPr>
              <w:t>ICEF, UNOHCHR, UNESCO, UN Women</w:t>
            </w:r>
            <w:r w:rsidR="001E1D12" w:rsidRPr="00B6509B">
              <w:rPr>
                <w:rFonts w:ascii="Calibri" w:eastAsia="Calibri" w:hAnsi="Calibri" w:cs="Times New Roman"/>
                <w:sz w:val="18"/>
                <w:szCs w:val="18"/>
              </w:rPr>
              <w:t xml:space="preserve"> </w:t>
            </w:r>
          </w:p>
        </w:tc>
      </w:tr>
      <w:tr w:rsidR="0089787C" w:rsidRPr="00B6509B" w14:paraId="33C6655F" w14:textId="77777777" w:rsidTr="008D46E5">
        <w:trPr>
          <w:trHeight w:val="694"/>
        </w:trPr>
        <w:tc>
          <w:tcPr>
            <w:tcW w:w="198" w:type="pct"/>
            <w:shd w:val="clear" w:color="auto" w:fill="auto"/>
          </w:tcPr>
          <w:p w14:paraId="11EB6F1C" w14:textId="70CE38EC" w:rsidR="0089787C" w:rsidRPr="00B6509B" w:rsidRDefault="0089787C" w:rsidP="008D46E5">
            <w:pPr>
              <w:jc w:val="both"/>
              <w:rPr>
                <w:rFonts w:ascii="Calibri" w:eastAsia="Calibri" w:hAnsi="Calibri" w:cs="Times New Roman"/>
                <w:sz w:val="18"/>
                <w:szCs w:val="18"/>
              </w:rPr>
            </w:pPr>
            <w:r>
              <w:rPr>
                <w:rFonts w:ascii="Calibri" w:eastAsia="Calibri" w:hAnsi="Calibri" w:cs="Times New Roman"/>
                <w:sz w:val="18"/>
                <w:szCs w:val="18"/>
              </w:rPr>
              <w:t>6.4</w:t>
            </w:r>
          </w:p>
        </w:tc>
        <w:tc>
          <w:tcPr>
            <w:tcW w:w="1417" w:type="pct"/>
            <w:shd w:val="clear" w:color="auto" w:fill="auto"/>
          </w:tcPr>
          <w:p w14:paraId="1012459D" w14:textId="672BE6D9" w:rsidR="0089787C" w:rsidRPr="00B6509B" w:rsidRDefault="0089787C" w:rsidP="008D46E5">
            <w:pPr>
              <w:jc w:val="both"/>
              <w:rPr>
                <w:rFonts w:ascii="Calibri" w:eastAsia="Calibri" w:hAnsi="Calibri" w:cs="Times New Roman"/>
                <w:sz w:val="18"/>
                <w:szCs w:val="18"/>
              </w:rPr>
            </w:pPr>
            <w:r>
              <w:rPr>
                <w:rFonts w:ascii="Calibri" w:eastAsia="Calibri" w:hAnsi="Calibri" w:cs="Times New Roman"/>
                <w:sz w:val="18"/>
                <w:szCs w:val="18"/>
              </w:rPr>
              <w:t>Number of PICTs that have national legislation that prohibits discrimination on the basis of a ground listed under international human rights law</w:t>
            </w:r>
            <w:r>
              <w:rPr>
                <w:rStyle w:val="FootnoteReference"/>
                <w:rFonts w:ascii="Calibri" w:eastAsia="Calibri" w:hAnsi="Calibri" w:cs="Times New Roman"/>
                <w:sz w:val="18"/>
                <w:szCs w:val="18"/>
              </w:rPr>
              <w:footnoteReference w:id="37"/>
            </w:r>
          </w:p>
        </w:tc>
        <w:tc>
          <w:tcPr>
            <w:tcW w:w="743" w:type="pct"/>
            <w:shd w:val="clear" w:color="auto" w:fill="auto"/>
          </w:tcPr>
          <w:p w14:paraId="2805539B" w14:textId="3D713726" w:rsidR="0089787C" w:rsidRPr="0026335B" w:rsidRDefault="0089787C"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1</w:t>
            </w:r>
          </w:p>
        </w:tc>
        <w:tc>
          <w:tcPr>
            <w:tcW w:w="653" w:type="pct"/>
            <w:shd w:val="clear" w:color="auto" w:fill="auto"/>
          </w:tcPr>
          <w:p w14:paraId="6F65244B" w14:textId="3B5D8765" w:rsidR="0089787C" w:rsidRPr="0026335B" w:rsidRDefault="0089787C" w:rsidP="008D46E5">
            <w:pPr>
              <w:jc w:val="center"/>
              <w:rPr>
                <w:rFonts w:ascii="Calibri" w:eastAsia="Calibri" w:hAnsi="Calibri" w:cs="Times New Roman"/>
                <w:b/>
                <w:sz w:val="18"/>
                <w:szCs w:val="18"/>
                <w:lang w:val="fr-FR"/>
              </w:rPr>
            </w:pPr>
            <w:r w:rsidRPr="0026335B">
              <w:rPr>
                <w:rFonts w:ascii="Calibri" w:eastAsia="Calibri" w:hAnsi="Calibri" w:cs="Times New Roman"/>
                <w:b/>
                <w:sz w:val="18"/>
                <w:szCs w:val="18"/>
              </w:rPr>
              <w:t>4</w:t>
            </w:r>
          </w:p>
        </w:tc>
        <w:tc>
          <w:tcPr>
            <w:tcW w:w="852" w:type="pct"/>
            <w:shd w:val="clear" w:color="auto" w:fill="auto"/>
          </w:tcPr>
          <w:p w14:paraId="162E39EC" w14:textId="0E1FF853" w:rsidR="0089787C" w:rsidRPr="00B6509B" w:rsidRDefault="0089787C" w:rsidP="008D46E5">
            <w:pPr>
              <w:jc w:val="both"/>
              <w:rPr>
                <w:rFonts w:ascii="Calibri" w:eastAsia="Calibri" w:hAnsi="Calibri" w:cs="Times New Roman"/>
                <w:sz w:val="18"/>
                <w:szCs w:val="18"/>
              </w:rPr>
            </w:pPr>
            <w:r w:rsidRPr="00B6509B">
              <w:rPr>
                <w:rFonts w:ascii="Calibri" w:eastAsia="Calibri" w:hAnsi="Calibri" w:cs="Times New Roman"/>
                <w:sz w:val="18"/>
                <w:szCs w:val="18"/>
              </w:rPr>
              <w:t>National legislation</w:t>
            </w:r>
          </w:p>
        </w:tc>
        <w:tc>
          <w:tcPr>
            <w:tcW w:w="1137" w:type="pct"/>
            <w:shd w:val="clear" w:color="auto" w:fill="auto"/>
          </w:tcPr>
          <w:p w14:paraId="0670E323" w14:textId="7F503491" w:rsidR="0089787C" w:rsidRPr="00B6509B" w:rsidRDefault="0089787C" w:rsidP="008D46E5">
            <w:pPr>
              <w:jc w:val="both"/>
              <w:rPr>
                <w:rFonts w:ascii="Calibri" w:eastAsia="Calibri" w:hAnsi="Calibri" w:cs="Times New Roman"/>
                <w:sz w:val="18"/>
                <w:szCs w:val="18"/>
              </w:rPr>
            </w:pPr>
            <w:r w:rsidRPr="00B6509B">
              <w:rPr>
                <w:rFonts w:ascii="Calibri" w:eastAsia="Calibri" w:hAnsi="Calibri" w:cs="Times New Roman"/>
                <w:sz w:val="18"/>
                <w:szCs w:val="18"/>
              </w:rPr>
              <w:t>CSOs, IOM,</w:t>
            </w:r>
            <w:r w:rsidR="00790FE6">
              <w:t xml:space="preserve"> </w:t>
            </w:r>
            <w:r w:rsidR="00790FE6" w:rsidRPr="00790FE6">
              <w:rPr>
                <w:rFonts w:ascii="Calibri" w:eastAsia="Calibri" w:hAnsi="Calibri" w:cs="Times New Roman"/>
                <w:sz w:val="18"/>
                <w:szCs w:val="18"/>
              </w:rPr>
              <w:t xml:space="preserve">Ministry of Justice for PICTs, Parliament and Legislature for PICTs, SPC RRRT </w:t>
            </w:r>
            <w:r w:rsidRPr="00B6509B">
              <w:rPr>
                <w:rFonts w:ascii="Calibri" w:eastAsia="Calibri" w:hAnsi="Calibri" w:cs="Times New Roman"/>
                <w:sz w:val="18"/>
                <w:szCs w:val="18"/>
              </w:rPr>
              <w:t>UNESCAP, UN</w:t>
            </w:r>
            <w:r w:rsidR="00790FE6">
              <w:rPr>
                <w:rFonts w:ascii="Calibri" w:eastAsia="Calibri" w:hAnsi="Calibri" w:cs="Times New Roman"/>
                <w:sz w:val="18"/>
                <w:szCs w:val="18"/>
              </w:rPr>
              <w:t>FPA , UNICEF, UNOHCHR, UN Women</w:t>
            </w:r>
            <w:r w:rsidRPr="00B6509B">
              <w:rPr>
                <w:rFonts w:ascii="Calibri" w:eastAsia="Calibri" w:hAnsi="Calibri" w:cs="Times New Roman"/>
                <w:sz w:val="18"/>
                <w:szCs w:val="18"/>
              </w:rPr>
              <w:t xml:space="preserve"> </w:t>
            </w:r>
          </w:p>
        </w:tc>
      </w:tr>
      <w:tr w:rsidR="0089787C" w:rsidRPr="00B6509B" w14:paraId="32538800" w14:textId="77777777" w:rsidTr="008D46E5">
        <w:trPr>
          <w:trHeight w:val="694"/>
        </w:trPr>
        <w:tc>
          <w:tcPr>
            <w:tcW w:w="198" w:type="pct"/>
            <w:shd w:val="clear" w:color="auto" w:fill="auto"/>
          </w:tcPr>
          <w:p w14:paraId="60C19404" w14:textId="4995242B" w:rsidR="0089787C" w:rsidRDefault="0089787C" w:rsidP="008D46E5">
            <w:pPr>
              <w:jc w:val="both"/>
              <w:rPr>
                <w:rFonts w:ascii="Calibri" w:eastAsia="Calibri" w:hAnsi="Calibri" w:cs="Times New Roman"/>
                <w:sz w:val="18"/>
                <w:szCs w:val="18"/>
              </w:rPr>
            </w:pPr>
            <w:r>
              <w:rPr>
                <w:rFonts w:ascii="Calibri" w:eastAsia="Calibri" w:hAnsi="Calibri" w:cs="Times New Roman"/>
                <w:sz w:val="18"/>
                <w:szCs w:val="18"/>
              </w:rPr>
              <w:t>6.5</w:t>
            </w:r>
          </w:p>
        </w:tc>
        <w:tc>
          <w:tcPr>
            <w:tcW w:w="1417" w:type="pct"/>
            <w:shd w:val="clear" w:color="auto" w:fill="auto"/>
          </w:tcPr>
          <w:p w14:paraId="7D584261" w14:textId="01D726B0" w:rsidR="0089787C" w:rsidRDefault="00B42B92" w:rsidP="008D46E5">
            <w:pPr>
              <w:jc w:val="both"/>
              <w:rPr>
                <w:rFonts w:ascii="Calibri" w:eastAsia="Calibri" w:hAnsi="Calibri" w:cs="Times New Roman"/>
                <w:sz w:val="18"/>
                <w:szCs w:val="18"/>
              </w:rPr>
            </w:pPr>
            <w:r w:rsidRPr="008D46E5">
              <w:rPr>
                <w:rFonts w:ascii="Calibri" w:eastAsia="Calibri" w:hAnsi="Calibri" w:cs="Times New Roman"/>
                <w:sz w:val="18"/>
                <w:szCs w:val="18"/>
              </w:rPr>
              <w:t xml:space="preserve">Number of PICTs who have ratified at least 5 of the core 9  UN human rights treaties and at least 4 out of 8 ILO Fundamental Conventions and the UNESCO Convention on the Protection and Promotion of the Diversity of Cultural Expressions </w:t>
            </w:r>
            <w:r w:rsidR="0089787C">
              <w:rPr>
                <w:rStyle w:val="FootnoteReference"/>
                <w:rFonts w:ascii="Calibri" w:eastAsia="Calibri" w:hAnsi="Calibri" w:cs="Times New Roman"/>
                <w:sz w:val="18"/>
                <w:szCs w:val="18"/>
              </w:rPr>
              <w:footnoteReference w:id="38"/>
            </w:r>
          </w:p>
        </w:tc>
        <w:tc>
          <w:tcPr>
            <w:tcW w:w="743" w:type="pct"/>
            <w:shd w:val="clear" w:color="auto" w:fill="auto"/>
          </w:tcPr>
          <w:p w14:paraId="1D79E3C8" w14:textId="77777777" w:rsidR="0089787C" w:rsidRPr="0026335B" w:rsidRDefault="0089787C" w:rsidP="008D46E5">
            <w:pPr>
              <w:jc w:val="center"/>
              <w:rPr>
                <w:rFonts w:ascii="Calibri" w:eastAsia="Calibri" w:hAnsi="Calibri" w:cs="Times New Roman"/>
                <w:b/>
                <w:sz w:val="18"/>
                <w:szCs w:val="18"/>
              </w:rPr>
            </w:pPr>
            <w:r w:rsidRPr="0026335B">
              <w:rPr>
                <w:rFonts w:ascii="Calibri" w:eastAsia="Calibri" w:hAnsi="Calibri" w:cs="Times New Roman"/>
                <w:b/>
                <w:sz w:val="18"/>
                <w:szCs w:val="18"/>
              </w:rPr>
              <w:t>2</w:t>
            </w:r>
          </w:p>
          <w:p w14:paraId="3DF776C7" w14:textId="77777777" w:rsidR="0089787C" w:rsidRPr="0026335B" w:rsidRDefault="0089787C" w:rsidP="008D46E5">
            <w:pPr>
              <w:jc w:val="center"/>
              <w:rPr>
                <w:rFonts w:ascii="Calibri" w:eastAsia="Calibri" w:hAnsi="Calibri" w:cs="Times New Roman"/>
                <w:b/>
                <w:sz w:val="18"/>
                <w:szCs w:val="18"/>
              </w:rPr>
            </w:pPr>
          </w:p>
        </w:tc>
        <w:tc>
          <w:tcPr>
            <w:tcW w:w="653" w:type="pct"/>
            <w:shd w:val="clear" w:color="auto" w:fill="auto"/>
          </w:tcPr>
          <w:p w14:paraId="68243E8E" w14:textId="55681E80" w:rsidR="0089787C" w:rsidRPr="0026335B" w:rsidRDefault="005719BA" w:rsidP="008D46E5">
            <w:pPr>
              <w:jc w:val="center"/>
              <w:rPr>
                <w:rFonts w:ascii="Calibri" w:eastAsia="Calibri" w:hAnsi="Calibri" w:cs="Times New Roman"/>
                <w:b/>
                <w:sz w:val="18"/>
                <w:szCs w:val="18"/>
                <w:lang w:val="fr-FR"/>
              </w:rPr>
            </w:pPr>
            <w:r w:rsidRPr="0026335B">
              <w:rPr>
                <w:rFonts w:ascii="Calibri" w:eastAsia="Calibri" w:hAnsi="Calibri" w:cs="Times New Roman"/>
                <w:b/>
                <w:sz w:val="18"/>
                <w:szCs w:val="18"/>
                <w:lang w:val="fr-FR"/>
              </w:rPr>
              <w:t>10</w:t>
            </w:r>
          </w:p>
          <w:p w14:paraId="59948DBA" w14:textId="77777777" w:rsidR="0089787C" w:rsidRPr="0026335B" w:rsidRDefault="0089787C" w:rsidP="008D46E5">
            <w:pPr>
              <w:jc w:val="center"/>
              <w:rPr>
                <w:rFonts w:ascii="Calibri" w:eastAsia="Calibri" w:hAnsi="Calibri" w:cs="Times New Roman"/>
                <w:b/>
                <w:sz w:val="18"/>
                <w:szCs w:val="18"/>
              </w:rPr>
            </w:pPr>
          </w:p>
        </w:tc>
        <w:tc>
          <w:tcPr>
            <w:tcW w:w="852" w:type="pct"/>
            <w:shd w:val="clear" w:color="auto" w:fill="auto"/>
          </w:tcPr>
          <w:p w14:paraId="330E05D1" w14:textId="56BDC18F" w:rsidR="0089787C" w:rsidRPr="00B6509B" w:rsidRDefault="009D3A21" w:rsidP="008D46E5">
            <w:pPr>
              <w:jc w:val="both"/>
              <w:rPr>
                <w:rFonts w:ascii="Calibri" w:eastAsia="Calibri" w:hAnsi="Calibri" w:cs="Times New Roman"/>
                <w:sz w:val="18"/>
                <w:szCs w:val="18"/>
              </w:rPr>
            </w:pPr>
            <w:r w:rsidRPr="009D3A21">
              <w:rPr>
                <w:rFonts w:ascii="Calibri" w:eastAsia="Calibri" w:hAnsi="Calibri" w:cs="Times New Roman"/>
                <w:sz w:val="18"/>
                <w:szCs w:val="18"/>
              </w:rPr>
              <w:t xml:space="preserve">ILO HQ Registration, </w:t>
            </w:r>
            <w:r w:rsidR="0089787C" w:rsidRPr="00B6509B">
              <w:rPr>
                <w:rFonts w:ascii="Calibri" w:eastAsia="Calibri" w:hAnsi="Calibri" w:cs="Times New Roman"/>
                <w:sz w:val="18"/>
                <w:szCs w:val="18"/>
              </w:rPr>
              <w:t>UN Office of Legal Affairs</w:t>
            </w:r>
            <w:r>
              <w:rPr>
                <w:rFonts w:ascii="Calibri" w:eastAsia="Calibri" w:hAnsi="Calibri" w:cs="Times New Roman"/>
                <w:sz w:val="18"/>
                <w:szCs w:val="18"/>
              </w:rPr>
              <w:t xml:space="preserve">, </w:t>
            </w:r>
            <w:r w:rsidRPr="009D3A21">
              <w:rPr>
                <w:rFonts w:ascii="Calibri" w:eastAsia="Calibri" w:hAnsi="Calibri" w:cs="Times New Roman"/>
                <w:sz w:val="18"/>
                <w:szCs w:val="18"/>
              </w:rPr>
              <w:t>UNESCO List of State Parties to the Convention</w:t>
            </w:r>
          </w:p>
        </w:tc>
        <w:tc>
          <w:tcPr>
            <w:tcW w:w="1137" w:type="pct"/>
            <w:shd w:val="clear" w:color="auto" w:fill="auto"/>
          </w:tcPr>
          <w:p w14:paraId="3C01F652" w14:textId="01A4FEC0" w:rsidR="0089787C" w:rsidRPr="00B6509B" w:rsidRDefault="0089787C" w:rsidP="008D46E5">
            <w:pPr>
              <w:jc w:val="both"/>
              <w:rPr>
                <w:rFonts w:ascii="Calibri" w:eastAsia="Calibri" w:hAnsi="Calibri" w:cs="Times New Roman"/>
                <w:sz w:val="18"/>
                <w:szCs w:val="18"/>
              </w:rPr>
            </w:pPr>
            <w:r w:rsidRPr="00B6509B">
              <w:rPr>
                <w:rFonts w:ascii="Calibri" w:eastAsia="Calibri" w:hAnsi="Calibri" w:cs="Times New Roman"/>
                <w:sz w:val="18"/>
                <w:szCs w:val="18"/>
                <w:lang w:val="en-NZ"/>
              </w:rPr>
              <w:t xml:space="preserve">CSOs, ILO, IOM, </w:t>
            </w:r>
            <w:r w:rsidR="00790FE6" w:rsidRPr="00790FE6">
              <w:rPr>
                <w:rFonts w:ascii="Calibri" w:eastAsia="Calibri" w:hAnsi="Calibri" w:cs="Times New Roman"/>
                <w:sz w:val="18"/>
                <w:szCs w:val="18"/>
                <w:lang w:val="en-NZ"/>
              </w:rPr>
              <w:t xml:space="preserve">Ministry of Education for PICTs, Ministry of Justice for PICTs, Parliament and Legislature for PICTs , Ministry of Labour and Industrial Relations for PICTs, </w:t>
            </w:r>
            <w:r w:rsidR="009D3A21" w:rsidRPr="009D3A21">
              <w:rPr>
                <w:rFonts w:ascii="Calibri" w:eastAsia="Calibri" w:hAnsi="Calibri" w:cs="Times New Roman"/>
                <w:sz w:val="18"/>
                <w:szCs w:val="18"/>
                <w:lang w:val="en-NZ"/>
              </w:rPr>
              <w:t>National Commissions for UNESCO</w:t>
            </w:r>
            <w:r w:rsidR="009D3A21">
              <w:rPr>
                <w:rFonts w:ascii="Calibri" w:eastAsia="Calibri" w:hAnsi="Calibri" w:cs="Times New Roman"/>
                <w:sz w:val="18"/>
                <w:szCs w:val="18"/>
                <w:lang w:val="en-NZ"/>
              </w:rPr>
              <w:t xml:space="preserve">, </w:t>
            </w:r>
            <w:r w:rsidR="00790FE6" w:rsidRPr="00790FE6">
              <w:rPr>
                <w:rFonts w:ascii="Calibri" w:eastAsia="Calibri" w:hAnsi="Calibri" w:cs="Times New Roman"/>
                <w:sz w:val="18"/>
                <w:szCs w:val="18"/>
                <w:lang w:val="en-NZ"/>
              </w:rPr>
              <w:t>RRRT</w:t>
            </w:r>
            <w:r w:rsidR="00790FE6">
              <w:rPr>
                <w:rFonts w:ascii="Calibri" w:eastAsia="Calibri" w:hAnsi="Calibri" w:cs="Times New Roman"/>
                <w:sz w:val="18"/>
                <w:szCs w:val="18"/>
                <w:lang w:val="en-NZ"/>
              </w:rPr>
              <w:t>,</w:t>
            </w:r>
            <w:r w:rsidR="00790FE6">
              <w:t xml:space="preserve"> </w:t>
            </w:r>
            <w:r w:rsidR="00790FE6" w:rsidRPr="00790FE6">
              <w:rPr>
                <w:rFonts w:ascii="Calibri" w:eastAsia="Calibri" w:hAnsi="Calibri" w:cs="Times New Roman"/>
                <w:sz w:val="18"/>
                <w:szCs w:val="18"/>
                <w:lang w:val="en-NZ"/>
              </w:rPr>
              <w:t xml:space="preserve">SPC, </w:t>
            </w:r>
            <w:r w:rsidR="00790FE6">
              <w:rPr>
                <w:rFonts w:ascii="Calibri" w:eastAsia="Calibri" w:hAnsi="Calibri" w:cs="Times New Roman"/>
                <w:sz w:val="18"/>
                <w:szCs w:val="18"/>
                <w:lang w:val="en-NZ"/>
              </w:rPr>
              <w:t xml:space="preserve"> </w:t>
            </w:r>
            <w:r w:rsidR="00790FE6" w:rsidRPr="00790FE6">
              <w:rPr>
                <w:rFonts w:ascii="Calibri" w:eastAsia="Calibri" w:hAnsi="Calibri" w:cs="Times New Roman"/>
                <w:sz w:val="18"/>
                <w:szCs w:val="18"/>
                <w:lang w:val="en-NZ"/>
              </w:rPr>
              <w:t xml:space="preserve"> </w:t>
            </w:r>
            <w:r w:rsidRPr="00B6509B">
              <w:rPr>
                <w:rFonts w:ascii="Calibri" w:eastAsia="Calibri" w:hAnsi="Calibri" w:cs="Times New Roman"/>
                <w:sz w:val="18"/>
                <w:szCs w:val="18"/>
                <w:lang w:val="en-NZ"/>
              </w:rPr>
              <w:t>UNESCAP, UNESCO, UNFPA,</w:t>
            </w:r>
            <w:r w:rsidR="009D3A21">
              <w:rPr>
                <w:rFonts w:ascii="Calibri" w:eastAsia="Calibri" w:hAnsi="Calibri" w:cs="Times New Roman"/>
                <w:sz w:val="18"/>
                <w:szCs w:val="18"/>
                <w:lang w:val="en-NZ"/>
              </w:rPr>
              <w:t xml:space="preserve"> UNICEF, UNOHCHR, UN Women</w:t>
            </w:r>
          </w:p>
        </w:tc>
      </w:tr>
      <w:tr w:rsidR="001601BC" w:rsidRPr="00B6509B" w14:paraId="1A6B606A" w14:textId="77777777" w:rsidTr="008D46E5">
        <w:trPr>
          <w:trHeight w:val="694"/>
        </w:trPr>
        <w:tc>
          <w:tcPr>
            <w:tcW w:w="198" w:type="pct"/>
            <w:shd w:val="clear" w:color="auto" w:fill="auto"/>
          </w:tcPr>
          <w:p w14:paraId="4BCCDB21" w14:textId="245E8E56" w:rsidR="001601BC" w:rsidRDefault="001601BC" w:rsidP="008D46E5">
            <w:pPr>
              <w:jc w:val="both"/>
              <w:rPr>
                <w:rFonts w:ascii="Calibri" w:eastAsia="Calibri" w:hAnsi="Calibri" w:cs="Times New Roman"/>
                <w:sz w:val="18"/>
                <w:szCs w:val="18"/>
              </w:rPr>
            </w:pPr>
            <w:r>
              <w:rPr>
                <w:rFonts w:ascii="Calibri" w:eastAsia="Calibri" w:hAnsi="Calibri" w:cs="Times New Roman"/>
                <w:sz w:val="18"/>
                <w:szCs w:val="18"/>
              </w:rPr>
              <w:t>6.6</w:t>
            </w:r>
          </w:p>
        </w:tc>
        <w:tc>
          <w:tcPr>
            <w:tcW w:w="1417" w:type="pct"/>
            <w:shd w:val="clear" w:color="auto" w:fill="auto"/>
          </w:tcPr>
          <w:p w14:paraId="0CFF6DF0" w14:textId="71A9524E" w:rsidR="001601BC" w:rsidRDefault="001601BC" w:rsidP="008D46E5">
            <w:pPr>
              <w:jc w:val="both"/>
              <w:rPr>
                <w:rFonts w:ascii="Calibri" w:eastAsia="Calibri" w:hAnsi="Calibri" w:cs="Times New Roman"/>
                <w:sz w:val="18"/>
                <w:szCs w:val="18"/>
              </w:rPr>
            </w:pPr>
            <w:r w:rsidRPr="001601BC">
              <w:rPr>
                <w:rFonts w:ascii="Calibri" w:eastAsia="Calibri" w:hAnsi="Calibri" w:cs="Times New Roman"/>
                <w:sz w:val="18"/>
                <w:szCs w:val="18"/>
              </w:rPr>
              <w:t>Number of PICTs which have improved in position according to Domains 2 and 3 of the Migration Governance Index</w:t>
            </w:r>
            <w:r w:rsidR="00BE6461">
              <w:rPr>
                <w:rStyle w:val="FootnoteReference"/>
                <w:rFonts w:ascii="Calibri" w:eastAsia="Calibri" w:hAnsi="Calibri" w:cs="Times New Roman"/>
                <w:sz w:val="18"/>
                <w:szCs w:val="18"/>
              </w:rPr>
              <w:footnoteReference w:id="39"/>
            </w:r>
          </w:p>
        </w:tc>
        <w:tc>
          <w:tcPr>
            <w:tcW w:w="743" w:type="pct"/>
            <w:shd w:val="clear" w:color="auto" w:fill="auto"/>
          </w:tcPr>
          <w:p w14:paraId="3E2947B6" w14:textId="6B549873" w:rsidR="001601BC" w:rsidRPr="0026335B" w:rsidRDefault="001601BC" w:rsidP="008D46E5">
            <w:pPr>
              <w:jc w:val="center"/>
              <w:rPr>
                <w:rFonts w:ascii="Calibri" w:eastAsia="Calibri" w:hAnsi="Calibri" w:cs="Times New Roman"/>
                <w:b/>
                <w:sz w:val="18"/>
                <w:szCs w:val="18"/>
              </w:rPr>
            </w:pPr>
            <w:r w:rsidRPr="0026335B">
              <w:rPr>
                <w:b/>
                <w:sz w:val="18"/>
                <w:szCs w:val="18"/>
              </w:rPr>
              <w:t>0</w:t>
            </w:r>
          </w:p>
        </w:tc>
        <w:tc>
          <w:tcPr>
            <w:tcW w:w="653" w:type="pct"/>
            <w:shd w:val="clear" w:color="auto" w:fill="auto"/>
          </w:tcPr>
          <w:p w14:paraId="50B0DB72" w14:textId="27696200" w:rsidR="001601BC" w:rsidRPr="0026335B" w:rsidRDefault="001601BC" w:rsidP="008D46E5">
            <w:pPr>
              <w:jc w:val="center"/>
              <w:rPr>
                <w:rFonts w:ascii="Calibri" w:eastAsia="Calibri" w:hAnsi="Calibri" w:cs="Times New Roman"/>
                <w:b/>
                <w:sz w:val="18"/>
                <w:szCs w:val="18"/>
                <w:lang w:val="fr-FR"/>
              </w:rPr>
            </w:pPr>
            <w:r w:rsidRPr="0026335B">
              <w:rPr>
                <w:b/>
                <w:sz w:val="18"/>
                <w:szCs w:val="18"/>
              </w:rPr>
              <w:t>7</w:t>
            </w:r>
          </w:p>
        </w:tc>
        <w:tc>
          <w:tcPr>
            <w:tcW w:w="852" w:type="pct"/>
            <w:shd w:val="clear" w:color="auto" w:fill="auto"/>
          </w:tcPr>
          <w:p w14:paraId="2BDF8573" w14:textId="10E154F9" w:rsidR="001601BC" w:rsidRPr="00B6509B" w:rsidRDefault="001601BC" w:rsidP="008D46E5">
            <w:pPr>
              <w:jc w:val="both"/>
              <w:rPr>
                <w:rFonts w:ascii="Calibri" w:eastAsia="Calibri" w:hAnsi="Calibri" w:cs="Times New Roman"/>
                <w:sz w:val="18"/>
                <w:szCs w:val="18"/>
              </w:rPr>
            </w:pPr>
            <w:r w:rsidRPr="00B6509B">
              <w:rPr>
                <w:rFonts w:ascii="Calibri" w:eastAsia="Calibri" w:hAnsi="Calibri" w:cs="Times New Roman"/>
                <w:sz w:val="18"/>
                <w:szCs w:val="18"/>
              </w:rPr>
              <w:t>Migration Governance Index Report</w:t>
            </w:r>
          </w:p>
        </w:tc>
        <w:tc>
          <w:tcPr>
            <w:tcW w:w="1137" w:type="pct"/>
            <w:shd w:val="clear" w:color="auto" w:fill="auto"/>
          </w:tcPr>
          <w:p w14:paraId="390F48DF" w14:textId="77777777" w:rsidR="001601BC" w:rsidRPr="00B6509B" w:rsidRDefault="001601BC" w:rsidP="008D46E5">
            <w:pPr>
              <w:jc w:val="both"/>
              <w:rPr>
                <w:rFonts w:ascii="Calibri" w:eastAsia="Calibri" w:hAnsi="Calibri" w:cs="Times New Roman"/>
                <w:sz w:val="18"/>
                <w:szCs w:val="18"/>
                <w:lang w:val="en-NZ"/>
              </w:rPr>
            </w:pPr>
          </w:p>
        </w:tc>
      </w:tr>
    </w:tbl>
    <w:p w14:paraId="36E2CB22" w14:textId="77777777" w:rsidR="001E1D12" w:rsidRDefault="001E1D12"/>
    <w:sectPr w:rsidR="001E1D12" w:rsidSect="001E1D12">
      <w:footerReference w:type="default" r:id="rId13"/>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BD62" w14:textId="77777777" w:rsidR="00C306F2" w:rsidRDefault="00C306F2" w:rsidP="001E1D12">
      <w:pPr>
        <w:spacing w:after="0" w:line="240" w:lineRule="auto"/>
      </w:pPr>
      <w:r>
        <w:separator/>
      </w:r>
    </w:p>
  </w:endnote>
  <w:endnote w:type="continuationSeparator" w:id="0">
    <w:p w14:paraId="14505A94" w14:textId="77777777" w:rsidR="00C306F2" w:rsidRDefault="00C306F2" w:rsidP="001E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6823189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62A5575" w14:textId="318AEA48" w:rsidR="00907C8A" w:rsidRPr="00907C8A" w:rsidRDefault="00907C8A">
            <w:pPr>
              <w:pStyle w:val="Footer"/>
              <w:jc w:val="center"/>
              <w:rPr>
                <w:sz w:val="16"/>
                <w:szCs w:val="16"/>
              </w:rPr>
            </w:pPr>
            <w:r w:rsidRPr="00907C8A">
              <w:rPr>
                <w:sz w:val="16"/>
                <w:szCs w:val="16"/>
              </w:rPr>
              <w:t xml:space="preserve">Page </w:t>
            </w:r>
            <w:r w:rsidRPr="00907C8A">
              <w:rPr>
                <w:b/>
                <w:bCs/>
                <w:sz w:val="16"/>
                <w:szCs w:val="16"/>
              </w:rPr>
              <w:fldChar w:fldCharType="begin"/>
            </w:r>
            <w:r w:rsidRPr="00907C8A">
              <w:rPr>
                <w:b/>
                <w:bCs/>
                <w:sz w:val="16"/>
                <w:szCs w:val="16"/>
              </w:rPr>
              <w:instrText xml:space="preserve"> PAGE </w:instrText>
            </w:r>
            <w:r w:rsidRPr="00907C8A">
              <w:rPr>
                <w:b/>
                <w:bCs/>
                <w:sz w:val="16"/>
                <w:szCs w:val="16"/>
              </w:rPr>
              <w:fldChar w:fldCharType="separate"/>
            </w:r>
            <w:r w:rsidR="00847E29">
              <w:rPr>
                <w:b/>
                <w:bCs/>
                <w:noProof/>
                <w:sz w:val="16"/>
                <w:szCs w:val="16"/>
              </w:rPr>
              <w:t>1</w:t>
            </w:r>
            <w:r w:rsidRPr="00907C8A">
              <w:rPr>
                <w:b/>
                <w:bCs/>
                <w:sz w:val="16"/>
                <w:szCs w:val="16"/>
              </w:rPr>
              <w:fldChar w:fldCharType="end"/>
            </w:r>
            <w:r w:rsidRPr="00907C8A">
              <w:rPr>
                <w:sz w:val="16"/>
                <w:szCs w:val="16"/>
              </w:rPr>
              <w:t xml:space="preserve"> of </w:t>
            </w:r>
            <w:r w:rsidRPr="00907C8A">
              <w:rPr>
                <w:b/>
                <w:bCs/>
                <w:sz w:val="16"/>
                <w:szCs w:val="16"/>
              </w:rPr>
              <w:fldChar w:fldCharType="begin"/>
            </w:r>
            <w:r w:rsidRPr="00907C8A">
              <w:rPr>
                <w:b/>
                <w:bCs/>
                <w:sz w:val="16"/>
                <w:szCs w:val="16"/>
              </w:rPr>
              <w:instrText xml:space="preserve"> NUMPAGES  </w:instrText>
            </w:r>
            <w:r w:rsidRPr="00907C8A">
              <w:rPr>
                <w:b/>
                <w:bCs/>
                <w:sz w:val="16"/>
                <w:szCs w:val="16"/>
              </w:rPr>
              <w:fldChar w:fldCharType="separate"/>
            </w:r>
            <w:r w:rsidR="00847E29">
              <w:rPr>
                <w:b/>
                <w:bCs/>
                <w:noProof/>
                <w:sz w:val="16"/>
                <w:szCs w:val="16"/>
              </w:rPr>
              <w:t>9</w:t>
            </w:r>
            <w:r w:rsidRPr="00907C8A">
              <w:rPr>
                <w:b/>
                <w:bCs/>
                <w:sz w:val="16"/>
                <w:szCs w:val="16"/>
              </w:rPr>
              <w:fldChar w:fldCharType="end"/>
            </w:r>
          </w:p>
        </w:sdtContent>
      </w:sdt>
    </w:sdtContent>
  </w:sdt>
  <w:p w14:paraId="189DC22D" w14:textId="77777777" w:rsidR="00907C8A" w:rsidRPr="00907C8A" w:rsidRDefault="00907C8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D391E" w14:textId="77777777" w:rsidR="00C306F2" w:rsidRDefault="00C306F2" w:rsidP="001E1D12">
      <w:pPr>
        <w:spacing w:after="0" w:line="240" w:lineRule="auto"/>
      </w:pPr>
      <w:r>
        <w:separator/>
      </w:r>
    </w:p>
  </w:footnote>
  <w:footnote w:type="continuationSeparator" w:id="0">
    <w:p w14:paraId="7FAB78BF" w14:textId="77777777" w:rsidR="00C306F2" w:rsidRDefault="00C306F2" w:rsidP="001E1D12">
      <w:pPr>
        <w:spacing w:after="0" w:line="240" w:lineRule="auto"/>
      </w:pPr>
      <w:r>
        <w:continuationSeparator/>
      </w:r>
    </w:p>
  </w:footnote>
  <w:footnote w:id="1">
    <w:p w14:paraId="2F7264A3" w14:textId="77777777" w:rsidR="0005063B" w:rsidRPr="00910E4C" w:rsidRDefault="0005063B" w:rsidP="001E1D12">
      <w:pPr>
        <w:rPr>
          <w:sz w:val="16"/>
          <w:szCs w:val="16"/>
        </w:rPr>
      </w:pPr>
      <w:r w:rsidRPr="00910E4C">
        <w:rPr>
          <w:rStyle w:val="FootnoteReference"/>
          <w:sz w:val="16"/>
          <w:szCs w:val="16"/>
        </w:rPr>
        <w:footnoteRef/>
      </w:r>
      <w:r w:rsidRPr="00910E4C">
        <w:rPr>
          <w:sz w:val="16"/>
          <w:szCs w:val="16"/>
        </w:rPr>
        <w:t xml:space="preserve"> Collaborating agencies = 1. Those agencies that will be directly engaged in joint programming activities under this joint outcome; 2. Those agencies that will be contributing resources to the joint outcome</w:t>
      </w:r>
    </w:p>
  </w:footnote>
  <w:footnote w:id="2">
    <w:p w14:paraId="06A48262" w14:textId="24A150D0" w:rsidR="00AD1BE6" w:rsidRDefault="00AD1BE6">
      <w:pPr>
        <w:pStyle w:val="FootnoteText"/>
      </w:pPr>
      <w:r w:rsidRPr="00910E4C">
        <w:rPr>
          <w:rStyle w:val="FootnoteReference"/>
          <w:sz w:val="16"/>
          <w:szCs w:val="16"/>
        </w:rPr>
        <w:footnoteRef/>
      </w:r>
      <w:r w:rsidRPr="00910E4C">
        <w:rPr>
          <w:sz w:val="16"/>
          <w:szCs w:val="16"/>
        </w:rPr>
        <w:t xml:space="preserve"> </w:t>
      </w:r>
      <w:r w:rsidR="00910E4C" w:rsidRPr="00910E4C">
        <w:rPr>
          <w:sz w:val="16"/>
          <w:szCs w:val="16"/>
        </w:rPr>
        <w:t>Tier II</w:t>
      </w:r>
    </w:p>
  </w:footnote>
  <w:footnote w:id="3">
    <w:p w14:paraId="528B9848" w14:textId="77777777" w:rsidR="0005063B" w:rsidRPr="00384253" w:rsidRDefault="0005063B" w:rsidP="001E1D12">
      <w:pPr>
        <w:pStyle w:val="FootnoteText"/>
        <w:rPr>
          <w:color w:val="000000" w:themeColor="text1"/>
          <w:sz w:val="16"/>
          <w:szCs w:val="16"/>
        </w:rPr>
      </w:pPr>
      <w:r w:rsidRPr="00384253">
        <w:rPr>
          <w:rStyle w:val="FootnoteReference"/>
          <w:color w:val="000000" w:themeColor="text1"/>
          <w:sz w:val="16"/>
          <w:szCs w:val="16"/>
        </w:rPr>
        <w:footnoteRef/>
      </w:r>
      <w:r w:rsidRPr="00384253">
        <w:rPr>
          <w:color w:val="000000" w:themeColor="text1"/>
          <w:sz w:val="16"/>
          <w:szCs w:val="16"/>
        </w:rPr>
        <w:t xml:space="preserve"> </w:t>
      </w:r>
      <w:r w:rsidRPr="00384253">
        <w:rPr>
          <w:rFonts w:ascii="Calibri" w:hAnsi="Calibri"/>
          <w:color w:val="000000" w:themeColor="text1"/>
          <w:sz w:val="16"/>
          <w:szCs w:val="16"/>
        </w:rPr>
        <w:t>(Tier II) (SDG Indicator 11.5.2 verbatim)</w:t>
      </w:r>
    </w:p>
  </w:footnote>
  <w:footnote w:id="4">
    <w:p w14:paraId="505DDE8B" w14:textId="77777777" w:rsidR="0005063B" w:rsidRPr="00384253" w:rsidRDefault="0005063B" w:rsidP="001E1D12">
      <w:pPr>
        <w:pStyle w:val="FootnoteText"/>
        <w:rPr>
          <w:sz w:val="16"/>
          <w:szCs w:val="16"/>
        </w:rPr>
      </w:pPr>
      <w:r w:rsidRPr="00384253">
        <w:rPr>
          <w:rStyle w:val="FootnoteReference"/>
          <w:color w:val="000000" w:themeColor="text1"/>
          <w:sz w:val="16"/>
          <w:szCs w:val="16"/>
        </w:rPr>
        <w:footnoteRef/>
      </w:r>
      <w:r w:rsidRPr="00384253">
        <w:rPr>
          <w:color w:val="000000" w:themeColor="text1"/>
          <w:sz w:val="16"/>
          <w:szCs w:val="16"/>
        </w:rPr>
        <w:t xml:space="preserve"> </w:t>
      </w:r>
      <w:r w:rsidRPr="00384253">
        <w:rPr>
          <w:rFonts w:ascii="Calibri" w:hAnsi="Calibri"/>
          <w:color w:val="000000" w:themeColor="text1"/>
          <w:sz w:val="16"/>
          <w:szCs w:val="16"/>
        </w:rPr>
        <w:t xml:space="preserve">(Tier II) (SDG Indicator 13.1.1 modified)  </w:t>
      </w:r>
    </w:p>
  </w:footnote>
  <w:footnote w:id="5">
    <w:p w14:paraId="3C2F52E9" w14:textId="77777777" w:rsidR="0005063B" w:rsidRPr="00384253" w:rsidRDefault="0005063B" w:rsidP="001E1D12">
      <w:pPr>
        <w:pStyle w:val="FootnoteText"/>
        <w:rPr>
          <w:color w:val="000000" w:themeColor="text1"/>
          <w:sz w:val="16"/>
          <w:szCs w:val="16"/>
        </w:rPr>
      </w:pPr>
      <w:r w:rsidRPr="00384253">
        <w:rPr>
          <w:rStyle w:val="FootnoteReference"/>
          <w:color w:val="000000" w:themeColor="text1"/>
          <w:sz w:val="16"/>
          <w:szCs w:val="16"/>
        </w:rPr>
        <w:footnoteRef/>
      </w:r>
      <w:r w:rsidRPr="00384253">
        <w:rPr>
          <w:color w:val="000000" w:themeColor="text1"/>
          <w:sz w:val="16"/>
          <w:szCs w:val="16"/>
        </w:rPr>
        <w:t xml:space="preserve"> SDG Indicator 13.2.1 modified</w:t>
      </w:r>
    </w:p>
  </w:footnote>
  <w:footnote w:id="6">
    <w:p w14:paraId="7E8C9B5E" w14:textId="77777777" w:rsidR="0005063B" w:rsidRPr="00BF393F" w:rsidRDefault="0005063B" w:rsidP="001E1D12">
      <w:pPr>
        <w:pStyle w:val="FootnoteText"/>
        <w:rPr>
          <w:color w:val="000000" w:themeColor="text1"/>
          <w:sz w:val="18"/>
          <w:szCs w:val="18"/>
        </w:rPr>
      </w:pPr>
      <w:r w:rsidRPr="00384253">
        <w:rPr>
          <w:rStyle w:val="FootnoteReference"/>
          <w:color w:val="000000" w:themeColor="text1"/>
          <w:sz w:val="16"/>
          <w:szCs w:val="16"/>
        </w:rPr>
        <w:footnoteRef/>
      </w:r>
      <w:r w:rsidRPr="00384253">
        <w:rPr>
          <w:color w:val="000000" w:themeColor="text1"/>
          <w:sz w:val="16"/>
          <w:szCs w:val="16"/>
        </w:rPr>
        <w:t xml:space="preserve"> </w:t>
      </w:r>
      <w:r w:rsidRPr="00384253">
        <w:rPr>
          <w:rFonts w:ascii="Calibri" w:hAnsi="Calibri"/>
          <w:color w:val="000000" w:themeColor="text1"/>
          <w:sz w:val="16"/>
          <w:szCs w:val="16"/>
        </w:rPr>
        <w:t>Tier I (SDG Indicator 15.1.2 and 14.51 combined and modified)</w:t>
      </w:r>
      <w:r w:rsidRPr="00BF393F">
        <w:rPr>
          <w:rFonts w:ascii="Calibri" w:hAnsi="Calibri"/>
          <w:color w:val="000000" w:themeColor="text1"/>
          <w:sz w:val="18"/>
          <w:szCs w:val="18"/>
        </w:rPr>
        <w:t xml:space="preserve">  </w:t>
      </w:r>
    </w:p>
  </w:footnote>
  <w:footnote w:id="7">
    <w:p w14:paraId="73316679" w14:textId="77777777" w:rsidR="0005063B" w:rsidRPr="00653E49" w:rsidRDefault="0005063B" w:rsidP="001E1D12">
      <w:pPr>
        <w:pStyle w:val="FootnoteText"/>
        <w:rPr>
          <w:color w:val="000000"/>
          <w:sz w:val="16"/>
          <w:szCs w:val="16"/>
          <w:lang w:val="fr-FR"/>
        </w:rPr>
      </w:pPr>
      <w:r w:rsidRPr="00CA01AF">
        <w:rPr>
          <w:rStyle w:val="FootnoteReference"/>
          <w:color w:val="000000"/>
          <w:sz w:val="16"/>
          <w:szCs w:val="16"/>
        </w:rPr>
        <w:footnoteRef/>
      </w:r>
      <w:r w:rsidRPr="00653E49">
        <w:rPr>
          <w:color w:val="000000"/>
          <w:sz w:val="16"/>
          <w:szCs w:val="16"/>
          <w:lang w:val="fr-FR"/>
        </w:rPr>
        <w:t xml:space="preserve"> Tier I</w:t>
      </w:r>
    </w:p>
  </w:footnote>
  <w:footnote w:id="8">
    <w:p w14:paraId="49351D94" w14:textId="77777777" w:rsidR="0005063B" w:rsidRPr="00653E49" w:rsidRDefault="0005063B" w:rsidP="001E1D12">
      <w:pPr>
        <w:pStyle w:val="FootnoteText"/>
        <w:rPr>
          <w:color w:val="000000"/>
          <w:sz w:val="16"/>
          <w:szCs w:val="16"/>
          <w:lang w:val="fr-FR"/>
        </w:rPr>
      </w:pPr>
      <w:r w:rsidRPr="00CA01AF">
        <w:rPr>
          <w:rStyle w:val="FootnoteReference"/>
          <w:color w:val="000000"/>
          <w:sz w:val="16"/>
          <w:szCs w:val="16"/>
        </w:rPr>
        <w:footnoteRef/>
      </w:r>
      <w:r w:rsidRPr="00653E49">
        <w:rPr>
          <w:color w:val="000000"/>
          <w:sz w:val="16"/>
          <w:szCs w:val="16"/>
          <w:lang w:val="fr-FR"/>
        </w:rPr>
        <w:t xml:space="preserve"> Tier II</w:t>
      </w:r>
    </w:p>
  </w:footnote>
  <w:footnote w:id="9">
    <w:p w14:paraId="2D20873D" w14:textId="3AC5FC28" w:rsidR="00AD1BE6" w:rsidRPr="00653E49" w:rsidRDefault="00AD1BE6">
      <w:pPr>
        <w:pStyle w:val="FootnoteText"/>
        <w:rPr>
          <w:sz w:val="16"/>
          <w:szCs w:val="16"/>
          <w:lang w:val="fr-FR"/>
        </w:rPr>
      </w:pPr>
      <w:r w:rsidRPr="00CA01AF">
        <w:rPr>
          <w:rStyle w:val="FootnoteReference"/>
          <w:sz w:val="16"/>
          <w:szCs w:val="16"/>
        </w:rPr>
        <w:footnoteRef/>
      </w:r>
      <w:r w:rsidRPr="00653E49">
        <w:rPr>
          <w:sz w:val="16"/>
          <w:szCs w:val="16"/>
          <w:lang w:val="fr-FR"/>
        </w:rPr>
        <w:t xml:space="preserve"> </w:t>
      </w:r>
      <w:r w:rsidR="00CA01AF" w:rsidRPr="00653E49">
        <w:rPr>
          <w:sz w:val="16"/>
          <w:szCs w:val="16"/>
          <w:lang w:val="fr-FR"/>
        </w:rPr>
        <w:t>Tier II</w:t>
      </w:r>
    </w:p>
  </w:footnote>
  <w:footnote w:id="10">
    <w:p w14:paraId="15BC86B8" w14:textId="77777777" w:rsidR="0005063B" w:rsidRPr="001E1D12" w:rsidRDefault="0005063B" w:rsidP="001E1D12">
      <w:pPr>
        <w:pStyle w:val="FootnoteText"/>
        <w:rPr>
          <w:color w:val="000000"/>
          <w:sz w:val="18"/>
          <w:szCs w:val="18"/>
        </w:rPr>
      </w:pPr>
      <w:r w:rsidRPr="00CA01AF">
        <w:rPr>
          <w:rStyle w:val="FootnoteReference"/>
          <w:color w:val="000000"/>
          <w:sz w:val="16"/>
          <w:szCs w:val="16"/>
        </w:rPr>
        <w:footnoteRef/>
      </w:r>
      <w:r w:rsidRPr="00CA01AF">
        <w:rPr>
          <w:color w:val="000000"/>
          <w:sz w:val="16"/>
          <w:szCs w:val="16"/>
        </w:rPr>
        <w:t xml:space="preserve"> Tier I</w:t>
      </w:r>
    </w:p>
  </w:footnote>
  <w:footnote w:id="11">
    <w:p w14:paraId="7C88ED0C" w14:textId="77777777" w:rsidR="001725A1" w:rsidRPr="00CA01AF" w:rsidRDefault="001725A1" w:rsidP="001E1D12">
      <w:pPr>
        <w:pStyle w:val="FootnoteText"/>
        <w:rPr>
          <w:color w:val="000000"/>
          <w:sz w:val="16"/>
          <w:szCs w:val="16"/>
        </w:rPr>
      </w:pPr>
      <w:r w:rsidRPr="00CA01AF">
        <w:rPr>
          <w:rStyle w:val="FootnoteReference"/>
          <w:color w:val="000000"/>
          <w:sz w:val="16"/>
          <w:szCs w:val="16"/>
        </w:rPr>
        <w:footnoteRef/>
      </w:r>
      <w:r w:rsidRPr="00CA01AF">
        <w:rPr>
          <w:color w:val="000000"/>
          <w:sz w:val="16"/>
          <w:szCs w:val="16"/>
        </w:rPr>
        <w:t xml:space="preserve"> </w:t>
      </w:r>
      <w:r w:rsidRPr="00CA01AF">
        <w:rPr>
          <w:rFonts w:ascii="Calibri" w:hAnsi="Calibri"/>
          <w:color w:val="000000"/>
          <w:sz w:val="16"/>
          <w:szCs w:val="16"/>
        </w:rPr>
        <w:t>UNESCAP (pov) Tier I</w:t>
      </w:r>
    </w:p>
  </w:footnote>
  <w:footnote w:id="12">
    <w:p w14:paraId="7C33016D" w14:textId="77777777" w:rsidR="001725A1" w:rsidRPr="00CA01AF" w:rsidRDefault="001725A1" w:rsidP="001E1D12">
      <w:pPr>
        <w:pStyle w:val="FootnoteText"/>
        <w:rPr>
          <w:color w:val="000000"/>
          <w:sz w:val="16"/>
          <w:szCs w:val="16"/>
        </w:rPr>
      </w:pPr>
      <w:r w:rsidRPr="00CA01AF">
        <w:rPr>
          <w:rStyle w:val="FootnoteReference"/>
          <w:color w:val="000000"/>
          <w:sz w:val="16"/>
          <w:szCs w:val="16"/>
        </w:rPr>
        <w:footnoteRef/>
      </w:r>
      <w:r w:rsidRPr="00CA01AF">
        <w:rPr>
          <w:color w:val="000000"/>
          <w:sz w:val="16"/>
          <w:szCs w:val="16"/>
        </w:rPr>
        <w:t xml:space="preserve"> </w:t>
      </w:r>
      <w:r w:rsidRPr="00CA01AF">
        <w:rPr>
          <w:rFonts w:ascii="Calibri" w:hAnsi="Calibri"/>
          <w:color w:val="000000"/>
          <w:sz w:val="16"/>
          <w:szCs w:val="16"/>
        </w:rPr>
        <w:t>(pov) Tier II</w:t>
      </w:r>
    </w:p>
  </w:footnote>
  <w:footnote w:id="13">
    <w:p w14:paraId="543CCBF0" w14:textId="77777777" w:rsidR="001725A1" w:rsidRPr="00CA01AF" w:rsidRDefault="001725A1" w:rsidP="001E1D12">
      <w:pPr>
        <w:pStyle w:val="FootnoteText"/>
        <w:rPr>
          <w:color w:val="000000"/>
          <w:sz w:val="16"/>
          <w:szCs w:val="16"/>
        </w:rPr>
      </w:pPr>
      <w:r w:rsidRPr="00CA01AF">
        <w:rPr>
          <w:rStyle w:val="FootnoteReference"/>
          <w:color w:val="000000"/>
          <w:sz w:val="16"/>
          <w:szCs w:val="16"/>
        </w:rPr>
        <w:footnoteRef/>
      </w:r>
      <w:r w:rsidRPr="00CA01AF">
        <w:rPr>
          <w:color w:val="000000"/>
          <w:sz w:val="16"/>
          <w:szCs w:val="16"/>
        </w:rPr>
        <w:t xml:space="preserve"> </w:t>
      </w:r>
      <w:r w:rsidRPr="00CA01AF">
        <w:rPr>
          <w:rFonts w:ascii="Calibri" w:hAnsi="Calibri"/>
          <w:color w:val="000000"/>
          <w:sz w:val="16"/>
          <w:szCs w:val="16"/>
        </w:rPr>
        <w:t>Tier I</w:t>
      </w:r>
    </w:p>
  </w:footnote>
  <w:footnote w:id="14">
    <w:p w14:paraId="3B688D68" w14:textId="77777777" w:rsidR="001725A1" w:rsidRPr="00CA01AF" w:rsidRDefault="001725A1" w:rsidP="001E1D12">
      <w:pPr>
        <w:pStyle w:val="FootnoteText"/>
        <w:rPr>
          <w:color w:val="000000"/>
          <w:sz w:val="16"/>
          <w:szCs w:val="16"/>
        </w:rPr>
      </w:pPr>
      <w:r w:rsidRPr="00CA01AF">
        <w:rPr>
          <w:rStyle w:val="FootnoteReference"/>
          <w:color w:val="000000"/>
          <w:sz w:val="16"/>
          <w:szCs w:val="16"/>
        </w:rPr>
        <w:footnoteRef/>
      </w:r>
      <w:r w:rsidRPr="00CA01AF">
        <w:rPr>
          <w:color w:val="000000"/>
          <w:sz w:val="16"/>
          <w:szCs w:val="16"/>
        </w:rPr>
        <w:t xml:space="preserve"> </w:t>
      </w:r>
      <w:r w:rsidRPr="00CA01AF">
        <w:rPr>
          <w:rFonts w:ascii="Calibri" w:hAnsi="Calibri"/>
          <w:color w:val="000000"/>
          <w:sz w:val="16"/>
          <w:szCs w:val="16"/>
        </w:rPr>
        <w:t>Tier I</w:t>
      </w:r>
    </w:p>
  </w:footnote>
  <w:footnote w:id="15">
    <w:p w14:paraId="350592BE" w14:textId="77777777" w:rsidR="001725A1" w:rsidRPr="00EA404E" w:rsidRDefault="001725A1" w:rsidP="001E1D12">
      <w:pPr>
        <w:pStyle w:val="FootnoteText"/>
        <w:rPr>
          <w:sz w:val="18"/>
          <w:szCs w:val="18"/>
        </w:rPr>
      </w:pPr>
      <w:r w:rsidRPr="00CA01AF">
        <w:rPr>
          <w:rStyle w:val="FootnoteReference"/>
          <w:color w:val="000000"/>
          <w:sz w:val="16"/>
          <w:szCs w:val="16"/>
        </w:rPr>
        <w:footnoteRef/>
      </w:r>
      <w:r w:rsidRPr="00CA01AF">
        <w:rPr>
          <w:color w:val="000000"/>
          <w:sz w:val="16"/>
          <w:szCs w:val="16"/>
        </w:rPr>
        <w:t xml:space="preserve"> Tier I</w:t>
      </w:r>
    </w:p>
  </w:footnote>
  <w:footnote w:id="16">
    <w:p w14:paraId="31DB5333" w14:textId="77777777" w:rsidR="001725A1" w:rsidRPr="00CA01AF" w:rsidRDefault="001725A1" w:rsidP="001E1D12">
      <w:pPr>
        <w:pStyle w:val="FootnoteText"/>
        <w:rPr>
          <w:sz w:val="16"/>
          <w:szCs w:val="16"/>
        </w:rPr>
      </w:pPr>
      <w:r w:rsidRPr="00CA01AF">
        <w:rPr>
          <w:rStyle w:val="FootnoteReference"/>
          <w:sz w:val="16"/>
          <w:szCs w:val="16"/>
        </w:rPr>
        <w:footnoteRef/>
      </w:r>
      <w:r w:rsidRPr="00CA01AF">
        <w:rPr>
          <w:sz w:val="16"/>
          <w:szCs w:val="16"/>
        </w:rPr>
        <w:t xml:space="preserve"> Tier I</w:t>
      </w:r>
    </w:p>
  </w:footnote>
  <w:footnote w:id="17">
    <w:p w14:paraId="03D0DE41" w14:textId="4B87C07A" w:rsidR="0005063B" w:rsidRPr="00CA01AF" w:rsidRDefault="0005063B">
      <w:pPr>
        <w:pStyle w:val="FootnoteText"/>
        <w:rPr>
          <w:sz w:val="16"/>
          <w:szCs w:val="16"/>
        </w:rPr>
      </w:pPr>
      <w:r w:rsidRPr="00CA01AF">
        <w:rPr>
          <w:rStyle w:val="FootnoteReference"/>
          <w:sz w:val="16"/>
          <w:szCs w:val="16"/>
        </w:rPr>
        <w:footnoteRef/>
      </w:r>
      <w:r w:rsidRPr="00CA01AF">
        <w:rPr>
          <w:sz w:val="16"/>
          <w:szCs w:val="16"/>
        </w:rPr>
        <w:t xml:space="preserve"> Tier I</w:t>
      </w:r>
    </w:p>
  </w:footnote>
  <w:footnote w:id="18">
    <w:p w14:paraId="7707437F" w14:textId="77777777" w:rsidR="0005063B" w:rsidRPr="00CA01AF" w:rsidRDefault="0005063B" w:rsidP="001E1D12">
      <w:pPr>
        <w:pStyle w:val="FootnoteText"/>
        <w:rPr>
          <w:color w:val="000000"/>
          <w:sz w:val="16"/>
          <w:szCs w:val="16"/>
        </w:rPr>
      </w:pPr>
      <w:r w:rsidRPr="00CA01AF">
        <w:rPr>
          <w:rStyle w:val="FootnoteReference"/>
          <w:color w:val="000000"/>
          <w:sz w:val="16"/>
          <w:szCs w:val="16"/>
        </w:rPr>
        <w:footnoteRef/>
      </w:r>
      <w:r w:rsidRPr="00CA01AF">
        <w:rPr>
          <w:color w:val="000000"/>
          <w:sz w:val="16"/>
          <w:szCs w:val="16"/>
        </w:rPr>
        <w:t xml:space="preserve"> </w:t>
      </w:r>
      <w:r w:rsidRPr="00CA01AF">
        <w:rPr>
          <w:rFonts w:ascii="Calibri" w:hAnsi="Calibri"/>
          <w:color w:val="000000"/>
          <w:sz w:val="16"/>
          <w:szCs w:val="16"/>
        </w:rPr>
        <w:t>Tier I</w:t>
      </w:r>
    </w:p>
  </w:footnote>
  <w:footnote w:id="19">
    <w:p w14:paraId="6CB549C2" w14:textId="77777777" w:rsidR="0005063B" w:rsidRPr="001E1D12" w:rsidRDefault="0005063B" w:rsidP="001E1D12">
      <w:pPr>
        <w:pStyle w:val="FootnoteText"/>
        <w:rPr>
          <w:color w:val="000000"/>
          <w:sz w:val="18"/>
          <w:szCs w:val="18"/>
        </w:rPr>
      </w:pPr>
      <w:r w:rsidRPr="00CA01AF">
        <w:rPr>
          <w:rStyle w:val="FootnoteReference"/>
          <w:color w:val="000000"/>
          <w:sz w:val="16"/>
          <w:szCs w:val="16"/>
        </w:rPr>
        <w:footnoteRef/>
      </w:r>
      <w:r w:rsidRPr="00CA01AF">
        <w:rPr>
          <w:color w:val="000000"/>
          <w:sz w:val="16"/>
          <w:szCs w:val="16"/>
        </w:rPr>
        <w:t xml:space="preserve"> </w:t>
      </w:r>
      <w:r w:rsidRPr="00CA01AF">
        <w:rPr>
          <w:rFonts w:ascii="Calibri" w:hAnsi="Calibri"/>
          <w:color w:val="000000"/>
          <w:sz w:val="16"/>
          <w:szCs w:val="16"/>
        </w:rPr>
        <w:t>Tier I</w:t>
      </w:r>
    </w:p>
  </w:footnote>
  <w:footnote w:id="20">
    <w:p w14:paraId="01DB839A" w14:textId="77777777" w:rsidR="0005063B" w:rsidRPr="00653E49" w:rsidRDefault="0005063B" w:rsidP="001E1D12">
      <w:pPr>
        <w:pStyle w:val="FootnoteText"/>
        <w:rPr>
          <w:color w:val="000000"/>
          <w:sz w:val="16"/>
          <w:szCs w:val="16"/>
          <w:lang w:val="en-NZ"/>
        </w:rPr>
      </w:pPr>
      <w:r w:rsidRPr="00CA01AF">
        <w:rPr>
          <w:rStyle w:val="FootnoteReference"/>
          <w:color w:val="000000"/>
          <w:sz w:val="16"/>
          <w:szCs w:val="16"/>
        </w:rPr>
        <w:footnoteRef/>
      </w:r>
      <w:r w:rsidRPr="00653E49">
        <w:rPr>
          <w:color w:val="000000"/>
          <w:sz w:val="16"/>
          <w:szCs w:val="16"/>
          <w:lang w:val="en-NZ"/>
        </w:rPr>
        <w:t xml:space="preserve"> </w:t>
      </w:r>
      <w:r w:rsidRPr="00653E49">
        <w:rPr>
          <w:rFonts w:ascii="Calibri" w:eastAsia="Calibri" w:hAnsi="Calibri" w:cs="Times New Roman"/>
          <w:color w:val="000000"/>
          <w:sz w:val="16"/>
          <w:szCs w:val="16"/>
          <w:lang w:val="en-NZ"/>
        </w:rPr>
        <w:t>Tier II</w:t>
      </w:r>
    </w:p>
  </w:footnote>
  <w:footnote w:id="21">
    <w:p w14:paraId="5D54629E" w14:textId="77777777" w:rsidR="0005063B" w:rsidRPr="00653E49" w:rsidRDefault="0005063B" w:rsidP="001E1D12">
      <w:pPr>
        <w:pStyle w:val="FootnoteText"/>
        <w:rPr>
          <w:sz w:val="16"/>
          <w:szCs w:val="16"/>
          <w:lang w:val="en-NZ"/>
        </w:rPr>
      </w:pPr>
      <w:r w:rsidRPr="00CA01AF">
        <w:rPr>
          <w:rStyle w:val="FootnoteReference"/>
          <w:color w:val="000000"/>
          <w:sz w:val="16"/>
          <w:szCs w:val="16"/>
        </w:rPr>
        <w:footnoteRef/>
      </w:r>
      <w:r w:rsidRPr="00653E49">
        <w:rPr>
          <w:color w:val="000000"/>
          <w:sz w:val="16"/>
          <w:szCs w:val="16"/>
          <w:lang w:val="en-NZ"/>
        </w:rPr>
        <w:t xml:space="preserve"> </w:t>
      </w:r>
      <w:r w:rsidRPr="00653E49">
        <w:rPr>
          <w:rFonts w:ascii="Calibri" w:hAnsi="Calibri"/>
          <w:color w:val="000000"/>
          <w:sz w:val="16"/>
          <w:szCs w:val="16"/>
          <w:lang w:val="en-NZ"/>
        </w:rPr>
        <w:t>Tier I</w:t>
      </w:r>
    </w:p>
  </w:footnote>
  <w:footnote w:id="22">
    <w:p w14:paraId="09581FAC" w14:textId="77777777" w:rsidR="0005063B" w:rsidRPr="00653E49" w:rsidRDefault="0005063B" w:rsidP="001E1D12">
      <w:pPr>
        <w:pStyle w:val="FootnoteText"/>
        <w:rPr>
          <w:color w:val="000000"/>
          <w:sz w:val="16"/>
          <w:szCs w:val="16"/>
          <w:lang w:val="en-NZ"/>
        </w:rPr>
      </w:pPr>
      <w:r w:rsidRPr="00CA01AF">
        <w:rPr>
          <w:rStyle w:val="FootnoteReference"/>
          <w:color w:val="000000"/>
          <w:sz w:val="16"/>
          <w:szCs w:val="16"/>
        </w:rPr>
        <w:footnoteRef/>
      </w:r>
      <w:r w:rsidRPr="00653E49">
        <w:rPr>
          <w:color w:val="000000"/>
          <w:sz w:val="16"/>
          <w:szCs w:val="16"/>
          <w:lang w:val="en-NZ"/>
        </w:rPr>
        <w:t xml:space="preserve"> </w:t>
      </w:r>
      <w:r w:rsidRPr="00653E49">
        <w:rPr>
          <w:rFonts w:ascii="Calibri" w:hAnsi="Calibri"/>
          <w:color w:val="000000"/>
          <w:sz w:val="16"/>
          <w:szCs w:val="16"/>
          <w:lang w:val="en-NZ"/>
        </w:rPr>
        <w:t>Tier III</w:t>
      </w:r>
    </w:p>
  </w:footnote>
  <w:footnote w:id="23">
    <w:p w14:paraId="14C3AC8E" w14:textId="77777777" w:rsidR="0005063B" w:rsidRPr="00CA01AF" w:rsidRDefault="0005063B" w:rsidP="001E1D12">
      <w:pPr>
        <w:pStyle w:val="FootnoteText"/>
        <w:rPr>
          <w:sz w:val="16"/>
          <w:szCs w:val="16"/>
        </w:rPr>
      </w:pPr>
      <w:r w:rsidRPr="00CA01AF">
        <w:rPr>
          <w:rStyle w:val="FootnoteReference"/>
          <w:sz w:val="16"/>
          <w:szCs w:val="16"/>
        </w:rPr>
        <w:footnoteRef/>
      </w:r>
      <w:r w:rsidRPr="00CA01AF">
        <w:rPr>
          <w:sz w:val="16"/>
          <w:szCs w:val="16"/>
        </w:rPr>
        <w:t xml:space="preserve"> Tier I</w:t>
      </w:r>
    </w:p>
  </w:footnote>
  <w:footnote w:id="24">
    <w:p w14:paraId="31BF775D" w14:textId="77777777" w:rsidR="0005063B" w:rsidRDefault="0005063B" w:rsidP="001E1D12">
      <w:pPr>
        <w:pStyle w:val="FootnoteText"/>
      </w:pPr>
      <w:r w:rsidRPr="00CA01AF">
        <w:rPr>
          <w:rStyle w:val="FootnoteReference"/>
          <w:sz w:val="16"/>
          <w:szCs w:val="16"/>
        </w:rPr>
        <w:footnoteRef/>
      </w:r>
      <w:r w:rsidRPr="00CA01AF">
        <w:rPr>
          <w:sz w:val="16"/>
          <w:szCs w:val="16"/>
        </w:rPr>
        <w:t xml:space="preserve"> Tier I</w:t>
      </w:r>
    </w:p>
  </w:footnote>
  <w:footnote w:id="25">
    <w:p w14:paraId="38796545" w14:textId="7057DE41" w:rsidR="00BE6461" w:rsidRPr="00CA01AF" w:rsidRDefault="00BE6461">
      <w:pPr>
        <w:pStyle w:val="FootnoteText"/>
        <w:rPr>
          <w:sz w:val="16"/>
          <w:szCs w:val="16"/>
        </w:rPr>
      </w:pPr>
      <w:r w:rsidRPr="00CA01AF">
        <w:rPr>
          <w:rStyle w:val="FootnoteReference"/>
          <w:sz w:val="16"/>
          <w:szCs w:val="16"/>
        </w:rPr>
        <w:footnoteRef/>
      </w:r>
      <w:r w:rsidRPr="00CA01AF">
        <w:rPr>
          <w:sz w:val="16"/>
          <w:szCs w:val="16"/>
        </w:rPr>
        <w:t xml:space="preserve"> </w:t>
      </w:r>
      <w:r w:rsidR="00440917" w:rsidRPr="00CA01AF">
        <w:rPr>
          <w:sz w:val="16"/>
          <w:szCs w:val="16"/>
        </w:rPr>
        <w:t>Tier I</w:t>
      </w:r>
    </w:p>
  </w:footnote>
  <w:footnote w:id="26">
    <w:p w14:paraId="1952F1F8" w14:textId="77777777" w:rsidR="0005063B" w:rsidRPr="00CA01AF" w:rsidRDefault="0005063B" w:rsidP="001E1D12">
      <w:pPr>
        <w:pStyle w:val="FootnoteText"/>
        <w:rPr>
          <w:color w:val="000000"/>
          <w:sz w:val="16"/>
          <w:szCs w:val="16"/>
        </w:rPr>
      </w:pPr>
      <w:r w:rsidRPr="00CA01AF">
        <w:rPr>
          <w:rStyle w:val="FootnoteReference"/>
          <w:color w:val="000000"/>
          <w:sz w:val="16"/>
          <w:szCs w:val="16"/>
        </w:rPr>
        <w:footnoteRef/>
      </w:r>
      <w:r w:rsidRPr="00CA01AF">
        <w:rPr>
          <w:color w:val="000000"/>
          <w:sz w:val="16"/>
          <w:szCs w:val="16"/>
        </w:rPr>
        <w:t xml:space="preserve"> Proxy - </w:t>
      </w:r>
      <w:r w:rsidRPr="00CA01AF">
        <w:rPr>
          <w:rFonts w:ascii="Calibri" w:hAnsi="Calibri"/>
          <w:color w:val="000000"/>
          <w:sz w:val="16"/>
          <w:szCs w:val="16"/>
        </w:rPr>
        <w:t>Not SDG Indicators</w:t>
      </w:r>
    </w:p>
  </w:footnote>
  <w:footnote w:id="27">
    <w:p w14:paraId="1E198000" w14:textId="77777777" w:rsidR="0005063B" w:rsidRPr="00CA01AF" w:rsidRDefault="0005063B" w:rsidP="001E1D12">
      <w:pPr>
        <w:pStyle w:val="FootnoteText"/>
        <w:rPr>
          <w:color w:val="000000"/>
          <w:sz w:val="16"/>
          <w:szCs w:val="16"/>
        </w:rPr>
      </w:pPr>
      <w:r w:rsidRPr="00CA01AF">
        <w:rPr>
          <w:rStyle w:val="FootnoteReference"/>
          <w:color w:val="000000"/>
          <w:sz w:val="16"/>
          <w:szCs w:val="16"/>
        </w:rPr>
        <w:footnoteRef/>
      </w:r>
      <w:r w:rsidRPr="00CA01AF">
        <w:rPr>
          <w:color w:val="000000"/>
          <w:sz w:val="16"/>
          <w:szCs w:val="16"/>
        </w:rPr>
        <w:t xml:space="preserve"> Proxy - </w:t>
      </w:r>
      <w:r w:rsidRPr="00CA01AF">
        <w:rPr>
          <w:rFonts w:ascii="Calibri" w:hAnsi="Calibri"/>
          <w:color w:val="000000"/>
          <w:sz w:val="16"/>
          <w:szCs w:val="16"/>
        </w:rPr>
        <w:t>Not SDG Indicators</w:t>
      </w:r>
    </w:p>
  </w:footnote>
  <w:footnote w:id="28">
    <w:p w14:paraId="53504FB9" w14:textId="77777777" w:rsidR="0005063B" w:rsidRPr="001E1D12" w:rsidRDefault="0005063B" w:rsidP="001E1D12">
      <w:pPr>
        <w:pStyle w:val="FootnoteText"/>
        <w:rPr>
          <w:color w:val="000000"/>
          <w:sz w:val="18"/>
          <w:szCs w:val="18"/>
        </w:rPr>
      </w:pPr>
      <w:r w:rsidRPr="00CA01AF">
        <w:rPr>
          <w:rStyle w:val="FootnoteReference"/>
          <w:color w:val="000000"/>
          <w:sz w:val="16"/>
          <w:szCs w:val="16"/>
        </w:rPr>
        <w:footnoteRef/>
      </w:r>
      <w:r w:rsidRPr="00CA01AF">
        <w:rPr>
          <w:color w:val="000000"/>
          <w:sz w:val="16"/>
          <w:szCs w:val="16"/>
        </w:rPr>
        <w:t xml:space="preserve"> Tier I/III</w:t>
      </w:r>
    </w:p>
  </w:footnote>
  <w:footnote w:id="29">
    <w:p w14:paraId="4B0F503C" w14:textId="77777777" w:rsidR="0005063B" w:rsidRPr="00CA01AF" w:rsidRDefault="0005063B" w:rsidP="001E1D12">
      <w:pPr>
        <w:pStyle w:val="FootnoteText"/>
        <w:rPr>
          <w:color w:val="000000"/>
          <w:sz w:val="16"/>
          <w:szCs w:val="16"/>
        </w:rPr>
      </w:pPr>
      <w:r w:rsidRPr="00CA01AF">
        <w:rPr>
          <w:rStyle w:val="FootnoteReference"/>
          <w:color w:val="000000"/>
          <w:sz w:val="16"/>
          <w:szCs w:val="16"/>
        </w:rPr>
        <w:footnoteRef/>
      </w:r>
      <w:r w:rsidRPr="00CA01AF">
        <w:rPr>
          <w:color w:val="000000"/>
          <w:sz w:val="16"/>
          <w:szCs w:val="16"/>
        </w:rPr>
        <w:t xml:space="preserve"> </w:t>
      </w:r>
      <w:r w:rsidRPr="00CA01AF">
        <w:rPr>
          <w:rFonts w:ascii="Calibri" w:hAnsi="Calibri"/>
          <w:color w:val="000000"/>
          <w:sz w:val="16"/>
          <w:szCs w:val="16"/>
        </w:rPr>
        <w:t>Tier I</w:t>
      </w:r>
    </w:p>
  </w:footnote>
  <w:footnote w:id="30">
    <w:p w14:paraId="4C4EB114" w14:textId="23DCBD3A" w:rsidR="00CA01AF" w:rsidRPr="00CA01AF" w:rsidRDefault="00CA01AF">
      <w:pPr>
        <w:pStyle w:val="FootnoteText"/>
        <w:rPr>
          <w:sz w:val="16"/>
          <w:szCs w:val="16"/>
        </w:rPr>
      </w:pPr>
      <w:r w:rsidRPr="00CA01AF">
        <w:rPr>
          <w:rStyle w:val="FootnoteReference"/>
          <w:sz w:val="16"/>
          <w:szCs w:val="16"/>
        </w:rPr>
        <w:footnoteRef/>
      </w:r>
      <w:r w:rsidRPr="00CA01AF">
        <w:rPr>
          <w:sz w:val="16"/>
          <w:szCs w:val="16"/>
        </w:rPr>
        <w:t xml:space="preserve"> Tier I</w:t>
      </w:r>
    </w:p>
  </w:footnote>
  <w:footnote w:id="31">
    <w:p w14:paraId="1FE5A96E" w14:textId="77777777" w:rsidR="0005063B" w:rsidRPr="00CA01AF" w:rsidRDefault="0005063B" w:rsidP="001E1D12">
      <w:pPr>
        <w:pStyle w:val="FootnoteText"/>
        <w:rPr>
          <w:sz w:val="16"/>
          <w:szCs w:val="16"/>
        </w:rPr>
      </w:pPr>
      <w:r w:rsidRPr="00CA01AF">
        <w:rPr>
          <w:rStyle w:val="FootnoteReference"/>
          <w:color w:val="000000"/>
          <w:sz w:val="16"/>
          <w:szCs w:val="16"/>
        </w:rPr>
        <w:footnoteRef/>
      </w:r>
      <w:r w:rsidRPr="00CA01AF">
        <w:rPr>
          <w:color w:val="000000"/>
          <w:sz w:val="16"/>
          <w:szCs w:val="16"/>
        </w:rPr>
        <w:t xml:space="preserve"> </w:t>
      </w:r>
      <w:r w:rsidRPr="00CA01AF">
        <w:rPr>
          <w:rFonts w:ascii="Calibri" w:hAnsi="Calibri"/>
          <w:color w:val="000000"/>
          <w:sz w:val="16"/>
          <w:szCs w:val="16"/>
        </w:rPr>
        <w:t>Tier II</w:t>
      </w:r>
    </w:p>
  </w:footnote>
  <w:footnote w:id="32">
    <w:p w14:paraId="48A19569" w14:textId="77777777" w:rsidR="0005063B" w:rsidRPr="00CA01AF" w:rsidRDefault="0005063B" w:rsidP="001E1D12">
      <w:pPr>
        <w:pStyle w:val="FootnoteText"/>
        <w:rPr>
          <w:sz w:val="16"/>
          <w:szCs w:val="16"/>
        </w:rPr>
      </w:pPr>
      <w:r w:rsidRPr="00CA01AF">
        <w:rPr>
          <w:rStyle w:val="FootnoteReference"/>
          <w:sz w:val="16"/>
          <w:szCs w:val="16"/>
        </w:rPr>
        <w:footnoteRef/>
      </w:r>
      <w:r w:rsidRPr="00CA01AF">
        <w:rPr>
          <w:sz w:val="16"/>
          <w:szCs w:val="16"/>
        </w:rPr>
        <w:t xml:space="preserve"> Tier I</w:t>
      </w:r>
    </w:p>
  </w:footnote>
  <w:footnote w:id="33">
    <w:p w14:paraId="79EDBCAD" w14:textId="77777777" w:rsidR="0005063B" w:rsidRDefault="0005063B" w:rsidP="001E1D12">
      <w:pPr>
        <w:pStyle w:val="FootnoteText"/>
      </w:pPr>
      <w:r w:rsidRPr="00CA01AF">
        <w:rPr>
          <w:rStyle w:val="FootnoteReference"/>
          <w:color w:val="000000"/>
          <w:sz w:val="16"/>
          <w:szCs w:val="16"/>
        </w:rPr>
        <w:footnoteRef/>
      </w:r>
      <w:r w:rsidRPr="00CA01AF">
        <w:rPr>
          <w:color w:val="000000"/>
          <w:sz w:val="16"/>
          <w:szCs w:val="16"/>
        </w:rPr>
        <w:t xml:space="preserve"> Proxy - </w:t>
      </w:r>
      <w:r w:rsidRPr="00CA01AF">
        <w:rPr>
          <w:rFonts w:ascii="Calibri" w:hAnsi="Calibri"/>
          <w:color w:val="000000"/>
          <w:sz w:val="16"/>
          <w:szCs w:val="16"/>
        </w:rPr>
        <w:t>Not SDG Indicators (note available providing more information on the indicator</w:t>
      </w:r>
    </w:p>
  </w:footnote>
  <w:footnote w:id="34">
    <w:p w14:paraId="306C2964" w14:textId="77777777" w:rsidR="0005063B" w:rsidRPr="00CA01AF" w:rsidRDefault="0005063B" w:rsidP="001E1D12">
      <w:pPr>
        <w:pStyle w:val="FootnoteText"/>
        <w:rPr>
          <w:color w:val="000000"/>
          <w:sz w:val="16"/>
          <w:szCs w:val="16"/>
        </w:rPr>
      </w:pPr>
      <w:r w:rsidRPr="00CA01AF">
        <w:rPr>
          <w:rStyle w:val="FootnoteReference"/>
          <w:sz w:val="16"/>
          <w:szCs w:val="16"/>
        </w:rPr>
        <w:footnoteRef/>
      </w:r>
      <w:r w:rsidRPr="00CA01AF">
        <w:rPr>
          <w:sz w:val="16"/>
          <w:szCs w:val="16"/>
        </w:rPr>
        <w:t xml:space="preserve"> </w:t>
      </w:r>
      <w:r w:rsidRPr="00CA01AF">
        <w:rPr>
          <w:rFonts w:ascii="Calibri" w:hAnsi="Calibri"/>
          <w:color w:val="000000"/>
          <w:sz w:val="16"/>
          <w:szCs w:val="16"/>
        </w:rPr>
        <w:t>SDG Indicator</w:t>
      </w:r>
    </w:p>
  </w:footnote>
  <w:footnote w:id="35">
    <w:p w14:paraId="407CB493" w14:textId="77777777" w:rsidR="0005063B" w:rsidRPr="00CA01AF" w:rsidRDefault="0005063B" w:rsidP="001E1D12">
      <w:pPr>
        <w:pStyle w:val="FootnoteText"/>
        <w:rPr>
          <w:color w:val="000000"/>
          <w:sz w:val="16"/>
          <w:szCs w:val="16"/>
        </w:rPr>
      </w:pPr>
      <w:r w:rsidRPr="00CA01AF">
        <w:rPr>
          <w:rStyle w:val="FootnoteReference"/>
          <w:color w:val="000000"/>
          <w:sz w:val="16"/>
          <w:szCs w:val="16"/>
        </w:rPr>
        <w:footnoteRef/>
      </w:r>
      <w:r w:rsidRPr="00CA01AF">
        <w:rPr>
          <w:color w:val="000000"/>
          <w:sz w:val="16"/>
          <w:szCs w:val="16"/>
        </w:rPr>
        <w:t xml:space="preserve"> </w:t>
      </w:r>
      <w:r w:rsidRPr="00CA01AF">
        <w:rPr>
          <w:rFonts w:ascii="Calibri" w:hAnsi="Calibri"/>
          <w:color w:val="000000"/>
          <w:sz w:val="16"/>
          <w:szCs w:val="16"/>
        </w:rPr>
        <w:t>Not SDG Indicator</w:t>
      </w:r>
    </w:p>
  </w:footnote>
  <w:footnote w:id="36">
    <w:p w14:paraId="0B283DAD" w14:textId="77777777" w:rsidR="0005063B" w:rsidRPr="00CA01AF" w:rsidRDefault="0005063B" w:rsidP="001E1D12">
      <w:pPr>
        <w:pStyle w:val="FootnoteText"/>
        <w:rPr>
          <w:color w:val="000000"/>
          <w:sz w:val="16"/>
          <w:szCs w:val="16"/>
        </w:rPr>
      </w:pPr>
      <w:r w:rsidRPr="00CA01AF">
        <w:rPr>
          <w:rStyle w:val="FootnoteReference"/>
          <w:color w:val="000000"/>
          <w:sz w:val="16"/>
          <w:szCs w:val="16"/>
        </w:rPr>
        <w:footnoteRef/>
      </w:r>
      <w:r w:rsidRPr="00CA01AF">
        <w:rPr>
          <w:color w:val="000000"/>
          <w:sz w:val="16"/>
          <w:szCs w:val="16"/>
        </w:rPr>
        <w:t xml:space="preserve"> </w:t>
      </w:r>
      <w:r w:rsidRPr="00CA01AF">
        <w:rPr>
          <w:rFonts w:ascii="Calibri" w:hAnsi="Calibri"/>
          <w:color w:val="000000"/>
          <w:sz w:val="16"/>
          <w:szCs w:val="16"/>
        </w:rPr>
        <w:t>Not SDG Indicator</w:t>
      </w:r>
    </w:p>
  </w:footnote>
  <w:footnote w:id="37">
    <w:p w14:paraId="1A44083F" w14:textId="6AF61C02" w:rsidR="0005063B" w:rsidRPr="00CA01AF" w:rsidRDefault="0005063B">
      <w:pPr>
        <w:pStyle w:val="FootnoteText"/>
        <w:rPr>
          <w:sz w:val="16"/>
          <w:szCs w:val="16"/>
        </w:rPr>
      </w:pPr>
      <w:r w:rsidRPr="00CA01AF">
        <w:rPr>
          <w:rStyle w:val="FootnoteReference"/>
          <w:sz w:val="16"/>
          <w:szCs w:val="16"/>
        </w:rPr>
        <w:footnoteRef/>
      </w:r>
      <w:r w:rsidRPr="00CA01AF">
        <w:rPr>
          <w:sz w:val="16"/>
          <w:szCs w:val="16"/>
        </w:rPr>
        <w:t xml:space="preserve"> Not SDG Indicator</w:t>
      </w:r>
    </w:p>
  </w:footnote>
  <w:footnote w:id="38">
    <w:p w14:paraId="55ED1B3D" w14:textId="324CEABC" w:rsidR="0005063B" w:rsidRPr="00CA01AF" w:rsidRDefault="0005063B">
      <w:pPr>
        <w:pStyle w:val="FootnoteText"/>
        <w:rPr>
          <w:sz w:val="16"/>
          <w:szCs w:val="16"/>
        </w:rPr>
      </w:pPr>
      <w:r w:rsidRPr="00CA01AF">
        <w:rPr>
          <w:rStyle w:val="FootnoteReference"/>
          <w:sz w:val="16"/>
          <w:szCs w:val="16"/>
        </w:rPr>
        <w:footnoteRef/>
      </w:r>
      <w:r w:rsidRPr="00CA01AF">
        <w:rPr>
          <w:sz w:val="16"/>
          <w:szCs w:val="16"/>
        </w:rPr>
        <w:t xml:space="preserve"> Not SDG Indicator</w:t>
      </w:r>
    </w:p>
  </w:footnote>
  <w:footnote w:id="39">
    <w:p w14:paraId="07C77213" w14:textId="78840BE7" w:rsidR="00BE6461" w:rsidRDefault="00BE6461">
      <w:pPr>
        <w:pStyle w:val="FootnoteText"/>
      </w:pPr>
      <w:r w:rsidRPr="00CA01AF">
        <w:rPr>
          <w:rStyle w:val="FootnoteReference"/>
          <w:sz w:val="16"/>
          <w:szCs w:val="16"/>
        </w:rPr>
        <w:footnoteRef/>
      </w:r>
      <w:r w:rsidRPr="00CA01AF">
        <w:rPr>
          <w:sz w:val="16"/>
          <w:szCs w:val="16"/>
        </w:rPr>
        <w:t xml:space="preserve"> </w:t>
      </w:r>
      <w:r w:rsidR="00440917" w:rsidRPr="00CA01AF">
        <w:rPr>
          <w:sz w:val="16"/>
          <w:szCs w:val="16"/>
        </w:rPr>
        <w:t>Not SDG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9EB"/>
    <w:multiLevelType w:val="hybridMultilevel"/>
    <w:tmpl w:val="517C7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D6661"/>
    <w:multiLevelType w:val="hybridMultilevel"/>
    <w:tmpl w:val="AEAEF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C68AA"/>
    <w:multiLevelType w:val="hybridMultilevel"/>
    <w:tmpl w:val="F9AC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13E86"/>
    <w:multiLevelType w:val="hybridMultilevel"/>
    <w:tmpl w:val="B218B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D503FF"/>
    <w:multiLevelType w:val="hybridMultilevel"/>
    <w:tmpl w:val="D732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6D663F"/>
    <w:multiLevelType w:val="hybridMultilevel"/>
    <w:tmpl w:val="8A08CE9E"/>
    <w:lvl w:ilvl="0" w:tplc="14090001">
      <w:start w:val="1"/>
      <w:numFmt w:val="bullet"/>
      <w:lvlText w:val=""/>
      <w:lvlJc w:val="left"/>
      <w:pPr>
        <w:ind w:left="34" w:hanging="360"/>
      </w:pPr>
      <w:rPr>
        <w:rFonts w:ascii="Symbol" w:hAnsi="Symbol" w:hint="default"/>
      </w:rPr>
    </w:lvl>
    <w:lvl w:ilvl="1" w:tplc="14090003" w:tentative="1">
      <w:start w:val="1"/>
      <w:numFmt w:val="bullet"/>
      <w:lvlText w:val="o"/>
      <w:lvlJc w:val="left"/>
      <w:pPr>
        <w:ind w:left="754" w:hanging="360"/>
      </w:pPr>
      <w:rPr>
        <w:rFonts w:ascii="Courier New" w:hAnsi="Courier New" w:cs="Courier New" w:hint="default"/>
      </w:rPr>
    </w:lvl>
    <w:lvl w:ilvl="2" w:tplc="14090005" w:tentative="1">
      <w:start w:val="1"/>
      <w:numFmt w:val="bullet"/>
      <w:lvlText w:val=""/>
      <w:lvlJc w:val="left"/>
      <w:pPr>
        <w:ind w:left="1474" w:hanging="360"/>
      </w:pPr>
      <w:rPr>
        <w:rFonts w:ascii="Wingdings" w:hAnsi="Wingdings" w:hint="default"/>
      </w:rPr>
    </w:lvl>
    <w:lvl w:ilvl="3" w:tplc="14090001" w:tentative="1">
      <w:start w:val="1"/>
      <w:numFmt w:val="bullet"/>
      <w:lvlText w:val=""/>
      <w:lvlJc w:val="left"/>
      <w:pPr>
        <w:ind w:left="2194" w:hanging="360"/>
      </w:pPr>
      <w:rPr>
        <w:rFonts w:ascii="Symbol" w:hAnsi="Symbol" w:hint="default"/>
      </w:rPr>
    </w:lvl>
    <w:lvl w:ilvl="4" w:tplc="14090003" w:tentative="1">
      <w:start w:val="1"/>
      <w:numFmt w:val="bullet"/>
      <w:lvlText w:val="o"/>
      <w:lvlJc w:val="left"/>
      <w:pPr>
        <w:ind w:left="2914" w:hanging="360"/>
      </w:pPr>
      <w:rPr>
        <w:rFonts w:ascii="Courier New" w:hAnsi="Courier New" w:cs="Courier New" w:hint="default"/>
      </w:rPr>
    </w:lvl>
    <w:lvl w:ilvl="5" w:tplc="14090005" w:tentative="1">
      <w:start w:val="1"/>
      <w:numFmt w:val="bullet"/>
      <w:lvlText w:val=""/>
      <w:lvlJc w:val="left"/>
      <w:pPr>
        <w:ind w:left="3634" w:hanging="360"/>
      </w:pPr>
      <w:rPr>
        <w:rFonts w:ascii="Wingdings" w:hAnsi="Wingdings" w:hint="default"/>
      </w:rPr>
    </w:lvl>
    <w:lvl w:ilvl="6" w:tplc="14090001" w:tentative="1">
      <w:start w:val="1"/>
      <w:numFmt w:val="bullet"/>
      <w:lvlText w:val=""/>
      <w:lvlJc w:val="left"/>
      <w:pPr>
        <w:ind w:left="4354" w:hanging="360"/>
      </w:pPr>
      <w:rPr>
        <w:rFonts w:ascii="Symbol" w:hAnsi="Symbol" w:hint="default"/>
      </w:rPr>
    </w:lvl>
    <w:lvl w:ilvl="7" w:tplc="14090003" w:tentative="1">
      <w:start w:val="1"/>
      <w:numFmt w:val="bullet"/>
      <w:lvlText w:val="o"/>
      <w:lvlJc w:val="left"/>
      <w:pPr>
        <w:ind w:left="5074" w:hanging="360"/>
      </w:pPr>
      <w:rPr>
        <w:rFonts w:ascii="Courier New" w:hAnsi="Courier New" w:cs="Courier New" w:hint="default"/>
      </w:rPr>
    </w:lvl>
    <w:lvl w:ilvl="8" w:tplc="14090005" w:tentative="1">
      <w:start w:val="1"/>
      <w:numFmt w:val="bullet"/>
      <w:lvlText w:val=""/>
      <w:lvlJc w:val="left"/>
      <w:pPr>
        <w:ind w:left="5794"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12"/>
    <w:rsid w:val="000266DF"/>
    <w:rsid w:val="00040E26"/>
    <w:rsid w:val="0005063B"/>
    <w:rsid w:val="000764BF"/>
    <w:rsid w:val="000A298B"/>
    <w:rsid w:val="000A2D2C"/>
    <w:rsid w:val="000A3FBE"/>
    <w:rsid w:val="000F056E"/>
    <w:rsid w:val="000F556C"/>
    <w:rsid w:val="00101414"/>
    <w:rsid w:val="00111C01"/>
    <w:rsid w:val="00115CFF"/>
    <w:rsid w:val="00146094"/>
    <w:rsid w:val="0015517B"/>
    <w:rsid w:val="001601BC"/>
    <w:rsid w:val="001710DE"/>
    <w:rsid w:val="001725A1"/>
    <w:rsid w:val="001B347A"/>
    <w:rsid w:val="001B4BEF"/>
    <w:rsid w:val="001C02B5"/>
    <w:rsid w:val="001E1D12"/>
    <w:rsid w:val="001E57B4"/>
    <w:rsid w:val="00212DCF"/>
    <w:rsid w:val="002238BA"/>
    <w:rsid w:val="00242367"/>
    <w:rsid w:val="00251FDA"/>
    <w:rsid w:val="0026335B"/>
    <w:rsid w:val="002810DA"/>
    <w:rsid w:val="0028236F"/>
    <w:rsid w:val="00290ECB"/>
    <w:rsid w:val="002B7C42"/>
    <w:rsid w:val="002F1D2B"/>
    <w:rsid w:val="002F4000"/>
    <w:rsid w:val="002F4B55"/>
    <w:rsid w:val="002F7C7F"/>
    <w:rsid w:val="00313BEB"/>
    <w:rsid w:val="00316FF5"/>
    <w:rsid w:val="00320BE3"/>
    <w:rsid w:val="00340A10"/>
    <w:rsid w:val="00354614"/>
    <w:rsid w:val="003636A5"/>
    <w:rsid w:val="00364C85"/>
    <w:rsid w:val="003717FD"/>
    <w:rsid w:val="00373F01"/>
    <w:rsid w:val="00382D0F"/>
    <w:rsid w:val="003959CD"/>
    <w:rsid w:val="003972C1"/>
    <w:rsid w:val="003A0136"/>
    <w:rsid w:val="003C08C8"/>
    <w:rsid w:val="003F34FB"/>
    <w:rsid w:val="00424FCF"/>
    <w:rsid w:val="00440917"/>
    <w:rsid w:val="00450D27"/>
    <w:rsid w:val="0046728D"/>
    <w:rsid w:val="004835CF"/>
    <w:rsid w:val="004A0426"/>
    <w:rsid w:val="004A062C"/>
    <w:rsid w:val="004A764D"/>
    <w:rsid w:val="004F4AE9"/>
    <w:rsid w:val="005005F7"/>
    <w:rsid w:val="0051010D"/>
    <w:rsid w:val="005242F9"/>
    <w:rsid w:val="00546CBF"/>
    <w:rsid w:val="00556E55"/>
    <w:rsid w:val="00557E1C"/>
    <w:rsid w:val="005719BA"/>
    <w:rsid w:val="00577994"/>
    <w:rsid w:val="00597346"/>
    <w:rsid w:val="005B3D4A"/>
    <w:rsid w:val="006000D2"/>
    <w:rsid w:val="00602F19"/>
    <w:rsid w:val="00617C05"/>
    <w:rsid w:val="00651B33"/>
    <w:rsid w:val="00653E49"/>
    <w:rsid w:val="00670081"/>
    <w:rsid w:val="006727A4"/>
    <w:rsid w:val="006742E3"/>
    <w:rsid w:val="00690E81"/>
    <w:rsid w:val="006D274E"/>
    <w:rsid w:val="006E33ED"/>
    <w:rsid w:val="006F56FF"/>
    <w:rsid w:val="006F76F8"/>
    <w:rsid w:val="007066EA"/>
    <w:rsid w:val="00706B50"/>
    <w:rsid w:val="00707C97"/>
    <w:rsid w:val="00715479"/>
    <w:rsid w:val="00725C36"/>
    <w:rsid w:val="00726209"/>
    <w:rsid w:val="00735665"/>
    <w:rsid w:val="00760FE6"/>
    <w:rsid w:val="00773BDF"/>
    <w:rsid w:val="00776E22"/>
    <w:rsid w:val="00790FE6"/>
    <w:rsid w:val="007913B8"/>
    <w:rsid w:val="007C60C4"/>
    <w:rsid w:val="007D41AF"/>
    <w:rsid w:val="007E4A72"/>
    <w:rsid w:val="007E7423"/>
    <w:rsid w:val="007F3E36"/>
    <w:rsid w:val="008127EA"/>
    <w:rsid w:val="008150B1"/>
    <w:rsid w:val="00847E29"/>
    <w:rsid w:val="00866780"/>
    <w:rsid w:val="00874C0C"/>
    <w:rsid w:val="00875920"/>
    <w:rsid w:val="00892F69"/>
    <w:rsid w:val="0089787C"/>
    <w:rsid w:val="008A0BF2"/>
    <w:rsid w:val="008A0C0A"/>
    <w:rsid w:val="008A4C22"/>
    <w:rsid w:val="008B6EBD"/>
    <w:rsid w:val="008C14E2"/>
    <w:rsid w:val="008D46E5"/>
    <w:rsid w:val="008F5063"/>
    <w:rsid w:val="0090528A"/>
    <w:rsid w:val="009060D4"/>
    <w:rsid w:val="00907C8A"/>
    <w:rsid w:val="00910E4C"/>
    <w:rsid w:val="009462F1"/>
    <w:rsid w:val="009532B3"/>
    <w:rsid w:val="0096657F"/>
    <w:rsid w:val="009666A7"/>
    <w:rsid w:val="00971F0B"/>
    <w:rsid w:val="00981E76"/>
    <w:rsid w:val="00987BAD"/>
    <w:rsid w:val="0099153E"/>
    <w:rsid w:val="009A08C7"/>
    <w:rsid w:val="009A3A7E"/>
    <w:rsid w:val="009B5CFC"/>
    <w:rsid w:val="009D05A3"/>
    <w:rsid w:val="009D3A21"/>
    <w:rsid w:val="009E0EBF"/>
    <w:rsid w:val="009F53C2"/>
    <w:rsid w:val="00A072D8"/>
    <w:rsid w:val="00A25969"/>
    <w:rsid w:val="00A439D6"/>
    <w:rsid w:val="00A43D06"/>
    <w:rsid w:val="00A5521C"/>
    <w:rsid w:val="00A71735"/>
    <w:rsid w:val="00A73765"/>
    <w:rsid w:val="00A80451"/>
    <w:rsid w:val="00A83CBA"/>
    <w:rsid w:val="00A8575F"/>
    <w:rsid w:val="00AA71F3"/>
    <w:rsid w:val="00AB2EE1"/>
    <w:rsid w:val="00AC0FEF"/>
    <w:rsid w:val="00AC7FA6"/>
    <w:rsid w:val="00AD1BE6"/>
    <w:rsid w:val="00B03518"/>
    <w:rsid w:val="00B11E0C"/>
    <w:rsid w:val="00B13B66"/>
    <w:rsid w:val="00B21BEB"/>
    <w:rsid w:val="00B27C93"/>
    <w:rsid w:val="00B3101E"/>
    <w:rsid w:val="00B34482"/>
    <w:rsid w:val="00B42B92"/>
    <w:rsid w:val="00B46524"/>
    <w:rsid w:val="00B5406F"/>
    <w:rsid w:val="00B571DB"/>
    <w:rsid w:val="00B6509B"/>
    <w:rsid w:val="00B67A87"/>
    <w:rsid w:val="00B70106"/>
    <w:rsid w:val="00B744CD"/>
    <w:rsid w:val="00B76A59"/>
    <w:rsid w:val="00B94880"/>
    <w:rsid w:val="00BB1C94"/>
    <w:rsid w:val="00BC70D5"/>
    <w:rsid w:val="00BE2A4C"/>
    <w:rsid w:val="00BE3A3E"/>
    <w:rsid w:val="00BE6461"/>
    <w:rsid w:val="00BF2FA7"/>
    <w:rsid w:val="00C014C6"/>
    <w:rsid w:val="00C13838"/>
    <w:rsid w:val="00C213F3"/>
    <w:rsid w:val="00C306F2"/>
    <w:rsid w:val="00C376F7"/>
    <w:rsid w:val="00C37AB6"/>
    <w:rsid w:val="00C479B2"/>
    <w:rsid w:val="00C47CB7"/>
    <w:rsid w:val="00C92448"/>
    <w:rsid w:val="00C97D45"/>
    <w:rsid w:val="00CA01AF"/>
    <w:rsid w:val="00CA21FF"/>
    <w:rsid w:val="00CB0565"/>
    <w:rsid w:val="00CB477E"/>
    <w:rsid w:val="00CD3149"/>
    <w:rsid w:val="00CE470C"/>
    <w:rsid w:val="00CE75DE"/>
    <w:rsid w:val="00D21729"/>
    <w:rsid w:val="00D3037A"/>
    <w:rsid w:val="00D36683"/>
    <w:rsid w:val="00D43B03"/>
    <w:rsid w:val="00D44A6C"/>
    <w:rsid w:val="00D65684"/>
    <w:rsid w:val="00D661CC"/>
    <w:rsid w:val="00D66B90"/>
    <w:rsid w:val="00D774F5"/>
    <w:rsid w:val="00D80FC7"/>
    <w:rsid w:val="00DF3598"/>
    <w:rsid w:val="00DF3F51"/>
    <w:rsid w:val="00E07D2B"/>
    <w:rsid w:val="00E100E0"/>
    <w:rsid w:val="00E21B5B"/>
    <w:rsid w:val="00E87394"/>
    <w:rsid w:val="00EA42BF"/>
    <w:rsid w:val="00EC2767"/>
    <w:rsid w:val="00ED534E"/>
    <w:rsid w:val="00F0673F"/>
    <w:rsid w:val="00F13B4C"/>
    <w:rsid w:val="00F22467"/>
    <w:rsid w:val="00F26E12"/>
    <w:rsid w:val="00F46304"/>
    <w:rsid w:val="00F52552"/>
    <w:rsid w:val="00F57017"/>
    <w:rsid w:val="00F9181C"/>
    <w:rsid w:val="00FB184C"/>
    <w:rsid w:val="00FC781E"/>
    <w:rsid w:val="00FE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31DB"/>
  <w15:docId w15:val="{D3D07E85-A32B-4FBE-9D8C-46D5F8FC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D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1E1D12"/>
    <w:rPr>
      <w:vertAlign w:val="superscript"/>
    </w:rPr>
  </w:style>
  <w:style w:type="paragraph" w:styleId="ListParagraph">
    <w:name w:val="List Paragraph"/>
    <w:aliases w:val="Dot pt,F5 List Paragraph,List Paragraph1,No Spacing1,List Paragraph Char Char Char,Indicator Text,Numbered Para 1,Bullet 1,List Paragraph12,Bullet Points,MAIN CONTENT,WB Para,List 100s,List Paragraph (numbered (a)),Lapis Bulleted List"/>
    <w:basedOn w:val="Normal"/>
    <w:link w:val="ListParagraphChar"/>
    <w:uiPriority w:val="34"/>
    <w:qFormat/>
    <w:rsid w:val="001E1D12"/>
    <w:pPr>
      <w:spacing w:after="0" w:line="240" w:lineRule="auto"/>
      <w:ind w:left="720"/>
      <w:contextualSpacing/>
    </w:pPr>
    <w:rPr>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1E1D12"/>
    <w:rPr>
      <w:sz w:val="24"/>
      <w:szCs w:val="24"/>
    </w:rPr>
  </w:style>
  <w:style w:type="paragraph" w:styleId="FootnoteText">
    <w:name w:val="footnote text"/>
    <w:basedOn w:val="Normal"/>
    <w:link w:val="FootnoteTextChar"/>
    <w:uiPriority w:val="99"/>
    <w:unhideWhenUsed/>
    <w:rsid w:val="001E1D12"/>
    <w:pPr>
      <w:spacing w:after="0" w:line="240" w:lineRule="auto"/>
    </w:pPr>
    <w:rPr>
      <w:sz w:val="20"/>
      <w:szCs w:val="20"/>
    </w:rPr>
  </w:style>
  <w:style w:type="character" w:customStyle="1" w:styleId="FootnoteTextChar">
    <w:name w:val="Footnote Text Char"/>
    <w:basedOn w:val="DefaultParagraphFont"/>
    <w:link w:val="FootnoteText"/>
    <w:uiPriority w:val="99"/>
    <w:rsid w:val="001E1D12"/>
    <w:rPr>
      <w:sz w:val="20"/>
      <w:szCs w:val="20"/>
    </w:rPr>
  </w:style>
  <w:style w:type="table" w:customStyle="1" w:styleId="TableGrid1">
    <w:name w:val="Table Grid1"/>
    <w:basedOn w:val="TableNormal"/>
    <w:next w:val="TableGrid"/>
    <w:uiPriority w:val="39"/>
    <w:rsid w:val="001E1D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1D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E1D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1D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E1D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1F0B"/>
    <w:rPr>
      <w:sz w:val="16"/>
      <w:szCs w:val="16"/>
    </w:rPr>
  </w:style>
  <w:style w:type="paragraph" w:styleId="CommentText">
    <w:name w:val="annotation text"/>
    <w:basedOn w:val="Normal"/>
    <w:link w:val="CommentTextChar"/>
    <w:uiPriority w:val="99"/>
    <w:semiHidden/>
    <w:unhideWhenUsed/>
    <w:rsid w:val="00971F0B"/>
    <w:pPr>
      <w:spacing w:line="240" w:lineRule="auto"/>
    </w:pPr>
    <w:rPr>
      <w:sz w:val="20"/>
      <w:szCs w:val="20"/>
    </w:rPr>
  </w:style>
  <w:style w:type="character" w:customStyle="1" w:styleId="CommentTextChar">
    <w:name w:val="Comment Text Char"/>
    <w:basedOn w:val="DefaultParagraphFont"/>
    <w:link w:val="CommentText"/>
    <w:uiPriority w:val="99"/>
    <w:semiHidden/>
    <w:rsid w:val="00971F0B"/>
    <w:rPr>
      <w:sz w:val="20"/>
      <w:szCs w:val="20"/>
    </w:rPr>
  </w:style>
  <w:style w:type="paragraph" w:styleId="CommentSubject">
    <w:name w:val="annotation subject"/>
    <w:basedOn w:val="CommentText"/>
    <w:next w:val="CommentText"/>
    <w:link w:val="CommentSubjectChar"/>
    <w:uiPriority w:val="99"/>
    <w:semiHidden/>
    <w:unhideWhenUsed/>
    <w:rsid w:val="00971F0B"/>
    <w:rPr>
      <w:b/>
      <w:bCs/>
    </w:rPr>
  </w:style>
  <w:style w:type="character" w:customStyle="1" w:styleId="CommentSubjectChar">
    <w:name w:val="Comment Subject Char"/>
    <w:basedOn w:val="CommentTextChar"/>
    <w:link w:val="CommentSubject"/>
    <w:uiPriority w:val="99"/>
    <w:semiHidden/>
    <w:rsid w:val="00971F0B"/>
    <w:rPr>
      <w:b/>
      <w:bCs/>
      <w:sz w:val="20"/>
      <w:szCs w:val="20"/>
    </w:rPr>
  </w:style>
  <w:style w:type="paragraph" w:styleId="BalloonText">
    <w:name w:val="Balloon Text"/>
    <w:basedOn w:val="Normal"/>
    <w:link w:val="BalloonTextChar"/>
    <w:uiPriority w:val="99"/>
    <w:semiHidden/>
    <w:unhideWhenUsed/>
    <w:rsid w:val="00971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F0B"/>
    <w:rPr>
      <w:rFonts w:ascii="Segoe UI" w:hAnsi="Segoe UI" w:cs="Segoe UI"/>
      <w:sz w:val="18"/>
      <w:szCs w:val="18"/>
    </w:rPr>
  </w:style>
  <w:style w:type="character" w:customStyle="1" w:styleId="Hyperlink1">
    <w:name w:val="Hyperlink1"/>
    <w:basedOn w:val="DefaultParagraphFont"/>
    <w:uiPriority w:val="99"/>
    <w:unhideWhenUsed/>
    <w:rsid w:val="00773BDF"/>
    <w:rPr>
      <w:color w:val="0563C1"/>
      <w:u w:val="single"/>
    </w:rPr>
  </w:style>
  <w:style w:type="character" w:styleId="Hyperlink">
    <w:name w:val="Hyperlink"/>
    <w:basedOn w:val="DefaultParagraphFont"/>
    <w:uiPriority w:val="99"/>
    <w:semiHidden/>
    <w:unhideWhenUsed/>
    <w:rsid w:val="00773BDF"/>
    <w:rPr>
      <w:color w:val="0563C1" w:themeColor="hyperlink"/>
      <w:u w:val="single"/>
    </w:rPr>
  </w:style>
  <w:style w:type="paragraph" w:styleId="Header">
    <w:name w:val="header"/>
    <w:basedOn w:val="Normal"/>
    <w:link w:val="HeaderChar"/>
    <w:uiPriority w:val="99"/>
    <w:unhideWhenUsed/>
    <w:rsid w:val="00907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C8A"/>
  </w:style>
  <w:style w:type="paragraph" w:styleId="Footer">
    <w:name w:val="footer"/>
    <w:basedOn w:val="Normal"/>
    <w:link w:val="FooterChar"/>
    <w:uiPriority w:val="99"/>
    <w:unhideWhenUsed/>
    <w:rsid w:val="00907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0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rism.spc.int/reports/cens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UNITOFFICE-440-870</_dlc_DocId>
    <_dlc_DocIdUrl xmlns="5ebeba3d-fd60-4dcb-8548-a9fd3c51d9ff">
      <Url>https://intranet.undp.org/unit/office/exo/sp2014/SP201417/_layouts/15/DocIdRedir.aspx?ID=UNITOFFICE-440-870</Url>
      <Description>UNITOFFICE-440-870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A0243-86EE-4951-B64A-DA69262C49A4}">
  <ds:schemaRefs>
    <ds:schemaRef ds:uri="http://schemas.microsoft.com/sharepoint/v3/contenttype/forms"/>
  </ds:schemaRefs>
</ds:datastoreItem>
</file>

<file path=customXml/itemProps2.xml><?xml version="1.0" encoding="utf-8"?>
<ds:datastoreItem xmlns:ds="http://schemas.openxmlformats.org/officeDocument/2006/customXml" ds:itemID="{399A5462-16EF-4C3A-837F-558E5627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A9B26-EF82-4A91-AC2E-C1DA12798102}">
  <ds:schemaRefs>
    <ds:schemaRef ds:uri="http://schemas.microsoft.com/sharepoint/events"/>
  </ds:schemaRefs>
</ds:datastoreItem>
</file>

<file path=customXml/itemProps4.xml><?xml version="1.0" encoding="utf-8"?>
<ds:datastoreItem xmlns:ds="http://schemas.openxmlformats.org/officeDocument/2006/customXml" ds:itemID="{0CB78726-3D38-46E5-8ECE-75C9CB446DCA}">
  <ds:schemaRefs>
    <ds:schemaRef ds:uri="http://schemas.microsoft.com/office/2006/documentManagement/types"/>
    <ds:schemaRef ds:uri="http://purl.org/dc/dcmitype/"/>
    <ds:schemaRef ds:uri="5ebeba3d-fd60-4dcb-8548-a9fd3c51d9ff"/>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D6B31D2-1DB9-49A9-A344-93466DEF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2897</Words>
  <Characters>16517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Varanisese Tawake</dc:creator>
  <cp:lastModifiedBy>Svetlana Iazykova</cp:lastModifiedBy>
  <cp:revision>2</cp:revision>
  <cp:lastPrinted>2017-04-24T23:19:00Z</cp:lastPrinted>
  <dcterms:created xsi:type="dcterms:W3CDTF">2017-08-02T20:50:00Z</dcterms:created>
  <dcterms:modified xsi:type="dcterms:W3CDTF">2017-08-02T20:50:00Z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af56e08e-e6c1-4290-b7af-8a3028d63ede</vt:lpwstr>
  </property>
</Properties>
</file>