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E88DA3" w14:textId="77777777" w:rsidR="00D21D6B" w:rsidRPr="00917D69" w:rsidRDefault="00D21D6B" w:rsidP="00D21D6B">
      <w:pPr>
        <w:jc w:val="center"/>
        <w:rPr>
          <w:lang w:val="fr-FR"/>
        </w:rPr>
      </w:pPr>
      <w:bookmarkStart w:id="0" w:name="_GoBack"/>
      <w:bookmarkEnd w:id="0"/>
      <w:r w:rsidRPr="00B10634">
        <w:rPr>
          <w:rFonts w:ascii="Arial" w:hAnsi="Arial" w:cs="Arial"/>
          <w:b/>
          <w:noProof/>
          <w:color w:val="0000FF"/>
        </w:rPr>
        <w:drawing>
          <wp:inline distT="0" distB="0" distL="0" distR="0" wp14:anchorId="4D843A71" wp14:editId="64C2E707">
            <wp:extent cx="323850" cy="641350"/>
            <wp:effectExtent l="0" t="0" r="0" b="6350"/>
            <wp:docPr id="8" name="Picture 8" descr="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917D69">
        <w:rPr>
          <w:b/>
          <w:lang w:val="fr-FR"/>
        </w:rPr>
        <w:t xml:space="preserve">     </w:t>
      </w:r>
      <w:r w:rsidRPr="00B10634">
        <w:rPr>
          <w:rFonts w:ascii="Arial" w:hAnsi="Arial" w:cs="Arial"/>
          <w:b/>
          <w:noProof/>
          <w:color w:val="0000CC"/>
          <w:sz w:val="15"/>
          <w:szCs w:val="15"/>
        </w:rPr>
        <w:drawing>
          <wp:inline distT="0" distB="0" distL="0" distR="0" wp14:anchorId="2425D98D" wp14:editId="5B17C02D">
            <wp:extent cx="1003300" cy="431800"/>
            <wp:effectExtent l="0" t="0" r="6350" b="6350"/>
            <wp:docPr id="9" name="Picture 9"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917D69">
        <w:rPr>
          <w:b/>
          <w:lang w:val="fr-FR"/>
        </w:rPr>
        <w:t xml:space="preserve">   </w:t>
      </w:r>
      <w:r w:rsidRPr="00B10634">
        <w:rPr>
          <w:b/>
          <w:noProof/>
        </w:rPr>
        <w:drawing>
          <wp:inline distT="0" distB="0" distL="0" distR="0" wp14:anchorId="393462E7" wp14:editId="29C3089E">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917D69">
        <w:rPr>
          <w:b/>
          <w:lang w:val="fr-FR"/>
        </w:rPr>
        <w:t xml:space="preserve">  </w:t>
      </w:r>
      <w:r w:rsidRPr="00B10634">
        <w:rPr>
          <w:b/>
          <w:noProof/>
          <w:vertAlign w:val="superscript"/>
        </w:rPr>
        <w:drawing>
          <wp:inline distT="0" distB="0" distL="0" distR="0" wp14:anchorId="3A2E60ED" wp14:editId="20494189">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917D69">
        <w:rPr>
          <w:b/>
          <w:lang w:val="fr-FR"/>
        </w:rPr>
        <w:t xml:space="preserve">   </w:t>
      </w:r>
      <w:r w:rsidRPr="00B10634">
        <w:rPr>
          <w:b/>
          <w:noProof/>
        </w:rPr>
        <w:drawing>
          <wp:inline distT="0" distB="0" distL="0" distR="0" wp14:anchorId="3563EBA7" wp14:editId="55543910">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917D69">
        <w:rPr>
          <w:b/>
          <w:lang w:val="fr-FR"/>
        </w:rPr>
        <w:t xml:space="preserve">   </w:t>
      </w:r>
      <w:r w:rsidRPr="00B10634">
        <w:rPr>
          <w:rFonts w:ascii="Arial" w:hAnsi="Arial" w:cs="Arial"/>
          <w:b/>
          <w:noProof/>
          <w:color w:val="0000CC"/>
          <w:sz w:val="15"/>
          <w:szCs w:val="15"/>
        </w:rPr>
        <w:drawing>
          <wp:inline distT="0" distB="0" distL="0" distR="0" wp14:anchorId="1B1DFB06" wp14:editId="6833D158">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368E5F3C" w14:textId="77777777" w:rsidR="00D21D6B" w:rsidRPr="00917D69" w:rsidRDefault="00D21D6B" w:rsidP="00DB7AED">
      <w:pPr>
        <w:spacing w:line="480" w:lineRule="auto"/>
        <w:jc w:val="center"/>
        <w:rPr>
          <w:b/>
          <w:sz w:val="22"/>
          <w:szCs w:val="22"/>
          <w:lang w:val="fr-FR"/>
        </w:rPr>
      </w:pPr>
    </w:p>
    <w:p w14:paraId="0EE86368" w14:textId="77777777" w:rsidR="00D21D6B" w:rsidRPr="00917D69" w:rsidRDefault="00D21D6B" w:rsidP="00DB7AED">
      <w:pPr>
        <w:spacing w:line="480" w:lineRule="auto"/>
        <w:jc w:val="center"/>
        <w:rPr>
          <w:b/>
          <w:sz w:val="22"/>
          <w:szCs w:val="22"/>
          <w:lang w:val="fr-FR"/>
        </w:rPr>
      </w:pPr>
    </w:p>
    <w:p w14:paraId="043A41C2" w14:textId="2A5C055A" w:rsidR="00D21D6B" w:rsidRPr="007B5599" w:rsidRDefault="00D21D6B" w:rsidP="00D21D6B">
      <w:pPr>
        <w:jc w:val="center"/>
        <w:rPr>
          <w:sz w:val="32"/>
          <w:szCs w:val="32"/>
          <w:lang w:val="fr-FR"/>
        </w:rPr>
      </w:pPr>
      <w:r w:rsidRPr="007B5599">
        <w:rPr>
          <w:b/>
          <w:sz w:val="32"/>
          <w:szCs w:val="32"/>
          <w:lang w:val="fr-FR"/>
        </w:rPr>
        <w:t>Réunion conjointe des Conseils d’administration du PNUD/</w:t>
      </w:r>
      <w:r w:rsidR="006F0E51">
        <w:rPr>
          <w:b/>
          <w:sz w:val="32"/>
          <w:szCs w:val="32"/>
          <w:lang w:val="fr-FR"/>
        </w:rPr>
        <w:t>FNUAP</w:t>
      </w:r>
      <w:r w:rsidRPr="007B5599">
        <w:rPr>
          <w:b/>
          <w:sz w:val="32"/>
          <w:szCs w:val="32"/>
          <w:lang w:val="fr-FR"/>
        </w:rPr>
        <w:t>/UNOPS, de l’UNICEF, d’ONU-Femmes et du PAM</w:t>
      </w:r>
    </w:p>
    <w:p w14:paraId="49F97310" w14:textId="4584F130" w:rsidR="00D21D6B" w:rsidRPr="007B5599" w:rsidRDefault="00D21D6B" w:rsidP="00D21D6B">
      <w:pPr>
        <w:jc w:val="center"/>
        <w:rPr>
          <w:b/>
          <w:sz w:val="32"/>
          <w:szCs w:val="32"/>
          <w:lang w:val="fr-FR"/>
        </w:rPr>
      </w:pPr>
      <w:r w:rsidRPr="007B5599">
        <w:rPr>
          <w:b/>
          <w:sz w:val="32"/>
          <w:szCs w:val="32"/>
          <w:lang w:val="fr-FR"/>
        </w:rPr>
        <w:t>19</w:t>
      </w:r>
      <w:r w:rsidR="006F0E51">
        <w:rPr>
          <w:b/>
          <w:sz w:val="32"/>
          <w:szCs w:val="32"/>
          <w:lang w:val="fr-FR"/>
        </w:rPr>
        <w:t> </w:t>
      </w:r>
      <w:r w:rsidRPr="007B5599">
        <w:rPr>
          <w:b/>
          <w:sz w:val="32"/>
          <w:szCs w:val="32"/>
          <w:lang w:val="fr-FR"/>
        </w:rPr>
        <w:t>juin</w:t>
      </w:r>
      <w:r w:rsidR="006F0E51">
        <w:rPr>
          <w:b/>
          <w:sz w:val="32"/>
          <w:szCs w:val="32"/>
          <w:lang w:val="fr-FR"/>
        </w:rPr>
        <w:t> </w:t>
      </w:r>
      <w:r w:rsidRPr="007B5599">
        <w:rPr>
          <w:b/>
          <w:sz w:val="32"/>
          <w:szCs w:val="32"/>
          <w:lang w:val="fr-FR"/>
        </w:rPr>
        <w:t>2017</w:t>
      </w:r>
    </w:p>
    <w:p w14:paraId="01C00083" w14:textId="77777777" w:rsidR="00D21D6B" w:rsidRPr="007B5599" w:rsidRDefault="00D21D6B" w:rsidP="00D21D6B">
      <w:pPr>
        <w:jc w:val="center"/>
        <w:rPr>
          <w:b/>
          <w:sz w:val="32"/>
          <w:szCs w:val="32"/>
          <w:lang w:val="fr-FR"/>
        </w:rPr>
      </w:pPr>
      <w:r w:rsidRPr="007B5599">
        <w:rPr>
          <w:b/>
          <w:sz w:val="32"/>
          <w:szCs w:val="32"/>
          <w:lang w:val="fr-FR"/>
        </w:rPr>
        <w:t>New York</w:t>
      </w:r>
    </w:p>
    <w:p w14:paraId="3DE050F2" w14:textId="77777777" w:rsidR="00D21D6B" w:rsidRPr="007B5599" w:rsidRDefault="00D21D6B" w:rsidP="00D21D6B">
      <w:pPr>
        <w:jc w:val="center"/>
        <w:rPr>
          <w:sz w:val="32"/>
          <w:szCs w:val="32"/>
          <w:lang w:val="fr-FR"/>
        </w:rPr>
      </w:pPr>
    </w:p>
    <w:p w14:paraId="618E25F6" w14:textId="77777777" w:rsidR="00D21D6B" w:rsidRPr="007B5599" w:rsidRDefault="00D21D6B" w:rsidP="00D21D6B">
      <w:pPr>
        <w:jc w:val="center"/>
        <w:rPr>
          <w:sz w:val="32"/>
          <w:szCs w:val="32"/>
          <w:lang w:val="fr-FR"/>
        </w:rPr>
      </w:pPr>
    </w:p>
    <w:p w14:paraId="25533B3D" w14:textId="77777777" w:rsidR="00D21D6B" w:rsidRPr="007B5599" w:rsidRDefault="00D21D6B" w:rsidP="00D21D6B">
      <w:pPr>
        <w:jc w:val="center"/>
        <w:rPr>
          <w:sz w:val="32"/>
          <w:szCs w:val="32"/>
          <w:lang w:val="fr-FR"/>
        </w:rPr>
      </w:pPr>
    </w:p>
    <w:p w14:paraId="05146A15" w14:textId="77777777" w:rsidR="00D21D6B" w:rsidRPr="007B5599" w:rsidRDefault="00D21D6B" w:rsidP="00D21D6B">
      <w:pPr>
        <w:jc w:val="center"/>
        <w:rPr>
          <w:sz w:val="32"/>
          <w:szCs w:val="32"/>
          <w:lang w:val="fr-FR"/>
        </w:rPr>
      </w:pPr>
    </w:p>
    <w:p w14:paraId="7B364FB6" w14:textId="77777777" w:rsidR="00D21D6B" w:rsidRPr="007B5599" w:rsidRDefault="00D21D6B" w:rsidP="00D21D6B">
      <w:pPr>
        <w:jc w:val="center"/>
        <w:rPr>
          <w:sz w:val="32"/>
          <w:szCs w:val="32"/>
          <w:lang w:val="fr-FR"/>
        </w:rPr>
      </w:pPr>
    </w:p>
    <w:p w14:paraId="6D9D0023" w14:textId="330075F8" w:rsidR="00CB086E" w:rsidRPr="00D21D6B" w:rsidRDefault="008B0F9B" w:rsidP="00D21D6B">
      <w:pPr>
        <w:widowControl/>
        <w:jc w:val="center"/>
        <w:rPr>
          <w:b/>
          <w:bCs/>
          <w:color w:val="auto"/>
          <w:sz w:val="32"/>
          <w:szCs w:val="32"/>
          <w:lang w:val="fr-FR"/>
        </w:rPr>
      </w:pPr>
      <w:r>
        <w:rPr>
          <w:b/>
          <w:bCs/>
          <w:color w:val="auto"/>
          <w:sz w:val="32"/>
          <w:szCs w:val="32"/>
          <w:lang w:val="fr-FR"/>
        </w:rPr>
        <w:t>Mise en application des décisions de l</w:t>
      </w:r>
      <w:r w:rsidR="00AD08B8">
        <w:rPr>
          <w:b/>
          <w:bCs/>
          <w:color w:val="auto"/>
          <w:sz w:val="32"/>
          <w:szCs w:val="32"/>
          <w:lang w:val="fr-FR"/>
        </w:rPr>
        <w:t>’</w:t>
      </w:r>
      <w:r>
        <w:rPr>
          <w:b/>
          <w:bCs/>
          <w:color w:val="auto"/>
          <w:sz w:val="32"/>
          <w:szCs w:val="32"/>
          <w:lang w:val="fr-FR"/>
        </w:rPr>
        <w:t>examen quadriennal complet des activités opérationnelles</w:t>
      </w:r>
      <w:r w:rsidR="00F85ECA">
        <w:rPr>
          <w:b/>
          <w:bCs/>
          <w:color w:val="auto"/>
          <w:sz w:val="32"/>
          <w:szCs w:val="32"/>
          <w:lang w:val="fr-FR"/>
        </w:rPr>
        <w:t xml:space="preserve">, en </w:t>
      </w:r>
      <w:r w:rsidR="00C84BBD">
        <w:rPr>
          <w:b/>
          <w:bCs/>
          <w:color w:val="auto"/>
          <w:sz w:val="32"/>
          <w:szCs w:val="32"/>
          <w:lang w:val="fr-FR"/>
        </w:rPr>
        <w:t>intégrant</w:t>
      </w:r>
      <w:r w:rsidR="00F85ECA">
        <w:rPr>
          <w:b/>
          <w:bCs/>
          <w:color w:val="auto"/>
          <w:sz w:val="32"/>
          <w:szCs w:val="32"/>
          <w:lang w:val="fr-FR"/>
        </w:rPr>
        <w:t xml:space="preserve"> spécifiquement le changement climatique et le</w:t>
      </w:r>
      <w:r w:rsidR="00D57D95">
        <w:rPr>
          <w:b/>
          <w:bCs/>
          <w:color w:val="auto"/>
          <w:sz w:val="32"/>
          <w:szCs w:val="32"/>
          <w:lang w:val="fr-FR"/>
        </w:rPr>
        <w:t xml:space="preserve"> </w:t>
      </w:r>
      <w:r>
        <w:rPr>
          <w:b/>
          <w:bCs/>
          <w:color w:val="auto"/>
          <w:sz w:val="32"/>
          <w:szCs w:val="32"/>
          <w:lang w:val="fr-FR"/>
        </w:rPr>
        <w:t>renforcement de la résilience</w:t>
      </w:r>
    </w:p>
    <w:p w14:paraId="3B1B24D8" w14:textId="77777777" w:rsidR="00CB086E" w:rsidRDefault="00CB086E" w:rsidP="00D21D6B">
      <w:pPr>
        <w:widowControl/>
        <w:jc w:val="center"/>
        <w:rPr>
          <w:b/>
          <w:bCs/>
          <w:color w:val="auto"/>
          <w:sz w:val="32"/>
          <w:szCs w:val="32"/>
          <w:lang w:val="fr-FR"/>
        </w:rPr>
      </w:pPr>
    </w:p>
    <w:p w14:paraId="1B613C20" w14:textId="77777777" w:rsidR="00D21D6B" w:rsidRDefault="00D21D6B" w:rsidP="00D21D6B">
      <w:pPr>
        <w:widowControl/>
        <w:jc w:val="center"/>
        <w:rPr>
          <w:b/>
          <w:bCs/>
          <w:color w:val="auto"/>
          <w:sz w:val="32"/>
          <w:szCs w:val="32"/>
          <w:lang w:val="fr-FR"/>
        </w:rPr>
      </w:pPr>
    </w:p>
    <w:p w14:paraId="7C4C604D" w14:textId="77777777" w:rsidR="00D21D6B" w:rsidRDefault="00D21D6B" w:rsidP="00D21D6B">
      <w:pPr>
        <w:widowControl/>
        <w:jc w:val="center"/>
        <w:rPr>
          <w:b/>
          <w:bCs/>
          <w:color w:val="auto"/>
          <w:sz w:val="32"/>
          <w:szCs w:val="32"/>
          <w:lang w:val="fr-FR"/>
        </w:rPr>
      </w:pPr>
    </w:p>
    <w:p w14:paraId="19177185" w14:textId="77777777" w:rsidR="00D21D6B" w:rsidRDefault="00D21D6B" w:rsidP="00D21D6B">
      <w:pPr>
        <w:widowControl/>
        <w:jc w:val="center"/>
        <w:rPr>
          <w:b/>
          <w:bCs/>
          <w:color w:val="auto"/>
          <w:sz w:val="32"/>
          <w:szCs w:val="32"/>
          <w:lang w:val="fr-FR"/>
        </w:rPr>
      </w:pPr>
    </w:p>
    <w:p w14:paraId="336AC56C" w14:textId="77777777" w:rsidR="00D21D6B" w:rsidRDefault="00D21D6B" w:rsidP="00D21D6B">
      <w:pPr>
        <w:widowControl/>
        <w:jc w:val="center"/>
        <w:rPr>
          <w:b/>
          <w:bCs/>
          <w:color w:val="auto"/>
          <w:sz w:val="32"/>
          <w:szCs w:val="32"/>
          <w:lang w:val="fr-FR"/>
        </w:rPr>
      </w:pPr>
    </w:p>
    <w:p w14:paraId="22248C5D" w14:textId="77777777" w:rsidR="00D21D6B" w:rsidRDefault="00D21D6B" w:rsidP="00D21D6B">
      <w:pPr>
        <w:widowControl/>
        <w:jc w:val="center"/>
        <w:rPr>
          <w:b/>
          <w:bCs/>
          <w:color w:val="auto"/>
          <w:sz w:val="32"/>
          <w:szCs w:val="32"/>
          <w:lang w:val="fr-FR"/>
        </w:rPr>
      </w:pPr>
    </w:p>
    <w:p w14:paraId="6F29943D" w14:textId="77777777" w:rsidR="00D21D6B" w:rsidRDefault="00D21D6B" w:rsidP="00D21D6B">
      <w:pPr>
        <w:widowControl/>
        <w:jc w:val="center"/>
        <w:rPr>
          <w:b/>
          <w:bCs/>
          <w:color w:val="auto"/>
          <w:sz w:val="32"/>
          <w:szCs w:val="32"/>
          <w:lang w:val="fr-FR"/>
        </w:rPr>
      </w:pPr>
    </w:p>
    <w:p w14:paraId="2928DACD" w14:textId="77777777" w:rsidR="00D21D6B" w:rsidRDefault="00D21D6B" w:rsidP="00D21D6B">
      <w:pPr>
        <w:widowControl/>
        <w:jc w:val="center"/>
        <w:rPr>
          <w:b/>
          <w:bCs/>
          <w:color w:val="auto"/>
          <w:sz w:val="32"/>
          <w:szCs w:val="32"/>
          <w:lang w:val="fr-FR"/>
        </w:rPr>
      </w:pPr>
    </w:p>
    <w:p w14:paraId="1F5EC104" w14:textId="77777777" w:rsidR="00D21D6B" w:rsidRDefault="00D21D6B" w:rsidP="00D21D6B">
      <w:pPr>
        <w:widowControl/>
        <w:jc w:val="center"/>
        <w:rPr>
          <w:b/>
          <w:bCs/>
          <w:color w:val="auto"/>
          <w:sz w:val="32"/>
          <w:szCs w:val="32"/>
          <w:lang w:val="fr-FR"/>
        </w:rPr>
      </w:pPr>
    </w:p>
    <w:p w14:paraId="111F886E" w14:textId="77777777" w:rsidR="00D21D6B" w:rsidRDefault="00D21D6B" w:rsidP="00D21D6B">
      <w:pPr>
        <w:widowControl/>
        <w:jc w:val="center"/>
        <w:rPr>
          <w:b/>
          <w:bCs/>
          <w:color w:val="auto"/>
          <w:sz w:val="32"/>
          <w:szCs w:val="32"/>
          <w:lang w:val="fr-FR"/>
        </w:rPr>
      </w:pPr>
    </w:p>
    <w:p w14:paraId="01C18C80" w14:textId="77777777" w:rsidR="00D21D6B" w:rsidRDefault="00D21D6B" w:rsidP="00D21D6B">
      <w:pPr>
        <w:widowControl/>
        <w:jc w:val="center"/>
        <w:rPr>
          <w:b/>
          <w:bCs/>
          <w:color w:val="auto"/>
          <w:sz w:val="32"/>
          <w:szCs w:val="32"/>
          <w:lang w:val="fr-FR"/>
        </w:rPr>
      </w:pPr>
    </w:p>
    <w:p w14:paraId="7937C83D" w14:textId="77777777" w:rsidR="00D21D6B" w:rsidRDefault="00D21D6B" w:rsidP="00D21D6B">
      <w:pPr>
        <w:widowControl/>
        <w:jc w:val="center"/>
        <w:rPr>
          <w:b/>
          <w:bCs/>
          <w:color w:val="auto"/>
          <w:sz w:val="32"/>
          <w:szCs w:val="32"/>
          <w:lang w:val="fr-FR"/>
        </w:rPr>
      </w:pPr>
    </w:p>
    <w:p w14:paraId="6C09BFC6" w14:textId="77777777" w:rsidR="00D21D6B" w:rsidRDefault="00D21D6B" w:rsidP="00D21D6B">
      <w:pPr>
        <w:widowControl/>
        <w:jc w:val="center"/>
        <w:rPr>
          <w:b/>
          <w:bCs/>
          <w:color w:val="auto"/>
          <w:sz w:val="32"/>
          <w:szCs w:val="32"/>
          <w:lang w:val="fr-FR"/>
        </w:rPr>
      </w:pPr>
    </w:p>
    <w:p w14:paraId="4D0F0A30" w14:textId="77777777" w:rsidR="00D21D6B" w:rsidRDefault="00D21D6B" w:rsidP="00D21D6B">
      <w:pPr>
        <w:widowControl/>
        <w:jc w:val="center"/>
        <w:rPr>
          <w:b/>
          <w:bCs/>
          <w:color w:val="auto"/>
          <w:sz w:val="32"/>
          <w:szCs w:val="32"/>
          <w:lang w:val="fr-FR"/>
        </w:rPr>
      </w:pPr>
    </w:p>
    <w:p w14:paraId="0BCB2162" w14:textId="77777777" w:rsidR="00D21D6B" w:rsidRDefault="00D21D6B" w:rsidP="00D21D6B">
      <w:pPr>
        <w:widowControl/>
        <w:jc w:val="center"/>
        <w:rPr>
          <w:b/>
          <w:bCs/>
          <w:color w:val="auto"/>
          <w:sz w:val="24"/>
          <w:szCs w:val="24"/>
          <w:lang w:val="fr-FR"/>
        </w:rPr>
      </w:pPr>
    </w:p>
    <w:p w14:paraId="58BD7D08" w14:textId="77777777" w:rsidR="00F35D47" w:rsidRPr="00D21D6B" w:rsidRDefault="00F35D47" w:rsidP="00D21D6B">
      <w:pPr>
        <w:widowControl/>
        <w:jc w:val="center"/>
        <w:rPr>
          <w:b/>
          <w:bCs/>
          <w:color w:val="auto"/>
          <w:sz w:val="24"/>
          <w:szCs w:val="24"/>
          <w:lang w:val="fr-FR"/>
        </w:rPr>
      </w:pPr>
    </w:p>
    <w:p w14:paraId="0ACC66E6" w14:textId="77777777" w:rsidR="00D21D6B" w:rsidRPr="00D21D6B" w:rsidRDefault="00D21D6B" w:rsidP="00D21D6B">
      <w:pPr>
        <w:widowControl/>
        <w:jc w:val="center"/>
        <w:rPr>
          <w:b/>
          <w:bCs/>
          <w:color w:val="auto"/>
          <w:sz w:val="24"/>
          <w:szCs w:val="24"/>
          <w:lang w:val="fr-FR"/>
        </w:rPr>
      </w:pPr>
    </w:p>
    <w:p w14:paraId="5E94452B" w14:textId="77777777" w:rsidR="00D21D6B" w:rsidRPr="007B5599" w:rsidRDefault="00D21D6B" w:rsidP="00D21D6B">
      <w:pPr>
        <w:jc w:val="center"/>
        <w:rPr>
          <w:sz w:val="24"/>
          <w:szCs w:val="24"/>
          <w:lang w:val="fr-FR"/>
        </w:rPr>
      </w:pPr>
    </w:p>
    <w:p w14:paraId="792E64A0" w14:textId="1DB190B2" w:rsidR="00D21D6B" w:rsidRPr="007B5599" w:rsidRDefault="00D21D6B" w:rsidP="00D21D6B">
      <w:pPr>
        <w:jc w:val="center"/>
        <w:rPr>
          <w:sz w:val="24"/>
          <w:szCs w:val="24"/>
          <w:lang w:val="fr-FR"/>
        </w:rPr>
      </w:pPr>
      <w:r w:rsidRPr="007B5599">
        <w:rPr>
          <w:sz w:val="24"/>
          <w:szCs w:val="24"/>
          <w:lang w:val="fr-FR"/>
        </w:rPr>
        <w:t>Document d</w:t>
      </w:r>
      <w:r w:rsidR="00AD08B8" w:rsidRPr="007B5599">
        <w:rPr>
          <w:sz w:val="24"/>
          <w:szCs w:val="24"/>
          <w:lang w:val="fr-FR"/>
        </w:rPr>
        <w:t>’</w:t>
      </w:r>
      <w:r w:rsidRPr="007B5599">
        <w:rPr>
          <w:sz w:val="24"/>
          <w:szCs w:val="24"/>
          <w:lang w:val="fr-FR"/>
        </w:rPr>
        <w:t xml:space="preserve">information </w:t>
      </w:r>
      <w:r w:rsidRPr="0064730A">
        <w:rPr>
          <w:sz w:val="24"/>
          <w:szCs w:val="24"/>
          <w:lang w:val="fr-FR"/>
        </w:rPr>
        <w:t>préparé conjointement par le PNUD (</w:t>
      </w:r>
      <w:r w:rsidR="00AC2C27" w:rsidRPr="0064730A">
        <w:rPr>
          <w:sz w:val="24"/>
          <w:szCs w:val="24"/>
          <w:lang w:val="fr-FR"/>
        </w:rPr>
        <w:t>co-coordinateur</w:t>
      </w:r>
      <w:r w:rsidRPr="0064730A">
        <w:rPr>
          <w:sz w:val="24"/>
          <w:szCs w:val="24"/>
          <w:lang w:val="fr-FR"/>
        </w:rPr>
        <w:t xml:space="preserve">), </w:t>
      </w:r>
      <w:r w:rsidR="006F0E51" w:rsidRPr="00C4515E">
        <w:rPr>
          <w:sz w:val="24"/>
          <w:szCs w:val="24"/>
          <w:lang w:val="fr-FR"/>
        </w:rPr>
        <w:t>le FNUAP</w:t>
      </w:r>
      <w:r w:rsidRPr="00C4515E">
        <w:rPr>
          <w:sz w:val="24"/>
          <w:szCs w:val="24"/>
          <w:lang w:val="fr-FR"/>
        </w:rPr>
        <w:t>, l</w:t>
      </w:r>
      <w:r w:rsidR="00AD08B8" w:rsidRPr="00C4515E">
        <w:rPr>
          <w:sz w:val="24"/>
          <w:szCs w:val="24"/>
          <w:lang w:val="fr-FR"/>
        </w:rPr>
        <w:t>’</w:t>
      </w:r>
      <w:r w:rsidRPr="00C4515E">
        <w:rPr>
          <w:sz w:val="24"/>
          <w:szCs w:val="24"/>
          <w:lang w:val="fr-FR"/>
        </w:rPr>
        <w:t>UNOPS, l</w:t>
      </w:r>
      <w:r w:rsidR="00AD08B8" w:rsidRPr="00C4515E">
        <w:rPr>
          <w:sz w:val="24"/>
          <w:szCs w:val="24"/>
          <w:lang w:val="fr-FR"/>
        </w:rPr>
        <w:t>’</w:t>
      </w:r>
      <w:r w:rsidRPr="00C4515E">
        <w:rPr>
          <w:sz w:val="24"/>
          <w:szCs w:val="24"/>
          <w:lang w:val="fr-FR"/>
        </w:rPr>
        <w:t>UNICEF (</w:t>
      </w:r>
      <w:r w:rsidR="00AC2C27" w:rsidRPr="00C4515E">
        <w:rPr>
          <w:sz w:val="24"/>
          <w:szCs w:val="24"/>
          <w:lang w:val="fr-FR"/>
        </w:rPr>
        <w:t>co-coordinateur</w:t>
      </w:r>
      <w:r w:rsidRPr="004B1892">
        <w:rPr>
          <w:sz w:val="24"/>
          <w:szCs w:val="24"/>
          <w:lang w:val="fr-FR"/>
        </w:rPr>
        <w:t>), ONU</w:t>
      </w:r>
      <w:r w:rsidRPr="007B5599">
        <w:rPr>
          <w:sz w:val="24"/>
          <w:szCs w:val="24"/>
          <w:lang w:val="fr-FR"/>
        </w:rPr>
        <w:t>-Femmes et le PAM</w:t>
      </w:r>
    </w:p>
    <w:p w14:paraId="03D73E72" w14:textId="77777777" w:rsidR="00D21D6B" w:rsidRPr="007B5599" w:rsidRDefault="00D21D6B" w:rsidP="00D21D6B">
      <w:pPr>
        <w:widowControl/>
        <w:jc w:val="center"/>
        <w:rPr>
          <w:b/>
          <w:bCs/>
          <w:color w:val="auto"/>
          <w:sz w:val="32"/>
          <w:szCs w:val="32"/>
          <w:lang w:val="fr-FR"/>
        </w:rPr>
      </w:pPr>
    </w:p>
    <w:p w14:paraId="738359AD" w14:textId="77777777" w:rsidR="00CB086E" w:rsidRPr="00EA0852" w:rsidRDefault="00D21D6B" w:rsidP="00EA0852">
      <w:pPr>
        <w:pStyle w:val="ListParagraph"/>
        <w:numPr>
          <w:ilvl w:val="0"/>
          <w:numId w:val="15"/>
        </w:numPr>
        <w:tabs>
          <w:tab w:val="left" w:pos="540"/>
        </w:tabs>
        <w:spacing w:after="240"/>
        <w:ind w:left="0" w:firstLine="144"/>
        <w:contextualSpacing w:val="0"/>
        <w:rPr>
          <w:b/>
          <w:sz w:val="28"/>
          <w:szCs w:val="28"/>
        </w:rPr>
      </w:pPr>
      <w:r w:rsidRPr="0060667F">
        <w:rPr>
          <w:b/>
          <w:bCs/>
          <w:color w:val="auto"/>
          <w:sz w:val="32"/>
          <w:szCs w:val="32"/>
          <w:lang w:val="fr-FR"/>
        </w:rPr>
        <w:br w:type="page"/>
      </w:r>
      <w:r w:rsidR="007D7194" w:rsidRPr="00C81B5E">
        <w:rPr>
          <w:b/>
          <w:sz w:val="32"/>
          <w:szCs w:val="28"/>
        </w:rPr>
        <w:lastRenderedPageBreak/>
        <w:t>Présentation générale</w:t>
      </w:r>
    </w:p>
    <w:p w14:paraId="11143FE1" w14:textId="3BCDB85D" w:rsidR="00EA0852" w:rsidRPr="00C81B5E" w:rsidRDefault="00C81B5E" w:rsidP="00F17621">
      <w:pPr>
        <w:pStyle w:val="ListParagraph"/>
        <w:tabs>
          <w:tab w:val="left" w:pos="540"/>
          <w:tab w:val="left" w:pos="630"/>
        </w:tabs>
        <w:spacing w:after="240"/>
        <w:ind w:left="0"/>
        <w:contextualSpacing w:val="0"/>
        <w:jc w:val="both"/>
        <w:rPr>
          <w:sz w:val="28"/>
          <w:szCs w:val="24"/>
        </w:rPr>
      </w:pPr>
      <w:bookmarkStart w:id="1" w:name="_gjdgxs" w:colFirst="0" w:colLast="0"/>
      <w:bookmarkEnd w:id="1"/>
      <w:r w:rsidRPr="00C81B5E">
        <w:rPr>
          <w:b/>
          <w:sz w:val="28"/>
          <w:szCs w:val="24"/>
        </w:rPr>
        <w:t>Quelles sont les attentes</w:t>
      </w:r>
      <w:r w:rsidR="00537B5E">
        <w:rPr>
          <w:b/>
          <w:sz w:val="28"/>
          <w:szCs w:val="24"/>
        </w:rPr>
        <w:t> </w:t>
      </w:r>
      <w:r w:rsidRPr="00C81B5E">
        <w:rPr>
          <w:b/>
          <w:sz w:val="28"/>
          <w:szCs w:val="24"/>
        </w:rPr>
        <w:t>?</w:t>
      </w:r>
    </w:p>
    <w:p w14:paraId="50E3624B" w14:textId="1E2F7E6B" w:rsidR="00D21D6B" w:rsidRPr="007B5599" w:rsidRDefault="008B0F9B" w:rsidP="00F35D47">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Dans le préambule du nouvel examen quadriennal complet des activités opérationnelles de développement du système des Nations Unies (résolution 71/243), l</w:t>
      </w:r>
      <w:r w:rsidR="00AD08B8" w:rsidRPr="007B5599">
        <w:rPr>
          <w:sz w:val="24"/>
          <w:szCs w:val="24"/>
          <w:lang w:val="fr-FR"/>
        </w:rPr>
        <w:t>’</w:t>
      </w:r>
      <w:r w:rsidRPr="007B5599">
        <w:rPr>
          <w:sz w:val="24"/>
          <w:szCs w:val="24"/>
          <w:lang w:val="fr-FR"/>
        </w:rPr>
        <w:t xml:space="preserve">Assemblée générale met </w:t>
      </w:r>
      <w:r w:rsidR="00107C12" w:rsidRPr="007B5599">
        <w:rPr>
          <w:sz w:val="24"/>
          <w:szCs w:val="24"/>
          <w:lang w:val="fr-FR"/>
        </w:rPr>
        <w:t>nettement</w:t>
      </w:r>
      <w:r w:rsidRPr="007B5599">
        <w:rPr>
          <w:sz w:val="24"/>
          <w:szCs w:val="24"/>
          <w:lang w:val="fr-FR"/>
        </w:rPr>
        <w:t xml:space="preserve"> en évidence la volonté collective des États membres de repositionner le système des Nations Unies pour le développement, afin que celui-ci devienne «</w:t>
      </w:r>
      <w:r w:rsidR="00537B5E">
        <w:rPr>
          <w:sz w:val="24"/>
          <w:szCs w:val="24"/>
          <w:lang w:val="fr-FR"/>
        </w:rPr>
        <w:t> </w:t>
      </w:r>
      <w:r w:rsidRPr="007B5599">
        <w:rPr>
          <w:sz w:val="24"/>
          <w:szCs w:val="24"/>
          <w:lang w:val="fr-FR"/>
        </w:rPr>
        <w:t>plus stratégique, transparent, ouvert à la collaboration, efficace, effectif et axé sur les résultats</w:t>
      </w:r>
      <w:r w:rsidR="00537B5E">
        <w:rPr>
          <w:sz w:val="24"/>
          <w:szCs w:val="24"/>
          <w:lang w:val="fr-FR"/>
        </w:rPr>
        <w:t> </w:t>
      </w:r>
      <w:r w:rsidRPr="007B5599">
        <w:rPr>
          <w:sz w:val="24"/>
          <w:szCs w:val="24"/>
          <w:lang w:val="fr-FR"/>
        </w:rPr>
        <w:t>». Elle invite également le système à gagner en «</w:t>
      </w:r>
      <w:r w:rsidR="00537B5E">
        <w:rPr>
          <w:sz w:val="24"/>
          <w:szCs w:val="24"/>
          <w:lang w:val="fr-FR"/>
        </w:rPr>
        <w:t> </w:t>
      </w:r>
      <w:r w:rsidRPr="007B5599">
        <w:rPr>
          <w:sz w:val="24"/>
          <w:szCs w:val="24"/>
          <w:lang w:val="fr-FR"/>
        </w:rPr>
        <w:t>souplesse, diligence, cohérence, coordination et logique</w:t>
      </w:r>
      <w:r w:rsidR="00537B5E">
        <w:rPr>
          <w:sz w:val="24"/>
          <w:szCs w:val="24"/>
          <w:lang w:val="fr-FR"/>
        </w:rPr>
        <w:t> </w:t>
      </w:r>
      <w:r w:rsidRPr="007B5599">
        <w:rPr>
          <w:sz w:val="24"/>
          <w:szCs w:val="24"/>
          <w:lang w:val="fr-FR"/>
        </w:rPr>
        <w:t>» en vue de répondre aux besoins et priorités des pays en matière de développement et de soutenir la mise en œuvre du Programme de développement durable à l’horizon</w:t>
      </w:r>
      <w:r w:rsidR="00AD08B8" w:rsidRPr="007B5599">
        <w:rPr>
          <w:sz w:val="24"/>
          <w:szCs w:val="24"/>
          <w:lang w:val="fr-FR"/>
        </w:rPr>
        <w:t> </w:t>
      </w:r>
      <w:r w:rsidRPr="007B5599">
        <w:rPr>
          <w:sz w:val="24"/>
          <w:szCs w:val="24"/>
          <w:lang w:val="fr-FR"/>
        </w:rPr>
        <w:t>2030. Elle se montre également «</w:t>
      </w:r>
      <w:r w:rsidR="00537B5E">
        <w:rPr>
          <w:sz w:val="24"/>
          <w:szCs w:val="24"/>
          <w:lang w:val="fr-FR"/>
        </w:rPr>
        <w:t> </w:t>
      </w:r>
      <w:r w:rsidRPr="007B5599">
        <w:rPr>
          <w:sz w:val="24"/>
          <w:szCs w:val="24"/>
          <w:lang w:val="fr-FR"/>
        </w:rPr>
        <w:t>consciente du rôle positif que le développement durable peut jouer en atténuant les facteurs de conflit, les risques de catastrophe, les crises humanitaires et les situations d’urgence complexes, et estime qu’une réponse globale de l’ensemble du système, s’appuyant sur une plus grande coopération et une meilleure complémentarité des secteurs du développement, de la réduction des risques de catastrophe, de l’action humanitaire et de la pérennisation de la paix, est essentielle pour répondre aux besoins le plus efficacement possible et atteindre les objectifs de développement durable</w:t>
      </w:r>
      <w:r w:rsidR="00537B5E">
        <w:rPr>
          <w:sz w:val="24"/>
          <w:szCs w:val="24"/>
          <w:lang w:val="fr-FR"/>
        </w:rPr>
        <w:t> </w:t>
      </w:r>
      <w:r w:rsidRPr="007B5599">
        <w:rPr>
          <w:sz w:val="24"/>
          <w:szCs w:val="24"/>
          <w:lang w:val="fr-FR"/>
        </w:rPr>
        <w:t>» (paragraphe</w:t>
      </w:r>
      <w:r w:rsidR="00AD08B8" w:rsidRPr="007B5599">
        <w:rPr>
          <w:sz w:val="24"/>
          <w:szCs w:val="24"/>
          <w:lang w:val="fr-FR"/>
        </w:rPr>
        <w:t> </w:t>
      </w:r>
      <w:r w:rsidRPr="007B5599">
        <w:rPr>
          <w:sz w:val="24"/>
          <w:szCs w:val="24"/>
          <w:lang w:val="fr-FR"/>
        </w:rPr>
        <w:t>14 des orientations générales).</w:t>
      </w:r>
    </w:p>
    <w:p w14:paraId="08CB6BC2" w14:textId="25B14C36" w:rsidR="007D7194" w:rsidRPr="00055EDC" w:rsidRDefault="00F10952" w:rsidP="00F35D47">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Le caractère complexe et pluridimensionnel des défis mondiaux actuels, tels qu</w:t>
      </w:r>
      <w:r w:rsidR="00AD08B8" w:rsidRPr="007B5599">
        <w:rPr>
          <w:sz w:val="24"/>
          <w:szCs w:val="24"/>
          <w:lang w:val="fr-FR"/>
        </w:rPr>
        <w:t>’</w:t>
      </w:r>
      <w:r w:rsidRPr="007B5599">
        <w:rPr>
          <w:sz w:val="24"/>
          <w:szCs w:val="24"/>
          <w:lang w:val="fr-FR"/>
        </w:rPr>
        <w:t>inscrits dans le Programme de développement durable à l</w:t>
      </w:r>
      <w:r w:rsidR="00AD08B8" w:rsidRPr="007B5599">
        <w:rPr>
          <w:sz w:val="24"/>
          <w:szCs w:val="24"/>
          <w:lang w:val="fr-FR"/>
        </w:rPr>
        <w:t>’</w:t>
      </w:r>
      <w:r w:rsidRPr="007B5599">
        <w:rPr>
          <w:sz w:val="24"/>
          <w:szCs w:val="24"/>
          <w:lang w:val="fr-FR"/>
        </w:rPr>
        <w:t>horizon</w:t>
      </w:r>
      <w:r w:rsidR="00AD08B8" w:rsidRPr="007B5599">
        <w:rPr>
          <w:sz w:val="24"/>
          <w:szCs w:val="24"/>
          <w:lang w:val="fr-FR"/>
        </w:rPr>
        <w:t> </w:t>
      </w:r>
      <w:r w:rsidRPr="007B5599">
        <w:rPr>
          <w:sz w:val="24"/>
          <w:szCs w:val="24"/>
          <w:lang w:val="fr-FR"/>
        </w:rPr>
        <w:t>2030 et dans les autres cadres internationaux concernés, s</w:t>
      </w:r>
      <w:r w:rsidR="00AD08B8" w:rsidRPr="007B5599">
        <w:rPr>
          <w:sz w:val="24"/>
          <w:szCs w:val="24"/>
          <w:lang w:val="fr-FR"/>
        </w:rPr>
        <w:t>’</w:t>
      </w:r>
      <w:r w:rsidRPr="007B5599">
        <w:rPr>
          <w:sz w:val="24"/>
          <w:szCs w:val="24"/>
          <w:lang w:val="fr-FR"/>
        </w:rPr>
        <w:t>est indubitablement amplifié. Le système des Nations Unies pour le dé</w:t>
      </w:r>
      <w:r w:rsidR="00107C12" w:rsidRPr="007B5599">
        <w:rPr>
          <w:sz w:val="24"/>
          <w:szCs w:val="24"/>
          <w:lang w:val="fr-FR"/>
        </w:rPr>
        <w:t>veloppement et ses partenaires actuels et à venir</w:t>
      </w:r>
      <w:r w:rsidRPr="007B5599">
        <w:rPr>
          <w:sz w:val="24"/>
          <w:szCs w:val="24"/>
          <w:lang w:val="fr-FR"/>
        </w:rPr>
        <w:t xml:space="preserve"> doivent désormais renouveler leur réflexion, leurs approches et leurs modes de fonctionnement. Par conséquent, l</w:t>
      </w:r>
      <w:r w:rsidR="00AD08B8" w:rsidRPr="007B5599">
        <w:rPr>
          <w:sz w:val="24"/>
          <w:szCs w:val="24"/>
          <w:lang w:val="fr-FR"/>
        </w:rPr>
        <w:t>’</w:t>
      </w:r>
      <w:r w:rsidRPr="007B5599">
        <w:rPr>
          <w:sz w:val="24"/>
          <w:szCs w:val="24"/>
          <w:lang w:val="fr-FR"/>
        </w:rPr>
        <w:t>Assemblée générale</w:t>
      </w:r>
      <w:r w:rsidR="00C4515E">
        <w:rPr>
          <w:sz w:val="24"/>
          <w:szCs w:val="24"/>
          <w:lang w:val="fr-FR"/>
        </w:rPr>
        <w:t xml:space="preserve">, dans </w:t>
      </w:r>
      <w:r w:rsidR="002F5F26">
        <w:rPr>
          <w:sz w:val="24"/>
          <w:szCs w:val="24"/>
          <w:lang w:val="fr-FR"/>
        </w:rPr>
        <w:t>l’</w:t>
      </w:r>
      <w:r w:rsidR="00E74D3E">
        <w:rPr>
          <w:sz w:val="24"/>
          <w:szCs w:val="24"/>
          <w:lang w:val="fr-FR"/>
        </w:rPr>
        <w:t>examen quadriennal complet</w:t>
      </w:r>
      <w:r w:rsidR="00C4515E">
        <w:rPr>
          <w:sz w:val="24"/>
          <w:szCs w:val="24"/>
          <w:lang w:val="fr-FR"/>
        </w:rPr>
        <w:t>,</w:t>
      </w:r>
      <w:r w:rsidRPr="00055EDC">
        <w:rPr>
          <w:sz w:val="24"/>
          <w:szCs w:val="24"/>
          <w:lang w:val="fr-FR"/>
        </w:rPr>
        <w:t xml:space="preserve"> demande la mise en place de réformes structurelles, conceptuelles, pro</w:t>
      </w:r>
      <w:r w:rsidR="002E1125" w:rsidRPr="00055EDC">
        <w:rPr>
          <w:sz w:val="24"/>
          <w:szCs w:val="24"/>
          <w:lang w:val="fr-FR"/>
        </w:rPr>
        <w:t>grammatiques et opérationnelles collectives</w:t>
      </w:r>
      <w:r w:rsidRPr="00055EDC">
        <w:rPr>
          <w:sz w:val="24"/>
          <w:szCs w:val="24"/>
          <w:lang w:val="fr-FR"/>
        </w:rPr>
        <w:t xml:space="preserve"> à l</w:t>
      </w:r>
      <w:r w:rsidR="00AD08B8" w:rsidRPr="00055EDC">
        <w:rPr>
          <w:sz w:val="24"/>
          <w:szCs w:val="24"/>
          <w:lang w:val="fr-FR"/>
        </w:rPr>
        <w:t>’</w:t>
      </w:r>
      <w:r w:rsidRPr="00055EDC">
        <w:rPr>
          <w:sz w:val="24"/>
          <w:szCs w:val="24"/>
          <w:lang w:val="fr-FR"/>
        </w:rPr>
        <w:t>échelle du système, ainsi que dans chaque organisme, fonds et programme, dans une optique</w:t>
      </w:r>
      <w:r w:rsidR="00055EDC">
        <w:rPr>
          <w:sz w:val="24"/>
          <w:szCs w:val="24"/>
          <w:lang w:val="fr-FR"/>
        </w:rPr>
        <w:t xml:space="preserve"> individuelle et</w:t>
      </w:r>
      <w:r w:rsidRPr="00055EDC">
        <w:rPr>
          <w:sz w:val="24"/>
          <w:szCs w:val="24"/>
          <w:lang w:val="fr-FR"/>
        </w:rPr>
        <w:t xml:space="preserve"> de </w:t>
      </w:r>
      <w:r w:rsidR="00055EDC">
        <w:rPr>
          <w:sz w:val="24"/>
          <w:szCs w:val="24"/>
          <w:lang w:val="fr-FR"/>
        </w:rPr>
        <w:t>coopération</w:t>
      </w:r>
      <w:r w:rsidRPr="00055EDC">
        <w:rPr>
          <w:sz w:val="24"/>
          <w:szCs w:val="24"/>
          <w:lang w:val="fr-FR"/>
        </w:rPr>
        <w:t>. L</w:t>
      </w:r>
      <w:r w:rsidR="00AD08B8" w:rsidRPr="00055EDC">
        <w:rPr>
          <w:sz w:val="24"/>
          <w:szCs w:val="24"/>
          <w:lang w:val="fr-FR"/>
        </w:rPr>
        <w:t>’</w:t>
      </w:r>
      <w:r w:rsidR="002E1125" w:rsidRPr="00055EDC">
        <w:rPr>
          <w:sz w:val="24"/>
          <w:szCs w:val="24"/>
          <w:lang w:val="fr-FR"/>
        </w:rPr>
        <w:t>intensification</w:t>
      </w:r>
      <w:r w:rsidRPr="00055EDC">
        <w:rPr>
          <w:sz w:val="24"/>
          <w:szCs w:val="24"/>
          <w:lang w:val="fr-FR"/>
        </w:rPr>
        <w:t xml:space="preserve"> de la collaboration et la mise à profit efficace des forces collectives du système doivent s</w:t>
      </w:r>
      <w:r w:rsidR="00AD08B8" w:rsidRPr="00055EDC">
        <w:rPr>
          <w:sz w:val="24"/>
          <w:szCs w:val="24"/>
          <w:lang w:val="fr-FR"/>
        </w:rPr>
        <w:t>’</w:t>
      </w:r>
      <w:r w:rsidRPr="00055EDC">
        <w:rPr>
          <w:sz w:val="24"/>
          <w:szCs w:val="24"/>
          <w:lang w:val="fr-FR"/>
        </w:rPr>
        <w:t>étendre aux différentes fonctions du système des Nations Unies pour le développement, sur le plan international, régional, national et infranational.</w:t>
      </w:r>
    </w:p>
    <w:p w14:paraId="1920C17E" w14:textId="55F2A65A" w:rsidR="00EA0852" w:rsidRPr="007B5599" w:rsidRDefault="00C81B5E" w:rsidP="00F35D47">
      <w:pPr>
        <w:pStyle w:val="ListParagraph"/>
        <w:tabs>
          <w:tab w:val="left" w:pos="540"/>
        </w:tabs>
        <w:spacing w:after="240"/>
        <w:ind w:left="0"/>
        <w:contextualSpacing w:val="0"/>
        <w:jc w:val="both"/>
        <w:rPr>
          <w:sz w:val="28"/>
          <w:szCs w:val="24"/>
          <w:lang w:val="fr-FR"/>
        </w:rPr>
      </w:pPr>
      <w:r w:rsidRPr="007B5599">
        <w:rPr>
          <w:b/>
          <w:sz w:val="28"/>
          <w:szCs w:val="24"/>
          <w:lang w:val="fr-FR"/>
        </w:rPr>
        <w:t>Quelles sont les réalisations à ce jour</w:t>
      </w:r>
      <w:r w:rsidR="00537B5E">
        <w:rPr>
          <w:b/>
          <w:sz w:val="28"/>
          <w:szCs w:val="24"/>
          <w:lang w:val="fr-FR"/>
        </w:rPr>
        <w:t> </w:t>
      </w:r>
      <w:r w:rsidRPr="007B5599">
        <w:rPr>
          <w:b/>
          <w:sz w:val="28"/>
          <w:szCs w:val="24"/>
          <w:lang w:val="fr-FR"/>
        </w:rPr>
        <w:t>?</w:t>
      </w:r>
    </w:p>
    <w:p w14:paraId="18ABCCED" w14:textId="6155BAAE" w:rsidR="00D21D6B" w:rsidRPr="007B5599" w:rsidRDefault="008B0F9B" w:rsidP="00F35D47">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Plusieurs projets de réformes</w:t>
      </w:r>
      <w:r w:rsidR="00BE2368" w:rsidRPr="007B5599">
        <w:rPr>
          <w:sz w:val="24"/>
          <w:szCs w:val="24"/>
          <w:lang w:val="fr-FR"/>
        </w:rPr>
        <w:t xml:space="preserve"> </w:t>
      </w:r>
      <w:r w:rsidRPr="007B5599">
        <w:rPr>
          <w:sz w:val="24"/>
          <w:szCs w:val="24"/>
          <w:lang w:val="fr-FR"/>
        </w:rPr>
        <w:t>ont déjà permis de réaliser d</w:t>
      </w:r>
      <w:r w:rsidR="00AD08B8" w:rsidRPr="007B5599">
        <w:rPr>
          <w:sz w:val="24"/>
          <w:szCs w:val="24"/>
          <w:lang w:val="fr-FR"/>
        </w:rPr>
        <w:t>’</w:t>
      </w:r>
      <w:r w:rsidRPr="007B5599">
        <w:rPr>
          <w:sz w:val="24"/>
          <w:szCs w:val="24"/>
          <w:lang w:val="fr-FR"/>
        </w:rPr>
        <w:t>importants progrès à l</w:t>
      </w:r>
      <w:r w:rsidR="00AD08B8" w:rsidRPr="007B5599">
        <w:rPr>
          <w:sz w:val="24"/>
          <w:szCs w:val="24"/>
          <w:lang w:val="fr-FR"/>
        </w:rPr>
        <w:t>’</w:t>
      </w:r>
      <w:r w:rsidRPr="007B5599">
        <w:rPr>
          <w:sz w:val="24"/>
          <w:szCs w:val="24"/>
          <w:lang w:val="fr-FR"/>
        </w:rPr>
        <w:t>échelle nationale et internationale</w:t>
      </w:r>
      <w:r w:rsidR="00BE2368" w:rsidRPr="007B5599">
        <w:rPr>
          <w:sz w:val="24"/>
          <w:szCs w:val="24"/>
          <w:lang w:val="fr-FR"/>
        </w:rPr>
        <w:t xml:space="preserve"> et </w:t>
      </w:r>
      <w:r w:rsidR="00E14069" w:rsidRPr="007B5599">
        <w:rPr>
          <w:sz w:val="24"/>
          <w:szCs w:val="24"/>
          <w:lang w:val="fr-FR"/>
        </w:rPr>
        <w:t>peuvent</w:t>
      </w:r>
      <w:r w:rsidR="00BE2368" w:rsidRPr="007B5599">
        <w:rPr>
          <w:sz w:val="24"/>
          <w:szCs w:val="24"/>
          <w:lang w:val="fr-FR"/>
        </w:rPr>
        <w:t xml:space="preserve"> être exploités plus avant</w:t>
      </w:r>
      <w:r w:rsidRPr="007B5599">
        <w:rPr>
          <w:sz w:val="24"/>
          <w:szCs w:val="24"/>
          <w:lang w:val="fr-FR"/>
        </w:rPr>
        <w:t>. Chacune des six entités participant à la réunion conjointe des Conseils d</w:t>
      </w:r>
      <w:r w:rsidR="00AD08B8" w:rsidRPr="007B5599">
        <w:rPr>
          <w:sz w:val="24"/>
          <w:szCs w:val="24"/>
          <w:lang w:val="fr-FR"/>
        </w:rPr>
        <w:t>’</w:t>
      </w:r>
      <w:r w:rsidRPr="007B5599">
        <w:rPr>
          <w:sz w:val="24"/>
          <w:szCs w:val="24"/>
          <w:lang w:val="fr-FR"/>
        </w:rPr>
        <w:t>administration s</w:t>
      </w:r>
      <w:r w:rsidR="00AD08B8" w:rsidRPr="007B5599">
        <w:rPr>
          <w:sz w:val="24"/>
          <w:szCs w:val="24"/>
          <w:lang w:val="fr-FR"/>
        </w:rPr>
        <w:t>’</w:t>
      </w:r>
      <w:r w:rsidRPr="007B5599">
        <w:rPr>
          <w:sz w:val="24"/>
          <w:szCs w:val="24"/>
          <w:lang w:val="fr-FR"/>
        </w:rPr>
        <w:t>est engagée à observer les principes communs</w:t>
      </w:r>
      <w:r w:rsidR="00593D58" w:rsidRPr="00E14069">
        <w:rPr>
          <w:vertAlign w:val="superscript"/>
        </w:rPr>
        <w:footnoteReference w:id="1"/>
      </w:r>
      <w:r w:rsidR="00F6439F" w:rsidRPr="007B5599">
        <w:rPr>
          <w:sz w:val="24"/>
          <w:szCs w:val="24"/>
          <w:lang w:val="fr-FR"/>
        </w:rPr>
        <w:t xml:space="preserve"> du Conseil des chefs de secrétariat des organismes des Nations Unies pour la coordination (CCS), lesquels visent à orienter l</w:t>
      </w:r>
      <w:r w:rsidR="00AD08B8" w:rsidRPr="007B5599">
        <w:rPr>
          <w:sz w:val="24"/>
          <w:szCs w:val="24"/>
          <w:lang w:val="fr-FR"/>
        </w:rPr>
        <w:t>’</w:t>
      </w:r>
      <w:r w:rsidR="008704A8" w:rsidRPr="007B5599">
        <w:rPr>
          <w:sz w:val="24"/>
          <w:szCs w:val="24"/>
          <w:lang w:val="fr-FR"/>
        </w:rPr>
        <w:t>appui</w:t>
      </w:r>
      <w:r w:rsidR="00F24C0B" w:rsidRPr="007B5599">
        <w:rPr>
          <w:sz w:val="24"/>
          <w:szCs w:val="24"/>
          <w:lang w:val="fr-FR"/>
        </w:rPr>
        <w:t xml:space="preserve"> fourni par le</w:t>
      </w:r>
      <w:r w:rsidR="00F6439F" w:rsidRPr="007B5599">
        <w:rPr>
          <w:sz w:val="24"/>
          <w:szCs w:val="24"/>
          <w:lang w:val="fr-FR"/>
        </w:rPr>
        <w:t xml:space="preserve"> système des Nations Unies pour le développement à la mise en œuvre du Programme de développement durable, ainsi que les procédures opérationnelles </w:t>
      </w:r>
      <w:r w:rsidR="00F00AD5" w:rsidRPr="0080348F">
        <w:rPr>
          <w:sz w:val="24"/>
          <w:szCs w:val="24"/>
          <w:lang w:val="fr-FR"/>
        </w:rPr>
        <w:t xml:space="preserve">permanentes </w:t>
      </w:r>
      <w:r w:rsidR="00F6439F" w:rsidRPr="007B5599">
        <w:rPr>
          <w:sz w:val="24"/>
          <w:szCs w:val="24"/>
          <w:lang w:val="fr-FR"/>
        </w:rPr>
        <w:t xml:space="preserve">du </w:t>
      </w:r>
      <w:r w:rsidR="00F6439F" w:rsidRPr="008B3DFA">
        <w:rPr>
          <w:sz w:val="24"/>
          <w:szCs w:val="24"/>
          <w:lang w:val="fr-FR"/>
        </w:rPr>
        <w:t>Groupe des Nations Unies pour le développement (GNUD)</w:t>
      </w:r>
      <w:r w:rsidR="00F6439F" w:rsidRPr="007B5599">
        <w:rPr>
          <w:sz w:val="24"/>
          <w:szCs w:val="24"/>
          <w:lang w:val="fr-FR"/>
        </w:rPr>
        <w:t xml:space="preserve"> </w:t>
      </w:r>
      <w:r w:rsidR="00607C22" w:rsidRPr="007B5599">
        <w:rPr>
          <w:sz w:val="24"/>
          <w:szCs w:val="24"/>
          <w:lang w:val="fr-FR"/>
        </w:rPr>
        <w:t>au titre de</w:t>
      </w:r>
      <w:r w:rsidR="00F6439F" w:rsidRPr="007B5599">
        <w:rPr>
          <w:sz w:val="24"/>
          <w:szCs w:val="24"/>
          <w:lang w:val="fr-FR"/>
        </w:rPr>
        <w:t xml:space="preserve"> l</w:t>
      </w:r>
      <w:r w:rsidR="00AD08B8" w:rsidRPr="007B5599">
        <w:rPr>
          <w:sz w:val="24"/>
          <w:szCs w:val="24"/>
          <w:lang w:val="fr-FR"/>
        </w:rPr>
        <w:t>’</w:t>
      </w:r>
      <w:r w:rsidR="00F6439F" w:rsidRPr="007B5599">
        <w:rPr>
          <w:sz w:val="24"/>
          <w:szCs w:val="24"/>
          <w:lang w:val="fr-FR"/>
        </w:rPr>
        <w:t>initiative «</w:t>
      </w:r>
      <w:r w:rsidR="00537B5E">
        <w:rPr>
          <w:sz w:val="24"/>
          <w:szCs w:val="24"/>
          <w:lang w:val="fr-FR"/>
        </w:rPr>
        <w:t> </w:t>
      </w:r>
      <w:r w:rsidR="00F6439F" w:rsidRPr="007B5599">
        <w:rPr>
          <w:sz w:val="24"/>
          <w:szCs w:val="24"/>
          <w:lang w:val="fr-FR"/>
        </w:rPr>
        <w:t>Unis dans l’action</w:t>
      </w:r>
      <w:r w:rsidR="00537B5E">
        <w:rPr>
          <w:sz w:val="24"/>
          <w:szCs w:val="24"/>
          <w:lang w:val="fr-FR"/>
        </w:rPr>
        <w:t> </w:t>
      </w:r>
      <w:r w:rsidR="00F6439F" w:rsidRPr="007B5599">
        <w:rPr>
          <w:sz w:val="24"/>
          <w:szCs w:val="24"/>
          <w:lang w:val="fr-FR"/>
        </w:rPr>
        <w:t>»</w:t>
      </w:r>
      <w:r w:rsidR="00593D58" w:rsidRPr="00BE2368">
        <w:rPr>
          <w:vertAlign w:val="superscript"/>
        </w:rPr>
        <w:footnoteReference w:id="2"/>
      </w:r>
      <w:r w:rsidRPr="007B5599">
        <w:rPr>
          <w:sz w:val="24"/>
          <w:szCs w:val="24"/>
          <w:lang w:val="fr-FR"/>
        </w:rPr>
        <w:t xml:space="preserve">, lesquelles ont contribué à améliorer la collaboration interorganisations et la conformité avec les priorités et les plans nationaux. De nouvelles orientations relatives au Plan-cadre des Nations Unies pour l’aide au développement (PNUAD) ont été </w:t>
      </w:r>
      <w:r w:rsidR="00F00AD5">
        <w:rPr>
          <w:sz w:val="24"/>
          <w:szCs w:val="24"/>
          <w:lang w:val="fr-FR"/>
        </w:rPr>
        <w:t>élaborées</w:t>
      </w:r>
      <w:r w:rsidR="00F24C0B" w:rsidRPr="007B5599">
        <w:rPr>
          <w:sz w:val="24"/>
          <w:szCs w:val="24"/>
          <w:lang w:val="fr-FR"/>
        </w:rPr>
        <w:t>,</w:t>
      </w:r>
      <w:r w:rsidRPr="007B5599">
        <w:rPr>
          <w:sz w:val="24"/>
          <w:szCs w:val="24"/>
          <w:lang w:val="fr-FR"/>
        </w:rPr>
        <w:t xml:space="preserve"> de manière à renforcer le caractère stratégique des cadres de planification, aux fins de réalisation des objectifs du Programme de développement durable. </w:t>
      </w:r>
      <w:r w:rsidR="008315A3" w:rsidRPr="007B5599">
        <w:rPr>
          <w:sz w:val="24"/>
          <w:szCs w:val="24"/>
          <w:lang w:val="fr-FR"/>
        </w:rPr>
        <w:t xml:space="preserve">Un </w:t>
      </w:r>
      <w:r w:rsidRPr="007B5599">
        <w:rPr>
          <w:sz w:val="24"/>
          <w:szCs w:val="24"/>
          <w:lang w:val="fr-FR"/>
        </w:rPr>
        <w:t xml:space="preserve">nombre </w:t>
      </w:r>
      <w:r w:rsidR="008315A3" w:rsidRPr="007B5599">
        <w:rPr>
          <w:sz w:val="24"/>
          <w:szCs w:val="24"/>
          <w:lang w:val="fr-FR"/>
        </w:rPr>
        <w:t xml:space="preserve">croissant </w:t>
      </w:r>
      <w:r w:rsidRPr="007B5599">
        <w:rPr>
          <w:sz w:val="24"/>
          <w:szCs w:val="24"/>
          <w:lang w:val="fr-FR"/>
        </w:rPr>
        <w:t>d</w:t>
      </w:r>
      <w:r w:rsidR="00AD08B8" w:rsidRPr="007B5599">
        <w:rPr>
          <w:sz w:val="24"/>
          <w:szCs w:val="24"/>
          <w:lang w:val="fr-FR"/>
        </w:rPr>
        <w:t>’</w:t>
      </w:r>
      <w:r w:rsidRPr="007B5599">
        <w:rPr>
          <w:sz w:val="24"/>
          <w:szCs w:val="24"/>
          <w:lang w:val="fr-FR"/>
        </w:rPr>
        <w:t>équipes de pays des Nations</w:t>
      </w:r>
      <w:r w:rsidR="00F00AD5">
        <w:rPr>
          <w:sz w:val="24"/>
          <w:szCs w:val="24"/>
          <w:lang w:val="fr-FR"/>
        </w:rPr>
        <w:t xml:space="preserve"> Unies</w:t>
      </w:r>
      <w:r w:rsidRPr="007B5599">
        <w:rPr>
          <w:sz w:val="24"/>
          <w:szCs w:val="24"/>
          <w:lang w:val="fr-FR"/>
        </w:rPr>
        <w:t xml:space="preserve"> </w:t>
      </w:r>
      <w:r w:rsidR="008315A3" w:rsidRPr="007B5599">
        <w:rPr>
          <w:sz w:val="24"/>
          <w:szCs w:val="24"/>
          <w:lang w:val="fr-FR"/>
        </w:rPr>
        <w:t>s</w:t>
      </w:r>
      <w:r w:rsidR="007A14D6" w:rsidRPr="007B5599">
        <w:rPr>
          <w:sz w:val="24"/>
          <w:szCs w:val="24"/>
          <w:lang w:val="fr-FR"/>
        </w:rPr>
        <w:t>’</w:t>
      </w:r>
      <w:r w:rsidR="008315A3" w:rsidRPr="007B5599">
        <w:rPr>
          <w:sz w:val="24"/>
          <w:szCs w:val="24"/>
          <w:lang w:val="fr-FR"/>
        </w:rPr>
        <w:t>organisent</w:t>
      </w:r>
      <w:r w:rsidRPr="007B5599">
        <w:rPr>
          <w:sz w:val="24"/>
          <w:szCs w:val="24"/>
          <w:lang w:val="fr-FR"/>
        </w:rPr>
        <w:t xml:space="preserve"> en groupes thématiques sur les résultats, dont beaucoup </w:t>
      </w:r>
      <w:r w:rsidR="008315A3" w:rsidRPr="007B5599">
        <w:rPr>
          <w:sz w:val="24"/>
          <w:szCs w:val="24"/>
          <w:lang w:val="fr-FR"/>
        </w:rPr>
        <w:lastRenderedPageBreak/>
        <w:t>choisissent de mettre</w:t>
      </w:r>
      <w:r w:rsidRPr="007B5599">
        <w:rPr>
          <w:sz w:val="24"/>
          <w:szCs w:val="24"/>
          <w:lang w:val="fr-FR"/>
        </w:rPr>
        <w:t xml:space="preserve"> en commun leurs capacités en matière d</w:t>
      </w:r>
      <w:r w:rsidR="008315A3" w:rsidRPr="007B5599">
        <w:rPr>
          <w:sz w:val="24"/>
          <w:szCs w:val="24"/>
          <w:lang w:val="fr-FR"/>
        </w:rPr>
        <w:t>e politique et de mise en œuvre</w:t>
      </w:r>
      <w:r w:rsidR="00F24C0B" w:rsidRPr="007B5599">
        <w:rPr>
          <w:sz w:val="24"/>
          <w:szCs w:val="24"/>
          <w:lang w:val="fr-FR"/>
        </w:rPr>
        <w:t>,</w:t>
      </w:r>
      <w:r w:rsidRPr="007B5599">
        <w:rPr>
          <w:sz w:val="24"/>
          <w:szCs w:val="24"/>
          <w:lang w:val="fr-FR"/>
        </w:rPr>
        <w:t xml:space="preserve"> dans le cadre de produits et programmes conjoints. Au niveau mondial, on relève un certain nombre d</w:t>
      </w:r>
      <w:r w:rsidR="00AD08B8" w:rsidRPr="007B5599">
        <w:rPr>
          <w:sz w:val="24"/>
          <w:szCs w:val="24"/>
          <w:lang w:val="fr-FR"/>
        </w:rPr>
        <w:t>’</w:t>
      </w:r>
      <w:r w:rsidRPr="007B5599">
        <w:rPr>
          <w:sz w:val="24"/>
          <w:szCs w:val="24"/>
          <w:lang w:val="fr-FR"/>
        </w:rPr>
        <w:t>initiatives conjointes portant sur les avantages stratégiques liés à la collaboration, établies entre deux ou plusieurs organismes possédant des atouts complémentaires ou à l</w:t>
      </w:r>
      <w:r w:rsidR="00AD08B8" w:rsidRPr="007B5599">
        <w:rPr>
          <w:sz w:val="24"/>
          <w:szCs w:val="24"/>
          <w:lang w:val="fr-FR"/>
        </w:rPr>
        <w:t>’</w:t>
      </w:r>
      <w:r w:rsidRPr="007B5599">
        <w:rPr>
          <w:sz w:val="24"/>
          <w:szCs w:val="24"/>
          <w:lang w:val="fr-FR"/>
        </w:rPr>
        <w:t>échelle du système des Nations Unies pour le développement. Ces initiatives, qui relèvent des bonnes pratiques, constituent le socle de référence à partir duquel nous devrons renforcer nos approches collectives au cours des prochaines années.</w:t>
      </w:r>
    </w:p>
    <w:p w14:paraId="0EE80234" w14:textId="7EC8F588" w:rsidR="009F4D89" w:rsidRPr="007B5599" w:rsidRDefault="008B0F9B" w:rsidP="00F35D47">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En sus des interventions entreprises à l</w:t>
      </w:r>
      <w:r w:rsidR="00AD08B8" w:rsidRPr="007B5599">
        <w:rPr>
          <w:sz w:val="24"/>
          <w:szCs w:val="24"/>
          <w:lang w:val="fr-FR"/>
        </w:rPr>
        <w:t>’</w:t>
      </w:r>
      <w:r w:rsidR="004C44FA" w:rsidRPr="007B5599">
        <w:rPr>
          <w:sz w:val="24"/>
          <w:szCs w:val="24"/>
          <w:lang w:val="fr-FR"/>
        </w:rPr>
        <w:t xml:space="preserve">échelle </w:t>
      </w:r>
      <w:r w:rsidR="00CA08A8" w:rsidRPr="007B5599">
        <w:rPr>
          <w:sz w:val="24"/>
          <w:szCs w:val="24"/>
          <w:lang w:val="fr-FR"/>
        </w:rPr>
        <w:t>du système</w:t>
      </w:r>
      <w:r w:rsidR="004C44FA" w:rsidRPr="007B5599">
        <w:rPr>
          <w:sz w:val="24"/>
          <w:szCs w:val="24"/>
          <w:lang w:val="fr-FR"/>
        </w:rPr>
        <w:t xml:space="preserve"> par le </w:t>
      </w:r>
      <w:r w:rsidR="004C44FA" w:rsidRPr="008B3DFA">
        <w:rPr>
          <w:sz w:val="24"/>
          <w:szCs w:val="24"/>
          <w:lang w:val="fr-FR"/>
        </w:rPr>
        <w:t>GNUD</w:t>
      </w:r>
      <w:r w:rsidR="004C44FA" w:rsidRPr="007B5599">
        <w:rPr>
          <w:sz w:val="24"/>
          <w:szCs w:val="24"/>
          <w:lang w:val="fr-FR"/>
        </w:rPr>
        <w:t xml:space="preserve"> (au siège)</w:t>
      </w:r>
      <w:r w:rsidRPr="007B5599">
        <w:rPr>
          <w:sz w:val="24"/>
          <w:szCs w:val="24"/>
          <w:lang w:val="fr-FR"/>
        </w:rPr>
        <w:t xml:space="preserve"> et par les équipes </w:t>
      </w:r>
      <w:r w:rsidR="004C44FA" w:rsidRPr="007B5599">
        <w:rPr>
          <w:sz w:val="24"/>
          <w:szCs w:val="24"/>
          <w:lang w:val="fr-FR"/>
        </w:rPr>
        <w:t>de pays (</w:t>
      </w:r>
      <w:r w:rsidRPr="007B5599">
        <w:rPr>
          <w:sz w:val="24"/>
          <w:szCs w:val="24"/>
          <w:lang w:val="fr-FR"/>
        </w:rPr>
        <w:t>sur le terrain</w:t>
      </w:r>
      <w:r w:rsidR="004C44FA" w:rsidRPr="007B5599">
        <w:rPr>
          <w:sz w:val="24"/>
          <w:szCs w:val="24"/>
          <w:lang w:val="fr-FR"/>
        </w:rPr>
        <w:t>)</w:t>
      </w:r>
      <w:r w:rsidRPr="007B5599">
        <w:rPr>
          <w:sz w:val="24"/>
          <w:szCs w:val="24"/>
          <w:lang w:val="fr-FR"/>
        </w:rPr>
        <w:t>, les fonds et les programmes, notamment le Programme des Nations Unies pour le développement (PNUD), le Fonds des Nations Unies pour la population (</w:t>
      </w:r>
      <w:r w:rsidR="00084F3A">
        <w:rPr>
          <w:sz w:val="24"/>
          <w:szCs w:val="24"/>
          <w:lang w:val="fr-FR"/>
        </w:rPr>
        <w:t>FNUAP</w:t>
      </w:r>
      <w:r w:rsidRPr="007B5599">
        <w:rPr>
          <w:sz w:val="24"/>
          <w:szCs w:val="24"/>
          <w:lang w:val="fr-FR"/>
        </w:rPr>
        <w:t xml:space="preserve">), le Bureau des Nations Unies pour les services d’appui aux projets (UNOPS), le </w:t>
      </w:r>
      <w:r w:rsidRPr="008B3DFA">
        <w:rPr>
          <w:sz w:val="24"/>
          <w:szCs w:val="24"/>
          <w:lang w:val="fr-FR"/>
        </w:rPr>
        <w:t>Fonds des Nations Un</w:t>
      </w:r>
      <w:r w:rsidR="004C44FA" w:rsidRPr="008B3DFA">
        <w:rPr>
          <w:sz w:val="24"/>
          <w:szCs w:val="24"/>
          <w:lang w:val="fr-FR"/>
        </w:rPr>
        <w:t>ies pour l’enfance (UNICEF)</w:t>
      </w:r>
      <w:r w:rsidR="004C44FA" w:rsidRPr="007B5599">
        <w:rPr>
          <w:sz w:val="24"/>
          <w:szCs w:val="24"/>
          <w:lang w:val="fr-FR"/>
        </w:rPr>
        <w:t>, l’E</w:t>
      </w:r>
      <w:r w:rsidRPr="007B5599">
        <w:rPr>
          <w:sz w:val="24"/>
          <w:szCs w:val="24"/>
          <w:lang w:val="fr-FR"/>
        </w:rPr>
        <w:t>ntité des Nations Unies pour l’égalité des sexes et l’autonomisation des femmes (ONU-Femmes) et le Programme alimentaire mondial (PAM), réfléchissent actuellemen</w:t>
      </w:r>
      <w:r w:rsidR="00EE5FD8" w:rsidRPr="007B5599">
        <w:rPr>
          <w:sz w:val="24"/>
          <w:szCs w:val="24"/>
          <w:lang w:val="fr-FR"/>
        </w:rPr>
        <w:t xml:space="preserve">t aux actions individuelles et, </w:t>
      </w:r>
      <w:r w:rsidR="00CA08A8" w:rsidRPr="007B5599">
        <w:rPr>
          <w:sz w:val="24"/>
          <w:szCs w:val="24"/>
          <w:lang w:val="fr-FR"/>
        </w:rPr>
        <w:t>souvent</w:t>
      </w:r>
      <w:r w:rsidRPr="007B5599">
        <w:rPr>
          <w:sz w:val="24"/>
          <w:szCs w:val="24"/>
          <w:lang w:val="fr-FR"/>
        </w:rPr>
        <w:t xml:space="preserve">, collaboratives, pouvant être </w:t>
      </w:r>
      <w:r w:rsidR="00CA08A8" w:rsidRPr="007B5599">
        <w:rPr>
          <w:sz w:val="24"/>
          <w:szCs w:val="24"/>
          <w:lang w:val="fr-FR"/>
        </w:rPr>
        <w:t>envisagées</w:t>
      </w:r>
      <w:r w:rsidR="0066675E" w:rsidRPr="007B5599">
        <w:rPr>
          <w:sz w:val="24"/>
          <w:szCs w:val="24"/>
          <w:lang w:val="fr-FR"/>
        </w:rPr>
        <w:t>,</w:t>
      </w:r>
      <w:r w:rsidRPr="007B5599">
        <w:rPr>
          <w:sz w:val="24"/>
          <w:szCs w:val="24"/>
          <w:lang w:val="fr-FR"/>
        </w:rPr>
        <w:t xml:space="preserve"> afin de mettre en œuvre les mandats de l</w:t>
      </w:r>
      <w:r w:rsidR="00AD08B8" w:rsidRPr="007B5599">
        <w:rPr>
          <w:sz w:val="24"/>
          <w:szCs w:val="24"/>
          <w:lang w:val="fr-FR"/>
        </w:rPr>
        <w:t>’</w:t>
      </w:r>
      <w:r w:rsidRPr="007B5599">
        <w:rPr>
          <w:sz w:val="24"/>
          <w:szCs w:val="24"/>
          <w:lang w:val="fr-FR"/>
        </w:rPr>
        <w:t xml:space="preserve">examen quadriennal complet. Le PNUD, </w:t>
      </w:r>
      <w:r w:rsidR="007510D9">
        <w:rPr>
          <w:sz w:val="24"/>
          <w:szCs w:val="24"/>
          <w:lang w:val="fr-FR"/>
        </w:rPr>
        <w:t>le FNUAP</w:t>
      </w:r>
      <w:r w:rsidRPr="007B5599">
        <w:rPr>
          <w:sz w:val="24"/>
          <w:szCs w:val="24"/>
          <w:lang w:val="fr-FR"/>
        </w:rPr>
        <w:t>, l</w:t>
      </w:r>
      <w:r w:rsidR="00AD08B8" w:rsidRPr="007B5599">
        <w:rPr>
          <w:sz w:val="24"/>
          <w:szCs w:val="24"/>
          <w:lang w:val="fr-FR"/>
        </w:rPr>
        <w:t>’</w:t>
      </w:r>
      <w:r w:rsidRPr="007B5599">
        <w:rPr>
          <w:sz w:val="24"/>
          <w:szCs w:val="24"/>
          <w:lang w:val="fr-FR"/>
        </w:rPr>
        <w:t>UNICEF et ONU-Femmes devront harmoniser leurs nouveaux plans stratégiques, et notamment préparer un chapitre commun, adopter un modèle uniforme, et intégrer dans leurs cadres de résultats des indicateurs complémentaires, voire communs dans certains cas.</w:t>
      </w:r>
    </w:p>
    <w:p w14:paraId="78E4144F" w14:textId="62DAE17D" w:rsidR="009F4D89" w:rsidRPr="007B5599" w:rsidRDefault="00AA7E91" w:rsidP="00F35D47">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 xml:space="preserve">Les Nations Unies devront intensifier la coordination et collaborer de manière plus intégrée dans le cadre de la lutte contre le changement climatique et le renforcement de la résilience, deux domaines stratégiques </w:t>
      </w:r>
      <w:r w:rsidR="0066675E" w:rsidRPr="007B5599">
        <w:rPr>
          <w:sz w:val="24"/>
          <w:szCs w:val="24"/>
          <w:lang w:val="fr-FR"/>
        </w:rPr>
        <w:t>au regard</w:t>
      </w:r>
      <w:r w:rsidRPr="007B5599">
        <w:rPr>
          <w:sz w:val="24"/>
          <w:szCs w:val="24"/>
          <w:lang w:val="fr-FR"/>
        </w:rPr>
        <w:t xml:space="preserve"> des avantages </w:t>
      </w:r>
      <w:r w:rsidR="0066675E" w:rsidRPr="007B5599">
        <w:rPr>
          <w:sz w:val="24"/>
          <w:szCs w:val="24"/>
          <w:lang w:val="fr-FR"/>
        </w:rPr>
        <w:t>liés à</w:t>
      </w:r>
      <w:r w:rsidRPr="007B5599">
        <w:rPr>
          <w:sz w:val="24"/>
          <w:szCs w:val="24"/>
          <w:lang w:val="fr-FR"/>
        </w:rPr>
        <w:t xml:space="preserve"> la collaboration. Distincts en dépit de leur interdépendance, ils font partie des quelques domaines transversaux clés qui nécessitent une mobilisation sans faille</w:t>
      </w:r>
      <w:r w:rsidR="00193F7D" w:rsidRPr="007B5599">
        <w:rPr>
          <w:sz w:val="24"/>
          <w:szCs w:val="24"/>
          <w:lang w:val="fr-FR"/>
        </w:rPr>
        <w:t>,</w:t>
      </w:r>
      <w:r w:rsidRPr="007B5599">
        <w:rPr>
          <w:sz w:val="24"/>
          <w:szCs w:val="24"/>
          <w:lang w:val="fr-FR"/>
        </w:rPr>
        <w:t xml:space="preserve"> par le biais d</w:t>
      </w:r>
      <w:r w:rsidR="00AD08B8" w:rsidRPr="007B5599">
        <w:rPr>
          <w:sz w:val="24"/>
          <w:szCs w:val="24"/>
          <w:lang w:val="fr-FR"/>
        </w:rPr>
        <w:t>’</w:t>
      </w:r>
      <w:r w:rsidRPr="007B5599">
        <w:rPr>
          <w:sz w:val="24"/>
          <w:szCs w:val="24"/>
          <w:lang w:val="fr-FR"/>
        </w:rPr>
        <w:t>une approche véritablement systémique, de manière à accélérer les progrès et à obtenir les résultats escomptés. Des investissements plurisectoriels décisifs doivent être réalisés</w:t>
      </w:r>
      <w:r w:rsidR="001E58D2" w:rsidRPr="007B5599">
        <w:rPr>
          <w:sz w:val="24"/>
          <w:szCs w:val="24"/>
          <w:lang w:val="fr-FR"/>
        </w:rPr>
        <w:t xml:space="preserve">, </w:t>
      </w:r>
      <w:r w:rsidR="00851E78" w:rsidRPr="007B5599">
        <w:rPr>
          <w:sz w:val="24"/>
          <w:szCs w:val="24"/>
          <w:lang w:val="fr-FR"/>
        </w:rPr>
        <w:t xml:space="preserve">dans une perspective </w:t>
      </w:r>
      <w:r w:rsidR="001E58D2" w:rsidRPr="007B5599">
        <w:rPr>
          <w:sz w:val="24"/>
          <w:szCs w:val="24"/>
          <w:lang w:val="fr-FR"/>
        </w:rPr>
        <w:t>globale,</w:t>
      </w:r>
      <w:r w:rsidRPr="007B5599">
        <w:rPr>
          <w:sz w:val="24"/>
          <w:szCs w:val="24"/>
          <w:lang w:val="fr-FR"/>
        </w:rPr>
        <w:t xml:space="preserve"> en faveur des personnes, des ménages, des communautés, des villes, des institutions, des systèmes et des sociétés. Les approches retenues doivent également permettre de repérer et de neutraliser un large éventail de risques.</w:t>
      </w:r>
    </w:p>
    <w:p w14:paraId="5989876D" w14:textId="3849C61B" w:rsidR="009F4D89" w:rsidRPr="007B5599" w:rsidRDefault="00AA7E91" w:rsidP="00DE74A9">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En parallèle des initiatives individuelles mises en place par les organismes des Nations Unies, les équipes de pays mettent actuellement en œuvre de nombreux p</w:t>
      </w:r>
      <w:r w:rsidR="00193F7D" w:rsidRPr="007B5599">
        <w:rPr>
          <w:sz w:val="24"/>
          <w:szCs w:val="24"/>
          <w:lang w:val="fr-FR"/>
        </w:rPr>
        <w:t>rogrammes conjoints intégrant les</w:t>
      </w:r>
      <w:r w:rsidRPr="007B5599">
        <w:rPr>
          <w:sz w:val="24"/>
          <w:szCs w:val="24"/>
          <w:lang w:val="fr-FR"/>
        </w:rPr>
        <w:t xml:space="preserve"> problématique</w:t>
      </w:r>
      <w:r w:rsidR="00193F7D" w:rsidRPr="007B5599">
        <w:rPr>
          <w:sz w:val="24"/>
          <w:szCs w:val="24"/>
          <w:lang w:val="fr-FR"/>
        </w:rPr>
        <w:t>s</w:t>
      </w:r>
      <w:r w:rsidRPr="007B5599">
        <w:rPr>
          <w:sz w:val="24"/>
          <w:szCs w:val="24"/>
          <w:lang w:val="fr-FR"/>
        </w:rPr>
        <w:t xml:space="preserve"> du changement climatique et de la réduction des risques de catastrophe. </w:t>
      </w:r>
      <w:r w:rsidR="00DA143F" w:rsidRPr="007B5599">
        <w:rPr>
          <w:sz w:val="24"/>
          <w:szCs w:val="24"/>
          <w:lang w:val="fr-FR"/>
        </w:rPr>
        <w:t>Le plan d’action des Nations Unies pour la réduction des risques de catastrophe (renforcement de la résilience), ainsi que la future stratégie du système des Nations Unies pour l’action relative au changement climatique et les principes communs fondamentaux des Nations Unies élaborés par le CCS (action climatique), fournissent également d</w:t>
      </w:r>
      <w:r w:rsidRPr="007B5599">
        <w:rPr>
          <w:sz w:val="24"/>
          <w:szCs w:val="24"/>
          <w:lang w:val="fr-FR"/>
        </w:rPr>
        <w:t>es cadres d</w:t>
      </w:r>
      <w:r w:rsidR="00AD08B8" w:rsidRPr="007B5599">
        <w:rPr>
          <w:sz w:val="24"/>
          <w:szCs w:val="24"/>
          <w:lang w:val="fr-FR"/>
        </w:rPr>
        <w:t>’</w:t>
      </w:r>
      <w:r w:rsidRPr="007B5599">
        <w:rPr>
          <w:sz w:val="24"/>
          <w:szCs w:val="24"/>
          <w:lang w:val="fr-FR"/>
        </w:rPr>
        <w:t>orientation détaillés</w:t>
      </w:r>
      <w:r w:rsidR="00851E78" w:rsidRPr="007B5599">
        <w:rPr>
          <w:sz w:val="24"/>
          <w:szCs w:val="24"/>
          <w:lang w:val="fr-FR"/>
        </w:rPr>
        <w:t xml:space="preserve">, en vue </w:t>
      </w:r>
      <w:r w:rsidRPr="007B5599">
        <w:rPr>
          <w:sz w:val="24"/>
          <w:szCs w:val="24"/>
          <w:lang w:val="fr-FR"/>
        </w:rPr>
        <w:t>de faciliter et de susciter des actions collectives dans ces domaines au sein du système des Nations Unies, qu</w:t>
      </w:r>
      <w:r w:rsidR="00AD08B8" w:rsidRPr="007B5599">
        <w:rPr>
          <w:sz w:val="24"/>
          <w:szCs w:val="24"/>
          <w:lang w:val="fr-FR"/>
        </w:rPr>
        <w:t>’</w:t>
      </w:r>
      <w:r w:rsidRPr="007B5599">
        <w:rPr>
          <w:sz w:val="24"/>
          <w:szCs w:val="24"/>
          <w:lang w:val="fr-FR"/>
        </w:rPr>
        <w:t>il s</w:t>
      </w:r>
      <w:r w:rsidR="00AD08B8" w:rsidRPr="007B5599">
        <w:rPr>
          <w:sz w:val="24"/>
          <w:szCs w:val="24"/>
          <w:lang w:val="fr-FR"/>
        </w:rPr>
        <w:t>’</w:t>
      </w:r>
      <w:r w:rsidR="00851E78" w:rsidRPr="007B5599">
        <w:rPr>
          <w:sz w:val="24"/>
          <w:szCs w:val="24"/>
          <w:lang w:val="fr-FR"/>
        </w:rPr>
        <w:t>agisse de</w:t>
      </w:r>
      <w:r w:rsidRPr="007B5599">
        <w:rPr>
          <w:sz w:val="24"/>
          <w:szCs w:val="24"/>
          <w:lang w:val="fr-FR"/>
        </w:rPr>
        <w:t xml:space="preserve"> </w:t>
      </w:r>
      <w:r w:rsidR="00942B21" w:rsidRPr="007B5599">
        <w:rPr>
          <w:sz w:val="24"/>
          <w:szCs w:val="24"/>
          <w:lang w:val="fr-FR"/>
        </w:rPr>
        <w:t>l</w:t>
      </w:r>
      <w:r w:rsidR="00CB1A9C" w:rsidRPr="007B5599">
        <w:rPr>
          <w:sz w:val="24"/>
          <w:szCs w:val="24"/>
          <w:lang w:val="fr-FR"/>
        </w:rPr>
        <w:t>’</w:t>
      </w:r>
      <w:r w:rsidR="00942B21" w:rsidRPr="007B5599">
        <w:rPr>
          <w:sz w:val="24"/>
          <w:szCs w:val="24"/>
          <w:lang w:val="fr-FR"/>
        </w:rPr>
        <w:t xml:space="preserve">élaboration de </w:t>
      </w:r>
      <w:r w:rsidRPr="007B5599">
        <w:rPr>
          <w:sz w:val="24"/>
          <w:szCs w:val="24"/>
          <w:lang w:val="fr-FR"/>
        </w:rPr>
        <w:t xml:space="preserve">politiques au niveau international ou de leur mise en œuvre par les pays. </w:t>
      </w:r>
      <w:r w:rsidR="00DB56F0">
        <w:rPr>
          <w:sz w:val="24"/>
          <w:szCs w:val="24"/>
          <w:lang w:val="fr-FR"/>
        </w:rPr>
        <w:t>En ce qui concerne</w:t>
      </w:r>
      <w:r w:rsidR="00DB56F0" w:rsidRPr="007B5599">
        <w:rPr>
          <w:sz w:val="24"/>
          <w:szCs w:val="24"/>
          <w:lang w:val="fr-FR"/>
        </w:rPr>
        <w:t xml:space="preserve"> </w:t>
      </w:r>
      <w:r w:rsidR="00DB56F0">
        <w:rPr>
          <w:sz w:val="24"/>
          <w:szCs w:val="24"/>
          <w:lang w:val="fr-FR"/>
        </w:rPr>
        <w:t>le</w:t>
      </w:r>
      <w:r w:rsidR="00DB56F0" w:rsidRPr="007B5599">
        <w:rPr>
          <w:sz w:val="24"/>
          <w:szCs w:val="24"/>
          <w:lang w:val="fr-FR"/>
        </w:rPr>
        <w:t xml:space="preserve"> </w:t>
      </w:r>
      <w:r w:rsidRPr="007B5599">
        <w:rPr>
          <w:sz w:val="24"/>
          <w:szCs w:val="24"/>
          <w:lang w:val="fr-FR"/>
        </w:rPr>
        <w:t xml:space="preserve">climat et la résilience, </w:t>
      </w:r>
      <w:r w:rsidR="00731BCC" w:rsidRPr="007B5599">
        <w:rPr>
          <w:sz w:val="24"/>
          <w:szCs w:val="24"/>
          <w:lang w:val="fr-FR"/>
        </w:rPr>
        <w:t xml:space="preserve">par exemple, </w:t>
      </w:r>
      <w:r w:rsidRPr="007B5599">
        <w:rPr>
          <w:sz w:val="24"/>
          <w:szCs w:val="24"/>
          <w:lang w:val="fr-FR"/>
        </w:rPr>
        <w:t>nous pouvons examiner les appr</w:t>
      </w:r>
      <w:r w:rsidR="00607CBC" w:rsidRPr="007B5599">
        <w:rPr>
          <w:sz w:val="24"/>
          <w:szCs w:val="24"/>
          <w:lang w:val="fr-FR"/>
        </w:rPr>
        <w:t xml:space="preserve">oches grâce auxquelles </w:t>
      </w:r>
      <w:r w:rsidR="00607CBC" w:rsidRPr="008B3DFA">
        <w:rPr>
          <w:sz w:val="24"/>
          <w:szCs w:val="24"/>
          <w:lang w:val="fr-FR"/>
        </w:rPr>
        <w:t>les</w:t>
      </w:r>
      <w:r w:rsidR="00607CBC" w:rsidRPr="007B5599">
        <w:rPr>
          <w:sz w:val="24"/>
          <w:szCs w:val="24"/>
          <w:lang w:val="fr-FR"/>
        </w:rPr>
        <w:t xml:space="preserve"> fonds et</w:t>
      </w:r>
      <w:r w:rsidRPr="007B5599">
        <w:rPr>
          <w:sz w:val="24"/>
          <w:szCs w:val="24"/>
          <w:lang w:val="fr-FR"/>
        </w:rPr>
        <w:t xml:space="preserve"> </w:t>
      </w:r>
      <w:r w:rsidR="00607CBC" w:rsidRPr="007B5599">
        <w:rPr>
          <w:sz w:val="24"/>
          <w:szCs w:val="24"/>
          <w:lang w:val="fr-FR"/>
        </w:rPr>
        <w:t xml:space="preserve">les </w:t>
      </w:r>
      <w:r w:rsidRPr="007B5599">
        <w:rPr>
          <w:sz w:val="24"/>
          <w:szCs w:val="24"/>
          <w:lang w:val="fr-FR"/>
        </w:rPr>
        <w:t>programmes</w:t>
      </w:r>
      <w:r w:rsidR="00607CBC" w:rsidRPr="007B5599">
        <w:rPr>
          <w:sz w:val="24"/>
          <w:szCs w:val="24"/>
          <w:lang w:val="fr-FR"/>
        </w:rPr>
        <w:t xml:space="preserve"> peuvent </w:t>
      </w:r>
      <w:r w:rsidRPr="007B5599">
        <w:rPr>
          <w:sz w:val="24"/>
          <w:szCs w:val="24"/>
          <w:lang w:val="fr-FR"/>
        </w:rPr>
        <w:t>mettre à profit les bonnes pratiques, les retours d</w:t>
      </w:r>
      <w:r w:rsidR="00AD08B8" w:rsidRPr="007B5599">
        <w:rPr>
          <w:sz w:val="24"/>
          <w:szCs w:val="24"/>
          <w:lang w:val="fr-FR"/>
        </w:rPr>
        <w:t>’</w:t>
      </w:r>
      <w:r w:rsidRPr="007B5599">
        <w:rPr>
          <w:sz w:val="24"/>
          <w:szCs w:val="24"/>
          <w:lang w:val="fr-FR"/>
        </w:rPr>
        <w:t>expérience et les résultats</w:t>
      </w:r>
      <w:r w:rsidR="00607CBC" w:rsidRPr="007B5599">
        <w:rPr>
          <w:sz w:val="24"/>
          <w:szCs w:val="24"/>
          <w:lang w:val="fr-FR"/>
        </w:rPr>
        <w:t>, en collaboration avec leurs partenaires</w:t>
      </w:r>
      <w:r w:rsidRPr="007B5599">
        <w:rPr>
          <w:sz w:val="24"/>
          <w:szCs w:val="24"/>
          <w:lang w:val="fr-FR"/>
        </w:rPr>
        <w:t>. Nous approfondirons également les théories du changement et les méthodes innovantes disponibles, en vue d</w:t>
      </w:r>
      <w:r w:rsidR="00AD08B8" w:rsidRPr="007B5599">
        <w:rPr>
          <w:sz w:val="24"/>
          <w:szCs w:val="24"/>
          <w:lang w:val="fr-FR"/>
        </w:rPr>
        <w:t>’</w:t>
      </w:r>
      <w:r w:rsidR="002B4A8B" w:rsidRPr="007B5599">
        <w:rPr>
          <w:sz w:val="24"/>
          <w:szCs w:val="24"/>
          <w:lang w:val="fr-FR"/>
        </w:rPr>
        <w:t xml:space="preserve">aider, de manière efficace, </w:t>
      </w:r>
      <w:r w:rsidRPr="007B5599">
        <w:rPr>
          <w:sz w:val="24"/>
          <w:szCs w:val="24"/>
          <w:lang w:val="fr-FR"/>
        </w:rPr>
        <w:t xml:space="preserve">les pays et le système dans son </w:t>
      </w:r>
      <w:r w:rsidR="002B4A8B" w:rsidRPr="007B5599">
        <w:rPr>
          <w:sz w:val="24"/>
          <w:szCs w:val="24"/>
          <w:lang w:val="fr-FR"/>
        </w:rPr>
        <w:t>entier</w:t>
      </w:r>
      <w:r w:rsidR="00731BCC" w:rsidRPr="007B5599">
        <w:rPr>
          <w:sz w:val="24"/>
          <w:szCs w:val="24"/>
          <w:lang w:val="fr-FR"/>
        </w:rPr>
        <w:t xml:space="preserve"> </w:t>
      </w:r>
      <w:r w:rsidR="002B4A8B" w:rsidRPr="007B5599">
        <w:rPr>
          <w:sz w:val="24"/>
          <w:szCs w:val="24"/>
          <w:lang w:val="fr-FR"/>
        </w:rPr>
        <w:t>à mettre en œuvre le</w:t>
      </w:r>
      <w:r w:rsidRPr="007B5599">
        <w:rPr>
          <w:sz w:val="24"/>
          <w:szCs w:val="24"/>
          <w:lang w:val="fr-FR"/>
        </w:rPr>
        <w:t xml:space="preserve"> Programme de développement durable à l</w:t>
      </w:r>
      <w:r w:rsidR="00AD08B8" w:rsidRPr="007B5599">
        <w:rPr>
          <w:sz w:val="24"/>
          <w:szCs w:val="24"/>
          <w:lang w:val="fr-FR"/>
        </w:rPr>
        <w:t>’</w:t>
      </w:r>
      <w:r w:rsidRPr="007B5599">
        <w:rPr>
          <w:sz w:val="24"/>
          <w:szCs w:val="24"/>
          <w:lang w:val="fr-FR"/>
        </w:rPr>
        <w:t>horizon</w:t>
      </w:r>
      <w:r w:rsidR="00AD08B8" w:rsidRPr="007B5599">
        <w:rPr>
          <w:sz w:val="24"/>
          <w:szCs w:val="24"/>
          <w:lang w:val="fr-FR"/>
        </w:rPr>
        <w:t> </w:t>
      </w:r>
      <w:r w:rsidRPr="007B5599">
        <w:rPr>
          <w:sz w:val="24"/>
          <w:szCs w:val="24"/>
          <w:lang w:val="fr-FR"/>
        </w:rPr>
        <w:t>2030.</w:t>
      </w:r>
    </w:p>
    <w:p w14:paraId="5B6E28CB" w14:textId="2E9E84B9" w:rsidR="00EA0852" w:rsidRPr="004F6E6B" w:rsidRDefault="00B07D3E" w:rsidP="00DE74A9">
      <w:pPr>
        <w:pStyle w:val="ListParagraph"/>
        <w:tabs>
          <w:tab w:val="left" w:pos="540"/>
        </w:tabs>
        <w:spacing w:after="240"/>
        <w:ind w:left="0"/>
        <w:contextualSpacing w:val="0"/>
        <w:jc w:val="both"/>
        <w:rPr>
          <w:sz w:val="28"/>
          <w:szCs w:val="28"/>
        </w:rPr>
      </w:pPr>
      <w:r>
        <w:rPr>
          <w:b/>
          <w:sz w:val="28"/>
          <w:szCs w:val="28"/>
        </w:rPr>
        <w:t>Quel est notre objectif</w:t>
      </w:r>
      <w:r w:rsidR="00537B5E">
        <w:rPr>
          <w:b/>
          <w:sz w:val="28"/>
          <w:szCs w:val="28"/>
        </w:rPr>
        <w:t> </w:t>
      </w:r>
      <w:r w:rsidR="00C81B5E" w:rsidRPr="004F6E6B">
        <w:rPr>
          <w:b/>
          <w:sz w:val="28"/>
          <w:szCs w:val="28"/>
        </w:rPr>
        <w:t>?</w:t>
      </w:r>
      <w:r w:rsidR="00236C09" w:rsidRPr="004F6E6B">
        <w:rPr>
          <w:sz w:val="28"/>
          <w:szCs w:val="28"/>
        </w:rPr>
        <w:t xml:space="preserve"> </w:t>
      </w:r>
    </w:p>
    <w:p w14:paraId="2C1FDEBF" w14:textId="5D2EA5A5" w:rsidR="00236C09" w:rsidRPr="007B5599" w:rsidRDefault="00236C09" w:rsidP="00DE74A9">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Les six entités participant à la réunion conjointe des Conseils d</w:t>
      </w:r>
      <w:r w:rsidR="00AD08B8" w:rsidRPr="007B5599">
        <w:rPr>
          <w:sz w:val="24"/>
          <w:szCs w:val="24"/>
          <w:lang w:val="fr-FR"/>
        </w:rPr>
        <w:t>’</w:t>
      </w:r>
      <w:r w:rsidRPr="007B5599">
        <w:rPr>
          <w:sz w:val="24"/>
          <w:szCs w:val="24"/>
          <w:lang w:val="fr-FR"/>
        </w:rPr>
        <w:t>administration se sont engagées à promouvoir, sur le plan individuel et col</w:t>
      </w:r>
      <w:r w:rsidR="0051591F" w:rsidRPr="007B5599">
        <w:rPr>
          <w:sz w:val="24"/>
          <w:szCs w:val="24"/>
          <w:lang w:val="fr-FR"/>
        </w:rPr>
        <w:t>lectif, d</w:t>
      </w:r>
      <w:r w:rsidRPr="007B5599">
        <w:rPr>
          <w:sz w:val="24"/>
          <w:szCs w:val="24"/>
          <w:lang w:val="fr-FR"/>
        </w:rPr>
        <w:t xml:space="preserve">es approches politiques et </w:t>
      </w:r>
      <w:r w:rsidRPr="007B5599">
        <w:rPr>
          <w:sz w:val="24"/>
          <w:szCs w:val="24"/>
          <w:lang w:val="fr-FR"/>
        </w:rPr>
        <w:lastRenderedPageBreak/>
        <w:t xml:space="preserve">programmatiques </w:t>
      </w:r>
      <w:r w:rsidR="0051591F" w:rsidRPr="007B5599">
        <w:rPr>
          <w:sz w:val="24"/>
          <w:szCs w:val="24"/>
          <w:lang w:val="fr-FR"/>
        </w:rPr>
        <w:t>véritablement</w:t>
      </w:r>
      <w:r w:rsidRPr="007B5599">
        <w:rPr>
          <w:sz w:val="24"/>
          <w:szCs w:val="24"/>
          <w:lang w:val="fr-FR"/>
        </w:rPr>
        <w:t xml:space="preserve"> transvers</w:t>
      </w:r>
      <w:r w:rsidR="00193F7D" w:rsidRPr="007B5599">
        <w:rPr>
          <w:sz w:val="24"/>
          <w:szCs w:val="24"/>
          <w:lang w:val="fr-FR"/>
        </w:rPr>
        <w:t>ales et à même de répondre à des</w:t>
      </w:r>
      <w:r w:rsidRPr="007B5599">
        <w:rPr>
          <w:sz w:val="24"/>
          <w:szCs w:val="24"/>
          <w:lang w:val="fr-FR"/>
        </w:rPr>
        <w:t xml:space="preserve"> problématiques complexes et pluridimensionnelles. Cela suppose</w:t>
      </w:r>
      <w:r w:rsidR="0051591F" w:rsidRPr="007B5599">
        <w:rPr>
          <w:sz w:val="24"/>
          <w:szCs w:val="24"/>
          <w:lang w:val="fr-FR"/>
        </w:rPr>
        <w:t xml:space="preserve"> plusieurs mesures :</w:t>
      </w:r>
      <w:r w:rsidRPr="007B5599">
        <w:rPr>
          <w:sz w:val="24"/>
          <w:szCs w:val="24"/>
          <w:lang w:val="fr-FR"/>
        </w:rPr>
        <w:t xml:space="preserve"> la mise en place d</w:t>
      </w:r>
      <w:r w:rsidR="00AD08B8" w:rsidRPr="007B5599">
        <w:rPr>
          <w:sz w:val="24"/>
          <w:szCs w:val="24"/>
          <w:lang w:val="fr-FR"/>
        </w:rPr>
        <w:t>’</w:t>
      </w:r>
      <w:r w:rsidRPr="007B5599">
        <w:rPr>
          <w:sz w:val="24"/>
          <w:szCs w:val="24"/>
          <w:lang w:val="fr-FR"/>
        </w:rPr>
        <w:t>une «</w:t>
      </w:r>
      <w:r w:rsidR="00537B5E">
        <w:rPr>
          <w:sz w:val="24"/>
          <w:szCs w:val="24"/>
          <w:lang w:val="fr-FR"/>
        </w:rPr>
        <w:t> </w:t>
      </w:r>
      <w:r w:rsidRPr="007B5599">
        <w:rPr>
          <w:sz w:val="24"/>
          <w:szCs w:val="24"/>
          <w:lang w:val="fr-FR"/>
        </w:rPr>
        <w:t>interface</w:t>
      </w:r>
      <w:r w:rsidR="00537B5E">
        <w:rPr>
          <w:sz w:val="24"/>
          <w:szCs w:val="24"/>
          <w:lang w:val="fr-FR"/>
        </w:rPr>
        <w:t> </w:t>
      </w:r>
      <w:r w:rsidRPr="007B5599">
        <w:rPr>
          <w:sz w:val="24"/>
          <w:szCs w:val="24"/>
          <w:lang w:val="fr-FR"/>
        </w:rPr>
        <w:t>» complémentaire commune à tous les domaines d</w:t>
      </w:r>
      <w:r w:rsidR="00AD08B8" w:rsidRPr="007B5599">
        <w:rPr>
          <w:sz w:val="24"/>
          <w:szCs w:val="24"/>
          <w:lang w:val="fr-FR"/>
        </w:rPr>
        <w:t>’</w:t>
      </w:r>
      <w:r w:rsidRPr="007B5599">
        <w:rPr>
          <w:sz w:val="24"/>
          <w:szCs w:val="24"/>
          <w:lang w:val="fr-FR"/>
        </w:rPr>
        <w:t>intervention, afin d</w:t>
      </w:r>
      <w:r w:rsidR="00AD08B8" w:rsidRPr="007B5599">
        <w:rPr>
          <w:sz w:val="24"/>
          <w:szCs w:val="24"/>
          <w:lang w:val="fr-FR"/>
        </w:rPr>
        <w:t>’</w:t>
      </w:r>
      <w:r w:rsidRPr="007B5599">
        <w:rPr>
          <w:sz w:val="24"/>
          <w:szCs w:val="24"/>
          <w:lang w:val="fr-FR"/>
        </w:rPr>
        <w:t>éliminer les chevauchements et les doublons</w:t>
      </w:r>
      <w:r w:rsidR="001D3409">
        <w:rPr>
          <w:sz w:val="24"/>
          <w:szCs w:val="24"/>
          <w:lang w:val="fr-FR"/>
        </w:rPr>
        <w:t> </w:t>
      </w:r>
      <w:r w:rsidRPr="007B5599">
        <w:rPr>
          <w:sz w:val="24"/>
          <w:szCs w:val="24"/>
          <w:lang w:val="fr-FR"/>
        </w:rPr>
        <w:t xml:space="preserve">; la </w:t>
      </w:r>
      <w:r w:rsidR="00BC5BA5" w:rsidRPr="007B5599">
        <w:rPr>
          <w:sz w:val="24"/>
          <w:szCs w:val="24"/>
          <w:lang w:val="fr-FR"/>
        </w:rPr>
        <w:t>mise en commun</w:t>
      </w:r>
      <w:r w:rsidRPr="007B5599">
        <w:rPr>
          <w:sz w:val="24"/>
          <w:szCs w:val="24"/>
          <w:lang w:val="fr-FR"/>
        </w:rPr>
        <w:t xml:space="preserve"> ciblée des expertises</w:t>
      </w:r>
      <w:r w:rsidR="00BC5BA5" w:rsidRPr="007B5599">
        <w:rPr>
          <w:sz w:val="24"/>
          <w:szCs w:val="24"/>
          <w:lang w:val="fr-FR"/>
        </w:rPr>
        <w:t>,</w:t>
      </w:r>
      <w:r w:rsidRPr="007B5599">
        <w:rPr>
          <w:sz w:val="24"/>
          <w:szCs w:val="24"/>
          <w:lang w:val="fr-FR"/>
        </w:rPr>
        <w:t xml:space="preserve"> afin d</w:t>
      </w:r>
      <w:r w:rsidR="00AD08B8" w:rsidRPr="007B5599">
        <w:rPr>
          <w:sz w:val="24"/>
          <w:szCs w:val="24"/>
          <w:lang w:val="fr-FR"/>
        </w:rPr>
        <w:t>’</w:t>
      </w:r>
      <w:r w:rsidRPr="007B5599">
        <w:rPr>
          <w:sz w:val="24"/>
          <w:szCs w:val="24"/>
          <w:lang w:val="fr-FR"/>
        </w:rPr>
        <w:t>optimiser les performances</w:t>
      </w:r>
      <w:r w:rsidR="001D3409">
        <w:rPr>
          <w:sz w:val="24"/>
          <w:szCs w:val="24"/>
          <w:lang w:val="fr-FR"/>
        </w:rPr>
        <w:t> </w:t>
      </w:r>
      <w:r w:rsidRPr="007B5599">
        <w:rPr>
          <w:sz w:val="24"/>
          <w:szCs w:val="24"/>
          <w:lang w:val="fr-FR"/>
        </w:rPr>
        <w:t>; le renforcement collaboratif des partenariats</w:t>
      </w:r>
      <w:r w:rsidR="00BC5BA5" w:rsidRPr="007B5599">
        <w:rPr>
          <w:sz w:val="24"/>
          <w:szCs w:val="24"/>
          <w:lang w:val="fr-FR"/>
        </w:rPr>
        <w:t>,</w:t>
      </w:r>
      <w:r w:rsidRPr="007B5599">
        <w:rPr>
          <w:sz w:val="24"/>
          <w:szCs w:val="24"/>
          <w:lang w:val="fr-FR"/>
        </w:rPr>
        <w:t xml:space="preserve"> au sein et en dehors du système des Nations Unies pour le développement</w:t>
      </w:r>
      <w:r w:rsidR="001D3409">
        <w:rPr>
          <w:sz w:val="24"/>
          <w:szCs w:val="24"/>
          <w:lang w:val="fr-FR"/>
        </w:rPr>
        <w:t> </w:t>
      </w:r>
      <w:r w:rsidRPr="007B5599">
        <w:rPr>
          <w:sz w:val="24"/>
          <w:szCs w:val="24"/>
          <w:lang w:val="fr-FR"/>
        </w:rPr>
        <w:t xml:space="preserve">; </w:t>
      </w:r>
      <w:r w:rsidR="0051591F" w:rsidRPr="007B5599">
        <w:rPr>
          <w:sz w:val="24"/>
          <w:szCs w:val="24"/>
          <w:lang w:val="fr-FR"/>
        </w:rPr>
        <w:t xml:space="preserve">et enfin, </w:t>
      </w:r>
      <w:r w:rsidRPr="007B5599">
        <w:rPr>
          <w:sz w:val="24"/>
          <w:szCs w:val="24"/>
          <w:lang w:val="fr-FR"/>
        </w:rPr>
        <w:t>l</w:t>
      </w:r>
      <w:r w:rsidR="00AD08B8" w:rsidRPr="007B5599">
        <w:rPr>
          <w:sz w:val="24"/>
          <w:szCs w:val="24"/>
          <w:lang w:val="fr-FR"/>
        </w:rPr>
        <w:t>’</w:t>
      </w:r>
      <w:r w:rsidRPr="007B5599">
        <w:rPr>
          <w:sz w:val="24"/>
          <w:szCs w:val="24"/>
          <w:lang w:val="fr-FR"/>
        </w:rPr>
        <w:t>amélioration de l</w:t>
      </w:r>
      <w:r w:rsidR="00AD08B8" w:rsidRPr="007B5599">
        <w:rPr>
          <w:sz w:val="24"/>
          <w:szCs w:val="24"/>
          <w:lang w:val="fr-FR"/>
        </w:rPr>
        <w:t>’</w:t>
      </w:r>
      <w:r w:rsidRPr="007B5599">
        <w:rPr>
          <w:sz w:val="24"/>
          <w:szCs w:val="24"/>
          <w:lang w:val="fr-FR"/>
        </w:rPr>
        <w:t>harmonisation et des gains d</w:t>
      </w:r>
      <w:r w:rsidR="00AD08B8" w:rsidRPr="007B5599">
        <w:rPr>
          <w:sz w:val="24"/>
          <w:szCs w:val="24"/>
          <w:lang w:val="fr-FR"/>
        </w:rPr>
        <w:t>’</w:t>
      </w:r>
      <w:r w:rsidRPr="007B5599">
        <w:rPr>
          <w:sz w:val="24"/>
          <w:szCs w:val="24"/>
          <w:lang w:val="fr-FR"/>
        </w:rPr>
        <w:t xml:space="preserve">efficacité dans les programmes et les opérations. </w:t>
      </w:r>
      <w:r w:rsidR="00F55B31" w:rsidRPr="007B5599">
        <w:rPr>
          <w:sz w:val="24"/>
          <w:szCs w:val="24"/>
          <w:lang w:val="fr-FR"/>
        </w:rPr>
        <w:t>Les</w:t>
      </w:r>
      <w:r w:rsidRPr="007B5599">
        <w:rPr>
          <w:sz w:val="24"/>
          <w:szCs w:val="24"/>
          <w:lang w:val="fr-FR"/>
        </w:rPr>
        <w:t xml:space="preserve"> six entités contribuent</w:t>
      </w:r>
      <w:r w:rsidR="00F55B31" w:rsidRPr="007B5599">
        <w:rPr>
          <w:sz w:val="24"/>
          <w:szCs w:val="24"/>
          <w:lang w:val="fr-FR"/>
        </w:rPr>
        <w:t>, par le biais de leurs nouveaux plans stratégiques,</w:t>
      </w:r>
      <w:r w:rsidRPr="007B5599">
        <w:rPr>
          <w:sz w:val="24"/>
          <w:szCs w:val="24"/>
          <w:lang w:val="fr-FR"/>
        </w:rPr>
        <w:t xml:space="preserve"> à l</w:t>
      </w:r>
      <w:r w:rsidR="00AD08B8" w:rsidRPr="007B5599">
        <w:rPr>
          <w:sz w:val="24"/>
          <w:szCs w:val="24"/>
          <w:lang w:val="fr-FR"/>
        </w:rPr>
        <w:t>’</w:t>
      </w:r>
      <w:r w:rsidRPr="007B5599">
        <w:rPr>
          <w:sz w:val="24"/>
          <w:szCs w:val="24"/>
          <w:lang w:val="fr-FR"/>
        </w:rPr>
        <w:t>harmonisation des priorités et des ressources du système des Nations Un</w:t>
      </w:r>
      <w:r w:rsidR="004066D8" w:rsidRPr="007B5599">
        <w:rPr>
          <w:sz w:val="24"/>
          <w:szCs w:val="24"/>
          <w:lang w:val="fr-FR"/>
        </w:rPr>
        <w:t xml:space="preserve">ies pour le développement, ce qui </w:t>
      </w:r>
      <w:r w:rsidRPr="007B5599">
        <w:rPr>
          <w:sz w:val="24"/>
          <w:szCs w:val="24"/>
          <w:lang w:val="fr-FR"/>
        </w:rPr>
        <w:t>permettra de mettre en place des réformes et d</w:t>
      </w:r>
      <w:r w:rsidR="00AD08B8" w:rsidRPr="007B5599">
        <w:rPr>
          <w:sz w:val="24"/>
          <w:szCs w:val="24"/>
          <w:lang w:val="fr-FR"/>
        </w:rPr>
        <w:t>’</w:t>
      </w:r>
      <w:r w:rsidRPr="007B5599">
        <w:rPr>
          <w:sz w:val="24"/>
          <w:szCs w:val="24"/>
          <w:lang w:val="fr-FR"/>
        </w:rPr>
        <w:t xml:space="preserve">améliorer les résultats sur le terrain, la transparence, la responsabilisation, ainsi que les approches intersectorielles </w:t>
      </w:r>
      <w:r w:rsidR="004066D8" w:rsidRPr="007B5599">
        <w:rPr>
          <w:sz w:val="24"/>
          <w:szCs w:val="24"/>
          <w:lang w:val="fr-FR"/>
        </w:rPr>
        <w:t>liées aux</w:t>
      </w:r>
      <w:r w:rsidRPr="007B5599">
        <w:rPr>
          <w:sz w:val="24"/>
          <w:szCs w:val="24"/>
          <w:lang w:val="fr-FR"/>
        </w:rPr>
        <w:t xml:space="preserve"> objectifs de développement durable (ODD), afin de ne laisser personne de côté.</w:t>
      </w:r>
    </w:p>
    <w:p w14:paraId="6B7B6E9B" w14:textId="77777777" w:rsidR="00CB086E" w:rsidRPr="00C81B5E" w:rsidRDefault="008B0F9B" w:rsidP="00EA0852">
      <w:pPr>
        <w:pStyle w:val="ListParagraph"/>
        <w:numPr>
          <w:ilvl w:val="0"/>
          <w:numId w:val="15"/>
        </w:numPr>
        <w:tabs>
          <w:tab w:val="left" w:pos="540"/>
        </w:tabs>
        <w:spacing w:after="240"/>
        <w:ind w:left="0" w:firstLine="288"/>
        <w:contextualSpacing w:val="0"/>
        <w:rPr>
          <w:b/>
          <w:sz w:val="32"/>
          <w:szCs w:val="22"/>
        </w:rPr>
      </w:pPr>
      <w:r w:rsidRPr="00C81B5E">
        <w:rPr>
          <w:b/>
          <w:sz w:val="32"/>
          <w:szCs w:val="22"/>
        </w:rPr>
        <w:t>Principales problématiques</w:t>
      </w:r>
    </w:p>
    <w:p w14:paraId="794F2DF6" w14:textId="49CEB0EF" w:rsidR="00B16196" w:rsidRPr="00BB6303" w:rsidRDefault="008B0F9B" w:rsidP="00EA0852">
      <w:pPr>
        <w:pStyle w:val="ListParagraph"/>
        <w:numPr>
          <w:ilvl w:val="0"/>
          <w:numId w:val="9"/>
        </w:numPr>
        <w:tabs>
          <w:tab w:val="left" w:pos="540"/>
        </w:tabs>
        <w:spacing w:after="240"/>
        <w:ind w:left="0" w:firstLine="0"/>
        <w:contextualSpacing w:val="0"/>
        <w:jc w:val="both"/>
        <w:rPr>
          <w:b/>
          <w:sz w:val="28"/>
          <w:szCs w:val="24"/>
          <w:lang w:val="fr-FR"/>
        </w:rPr>
      </w:pPr>
      <w:r w:rsidRPr="00BB6303">
        <w:rPr>
          <w:b/>
          <w:sz w:val="28"/>
          <w:szCs w:val="24"/>
          <w:lang w:val="fr-FR"/>
        </w:rPr>
        <w:t>Collaboration interorganisations à l</w:t>
      </w:r>
      <w:r w:rsidR="00AD08B8" w:rsidRPr="00BB6303">
        <w:rPr>
          <w:b/>
          <w:sz w:val="28"/>
          <w:szCs w:val="24"/>
          <w:lang w:val="fr-FR"/>
        </w:rPr>
        <w:t>’</w:t>
      </w:r>
      <w:r w:rsidRPr="00BB6303">
        <w:rPr>
          <w:b/>
          <w:sz w:val="28"/>
          <w:szCs w:val="24"/>
          <w:lang w:val="fr-FR"/>
        </w:rPr>
        <w:t xml:space="preserve">échelle </w:t>
      </w:r>
      <w:r w:rsidR="00BB6303" w:rsidRPr="00BB6303">
        <w:rPr>
          <w:b/>
          <w:sz w:val="28"/>
          <w:szCs w:val="24"/>
          <w:lang w:val="fr-FR"/>
        </w:rPr>
        <w:t>m</w:t>
      </w:r>
      <w:r w:rsidR="00BB6303">
        <w:rPr>
          <w:b/>
          <w:sz w:val="28"/>
          <w:szCs w:val="24"/>
          <w:lang w:val="fr-FR"/>
        </w:rPr>
        <w:t>ondiale</w:t>
      </w:r>
    </w:p>
    <w:p w14:paraId="6DA327BB" w14:textId="50EFC2A3" w:rsidR="004359BA" w:rsidRPr="007B5599" w:rsidRDefault="008B0F9B" w:rsidP="00DE74A9">
      <w:pPr>
        <w:spacing w:after="240"/>
        <w:jc w:val="both"/>
        <w:rPr>
          <w:b/>
          <w:sz w:val="28"/>
          <w:szCs w:val="24"/>
          <w:lang w:val="fr-FR"/>
        </w:rPr>
      </w:pPr>
      <w:r w:rsidRPr="007B5599">
        <w:rPr>
          <w:b/>
          <w:sz w:val="28"/>
          <w:szCs w:val="24"/>
          <w:lang w:val="fr-FR"/>
        </w:rPr>
        <w:t xml:space="preserve">Élaboration </w:t>
      </w:r>
      <w:r w:rsidR="00CC04B7" w:rsidRPr="007B5599">
        <w:rPr>
          <w:b/>
          <w:sz w:val="28"/>
          <w:szCs w:val="24"/>
          <w:lang w:val="fr-FR"/>
        </w:rPr>
        <w:t>commune</w:t>
      </w:r>
      <w:r w:rsidR="00CE5A9D" w:rsidRPr="007B5599">
        <w:rPr>
          <w:b/>
          <w:sz w:val="28"/>
          <w:szCs w:val="24"/>
          <w:lang w:val="fr-FR"/>
        </w:rPr>
        <w:t xml:space="preserve"> de politiques et de stratégi</w:t>
      </w:r>
      <w:r w:rsidRPr="007B5599">
        <w:rPr>
          <w:b/>
          <w:sz w:val="28"/>
          <w:szCs w:val="24"/>
          <w:lang w:val="fr-FR"/>
        </w:rPr>
        <w:t>es</w:t>
      </w:r>
      <w:r w:rsidR="00B640B9">
        <w:rPr>
          <w:b/>
          <w:sz w:val="28"/>
          <w:szCs w:val="24"/>
          <w:lang w:val="fr-FR"/>
        </w:rPr>
        <w:t xml:space="preserve"> </w:t>
      </w:r>
      <w:r w:rsidR="001677CE">
        <w:rPr>
          <w:b/>
          <w:sz w:val="28"/>
          <w:szCs w:val="24"/>
          <w:lang w:val="fr-FR"/>
        </w:rPr>
        <w:t>systémiques</w:t>
      </w:r>
    </w:p>
    <w:p w14:paraId="27382A65" w14:textId="0BDAC79F" w:rsidR="00CB086E" w:rsidRPr="007B5599" w:rsidRDefault="008B0F9B" w:rsidP="00DE74A9">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 xml:space="preserve">La </w:t>
      </w:r>
      <w:r w:rsidRPr="008B3DFA">
        <w:rPr>
          <w:sz w:val="24"/>
          <w:szCs w:val="24"/>
          <w:lang w:val="fr-FR"/>
        </w:rPr>
        <w:t>valorisation</w:t>
      </w:r>
      <w:r w:rsidRPr="007B5599">
        <w:rPr>
          <w:sz w:val="24"/>
          <w:szCs w:val="24"/>
          <w:lang w:val="fr-FR"/>
        </w:rPr>
        <w:t xml:space="preserve"> d</w:t>
      </w:r>
      <w:r w:rsidR="00AD08B8" w:rsidRPr="007B5599">
        <w:rPr>
          <w:sz w:val="24"/>
          <w:szCs w:val="24"/>
          <w:lang w:val="fr-FR"/>
        </w:rPr>
        <w:t>’</w:t>
      </w:r>
      <w:r w:rsidRPr="007B5599">
        <w:rPr>
          <w:sz w:val="24"/>
          <w:szCs w:val="24"/>
          <w:lang w:val="fr-FR"/>
        </w:rPr>
        <w:t>approches intégrées et collaboratives qui soient conformes aux recommandation</w:t>
      </w:r>
      <w:r w:rsidR="00AD08B8" w:rsidRPr="007B5599">
        <w:rPr>
          <w:sz w:val="24"/>
          <w:szCs w:val="24"/>
          <w:lang w:val="fr-FR"/>
        </w:rPr>
        <w:t xml:space="preserve">s </w:t>
      </w:r>
      <w:r w:rsidRPr="007B5599">
        <w:rPr>
          <w:sz w:val="24"/>
          <w:szCs w:val="24"/>
          <w:lang w:val="fr-FR"/>
        </w:rPr>
        <w:t>de l</w:t>
      </w:r>
      <w:r w:rsidR="00AD08B8" w:rsidRPr="007B5599">
        <w:rPr>
          <w:sz w:val="24"/>
          <w:szCs w:val="24"/>
          <w:lang w:val="fr-FR"/>
        </w:rPr>
        <w:t>’</w:t>
      </w:r>
      <w:r w:rsidRPr="007B5599">
        <w:rPr>
          <w:sz w:val="24"/>
          <w:szCs w:val="24"/>
          <w:lang w:val="fr-FR"/>
        </w:rPr>
        <w:t>examen quadriennal complet passera notamment par l</w:t>
      </w:r>
      <w:r w:rsidR="00AD08B8" w:rsidRPr="007B5599">
        <w:rPr>
          <w:sz w:val="24"/>
          <w:szCs w:val="24"/>
          <w:lang w:val="fr-FR"/>
        </w:rPr>
        <w:t>’</w:t>
      </w:r>
      <w:r w:rsidRPr="007B5599">
        <w:rPr>
          <w:sz w:val="24"/>
          <w:szCs w:val="24"/>
          <w:lang w:val="fr-FR"/>
        </w:rPr>
        <w:t>élaboration d</w:t>
      </w:r>
      <w:r w:rsidR="00AD08B8" w:rsidRPr="007B5599">
        <w:rPr>
          <w:sz w:val="24"/>
          <w:szCs w:val="24"/>
          <w:lang w:val="fr-FR"/>
        </w:rPr>
        <w:t>’</w:t>
      </w:r>
      <w:r w:rsidRPr="007B5599">
        <w:rPr>
          <w:sz w:val="24"/>
          <w:szCs w:val="24"/>
          <w:lang w:val="fr-FR"/>
        </w:rPr>
        <w:t xml:space="preserve">une vision commune aux entités des Nations Unies </w:t>
      </w:r>
      <w:r w:rsidR="004C7F43" w:rsidRPr="007B5599">
        <w:rPr>
          <w:sz w:val="24"/>
          <w:szCs w:val="24"/>
          <w:lang w:val="fr-FR"/>
        </w:rPr>
        <w:t>relative aux</w:t>
      </w:r>
      <w:r w:rsidR="00250FCF" w:rsidRPr="007B5599">
        <w:rPr>
          <w:sz w:val="24"/>
          <w:szCs w:val="24"/>
          <w:lang w:val="fr-FR"/>
        </w:rPr>
        <w:t xml:space="preserve"> </w:t>
      </w:r>
      <w:r w:rsidRPr="007B5599">
        <w:rPr>
          <w:sz w:val="24"/>
          <w:szCs w:val="24"/>
          <w:lang w:val="fr-FR"/>
        </w:rPr>
        <w:t xml:space="preserve">domaines </w:t>
      </w:r>
      <w:r w:rsidR="00250FCF" w:rsidRPr="007B5599">
        <w:rPr>
          <w:sz w:val="24"/>
          <w:szCs w:val="24"/>
          <w:lang w:val="fr-FR"/>
        </w:rPr>
        <w:t>stratégiques dans lesquels</w:t>
      </w:r>
      <w:r w:rsidRPr="007B5599">
        <w:rPr>
          <w:sz w:val="24"/>
          <w:szCs w:val="24"/>
          <w:lang w:val="fr-FR"/>
        </w:rPr>
        <w:t xml:space="preserve"> la collaboration</w:t>
      </w:r>
      <w:r w:rsidR="00250FCF" w:rsidRPr="007B5599">
        <w:rPr>
          <w:sz w:val="24"/>
          <w:szCs w:val="24"/>
          <w:lang w:val="fr-FR"/>
        </w:rPr>
        <w:t xml:space="preserve"> offre des avantages</w:t>
      </w:r>
      <w:r w:rsidRPr="007B5599">
        <w:rPr>
          <w:sz w:val="24"/>
          <w:szCs w:val="24"/>
          <w:lang w:val="fr-FR"/>
        </w:rPr>
        <w:t>. Pour ce qui est des questions de fond telles que l</w:t>
      </w:r>
      <w:r w:rsidR="00AD08B8" w:rsidRPr="007B5599">
        <w:rPr>
          <w:sz w:val="24"/>
          <w:szCs w:val="24"/>
          <w:lang w:val="fr-FR"/>
        </w:rPr>
        <w:t>’</w:t>
      </w:r>
      <w:r w:rsidRPr="007B5599">
        <w:rPr>
          <w:sz w:val="24"/>
          <w:szCs w:val="24"/>
          <w:lang w:val="fr-FR"/>
        </w:rPr>
        <w:t>inégalité, l</w:t>
      </w:r>
      <w:r w:rsidR="00AD08B8" w:rsidRPr="007B5599">
        <w:rPr>
          <w:sz w:val="24"/>
          <w:szCs w:val="24"/>
          <w:lang w:val="fr-FR"/>
        </w:rPr>
        <w:t>’</w:t>
      </w:r>
      <w:r w:rsidRPr="007B5599">
        <w:rPr>
          <w:sz w:val="24"/>
          <w:szCs w:val="24"/>
          <w:lang w:val="fr-FR"/>
        </w:rPr>
        <w:t>urbanisation, la révolution des données, l</w:t>
      </w:r>
      <w:r w:rsidR="00AD08B8" w:rsidRPr="007B5599">
        <w:rPr>
          <w:sz w:val="24"/>
          <w:szCs w:val="24"/>
          <w:lang w:val="fr-FR"/>
        </w:rPr>
        <w:t>’</w:t>
      </w:r>
      <w:r w:rsidRPr="007B5599">
        <w:rPr>
          <w:sz w:val="24"/>
          <w:szCs w:val="24"/>
          <w:lang w:val="fr-FR"/>
        </w:rPr>
        <w:t>égalité des sexes et l</w:t>
      </w:r>
      <w:r w:rsidR="00AD08B8" w:rsidRPr="007B5599">
        <w:rPr>
          <w:sz w:val="24"/>
          <w:szCs w:val="24"/>
          <w:lang w:val="fr-FR"/>
        </w:rPr>
        <w:t>’</w:t>
      </w:r>
      <w:r w:rsidRPr="007B5599">
        <w:rPr>
          <w:sz w:val="24"/>
          <w:szCs w:val="24"/>
          <w:lang w:val="fr-FR"/>
        </w:rPr>
        <w:t>emploi des jeunes, le Comité de haut niveau sur les programmes propose un soutien sur plusieurs plans : mise au point de définitions et de concepts communs</w:t>
      </w:r>
      <w:r w:rsidR="001D3409">
        <w:rPr>
          <w:sz w:val="24"/>
          <w:szCs w:val="24"/>
          <w:lang w:val="fr-FR"/>
        </w:rPr>
        <w:t> </w:t>
      </w:r>
      <w:r w:rsidRPr="007B5599">
        <w:rPr>
          <w:sz w:val="24"/>
          <w:szCs w:val="24"/>
          <w:lang w:val="fr-FR"/>
        </w:rPr>
        <w:t>; adoption de priorités partagées</w:t>
      </w:r>
      <w:r w:rsidR="001D3409">
        <w:rPr>
          <w:sz w:val="24"/>
          <w:szCs w:val="24"/>
          <w:lang w:val="fr-FR"/>
        </w:rPr>
        <w:t> </w:t>
      </w:r>
      <w:r w:rsidRPr="007B5599">
        <w:rPr>
          <w:sz w:val="24"/>
          <w:szCs w:val="24"/>
          <w:lang w:val="fr-FR"/>
        </w:rPr>
        <w:t>; choix consensuel des in</w:t>
      </w:r>
      <w:r w:rsidR="00AD08B8" w:rsidRPr="007B5599">
        <w:rPr>
          <w:sz w:val="24"/>
          <w:szCs w:val="24"/>
          <w:lang w:val="fr-FR"/>
        </w:rPr>
        <w:t>it</w:t>
      </w:r>
      <w:r w:rsidRPr="007B5599">
        <w:rPr>
          <w:sz w:val="24"/>
          <w:szCs w:val="24"/>
          <w:lang w:val="fr-FR"/>
        </w:rPr>
        <w:t>iatives politiques</w:t>
      </w:r>
      <w:r w:rsidR="001D3409">
        <w:rPr>
          <w:sz w:val="24"/>
          <w:szCs w:val="24"/>
          <w:lang w:val="fr-FR"/>
        </w:rPr>
        <w:t> </w:t>
      </w:r>
      <w:r w:rsidRPr="007B5599">
        <w:rPr>
          <w:sz w:val="24"/>
          <w:szCs w:val="24"/>
          <w:lang w:val="fr-FR"/>
        </w:rPr>
        <w:t>; clarification des responsabilités et des axes d</w:t>
      </w:r>
      <w:r w:rsidR="00AD08B8" w:rsidRPr="007B5599">
        <w:rPr>
          <w:sz w:val="24"/>
          <w:szCs w:val="24"/>
          <w:lang w:val="fr-FR"/>
        </w:rPr>
        <w:t>’</w:t>
      </w:r>
      <w:r w:rsidRPr="007B5599">
        <w:rPr>
          <w:sz w:val="24"/>
          <w:szCs w:val="24"/>
          <w:lang w:val="fr-FR"/>
        </w:rPr>
        <w:t>intervention respectifs</w:t>
      </w:r>
      <w:r w:rsidR="001D3409">
        <w:rPr>
          <w:sz w:val="24"/>
          <w:szCs w:val="24"/>
          <w:lang w:val="fr-FR"/>
        </w:rPr>
        <w:t> </w:t>
      </w:r>
      <w:r w:rsidRPr="007B5599">
        <w:rPr>
          <w:sz w:val="24"/>
          <w:szCs w:val="24"/>
          <w:lang w:val="fr-FR"/>
        </w:rPr>
        <w:t>; mise au point d</w:t>
      </w:r>
      <w:r w:rsidR="00AD08B8" w:rsidRPr="007B5599">
        <w:rPr>
          <w:sz w:val="24"/>
          <w:szCs w:val="24"/>
          <w:lang w:val="fr-FR"/>
        </w:rPr>
        <w:t>’</w:t>
      </w:r>
      <w:r w:rsidRPr="007B5599">
        <w:rPr>
          <w:sz w:val="24"/>
          <w:szCs w:val="24"/>
          <w:lang w:val="fr-FR"/>
        </w:rPr>
        <w:t>initiatives ou de plans d</w:t>
      </w:r>
      <w:r w:rsidR="00AD08B8" w:rsidRPr="007B5599">
        <w:rPr>
          <w:sz w:val="24"/>
          <w:szCs w:val="24"/>
          <w:lang w:val="fr-FR"/>
        </w:rPr>
        <w:t>’</w:t>
      </w:r>
      <w:r w:rsidRPr="007B5599">
        <w:rPr>
          <w:sz w:val="24"/>
          <w:szCs w:val="24"/>
          <w:lang w:val="fr-FR"/>
        </w:rPr>
        <w:t>action conjoints à l</w:t>
      </w:r>
      <w:r w:rsidR="00AD08B8" w:rsidRPr="007B5599">
        <w:rPr>
          <w:sz w:val="24"/>
          <w:szCs w:val="24"/>
          <w:lang w:val="fr-FR"/>
        </w:rPr>
        <w:t>’</w:t>
      </w:r>
      <w:r w:rsidRPr="007B5599">
        <w:rPr>
          <w:sz w:val="24"/>
          <w:szCs w:val="24"/>
          <w:lang w:val="fr-FR"/>
        </w:rPr>
        <w:t>échelle d</w:t>
      </w:r>
      <w:r w:rsidR="004A74B2" w:rsidRPr="007B5599">
        <w:rPr>
          <w:sz w:val="24"/>
          <w:szCs w:val="24"/>
          <w:lang w:val="fr-FR"/>
        </w:rPr>
        <w:t>u système des Nations Unies. Les</w:t>
      </w:r>
      <w:r w:rsidRPr="007B5599">
        <w:rPr>
          <w:sz w:val="24"/>
          <w:szCs w:val="24"/>
          <w:lang w:val="fr-FR"/>
        </w:rPr>
        <w:t xml:space="preserve"> documents </w:t>
      </w:r>
      <w:r w:rsidR="004A74B2" w:rsidRPr="007B5599">
        <w:rPr>
          <w:sz w:val="24"/>
          <w:szCs w:val="24"/>
          <w:lang w:val="fr-FR"/>
        </w:rPr>
        <w:t xml:space="preserve">obtenus </w:t>
      </w:r>
      <w:r w:rsidRPr="007B5599">
        <w:rPr>
          <w:sz w:val="24"/>
          <w:szCs w:val="24"/>
          <w:lang w:val="fr-FR"/>
        </w:rPr>
        <w:t>permettent ensuite d</w:t>
      </w:r>
      <w:r w:rsidR="00AD08B8" w:rsidRPr="007B5599">
        <w:rPr>
          <w:sz w:val="24"/>
          <w:szCs w:val="24"/>
          <w:lang w:val="fr-FR"/>
        </w:rPr>
        <w:t>’</w:t>
      </w:r>
      <w:r w:rsidRPr="007B5599">
        <w:rPr>
          <w:sz w:val="24"/>
          <w:szCs w:val="24"/>
          <w:lang w:val="fr-FR"/>
        </w:rPr>
        <w:t>orienter les stratégies et les approches des organismes individuels, et peuvent servir de socle aux actions collaboratives menées aux niveaux régional et national.</w:t>
      </w:r>
    </w:p>
    <w:p w14:paraId="30989E11" w14:textId="4A684FA7" w:rsidR="00CB086E" w:rsidRPr="007B5599" w:rsidRDefault="008B0F9B" w:rsidP="00DE74A9">
      <w:pPr>
        <w:pStyle w:val="ListParagraph"/>
        <w:numPr>
          <w:ilvl w:val="0"/>
          <w:numId w:val="12"/>
        </w:numPr>
        <w:tabs>
          <w:tab w:val="left" w:pos="540"/>
          <w:tab w:val="left" w:pos="630"/>
        </w:tabs>
        <w:spacing w:after="240"/>
        <w:ind w:left="0" w:firstLine="0"/>
        <w:contextualSpacing w:val="0"/>
        <w:jc w:val="both"/>
        <w:rPr>
          <w:sz w:val="24"/>
          <w:szCs w:val="24"/>
          <w:lang w:val="fr-FR"/>
        </w:rPr>
      </w:pPr>
      <w:r w:rsidRPr="007B5599">
        <w:rPr>
          <w:sz w:val="24"/>
          <w:szCs w:val="24"/>
          <w:lang w:val="fr-FR"/>
        </w:rPr>
        <w:t>Ainsi, en ce qui concerne le changement climatique et la résilience, la publication, par le Comité de haut niveau sur les programmes, d</w:t>
      </w:r>
      <w:r w:rsidR="00AD08B8" w:rsidRPr="007B5599">
        <w:rPr>
          <w:sz w:val="24"/>
          <w:szCs w:val="24"/>
          <w:lang w:val="fr-FR"/>
        </w:rPr>
        <w:t>’</w:t>
      </w:r>
      <w:r w:rsidRPr="007B5599">
        <w:rPr>
          <w:sz w:val="24"/>
          <w:szCs w:val="24"/>
          <w:lang w:val="fr-FR"/>
        </w:rPr>
        <w:t xml:space="preserve">une étude préliminaire sur les lacunes et les avantages des approches conjointes des Nations Unies en matière de changement climatique a </w:t>
      </w:r>
      <w:r w:rsidR="004C7F43" w:rsidRPr="007B5599">
        <w:rPr>
          <w:sz w:val="24"/>
          <w:szCs w:val="24"/>
          <w:lang w:val="fr-FR"/>
        </w:rPr>
        <w:t>débouché</w:t>
      </w:r>
      <w:r w:rsidR="0063646E" w:rsidRPr="007B5599">
        <w:rPr>
          <w:sz w:val="24"/>
          <w:szCs w:val="24"/>
          <w:lang w:val="fr-FR"/>
        </w:rPr>
        <w:t>,</w:t>
      </w:r>
      <w:r w:rsidR="004C7F43" w:rsidRPr="007B5599">
        <w:rPr>
          <w:sz w:val="24"/>
          <w:szCs w:val="24"/>
          <w:lang w:val="fr-FR"/>
        </w:rPr>
        <w:t xml:space="preserve"> </w:t>
      </w:r>
      <w:r w:rsidR="0063646E" w:rsidRPr="007B5599">
        <w:rPr>
          <w:sz w:val="24"/>
          <w:szCs w:val="24"/>
          <w:lang w:val="fr-FR"/>
        </w:rPr>
        <w:t xml:space="preserve">en 2016 et 2017, </w:t>
      </w:r>
      <w:r w:rsidR="004C7F43" w:rsidRPr="007B5599">
        <w:rPr>
          <w:sz w:val="24"/>
          <w:szCs w:val="24"/>
          <w:lang w:val="fr-FR"/>
        </w:rPr>
        <w:t>sur</w:t>
      </w:r>
      <w:r w:rsidR="0063646E" w:rsidRPr="007B5599">
        <w:rPr>
          <w:sz w:val="24"/>
          <w:szCs w:val="24"/>
          <w:lang w:val="fr-FR"/>
        </w:rPr>
        <w:t xml:space="preserve"> la création</w:t>
      </w:r>
      <w:r w:rsidRPr="007B5599">
        <w:rPr>
          <w:sz w:val="24"/>
          <w:szCs w:val="24"/>
          <w:lang w:val="fr-FR"/>
        </w:rPr>
        <w:t xml:space="preserve"> des principes c</w:t>
      </w:r>
      <w:r w:rsidR="00B70D2D" w:rsidRPr="007B5599">
        <w:rPr>
          <w:sz w:val="24"/>
          <w:szCs w:val="24"/>
          <w:lang w:val="fr-FR"/>
        </w:rPr>
        <w:t xml:space="preserve">ommuns fondamentaux du CCS relatifs à </w:t>
      </w:r>
      <w:r w:rsidR="00646ACC" w:rsidRPr="007B5599">
        <w:rPr>
          <w:sz w:val="24"/>
          <w:szCs w:val="24"/>
          <w:lang w:val="fr-FR"/>
        </w:rPr>
        <w:t>l</w:t>
      </w:r>
      <w:r w:rsidR="007A14D6" w:rsidRPr="007B5599">
        <w:rPr>
          <w:sz w:val="24"/>
          <w:szCs w:val="24"/>
          <w:lang w:val="fr-FR"/>
        </w:rPr>
        <w:t>’</w:t>
      </w:r>
      <w:r w:rsidRPr="007B5599">
        <w:rPr>
          <w:sz w:val="24"/>
          <w:szCs w:val="24"/>
          <w:lang w:val="fr-FR"/>
        </w:rPr>
        <w:t>approche</w:t>
      </w:r>
      <w:r w:rsidR="00646ACC" w:rsidRPr="007B5599">
        <w:rPr>
          <w:sz w:val="24"/>
          <w:szCs w:val="24"/>
          <w:lang w:val="fr-FR"/>
        </w:rPr>
        <w:t xml:space="preserve"> systémique</w:t>
      </w:r>
      <w:r w:rsidRPr="007B5599">
        <w:rPr>
          <w:sz w:val="24"/>
          <w:szCs w:val="24"/>
          <w:lang w:val="fr-FR"/>
        </w:rPr>
        <w:t xml:space="preserve"> de l</w:t>
      </w:r>
      <w:r w:rsidR="00AD08B8" w:rsidRPr="007B5599">
        <w:rPr>
          <w:sz w:val="24"/>
          <w:szCs w:val="24"/>
          <w:lang w:val="fr-FR"/>
        </w:rPr>
        <w:t>’</w:t>
      </w:r>
      <w:r w:rsidRPr="007B5599">
        <w:rPr>
          <w:sz w:val="24"/>
          <w:szCs w:val="24"/>
          <w:lang w:val="fr-FR"/>
        </w:rPr>
        <w:t>action climatique des Nations Unies</w:t>
      </w:r>
      <w:r w:rsidRPr="004F06B1">
        <w:rPr>
          <w:sz w:val="24"/>
          <w:szCs w:val="24"/>
          <w:vertAlign w:val="superscript"/>
        </w:rPr>
        <w:footnoteReference w:id="3"/>
      </w:r>
      <w:r w:rsidRPr="007B5599">
        <w:rPr>
          <w:sz w:val="24"/>
          <w:szCs w:val="24"/>
          <w:lang w:val="fr-FR"/>
        </w:rPr>
        <w:t xml:space="preserve"> et de </w:t>
      </w:r>
      <w:r w:rsidR="00646ACC" w:rsidRPr="007B5599">
        <w:rPr>
          <w:sz w:val="24"/>
          <w:szCs w:val="24"/>
          <w:lang w:val="fr-FR"/>
        </w:rPr>
        <w:t>la stratégie</w:t>
      </w:r>
      <w:r w:rsidRPr="007B5599">
        <w:rPr>
          <w:sz w:val="24"/>
          <w:szCs w:val="24"/>
          <w:lang w:val="fr-FR"/>
        </w:rPr>
        <w:t xml:space="preserve"> du système des Nations Unies pour l</w:t>
      </w:r>
      <w:r w:rsidR="00AD08B8" w:rsidRPr="007B5599">
        <w:rPr>
          <w:sz w:val="24"/>
          <w:szCs w:val="24"/>
          <w:lang w:val="fr-FR"/>
        </w:rPr>
        <w:t>’</w:t>
      </w:r>
      <w:r w:rsidRPr="007B5599">
        <w:rPr>
          <w:sz w:val="24"/>
          <w:szCs w:val="24"/>
          <w:lang w:val="fr-FR"/>
        </w:rPr>
        <w:t>action rel</w:t>
      </w:r>
      <w:r w:rsidR="004F06B1" w:rsidRPr="007B5599">
        <w:rPr>
          <w:sz w:val="24"/>
          <w:szCs w:val="24"/>
          <w:lang w:val="fr-FR"/>
        </w:rPr>
        <w:t>ative au changement climatique</w:t>
      </w:r>
      <w:r w:rsidR="001D1079" w:rsidRPr="007B5599">
        <w:rPr>
          <w:sz w:val="24"/>
          <w:szCs w:val="24"/>
          <w:lang w:val="fr-FR"/>
        </w:rPr>
        <w:t xml:space="preserve"> (à paraître)</w:t>
      </w:r>
      <w:r w:rsidR="004F06B1" w:rsidRPr="007B5599">
        <w:rPr>
          <w:sz w:val="24"/>
          <w:szCs w:val="24"/>
          <w:lang w:val="fr-FR"/>
        </w:rPr>
        <w:t>. Ceux-ci sont complétés par l</w:t>
      </w:r>
      <w:r w:rsidRPr="007B5599">
        <w:rPr>
          <w:sz w:val="24"/>
          <w:szCs w:val="24"/>
          <w:lang w:val="fr-FR"/>
        </w:rPr>
        <w:t>e plan d</w:t>
      </w:r>
      <w:r w:rsidR="00AD08B8" w:rsidRPr="007B5599">
        <w:rPr>
          <w:sz w:val="24"/>
          <w:szCs w:val="24"/>
          <w:lang w:val="fr-FR"/>
        </w:rPr>
        <w:t>’</w:t>
      </w:r>
      <w:r w:rsidRPr="007B5599">
        <w:rPr>
          <w:sz w:val="24"/>
          <w:szCs w:val="24"/>
          <w:lang w:val="fr-FR"/>
        </w:rPr>
        <w:t xml:space="preserve">action des Nations Unies </w:t>
      </w:r>
      <w:r w:rsidRPr="00C4515E">
        <w:rPr>
          <w:sz w:val="24"/>
          <w:szCs w:val="24"/>
          <w:lang w:val="fr-FR"/>
        </w:rPr>
        <w:t>pour la réduction des risques de catastrophe, axé sur la résilience</w:t>
      </w:r>
      <w:r w:rsidR="00791C9C" w:rsidRPr="00646ACC">
        <w:rPr>
          <w:sz w:val="24"/>
          <w:szCs w:val="24"/>
          <w:vertAlign w:val="superscript"/>
        </w:rPr>
        <w:footnoteReference w:id="4"/>
      </w:r>
      <w:r w:rsidR="00C41845" w:rsidRPr="007B5599">
        <w:rPr>
          <w:sz w:val="24"/>
          <w:szCs w:val="24"/>
          <w:lang w:val="fr-FR"/>
        </w:rPr>
        <w:t xml:space="preserve">. </w:t>
      </w:r>
      <w:r w:rsidR="00A513AC">
        <w:rPr>
          <w:sz w:val="24"/>
          <w:szCs w:val="24"/>
          <w:lang w:val="fr-FR"/>
        </w:rPr>
        <w:t>L’ensemble de</w:t>
      </w:r>
      <w:r w:rsidR="00A513AC" w:rsidRPr="007B5599">
        <w:rPr>
          <w:sz w:val="24"/>
          <w:szCs w:val="24"/>
          <w:lang w:val="fr-FR"/>
        </w:rPr>
        <w:t xml:space="preserve"> </w:t>
      </w:r>
      <w:r w:rsidR="0063646E" w:rsidRPr="007B5599">
        <w:rPr>
          <w:sz w:val="24"/>
          <w:szCs w:val="24"/>
          <w:lang w:val="fr-FR"/>
        </w:rPr>
        <w:t>ces documents constitue un</w:t>
      </w:r>
      <w:r w:rsidR="004F06B1" w:rsidRPr="007B5599">
        <w:rPr>
          <w:sz w:val="24"/>
          <w:szCs w:val="24"/>
          <w:lang w:val="fr-FR"/>
        </w:rPr>
        <w:t xml:space="preserve"> </w:t>
      </w:r>
      <w:r w:rsidR="00C41845" w:rsidRPr="007B5599">
        <w:rPr>
          <w:sz w:val="24"/>
          <w:szCs w:val="24"/>
          <w:lang w:val="fr-FR"/>
        </w:rPr>
        <w:t>cadre d</w:t>
      </w:r>
      <w:r w:rsidR="00AD08B8" w:rsidRPr="007B5599">
        <w:rPr>
          <w:sz w:val="24"/>
          <w:szCs w:val="24"/>
          <w:lang w:val="fr-FR"/>
        </w:rPr>
        <w:t>’</w:t>
      </w:r>
      <w:r w:rsidR="007608B6" w:rsidRPr="007B5599">
        <w:rPr>
          <w:sz w:val="24"/>
          <w:szCs w:val="24"/>
          <w:lang w:val="fr-FR"/>
        </w:rPr>
        <w:t>orientation</w:t>
      </w:r>
      <w:r w:rsidR="00450425" w:rsidRPr="007B5599">
        <w:rPr>
          <w:sz w:val="24"/>
          <w:szCs w:val="24"/>
          <w:lang w:val="fr-FR"/>
        </w:rPr>
        <w:t xml:space="preserve"> </w:t>
      </w:r>
      <w:r w:rsidR="0063646E" w:rsidRPr="007B5599">
        <w:rPr>
          <w:sz w:val="24"/>
          <w:szCs w:val="24"/>
          <w:lang w:val="fr-FR"/>
        </w:rPr>
        <w:t>visant</w:t>
      </w:r>
      <w:r w:rsidR="00450425" w:rsidRPr="007B5599">
        <w:rPr>
          <w:sz w:val="24"/>
          <w:szCs w:val="24"/>
          <w:lang w:val="fr-FR"/>
        </w:rPr>
        <w:t xml:space="preserve"> à</w:t>
      </w:r>
      <w:r w:rsidR="004F06B1" w:rsidRPr="007B5599">
        <w:rPr>
          <w:sz w:val="24"/>
          <w:szCs w:val="24"/>
          <w:lang w:val="fr-FR"/>
        </w:rPr>
        <w:t xml:space="preserve"> </w:t>
      </w:r>
      <w:r w:rsidR="00C41845" w:rsidRPr="007B5599">
        <w:rPr>
          <w:sz w:val="24"/>
          <w:szCs w:val="24"/>
          <w:lang w:val="fr-FR"/>
        </w:rPr>
        <w:t>faciliter et susciter des actions collectives dans ce domaine stratégique</w:t>
      </w:r>
      <w:r w:rsidR="0063646E" w:rsidRPr="007B5599">
        <w:rPr>
          <w:sz w:val="24"/>
          <w:szCs w:val="24"/>
          <w:lang w:val="fr-FR"/>
        </w:rPr>
        <w:t>,</w:t>
      </w:r>
      <w:r w:rsidR="00C41845" w:rsidRPr="007B5599">
        <w:rPr>
          <w:sz w:val="24"/>
          <w:szCs w:val="24"/>
          <w:lang w:val="fr-FR"/>
        </w:rPr>
        <w:t xml:space="preserve"> au sein du système des Nations Unies.</w:t>
      </w:r>
    </w:p>
    <w:p w14:paraId="6D9A1A43" w14:textId="44848883" w:rsidR="00CB086E" w:rsidRPr="007B5599" w:rsidRDefault="008B0F9B" w:rsidP="0060667F">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Le Secrétaire général élaborera, en réponse à la demande émise par l</w:t>
      </w:r>
      <w:r w:rsidR="00AD08B8" w:rsidRPr="007B5599">
        <w:rPr>
          <w:sz w:val="24"/>
          <w:szCs w:val="24"/>
          <w:lang w:val="fr-FR"/>
        </w:rPr>
        <w:t>’</w:t>
      </w:r>
      <w:r w:rsidRPr="007B5599">
        <w:rPr>
          <w:sz w:val="24"/>
          <w:szCs w:val="24"/>
          <w:lang w:val="fr-FR"/>
        </w:rPr>
        <w:t>Assemblée générale dans l</w:t>
      </w:r>
      <w:r w:rsidR="00AD08B8" w:rsidRPr="007B5599">
        <w:rPr>
          <w:sz w:val="24"/>
          <w:szCs w:val="24"/>
          <w:lang w:val="fr-FR"/>
        </w:rPr>
        <w:t>’</w:t>
      </w:r>
      <w:r w:rsidRPr="007B5599">
        <w:rPr>
          <w:sz w:val="24"/>
          <w:szCs w:val="24"/>
          <w:lang w:val="fr-FR"/>
        </w:rPr>
        <w:t xml:space="preserve">examen quadriennal complet et en consultation avec les entités du système des Nations Unies pour le développement, un </w:t>
      </w:r>
      <w:r w:rsidR="00450425" w:rsidRPr="007B5599">
        <w:rPr>
          <w:sz w:val="24"/>
          <w:szCs w:val="24"/>
          <w:lang w:val="fr-FR"/>
        </w:rPr>
        <w:t>«</w:t>
      </w:r>
      <w:r w:rsidR="00537B5E">
        <w:rPr>
          <w:sz w:val="24"/>
          <w:szCs w:val="24"/>
          <w:lang w:val="fr-FR"/>
        </w:rPr>
        <w:t> </w:t>
      </w:r>
      <w:r w:rsidRPr="007B5599">
        <w:rPr>
          <w:sz w:val="24"/>
          <w:szCs w:val="24"/>
          <w:lang w:val="fr-FR"/>
        </w:rPr>
        <w:t>document stratégique à l</w:t>
      </w:r>
      <w:r w:rsidR="00AD08B8" w:rsidRPr="007B5599">
        <w:rPr>
          <w:sz w:val="24"/>
          <w:szCs w:val="24"/>
          <w:lang w:val="fr-FR"/>
        </w:rPr>
        <w:t>’</w:t>
      </w:r>
      <w:r w:rsidR="00450425" w:rsidRPr="007B5599">
        <w:rPr>
          <w:sz w:val="24"/>
          <w:szCs w:val="24"/>
          <w:lang w:val="fr-FR"/>
        </w:rPr>
        <w:t>échelle du système</w:t>
      </w:r>
      <w:r w:rsidRPr="007B5599">
        <w:rPr>
          <w:sz w:val="24"/>
          <w:szCs w:val="24"/>
          <w:lang w:val="fr-FR"/>
        </w:rPr>
        <w:t xml:space="preserve"> </w:t>
      </w:r>
      <w:r w:rsidR="00450425" w:rsidRPr="007B5599">
        <w:rPr>
          <w:sz w:val="24"/>
          <w:szCs w:val="24"/>
          <w:lang w:val="fr-FR"/>
        </w:rPr>
        <w:t xml:space="preserve">[...] </w:t>
      </w:r>
      <w:r w:rsidRPr="007B5599">
        <w:rPr>
          <w:sz w:val="24"/>
          <w:szCs w:val="24"/>
          <w:lang w:val="fr-FR"/>
        </w:rPr>
        <w:t xml:space="preserve">visant à adapter </w:t>
      </w:r>
      <w:r w:rsidR="006025F7">
        <w:rPr>
          <w:sz w:val="24"/>
          <w:szCs w:val="24"/>
          <w:lang w:val="fr-FR"/>
        </w:rPr>
        <w:t xml:space="preserve">[…] </w:t>
      </w:r>
      <w:r w:rsidRPr="007B5599">
        <w:rPr>
          <w:sz w:val="24"/>
          <w:szCs w:val="24"/>
          <w:lang w:val="fr-FR"/>
        </w:rPr>
        <w:t xml:space="preserve">leur appui collectif à la mise en œuvre du Programme de développement </w:t>
      </w:r>
      <w:r w:rsidR="00CE52B2">
        <w:rPr>
          <w:sz w:val="24"/>
          <w:szCs w:val="24"/>
          <w:lang w:val="fr-FR"/>
        </w:rPr>
        <w:t>[</w:t>
      </w:r>
      <w:r w:rsidRPr="007B5599">
        <w:rPr>
          <w:sz w:val="24"/>
          <w:szCs w:val="24"/>
          <w:lang w:val="fr-FR"/>
        </w:rPr>
        <w:t>durable</w:t>
      </w:r>
      <w:r w:rsidR="00CE52B2">
        <w:rPr>
          <w:sz w:val="24"/>
          <w:szCs w:val="24"/>
          <w:lang w:val="fr-FR"/>
        </w:rPr>
        <w:t>]</w:t>
      </w:r>
      <w:r w:rsidRPr="007B5599">
        <w:rPr>
          <w:sz w:val="24"/>
          <w:szCs w:val="24"/>
          <w:lang w:val="fr-FR"/>
        </w:rPr>
        <w:t xml:space="preserve"> à l’horizon</w:t>
      </w:r>
      <w:r w:rsidR="00AD08B8" w:rsidRPr="007B5599">
        <w:rPr>
          <w:sz w:val="24"/>
          <w:szCs w:val="24"/>
          <w:lang w:val="fr-FR"/>
        </w:rPr>
        <w:t> </w:t>
      </w:r>
      <w:r w:rsidRPr="007B5599">
        <w:rPr>
          <w:sz w:val="24"/>
          <w:szCs w:val="24"/>
          <w:lang w:val="fr-FR"/>
        </w:rPr>
        <w:t>2030</w:t>
      </w:r>
      <w:r w:rsidR="00537B5E">
        <w:rPr>
          <w:sz w:val="24"/>
          <w:szCs w:val="24"/>
          <w:lang w:val="fr-FR"/>
        </w:rPr>
        <w:t> </w:t>
      </w:r>
      <w:r w:rsidR="00450425" w:rsidRPr="007B5599">
        <w:rPr>
          <w:sz w:val="24"/>
          <w:szCs w:val="24"/>
          <w:lang w:val="fr-FR"/>
        </w:rPr>
        <w:t>»</w:t>
      </w:r>
      <w:r w:rsidRPr="007B5599">
        <w:rPr>
          <w:sz w:val="24"/>
          <w:szCs w:val="24"/>
          <w:lang w:val="fr-FR"/>
        </w:rPr>
        <w:t xml:space="preserve"> (</w:t>
      </w:r>
      <w:r w:rsidRPr="002F5F26">
        <w:rPr>
          <w:sz w:val="24"/>
          <w:szCs w:val="24"/>
          <w:lang w:val="fr-FR"/>
        </w:rPr>
        <w:t>r</w:t>
      </w:r>
      <w:r w:rsidR="00786E9B">
        <w:rPr>
          <w:sz w:val="24"/>
          <w:szCs w:val="24"/>
          <w:lang w:val="fr-FR"/>
        </w:rPr>
        <w:t>ésolution </w:t>
      </w:r>
      <w:r w:rsidRPr="002F5F26">
        <w:rPr>
          <w:sz w:val="24"/>
          <w:szCs w:val="24"/>
          <w:lang w:val="fr-FR"/>
        </w:rPr>
        <w:t>71/243</w:t>
      </w:r>
      <w:r w:rsidRPr="007B5599">
        <w:rPr>
          <w:sz w:val="24"/>
          <w:szCs w:val="24"/>
          <w:lang w:val="fr-FR"/>
        </w:rPr>
        <w:t xml:space="preserve">, </w:t>
      </w:r>
      <w:r w:rsidRPr="008B3DFA">
        <w:rPr>
          <w:sz w:val="24"/>
          <w:szCs w:val="24"/>
          <w:lang w:val="fr-FR"/>
        </w:rPr>
        <w:t>paragraphe</w:t>
      </w:r>
      <w:r w:rsidR="00AD08B8" w:rsidRPr="007B5599">
        <w:rPr>
          <w:sz w:val="24"/>
          <w:szCs w:val="24"/>
          <w:lang w:val="fr-FR"/>
        </w:rPr>
        <w:t> </w:t>
      </w:r>
      <w:r w:rsidRPr="007B5599">
        <w:rPr>
          <w:sz w:val="24"/>
          <w:szCs w:val="24"/>
          <w:lang w:val="fr-FR"/>
        </w:rPr>
        <w:t>20). Pour cela, il sera important d</w:t>
      </w:r>
      <w:r w:rsidR="00AD08B8" w:rsidRPr="007B5599">
        <w:rPr>
          <w:sz w:val="24"/>
          <w:szCs w:val="24"/>
          <w:lang w:val="fr-FR"/>
        </w:rPr>
        <w:t>’</w:t>
      </w:r>
      <w:r w:rsidRPr="007B5599">
        <w:rPr>
          <w:sz w:val="24"/>
          <w:szCs w:val="24"/>
          <w:lang w:val="fr-FR"/>
        </w:rPr>
        <w:t xml:space="preserve">exploiter les stratégies </w:t>
      </w:r>
      <w:r w:rsidR="0063646E" w:rsidRPr="007B5599">
        <w:rPr>
          <w:sz w:val="24"/>
          <w:szCs w:val="24"/>
          <w:lang w:val="fr-FR"/>
        </w:rPr>
        <w:t xml:space="preserve">relatives </w:t>
      </w:r>
      <w:r w:rsidR="0063646E" w:rsidRPr="007B5599">
        <w:rPr>
          <w:sz w:val="24"/>
          <w:szCs w:val="24"/>
          <w:lang w:val="fr-FR"/>
        </w:rPr>
        <w:lastRenderedPageBreak/>
        <w:t>aux</w:t>
      </w:r>
      <w:r w:rsidRPr="007B5599">
        <w:rPr>
          <w:sz w:val="24"/>
          <w:szCs w:val="24"/>
          <w:lang w:val="fr-FR"/>
        </w:rPr>
        <w:t xml:space="preserve"> questions pluridimensionnelle</w:t>
      </w:r>
      <w:r w:rsidR="004D769F" w:rsidRPr="007B5599">
        <w:rPr>
          <w:sz w:val="24"/>
          <w:szCs w:val="24"/>
          <w:lang w:val="fr-FR"/>
        </w:rPr>
        <w:t>s et transversales spécifiques (</w:t>
      </w:r>
      <w:r w:rsidRPr="007B5599">
        <w:rPr>
          <w:sz w:val="24"/>
          <w:szCs w:val="24"/>
          <w:lang w:val="fr-FR"/>
        </w:rPr>
        <w:t>notamment le changem</w:t>
      </w:r>
      <w:r w:rsidR="004D769F" w:rsidRPr="007B5599">
        <w:rPr>
          <w:sz w:val="24"/>
          <w:szCs w:val="24"/>
          <w:lang w:val="fr-FR"/>
        </w:rPr>
        <w:t>ent climatique et la résilience) existant à l</w:t>
      </w:r>
      <w:r w:rsidR="007A14D6" w:rsidRPr="007B5599">
        <w:rPr>
          <w:sz w:val="24"/>
          <w:szCs w:val="24"/>
          <w:lang w:val="fr-FR"/>
        </w:rPr>
        <w:t>’</w:t>
      </w:r>
      <w:r w:rsidR="004D769F" w:rsidRPr="007B5599">
        <w:rPr>
          <w:sz w:val="24"/>
          <w:szCs w:val="24"/>
          <w:lang w:val="fr-FR"/>
        </w:rPr>
        <w:t>échelle du système</w:t>
      </w:r>
      <w:r w:rsidRPr="007B5599">
        <w:rPr>
          <w:sz w:val="24"/>
          <w:szCs w:val="24"/>
          <w:lang w:val="fr-FR"/>
        </w:rPr>
        <w:t xml:space="preserve"> et de s</w:t>
      </w:r>
      <w:r w:rsidR="00AD08B8" w:rsidRPr="007B5599">
        <w:rPr>
          <w:sz w:val="24"/>
          <w:szCs w:val="24"/>
          <w:lang w:val="fr-FR"/>
        </w:rPr>
        <w:t>’</w:t>
      </w:r>
      <w:r w:rsidRPr="007B5599">
        <w:rPr>
          <w:sz w:val="24"/>
          <w:szCs w:val="24"/>
          <w:lang w:val="fr-FR"/>
        </w:rPr>
        <w:t xml:space="preserve">y référer. </w:t>
      </w:r>
      <w:r w:rsidR="00114D1A" w:rsidRPr="007B5599">
        <w:rPr>
          <w:sz w:val="24"/>
          <w:szCs w:val="24"/>
          <w:lang w:val="fr-FR"/>
        </w:rPr>
        <w:t>En outre, i</w:t>
      </w:r>
      <w:r w:rsidRPr="007B5599">
        <w:rPr>
          <w:sz w:val="24"/>
          <w:szCs w:val="24"/>
          <w:lang w:val="fr-FR"/>
        </w:rPr>
        <w:t xml:space="preserve">l </w:t>
      </w:r>
      <w:r w:rsidR="00CE52B2">
        <w:rPr>
          <w:sz w:val="24"/>
          <w:szCs w:val="24"/>
          <w:lang w:val="fr-FR"/>
        </w:rPr>
        <w:t xml:space="preserve">conviendra de </w:t>
      </w:r>
      <w:r w:rsidRPr="007B5599">
        <w:rPr>
          <w:sz w:val="24"/>
          <w:szCs w:val="24"/>
          <w:lang w:val="fr-FR"/>
        </w:rPr>
        <w:t xml:space="preserve">repérer les domaines prioritaires </w:t>
      </w:r>
      <w:r w:rsidR="00114D1A" w:rsidRPr="007B5599">
        <w:rPr>
          <w:sz w:val="24"/>
          <w:szCs w:val="24"/>
          <w:lang w:val="fr-FR"/>
        </w:rPr>
        <w:t>dans</w:t>
      </w:r>
      <w:r w:rsidRPr="007B5599">
        <w:rPr>
          <w:sz w:val="24"/>
          <w:szCs w:val="24"/>
          <w:lang w:val="fr-FR"/>
        </w:rPr>
        <w:t xml:space="preserve"> lesquels une collaboration supplémentaire en matière de politiques peut s</w:t>
      </w:r>
      <w:r w:rsidR="00AD08B8" w:rsidRPr="007B5599">
        <w:rPr>
          <w:sz w:val="24"/>
          <w:szCs w:val="24"/>
          <w:lang w:val="fr-FR"/>
        </w:rPr>
        <w:t>’</w:t>
      </w:r>
      <w:r w:rsidRPr="007B5599">
        <w:rPr>
          <w:sz w:val="24"/>
          <w:szCs w:val="24"/>
          <w:lang w:val="fr-FR"/>
        </w:rPr>
        <w:t>avérer nécessaire.</w:t>
      </w:r>
    </w:p>
    <w:p w14:paraId="4BEE7832" w14:textId="5FF9BCBF" w:rsidR="004359BA" w:rsidRDefault="008B0F9B" w:rsidP="00EA0852">
      <w:pPr>
        <w:spacing w:after="120"/>
        <w:jc w:val="both"/>
        <w:rPr>
          <w:b/>
          <w:sz w:val="28"/>
          <w:szCs w:val="24"/>
          <w:lang w:val="fr-FR"/>
        </w:rPr>
      </w:pPr>
      <w:r w:rsidRPr="007B5599">
        <w:rPr>
          <w:b/>
          <w:sz w:val="28"/>
          <w:szCs w:val="24"/>
          <w:lang w:val="fr-FR"/>
        </w:rPr>
        <w:t>Mise au point d</w:t>
      </w:r>
      <w:r w:rsidR="00AD08B8" w:rsidRPr="007B5599">
        <w:rPr>
          <w:b/>
          <w:sz w:val="28"/>
          <w:szCs w:val="24"/>
          <w:lang w:val="fr-FR"/>
        </w:rPr>
        <w:t>’</w:t>
      </w:r>
      <w:r w:rsidRPr="007B5599">
        <w:rPr>
          <w:b/>
          <w:sz w:val="28"/>
          <w:szCs w:val="24"/>
          <w:lang w:val="fr-FR"/>
        </w:rPr>
        <w:t>initiatives internationales conjointes</w:t>
      </w:r>
    </w:p>
    <w:p w14:paraId="2B0BBDCC" w14:textId="31CC4BFD" w:rsidR="00235AB0" w:rsidRPr="00521498" w:rsidRDefault="00235AB0" w:rsidP="00521498">
      <w:pPr>
        <w:pStyle w:val="ListParagraph"/>
        <w:numPr>
          <w:ilvl w:val="0"/>
          <w:numId w:val="12"/>
        </w:numPr>
        <w:tabs>
          <w:tab w:val="left" w:pos="540"/>
        </w:tabs>
        <w:spacing w:after="240"/>
        <w:ind w:left="0" w:firstLine="0"/>
        <w:contextualSpacing w:val="0"/>
        <w:jc w:val="both"/>
        <w:rPr>
          <w:b/>
          <w:sz w:val="28"/>
          <w:szCs w:val="24"/>
          <w:lang w:val="fr-FR"/>
        </w:rPr>
      </w:pPr>
      <w:r w:rsidRPr="007B5599">
        <w:rPr>
          <w:sz w:val="24"/>
          <w:szCs w:val="24"/>
          <w:lang w:val="fr-FR"/>
        </w:rPr>
        <w:t xml:space="preserve">Outre les politiques et les stratégies mondiales adoptées à l’échelle du système, les fonds, les programmes et les autres entités des Nations Unies doivent tirer parti des initiatives et des programmes conjoints mondiaux déjà établis, et en créer de nouveaux qui leur permettront d’obtenir des résultats </w:t>
      </w:r>
      <w:r w:rsidRPr="004B1892">
        <w:rPr>
          <w:sz w:val="24"/>
          <w:szCs w:val="24"/>
          <w:lang w:val="fr-FR"/>
        </w:rPr>
        <w:t xml:space="preserve">qui ne pourraient être atteints par des organismes individuels œuvrant seuls. Ainsi, des initiatives conjointes mondiales telles que </w:t>
      </w:r>
      <w:r w:rsidRPr="008B3DFA">
        <w:rPr>
          <w:sz w:val="24"/>
          <w:szCs w:val="24"/>
          <w:lang w:val="fr-FR"/>
        </w:rPr>
        <w:t>le</w:t>
      </w:r>
      <w:r w:rsidRPr="004B1892">
        <w:rPr>
          <w:sz w:val="24"/>
          <w:szCs w:val="24"/>
          <w:lang w:val="fr-FR"/>
        </w:rPr>
        <w:t xml:space="preserve"> Programme conjoint UNFPA-UNICEF sur les mutilations</w:t>
      </w:r>
      <w:r w:rsidRPr="007B5599">
        <w:rPr>
          <w:sz w:val="24"/>
          <w:szCs w:val="24"/>
          <w:lang w:val="fr-FR"/>
        </w:rPr>
        <w:t xml:space="preserve"> génitales féminines/l’excision et le Programme conjoint mondial des Nations Unies sur les services essentiels pour les femmes et les filles victimes de violence, mutualisent les forces et les avantages comparatifs des fonds et programmes partenaires à l’échelle mondiale.</w:t>
      </w:r>
    </w:p>
    <w:tbl>
      <w:tblPr>
        <w:tblStyle w:val="TableGrid"/>
        <w:tblW w:w="0" w:type="auto"/>
        <w:tblInd w:w="108" w:type="dxa"/>
        <w:tblLook w:val="04A0" w:firstRow="1" w:lastRow="0" w:firstColumn="1" w:lastColumn="0" w:noHBand="0" w:noVBand="1"/>
      </w:tblPr>
      <w:tblGrid>
        <w:gridCol w:w="9630"/>
      </w:tblGrid>
      <w:tr w:rsidR="00521498" w:rsidRPr="00A3517C" w14:paraId="34E26836" w14:textId="77777777" w:rsidTr="005B0EB0">
        <w:tc>
          <w:tcPr>
            <w:tcW w:w="9630" w:type="dxa"/>
          </w:tcPr>
          <w:p w14:paraId="619641E7" w14:textId="77777777" w:rsidR="00521498" w:rsidRPr="00FD5683" w:rsidRDefault="00521498" w:rsidP="00FD5683">
            <w:pPr>
              <w:tabs>
                <w:tab w:val="left" w:pos="90"/>
              </w:tabs>
              <w:spacing w:before="120" w:after="240"/>
              <w:ind w:left="144"/>
              <w:jc w:val="both"/>
              <w:rPr>
                <w:b/>
                <w:sz w:val="22"/>
                <w:lang w:val="fr-FR"/>
              </w:rPr>
            </w:pPr>
            <w:r w:rsidRPr="00FD5683">
              <w:rPr>
                <w:b/>
                <w:sz w:val="22"/>
                <w:lang w:val="fr-FR"/>
              </w:rPr>
              <w:t xml:space="preserve">Étude de cas : Initiative pour le renforcement des capacités d’intervention en cas de catastrophe </w:t>
            </w:r>
          </w:p>
          <w:p w14:paraId="5C6B1A00" w14:textId="77777777" w:rsidR="00521498" w:rsidRPr="00FD5683" w:rsidRDefault="00521498" w:rsidP="00521498">
            <w:pPr>
              <w:tabs>
                <w:tab w:val="left" w:pos="90"/>
              </w:tabs>
              <w:ind w:left="144" w:right="144"/>
              <w:jc w:val="both"/>
              <w:rPr>
                <w:sz w:val="22"/>
                <w:lang w:val="fr-FR"/>
              </w:rPr>
            </w:pPr>
            <w:r w:rsidRPr="00FD5683">
              <w:rPr>
                <w:sz w:val="22"/>
                <w:lang w:val="fr-FR"/>
              </w:rPr>
              <w:t>L’Initiative pour le renforcement des capacités d’intervention en cas de catastrophe (CADRI) est un partenariat mondial regroupant 13 organisations. Certaines, comme le PNUD, l’UNICEF, le PAM et l’UNOPS, font partie des Nations Unies, les autres sont des organisations extérieures. L’initiative s’attache à repérer les importantes lacunes de capacités au niveau des pays en vue d’éliminer les risques. Elle soutient également la création d’interventions cohérentes par le système des Nations Unies et les autres parties prenantes, de manière à combler ces lacunes.</w:t>
            </w:r>
          </w:p>
          <w:p w14:paraId="13D15F19" w14:textId="77777777" w:rsidR="00521498" w:rsidRPr="00FD5683" w:rsidRDefault="00521498" w:rsidP="005B0EB0">
            <w:pPr>
              <w:tabs>
                <w:tab w:val="left" w:pos="90"/>
              </w:tabs>
              <w:ind w:left="144" w:right="162"/>
              <w:jc w:val="both"/>
              <w:rPr>
                <w:sz w:val="22"/>
                <w:lang w:val="fr-FR"/>
              </w:rPr>
            </w:pPr>
          </w:p>
          <w:p w14:paraId="22C9DAFA" w14:textId="67402195" w:rsidR="00521498" w:rsidRPr="00521498" w:rsidRDefault="00521498" w:rsidP="00FD5683">
            <w:pPr>
              <w:tabs>
                <w:tab w:val="left" w:pos="90"/>
              </w:tabs>
              <w:spacing w:after="120"/>
              <w:ind w:left="144" w:right="144"/>
              <w:jc w:val="both"/>
              <w:rPr>
                <w:sz w:val="24"/>
                <w:lang w:val="fr-FR"/>
              </w:rPr>
            </w:pPr>
            <w:r w:rsidRPr="00FD5683">
              <w:rPr>
                <w:sz w:val="22"/>
                <w:lang w:val="fr-FR"/>
              </w:rPr>
              <w:t>Dotée d’un vivier d’expertises très diversifié grâce à ses membres, l’initiative CADRI possède à la fois les connaissances, l’expérience et les ressources nécessaires pour accompagner les pays dans la mise en œuvre du Cadre de Sendai pour la réduction des risques de catastrophe 2015-2030, ce qui lui confère une position unique. Elle mise sur la capacité fédératrice des équipes de pays des Nations Unies pour instiller une approche fondée sur la pluralité des secteurs et des acteurs, en vue d’améliorer l’investissement en faveur de la réduction des risques de catastrophe dans les différents secteurs.</w:t>
            </w:r>
          </w:p>
        </w:tc>
      </w:tr>
    </w:tbl>
    <w:p w14:paraId="7CC7A2BF" w14:textId="77777777" w:rsidR="00521498" w:rsidRDefault="00521498" w:rsidP="00521498">
      <w:pPr>
        <w:pStyle w:val="ListParagraph"/>
        <w:tabs>
          <w:tab w:val="left" w:pos="540"/>
        </w:tabs>
        <w:spacing w:after="240"/>
        <w:ind w:left="0"/>
        <w:contextualSpacing w:val="0"/>
        <w:jc w:val="both"/>
        <w:rPr>
          <w:b/>
          <w:sz w:val="28"/>
          <w:szCs w:val="24"/>
          <w:lang w:val="fr-FR"/>
        </w:rPr>
      </w:pPr>
    </w:p>
    <w:tbl>
      <w:tblPr>
        <w:tblStyle w:val="TableGrid"/>
        <w:tblW w:w="0" w:type="auto"/>
        <w:tblInd w:w="108" w:type="dxa"/>
        <w:tblLook w:val="04A0" w:firstRow="1" w:lastRow="0" w:firstColumn="1" w:lastColumn="0" w:noHBand="0" w:noVBand="1"/>
      </w:tblPr>
      <w:tblGrid>
        <w:gridCol w:w="9630"/>
      </w:tblGrid>
      <w:tr w:rsidR="00FD5683" w:rsidRPr="00A3517C" w14:paraId="4267DA71" w14:textId="77777777" w:rsidTr="005B0EB0">
        <w:tc>
          <w:tcPr>
            <w:tcW w:w="9630" w:type="dxa"/>
          </w:tcPr>
          <w:p w14:paraId="6079B620" w14:textId="77777777" w:rsidR="00FD5683" w:rsidRPr="00FD5683" w:rsidRDefault="00FD5683" w:rsidP="00FD5683">
            <w:pPr>
              <w:tabs>
                <w:tab w:val="left" w:pos="90"/>
              </w:tabs>
              <w:spacing w:before="120" w:after="240"/>
              <w:ind w:left="144" w:right="144"/>
              <w:jc w:val="both"/>
              <w:rPr>
                <w:b/>
                <w:sz w:val="22"/>
                <w:lang w:val="fr-FR"/>
              </w:rPr>
            </w:pPr>
            <w:r w:rsidRPr="00FD5683">
              <w:rPr>
                <w:b/>
                <w:sz w:val="22"/>
                <w:lang w:val="fr-FR"/>
              </w:rPr>
              <w:t>Étude de cas : Indice pour la gestion des risques</w:t>
            </w:r>
          </w:p>
          <w:p w14:paraId="384CCF27" w14:textId="77777777" w:rsidR="00FD5683" w:rsidRPr="00FD5683" w:rsidRDefault="00FD5683" w:rsidP="00FD5683">
            <w:pPr>
              <w:tabs>
                <w:tab w:val="left" w:pos="90"/>
              </w:tabs>
              <w:ind w:left="144" w:right="144"/>
              <w:jc w:val="both"/>
              <w:rPr>
                <w:sz w:val="22"/>
                <w:lang w:val="fr-FR"/>
              </w:rPr>
            </w:pPr>
            <w:r w:rsidRPr="00FD5683">
              <w:rPr>
                <w:sz w:val="22"/>
                <w:lang w:val="fr-FR"/>
              </w:rPr>
              <w:t>L’indice pour la gestion des risques (INFORM) établit le profil de risque de catastrophe de 191 pays à partir d’un ensemble de 50 indicateurs portant sur les facteurs de crise et de catastrophe. Les données recueillies pour chaque zone concernent notamment les risques d’origine naturelle et anthropique, la vulnérabilité des communautés exposées et la capacité d’adaptation des infrastructures et des institutions locales. Une méthodologie commune, rigoureuse et fondée sur les faits scientifiques, est utilisée. Elle peut être appliquée partout dans le monde et mise à jour par les organisations de manière collaborative, ce qui favorise la participation et la coordination plurisectorielles. L’indice INFORM est le premier outil de portée mondiale, objectif et transparent, à être utilisé pour étudier le risque de crise humanitaire et de catastrophe.</w:t>
            </w:r>
          </w:p>
          <w:p w14:paraId="75B3E9B9" w14:textId="77777777" w:rsidR="00FD5683" w:rsidRPr="00FD5683" w:rsidRDefault="00FD5683" w:rsidP="00FD5683">
            <w:pPr>
              <w:tabs>
                <w:tab w:val="left" w:pos="90"/>
              </w:tabs>
              <w:ind w:left="144" w:right="144"/>
              <w:jc w:val="both"/>
              <w:rPr>
                <w:sz w:val="22"/>
                <w:lang w:val="fr-FR"/>
              </w:rPr>
            </w:pPr>
          </w:p>
          <w:p w14:paraId="2C292B1E" w14:textId="19F7E4A2" w:rsidR="00FD5683" w:rsidRPr="00FD5683" w:rsidRDefault="00FD5683" w:rsidP="00FD5683">
            <w:pPr>
              <w:tabs>
                <w:tab w:val="left" w:pos="90"/>
              </w:tabs>
              <w:spacing w:after="240"/>
              <w:ind w:left="144" w:right="144"/>
              <w:jc w:val="both"/>
              <w:rPr>
                <w:sz w:val="22"/>
                <w:lang w:val="fr-FR"/>
              </w:rPr>
            </w:pPr>
            <w:r w:rsidRPr="00FD5683">
              <w:rPr>
                <w:sz w:val="22"/>
                <w:lang w:val="fr-FR"/>
              </w:rPr>
              <w:t>L’indice INFORM est le fruit d’une collaboration entre plusieurs organisations, notamment le FNUAP, le PNUD, ONU-Femmes, l’UNICEF et le PAM. Il est placé sous la direction de la Commission européenne et de l’équipe spéciale du Comité permanent interorganisations (CPI) pour la préparation aux situation d’urgence et la résilience.</w:t>
            </w:r>
          </w:p>
        </w:tc>
      </w:tr>
    </w:tbl>
    <w:p w14:paraId="612389EA" w14:textId="1BD32992" w:rsidR="00235AB0" w:rsidRDefault="00235AB0" w:rsidP="00235AB0">
      <w:pPr>
        <w:pStyle w:val="ListParagraph"/>
        <w:keepLines/>
        <w:tabs>
          <w:tab w:val="left" w:pos="540"/>
        </w:tabs>
        <w:spacing w:after="360"/>
        <w:ind w:left="0"/>
        <w:jc w:val="both"/>
        <w:rPr>
          <w:sz w:val="24"/>
          <w:szCs w:val="24"/>
          <w:lang w:val="fr-FR"/>
        </w:rPr>
      </w:pPr>
    </w:p>
    <w:p w14:paraId="7CAF8071" w14:textId="3D4DE661" w:rsidR="00CB086E" w:rsidRPr="00C81B5E" w:rsidRDefault="008B0F9B" w:rsidP="00521498">
      <w:pPr>
        <w:pStyle w:val="ListParagraph"/>
        <w:numPr>
          <w:ilvl w:val="0"/>
          <w:numId w:val="9"/>
        </w:numPr>
        <w:tabs>
          <w:tab w:val="left" w:pos="540"/>
        </w:tabs>
        <w:spacing w:before="360" w:after="240"/>
        <w:ind w:left="0" w:firstLine="0"/>
        <w:contextualSpacing w:val="0"/>
        <w:jc w:val="both"/>
        <w:rPr>
          <w:b/>
          <w:sz w:val="28"/>
          <w:szCs w:val="24"/>
        </w:rPr>
      </w:pPr>
      <w:r w:rsidRPr="00C81B5E">
        <w:rPr>
          <w:b/>
          <w:sz w:val="28"/>
          <w:szCs w:val="24"/>
        </w:rPr>
        <w:lastRenderedPageBreak/>
        <w:t>Collaboration à l</w:t>
      </w:r>
      <w:r w:rsidR="00AD08B8">
        <w:rPr>
          <w:b/>
          <w:sz w:val="28"/>
          <w:szCs w:val="24"/>
        </w:rPr>
        <w:t>’</w:t>
      </w:r>
      <w:r w:rsidRPr="00C81B5E">
        <w:rPr>
          <w:b/>
          <w:sz w:val="28"/>
          <w:szCs w:val="24"/>
        </w:rPr>
        <w:t>échelle nationale</w:t>
      </w:r>
    </w:p>
    <w:p w14:paraId="73DF6DFA" w14:textId="34A90DE5" w:rsidR="00CB086E" w:rsidRPr="007B5599" w:rsidRDefault="008B0F9B" w:rsidP="00E92952">
      <w:pPr>
        <w:spacing w:after="240"/>
        <w:rPr>
          <w:b/>
          <w:sz w:val="28"/>
          <w:szCs w:val="24"/>
          <w:lang w:val="fr-FR"/>
        </w:rPr>
      </w:pPr>
      <w:r w:rsidRPr="007B5599">
        <w:rPr>
          <w:b/>
          <w:sz w:val="28"/>
          <w:szCs w:val="24"/>
          <w:lang w:val="fr-FR"/>
        </w:rPr>
        <w:t xml:space="preserve">Planification collective par </w:t>
      </w:r>
      <w:r w:rsidR="00EC45B5">
        <w:rPr>
          <w:b/>
          <w:sz w:val="28"/>
          <w:szCs w:val="24"/>
          <w:lang w:val="fr-FR"/>
        </w:rPr>
        <w:t>l’</w:t>
      </w:r>
      <w:r w:rsidRPr="007B5599">
        <w:rPr>
          <w:b/>
          <w:sz w:val="28"/>
          <w:szCs w:val="24"/>
          <w:lang w:val="fr-FR"/>
        </w:rPr>
        <w:t>équipe de pays des Nations Unies</w:t>
      </w:r>
    </w:p>
    <w:p w14:paraId="5D8B04A2" w14:textId="2A60EE7E" w:rsidR="00923160" w:rsidRPr="007B5599" w:rsidRDefault="00923160" w:rsidP="00235AB0">
      <w:pPr>
        <w:pStyle w:val="ListParagraph"/>
        <w:numPr>
          <w:ilvl w:val="0"/>
          <w:numId w:val="12"/>
        </w:numPr>
        <w:tabs>
          <w:tab w:val="left" w:pos="540"/>
        </w:tabs>
        <w:spacing w:after="240"/>
        <w:ind w:left="0" w:firstLine="0"/>
        <w:contextualSpacing w:val="0"/>
        <w:jc w:val="both"/>
        <w:rPr>
          <w:sz w:val="24"/>
          <w:szCs w:val="24"/>
          <w:lang w:val="fr-FR"/>
        </w:rPr>
      </w:pPr>
      <w:r w:rsidRPr="002F5F26">
        <w:rPr>
          <w:sz w:val="24"/>
          <w:szCs w:val="24"/>
          <w:lang w:val="fr-FR"/>
        </w:rPr>
        <w:t>Dans l</w:t>
      </w:r>
      <w:r w:rsidR="00AD08B8" w:rsidRPr="002F5F26">
        <w:rPr>
          <w:sz w:val="24"/>
          <w:szCs w:val="24"/>
          <w:lang w:val="fr-FR"/>
        </w:rPr>
        <w:t>’</w:t>
      </w:r>
      <w:r w:rsidRPr="002F5F26">
        <w:rPr>
          <w:sz w:val="24"/>
          <w:szCs w:val="24"/>
          <w:lang w:val="fr-FR"/>
        </w:rPr>
        <w:t>examen quadriennal complet, l</w:t>
      </w:r>
      <w:r w:rsidR="00AD08B8" w:rsidRPr="002F5F26">
        <w:rPr>
          <w:sz w:val="24"/>
          <w:szCs w:val="24"/>
          <w:lang w:val="fr-FR"/>
        </w:rPr>
        <w:t>’</w:t>
      </w:r>
      <w:r w:rsidRPr="004B1892">
        <w:rPr>
          <w:sz w:val="24"/>
          <w:szCs w:val="24"/>
          <w:lang w:val="fr-FR"/>
        </w:rPr>
        <w:t>Assemblée générale</w:t>
      </w:r>
      <w:r w:rsidRPr="007B5599">
        <w:rPr>
          <w:sz w:val="24"/>
          <w:szCs w:val="24"/>
          <w:lang w:val="fr-FR"/>
        </w:rPr>
        <w:t xml:space="preserve"> demande aux équipes de pays de revoir et d</w:t>
      </w:r>
      <w:r w:rsidR="00AD08B8" w:rsidRPr="007B5599">
        <w:rPr>
          <w:sz w:val="24"/>
          <w:szCs w:val="24"/>
          <w:lang w:val="fr-FR"/>
        </w:rPr>
        <w:t>’</w:t>
      </w:r>
      <w:r w:rsidRPr="007B5599">
        <w:rPr>
          <w:sz w:val="24"/>
          <w:szCs w:val="24"/>
          <w:lang w:val="fr-FR"/>
        </w:rPr>
        <w:t>améliorer l</w:t>
      </w:r>
      <w:r w:rsidR="00AD08B8" w:rsidRPr="007B5599">
        <w:rPr>
          <w:sz w:val="24"/>
          <w:szCs w:val="24"/>
          <w:lang w:val="fr-FR"/>
        </w:rPr>
        <w:t>’</w:t>
      </w:r>
      <w:r w:rsidRPr="007B5599">
        <w:rPr>
          <w:sz w:val="24"/>
          <w:szCs w:val="24"/>
          <w:lang w:val="fr-FR"/>
        </w:rPr>
        <w:t>utilisation des PNUAD. Les fonds et les programmes sont tenus de simplifier les PNUAD, par l</w:t>
      </w:r>
      <w:r w:rsidR="00AD08B8" w:rsidRPr="007B5599">
        <w:rPr>
          <w:sz w:val="24"/>
          <w:szCs w:val="24"/>
          <w:lang w:val="fr-FR"/>
        </w:rPr>
        <w:t>’</w:t>
      </w:r>
      <w:r w:rsidRPr="007B5599">
        <w:rPr>
          <w:sz w:val="24"/>
          <w:szCs w:val="24"/>
          <w:lang w:val="fr-FR"/>
        </w:rPr>
        <w:t xml:space="preserve">intermédiaire </w:t>
      </w:r>
      <w:r w:rsidRPr="008B3DFA">
        <w:rPr>
          <w:sz w:val="24"/>
          <w:szCs w:val="24"/>
          <w:lang w:val="fr-FR"/>
        </w:rPr>
        <w:t>du</w:t>
      </w:r>
      <w:r w:rsidRPr="007B5599">
        <w:rPr>
          <w:sz w:val="24"/>
          <w:szCs w:val="24"/>
          <w:lang w:val="fr-FR"/>
        </w:rPr>
        <w:t xml:space="preserve"> GNUD, afin qu</w:t>
      </w:r>
      <w:r w:rsidR="00AD08B8" w:rsidRPr="007B5599">
        <w:rPr>
          <w:sz w:val="24"/>
          <w:szCs w:val="24"/>
          <w:lang w:val="fr-FR"/>
        </w:rPr>
        <w:t>’</w:t>
      </w:r>
      <w:r w:rsidRPr="007B5599">
        <w:rPr>
          <w:sz w:val="24"/>
          <w:szCs w:val="24"/>
          <w:lang w:val="fr-FR"/>
        </w:rPr>
        <w:t>ils soient plus stratégiques et axés sur les résultats. L</w:t>
      </w:r>
      <w:r w:rsidR="00AD08B8" w:rsidRPr="007B5599">
        <w:rPr>
          <w:sz w:val="24"/>
          <w:szCs w:val="24"/>
          <w:lang w:val="fr-FR"/>
        </w:rPr>
        <w:t>’</w:t>
      </w:r>
      <w:r w:rsidRPr="007B5599">
        <w:rPr>
          <w:sz w:val="24"/>
          <w:szCs w:val="24"/>
          <w:lang w:val="fr-FR"/>
        </w:rPr>
        <w:t>objectif est de faire converger les savoirs collectifs, les mandats, les qualités fédératrices et l</w:t>
      </w:r>
      <w:r w:rsidR="00AD08B8" w:rsidRPr="007B5599">
        <w:rPr>
          <w:sz w:val="24"/>
          <w:szCs w:val="24"/>
          <w:lang w:val="fr-FR"/>
        </w:rPr>
        <w:t>’</w:t>
      </w:r>
      <w:r w:rsidRPr="007B5599">
        <w:rPr>
          <w:sz w:val="24"/>
          <w:szCs w:val="24"/>
          <w:lang w:val="fr-FR"/>
        </w:rPr>
        <w:t>expertise des équipes de pays, de manière à favoriser des résultats interconnectés</w:t>
      </w:r>
      <w:r w:rsidR="005B7D6A" w:rsidRPr="007B5599">
        <w:rPr>
          <w:sz w:val="24"/>
          <w:szCs w:val="24"/>
          <w:lang w:val="fr-FR"/>
        </w:rPr>
        <w:t>,</w:t>
      </w:r>
      <w:r w:rsidRPr="007B5599">
        <w:rPr>
          <w:sz w:val="24"/>
          <w:szCs w:val="24"/>
          <w:lang w:val="fr-FR"/>
        </w:rPr>
        <w:t xml:space="preserve"> qui </w:t>
      </w:r>
      <w:r w:rsidR="005B7D6A" w:rsidRPr="007B5599">
        <w:rPr>
          <w:sz w:val="24"/>
          <w:szCs w:val="24"/>
          <w:lang w:val="fr-FR"/>
        </w:rPr>
        <w:t xml:space="preserve">aient un véritable impact et </w:t>
      </w:r>
      <w:r w:rsidRPr="007B5599">
        <w:rPr>
          <w:sz w:val="24"/>
          <w:szCs w:val="24"/>
          <w:lang w:val="fr-FR"/>
        </w:rPr>
        <w:t>soient la propriété du pays. Les PNUAD fondés sur ce nouveau modèle seront entièrement conformes aux stratégies et plans nationaux. Ils serviront à orienter les descriptifs de programme de pays</w:t>
      </w:r>
      <w:r w:rsidR="00F25CEF">
        <w:rPr>
          <w:sz w:val="24"/>
          <w:szCs w:val="24"/>
          <w:lang w:val="fr-FR"/>
        </w:rPr>
        <w:t xml:space="preserve"> propres à une entité</w:t>
      </w:r>
      <w:r w:rsidRPr="007B5599">
        <w:rPr>
          <w:sz w:val="24"/>
          <w:szCs w:val="24"/>
          <w:lang w:val="fr-FR"/>
        </w:rPr>
        <w:t>, selon une logique de résultats clairement définie.</w:t>
      </w:r>
    </w:p>
    <w:p w14:paraId="0B869014" w14:textId="31A8ADBA" w:rsidR="00CB086E" w:rsidRPr="007B5599" w:rsidRDefault="005B2A6D" w:rsidP="00235AB0">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En février</w:t>
      </w:r>
      <w:r w:rsidR="00F25CEF">
        <w:rPr>
          <w:sz w:val="24"/>
          <w:szCs w:val="24"/>
          <w:lang w:val="fr-FR"/>
        </w:rPr>
        <w:t> </w:t>
      </w:r>
      <w:r w:rsidRPr="007B5599">
        <w:rPr>
          <w:sz w:val="24"/>
          <w:szCs w:val="24"/>
          <w:lang w:val="fr-FR"/>
        </w:rPr>
        <w:t>2017, le GNUD a adop</w:t>
      </w:r>
      <w:r w:rsidR="00BD0884" w:rsidRPr="007B5599">
        <w:rPr>
          <w:sz w:val="24"/>
          <w:szCs w:val="24"/>
          <w:lang w:val="fr-FR"/>
        </w:rPr>
        <w:t>té d</w:t>
      </w:r>
      <w:r w:rsidR="00284AFD" w:rsidRPr="007B5599">
        <w:rPr>
          <w:sz w:val="24"/>
          <w:szCs w:val="24"/>
          <w:lang w:val="fr-FR"/>
        </w:rPr>
        <w:t xml:space="preserve">es orientations destinées aux </w:t>
      </w:r>
      <w:r w:rsidRPr="007B5599">
        <w:rPr>
          <w:sz w:val="24"/>
          <w:szCs w:val="24"/>
          <w:lang w:val="fr-FR"/>
        </w:rPr>
        <w:t xml:space="preserve">PNUAD </w:t>
      </w:r>
      <w:r w:rsidR="00CD1BCE" w:rsidRPr="007B5599">
        <w:rPr>
          <w:sz w:val="24"/>
          <w:szCs w:val="24"/>
          <w:lang w:val="fr-FR"/>
        </w:rPr>
        <w:t>fondés</w:t>
      </w:r>
      <w:r w:rsidR="00284AFD" w:rsidRPr="007B5599">
        <w:rPr>
          <w:sz w:val="24"/>
          <w:szCs w:val="24"/>
          <w:lang w:val="fr-FR"/>
        </w:rPr>
        <w:t xml:space="preserve"> </w:t>
      </w:r>
      <w:r w:rsidRPr="007B5599">
        <w:rPr>
          <w:sz w:val="24"/>
          <w:szCs w:val="24"/>
          <w:lang w:val="fr-FR"/>
        </w:rPr>
        <w:t>sur le modèle révisé. L</w:t>
      </w:r>
      <w:r w:rsidR="00AD08B8" w:rsidRPr="007B5599">
        <w:rPr>
          <w:sz w:val="24"/>
          <w:szCs w:val="24"/>
          <w:lang w:val="fr-FR"/>
        </w:rPr>
        <w:t>’</w:t>
      </w:r>
      <w:r w:rsidR="00BD0884" w:rsidRPr="007B5599">
        <w:rPr>
          <w:sz w:val="24"/>
          <w:szCs w:val="24"/>
          <w:lang w:val="fr-FR"/>
        </w:rPr>
        <w:t>approche retenue en matière d</w:t>
      </w:r>
      <w:r w:rsidR="00AD08B8" w:rsidRPr="007B5599">
        <w:rPr>
          <w:sz w:val="24"/>
          <w:szCs w:val="24"/>
          <w:lang w:val="fr-FR"/>
        </w:rPr>
        <w:t>’</w:t>
      </w:r>
      <w:r w:rsidRPr="007B5599">
        <w:rPr>
          <w:sz w:val="24"/>
          <w:szCs w:val="24"/>
          <w:lang w:val="fr-FR"/>
        </w:rPr>
        <w:t xml:space="preserve">analyse, </w:t>
      </w:r>
      <w:r w:rsidR="00BD0884" w:rsidRPr="007B5599">
        <w:rPr>
          <w:sz w:val="24"/>
          <w:szCs w:val="24"/>
          <w:lang w:val="fr-FR"/>
        </w:rPr>
        <w:t xml:space="preserve">de </w:t>
      </w:r>
      <w:r w:rsidRPr="007B5599">
        <w:rPr>
          <w:sz w:val="24"/>
          <w:szCs w:val="24"/>
          <w:lang w:val="fr-FR"/>
        </w:rPr>
        <w:t xml:space="preserve">planification et </w:t>
      </w:r>
      <w:r w:rsidR="00BD0884" w:rsidRPr="007B5599">
        <w:rPr>
          <w:sz w:val="24"/>
          <w:szCs w:val="24"/>
          <w:lang w:val="fr-FR"/>
        </w:rPr>
        <w:t xml:space="preserve">de </w:t>
      </w:r>
      <w:r w:rsidR="00B83FFB" w:rsidRPr="007B5599">
        <w:rPr>
          <w:sz w:val="24"/>
          <w:szCs w:val="24"/>
          <w:lang w:val="fr-FR"/>
        </w:rPr>
        <w:t>programmation intégrées est sensiblement</w:t>
      </w:r>
      <w:r w:rsidRPr="007B5599">
        <w:rPr>
          <w:sz w:val="24"/>
          <w:szCs w:val="24"/>
          <w:lang w:val="fr-FR"/>
        </w:rPr>
        <w:t xml:space="preserve"> différente. Dix-huit équipes de pays ont entamé la procédure de renouvellement en 2017</w:t>
      </w:r>
      <w:r w:rsidR="001D3409">
        <w:rPr>
          <w:sz w:val="24"/>
          <w:szCs w:val="24"/>
          <w:lang w:val="fr-FR"/>
        </w:rPr>
        <w:t> </w:t>
      </w:r>
      <w:r w:rsidRPr="007B5599">
        <w:rPr>
          <w:sz w:val="24"/>
          <w:szCs w:val="24"/>
          <w:lang w:val="fr-FR"/>
        </w:rPr>
        <w:t xml:space="preserve">; elles seront les premières à mettre au point </w:t>
      </w:r>
      <w:r w:rsidR="009F1531">
        <w:rPr>
          <w:sz w:val="24"/>
          <w:szCs w:val="24"/>
          <w:lang w:val="fr-FR"/>
        </w:rPr>
        <w:t>une nouvelle génération de</w:t>
      </w:r>
      <w:r w:rsidR="009F1531" w:rsidRPr="007B5599">
        <w:rPr>
          <w:sz w:val="24"/>
          <w:szCs w:val="24"/>
          <w:lang w:val="fr-FR"/>
        </w:rPr>
        <w:t xml:space="preserve"> </w:t>
      </w:r>
      <w:r w:rsidRPr="007B5599">
        <w:rPr>
          <w:sz w:val="24"/>
          <w:szCs w:val="24"/>
          <w:lang w:val="fr-FR"/>
        </w:rPr>
        <w:t>PNUAD stratégiques fondés sur des critères minimums innovants</w:t>
      </w:r>
      <w:r w:rsidR="00BD0884" w:rsidRPr="007B5599">
        <w:rPr>
          <w:sz w:val="24"/>
          <w:szCs w:val="24"/>
          <w:lang w:val="fr-FR"/>
        </w:rPr>
        <w:t>,</w:t>
      </w:r>
      <w:r w:rsidRPr="007B5599">
        <w:rPr>
          <w:sz w:val="24"/>
          <w:szCs w:val="24"/>
          <w:lang w:val="fr-FR"/>
        </w:rPr>
        <w:t xml:space="preserve"> en appui au</w:t>
      </w:r>
      <w:r w:rsidR="00AD08B8" w:rsidRPr="007B5599">
        <w:rPr>
          <w:sz w:val="24"/>
          <w:szCs w:val="24"/>
          <w:lang w:val="fr-FR"/>
        </w:rPr>
        <w:t xml:space="preserve">x </w:t>
      </w:r>
      <w:r w:rsidRPr="007B5599">
        <w:rPr>
          <w:sz w:val="24"/>
          <w:szCs w:val="24"/>
          <w:lang w:val="fr-FR"/>
        </w:rPr>
        <w:t>objectifs du Programme de développement durable à l</w:t>
      </w:r>
      <w:r w:rsidR="00AD08B8" w:rsidRPr="007B5599">
        <w:rPr>
          <w:sz w:val="24"/>
          <w:szCs w:val="24"/>
          <w:lang w:val="fr-FR"/>
        </w:rPr>
        <w:t>’</w:t>
      </w:r>
      <w:r w:rsidRPr="007B5599">
        <w:rPr>
          <w:sz w:val="24"/>
          <w:szCs w:val="24"/>
          <w:lang w:val="fr-FR"/>
        </w:rPr>
        <w:t>horizon</w:t>
      </w:r>
      <w:r w:rsidR="00AD08B8" w:rsidRPr="007B5599">
        <w:rPr>
          <w:sz w:val="24"/>
          <w:szCs w:val="24"/>
          <w:lang w:val="fr-FR"/>
        </w:rPr>
        <w:t> </w:t>
      </w:r>
      <w:r w:rsidRPr="007B5599">
        <w:rPr>
          <w:sz w:val="24"/>
          <w:szCs w:val="24"/>
          <w:lang w:val="fr-FR"/>
        </w:rPr>
        <w:t>2030.</w:t>
      </w:r>
    </w:p>
    <w:p w14:paraId="19DB3DB7" w14:textId="5BE5CB61" w:rsidR="005126DB" w:rsidRDefault="0042616E" w:rsidP="00235AB0">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Les PNUAD devront se fonder sur des analyses circonstanciées des risques et des dangers, afin que le système puisse s</w:t>
      </w:r>
      <w:r w:rsidR="00AD08B8" w:rsidRPr="007B5599">
        <w:rPr>
          <w:sz w:val="24"/>
          <w:szCs w:val="24"/>
          <w:lang w:val="fr-FR"/>
        </w:rPr>
        <w:t>’</w:t>
      </w:r>
      <w:r w:rsidRPr="007B5599">
        <w:rPr>
          <w:sz w:val="24"/>
          <w:szCs w:val="24"/>
          <w:lang w:val="fr-FR"/>
        </w:rPr>
        <w:t>investir plus efficacement en faveur de la résilience, de la lutte contre le changement climatique, de la réduction des risques et de la prévention des crises. De nouvelles approches seront mises à l</w:t>
      </w:r>
      <w:r w:rsidR="00AD08B8" w:rsidRPr="007B5599">
        <w:rPr>
          <w:sz w:val="24"/>
          <w:szCs w:val="24"/>
          <w:lang w:val="fr-FR"/>
        </w:rPr>
        <w:t>’</w:t>
      </w:r>
      <w:r w:rsidRPr="007B5599">
        <w:rPr>
          <w:sz w:val="24"/>
          <w:szCs w:val="24"/>
          <w:lang w:val="fr-FR"/>
        </w:rPr>
        <w:t>essai par les équipes de pays : elles seront conformes aux recommandation</w:t>
      </w:r>
      <w:r w:rsidR="00AD08B8" w:rsidRPr="007B5599">
        <w:rPr>
          <w:sz w:val="24"/>
          <w:szCs w:val="24"/>
          <w:lang w:val="fr-FR"/>
        </w:rPr>
        <w:t xml:space="preserve">s </w:t>
      </w:r>
      <w:r w:rsidRPr="007B5599">
        <w:rPr>
          <w:sz w:val="24"/>
          <w:szCs w:val="24"/>
          <w:lang w:val="fr-FR"/>
        </w:rPr>
        <w:t>de l</w:t>
      </w:r>
      <w:r w:rsidR="00AD08B8" w:rsidRPr="007B5599">
        <w:rPr>
          <w:sz w:val="24"/>
          <w:szCs w:val="24"/>
          <w:lang w:val="fr-FR"/>
        </w:rPr>
        <w:t>’</w:t>
      </w:r>
      <w:r w:rsidRPr="007B5599">
        <w:rPr>
          <w:sz w:val="24"/>
          <w:szCs w:val="24"/>
          <w:lang w:val="fr-FR"/>
        </w:rPr>
        <w:t xml:space="preserve">examen quadriennal complet et privilégieront la mobilisation de parties prenantes </w:t>
      </w:r>
      <w:r w:rsidR="00960304" w:rsidRPr="007B5599">
        <w:rPr>
          <w:sz w:val="24"/>
          <w:szCs w:val="24"/>
          <w:lang w:val="fr-FR"/>
        </w:rPr>
        <w:t xml:space="preserve">multiples et </w:t>
      </w:r>
      <w:r w:rsidRPr="007B5599">
        <w:rPr>
          <w:sz w:val="24"/>
          <w:szCs w:val="24"/>
          <w:lang w:val="fr-FR"/>
        </w:rPr>
        <w:t>les analyses des risques conjointes, l</w:t>
      </w:r>
      <w:r w:rsidR="00AD08B8" w:rsidRPr="007B5599">
        <w:rPr>
          <w:sz w:val="24"/>
          <w:szCs w:val="24"/>
          <w:lang w:val="fr-FR"/>
        </w:rPr>
        <w:t>’</w:t>
      </w:r>
      <w:r w:rsidRPr="007B5599">
        <w:rPr>
          <w:sz w:val="24"/>
          <w:szCs w:val="24"/>
          <w:lang w:val="fr-FR"/>
        </w:rPr>
        <w:t>évaluation des besoins et les interventions concrètes. L</w:t>
      </w:r>
      <w:r w:rsidR="00AD08B8" w:rsidRPr="007B5599">
        <w:rPr>
          <w:sz w:val="24"/>
          <w:szCs w:val="24"/>
          <w:lang w:val="fr-FR"/>
        </w:rPr>
        <w:t>’</w:t>
      </w:r>
      <w:r w:rsidRPr="007B5599">
        <w:rPr>
          <w:sz w:val="24"/>
          <w:szCs w:val="24"/>
          <w:lang w:val="fr-FR"/>
        </w:rPr>
        <w:t>objectif est de resserrer les liens entre le développement, les interventions humanitaires, les droits de l</w:t>
      </w:r>
      <w:r w:rsidR="00AD08B8" w:rsidRPr="007B5599">
        <w:rPr>
          <w:sz w:val="24"/>
          <w:szCs w:val="24"/>
          <w:lang w:val="fr-FR"/>
        </w:rPr>
        <w:t>’</w:t>
      </w:r>
      <w:r w:rsidRPr="007B5599">
        <w:rPr>
          <w:sz w:val="24"/>
          <w:szCs w:val="24"/>
          <w:lang w:val="fr-FR"/>
        </w:rPr>
        <w:t>homme et la pérennisation de la paix, et, de manière générale, de contribuer à la vision globale axée sur la prévention, la résilience et la durabilité à long terme, dans un esprit d</w:t>
      </w:r>
      <w:r w:rsidR="00AD08B8" w:rsidRPr="007B5599">
        <w:rPr>
          <w:sz w:val="24"/>
          <w:szCs w:val="24"/>
          <w:lang w:val="fr-FR"/>
        </w:rPr>
        <w:t>’</w:t>
      </w:r>
      <w:r w:rsidRPr="007B5599">
        <w:rPr>
          <w:sz w:val="24"/>
          <w:szCs w:val="24"/>
          <w:lang w:val="fr-FR"/>
        </w:rPr>
        <w:t>inclusion.</w:t>
      </w:r>
    </w:p>
    <w:tbl>
      <w:tblPr>
        <w:tblStyle w:val="TableGrid"/>
        <w:tblW w:w="0" w:type="auto"/>
        <w:tblInd w:w="108" w:type="dxa"/>
        <w:tblLook w:val="04A0" w:firstRow="1" w:lastRow="0" w:firstColumn="1" w:lastColumn="0" w:noHBand="0" w:noVBand="1"/>
      </w:tblPr>
      <w:tblGrid>
        <w:gridCol w:w="9630"/>
      </w:tblGrid>
      <w:tr w:rsidR="00FD5683" w:rsidRPr="00A3517C" w14:paraId="48A0B5AC" w14:textId="77777777" w:rsidTr="005B0EB0">
        <w:tc>
          <w:tcPr>
            <w:tcW w:w="9630" w:type="dxa"/>
          </w:tcPr>
          <w:p w14:paraId="63338B77" w14:textId="77777777" w:rsidR="00FD5683" w:rsidRPr="007B5599" w:rsidRDefault="00FD5683" w:rsidP="00FD5683">
            <w:pPr>
              <w:spacing w:before="120" w:after="240"/>
              <w:ind w:left="144" w:right="144"/>
              <w:jc w:val="both"/>
              <w:rPr>
                <w:b/>
                <w:sz w:val="22"/>
                <w:szCs w:val="22"/>
                <w:lang w:val="fr-FR"/>
              </w:rPr>
            </w:pPr>
            <w:r w:rsidRPr="007B5599">
              <w:rPr>
                <w:b/>
                <w:sz w:val="22"/>
                <w:szCs w:val="22"/>
                <w:lang w:val="fr-FR"/>
              </w:rPr>
              <w:t>Étude de cas : PNUAD des Philippines</w:t>
            </w:r>
          </w:p>
          <w:p w14:paraId="4B7A3051" w14:textId="77777777" w:rsidR="00FD5683" w:rsidRPr="007B5599" w:rsidRDefault="00FD5683" w:rsidP="00FD5683">
            <w:pPr>
              <w:spacing w:after="240"/>
              <w:ind w:left="144" w:right="144"/>
              <w:jc w:val="both"/>
              <w:rPr>
                <w:sz w:val="22"/>
                <w:szCs w:val="22"/>
                <w:lang w:val="fr-FR"/>
              </w:rPr>
            </w:pPr>
            <w:r w:rsidRPr="007B5599">
              <w:rPr>
                <w:sz w:val="22"/>
                <w:szCs w:val="22"/>
                <w:lang w:val="fr-FR"/>
              </w:rPr>
              <w:t>Le PNUAD des Philippines pour la période 2012-2018 s’articule autour d’un objectif unique, inscrit dans un cadre multirisque coordonné : «</w:t>
            </w:r>
            <w:r>
              <w:rPr>
                <w:sz w:val="22"/>
                <w:szCs w:val="22"/>
                <w:lang w:val="fr-FR"/>
              </w:rPr>
              <w:t> </w:t>
            </w:r>
            <w:r w:rsidRPr="007B5599">
              <w:rPr>
                <w:sz w:val="22"/>
                <w:szCs w:val="22"/>
                <w:lang w:val="fr-FR"/>
              </w:rPr>
              <w:t>Résilience face aux catastrophes et au changement climatique : les capacités d’adaptation des communautés et des écosystèmes vulnérables devront être renforcées, dans une optique de résilience face aux menaces, aux chocs, aux catastrophes et au changement climatique.</w:t>
            </w:r>
            <w:r>
              <w:rPr>
                <w:sz w:val="22"/>
                <w:szCs w:val="22"/>
                <w:lang w:val="fr-FR"/>
              </w:rPr>
              <w:t> </w:t>
            </w:r>
            <w:r w:rsidRPr="007B5599">
              <w:rPr>
                <w:sz w:val="22"/>
                <w:szCs w:val="22"/>
                <w:lang w:val="fr-FR"/>
              </w:rPr>
              <w:t>»</w:t>
            </w:r>
          </w:p>
          <w:p w14:paraId="6AA7F64C" w14:textId="77EFDA6F" w:rsidR="00FD5683" w:rsidRPr="00FD5683" w:rsidRDefault="00FD5683" w:rsidP="00FD5683">
            <w:pPr>
              <w:spacing w:after="240"/>
              <w:ind w:left="144" w:right="144"/>
              <w:jc w:val="both"/>
              <w:rPr>
                <w:sz w:val="22"/>
                <w:szCs w:val="22"/>
                <w:lang w:val="fr-FR"/>
              </w:rPr>
            </w:pPr>
            <w:r w:rsidRPr="007B5599">
              <w:rPr>
                <w:sz w:val="22"/>
                <w:szCs w:val="22"/>
                <w:lang w:val="fr-FR"/>
              </w:rPr>
              <w:t xml:space="preserve">Le cahier des charges établi en vue de la préparation </w:t>
            </w:r>
            <w:r>
              <w:rPr>
                <w:sz w:val="22"/>
                <w:szCs w:val="22"/>
                <w:lang w:val="fr-FR"/>
              </w:rPr>
              <w:t>du nouveau bilan commun de pays</w:t>
            </w:r>
            <w:r w:rsidRPr="007B5599">
              <w:rPr>
                <w:sz w:val="22"/>
                <w:szCs w:val="22"/>
                <w:lang w:val="fr-FR"/>
              </w:rPr>
              <w:t xml:space="preserve"> — </w:t>
            </w:r>
            <w:r>
              <w:rPr>
                <w:sz w:val="22"/>
                <w:szCs w:val="22"/>
                <w:lang w:val="fr-FR"/>
              </w:rPr>
              <w:t>duquel</w:t>
            </w:r>
            <w:r w:rsidRPr="007B5599">
              <w:rPr>
                <w:sz w:val="22"/>
                <w:szCs w:val="22"/>
                <w:lang w:val="fr-FR"/>
              </w:rPr>
              <w:t xml:space="preserve"> dépendra le PNUAD 2019-2023 — est continuellement et explicitement axé sur la multiplicité des chocs. L’évaluation analysera les principaux facteurs risquant d’entraver la réalisation du Programme de développement durable à l’horizon 2030, notamment les effets du changement climatique, de la dégradation de l’environnement, des épidémies, des catastrophes et des autres phénomènes dangereux. Elle recensera également les mécanismes et les capacités existantes de gestion de ces risques multiples. Enfin, elle repérera les causes profondes des conflits, les éventuels déclencheurs et leurs signes annonciateurs supposés.</w:t>
            </w:r>
          </w:p>
        </w:tc>
      </w:tr>
    </w:tbl>
    <w:p w14:paraId="14E3F78D" w14:textId="77777777" w:rsidR="00FD5683" w:rsidRDefault="00FD5683" w:rsidP="00FD5683">
      <w:pPr>
        <w:pStyle w:val="ListParagraph"/>
        <w:tabs>
          <w:tab w:val="left" w:pos="540"/>
        </w:tabs>
        <w:spacing w:after="240"/>
        <w:ind w:left="0"/>
        <w:contextualSpacing w:val="0"/>
        <w:jc w:val="both"/>
        <w:rPr>
          <w:sz w:val="24"/>
          <w:szCs w:val="24"/>
          <w:lang w:val="fr-FR"/>
        </w:rPr>
      </w:pPr>
    </w:p>
    <w:p w14:paraId="1A9EA443" w14:textId="77777777" w:rsidR="0004515E" w:rsidRPr="007B5599" w:rsidRDefault="0004515E" w:rsidP="005B0EB0">
      <w:pPr>
        <w:spacing w:after="240"/>
        <w:rPr>
          <w:b/>
          <w:sz w:val="28"/>
          <w:szCs w:val="24"/>
          <w:lang w:val="fr-FR"/>
        </w:rPr>
      </w:pPr>
      <w:r w:rsidRPr="007B5599">
        <w:rPr>
          <w:b/>
          <w:sz w:val="28"/>
          <w:szCs w:val="24"/>
          <w:lang w:val="fr-FR"/>
        </w:rPr>
        <w:lastRenderedPageBreak/>
        <w:t>Une programmation conjointe pour des résultats intégrés</w:t>
      </w:r>
    </w:p>
    <w:p w14:paraId="06A74437" w14:textId="77777777" w:rsidR="00E92952" w:rsidRDefault="00447C54" w:rsidP="00E92952">
      <w:pPr>
        <w:pStyle w:val="ListParagraph"/>
        <w:keepLines/>
        <w:numPr>
          <w:ilvl w:val="0"/>
          <w:numId w:val="12"/>
        </w:numPr>
        <w:tabs>
          <w:tab w:val="left" w:pos="90"/>
          <w:tab w:val="left" w:pos="540"/>
          <w:tab w:val="left" w:pos="900"/>
        </w:tabs>
        <w:spacing w:after="240"/>
        <w:ind w:left="0" w:firstLine="0"/>
        <w:contextualSpacing w:val="0"/>
        <w:jc w:val="both"/>
        <w:rPr>
          <w:sz w:val="24"/>
          <w:szCs w:val="24"/>
          <w:lang w:val="fr-FR"/>
        </w:rPr>
      </w:pPr>
      <w:r w:rsidRPr="00E92952">
        <w:rPr>
          <w:sz w:val="24"/>
          <w:szCs w:val="24"/>
          <w:lang w:val="fr-FR"/>
        </w:rPr>
        <w:t xml:space="preserve">Dans le cadre de la mise en œuvre du nouvel examen quadriennal complet, les organismes, les fonds et les programmes devront </w:t>
      </w:r>
      <w:r w:rsidR="002219FA" w:rsidRPr="00E92952">
        <w:rPr>
          <w:sz w:val="24"/>
          <w:szCs w:val="24"/>
          <w:lang w:val="fr-FR"/>
        </w:rPr>
        <w:t>s</w:t>
      </w:r>
      <w:r w:rsidR="007A14D6" w:rsidRPr="00E92952">
        <w:rPr>
          <w:sz w:val="24"/>
          <w:szCs w:val="24"/>
          <w:lang w:val="fr-FR"/>
        </w:rPr>
        <w:t>’</w:t>
      </w:r>
      <w:r w:rsidR="002219FA" w:rsidRPr="00E92952">
        <w:rPr>
          <w:sz w:val="24"/>
          <w:szCs w:val="24"/>
          <w:lang w:val="fr-FR"/>
        </w:rPr>
        <w:t>associer</w:t>
      </w:r>
      <w:r w:rsidRPr="00E92952">
        <w:rPr>
          <w:sz w:val="24"/>
          <w:szCs w:val="24"/>
          <w:lang w:val="fr-FR"/>
        </w:rPr>
        <w:t xml:space="preserve"> au niveau régional et national </w:t>
      </w:r>
      <w:r w:rsidR="002219FA" w:rsidRPr="00E92952">
        <w:rPr>
          <w:sz w:val="24"/>
          <w:szCs w:val="24"/>
          <w:lang w:val="fr-FR"/>
        </w:rPr>
        <w:t xml:space="preserve">et </w:t>
      </w:r>
      <w:r w:rsidRPr="00E92952">
        <w:rPr>
          <w:sz w:val="24"/>
          <w:szCs w:val="24"/>
          <w:lang w:val="fr-FR"/>
        </w:rPr>
        <w:t>mettre au point des approches de programmation conjointes, en vue d</w:t>
      </w:r>
      <w:r w:rsidR="00AD08B8" w:rsidRPr="00E92952">
        <w:rPr>
          <w:sz w:val="24"/>
          <w:szCs w:val="24"/>
          <w:lang w:val="fr-FR"/>
        </w:rPr>
        <w:t>’</w:t>
      </w:r>
      <w:r w:rsidRPr="00E92952">
        <w:rPr>
          <w:sz w:val="24"/>
          <w:szCs w:val="24"/>
          <w:lang w:val="fr-FR"/>
        </w:rPr>
        <w:t>atteindre certains objectifs spécifiques communs aux différents secteurs et mandats institutionnels. Des initiatives de qualité ont vu le jour, portées par deux ou plusieurs entités des Nations Unies, ou par un collectif réunissant les membres d</w:t>
      </w:r>
      <w:r w:rsidR="00AD08B8" w:rsidRPr="00E92952">
        <w:rPr>
          <w:sz w:val="24"/>
          <w:szCs w:val="24"/>
          <w:lang w:val="fr-FR"/>
        </w:rPr>
        <w:t>’</w:t>
      </w:r>
      <w:r w:rsidRPr="00E92952">
        <w:rPr>
          <w:sz w:val="24"/>
          <w:szCs w:val="24"/>
          <w:lang w:val="fr-FR"/>
        </w:rPr>
        <w:t>une équipe de pays ou d</w:t>
      </w:r>
      <w:r w:rsidR="00AD08B8" w:rsidRPr="00E92952">
        <w:rPr>
          <w:sz w:val="24"/>
          <w:szCs w:val="24"/>
          <w:lang w:val="fr-FR"/>
        </w:rPr>
        <w:t>’</w:t>
      </w:r>
      <w:r w:rsidRPr="00E92952">
        <w:rPr>
          <w:sz w:val="24"/>
          <w:szCs w:val="24"/>
          <w:lang w:val="fr-FR"/>
        </w:rPr>
        <w:t>un GNUD régional. Ces initiatives valorisent les forces comparatives de chaque entité partenaire et s</w:t>
      </w:r>
      <w:r w:rsidR="00AD08B8" w:rsidRPr="00E92952">
        <w:rPr>
          <w:sz w:val="24"/>
          <w:szCs w:val="24"/>
          <w:lang w:val="fr-FR"/>
        </w:rPr>
        <w:t>’</w:t>
      </w:r>
      <w:r w:rsidRPr="00E92952">
        <w:rPr>
          <w:sz w:val="24"/>
          <w:szCs w:val="24"/>
          <w:lang w:val="fr-FR"/>
        </w:rPr>
        <w:t>efforcent de mieux coordonner et exploiter les avantages mutuels de son action individuelle et collective. Ces modèles de planification et de programmation conjointes peuvent être davantage approfondis et renforcés, notamment en ce</w:t>
      </w:r>
      <w:r w:rsidR="00AF5E07" w:rsidRPr="00E92952">
        <w:rPr>
          <w:sz w:val="24"/>
          <w:szCs w:val="24"/>
          <w:lang w:val="fr-FR"/>
        </w:rPr>
        <w:t xml:space="preserve"> qui concerne la résilience et le</w:t>
      </w:r>
      <w:r w:rsidRPr="00E92952">
        <w:rPr>
          <w:sz w:val="24"/>
          <w:szCs w:val="24"/>
          <w:lang w:val="fr-FR"/>
        </w:rPr>
        <w:t xml:space="preserve"> changement climatique, particulièrement stratégiques si l</w:t>
      </w:r>
      <w:r w:rsidR="00AD08B8" w:rsidRPr="00E92952">
        <w:rPr>
          <w:sz w:val="24"/>
          <w:szCs w:val="24"/>
          <w:lang w:val="fr-FR"/>
        </w:rPr>
        <w:t>’</w:t>
      </w:r>
      <w:r w:rsidRPr="00E92952">
        <w:rPr>
          <w:sz w:val="24"/>
          <w:szCs w:val="24"/>
          <w:lang w:val="fr-FR"/>
        </w:rPr>
        <w:t xml:space="preserve">on considère les avantages </w:t>
      </w:r>
      <w:r w:rsidR="00AF5E07" w:rsidRPr="00E92952">
        <w:rPr>
          <w:sz w:val="24"/>
          <w:szCs w:val="24"/>
          <w:lang w:val="fr-FR"/>
        </w:rPr>
        <w:t xml:space="preserve">de </w:t>
      </w:r>
      <w:r w:rsidRPr="00E92952">
        <w:rPr>
          <w:sz w:val="24"/>
          <w:szCs w:val="24"/>
          <w:lang w:val="fr-FR"/>
        </w:rPr>
        <w:t>la collaboration dans ces deux domaines.</w:t>
      </w:r>
    </w:p>
    <w:p w14:paraId="5DBBC728" w14:textId="13A68305" w:rsidR="00E36C2A" w:rsidRDefault="00E36C2A" w:rsidP="00E36C2A">
      <w:pPr>
        <w:pStyle w:val="ListParagraph"/>
        <w:keepLines/>
        <w:numPr>
          <w:ilvl w:val="0"/>
          <w:numId w:val="12"/>
        </w:numPr>
        <w:tabs>
          <w:tab w:val="left" w:pos="90"/>
          <w:tab w:val="left" w:pos="540"/>
          <w:tab w:val="left" w:pos="900"/>
        </w:tabs>
        <w:spacing w:after="240"/>
        <w:ind w:left="0" w:firstLine="0"/>
        <w:contextualSpacing w:val="0"/>
        <w:jc w:val="both"/>
        <w:rPr>
          <w:sz w:val="24"/>
          <w:szCs w:val="24"/>
          <w:lang w:val="fr-FR"/>
        </w:rPr>
      </w:pPr>
      <w:r w:rsidRPr="00E92952">
        <w:rPr>
          <w:sz w:val="24"/>
          <w:szCs w:val="24"/>
          <w:lang w:val="fr-FR"/>
        </w:rPr>
        <w:t>Les groupes sur les résultats des équipes de pays sont l’un des principaux mécanismes favorisant la planification et la programmation intégrées dans certains domaines de résultats spécifiques des PNUAD. Ils permettent aux organismes des Nations Unies de décider ensemble de la façon dont ils souhaitent définir les rôles et les responsabilités, élaborer leurs stratégies d’action conjointes et veiller à l’intégration utile des questions transversales, telles que le changement climatique. Des activités en commun peuvent être prévues, par exemple des initiatives conjointes relatives à la formation, à l’analyse des risques, aux programmes, à la mise en commun des financements et à la mobilisation des ressources. Dans le cadre du déploiement de l’examen quadriennal complet, les partenaires extérieurs aux Nations Unies (notamment les représentants des gouvernements nationaux, le cas échéant) pourraient s’investir plus étroitement au sein des groupes sur les résultats des équipes de pays, de façon à améliorer le modèle actuel.</w:t>
      </w:r>
    </w:p>
    <w:tbl>
      <w:tblPr>
        <w:tblStyle w:val="TableGrid"/>
        <w:tblW w:w="0" w:type="auto"/>
        <w:tblInd w:w="108" w:type="dxa"/>
        <w:tblLook w:val="04A0" w:firstRow="1" w:lastRow="0" w:firstColumn="1" w:lastColumn="0" w:noHBand="0" w:noVBand="1"/>
      </w:tblPr>
      <w:tblGrid>
        <w:gridCol w:w="9630"/>
      </w:tblGrid>
      <w:tr w:rsidR="005B0EB0" w:rsidRPr="00A3517C" w14:paraId="71AEF92C" w14:textId="77777777" w:rsidTr="005B0EB0">
        <w:tc>
          <w:tcPr>
            <w:tcW w:w="9630" w:type="dxa"/>
          </w:tcPr>
          <w:p w14:paraId="5E113F9B" w14:textId="77777777" w:rsidR="005B0EB0" w:rsidRPr="007B5599" w:rsidRDefault="005B0EB0" w:rsidP="005B0EB0">
            <w:pPr>
              <w:spacing w:before="120" w:after="240"/>
              <w:ind w:left="144" w:right="144"/>
              <w:jc w:val="both"/>
              <w:rPr>
                <w:b/>
                <w:sz w:val="22"/>
                <w:szCs w:val="22"/>
                <w:lang w:val="fr-FR"/>
              </w:rPr>
            </w:pPr>
            <w:r w:rsidRPr="007B5599">
              <w:rPr>
                <w:b/>
                <w:sz w:val="22"/>
                <w:szCs w:val="22"/>
                <w:lang w:val="fr-FR"/>
              </w:rPr>
              <w:t>Étude de cas : Ouganda et Madagascar</w:t>
            </w:r>
          </w:p>
          <w:p w14:paraId="56C1F460" w14:textId="77777777" w:rsidR="005B0EB0" w:rsidRPr="007B5599" w:rsidRDefault="005B0EB0" w:rsidP="005B0EB0">
            <w:pPr>
              <w:spacing w:after="240"/>
              <w:ind w:left="144" w:right="162"/>
              <w:jc w:val="both"/>
              <w:rPr>
                <w:sz w:val="22"/>
                <w:szCs w:val="22"/>
                <w:lang w:val="fr-FR"/>
              </w:rPr>
            </w:pPr>
            <w:r w:rsidRPr="007B5599">
              <w:rPr>
                <w:sz w:val="22"/>
                <w:szCs w:val="22"/>
                <w:lang w:val="fr-FR"/>
              </w:rPr>
              <w:t xml:space="preserve">Le programme de résilience du gouvernement de l’Ouganda s’articule autour du Plan de développement intégré </w:t>
            </w:r>
            <w:r>
              <w:rPr>
                <w:sz w:val="22"/>
                <w:szCs w:val="22"/>
                <w:lang w:val="fr-FR"/>
              </w:rPr>
              <w:t>du</w:t>
            </w:r>
            <w:r w:rsidRPr="007B5599">
              <w:rPr>
                <w:sz w:val="22"/>
                <w:szCs w:val="22"/>
                <w:lang w:val="fr-FR"/>
              </w:rPr>
              <w:t xml:space="preserve"> </w:t>
            </w:r>
            <w:r w:rsidRPr="002F5F26">
              <w:rPr>
                <w:sz w:val="22"/>
                <w:szCs w:val="22"/>
                <w:lang w:val="fr-FR"/>
              </w:rPr>
              <w:t>Karamoja. Le PAM, l’UNICEF et l’Organisation des Nations Unies pour l’alimentation et l’agriculture (FAO) ont mis au point une stratégie conjointe pluriannuelle de renforcement de la résilience,</w:t>
            </w:r>
            <w:r w:rsidRPr="007B5599">
              <w:rPr>
                <w:sz w:val="22"/>
                <w:szCs w:val="22"/>
                <w:lang w:val="fr-FR"/>
              </w:rPr>
              <w:t xml:space="preserve"> en appui au plan du </w:t>
            </w:r>
            <w:r w:rsidRPr="002F5F26">
              <w:rPr>
                <w:sz w:val="22"/>
                <w:szCs w:val="22"/>
                <w:lang w:val="fr-FR"/>
              </w:rPr>
              <w:t>gouvernement</w:t>
            </w:r>
            <w:r w:rsidRPr="007B5599">
              <w:rPr>
                <w:sz w:val="22"/>
                <w:szCs w:val="22"/>
                <w:lang w:val="fr-FR"/>
              </w:rPr>
              <w:t xml:space="preserve">. L’objectif est d’autonomiser systématiquement les ménages, les communautés et les systèmes du gouvernement, et de transformer la vie des habitants les plus vulnérables </w:t>
            </w:r>
            <w:r>
              <w:rPr>
                <w:sz w:val="22"/>
                <w:szCs w:val="22"/>
                <w:lang w:val="fr-FR"/>
              </w:rPr>
              <w:t>du</w:t>
            </w:r>
            <w:r w:rsidRPr="007B5599">
              <w:rPr>
                <w:sz w:val="22"/>
                <w:szCs w:val="22"/>
                <w:lang w:val="fr-FR"/>
              </w:rPr>
              <w:t xml:space="preserve"> Karamoja. Bien que ces trois organismes œuvrent traditionnellement en faveur </w:t>
            </w:r>
            <w:r w:rsidRPr="002F5F26">
              <w:rPr>
                <w:sz w:val="22"/>
                <w:szCs w:val="22"/>
                <w:lang w:val="fr-FR"/>
              </w:rPr>
              <w:t xml:space="preserve">de la sécurité alimentaire et des moyens de subsistance, l’amélioration des </w:t>
            </w:r>
            <w:r w:rsidRPr="004B1892">
              <w:rPr>
                <w:sz w:val="22"/>
                <w:szCs w:val="22"/>
                <w:lang w:val="fr-FR"/>
              </w:rPr>
              <w:t>filets de sécurité,</w:t>
            </w:r>
            <w:r w:rsidRPr="007B5599">
              <w:rPr>
                <w:sz w:val="22"/>
                <w:szCs w:val="22"/>
                <w:lang w:val="fr-FR"/>
              </w:rPr>
              <w:t xml:space="preserve"> de la protection sociale et de l’accès aux services de base compte parmi les principaux volets d’intervention de la stratégie.</w:t>
            </w:r>
          </w:p>
          <w:p w14:paraId="4F224B48" w14:textId="5AC359C1" w:rsidR="005B0EB0" w:rsidRPr="005B0EB0" w:rsidRDefault="005B0EB0" w:rsidP="005B0EB0">
            <w:pPr>
              <w:spacing w:after="240"/>
              <w:ind w:left="144" w:right="144"/>
              <w:jc w:val="both"/>
              <w:rPr>
                <w:sz w:val="22"/>
                <w:szCs w:val="22"/>
                <w:lang w:val="fr-FR"/>
              </w:rPr>
            </w:pPr>
            <w:r w:rsidRPr="007B5599">
              <w:rPr>
                <w:sz w:val="22"/>
                <w:szCs w:val="22"/>
                <w:lang w:val="fr-FR"/>
              </w:rPr>
              <w:t>À Madagascar, le changement climatique pèse sur l’économie, en particulier l’agriculture, l’élevage, la sylviculture, les ressources en eau, la pêche et la santé. Une initiative de renforcement des capacités d’adaptation et de résilience des communautés rurales a été mise en place. Elle est financée conjointement par le Fonds pour l’environnement mondial (FEM) et le Fonds pour les pays les moins avancés, avec la participation du PNUD et de l’UNICEF. Elle répond à un triple objectif : (a)</w:t>
            </w:r>
            <w:r>
              <w:rPr>
                <w:sz w:val="22"/>
                <w:szCs w:val="22"/>
                <w:lang w:val="fr-FR"/>
              </w:rPr>
              <w:t> </w:t>
            </w:r>
            <w:r w:rsidRPr="007B5599">
              <w:rPr>
                <w:sz w:val="22"/>
                <w:szCs w:val="22"/>
                <w:lang w:val="fr-FR"/>
              </w:rPr>
              <w:t>favoriser la sensibilisation et renforcer les capacités des décideurs, des techniciens et des communautés vulnérables en matière d’adaptation au changement climatique</w:t>
            </w:r>
            <w:r>
              <w:rPr>
                <w:sz w:val="22"/>
                <w:szCs w:val="22"/>
                <w:lang w:val="fr-FR"/>
              </w:rPr>
              <w:t> </w:t>
            </w:r>
            <w:r w:rsidRPr="007B5599">
              <w:rPr>
                <w:sz w:val="22"/>
                <w:szCs w:val="22"/>
                <w:lang w:val="fr-FR"/>
              </w:rPr>
              <w:t>; (b)</w:t>
            </w:r>
            <w:r>
              <w:rPr>
                <w:sz w:val="22"/>
                <w:szCs w:val="22"/>
                <w:lang w:val="fr-FR"/>
              </w:rPr>
              <w:t> </w:t>
            </w:r>
            <w:r w:rsidRPr="007B5599">
              <w:rPr>
                <w:sz w:val="22"/>
                <w:szCs w:val="22"/>
                <w:lang w:val="fr-FR"/>
              </w:rPr>
              <w:t>assurer le recueil et la production de données climatiques et météorologiques fiables</w:t>
            </w:r>
            <w:r>
              <w:rPr>
                <w:sz w:val="22"/>
                <w:szCs w:val="22"/>
                <w:lang w:val="fr-FR"/>
              </w:rPr>
              <w:t> </w:t>
            </w:r>
            <w:r w:rsidRPr="007B5599">
              <w:rPr>
                <w:sz w:val="22"/>
                <w:szCs w:val="22"/>
                <w:lang w:val="fr-FR"/>
              </w:rPr>
              <w:t>; (c)</w:t>
            </w:r>
            <w:r>
              <w:rPr>
                <w:sz w:val="22"/>
                <w:szCs w:val="22"/>
                <w:lang w:val="fr-FR"/>
              </w:rPr>
              <w:t> </w:t>
            </w:r>
            <w:r w:rsidRPr="007B5599">
              <w:rPr>
                <w:sz w:val="22"/>
                <w:szCs w:val="22"/>
                <w:lang w:val="fr-FR"/>
              </w:rPr>
              <w:t>transférer les mesures, les solutions et les technologies d’adaptation aux communautés vulnérables dans les régions ciblées, selon une approche participative</w:t>
            </w:r>
            <w:r>
              <w:rPr>
                <w:sz w:val="22"/>
                <w:szCs w:val="22"/>
                <w:lang w:val="fr-FR"/>
              </w:rPr>
              <w:t>,</w:t>
            </w:r>
            <w:r w:rsidRPr="007B5599">
              <w:rPr>
                <w:sz w:val="22"/>
                <w:szCs w:val="22"/>
                <w:lang w:val="fr-FR"/>
              </w:rPr>
              <w:t xml:space="preserve"> mettre à profit les capacités renforcées grâce à la composante</w:t>
            </w:r>
            <w:r>
              <w:rPr>
                <w:sz w:val="22"/>
                <w:szCs w:val="22"/>
                <w:lang w:val="fr-FR"/>
              </w:rPr>
              <w:t> </w:t>
            </w:r>
            <w:r w:rsidRPr="007B5599">
              <w:rPr>
                <w:sz w:val="22"/>
                <w:szCs w:val="22"/>
                <w:lang w:val="fr-FR"/>
              </w:rPr>
              <w:t>(a) </w:t>
            </w:r>
            <w:r>
              <w:rPr>
                <w:sz w:val="22"/>
                <w:szCs w:val="22"/>
                <w:lang w:val="fr-FR"/>
              </w:rPr>
              <w:t>et</w:t>
            </w:r>
            <w:r w:rsidRPr="007B5599">
              <w:rPr>
                <w:sz w:val="22"/>
                <w:szCs w:val="22"/>
                <w:lang w:val="fr-FR"/>
              </w:rPr>
              <w:t xml:space="preserve"> exploiter les données et les prévisions agro</w:t>
            </w:r>
            <w:r>
              <w:rPr>
                <w:sz w:val="22"/>
                <w:szCs w:val="22"/>
                <w:lang w:val="fr-FR"/>
              </w:rPr>
              <w:t>-</w:t>
            </w:r>
            <w:r w:rsidRPr="007B5599">
              <w:rPr>
                <w:sz w:val="22"/>
                <w:szCs w:val="22"/>
                <w:lang w:val="fr-FR"/>
              </w:rPr>
              <w:t>météorologiques.</w:t>
            </w:r>
          </w:p>
        </w:tc>
      </w:tr>
    </w:tbl>
    <w:p w14:paraId="3D7F3AE8" w14:textId="77777777" w:rsidR="005B0EB0" w:rsidRPr="00E36C2A" w:rsidRDefault="005B0EB0" w:rsidP="005B0EB0">
      <w:pPr>
        <w:pStyle w:val="ListParagraph"/>
        <w:keepLines/>
        <w:tabs>
          <w:tab w:val="left" w:pos="90"/>
          <w:tab w:val="left" w:pos="540"/>
          <w:tab w:val="left" w:pos="900"/>
        </w:tabs>
        <w:spacing w:after="120"/>
        <w:ind w:left="0"/>
        <w:contextualSpacing w:val="0"/>
        <w:jc w:val="both"/>
        <w:rPr>
          <w:sz w:val="24"/>
          <w:szCs w:val="24"/>
          <w:lang w:val="fr-FR"/>
        </w:rPr>
      </w:pPr>
    </w:p>
    <w:tbl>
      <w:tblPr>
        <w:tblStyle w:val="TableGrid"/>
        <w:tblW w:w="0" w:type="auto"/>
        <w:tblInd w:w="108" w:type="dxa"/>
        <w:tblLook w:val="04A0" w:firstRow="1" w:lastRow="0" w:firstColumn="1" w:lastColumn="0" w:noHBand="0" w:noVBand="1"/>
      </w:tblPr>
      <w:tblGrid>
        <w:gridCol w:w="9630"/>
      </w:tblGrid>
      <w:tr w:rsidR="005B0EB0" w:rsidRPr="00A3517C" w14:paraId="62CFD311" w14:textId="77777777" w:rsidTr="005B0EB0">
        <w:tc>
          <w:tcPr>
            <w:tcW w:w="9630" w:type="dxa"/>
          </w:tcPr>
          <w:p w14:paraId="1EA8BA22" w14:textId="77777777" w:rsidR="005B0EB0" w:rsidRPr="007B5599" w:rsidRDefault="005B0EB0" w:rsidP="005B0EB0">
            <w:pPr>
              <w:spacing w:before="120" w:after="240"/>
              <w:ind w:left="144" w:right="144"/>
              <w:jc w:val="both"/>
              <w:rPr>
                <w:b/>
                <w:sz w:val="22"/>
                <w:szCs w:val="22"/>
                <w:lang w:val="fr-FR"/>
              </w:rPr>
            </w:pPr>
            <w:r w:rsidRPr="007B5599">
              <w:rPr>
                <w:b/>
                <w:sz w:val="22"/>
                <w:szCs w:val="22"/>
                <w:lang w:val="fr-FR"/>
              </w:rPr>
              <w:lastRenderedPageBreak/>
              <w:t xml:space="preserve">Étude de cas : </w:t>
            </w:r>
            <w:r>
              <w:rPr>
                <w:b/>
                <w:sz w:val="22"/>
                <w:szCs w:val="22"/>
                <w:lang w:val="fr-FR"/>
              </w:rPr>
              <w:t>P</w:t>
            </w:r>
            <w:r w:rsidRPr="007B5599">
              <w:rPr>
                <w:b/>
                <w:sz w:val="22"/>
                <w:szCs w:val="22"/>
                <w:lang w:val="fr-FR"/>
              </w:rPr>
              <w:t>rojet de gestion intégrée des ressources en eau dans six petits États insulaires en développement de l’océan Atlantique et l’océan Indien</w:t>
            </w:r>
          </w:p>
          <w:p w14:paraId="0DDFEE90" w14:textId="01CD3A72" w:rsidR="005B0EB0" w:rsidRPr="005B0EB0" w:rsidRDefault="005B0EB0" w:rsidP="005B0EB0">
            <w:pPr>
              <w:spacing w:after="240"/>
              <w:ind w:left="144" w:right="144"/>
              <w:jc w:val="both"/>
              <w:rPr>
                <w:lang w:val="fr-FR"/>
              </w:rPr>
            </w:pPr>
            <w:r w:rsidRPr="007B5599">
              <w:rPr>
                <w:sz w:val="22"/>
                <w:szCs w:val="22"/>
                <w:lang w:val="fr-FR"/>
              </w:rPr>
              <w:t>La superficie et le niveau de développement économique des six petits États insulaires en développement (PEID) de l’océan Atlantique et de l’océan Indien parties prenantes au projet sont très contrastés. Chaque pays est cependant confronté à la rareté et la contamination des réserves d’eau douce, à la surexploitation et la mauvaise gestion des nappes phréatiques, à la pression croissante exercée sur la production agricole et à l’érosion rapide de la biodiversité. La mise à disposition des habitants d’eau potable propre et d’installations de traitement des déchets s’avère également très problématique, à des degrés différents selon les pays. Conscient du besoin urgent de mettre en place une gestion globale intégrée des ressources en eau et de favoriser une utilisation de l’eau plus efficace, le FEM a financé un projet de grande envergure regroupant le PNUD, l’UNOPS et le Programme des Nations Unies pour l’environnement (PNUE). L’objectif est de renforcer la mobilisation et les capacités des six PEID participants, afin qu’ils puissent mettre en œuvre une approche intégrée de gestion des réserves d’eau douce. L’ambition à long terme est de renforcer leurs capacités de planification et de gestion raisonnées des ressources et des écosystèmes aquatiques.</w:t>
            </w:r>
          </w:p>
        </w:tc>
      </w:tr>
    </w:tbl>
    <w:p w14:paraId="31954700" w14:textId="3947DCD7" w:rsidR="009C15AB" w:rsidRDefault="009C15AB" w:rsidP="005B0EB0">
      <w:pPr>
        <w:spacing w:after="120"/>
        <w:rPr>
          <w:sz w:val="24"/>
          <w:szCs w:val="24"/>
          <w:lang w:val="fr-FR"/>
        </w:rPr>
      </w:pPr>
    </w:p>
    <w:tbl>
      <w:tblPr>
        <w:tblStyle w:val="TableGrid"/>
        <w:tblW w:w="0" w:type="auto"/>
        <w:tblInd w:w="108" w:type="dxa"/>
        <w:tblLook w:val="04A0" w:firstRow="1" w:lastRow="0" w:firstColumn="1" w:lastColumn="0" w:noHBand="0" w:noVBand="1"/>
      </w:tblPr>
      <w:tblGrid>
        <w:gridCol w:w="9630"/>
      </w:tblGrid>
      <w:tr w:rsidR="005B0EB0" w:rsidRPr="00A3517C" w14:paraId="05CC7D6F" w14:textId="77777777" w:rsidTr="005B0EB0">
        <w:tc>
          <w:tcPr>
            <w:tcW w:w="9630" w:type="dxa"/>
          </w:tcPr>
          <w:p w14:paraId="2940F4C4" w14:textId="77777777" w:rsidR="005B0EB0" w:rsidRPr="007B5599" w:rsidRDefault="005B0EB0" w:rsidP="005B0EB0">
            <w:pPr>
              <w:autoSpaceDE w:val="0"/>
              <w:autoSpaceDN w:val="0"/>
              <w:spacing w:before="120" w:after="240"/>
              <w:ind w:left="144" w:right="144"/>
              <w:jc w:val="both"/>
              <w:rPr>
                <w:b/>
                <w:sz w:val="22"/>
                <w:szCs w:val="22"/>
                <w:lang w:val="fr-FR"/>
              </w:rPr>
            </w:pPr>
            <w:r w:rsidRPr="007B5599">
              <w:rPr>
                <w:b/>
                <w:sz w:val="22"/>
                <w:szCs w:val="22"/>
                <w:lang w:val="fr-FR"/>
              </w:rPr>
              <w:t xml:space="preserve">Étude de cas : </w:t>
            </w:r>
            <w:r>
              <w:rPr>
                <w:b/>
                <w:sz w:val="22"/>
                <w:szCs w:val="22"/>
                <w:lang w:val="fr-FR"/>
              </w:rPr>
              <w:t>C</w:t>
            </w:r>
            <w:r w:rsidRPr="007B5599">
              <w:rPr>
                <w:b/>
                <w:sz w:val="22"/>
                <w:szCs w:val="22"/>
                <w:lang w:val="fr-FR"/>
              </w:rPr>
              <w:t>ollaboration tout au long de la chaîne d’intervention humanitaire et de développement au Népal</w:t>
            </w:r>
          </w:p>
          <w:p w14:paraId="4AF3CB56" w14:textId="438A7E54" w:rsidR="005B0EB0" w:rsidRPr="005B0EB0" w:rsidRDefault="005B0EB0" w:rsidP="005B0EB0">
            <w:pPr>
              <w:autoSpaceDE w:val="0"/>
              <w:autoSpaceDN w:val="0"/>
              <w:spacing w:after="240"/>
              <w:ind w:left="144" w:right="144"/>
              <w:jc w:val="both"/>
              <w:rPr>
                <w:lang w:val="fr-FR"/>
              </w:rPr>
            </w:pPr>
            <w:r w:rsidRPr="007B5599">
              <w:rPr>
                <w:sz w:val="22"/>
                <w:szCs w:val="22"/>
                <w:lang w:val="fr-FR"/>
              </w:rPr>
              <w:t>Co-présidé par ONU-Femmes et le Bureau de la coordination des affaires humanitaires (BCAH)</w:t>
            </w:r>
            <w:r>
              <w:rPr>
                <w:sz w:val="22"/>
                <w:szCs w:val="22"/>
                <w:lang w:val="fr-FR"/>
              </w:rPr>
              <w:t xml:space="preserve"> </w:t>
            </w:r>
            <w:r w:rsidRPr="008B3DFA">
              <w:rPr>
                <w:sz w:val="22"/>
                <w:szCs w:val="22"/>
                <w:lang w:val="fr-FR"/>
              </w:rPr>
              <w:t>des Nations Unies</w:t>
            </w:r>
            <w:r w:rsidRPr="007B5599">
              <w:rPr>
                <w:sz w:val="22"/>
                <w:szCs w:val="22"/>
                <w:lang w:val="fr-FR"/>
              </w:rPr>
              <w:t xml:space="preserve">, le groupe de travail intersectoriel sur l’égalité des sexes du dispositif d’intervention humanitaire agit sur toute la chaîne d’intervention humanitaire et de développement. Suite à l’intervention humanitaire déployée en 2015 au Népal après le séisme, le groupe de travail a </w:t>
            </w:r>
            <w:r>
              <w:rPr>
                <w:sz w:val="22"/>
                <w:szCs w:val="22"/>
                <w:lang w:val="fr-FR"/>
              </w:rPr>
              <w:t>élaboré</w:t>
            </w:r>
            <w:r w:rsidRPr="007B5599">
              <w:rPr>
                <w:sz w:val="22"/>
                <w:szCs w:val="22"/>
                <w:lang w:val="fr-FR"/>
              </w:rPr>
              <w:t xml:space="preserve"> un guide des ressources sur l’égalité des sexes dans le cadre de la préparation aux interventions d’urgence, qui englobe toute la chaîne d’intervention humanitaire et de développement. Le document a été commenté et approuvé de manière inclusive par le forum du groupe de travail sur l’égalité des sexes, qui regroupe les défenseurs et experts de l’égalité des sexes des différentes parties prenantes : organisations de la société civile, organisations non gouvernementales, Société de la Croix-Rouge népalaise, partenaires du développement et Nations Unies. Il garantira une préparation aux catastrophes et un renforcement de la résilience au Népal qui soient sensibles aux problématiques hommes-femmes. Son approbation et son intégration dans le plan d’urgence du Népal </w:t>
            </w:r>
            <w:r w:rsidRPr="008B3DFA">
              <w:rPr>
                <w:sz w:val="22"/>
                <w:szCs w:val="22"/>
                <w:lang w:val="fr-FR"/>
              </w:rPr>
              <w:t>étaient</w:t>
            </w:r>
            <w:r w:rsidRPr="007B5599">
              <w:rPr>
                <w:sz w:val="22"/>
                <w:szCs w:val="22"/>
                <w:lang w:val="fr-FR"/>
              </w:rPr>
              <w:t>, à ce titre, essentielles. Le guide est actuellement diffusé au Népal à l’échelle nationale et des districts, en collaboration avec le Ministère des affaires intérieures et le Ministère des femmes, des enfants et de la protection sociale.</w:t>
            </w:r>
          </w:p>
        </w:tc>
      </w:tr>
    </w:tbl>
    <w:p w14:paraId="686CB2AB" w14:textId="77777777" w:rsidR="00E36C2A" w:rsidRPr="007B5599" w:rsidRDefault="00E36C2A" w:rsidP="005B0EB0">
      <w:pPr>
        <w:spacing w:after="120"/>
        <w:ind w:firstLine="720"/>
        <w:rPr>
          <w:sz w:val="24"/>
          <w:szCs w:val="24"/>
          <w:lang w:val="fr-FR"/>
        </w:rPr>
      </w:pPr>
    </w:p>
    <w:tbl>
      <w:tblPr>
        <w:tblStyle w:val="TableGrid"/>
        <w:tblW w:w="0" w:type="auto"/>
        <w:tblInd w:w="108" w:type="dxa"/>
        <w:tblLook w:val="04A0" w:firstRow="1" w:lastRow="0" w:firstColumn="1" w:lastColumn="0" w:noHBand="0" w:noVBand="1"/>
      </w:tblPr>
      <w:tblGrid>
        <w:gridCol w:w="9630"/>
      </w:tblGrid>
      <w:tr w:rsidR="005B0EB0" w:rsidRPr="00A3517C" w14:paraId="45AED13C" w14:textId="77777777" w:rsidTr="005B0EB0">
        <w:tc>
          <w:tcPr>
            <w:tcW w:w="9630" w:type="dxa"/>
          </w:tcPr>
          <w:p w14:paraId="7ACE9CD5" w14:textId="77777777" w:rsidR="005B0EB0" w:rsidRPr="007B5599" w:rsidRDefault="005B0EB0" w:rsidP="005B0EB0">
            <w:pPr>
              <w:spacing w:before="120" w:after="240"/>
              <w:ind w:left="144" w:right="144"/>
              <w:jc w:val="both"/>
              <w:rPr>
                <w:b/>
                <w:i/>
                <w:sz w:val="22"/>
                <w:szCs w:val="22"/>
                <w:lang w:val="fr-FR"/>
              </w:rPr>
            </w:pPr>
            <w:r w:rsidRPr="007B5599">
              <w:rPr>
                <w:b/>
                <w:sz w:val="22"/>
                <w:szCs w:val="22"/>
                <w:lang w:val="fr-FR"/>
              </w:rPr>
              <w:t xml:space="preserve">Étude de cas : </w:t>
            </w:r>
            <w:r>
              <w:rPr>
                <w:b/>
                <w:sz w:val="22"/>
                <w:szCs w:val="22"/>
                <w:lang w:val="fr-FR"/>
              </w:rPr>
              <w:t>É</w:t>
            </w:r>
            <w:r w:rsidRPr="007B5599">
              <w:rPr>
                <w:b/>
                <w:sz w:val="22"/>
                <w:szCs w:val="22"/>
                <w:lang w:val="fr-FR"/>
              </w:rPr>
              <w:t xml:space="preserve">quipes régionales du </w:t>
            </w:r>
            <w:r w:rsidRPr="008B3DFA">
              <w:rPr>
                <w:b/>
                <w:sz w:val="22"/>
                <w:szCs w:val="22"/>
                <w:lang w:val="fr-FR"/>
              </w:rPr>
              <w:t>Groupe des Nations Unies pour le développement</w:t>
            </w:r>
            <w:r>
              <w:rPr>
                <w:b/>
                <w:sz w:val="22"/>
                <w:szCs w:val="22"/>
                <w:lang w:val="fr-FR"/>
              </w:rPr>
              <w:t xml:space="preserve"> </w:t>
            </w:r>
            <w:r w:rsidRPr="007B5599">
              <w:rPr>
                <w:b/>
                <w:sz w:val="22"/>
                <w:szCs w:val="22"/>
                <w:lang w:val="fr-FR"/>
              </w:rPr>
              <w:t>en Afrique</w:t>
            </w:r>
            <w:r w:rsidRPr="007B5599">
              <w:rPr>
                <w:sz w:val="22"/>
                <w:szCs w:val="22"/>
                <w:u w:val="single"/>
                <w:lang w:val="fr-FR"/>
              </w:rPr>
              <w:t xml:space="preserve"> </w:t>
            </w:r>
          </w:p>
          <w:p w14:paraId="4A76ABEF" w14:textId="7B0C2B4B" w:rsidR="005B0EB0" w:rsidRPr="005B0EB0" w:rsidRDefault="005B0EB0" w:rsidP="005B0EB0">
            <w:pPr>
              <w:spacing w:after="240"/>
              <w:ind w:left="144" w:right="144"/>
              <w:jc w:val="both"/>
              <w:rPr>
                <w:lang w:val="fr-FR"/>
              </w:rPr>
            </w:pPr>
            <w:r w:rsidRPr="007B5599">
              <w:rPr>
                <w:sz w:val="22"/>
                <w:szCs w:val="22"/>
                <w:lang w:val="fr-FR"/>
              </w:rPr>
              <w:t>Les équipes régionales du GNUD en Afrique ont élaboré un cadre stratégique à l’intention des équipes de pays, grâce auquel les programmes, les outils et les capacités du personnel de celles-ci seront mieux adaptés au contexte d’intervention, ce qui aidera les pays à réaliser les ODD et les objectifs de l’Agenda 2063 de l’Union africaine grâce à un développement résilient. Le cadre ne vise pas à imposer aux équipes de pays de la région une normalisation des initiatives de renforcement de la résilience et n’a pas vocation à servir de référence pour les interventions. Il leur fournit un schéma conceptuel, des orientations, ainsi qu’un ensemble d’outils et d’approches en matière de développement résilient, à partir des expériences accumulées en Afrique et ailleurs.</w:t>
            </w:r>
          </w:p>
        </w:tc>
      </w:tr>
    </w:tbl>
    <w:p w14:paraId="7E293B2A" w14:textId="38C1B9B7" w:rsidR="00E92952" w:rsidRDefault="00E92952" w:rsidP="00F02322">
      <w:pPr>
        <w:keepLines/>
        <w:tabs>
          <w:tab w:val="left" w:pos="540"/>
        </w:tabs>
        <w:jc w:val="both"/>
        <w:rPr>
          <w:sz w:val="24"/>
          <w:szCs w:val="24"/>
          <w:lang w:val="fr-FR"/>
        </w:rPr>
      </w:pPr>
    </w:p>
    <w:p w14:paraId="0C5D5B88" w14:textId="61335DE6" w:rsidR="00E92952" w:rsidRPr="007B5599" w:rsidRDefault="00E92952" w:rsidP="00F02322">
      <w:pPr>
        <w:keepLines/>
        <w:tabs>
          <w:tab w:val="left" w:pos="540"/>
        </w:tabs>
        <w:jc w:val="both"/>
        <w:rPr>
          <w:sz w:val="24"/>
          <w:szCs w:val="24"/>
          <w:lang w:val="fr-FR"/>
        </w:rPr>
      </w:pPr>
    </w:p>
    <w:p w14:paraId="1E8E2711" w14:textId="613EB655" w:rsidR="00CB086E" w:rsidRPr="00F02322" w:rsidRDefault="00E92952" w:rsidP="005B0EB0">
      <w:pPr>
        <w:pStyle w:val="ListParagraph"/>
        <w:numPr>
          <w:ilvl w:val="0"/>
          <w:numId w:val="15"/>
        </w:numPr>
        <w:spacing w:before="240" w:after="240"/>
        <w:ind w:hanging="270"/>
        <w:contextualSpacing w:val="0"/>
        <w:rPr>
          <w:b/>
          <w:sz w:val="32"/>
          <w:szCs w:val="22"/>
        </w:rPr>
      </w:pPr>
      <w:r>
        <w:rPr>
          <w:b/>
          <w:sz w:val="32"/>
          <w:szCs w:val="22"/>
        </w:rPr>
        <w:lastRenderedPageBreak/>
        <w:t>Conclusion</w:t>
      </w:r>
    </w:p>
    <w:p w14:paraId="4E7D7BF6" w14:textId="0FF33F25" w:rsidR="00437F96" w:rsidRPr="007B5599" w:rsidRDefault="002A6474" w:rsidP="00E92952">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Dans l</w:t>
      </w:r>
      <w:r w:rsidR="00AD08B8" w:rsidRPr="007B5599">
        <w:rPr>
          <w:sz w:val="24"/>
          <w:szCs w:val="24"/>
          <w:lang w:val="fr-FR"/>
        </w:rPr>
        <w:t>’</w:t>
      </w:r>
      <w:r w:rsidRPr="007B5599">
        <w:rPr>
          <w:sz w:val="24"/>
          <w:szCs w:val="24"/>
          <w:lang w:val="fr-FR"/>
        </w:rPr>
        <w:t>examen quadriennal complet, l</w:t>
      </w:r>
      <w:r w:rsidR="00AD08B8" w:rsidRPr="007B5599">
        <w:rPr>
          <w:sz w:val="24"/>
          <w:szCs w:val="24"/>
          <w:lang w:val="fr-FR"/>
        </w:rPr>
        <w:t>’</w:t>
      </w:r>
      <w:r w:rsidRPr="007B5599">
        <w:rPr>
          <w:sz w:val="24"/>
          <w:szCs w:val="24"/>
          <w:lang w:val="fr-FR"/>
        </w:rPr>
        <w:t xml:space="preserve">Assemblée générale prend acte des progrès récemment accomplis par les organismes en vue </w:t>
      </w:r>
      <w:r w:rsidR="001B7174" w:rsidRPr="007B5599">
        <w:rPr>
          <w:sz w:val="24"/>
          <w:szCs w:val="24"/>
          <w:lang w:val="fr-FR"/>
        </w:rPr>
        <w:t>de respecter</w:t>
      </w:r>
      <w:r w:rsidRPr="007B5599">
        <w:rPr>
          <w:sz w:val="24"/>
          <w:szCs w:val="24"/>
          <w:lang w:val="fr-FR"/>
        </w:rPr>
        <w:t xml:space="preserve"> leurs engagements individuels ou collectifs. Elle présente également l</w:t>
      </w:r>
      <w:r w:rsidR="00AD08B8" w:rsidRPr="007B5599">
        <w:rPr>
          <w:sz w:val="24"/>
          <w:szCs w:val="24"/>
          <w:lang w:val="fr-FR"/>
        </w:rPr>
        <w:t>’</w:t>
      </w:r>
      <w:r w:rsidRPr="007B5599">
        <w:rPr>
          <w:sz w:val="24"/>
          <w:szCs w:val="24"/>
          <w:lang w:val="fr-FR"/>
        </w:rPr>
        <w:t>un des enjeux auxquels les entités des Nations Unies sont confrontées, à savoir la mise en place progressive d</w:t>
      </w:r>
      <w:r w:rsidR="00AD08B8" w:rsidRPr="007B5599">
        <w:rPr>
          <w:sz w:val="24"/>
          <w:szCs w:val="24"/>
          <w:lang w:val="fr-FR"/>
        </w:rPr>
        <w:t>’</w:t>
      </w:r>
      <w:r w:rsidRPr="007B5599">
        <w:rPr>
          <w:sz w:val="24"/>
          <w:szCs w:val="24"/>
          <w:lang w:val="fr-FR"/>
        </w:rPr>
        <w:t>approches plus intégrées et transversales</w:t>
      </w:r>
      <w:r w:rsidR="00B8639A" w:rsidRPr="007B5599">
        <w:rPr>
          <w:sz w:val="24"/>
          <w:szCs w:val="24"/>
          <w:lang w:val="fr-FR"/>
        </w:rPr>
        <w:t>,</w:t>
      </w:r>
      <w:r w:rsidRPr="007B5599">
        <w:rPr>
          <w:sz w:val="24"/>
          <w:szCs w:val="24"/>
          <w:lang w:val="fr-FR"/>
        </w:rPr>
        <w:t xml:space="preserve"> à même de valoriser clairement et efficacement le potentiel de collaboration des Nations Unies, aux fins de réalisation des ODD, particulièrement à l</w:t>
      </w:r>
      <w:r w:rsidR="00AD08B8" w:rsidRPr="007B5599">
        <w:rPr>
          <w:sz w:val="24"/>
          <w:szCs w:val="24"/>
          <w:lang w:val="fr-FR"/>
        </w:rPr>
        <w:t>’</w:t>
      </w:r>
      <w:r w:rsidRPr="007B5599">
        <w:rPr>
          <w:sz w:val="24"/>
          <w:szCs w:val="24"/>
          <w:lang w:val="fr-FR"/>
        </w:rPr>
        <w:t>échelle nationale. Le système des Nations Unies pour le développement doit impérativement mettre au point des stratégies globales, afin de lutter contre le changement climatique et de renforcer la résilience, par exemple. Pour cela, il devra tenir compte de la nature pluridimensionnelle des interventions requises, élimi</w:t>
      </w:r>
      <w:r w:rsidR="009E1D24" w:rsidRPr="007B5599">
        <w:rPr>
          <w:sz w:val="24"/>
          <w:szCs w:val="24"/>
          <w:lang w:val="fr-FR"/>
        </w:rPr>
        <w:t xml:space="preserve">ner certains obstacles tenaces, tels que les </w:t>
      </w:r>
      <w:r w:rsidR="00BF6B23">
        <w:rPr>
          <w:sz w:val="24"/>
          <w:szCs w:val="24"/>
          <w:lang w:val="fr-FR"/>
        </w:rPr>
        <w:t xml:space="preserve">différentes </w:t>
      </w:r>
      <w:r w:rsidRPr="007B5599">
        <w:rPr>
          <w:sz w:val="24"/>
          <w:szCs w:val="24"/>
          <w:lang w:val="fr-FR"/>
        </w:rPr>
        <w:t xml:space="preserve">procédures financières et </w:t>
      </w:r>
      <w:r w:rsidR="00BF6B23">
        <w:rPr>
          <w:sz w:val="24"/>
          <w:szCs w:val="24"/>
          <w:lang w:val="fr-FR"/>
        </w:rPr>
        <w:t>obligations en matière d’établissement de rapports</w:t>
      </w:r>
      <w:r w:rsidR="009E1D24" w:rsidRPr="007B5599">
        <w:rPr>
          <w:sz w:val="24"/>
          <w:szCs w:val="24"/>
          <w:lang w:val="fr-FR"/>
        </w:rPr>
        <w:t>,</w:t>
      </w:r>
      <w:r w:rsidRPr="007B5599">
        <w:rPr>
          <w:sz w:val="24"/>
          <w:szCs w:val="24"/>
          <w:lang w:val="fr-FR"/>
        </w:rPr>
        <w:t xml:space="preserve"> et améliorer l</w:t>
      </w:r>
      <w:r w:rsidR="00AD08B8" w:rsidRPr="007B5599">
        <w:rPr>
          <w:sz w:val="24"/>
          <w:szCs w:val="24"/>
          <w:lang w:val="fr-FR"/>
        </w:rPr>
        <w:t>’</w:t>
      </w:r>
      <w:r w:rsidRPr="007B5599">
        <w:rPr>
          <w:sz w:val="24"/>
          <w:szCs w:val="24"/>
          <w:lang w:val="fr-FR"/>
        </w:rPr>
        <w:t xml:space="preserve">analyse des risques et la planification conjointes, </w:t>
      </w:r>
      <w:r w:rsidR="001B7174" w:rsidRPr="007B5599">
        <w:rPr>
          <w:sz w:val="24"/>
          <w:szCs w:val="24"/>
          <w:lang w:val="fr-FR"/>
        </w:rPr>
        <w:t>de même</w:t>
      </w:r>
      <w:r w:rsidRPr="007B5599">
        <w:rPr>
          <w:sz w:val="24"/>
          <w:szCs w:val="24"/>
          <w:lang w:val="fr-FR"/>
        </w:rPr>
        <w:t xml:space="preserve"> que la répartition des responsabilités.</w:t>
      </w:r>
    </w:p>
    <w:p w14:paraId="652D21BC" w14:textId="77777777" w:rsidR="000208C0" w:rsidRPr="007B5599" w:rsidRDefault="000208C0" w:rsidP="00E92952">
      <w:pPr>
        <w:pStyle w:val="ListParagraph"/>
        <w:numPr>
          <w:ilvl w:val="0"/>
          <w:numId w:val="12"/>
        </w:numPr>
        <w:tabs>
          <w:tab w:val="left" w:pos="540"/>
        </w:tabs>
        <w:spacing w:after="240"/>
        <w:ind w:left="0" w:firstLine="0"/>
        <w:contextualSpacing w:val="0"/>
        <w:jc w:val="both"/>
        <w:rPr>
          <w:sz w:val="24"/>
          <w:szCs w:val="24"/>
          <w:lang w:val="fr-FR"/>
        </w:rPr>
      </w:pPr>
      <w:r w:rsidRPr="007B5599">
        <w:rPr>
          <w:sz w:val="24"/>
          <w:szCs w:val="24"/>
          <w:lang w:val="fr-FR"/>
        </w:rPr>
        <w:t>Pistes d</w:t>
      </w:r>
      <w:r w:rsidR="00AD08B8" w:rsidRPr="007B5599">
        <w:rPr>
          <w:sz w:val="24"/>
          <w:szCs w:val="24"/>
          <w:lang w:val="fr-FR"/>
        </w:rPr>
        <w:t>’</w:t>
      </w:r>
      <w:r w:rsidRPr="007B5599">
        <w:rPr>
          <w:sz w:val="24"/>
          <w:szCs w:val="24"/>
          <w:lang w:val="fr-FR"/>
        </w:rPr>
        <w:t>action proposées pour y parvenir :</w:t>
      </w:r>
    </w:p>
    <w:p w14:paraId="7623E846" w14:textId="053CD0A6" w:rsidR="000208C0" w:rsidRPr="007B5599" w:rsidRDefault="000208C0" w:rsidP="00E92952">
      <w:pPr>
        <w:pStyle w:val="ListParagraph"/>
        <w:numPr>
          <w:ilvl w:val="0"/>
          <w:numId w:val="11"/>
        </w:numPr>
        <w:tabs>
          <w:tab w:val="left" w:pos="1080"/>
          <w:tab w:val="left" w:pos="1170"/>
        </w:tabs>
        <w:spacing w:after="240"/>
        <w:ind w:left="0" w:firstLine="547"/>
        <w:contextualSpacing w:val="0"/>
        <w:rPr>
          <w:sz w:val="24"/>
          <w:szCs w:val="24"/>
          <w:lang w:val="fr-FR"/>
        </w:rPr>
      </w:pPr>
      <w:r w:rsidRPr="007B5599">
        <w:rPr>
          <w:sz w:val="24"/>
          <w:szCs w:val="24"/>
          <w:lang w:val="fr-FR"/>
        </w:rPr>
        <w:t>Veiller à ce que les politiques et les plans de chaque organisme soient conformes aux politiques, aux orientations et aux stratégies du système des Nations Unies, à l</w:t>
      </w:r>
      <w:r w:rsidR="00AD08B8" w:rsidRPr="007B5599">
        <w:rPr>
          <w:sz w:val="24"/>
          <w:szCs w:val="24"/>
          <w:lang w:val="fr-FR"/>
        </w:rPr>
        <w:t>’</w:t>
      </w:r>
      <w:r w:rsidRPr="007B5599">
        <w:rPr>
          <w:sz w:val="24"/>
          <w:szCs w:val="24"/>
          <w:lang w:val="fr-FR"/>
        </w:rPr>
        <w:t>échelle internationale et nationale, afin d</w:t>
      </w:r>
      <w:r w:rsidR="00AD08B8" w:rsidRPr="007B5599">
        <w:rPr>
          <w:sz w:val="24"/>
          <w:szCs w:val="24"/>
          <w:lang w:val="fr-FR"/>
        </w:rPr>
        <w:t>’</w:t>
      </w:r>
      <w:r w:rsidRPr="007B5599">
        <w:rPr>
          <w:sz w:val="24"/>
          <w:szCs w:val="24"/>
          <w:lang w:val="fr-FR"/>
        </w:rPr>
        <w:t>aider les gouvernements nationaux dans la mise en œuvre du Programme de développement durable à l</w:t>
      </w:r>
      <w:r w:rsidR="00AD08B8" w:rsidRPr="007B5599">
        <w:rPr>
          <w:sz w:val="24"/>
          <w:szCs w:val="24"/>
          <w:lang w:val="fr-FR"/>
        </w:rPr>
        <w:t>’</w:t>
      </w:r>
      <w:r w:rsidRPr="007B5599">
        <w:rPr>
          <w:sz w:val="24"/>
          <w:szCs w:val="24"/>
          <w:lang w:val="fr-FR"/>
        </w:rPr>
        <w:t>horizon</w:t>
      </w:r>
      <w:r w:rsidR="00AD08B8" w:rsidRPr="007B5599">
        <w:rPr>
          <w:sz w:val="24"/>
          <w:szCs w:val="24"/>
          <w:lang w:val="fr-FR"/>
        </w:rPr>
        <w:t> </w:t>
      </w:r>
      <w:r w:rsidRPr="007B5599">
        <w:rPr>
          <w:sz w:val="24"/>
          <w:szCs w:val="24"/>
          <w:lang w:val="fr-FR"/>
        </w:rPr>
        <w:t>2030</w:t>
      </w:r>
      <w:r w:rsidR="001D3409">
        <w:rPr>
          <w:sz w:val="24"/>
          <w:szCs w:val="24"/>
          <w:lang w:val="fr-FR"/>
        </w:rPr>
        <w:t> </w:t>
      </w:r>
      <w:r w:rsidRPr="007B5599">
        <w:rPr>
          <w:sz w:val="24"/>
          <w:szCs w:val="24"/>
          <w:lang w:val="fr-FR"/>
        </w:rPr>
        <w:t>;</w:t>
      </w:r>
    </w:p>
    <w:p w14:paraId="4936864F" w14:textId="3D740705" w:rsidR="000208C0" w:rsidRPr="007B5599" w:rsidRDefault="00A66F8B" w:rsidP="00E92952">
      <w:pPr>
        <w:pStyle w:val="ListParagraph"/>
        <w:tabs>
          <w:tab w:val="left" w:pos="1080"/>
          <w:tab w:val="left" w:pos="1350"/>
        </w:tabs>
        <w:spacing w:after="240"/>
        <w:ind w:left="0" w:firstLine="547"/>
        <w:contextualSpacing w:val="0"/>
        <w:rPr>
          <w:sz w:val="24"/>
          <w:szCs w:val="24"/>
          <w:lang w:val="fr-FR"/>
        </w:rPr>
      </w:pPr>
      <w:r w:rsidRPr="007B5599">
        <w:rPr>
          <w:sz w:val="24"/>
          <w:szCs w:val="24"/>
          <w:lang w:val="fr-FR"/>
        </w:rPr>
        <w:t>(b)</w:t>
      </w:r>
      <w:r w:rsidRPr="007B5599">
        <w:rPr>
          <w:sz w:val="24"/>
          <w:szCs w:val="24"/>
          <w:lang w:val="fr-FR"/>
        </w:rPr>
        <w:tab/>
      </w:r>
      <w:r w:rsidR="000208C0" w:rsidRPr="007B5599">
        <w:rPr>
          <w:sz w:val="24"/>
          <w:szCs w:val="24"/>
          <w:lang w:val="fr-FR"/>
        </w:rPr>
        <w:t>Veiller à ce que le système des Nations Unies pour le développement accorde la priorité à la prévention, à la préparation aux situations d</w:t>
      </w:r>
      <w:r w:rsidR="00AD08B8" w:rsidRPr="007B5599">
        <w:rPr>
          <w:sz w:val="24"/>
          <w:szCs w:val="24"/>
          <w:lang w:val="fr-FR"/>
        </w:rPr>
        <w:t>’</w:t>
      </w:r>
      <w:r w:rsidR="000208C0" w:rsidRPr="007B5599">
        <w:rPr>
          <w:sz w:val="24"/>
          <w:szCs w:val="24"/>
          <w:lang w:val="fr-FR"/>
        </w:rPr>
        <w:t>urgence, aux dispositifs d</w:t>
      </w:r>
      <w:r w:rsidR="00AD08B8" w:rsidRPr="007B5599">
        <w:rPr>
          <w:sz w:val="24"/>
          <w:szCs w:val="24"/>
          <w:lang w:val="fr-FR"/>
        </w:rPr>
        <w:t>’</w:t>
      </w:r>
      <w:r w:rsidR="000208C0" w:rsidRPr="007B5599">
        <w:rPr>
          <w:sz w:val="24"/>
          <w:szCs w:val="24"/>
          <w:lang w:val="fr-FR"/>
        </w:rPr>
        <w:t xml:space="preserve">alerte rapide, à la résilience et à la durabilité dans le cadre de ses travaux, </w:t>
      </w:r>
      <w:r w:rsidR="00C10776">
        <w:rPr>
          <w:sz w:val="24"/>
          <w:szCs w:val="24"/>
          <w:lang w:val="fr-FR"/>
        </w:rPr>
        <w:t xml:space="preserve">notamment </w:t>
      </w:r>
      <w:r w:rsidR="000208C0" w:rsidRPr="007B5599">
        <w:rPr>
          <w:sz w:val="24"/>
          <w:szCs w:val="24"/>
          <w:lang w:val="fr-FR"/>
        </w:rPr>
        <w:t>en mettant en place des projets pilotes (analyse des risques, évaluation des besoins et planification des scénarios conjointes) et en renforçant les</w:t>
      </w:r>
      <w:r w:rsidR="009922AE" w:rsidRPr="007B5599">
        <w:rPr>
          <w:sz w:val="24"/>
          <w:szCs w:val="24"/>
          <w:lang w:val="fr-FR"/>
        </w:rPr>
        <w:t xml:space="preserve"> théories du changement des</w:t>
      </w:r>
      <w:r w:rsidR="000208C0" w:rsidRPr="007B5599">
        <w:rPr>
          <w:sz w:val="24"/>
          <w:szCs w:val="24"/>
          <w:lang w:val="fr-FR"/>
        </w:rPr>
        <w:t xml:space="preserve"> PNUAD</w:t>
      </w:r>
      <w:r w:rsidR="001D3409">
        <w:rPr>
          <w:sz w:val="24"/>
          <w:szCs w:val="24"/>
          <w:lang w:val="fr-FR"/>
        </w:rPr>
        <w:t> </w:t>
      </w:r>
      <w:r w:rsidR="000208C0" w:rsidRPr="007B5599">
        <w:rPr>
          <w:sz w:val="24"/>
          <w:szCs w:val="24"/>
          <w:lang w:val="fr-FR"/>
        </w:rPr>
        <w:t>;</w:t>
      </w:r>
    </w:p>
    <w:p w14:paraId="541084A4" w14:textId="146D6596" w:rsidR="004359BA" w:rsidRPr="007B5599" w:rsidRDefault="00A66F8B" w:rsidP="00E92952">
      <w:pPr>
        <w:pStyle w:val="ListParagraph"/>
        <w:tabs>
          <w:tab w:val="left" w:pos="1080"/>
        </w:tabs>
        <w:spacing w:after="240"/>
        <w:ind w:left="0" w:firstLine="547"/>
        <w:contextualSpacing w:val="0"/>
        <w:rPr>
          <w:sz w:val="24"/>
          <w:szCs w:val="24"/>
          <w:lang w:val="fr-FR"/>
        </w:rPr>
      </w:pPr>
      <w:r w:rsidRPr="007B5599">
        <w:rPr>
          <w:sz w:val="24"/>
          <w:szCs w:val="24"/>
          <w:lang w:val="fr-FR"/>
        </w:rPr>
        <w:t>(c)</w:t>
      </w:r>
      <w:r w:rsidRPr="007B5599">
        <w:rPr>
          <w:sz w:val="24"/>
          <w:szCs w:val="24"/>
          <w:lang w:val="fr-FR"/>
        </w:rPr>
        <w:tab/>
      </w:r>
      <w:r w:rsidR="004359BA" w:rsidRPr="007B5599">
        <w:rPr>
          <w:sz w:val="24"/>
          <w:szCs w:val="24"/>
          <w:lang w:val="fr-FR"/>
        </w:rPr>
        <w:t>Renforcer les capacités du personnel et appuyer la diffusion d</w:t>
      </w:r>
      <w:r w:rsidR="00AD08B8" w:rsidRPr="007B5599">
        <w:rPr>
          <w:sz w:val="24"/>
          <w:szCs w:val="24"/>
          <w:lang w:val="fr-FR"/>
        </w:rPr>
        <w:t>’</w:t>
      </w:r>
      <w:r w:rsidR="004359BA" w:rsidRPr="007B5599">
        <w:rPr>
          <w:sz w:val="24"/>
          <w:szCs w:val="24"/>
          <w:lang w:val="fr-FR"/>
        </w:rPr>
        <w:t>orientations et le déploiement de politiques à l</w:t>
      </w:r>
      <w:r w:rsidR="00AD08B8" w:rsidRPr="007B5599">
        <w:rPr>
          <w:sz w:val="24"/>
          <w:szCs w:val="24"/>
          <w:lang w:val="fr-FR"/>
        </w:rPr>
        <w:t>’</w:t>
      </w:r>
      <w:r w:rsidR="004359BA" w:rsidRPr="007B5599">
        <w:rPr>
          <w:sz w:val="24"/>
          <w:szCs w:val="24"/>
          <w:lang w:val="fr-FR"/>
        </w:rPr>
        <w:t>échelle nationale et régionale</w:t>
      </w:r>
      <w:r w:rsidR="001D3409">
        <w:rPr>
          <w:sz w:val="24"/>
          <w:szCs w:val="24"/>
          <w:lang w:val="fr-FR"/>
        </w:rPr>
        <w:t> </w:t>
      </w:r>
      <w:r w:rsidR="004359BA" w:rsidRPr="007B5599">
        <w:rPr>
          <w:sz w:val="24"/>
          <w:szCs w:val="24"/>
          <w:lang w:val="fr-FR"/>
        </w:rPr>
        <w:t>;</w:t>
      </w:r>
    </w:p>
    <w:p w14:paraId="346EB61F" w14:textId="5BF97547" w:rsidR="004359BA" w:rsidRPr="007B5599" w:rsidRDefault="00A66F8B" w:rsidP="00E92952">
      <w:pPr>
        <w:pStyle w:val="ListParagraph"/>
        <w:tabs>
          <w:tab w:val="left" w:pos="1080"/>
        </w:tabs>
        <w:spacing w:after="240"/>
        <w:ind w:left="0" w:firstLine="547"/>
        <w:contextualSpacing w:val="0"/>
        <w:rPr>
          <w:sz w:val="24"/>
          <w:szCs w:val="24"/>
          <w:lang w:val="fr-FR"/>
        </w:rPr>
      </w:pPr>
      <w:r w:rsidRPr="007B5599">
        <w:rPr>
          <w:sz w:val="24"/>
          <w:szCs w:val="24"/>
          <w:lang w:val="fr-FR"/>
        </w:rPr>
        <w:t>(d)</w:t>
      </w:r>
      <w:r w:rsidRPr="007B5599">
        <w:rPr>
          <w:sz w:val="24"/>
          <w:szCs w:val="24"/>
          <w:lang w:val="fr-FR"/>
        </w:rPr>
        <w:tab/>
        <w:t>Veiller à ce que les résultats collectifs obtenus grâce aux programmes conjoints et à la mise en commun des financements complètent les résultats des organismes individuels au lieu de les dupliquer</w:t>
      </w:r>
      <w:r w:rsidR="001D3409">
        <w:rPr>
          <w:sz w:val="24"/>
          <w:szCs w:val="24"/>
          <w:lang w:val="fr-FR"/>
        </w:rPr>
        <w:t> </w:t>
      </w:r>
      <w:r w:rsidRPr="007B5599">
        <w:rPr>
          <w:sz w:val="24"/>
          <w:szCs w:val="24"/>
          <w:lang w:val="fr-FR"/>
        </w:rPr>
        <w:t>;</w:t>
      </w:r>
    </w:p>
    <w:p w14:paraId="39742CEC" w14:textId="2C68686A" w:rsidR="00CB086E" w:rsidRPr="007B5599" w:rsidRDefault="00A66F8B" w:rsidP="00E92952">
      <w:pPr>
        <w:pStyle w:val="ListParagraph"/>
        <w:tabs>
          <w:tab w:val="left" w:pos="1080"/>
        </w:tabs>
        <w:spacing w:after="240"/>
        <w:ind w:left="0" w:firstLine="547"/>
        <w:contextualSpacing w:val="0"/>
        <w:rPr>
          <w:sz w:val="24"/>
          <w:szCs w:val="24"/>
          <w:lang w:val="fr-FR"/>
        </w:rPr>
      </w:pPr>
      <w:r w:rsidRPr="007B5599">
        <w:rPr>
          <w:sz w:val="24"/>
          <w:szCs w:val="24"/>
          <w:lang w:val="fr-FR"/>
        </w:rPr>
        <w:t>(e)</w:t>
      </w:r>
      <w:r w:rsidRPr="007B5599">
        <w:rPr>
          <w:sz w:val="24"/>
          <w:szCs w:val="24"/>
          <w:lang w:val="fr-FR"/>
        </w:rPr>
        <w:tab/>
      </w:r>
      <w:r w:rsidR="00F903F4" w:rsidRPr="007B5599">
        <w:rPr>
          <w:sz w:val="24"/>
          <w:szCs w:val="24"/>
          <w:lang w:val="fr-FR"/>
        </w:rPr>
        <w:t>Consolider</w:t>
      </w:r>
      <w:r w:rsidR="004359BA" w:rsidRPr="007B5599">
        <w:rPr>
          <w:sz w:val="24"/>
          <w:szCs w:val="24"/>
          <w:lang w:val="fr-FR"/>
        </w:rPr>
        <w:t xml:space="preserve"> les groupes sur les résultats</w:t>
      </w:r>
      <w:r w:rsidR="00F903F4" w:rsidRPr="007B5599">
        <w:rPr>
          <w:sz w:val="24"/>
          <w:szCs w:val="24"/>
          <w:lang w:val="fr-FR"/>
        </w:rPr>
        <w:t>,</w:t>
      </w:r>
      <w:r w:rsidR="004359BA" w:rsidRPr="007B5599">
        <w:rPr>
          <w:sz w:val="24"/>
          <w:szCs w:val="24"/>
          <w:lang w:val="fr-FR"/>
        </w:rPr>
        <w:t xml:space="preserve"> afin que les organisations s</w:t>
      </w:r>
      <w:r w:rsidR="00AD08B8" w:rsidRPr="007B5599">
        <w:rPr>
          <w:sz w:val="24"/>
          <w:szCs w:val="24"/>
          <w:lang w:val="fr-FR"/>
        </w:rPr>
        <w:t>’</w:t>
      </w:r>
      <w:r w:rsidR="004359BA" w:rsidRPr="007B5599">
        <w:rPr>
          <w:sz w:val="24"/>
          <w:szCs w:val="24"/>
          <w:lang w:val="fr-FR"/>
        </w:rPr>
        <w:t>accordent sur certains résultats spécifiques</w:t>
      </w:r>
      <w:r w:rsidR="001D3409">
        <w:rPr>
          <w:sz w:val="24"/>
          <w:szCs w:val="24"/>
          <w:lang w:val="fr-FR"/>
        </w:rPr>
        <w:t> </w:t>
      </w:r>
      <w:r w:rsidR="004359BA" w:rsidRPr="007B5599">
        <w:rPr>
          <w:sz w:val="24"/>
          <w:szCs w:val="24"/>
          <w:lang w:val="fr-FR"/>
        </w:rPr>
        <w:t>; clarifier la répartition des responsabilités et des expertises</w:t>
      </w:r>
      <w:r w:rsidR="001D3409">
        <w:rPr>
          <w:sz w:val="24"/>
          <w:szCs w:val="24"/>
          <w:lang w:val="fr-FR"/>
        </w:rPr>
        <w:t> </w:t>
      </w:r>
      <w:r w:rsidR="004359BA" w:rsidRPr="007B5599">
        <w:rPr>
          <w:sz w:val="24"/>
          <w:szCs w:val="24"/>
          <w:lang w:val="fr-FR"/>
        </w:rPr>
        <w:t>; repérer les domaines pouvant bénéficier d</w:t>
      </w:r>
      <w:r w:rsidR="00AD08B8" w:rsidRPr="007B5599">
        <w:rPr>
          <w:sz w:val="24"/>
          <w:szCs w:val="24"/>
          <w:lang w:val="fr-FR"/>
        </w:rPr>
        <w:t>’</w:t>
      </w:r>
      <w:r w:rsidR="004359BA" w:rsidRPr="007B5599">
        <w:rPr>
          <w:sz w:val="24"/>
          <w:szCs w:val="24"/>
          <w:lang w:val="fr-FR"/>
        </w:rPr>
        <w:t>une approche collaborative, le cas échéant.</w:t>
      </w:r>
    </w:p>
    <w:p w14:paraId="38EC251D" w14:textId="77777777" w:rsidR="00CB086E" w:rsidRPr="007B5599" w:rsidRDefault="00B16196" w:rsidP="001D3409">
      <w:pPr>
        <w:spacing w:after="240"/>
        <w:jc w:val="both"/>
        <w:rPr>
          <w:b/>
          <w:sz w:val="28"/>
          <w:szCs w:val="24"/>
          <w:lang w:val="fr-FR"/>
        </w:rPr>
      </w:pPr>
      <w:r w:rsidRPr="007B5599">
        <w:rPr>
          <w:b/>
          <w:sz w:val="28"/>
          <w:szCs w:val="24"/>
          <w:lang w:val="fr-FR"/>
        </w:rPr>
        <w:t>Questions pour orienter les échanges</w:t>
      </w:r>
    </w:p>
    <w:p w14:paraId="56589908" w14:textId="1CC0434C" w:rsidR="00B16196" w:rsidRPr="007B5599" w:rsidDel="00236C09" w:rsidRDefault="00C4515E" w:rsidP="00E92952">
      <w:pPr>
        <w:pStyle w:val="ListParagraph"/>
        <w:tabs>
          <w:tab w:val="left" w:pos="567"/>
        </w:tabs>
        <w:spacing w:after="240"/>
        <w:ind w:left="0"/>
        <w:contextualSpacing w:val="0"/>
        <w:jc w:val="both"/>
        <w:rPr>
          <w:sz w:val="24"/>
          <w:szCs w:val="24"/>
          <w:lang w:val="fr-FR"/>
        </w:rPr>
      </w:pPr>
      <w:r w:rsidRPr="001D3409">
        <w:rPr>
          <w:sz w:val="24"/>
          <w:szCs w:val="24"/>
          <w:lang w:val="fr-FR"/>
        </w:rPr>
        <w:t>19.</w:t>
      </w:r>
      <w:r w:rsidRPr="001D3409">
        <w:rPr>
          <w:sz w:val="24"/>
          <w:szCs w:val="24"/>
          <w:lang w:val="fr-FR"/>
        </w:rPr>
        <w:tab/>
      </w:r>
      <w:r w:rsidR="00A66F8B" w:rsidRPr="007B5599">
        <w:rPr>
          <w:sz w:val="24"/>
          <w:szCs w:val="24"/>
          <w:lang w:val="fr-FR"/>
        </w:rPr>
        <w:t>(a)</w:t>
      </w:r>
      <w:r w:rsidR="00A66F8B" w:rsidRPr="007B5599">
        <w:rPr>
          <w:sz w:val="24"/>
          <w:szCs w:val="24"/>
          <w:lang w:val="fr-FR"/>
        </w:rPr>
        <w:tab/>
      </w:r>
      <w:r w:rsidR="00B16196" w:rsidRPr="007B5599" w:rsidDel="00236C09">
        <w:rPr>
          <w:sz w:val="24"/>
          <w:szCs w:val="24"/>
          <w:lang w:val="fr-FR"/>
        </w:rPr>
        <w:t xml:space="preserve">Outre le changement climatique et la résilience, dans quels autres domaines </w:t>
      </w:r>
      <w:r w:rsidR="00076E31" w:rsidRPr="007B5599">
        <w:rPr>
          <w:sz w:val="24"/>
          <w:szCs w:val="24"/>
          <w:lang w:val="fr-FR"/>
        </w:rPr>
        <w:t>de collaboration stratégiques</w:t>
      </w:r>
      <w:r w:rsidR="00B16196" w:rsidRPr="007B5599" w:rsidDel="00236C09">
        <w:rPr>
          <w:sz w:val="24"/>
          <w:szCs w:val="24"/>
          <w:lang w:val="fr-FR"/>
        </w:rPr>
        <w:t xml:space="preserve"> le système des Nations Unies pour le développement devrait-il promouvoir collectivement des approches intégrées et collaboratives, conformément aux recommandations de l</w:t>
      </w:r>
      <w:r w:rsidR="00AD08B8" w:rsidRPr="007B5599">
        <w:rPr>
          <w:sz w:val="24"/>
          <w:szCs w:val="24"/>
          <w:lang w:val="fr-FR"/>
        </w:rPr>
        <w:t>’</w:t>
      </w:r>
      <w:r w:rsidR="00B16196" w:rsidRPr="007B5599" w:rsidDel="00236C09">
        <w:rPr>
          <w:sz w:val="24"/>
          <w:szCs w:val="24"/>
          <w:lang w:val="fr-FR"/>
        </w:rPr>
        <w:t>examen quadriennal complet</w:t>
      </w:r>
      <w:r w:rsidR="00537B5E">
        <w:rPr>
          <w:sz w:val="24"/>
          <w:szCs w:val="24"/>
          <w:lang w:val="fr-FR"/>
        </w:rPr>
        <w:t> </w:t>
      </w:r>
      <w:r w:rsidR="00B16196" w:rsidRPr="007B5599" w:rsidDel="00236C09">
        <w:rPr>
          <w:sz w:val="24"/>
          <w:szCs w:val="24"/>
          <w:lang w:val="fr-FR"/>
        </w:rPr>
        <w:t>? Quel est le meilleur moyen de cerner les résultats partagés de ces domaines d</w:t>
      </w:r>
      <w:r w:rsidR="00AD08B8" w:rsidRPr="007B5599">
        <w:rPr>
          <w:sz w:val="24"/>
          <w:szCs w:val="24"/>
          <w:lang w:val="fr-FR"/>
        </w:rPr>
        <w:t>’</w:t>
      </w:r>
      <w:r w:rsidR="00B16196" w:rsidRPr="007B5599" w:rsidDel="00236C09">
        <w:rPr>
          <w:sz w:val="24"/>
          <w:szCs w:val="24"/>
          <w:lang w:val="fr-FR"/>
        </w:rPr>
        <w:t>intervention communs et explicitement transversaux</w:t>
      </w:r>
      <w:r w:rsidR="00537B5E">
        <w:rPr>
          <w:sz w:val="24"/>
          <w:szCs w:val="24"/>
          <w:lang w:val="fr-FR"/>
        </w:rPr>
        <w:t> </w:t>
      </w:r>
      <w:r w:rsidR="00B16196" w:rsidRPr="007B5599" w:rsidDel="00236C09">
        <w:rPr>
          <w:sz w:val="24"/>
          <w:szCs w:val="24"/>
          <w:lang w:val="fr-FR"/>
        </w:rPr>
        <w:t>?</w:t>
      </w:r>
    </w:p>
    <w:p w14:paraId="64B59E56" w14:textId="17657F32" w:rsidR="00B16196" w:rsidRPr="007B5599" w:rsidRDefault="00A66F8B" w:rsidP="00E92952">
      <w:pPr>
        <w:pStyle w:val="ListParagraph"/>
        <w:tabs>
          <w:tab w:val="left" w:pos="1080"/>
        </w:tabs>
        <w:spacing w:after="240"/>
        <w:ind w:left="0" w:firstLine="547"/>
        <w:contextualSpacing w:val="0"/>
        <w:jc w:val="both"/>
        <w:rPr>
          <w:sz w:val="24"/>
          <w:szCs w:val="24"/>
          <w:lang w:val="fr-FR"/>
        </w:rPr>
      </w:pPr>
      <w:r w:rsidRPr="007B5599">
        <w:rPr>
          <w:sz w:val="24"/>
          <w:szCs w:val="24"/>
          <w:lang w:val="fr-FR"/>
        </w:rPr>
        <w:t>(b)</w:t>
      </w:r>
      <w:r w:rsidRPr="007B5599">
        <w:rPr>
          <w:sz w:val="24"/>
          <w:szCs w:val="24"/>
          <w:lang w:val="fr-FR"/>
        </w:rPr>
        <w:tab/>
      </w:r>
      <w:r w:rsidR="00B16196" w:rsidRPr="007B5599" w:rsidDel="00236C09">
        <w:rPr>
          <w:sz w:val="24"/>
          <w:szCs w:val="24"/>
          <w:lang w:val="fr-FR"/>
        </w:rPr>
        <w:t>Quelles approches opérationnelles innovantes pourrions-nous adopter à l</w:t>
      </w:r>
      <w:r w:rsidR="00AD08B8" w:rsidRPr="007B5599">
        <w:rPr>
          <w:sz w:val="24"/>
          <w:szCs w:val="24"/>
          <w:lang w:val="fr-FR"/>
        </w:rPr>
        <w:t>’</w:t>
      </w:r>
      <w:r w:rsidR="00B16196" w:rsidRPr="007B5599" w:rsidDel="00236C09">
        <w:rPr>
          <w:sz w:val="24"/>
          <w:szCs w:val="24"/>
          <w:lang w:val="fr-FR"/>
        </w:rPr>
        <w:t xml:space="preserve">échelle nationale, régionale et internationale, afin de consolider les résultats </w:t>
      </w:r>
      <w:r w:rsidR="00412CBE" w:rsidRPr="007B5599">
        <w:rPr>
          <w:sz w:val="24"/>
          <w:szCs w:val="24"/>
          <w:lang w:val="fr-FR"/>
        </w:rPr>
        <w:t xml:space="preserve">des </w:t>
      </w:r>
      <w:r w:rsidR="00B16196" w:rsidRPr="007B5599" w:rsidDel="00236C09">
        <w:rPr>
          <w:sz w:val="24"/>
          <w:szCs w:val="24"/>
          <w:lang w:val="fr-FR"/>
        </w:rPr>
        <w:t xml:space="preserve">principaux </w:t>
      </w:r>
      <w:r w:rsidR="00412CBE" w:rsidRPr="007B5599">
        <w:rPr>
          <w:sz w:val="24"/>
          <w:szCs w:val="24"/>
          <w:lang w:val="fr-FR"/>
        </w:rPr>
        <w:t>volets</w:t>
      </w:r>
      <w:r w:rsidR="00B16196" w:rsidRPr="007B5599" w:rsidDel="00236C09">
        <w:rPr>
          <w:sz w:val="24"/>
          <w:szCs w:val="24"/>
          <w:lang w:val="fr-FR"/>
        </w:rPr>
        <w:t xml:space="preserve"> d</w:t>
      </w:r>
      <w:r w:rsidR="00AD08B8" w:rsidRPr="007B5599">
        <w:rPr>
          <w:sz w:val="24"/>
          <w:szCs w:val="24"/>
          <w:lang w:val="fr-FR"/>
        </w:rPr>
        <w:t>’</w:t>
      </w:r>
      <w:r w:rsidR="00B16196" w:rsidRPr="007B5599" w:rsidDel="00236C09">
        <w:rPr>
          <w:sz w:val="24"/>
          <w:szCs w:val="24"/>
          <w:lang w:val="fr-FR"/>
        </w:rPr>
        <w:t>intervention transversaux et d</w:t>
      </w:r>
      <w:r w:rsidR="00AD08B8" w:rsidRPr="007B5599">
        <w:rPr>
          <w:sz w:val="24"/>
          <w:szCs w:val="24"/>
          <w:lang w:val="fr-FR"/>
        </w:rPr>
        <w:t>’</w:t>
      </w:r>
      <w:r w:rsidR="00B16196" w:rsidRPr="007B5599" w:rsidDel="00236C09">
        <w:rPr>
          <w:sz w:val="24"/>
          <w:szCs w:val="24"/>
          <w:lang w:val="fr-FR"/>
        </w:rPr>
        <w:t>améliorer l</w:t>
      </w:r>
      <w:r w:rsidR="00AD08B8" w:rsidRPr="007B5599">
        <w:rPr>
          <w:sz w:val="24"/>
          <w:szCs w:val="24"/>
          <w:lang w:val="fr-FR"/>
        </w:rPr>
        <w:t>’</w:t>
      </w:r>
      <w:r w:rsidR="00B16196" w:rsidRPr="007B5599" w:rsidDel="00236C09">
        <w:rPr>
          <w:sz w:val="24"/>
          <w:szCs w:val="24"/>
          <w:lang w:val="fr-FR"/>
        </w:rPr>
        <w:t>appui intégré aux gouvernements nationaux</w:t>
      </w:r>
      <w:r w:rsidR="00537B5E">
        <w:rPr>
          <w:sz w:val="24"/>
          <w:szCs w:val="24"/>
          <w:lang w:val="fr-FR"/>
        </w:rPr>
        <w:t> </w:t>
      </w:r>
      <w:r w:rsidR="00B16196" w:rsidRPr="007B5599" w:rsidDel="00236C09">
        <w:rPr>
          <w:sz w:val="24"/>
          <w:szCs w:val="24"/>
          <w:lang w:val="fr-FR"/>
        </w:rPr>
        <w:t>?</w:t>
      </w:r>
    </w:p>
    <w:p w14:paraId="51B93727" w14:textId="4717C1F9" w:rsidR="007C7263" w:rsidRPr="007B5599" w:rsidDel="00236C09" w:rsidRDefault="00A66F8B" w:rsidP="00E92952">
      <w:pPr>
        <w:pStyle w:val="ListParagraph"/>
        <w:tabs>
          <w:tab w:val="left" w:pos="1080"/>
        </w:tabs>
        <w:spacing w:after="240"/>
        <w:ind w:left="0" w:firstLine="547"/>
        <w:contextualSpacing w:val="0"/>
        <w:jc w:val="both"/>
        <w:rPr>
          <w:sz w:val="24"/>
          <w:szCs w:val="24"/>
          <w:lang w:val="fr-FR"/>
        </w:rPr>
      </w:pPr>
      <w:r w:rsidRPr="007B5599">
        <w:rPr>
          <w:sz w:val="24"/>
          <w:szCs w:val="24"/>
          <w:lang w:val="fr-FR"/>
        </w:rPr>
        <w:lastRenderedPageBreak/>
        <w:t>(c)</w:t>
      </w:r>
      <w:r w:rsidRPr="007B5599">
        <w:rPr>
          <w:sz w:val="24"/>
          <w:szCs w:val="24"/>
          <w:lang w:val="fr-FR"/>
        </w:rPr>
        <w:tab/>
      </w:r>
      <w:r w:rsidR="007C7263" w:rsidRPr="007B5599">
        <w:rPr>
          <w:sz w:val="24"/>
          <w:szCs w:val="24"/>
          <w:lang w:val="fr-FR"/>
        </w:rPr>
        <w:t>De quelle manière les Nations Unies peuvent-elles s</w:t>
      </w:r>
      <w:r w:rsidR="00AD08B8" w:rsidRPr="007B5599">
        <w:rPr>
          <w:sz w:val="24"/>
          <w:szCs w:val="24"/>
          <w:lang w:val="fr-FR"/>
        </w:rPr>
        <w:t>’</w:t>
      </w:r>
      <w:r w:rsidR="007C7263" w:rsidRPr="007B5599">
        <w:rPr>
          <w:sz w:val="24"/>
          <w:szCs w:val="24"/>
          <w:lang w:val="fr-FR"/>
        </w:rPr>
        <w:t>assurer collectivement que les interventions de renforcement de la résilience et d</w:t>
      </w:r>
      <w:r w:rsidR="00AD08B8" w:rsidRPr="007B5599">
        <w:rPr>
          <w:sz w:val="24"/>
          <w:szCs w:val="24"/>
          <w:lang w:val="fr-FR"/>
        </w:rPr>
        <w:t>’</w:t>
      </w:r>
      <w:r w:rsidR="007C7263" w:rsidRPr="007B5599">
        <w:rPr>
          <w:sz w:val="24"/>
          <w:szCs w:val="24"/>
          <w:lang w:val="fr-FR"/>
        </w:rPr>
        <w:t xml:space="preserve">adaptation au changement climatique contribuent à la réalisation des engagements </w:t>
      </w:r>
      <w:r w:rsidR="007C7263" w:rsidRPr="002F5F26">
        <w:rPr>
          <w:sz w:val="24"/>
          <w:szCs w:val="24"/>
          <w:lang w:val="fr-FR"/>
        </w:rPr>
        <w:t>mondiaux en matière d</w:t>
      </w:r>
      <w:r w:rsidR="00AD08B8" w:rsidRPr="002F5F26">
        <w:rPr>
          <w:sz w:val="24"/>
          <w:szCs w:val="24"/>
          <w:lang w:val="fr-FR"/>
        </w:rPr>
        <w:t>’</w:t>
      </w:r>
      <w:r w:rsidR="007C7263" w:rsidRPr="002F5F26">
        <w:rPr>
          <w:sz w:val="24"/>
          <w:szCs w:val="24"/>
          <w:lang w:val="fr-FR"/>
        </w:rPr>
        <w:t xml:space="preserve">égalité des sexes et de leadership des </w:t>
      </w:r>
      <w:r w:rsidR="007C7263" w:rsidRPr="004B1892">
        <w:rPr>
          <w:sz w:val="24"/>
          <w:szCs w:val="24"/>
          <w:lang w:val="fr-FR"/>
        </w:rPr>
        <w:t>femmes et des filles, plus exposées aux</w:t>
      </w:r>
      <w:r w:rsidR="007C7263" w:rsidRPr="007B5599">
        <w:rPr>
          <w:sz w:val="24"/>
          <w:szCs w:val="24"/>
          <w:lang w:val="fr-FR"/>
        </w:rPr>
        <w:t xml:space="preserve"> effets des catastrophes et du changement climatique</w:t>
      </w:r>
      <w:r w:rsidR="00537B5E">
        <w:rPr>
          <w:sz w:val="24"/>
          <w:szCs w:val="24"/>
          <w:lang w:val="fr-FR"/>
        </w:rPr>
        <w:t> </w:t>
      </w:r>
      <w:r w:rsidR="007C7263" w:rsidRPr="007B5599">
        <w:rPr>
          <w:sz w:val="24"/>
          <w:szCs w:val="24"/>
          <w:lang w:val="fr-FR"/>
        </w:rPr>
        <w:t>?</w:t>
      </w:r>
    </w:p>
    <w:p w14:paraId="26E9674F" w14:textId="3FD1530B" w:rsidR="00B16196" w:rsidRDefault="00A66F8B" w:rsidP="00E92952">
      <w:pPr>
        <w:pStyle w:val="ListParagraph"/>
        <w:tabs>
          <w:tab w:val="left" w:pos="1080"/>
          <w:tab w:val="left" w:pos="1170"/>
        </w:tabs>
        <w:spacing w:after="240"/>
        <w:ind w:left="0" w:firstLine="547"/>
        <w:contextualSpacing w:val="0"/>
        <w:jc w:val="both"/>
        <w:rPr>
          <w:sz w:val="24"/>
          <w:szCs w:val="24"/>
          <w:lang w:val="fr-FR"/>
        </w:rPr>
      </w:pPr>
      <w:r w:rsidRPr="007B5599">
        <w:rPr>
          <w:sz w:val="24"/>
          <w:szCs w:val="24"/>
          <w:lang w:val="fr-FR"/>
        </w:rPr>
        <w:t>(d)</w:t>
      </w:r>
      <w:r w:rsidRPr="007B5599">
        <w:rPr>
          <w:sz w:val="24"/>
          <w:szCs w:val="24"/>
          <w:lang w:val="fr-FR"/>
        </w:rPr>
        <w:tab/>
      </w:r>
      <w:r w:rsidR="00B16196" w:rsidRPr="007B5599" w:rsidDel="00236C09">
        <w:rPr>
          <w:sz w:val="24"/>
          <w:szCs w:val="24"/>
          <w:lang w:val="fr-FR"/>
        </w:rPr>
        <w:t>Quelles sont les principales priorités du déploiement à plus grande échelle des résultats collectifs des Nations Unies en matière de lutte contre le changement climatique et de renforcement de la résilience, sur la période concernée par l</w:t>
      </w:r>
      <w:r w:rsidR="00AD08B8" w:rsidRPr="007B5599">
        <w:rPr>
          <w:sz w:val="24"/>
          <w:szCs w:val="24"/>
          <w:lang w:val="fr-FR"/>
        </w:rPr>
        <w:t>’</w:t>
      </w:r>
      <w:r w:rsidR="00B16196" w:rsidRPr="007B5599" w:rsidDel="00236C09">
        <w:rPr>
          <w:sz w:val="24"/>
          <w:szCs w:val="24"/>
          <w:lang w:val="fr-FR"/>
        </w:rPr>
        <w:t>examen quadriennal complet actuel</w:t>
      </w:r>
      <w:r w:rsidR="00537B5E">
        <w:rPr>
          <w:sz w:val="24"/>
          <w:szCs w:val="24"/>
          <w:lang w:val="fr-FR"/>
        </w:rPr>
        <w:t> </w:t>
      </w:r>
      <w:r w:rsidR="00B16196" w:rsidRPr="007B5599" w:rsidDel="00236C09">
        <w:rPr>
          <w:sz w:val="24"/>
          <w:szCs w:val="24"/>
          <w:lang w:val="fr-FR"/>
        </w:rPr>
        <w:t xml:space="preserve">? De quelle manière le renforcement du </w:t>
      </w:r>
      <w:r w:rsidR="001D3409">
        <w:rPr>
          <w:sz w:val="24"/>
          <w:szCs w:val="24"/>
          <w:lang w:val="fr-FR"/>
        </w:rPr>
        <w:t xml:space="preserve">lien entre action humanitaire et </w:t>
      </w:r>
      <w:r w:rsidR="00B16196" w:rsidRPr="007B5599" w:rsidDel="00236C09">
        <w:rPr>
          <w:sz w:val="24"/>
          <w:szCs w:val="24"/>
          <w:lang w:val="fr-FR"/>
        </w:rPr>
        <w:t>développement peut-il appuyer ces efforts</w:t>
      </w:r>
      <w:r w:rsidR="00537B5E">
        <w:rPr>
          <w:sz w:val="24"/>
          <w:szCs w:val="24"/>
          <w:lang w:val="fr-FR"/>
        </w:rPr>
        <w:t> </w:t>
      </w:r>
      <w:r w:rsidR="00B16196" w:rsidRPr="007B5599" w:rsidDel="00236C09">
        <w:rPr>
          <w:sz w:val="24"/>
          <w:szCs w:val="24"/>
          <w:lang w:val="fr-FR"/>
        </w:rPr>
        <w:t>?</w:t>
      </w:r>
    </w:p>
    <w:p w14:paraId="4FEEA3B3" w14:textId="4681D30A" w:rsidR="00103F54" w:rsidRPr="007B5599" w:rsidDel="00236C09" w:rsidRDefault="00E92952" w:rsidP="00E92952">
      <w:pPr>
        <w:pStyle w:val="ListParagraph"/>
        <w:tabs>
          <w:tab w:val="left" w:pos="1080"/>
          <w:tab w:val="left" w:pos="1170"/>
        </w:tabs>
        <w:spacing w:after="240"/>
        <w:ind w:left="0" w:firstLine="547"/>
        <w:contextualSpacing w:val="0"/>
        <w:jc w:val="both"/>
        <w:rPr>
          <w:sz w:val="24"/>
          <w:szCs w:val="24"/>
          <w:lang w:val="fr-FR"/>
        </w:rPr>
      </w:pPr>
      <w:r>
        <w:rPr>
          <w:sz w:val="24"/>
          <w:szCs w:val="24"/>
          <w:lang w:val="fr-FR"/>
        </w:rPr>
        <w:t>(e)</w:t>
      </w:r>
      <w:r>
        <w:rPr>
          <w:sz w:val="24"/>
          <w:szCs w:val="24"/>
          <w:lang w:val="fr-FR"/>
        </w:rPr>
        <w:tab/>
      </w:r>
      <w:r w:rsidR="00103F54" w:rsidRPr="007B5599" w:rsidDel="00236C09">
        <w:rPr>
          <w:sz w:val="24"/>
          <w:szCs w:val="24"/>
          <w:lang w:val="fr-FR"/>
        </w:rPr>
        <w:t xml:space="preserve">Par quels moyens les organismes peuvent-ils améliorer les capacités et la mobilisation de leur personnel en </w:t>
      </w:r>
      <w:r w:rsidR="001D3409">
        <w:rPr>
          <w:sz w:val="24"/>
          <w:szCs w:val="24"/>
          <w:lang w:val="fr-FR"/>
        </w:rPr>
        <w:t>vue</w:t>
      </w:r>
      <w:r w:rsidR="00103F54" w:rsidRPr="007B5599" w:rsidDel="00236C09">
        <w:rPr>
          <w:sz w:val="24"/>
          <w:szCs w:val="24"/>
          <w:lang w:val="fr-FR"/>
        </w:rPr>
        <w:t xml:space="preserve"> d</w:t>
      </w:r>
      <w:r w:rsidR="00AD08B8" w:rsidRPr="007B5599">
        <w:rPr>
          <w:sz w:val="24"/>
          <w:szCs w:val="24"/>
          <w:lang w:val="fr-FR"/>
        </w:rPr>
        <w:t>’</w:t>
      </w:r>
      <w:r w:rsidR="00103F54" w:rsidRPr="007B5599" w:rsidDel="00236C09">
        <w:rPr>
          <w:sz w:val="24"/>
          <w:szCs w:val="24"/>
          <w:lang w:val="fr-FR"/>
        </w:rPr>
        <w:t>approches intégrées et collaborative</w:t>
      </w:r>
      <w:r w:rsidR="00AD08B8" w:rsidRPr="007B5599">
        <w:rPr>
          <w:sz w:val="24"/>
          <w:szCs w:val="24"/>
          <w:lang w:val="fr-FR"/>
        </w:rPr>
        <w:t>s</w:t>
      </w:r>
      <w:r w:rsidR="00537B5E">
        <w:rPr>
          <w:sz w:val="24"/>
          <w:szCs w:val="24"/>
          <w:lang w:val="fr-FR"/>
        </w:rPr>
        <w:t> </w:t>
      </w:r>
      <w:r w:rsidR="00103F54" w:rsidRPr="007B5599" w:rsidDel="00236C09">
        <w:rPr>
          <w:sz w:val="24"/>
          <w:szCs w:val="24"/>
          <w:lang w:val="fr-FR"/>
        </w:rPr>
        <w:t xml:space="preserve">? Quelles seraient les incitations à mettre en place pour </w:t>
      </w:r>
      <w:r w:rsidR="00EA0BBA" w:rsidRPr="007B5599">
        <w:rPr>
          <w:sz w:val="24"/>
          <w:szCs w:val="24"/>
          <w:lang w:val="fr-FR"/>
        </w:rPr>
        <w:t>promouvoir</w:t>
      </w:r>
      <w:r w:rsidR="00103F54" w:rsidRPr="007B5599" w:rsidDel="00236C09">
        <w:rPr>
          <w:sz w:val="24"/>
          <w:szCs w:val="24"/>
          <w:lang w:val="fr-FR"/>
        </w:rPr>
        <w:t xml:space="preserve"> ces approches</w:t>
      </w:r>
      <w:r w:rsidR="00537B5E">
        <w:rPr>
          <w:sz w:val="24"/>
          <w:szCs w:val="24"/>
          <w:lang w:val="fr-FR"/>
        </w:rPr>
        <w:t> </w:t>
      </w:r>
      <w:r w:rsidR="00103F54" w:rsidRPr="007B5599" w:rsidDel="00236C09">
        <w:rPr>
          <w:sz w:val="24"/>
          <w:szCs w:val="24"/>
          <w:lang w:val="fr-FR"/>
        </w:rPr>
        <w:t>?</w:t>
      </w:r>
    </w:p>
    <w:p w14:paraId="110AE0F3" w14:textId="77777777" w:rsidR="00103F54" w:rsidRPr="007B5599" w:rsidRDefault="00103F54" w:rsidP="00D21D6B">
      <w:pPr>
        <w:pStyle w:val="ListParagraph"/>
        <w:ind w:left="0"/>
        <w:rPr>
          <w:sz w:val="24"/>
          <w:szCs w:val="24"/>
          <w:lang w:val="fr-FR"/>
        </w:rPr>
      </w:pPr>
    </w:p>
    <w:p w14:paraId="6964725D" w14:textId="77777777" w:rsidR="00103F54" w:rsidRPr="00D21D6B" w:rsidRDefault="0040468C" w:rsidP="00D21D6B">
      <w:pPr>
        <w:jc w:val="center"/>
        <w:rPr>
          <w:sz w:val="24"/>
          <w:szCs w:val="24"/>
        </w:rPr>
      </w:pPr>
      <w:r w:rsidRPr="00D21D6B">
        <w:rPr>
          <w:sz w:val="24"/>
          <w:szCs w:val="24"/>
        </w:rPr>
        <w:t>___________</w:t>
      </w:r>
    </w:p>
    <w:sectPr w:rsidR="00103F54" w:rsidRPr="00D21D6B" w:rsidSect="00533D75">
      <w:footerReference w:type="even" r:id="rId17"/>
      <w:footerReference w:type="default" r:id="rId18"/>
      <w:pgSz w:w="12240" w:h="15840"/>
      <w:pgMar w:top="994" w:right="1166" w:bottom="907" w:left="1440"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A442A" w14:textId="77777777" w:rsidR="001E0915" w:rsidRDefault="001E0915">
      <w:r>
        <w:separator/>
      </w:r>
    </w:p>
  </w:endnote>
  <w:endnote w:type="continuationSeparator" w:id="0">
    <w:p w14:paraId="09C463B0" w14:textId="77777777" w:rsidR="001E0915" w:rsidRDefault="001E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1BCA" w14:textId="77777777" w:rsidR="00A3517C" w:rsidRDefault="00A3517C">
    <w:pPr>
      <w:pStyle w:val="Footer"/>
    </w:pPr>
  </w:p>
  <w:p w14:paraId="177DEDFA" w14:textId="3C359DD1" w:rsidR="00533D75" w:rsidRDefault="001E0915">
    <w:pPr>
      <w:pStyle w:val="Footer"/>
    </w:pPr>
    <w:sdt>
      <w:sdtPr>
        <w:id w:val="377134669"/>
        <w:docPartObj>
          <w:docPartGallery w:val="Page Numbers (Bottom of Page)"/>
          <w:docPartUnique/>
        </w:docPartObj>
      </w:sdtPr>
      <w:sdtEndPr>
        <w:rPr>
          <w:noProof/>
        </w:rPr>
      </w:sdtEndPr>
      <w:sdtContent>
        <w:r w:rsidR="00533D75">
          <w:fldChar w:fldCharType="begin"/>
        </w:r>
        <w:r w:rsidR="00533D75">
          <w:instrText xml:space="preserve"> PAGE   \* MERGEFORMAT </w:instrText>
        </w:r>
        <w:r w:rsidR="00533D75">
          <w:fldChar w:fldCharType="separate"/>
        </w:r>
        <w:r w:rsidR="00876DDD">
          <w:rPr>
            <w:noProof/>
          </w:rPr>
          <w:t>2</w:t>
        </w:r>
        <w:r w:rsidR="00533D75">
          <w:rPr>
            <w:noProof/>
          </w:rPr>
          <w:fldChar w:fldCharType="end"/>
        </w:r>
        <w:r w:rsidR="00533D75">
          <w:rPr>
            <w:noProof/>
          </w:rPr>
          <w:t>/10</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754D" w14:textId="77777777" w:rsidR="00A3517C" w:rsidRDefault="00A3517C" w:rsidP="00A3517C">
    <w:pPr>
      <w:pStyle w:val="Footer"/>
      <w:jc w:val="right"/>
    </w:pPr>
  </w:p>
  <w:p w14:paraId="046F1C2D" w14:textId="77777777" w:rsidR="00A3517C" w:rsidRDefault="001E0915" w:rsidP="00A3517C">
    <w:pPr>
      <w:pStyle w:val="Footer"/>
      <w:jc w:val="right"/>
    </w:pPr>
    <w:sdt>
      <w:sdtPr>
        <w:id w:val="-1245723251"/>
        <w:docPartObj>
          <w:docPartGallery w:val="Page Numbers (Bottom of Page)"/>
          <w:docPartUnique/>
        </w:docPartObj>
      </w:sdtPr>
      <w:sdtEndPr>
        <w:rPr>
          <w:noProof/>
        </w:rPr>
      </w:sdtEndPr>
      <w:sdtContent>
        <w:r w:rsidR="00A3517C">
          <w:fldChar w:fldCharType="begin"/>
        </w:r>
        <w:r w:rsidR="00A3517C">
          <w:instrText xml:space="preserve"> PAGE   \* MERGEFORMAT </w:instrText>
        </w:r>
        <w:r w:rsidR="00A3517C">
          <w:fldChar w:fldCharType="separate"/>
        </w:r>
        <w:r w:rsidR="00876DDD">
          <w:rPr>
            <w:noProof/>
          </w:rPr>
          <w:t>9</w:t>
        </w:r>
        <w:r w:rsidR="00A3517C">
          <w:rPr>
            <w:noProof/>
          </w:rPr>
          <w:fldChar w:fldCharType="end"/>
        </w:r>
        <w:r w:rsidR="00A3517C">
          <w:rPr>
            <w:noProof/>
          </w:rPr>
          <w:t>/10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044B2" w14:textId="77777777" w:rsidR="001E0915" w:rsidRDefault="001E0915">
      <w:r>
        <w:separator/>
      </w:r>
    </w:p>
  </w:footnote>
  <w:footnote w:type="continuationSeparator" w:id="0">
    <w:p w14:paraId="4E571742" w14:textId="77777777" w:rsidR="001E0915" w:rsidRDefault="001E0915">
      <w:r>
        <w:continuationSeparator/>
      </w:r>
    </w:p>
  </w:footnote>
  <w:footnote w:id="1">
    <w:p w14:paraId="3E9C6781" w14:textId="77777777" w:rsidR="00C937B0" w:rsidRPr="009C15AB" w:rsidRDefault="00C937B0">
      <w:pPr>
        <w:pStyle w:val="FootnoteText"/>
        <w:rPr>
          <w:sz w:val="17"/>
          <w:szCs w:val="17"/>
        </w:rPr>
      </w:pPr>
      <w:r w:rsidRPr="009C15AB">
        <w:rPr>
          <w:rStyle w:val="FootnoteReference"/>
          <w:sz w:val="17"/>
          <w:szCs w:val="17"/>
        </w:rPr>
        <w:footnoteRef/>
      </w:r>
      <w:r w:rsidRPr="009C15AB">
        <w:rPr>
          <w:sz w:val="17"/>
          <w:szCs w:val="17"/>
        </w:rPr>
        <w:t xml:space="preserve"> </w:t>
      </w:r>
      <w:hyperlink r:id="rId1" w:history="1">
        <w:r w:rsidRPr="009C15AB">
          <w:rPr>
            <w:rStyle w:val="Hyperlink"/>
            <w:sz w:val="17"/>
            <w:szCs w:val="17"/>
            <w:u w:val="none"/>
          </w:rPr>
          <w:t>http://www.unsystem.org/content/ceb-common-principles-on-2030-agenda-sustainable</w:t>
        </w:r>
      </w:hyperlink>
      <w:r w:rsidRPr="009C15AB">
        <w:rPr>
          <w:sz w:val="17"/>
          <w:szCs w:val="17"/>
        </w:rPr>
        <w:t>.</w:t>
      </w:r>
    </w:p>
  </w:footnote>
  <w:footnote w:id="2">
    <w:p w14:paraId="113B8866" w14:textId="77777777" w:rsidR="00C937B0" w:rsidRPr="009C15AB" w:rsidRDefault="00C937B0">
      <w:pPr>
        <w:pStyle w:val="FootnoteText"/>
        <w:rPr>
          <w:sz w:val="17"/>
          <w:szCs w:val="17"/>
        </w:rPr>
      </w:pPr>
      <w:r w:rsidRPr="009C15AB">
        <w:rPr>
          <w:rStyle w:val="FootnoteReference"/>
          <w:sz w:val="17"/>
          <w:szCs w:val="17"/>
        </w:rPr>
        <w:footnoteRef/>
      </w:r>
      <w:r w:rsidRPr="009C15AB">
        <w:rPr>
          <w:sz w:val="17"/>
          <w:szCs w:val="17"/>
        </w:rPr>
        <w:t xml:space="preserve"> </w:t>
      </w:r>
      <w:hyperlink r:id="rId2" w:history="1">
        <w:r w:rsidRPr="009C15AB">
          <w:rPr>
            <w:rStyle w:val="Hyperlink"/>
            <w:sz w:val="17"/>
            <w:szCs w:val="17"/>
            <w:u w:val="none"/>
          </w:rPr>
          <w:t>https://undg.org/standard-operating-procedures-for-delivering-as-one</w:t>
        </w:r>
      </w:hyperlink>
      <w:r w:rsidRPr="009C15AB">
        <w:rPr>
          <w:sz w:val="17"/>
          <w:szCs w:val="17"/>
        </w:rPr>
        <w:t>.</w:t>
      </w:r>
    </w:p>
  </w:footnote>
  <w:footnote w:id="3">
    <w:p w14:paraId="33EC5DF0" w14:textId="0D065A50" w:rsidR="00C937B0" w:rsidRPr="009C15AB" w:rsidRDefault="00C937B0">
      <w:pPr>
        <w:rPr>
          <w:sz w:val="17"/>
          <w:szCs w:val="17"/>
        </w:rPr>
      </w:pPr>
      <w:r w:rsidRPr="009C15AB">
        <w:rPr>
          <w:sz w:val="17"/>
          <w:szCs w:val="17"/>
          <w:vertAlign w:val="superscript"/>
        </w:rPr>
        <w:footnoteRef/>
      </w:r>
      <w:r w:rsidRPr="009C15AB">
        <w:rPr>
          <w:sz w:val="17"/>
          <w:szCs w:val="17"/>
        </w:rPr>
        <w:t xml:space="preserve"> </w:t>
      </w:r>
      <w:hyperlink r:id="rId3" w:history="1">
        <w:r w:rsidRPr="00E36C2A">
          <w:rPr>
            <w:rStyle w:val="Hyperlink"/>
            <w:sz w:val="17"/>
            <w:szCs w:val="17"/>
            <w:u w:val="none"/>
          </w:rPr>
          <w:t>http://www.unsystem.org/content/common-core-principles-un-system-wide-approach-climate-action</w:t>
        </w:r>
      </w:hyperlink>
      <w:r w:rsidRPr="009C15AB">
        <w:rPr>
          <w:sz w:val="17"/>
          <w:szCs w:val="17"/>
        </w:rPr>
        <w:t>.</w:t>
      </w:r>
    </w:p>
  </w:footnote>
  <w:footnote w:id="4">
    <w:p w14:paraId="0DDC9276" w14:textId="77777777" w:rsidR="00C937B0" w:rsidRPr="009C15AB" w:rsidRDefault="00C937B0">
      <w:pPr>
        <w:pStyle w:val="FootnoteText"/>
        <w:rPr>
          <w:sz w:val="17"/>
          <w:szCs w:val="17"/>
        </w:rPr>
      </w:pPr>
      <w:r w:rsidRPr="009C15AB">
        <w:rPr>
          <w:rStyle w:val="FootnoteReference"/>
          <w:sz w:val="17"/>
          <w:szCs w:val="17"/>
        </w:rPr>
        <w:footnoteRef/>
      </w:r>
      <w:r w:rsidRPr="009C15AB">
        <w:rPr>
          <w:sz w:val="17"/>
          <w:szCs w:val="17"/>
        </w:rPr>
        <w:t xml:space="preserve"> </w:t>
      </w:r>
      <w:hyperlink r:id="rId4" w:history="1">
        <w:r w:rsidRPr="009C15AB">
          <w:rPr>
            <w:rStyle w:val="Hyperlink"/>
            <w:sz w:val="17"/>
            <w:szCs w:val="17"/>
            <w:u w:val="none"/>
          </w:rPr>
          <w:t>http://www.preventionweb.net/files/49076_unplanofaction.pdf</w:t>
        </w:r>
      </w:hyperlink>
      <w:r w:rsidRPr="009C15AB">
        <w:rPr>
          <w:sz w:val="17"/>
          <w:szCs w:val="17"/>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9F6"/>
    <w:multiLevelType w:val="hybridMultilevel"/>
    <w:tmpl w:val="5D12D72C"/>
    <w:lvl w:ilvl="0" w:tplc="762006BE">
      <w:start w:val="1"/>
      <w:numFmt w:val="decimal"/>
      <w:lvlText w:val="%1."/>
      <w:lvlJc w:val="left"/>
      <w:pPr>
        <w:ind w:left="7740" w:hanging="360"/>
      </w:pPr>
      <w:rPr>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A2E10EC"/>
    <w:multiLevelType w:val="multilevel"/>
    <w:tmpl w:val="ACD262C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D1A1E12"/>
    <w:multiLevelType w:val="multilevel"/>
    <w:tmpl w:val="ACD262C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6FD7F7A"/>
    <w:multiLevelType w:val="hybridMultilevel"/>
    <w:tmpl w:val="8DB0007C"/>
    <w:lvl w:ilvl="0" w:tplc="A15CD6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351FB"/>
    <w:multiLevelType w:val="hybridMultilevel"/>
    <w:tmpl w:val="C56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D4A"/>
    <w:multiLevelType w:val="hybridMultilevel"/>
    <w:tmpl w:val="99920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583"/>
    <w:multiLevelType w:val="multilevel"/>
    <w:tmpl w:val="800E2CD8"/>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4B80FA3"/>
    <w:multiLevelType w:val="multilevel"/>
    <w:tmpl w:val="2E42E9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4E12DA4"/>
    <w:multiLevelType w:val="hybridMultilevel"/>
    <w:tmpl w:val="3EAE19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F0A8B"/>
    <w:multiLevelType w:val="hybridMultilevel"/>
    <w:tmpl w:val="52A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F16B3"/>
    <w:multiLevelType w:val="hybridMultilevel"/>
    <w:tmpl w:val="FF365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80358F"/>
    <w:multiLevelType w:val="multilevel"/>
    <w:tmpl w:val="D72645A8"/>
    <w:lvl w:ilvl="0">
      <w:start w:val="1"/>
      <w:numFmt w:val="upperRoman"/>
      <w:lvlText w:val="%1."/>
      <w:lvlJc w:val="left"/>
      <w:pPr>
        <w:ind w:left="-360" w:firstLine="360"/>
      </w:p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12" w15:restartNumberingAfterBreak="0">
    <w:nsid w:val="6D61679B"/>
    <w:multiLevelType w:val="hybridMultilevel"/>
    <w:tmpl w:val="BBC2B05C"/>
    <w:lvl w:ilvl="0" w:tplc="B600C352">
      <w:start w:val="1"/>
      <w:numFmt w:val="upperRoman"/>
      <w:lvlText w:val="%1."/>
      <w:lvlJc w:val="left"/>
      <w:pPr>
        <w:ind w:left="1080" w:hanging="72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67E51"/>
    <w:multiLevelType w:val="hybridMultilevel"/>
    <w:tmpl w:val="7FB49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346702"/>
    <w:multiLevelType w:val="hybridMultilevel"/>
    <w:tmpl w:val="008E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752E2"/>
    <w:multiLevelType w:val="hybridMultilevel"/>
    <w:tmpl w:val="381AC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9"/>
  </w:num>
  <w:num w:numId="5">
    <w:abstractNumId w:val="10"/>
  </w:num>
  <w:num w:numId="6">
    <w:abstractNumId w:val="1"/>
  </w:num>
  <w:num w:numId="7">
    <w:abstractNumId w:val="2"/>
  </w:num>
  <w:num w:numId="8">
    <w:abstractNumId w:val="4"/>
  </w:num>
  <w:num w:numId="9">
    <w:abstractNumId w:val="5"/>
  </w:num>
  <w:num w:numId="10">
    <w:abstractNumId w:val="13"/>
  </w:num>
  <w:num w:numId="11">
    <w:abstractNumId w:val="3"/>
  </w:num>
  <w:num w:numId="12">
    <w:abstractNumId w:val="0"/>
  </w:num>
  <w:num w:numId="13">
    <w:abstractNumId w:val="15"/>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6E"/>
    <w:rsid w:val="00011AD8"/>
    <w:rsid w:val="000208C0"/>
    <w:rsid w:val="00024631"/>
    <w:rsid w:val="0003231A"/>
    <w:rsid w:val="00033659"/>
    <w:rsid w:val="00036CA5"/>
    <w:rsid w:val="0004515E"/>
    <w:rsid w:val="00051E9D"/>
    <w:rsid w:val="00055EDC"/>
    <w:rsid w:val="000633C6"/>
    <w:rsid w:val="00067459"/>
    <w:rsid w:val="00074748"/>
    <w:rsid w:val="00074F87"/>
    <w:rsid w:val="00076E31"/>
    <w:rsid w:val="00084F3A"/>
    <w:rsid w:val="000963F7"/>
    <w:rsid w:val="000C78C9"/>
    <w:rsid w:val="000D5444"/>
    <w:rsid w:val="00103F54"/>
    <w:rsid w:val="0010725C"/>
    <w:rsid w:val="00107C12"/>
    <w:rsid w:val="00112D40"/>
    <w:rsid w:val="00114D1A"/>
    <w:rsid w:val="00124594"/>
    <w:rsid w:val="00136442"/>
    <w:rsid w:val="00137353"/>
    <w:rsid w:val="001445B0"/>
    <w:rsid w:val="001517E9"/>
    <w:rsid w:val="00153F87"/>
    <w:rsid w:val="00162443"/>
    <w:rsid w:val="00164792"/>
    <w:rsid w:val="001677CE"/>
    <w:rsid w:val="0019223F"/>
    <w:rsid w:val="00193F7D"/>
    <w:rsid w:val="001A2DA3"/>
    <w:rsid w:val="001B2250"/>
    <w:rsid w:val="001B7174"/>
    <w:rsid w:val="001C766D"/>
    <w:rsid w:val="001D1079"/>
    <w:rsid w:val="001D3409"/>
    <w:rsid w:val="001D630C"/>
    <w:rsid w:val="001D7410"/>
    <w:rsid w:val="001E0915"/>
    <w:rsid w:val="001E17B4"/>
    <w:rsid w:val="001E25FB"/>
    <w:rsid w:val="001E3952"/>
    <w:rsid w:val="001E58D2"/>
    <w:rsid w:val="00207D1D"/>
    <w:rsid w:val="002132D3"/>
    <w:rsid w:val="00214B75"/>
    <w:rsid w:val="0021736B"/>
    <w:rsid w:val="002219FA"/>
    <w:rsid w:val="00235AB0"/>
    <w:rsid w:val="00236C09"/>
    <w:rsid w:val="0023724D"/>
    <w:rsid w:val="00250FCF"/>
    <w:rsid w:val="00256277"/>
    <w:rsid w:val="0027266B"/>
    <w:rsid w:val="00284AFD"/>
    <w:rsid w:val="00285574"/>
    <w:rsid w:val="002A1C6C"/>
    <w:rsid w:val="002A3C8A"/>
    <w:rsid w:val="002A6474"/>
    <w:rsid w:val="002B4A8B"/>
    <w:rsid w:val="002B680E"/>
    <w:rsid w:val="002C4BEB"/>
    <w:rsid w:val="002C7FCB"/>
    <w:rsid w:val="002D65F4"/>
    <w:rsid w:val="002E1125"/>
    <w:rsid w:val="002F3A79"/>
    <w:rsid w:val="002F542B"/>
    <w:rsid w:val="002F5F26"/>
    <w:rsid w:val="00310C29"/>
    <w:rsid w:val="0031155F"/>
    <w:rsid w:val="0032766D"/>
    <w:rsid w:val="0033153C"/>
    <w:rsid w:val="003432B2"/>
    <w:rsid w:val="00371C1C"/>
    <w:rsid w:val="003852D7"/>
    <w:rsid w:val="00391456"/>
    <w:rsid w:val="003A141D"/>
    <w:rsid w:val="003B6BFF"/>
    <w:rsid w:val="003C19D4"/>
    <w:rsid w:val="003D2E7C"/>
    <w:rsid w:val="003D5B14"/>
    <w:rsid w:val="003E34EC"/>
    <w:rsid w:val="0040468C"/>
    <w:rsid w:val="004066D8"/>
    <w:rsid w:val="00407585"/>
    <w:rsid w:val="00412CBE"/>
    <w:rsid w:val="0042616E"/>
    <w:rsid w:val="004305B4"/>
    <w:rsid w:val="004359BA"/>
    <w:rsid w:val="00437F96"/>
    <w:rsid w:val="00447C54"/>
    <w:rsid w:val="00450425"/>
    <w:rsid w:val="00472F04"/>
    <w:rsid w:val="00476687"/>
    <w:rsid w:val="00477850"/>
    <w:rsid w:val="00486513"/>
    <w:rsid w:val="004A64DD"/>
    <w:rsid w:val="004A74B2"/>
    <w:rsid w:val="004B1892"/>
    <w:rsid w:val="004C44FA"/>
    <w:rsid w:val="004C7F43"/>
    <w:rsid w:val="004D769F"/>
    <w:rsid w:val="004E5CDE"/>
    <w:rsid w:val="004F06B1"/>
    <w:rsid w:val="004F6E6B"/>
    <w:rsid w:val="005126DB"/>
    <w:rsid w:val="0051591F"/>
    <w:rsid w:val="00521498"/>
    <w:rsid w:val="00532008"/>
    <w:rsid w:val="00533D75"/>
    <w:rsid w:val="00536A82"/>
    <w:rsid w:val="00537B5E"/>
    <w:rsid w:val="005423F8"/>
    <w:rsid w:val="0056012F"/>
    <w:rsid w:val="005800FB"/>
    <w:rsid w:val="00593D58"/>
    <w:rsid w:val="00597078"/>
    <w:rsid w:val="005A1469"/>
    <w:rsid w:val="005A34D9"/>
    <w:rsid w:val="005A7BED"/>
    <w:rsid w:val="005B0EB0"/>
    <w:rsid w:val="005B2A6D"/>
    <w:rsid w:val="005B7D6A"/>
    <w:rsid w:val="005D5111"/>
    <w:rsid w:val="005D5D64"/>
    <w:rsid w:val="005E1B98"/>
    <w:rsid w:val="005F0892"/>
    <w:rsid w:val="006025F7"/>
    <w:rsid w:val="0060667F"/>
    <w:rsid w:val="00607C22"/>
    <w:rsid w:val="00607CBC"/>
    <w:rsid w:val="00624E62"/>
    <w:rsid w:val="00635174"/>
    <w:rsid w:val="0063646E"/>
    <w:rsid w:val="006415EE"/>
    <w:rsid w:val="00643B44"/>
    <w:rsid w:val="00646ACC"/>
    <w:rsid w:val="0064730A"/>
    <w:rsid w:val="006648FC"/>
    <w:rsid w:val="0066675E"/>
    <w:rsid w:val="00675E3D"/>
    <w:rsid w:val="00676B21"/>
    <w:rsid w:val="006A6FD2"/>
    <w:rsid w:val="006C2A9B"/>
    <w:rsid w:val="006D0768"/>
    <w:rsid w:val="006D6019"/>
    <w:rsid w:val="006D78A2"/>
    <w:rsid w:val="006E713B"/>
    <w:rsid w:val="006F0E51"/>
    <w:rsid w:val="00700D09"/>
    <w:rsid w:val="0071020A"/>
    <w:rsid w:val="00713F42"/>
    <w:rsid w:val="00723B5A"/>
    <w:rsid w:val="007313FD"/>
    <w:rsid w:val="00731BCC"/>
    <w:rsid w:val="00732D3C"/>
    <w:rsid w:val="00733B21"/>
    <w:rsid w:val="00743123"/>
    <w:rsid w:val="0075002F"/>
    <w:rsid w:val="007510D9"/>
    <w:rsid w:val="007608B6"/>
    <w:rsid w:val="00762563"/>
    <w:rsid w:val="00765401"/>
    <w:rsid w:val="0077482D"/>
    <w:rsid w:val="007858CB"/>
    <w:rsid w:val="00786E9B"/>
    <w:rsid w:val="00791006"/>
    <w:rsid w:val="00791C9C"/>
    <w:rsid w:val="00792153"/>
    <w:rsid w:val="007A14D6"/>
    <w:rsid w:val="007A1649"/>
    <w:rsid w:val="007A2390"/>
    <w:rsid w:val="007B458F"/>
    <w:rsid w:val="007B5599"/>
    <w:rsid w:val="007B670D"/>
    <w:rsid w:val="007C0A69"/>
    <w:rsid w:val="007C327D"/>
    <w:rsid w:val="007C7263"/>
    <w:rsid w:val="007D266E"/>
    <w:rsid w:val="007D389D"/>
    <w:rsid w:val="007D7194"/>
    <w:rsid w:val="007E0600"/>
    <w:rsid w:val="007E659F"/>
    <w:rsid w:val="007F3672"/>
    <w:rsid w:val="007F41D9"/>
    <w:rsid w:val="008025A9"/>
    <w:rsid w:val="0080298C"/>
    <w:rsid w:val="0080348F"/>
    <w:rsid w:val="00806AAE"/>
    <w:rsid w:val="008132B9"/>
    <w:rsid w:val="008315A3"/>
    <w:rsid w:val="00846B02"/>
    <w:rsid w:val="00851E78"/>
    <w:rsid w:val="008573D0"/>
    <w:rsid w:val="0086568B"/>
    <w:rsid w:val="008704A8"/>
    <w:rsid w:val="00870B4D"/>
    <w:rsid w:val="008718FF"/>
    <w:rsid w:val="00876DDD"/>
    <w:rsid w:val="008B0F9B"/>
    <w:rsid w:val="008B1CBB"/>
    <w:rsid w:val="008B3DFA"/>
    <w:rsid w:val="008B65C1"/>
    <w:rsid w:val="008C6750"/>
    <w:rsid w:val="008D778B"/>
    <w:rsid w:val="008E1DBE"/>
    <w:rsid w:val="008E589E"/>
    <w:rsid w:val="008E67E1"/>
    <w:rsid w:val="00917D69"/>
    <w:rsid w:val="00923160"/>
    <w:rsid w:val="00926774"/>
    <w:rsid w:val="009301A2"/>
    <w:rsid w:val="00932BFB"/>
    <w:rsid w:val="00942B21"/>
    <w:rsid w:val="009462FC"/>
    <w:rsid w:val="009574BC"/>
    <w:rsid w:val="00960304"/>
    <w:rsid w:val="009827A7"/>
    <w:rsid w:val="009922AE"/>
    <w:rsid w:val="009A2E59"/>
    <w:rsid w:val="009C15AB"/>
    <w:rsid w:val="009D4A58"/>
    <w:rsid w:val="009E1D24"/>
    <w:rsid w:val="009E27ED"/>
    <w:rsid w:val="009F1531"/>
    <w:rsid w:val="009F4D89"/>
    <w:rsid w:val="009F51CF"/>
    <w:rsid w:val="009F6486"/>
    <w:rsid w:val="00A001C3"/>
    <w:rsid w:val="00A11388"/>
    <w:rsid w:val="00A21405"/>
    <w:rsid w:val="00A31AD5"/>
    <w:rsid w:val="00A3517C"/>
    <w:rsid w:val="00A35636"/>
    <w:rsid w:val="00A45509"/>
    <w:rsid w:val="00A46C39"/>
    <w:rsid w:val="00A513AC"/>
    <w:rsid w:val="00A655FD"/>
    <w:rsid w:val="00A65E39"/>
    <w:rsid w:val="00A66F8B"/>
    <w:rsid w:val="00A70CB3"/>
    <w:rsid w:val="00A73289"/>
    <w:rsid w:val="00A74DF2"/>
    <w:rsid w:val="00A7552F"/>
    <w:rsid w:val="00A84308"/>
    <w:rsid w:val="00A86A76"/>
    <w:rsid w:val="00AA4A15"/>
    <w:rsid w:val="00AA7E91"/>
    <w:rsid w:val="00AB2705"/>
    <w:rsid w:val="00AC2C27"/>
    <w:rsid w:val="00AD08B8"/>
    <w:rsid w:val="00AD24EF"/>
    <w:rsid w:val="00AF5E07"/>
    <w:rsid w:val="00B07D3E"/>
    <w:rsid w:val="00B11A97"/>
    <w:rsid w:val="00B120CA"/>
    <w:rsid w:val="00B139A0"/>
    <w:rsid w:val="00B16196"/>
    <w:rsid w:val="00B42BB2"/>
    <w:rsid w:val="00B515B2"/>
    <w:rsid w:val="00B640B9"/>
    <w:rsid w:val="00B67733"/>
    <w:rsid w:val="00B70D2D"/>
    <w:rsid w:val="00B82E3F"/>
    <w:rsid w:val="00B83FFB"/>
    <w:rsid w:val="00B85241"/>
    <w:rsid w:val="00B8639A"/>
    <w:rsid w:val="00B9466A"/>
    <w:rsid w:val="00B96372"/>
    <w:rsid w:val="00BA49FC"/>
    <w:rsid w:val="00BB6303"/>
    <w:rsid w:val="00BC5BA5"/>
    <w:rsid w:val="00BD0884"/>
    <w:rsid w:val="00BD33CF"/>
    <w:rsid w:val="00BE2368"/>
    <w:rsid w:val="00BF30FF"/>
    <w:rsid w:val="00BF44DC"/>
    <w:rsid w:val="00BF6B23"/>
    <w:rsid w:val="00C00FCD"/>
    <w:rsid w:val="00C10776"/>
    <w:rsid w:val="00C173C2"/>
    <w:rsid w:val="00C301AB"/>
    <w:rsid w:val="00C340C1"/>
    <w:rsid w:val="00C40F16"/>
    <w:rsid w:val="00C41845"/>
    <w:rsid w:val="00C4515E"/>
    <w:rsid w:val="00C5147D"/>
    <w:rsid w:val="00C81B5E"/>
    <w:rsid w:val="00C84BBD"/>
    <w:rsid w:val="00C8635E"/>
    <w:rsid w:val="00C904AA"/>
    <w:rsid w:val="00C937B0"/>
    <w:rsid w:val="00CA08A8"/>
    <w:rsid w:val="00CA1348"/>
    <w:rsid w:val="00CA20BB"/>
    <w:rsid w:val="00CB086E"/>
    <w:rsid w:val="00CB1A9C"/>
    <w:rsid w:val="00CC04B7"/>
    <w:rsid w:val="00CC7191"/>
    <w:rsid w:val="00CD1BCE"/>
    <w:rsid w:val="00CE46D8"/>
    <w:rsid w:val="00CE52B2"/>
    <w:rsid w:val="00CE5A9D"/>
    <w:rsid w:val="00CE67DD"/>
    <w:rsid w:val="00CF42E3"/>
    <w:rsid w:val="00D00075"/>
    <w:rsid w:val="00D055C2"/>
    <w:rsid w:val="00D135F7"/>
    <w:rsid w:val="00D21D6B"/>
    <w:rsid w:val="00D30436"/>
    <w:rsid w:val="00D33216"/>
    <w:rsid w:val="00D472E0"/>
    <w:rsid w:val="00D50F0E"/>
    <w:rsid w:val="00D5576B"/>
    <w:rsid w:val="00D5739A"/>
    <w:rsid w:val="00D57D95"/>
    <w:rsid w:val="00DA143F"/>
    <w:rsid w:val="00DA249E"/>
    <w:rsid w:val="00DA4D46"/>
    <w:rsid w:val="00DB56F0"/>
    <w:rsid w:val="00DB5CA9"/>
    <w:rsid w:val="00DB6D55"/>
    <w:rsid w:val="00DB7AED"/>
    <w:rsid w:val="00DC6BCD"/>
    <w:rsid w:val="00DE5BCE"/>
    <w:rsid w:val="00DE74A9"/>
    <w:rsid w:val="00DF046E"/>
    <w:rsid w:val="00E02A7F"/>
    <w:rsid w:val="00E03B37"/>
    <w:rsid w:val="00E119B2"/>
    <w:rsid w:val="00E14069"/>
    <w:rsid w:val="00E17AC4"/>
    <w:rsid w:val="00E2433F"/>
    <w:rsid w:val="00E26FB0"/>
    <w:rsid w:val="00E275ED"/>
    <w:rsid w:val="00E31DCC"/>
    <w:rsid w:val="00E353E0"/>
    <w:rsid w:val="00E36C2A"/>
    <w:rsid w:val="00E43AA0"/>
    <w:rsid w:val="00E542FC"/>
    <w:rsid w:val="00E74D3E"/>
    <w:rsid w:val="00E83499"/>
    <w:rsid w:val="00E8716F"/>
    <w:rsid w:val="00E87F0A"/>
    <w:rsid w:val="00E92952"/>
    <w:rsid w:val="00EA0852"/>
    <w:rsid w:val="00EA0BBA"/>
    <w:rsid w:val="00EA3ED4"/>
    <w:rsid w:val="00EA689C"/>
    <w:rsid w:val="00EC45B5"/>
    <w:rsid w:val="00ED0149"/>
    <w:rsid w:val="00ED3E7C"/>
    <w:rsid w:val="00EE5FD8"/>
    <w:rsid w:val="00EF456C"/>
    <w:rsid w:val="00F00683"/>
    <w:rsid w:val="00F00AD5"/>
    <w:rsid w:val="00F02322"/>
    <w:rsid w:val="00F043CF"/>
    <w:rsid w:val="00F06DC8"/>
    <w:rsid w:val="00F10952"/>
    <w:rsid w:val="00F109F1"/>
    <w:rsid w:val="00F17621"/>
    <w:rsid w:val="00F24C0B"/>
    <w:rsid w:val="00F25CEF"/>
    <w:rsid w:val="00F35D47"/>
    <w:rsid w:val="00F55B31"/>
    <w:rsid w:val="00F611FD"/>
    <w:rsid w:val="00F6439F"/>
    <w:rsid w:val="00F7640E"/>
    <w:rsid w:val="00F841C7"/>
    <w:rsid w:val="00F85ECA"/>
    <w:rsid w:val="00F903F4"/>
    <w:rsid w:val="00F93836"/>
    <w:rsid w:val="00FB5C13"/>
    <w:rsid w:val="00FD080D"/>
    <w:rsid w:val="00FD21CF"/>
    <w:rsid w:val="00FD5683"/>
    <w:rsid w:val="00FE3B54"/>
    <w:rsid w:val="00FE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502C"/>
  <w15:docId w15:val="{7E83EC2E-BFEE-46B9-B1D7-674C138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1155F"/>
    <w:pPr>
      <w:tabs>
        <w:tab w:val="center" w:pos="4680"/>
        <w:tab w:val="right" w:pos="9360"/>
      </w:tabs>
    </w:pPr>
  </w:style>
  <w:style w:type="character" w:customStyle="1" w:styleId="HeaderChar">
    <w:name w:val="Header Char"/>
    <w:basedOn w:val="DefaultParagraphFont"/>
    <w:link w:val="Header"/>
    <w:uiPriority w:val="99"/>
    <w:rsid w:val="0031155F"/>
  </w:style>
  <w:style w:type="paragraph" w:styleId="Footer">
    <w:name w:val="footer"/>
    <w:basedOn w:val="Normal"/>
    <w:link w:val="FooterChar"/>
    <w:uiPriority w:val="99"/>
    <w:unhideWhenUsed/>
    <w:rsid w:val="0031155F"/>
    <w:pPr>
      <w:tabs>
        <w:tab w:val="center" w:pos="4680"/>
        <w:tab w:val="right" w:pos="9360"/>
      </w:tabs>
    </w:pPr>
  </w:style>
  <w:style w:type="character" w:customStyle="1" w:styleId="FooterChar">
    <w:name w:val="Footer Char"/>
    <w:basedOn w:val="DefaultParagraphFont"/>
    <w:link w:val="Footer"/>
    <w:uiPriority w:val="99"/>
    <w:rsid w:val="0031155F"/>
  </w:style>
  <w:style w:type="character" w:styleId="CommentReference">
    <w:name w:val="annotation reference"/>
    <w:basedOn w:val="DefaultParagraphFont"/>
    <w:uiPriority w:val="99"/>
    <w:semiHidden/>
    <w:unhideWhenUsed/>
    <w:rsid w:val="00D50F0E"/>
    <w:rPr>
      <w:sz w:val="16"/>
      <w:szCs w:val="16"/>
    </w:rPr>
  </w:style>
  <w:style w:type="paragraph" w:styleId="CommentText">
    <w:name w:val="annotation text"/>
    <w:basedOn w:val="Normal"/>
    <w:link w:val="CommentTextChar"/>
    <w:uiPriority w:val="99"/>
    <w:semiHidden/>
    <w:unhideWhenUsed/>
    <w:rsid w:val="00D50F0E"/>
  </w:style>
  <w:style w:type="character" w:customStyle="1" w:styleId="CommentTextChar">
    <w:name w:val="Comment Text Char"/>
    <w:basedOn w:val="DefaultParagraphFont"/>
    <w:link w:val="CommentText"/>
    <w:uiPriority w:val="99"/>
    <w:semiHidden/>
    <w:rsid w:val="00D50F0E"/>
  </w:style>
  <w:style w:type="paragraph" w:styleId="CommentSubject">
    <w:name w:val="annotation subject"/>
    <w:basedOn w:val="CommentText"/>
    <w:next w:val="CommentText"/>
    <w:link w:val="CommentSubjectChar"/>
    <w:uiPriority w:val="99"/>
    <w:semiHidden/>
    <w:unhideWhenUsed/>
    <w:rsid w:val="00D50F0E"/>
    <w:rPr>
      <w:b/>
      <w:bCs/>
    </w:rPr>
  </w:style>
  <w:style w:type="character" w:customStyle="1" w:styleId="CommentSubjectChar">
    <w:name w:val="Comment Subject Char"/>
    <w:basedOn w:val="CommentTextChar"/>
    <w:link w:val="CommentSubject"/>
    <w:uiPriority w:val="99"/>
    <w:semiHidden/>
    <w:rsid w:val="00D50F0E"/>
    <w:rPr>
      <w:b/>
      <w:bCs/>
    </w:rPr>
  </w:style>
  <w:style w:type="paragraph" w:styleId="BalloonText">
    <w:name w:val="Balloon Text"/>
    <w:basedOn w:val="Normal"/>
    <w:link w:val="BalloonTextChar"/>
    <w:uiPriority w:val="99"/>
    <w:semiHidden/>
    <w:unhideWhenUsed/>
    <w:rsid w:val="00D5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F0E"/>
    <w:rPr>
      <w:rFonts w:ascii="Segoe UI" w:hAnsi="Segoe UI" w:cs="Segoe UI"/>
      <w:sz w:val="18"/>
      <w:szCs w:val="18"/>
    </w:rPr>
  </w:style>
  <w:style w:type="paragraph" w:styleId="ListParagraph">
    <w:name w:val="List Paragraph"/>
    <w:basedOn w:val="Normal"/>
    <w:uiPriority w:val="34"/>
    <w:qFormat/>
    <w:rsid w:val="0004515E"/>
    <w:pPr>
      <w:ind w:left="720"/>
      <w:contextualSpacing/>
    </w:pPr>
  </w:style>
  <w:style w:type="paragraph" w:styleId="Revision">
    <w:name w:val="Revision"/>
    <w:hidden/>
    <w:uiPriority w:val="99"/>
    <w:semiHidden/>
    <w:rsid w:val="00FB5C13"/>
    <w:pPr>
      <w:widowControl/>
    </w:pPr>
  </w:style>
  <w:style w:type="table" w:styleId="TableGrid">
    <w:name w:val="Table Grid"/>
    <w:basedOn w:val="TableNormal"/>
    <w:uiPriority w:val="39"/>
    <w:rsid w:val="002A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1C6C"/>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310C29"/>
    <w:rPr>
      <w:color w:val="0000FF"/>
      <w:u w:val="single"/>
    </w:rPr>
  </w:style>
  <w:style w:type="character" w:styleId="PageNumber">
    <w:name w:val="page number"/>
    <w:basedOn w:val="DefaultParagraphFont"/>
    <w:uiPriority w:val="99"/>
    <w:semiHidden/>
    <w:unhideWhenUsed/>
    <w:rsid w:val="008E1DBE"/>
  </w:style>
  <w:style w:type="paragraph" w:styleId="FootnoteText">
    <w:name w:val="footnote text"/>
    <w:basedOn w:val="Normal"/>
    <w:link w:val="FootnoteTextChar"/>
    <w:uiPriority w:val="99"/>
    <w:semiHidden/>
    <w:unhideWhenUsed/>
    <w:rsid w:val="00593D58"/>
  </w:style>
  <w:style w:type="character" w:customStyle="1" w:styleId="FootnoteTextChar">
    <w:name w:val="Footnote Text Char"/>
    <w:basedOn w:val="DefaultParagraphFont"/>
    <w:link w:val="FootnoteText"/>
    <w:uiPriority w:val="99"/>
    <w:semiHidden/>
    <w:rsid w:val="00593D58"/>
  </w:style>
  <w:style w:type="character" w:styleId="FootnoteReference">
    <w:name w:val="footnote reference"/>
    <w:basedOn w:val="DefaultParagraphFont"/>
    <w:uiPriority w:val="99"/>
    <w:semiHidden/>
    <w:unhideWhenUsed/>
    <w:rsid w:val="00593D58"/>
    <w:rPr>
      <w:vertAlign w:val="superscript"/>
    </w:rPr>
  </w:style>
  <w:style w:type="character" w:customStyle="1" w:styleId="apple-converted-space">
    <w:name w:val="apple-converted-space"/>
    <w:basedOn w:val="DefaultParagraphFont"/>
    <w:rsid w:val="00DE5BCE"/>
  </w:style>
  <w:style w:type="character" w:customStyle="1" w:styleId="Mention1">
    <w:name w:val="Mention1"/>
    <w:basedOn w:val="DefaultParagraphFont"/>
    <w:uiPriority w:val="99"/>
    <w:semiHidden/>
    <w:unhideWhenUsed/>
    <w:rsid w:val="005E1B98"/>
    <w:rPr>
      <w:color w:val="2B579A"/>
      <w:shd w:val="clear" w:color="auto" w:fill="E6E6E6"/>
    </w:rPr>
  </w:style>
  <w:style w:type="character" w:styleId="FollowedHyperlink">
    <w:name w:val="FollowedHyperlink"/>
    <w:basedOn w:val="DefaultParagraphFont"/>
    <w:uiPriority w:val="99"/>
    <w:semiHidden/>
    <w:unhideWhenUsed/>
    <w:rsid w:val="00E36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55264">
      <w:bodyDiv w:val="1"/>
      <w:marLeft w:val="0"/>
      <w:marRight w:val="0"/>
      <w:marTop w:val="0"/>
      <w:marBottom w:val="0"/>
      <w:divBdr>
        <w:top w:val="none" w:sz="0" w:space="0" w:color="auto"/>
        <w:left w:val="none" w:sz="0" w:space="0" w:color="auto"/>
        <w:bottom w:val="none" w:sz="0" w:space="0" w:color="auto"/>
        <w:right w:val="none" w:sz="0" w:space="0" w:color="auto"/>
      </w:divBdr>
    </w:div>
    <w:div w:id="156198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unsystem.org/content/common-core-principles-un-system-wide-approach-climate-action" TargetMode="External"/><Relationship Id="rId2" Type="http://schemas.openxmlformats.org/officeDocument/2006/relationships/hyperlink" Target="https://undg.org/standard-operating-procedures-for-delivering-as-one" TargetMode="External"/><Relationship Id="rId1" Type="http://schemas.openxmlformats.org/officeDocument/2006/relationships/hyperlink" Target="http://www.unsystem.org/content/ceb-common-principles-on-2030-agenda-sustainable" TargetMode="External"/><Relationship Id="rId4" Type="http://schemas.openxmlformats.org/officeDocument/2006/relationships/hyperlink" Target="http://www.preventionweb.net/files/49076_unplanof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188B-FC08-4727-9F05-0DCCA55B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Stokes</dc:creator>
  <cp:lastModifiedBy>Svetlana Iazykova</cp:lastModifiedBy>
  <cp:revision>2</cp:revision>
  <cp:lastPrinted>2017-05-23T19:27:00Z</cp:lastPrinted>
  <dcterms:created xsi:type="dcterms:W3CDTF">2017-05-25T14:43:00Z</dcterms:created>
  <dcterms:modified xsi:type="dcterms:W3CDTF">2017-05-25T14:43:00Z</dcterms:modified>
</cp:coreProperties>
</file>