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BB5B" w14:textId="5E97B6B2" w:rsidR="00080342" w:rsidRPr="00106A01" w:rsidRDefault="00CB63E5" w:rsidP="00925D8C">
      <w:pPr>
        <w:contextualSpacing/>
        <w:rPr>
          <w:b/>
          <w:bCs/>
          <w:sz w:val="20"/>
        </w:rPr>
      </w:pPr>
      <w:r w:rsidRPr="00106A01">
        <w:rPr>
          <w:b/>
          <w:sz w:val="20"/>
        </w:rPr>
        <w:t>Segundo período ordinario de sesiones de 2016</w:t>
      </w:r>
    </w:p>
    <w:p w14:paraId="76AC62AE" w14:textId="62343A5B" w:rsidR="00080342" w:rsidRPr="00106A01" w:rsidRDefault="00080342" w:rsidP="00925D8C">
      <w:pPr>
        <w:contextualSpacing/>
        <w:rPr>
          <w:sz w:val="20"/>
        </w:rPr>
      </w:pPr>
      <w:r w:rsidRPr="00106A01">
        <w:rPr>
          <w:sz w:val="20"/>
        </w:rPr>
        <w:t>Nueva York, 6 al 9 de septiembre de 2016</w:t>
      </w:r>
    </w:p>
    <w:p w14:paraId="4E529822" w14:textId="253AAA3F" w:rsidR="00080342" w:rsidRPr="00106A01" w:rsidRDefault="00080342" w:rsidP="00925D8C">
      <w:pPr>
        <w:contextualSpacing/>
        <w:rPr>
          <w:sz w:val="20"/>
        </w:rPr>
      </w:pPr>
      <w:r w:rsidRPr="00106A01">
        <w:rPr>
          <w:sz w:val="20"/>
        </w:rPr>
        <w:t>Tema 1</w:t>
      </w:r>
      <w:r w:rsidR="008F70AC">
        <w:rPr>
          <w:sz w:val="20"/>
        </w:rPr>
        <w:t>1</w:t>
      </w:r>
      <w:bookmarkStart w:id="0" w:name="_GoBack"/>
      <w:bookmarkEnd w:id="0"/>
      <w:r w:rsidRPr="00106A01">
        <w:rPr>
          <w:sz w:val="20"/>
        </w:rPr>
        <w:t xml:space="preserve"> del programa provisional</w:t>
      </w:r>
    </w:p>
    <w:p w14:paraId="3352BE3B" w14:textId="33630A09" w:rsidR="00B02CB8" w:rsidRPr="00106A01" w:rsidRDefault="001A2C22" w:rsidP="00925D8C">
      <w:pPr>
        <w:rPr>
          <w:b/>
          <w:sz w:val="20"/>
        </w:rPr>
      </w:pPr>
      <w:r w:rsidRPr="00106A01">
        <w:rPr>
          <w:b/>
          <w:sz w:val="20"/>
        </w:rPr>
        <w:t>Visitas sobre el terreno</w:t>
      </w:r>
    </w:p>
    <w:p w14:paraId="54088389" w14:textId="77777777" w:rsidR="00925D8C" w:rsidRPr="00106A01" w:rsidRDefault="00925D8C" w:rsidP="00925D8C">
      <w:pPr>
        <w:rPr>
          <w:b/>
          <w:sz w:val="20"/>
        </w:rPr>
      </w:pPr>
    </w:p>
    <w:p w14:paraId="65AAF5FC" w14:textId="77777777" w:rsidR="00925D8C" w:rsidRPr="00106A01" w:rsidRDefault="00925D8C" w:rsidP="00925D8C">
      <w:pPr>
        <w:rPr>
          <w:b/>
          <w:sz w:val="20"/>
        </w:rPr>
      </w:pPr>
    </w:p>
    <w:p w14:paraId="62B7197E" w14:textId="3A9EC2F6" w:rsidR="00CA5BDE" w:rsidRPr="00106A01" w:rsidRDefault="00CA5BDE" w:rsidP="00925D8C">
      <w:pPr>
        <w:rPr>
          <w:b/>
          <w:sz w:val="28"/>
          <w:szCs w:val="28"/>
        </w:rPr>
      </w:pPr>
      <w:r w:rsidRPr="00106A01">
        <w:rPr>
          <w:b/>
          <w:sz w:val="28"/>
        </w:rPr>
        <w:t>Informe de la visita sobre el terreno de miembros de la Junta Ejecutiva del PNUD, el UNFPA y la UNOPS a Guinea, del 10 al 15 abril de 2016</w:t>
      </w:r>
    </w:p>
    <w:p w14:paraId="6AABAEDE" w14:textId="77777777" w:rsidR="00925D8C" w:rsidRPr="00106A01" w:rsidRDefault="00925D8C" w:rsidP="00925D8C">
      <w:pPr>
        <w:pStyle w:val="Heading1"/>
        <w:numPr>
          <w:ilvl w:val="0"/>
          <w:numId w:val="0"/>
        </w:numPr>
        <w:spacing w:before="0"/>
        <w:ind w:left="1267" w:hanging="720"/>
        <w:rPr>
          <w:b w:val="0"/>
          <w:sz w:val="16"/>
          <w:szCs w:val="16"/>
        </w:rPr>
      </w:pPr>
    </w:p>
    <w:p w14:paraId="0424CC23" w14:textId="07753A3E" w:rsidR="00185B72" w:rsidRPr="00106A01" w:rsidRDefault="00AA2EC9" w:rsidP="00630691">
      <w:pPr>
        <w:pStyle w:val="Heading1"/>
        <w:rPr>
          <w:sz w:val="24"/>
          <w:szCs w:val="24"/>
        </w:rPr>
      </w:pPr>
      <w:r w:rsidRPr="00106A01">
        <w:rPr>
          <w:sz w:val="24"/>
        </w:rPr>
        <w:t>Introducción</w:t>
      </w:r>
    </w:p>
    <w:p w14:paraId="33F89844" w14:textId="11291966" w:rsidR="000E5A09" w:rsidRPr="00106A01" w:rsidRDefault="00353C02" w:rsidP="00630691">
      <w:pPr>
        <w:pStyle w:val="Num1para"/>
      </w:pPr>
      <w:r w:rsidRPr="00106A01">
        <w:t>Miembros de la Junta Ejecutiva del PNUD, el UNFPA y la UNOPS visitaron la República de Guinea del 10 al 15 de abril de 2016. La delegación estuvo encabezada por S.E. la Sra. Bénédicte Frankinet, Representante Permanente de Bélgica ante las Naciones Unidas y Vicepresidenta de la Junta Ejecutiva;</w:t>
      </w:r>
      <w:r w:rsidRPr="00106A01">
        <w:rPr>
          <w:rStyle w:val="FootnoteReference"/>
          <w:lang w:val="es-ES"/>
        </w:rPr>
        <w:t xml:space="preserve"> </w:t>
      </w:r>
      <w:r w:rsidRPr="00106A01">
        <w:rPr>
          <w:rStyle w:val="FootnoteReference"/>
          <w:lang w:val="es-ES"/>
        </w:rPr>
        <w:footnoteReference w:id="2"/>
      </w:r>
      <w:r w:rsidRPr="00106A01">
        <w:t xml:space="preserve"> formaron parte de esta, además, el Sr. Tumasie Blair, Consejero de la Misión Permanente de Antigua y Barbuda ante las Naciones Unidas y Vicepresidente de la Junta Ejecutiva; la Sra. Edwige Agossou Ahoussougbemey, Consejera de la Misión Permanente de Benín ante las Naciones Unidas; el Sr. Nikola Ivezaj, Segundo Secretario de la Misión Permanente de Montenegro ante las Naciones Unidas; el Sr. Belal Abdo, Segundo Secretario de la Misión Permanente de Yemen ante las Naciones Unidas; y el Sr. Andreas Danevad, Asesor Superior de la Sección de Políticas de las Naciones Unidas del Ministerio de Asuntos Exteriores de Noruega. La delegación estuvo acompañada por el Sr. Jordi Llopart, del PNUD, Secretario de la Junta Ejecutiva; el Sr. Horst Rutsch, Asesor Editorial Superior del UNFPA; y la Sra. Elle Wang, Analista de Alianzas de la UNOPS. </w:t>
      </w:r>
    </w:p>
    <w:p w14:paraId="77DF0AA3" w14:textId="27ACB2ED" w:rsidR="004065B8" w:rsidRPr="00106A01" w:rsidRDefault="004065B8" w:rsidP="00630691">
      <w:pPr>
        <w:pStyle w:val="Num1para"/>
      </w:pPr>
      <w:r w:rsidRPr="00106A01">
        <w:t xml:space="preserve">El propósito de la visita fue: permitir que los miembros de la Junta observaran las operaciones de campo de las tres organizaciones y el trabajo del equipo de las Naciones Unidas en el país en Guinea; ayudarles a comprender la relación de los programas en el país de las distintas organizaciones con las prioridades nacionales de desarrollo, el Marco de Asistencia para el Desarrollo de las Naciones Unidas (MANUD), la asistencia bilateral para el desarrollo y otros marcos pertinentes; proporcionar una mejor comprensión de la ejecución de políticas y estrategias de las organizaciones sobre el terreno; y analizar el impacto y los resultados de los programas y estrategias de las Naciones Unidas con las contrapartes gubernamentales y no gubernamentales a nivel nacional, local y comunitario. </w:t>
      </w:r>
    </w:p>
    <w:p w14:paraId="5649DF9B" w14:textId="16D9B575" w:rsidR="004065B8" w:rsidRPr="00106A01" w:rsidRDefault="004065B8" w:rsidP="00630691">
      <w:pPr>
        <w:pStyle w:val="Num1para"/>
      </w:pPr>
      <w:r w:rsidRPr="00106A01">
        <w:t xml:space="preserve">La delegación ha expresado su gratitud al Gobierno de la República de Guinea por darle la oportunidad de entablar un diálogo franco y sustantivo sobre cuestiones esenciales con altos funcionarios del gobierno, en particular con el Primer Ministro, el Ministro de Defensa y el Ministro de Planificación y Cooperación Internacional. También agradece a la Coordinadora </w:t>
      </w:r>
      <w:r w:rsidRPr="00106A01">
        <w:lastRenderedPageBreak/>
        <w:t>Residente y a los miembros del equipo de las Naciones Unidas en el país, en particular a los representantes del PNUD, el UNFPA y la UNOPS en el país, por lo bien organizada que fue la visita, la valiosa información que proporcionaron sobre su trabajo y la disponibilidad inmediata de personal durante toda la visita. La delegación quedó impresionada con el compromiso y la dedicación de los funcionarios de alto nivel de Guinea en todos los ámbitos y del personal del equipo de las Naciones Unidas en el país en Conakry y en todo el país.</w:t>
      </w:r>
      <w:r w:rsidRPr="00106A01">
        <w:rPr>
          <w:rStyle w:val="FootnoteReference"/>
          <w:lang w:val="es-ES"/>
        </w:rPr>
        <w:footnoteReference w:id="3"/>
      </w:r>
      <w:r w:rsidRPr="00106A01">
        <w:t xml:space="preserve"> </w:t>
      </w:r>
    </w:p>
    <w:p w14:paraId="36CA3565" w14:textId="77777777" w:rsidR="0095170E" w:rsidRPr="00106A01" w:rsidRDefault="004065B8" w:rsidP="00630691">
      <w:pPr>
        <w:pStyle w:val="Num1para"/>
      </w:pPr>
      <w:r w:rsidRPr="00106A01">
        <w:t>El programa de la visita sobre el terreno contaba con dos componentes principales:</w:t>
      </w:r>
    </w:p>
    <w:p w14:paraId="6B140FF4" w14:textId="28DBF6B8" w:rsidR="004065B8" w:rsidRPr="00106A01" w:rsidRDefault="0049151A" w:rsidP="00996D71">
      <w:pPr>
        <w:pStyle w:val="Numapara"/>
        <w:spacing w:line="240" w:lineRule="auto"/>
      </w:pPr>
      <w:r w:rsidRPr="00106A01">
        <w:t>Reuniones en Conakry con el Primer Ministro y otros Ministros del Gobierno y funcionarios de alto nivel, con la Coordinadora Residente y los miembros del equipo de las Naciones Unidas en el país, otros socios del sistema de las Naciones Unidas, los principales donantes y la comunidad diplomática. También tuvieron lugar varias reuniones con organizaciones nacionales no gubernamentales (ONG), entre estas organizaciones de la sociedad civil (OSC), de jóvenes y de mujeres.</w:t>
      </w:r>
    </w:p>
    <w:p w14:paraId="488D3E72" w14:textId="3F37B63D" w:rsidR="0010282D" w:rsidRPr="00106A01" w:rsidRDefault="0010282D" w:rsidP="00996D71">
      <w:pPr>
        <w:pStyle w:val="Numapara"/>
        <w:spacing w:after="240" w:line="240" w:lineRule="auto"/>
      </w:pPr>
      <w:r w:rsidRPr="00106A01">
        <w:t xml:space="preserve">Igualmente se realizaron visitas a varios proyectos respaldados por el PNUD, el UNFPA y la UNOPS en Guinea, tales como centros para jóvenes en la Blue Zone de Kaloum y en Ratoma, Conakry; el proyecto de apoyo al empoderamiento de las mujeres en Dubreka; el centro de salud de Farmoryah; y la Célula de respuesta nacional al ébola. </w:t>
      </w:r>
    </w:p>
    <w:p w14:paraId="2C1428AA" w14:textId="7111C904" w:rsidR="008F061E" w:rsidRPr="00106A01" w:rsidRDefault="004065B8" w:rsidP="00630691">
      <w:pPr>
        <w:pStyle w:val="Num1para"/>
      </w:pPr>
      <w:r w:rsidRPr="00106A01">
        <w:t>La delegación desea agradecer a todos los que participaron en las visitas sobre el terreno, quienes dedicaron tiempo y esfuerzo para facilitar una parte esencial de la visita; también reconoce que no era viable visitar la Prefectura de Nzérékoré debido al descubrimiento de nuevos casos de ébola en la zona. Las visitas permitieron a la delegación entender mejor los desafíos que enfrenta y las oportunidades que asisten al equipo de las Naciones Unidas en el país en Guinea, lo cual incluye las medidas con miras a la aplicación del enfoque</w:t>
      </w:r>
      <w:r w:rsidR="00106A01">
        <w:t xml:space="preserve"> </w:t>
      </w:r>
      <w:r w:rsidRPr="00106A01">
        <w:t>avanzar hacia un enfoque "Unidos en la Acción".</w:t>
      </w:r>
    </w:p>
    <w:p w14:paraId="704F3E76" w14:textId="4E46F2D9" w:rsidR="004065B8" w:rsidRPr="00106A01" w:rsidRDefault="004065B8" w:rsidP="00630691">
      <w:pPr>
        <w:pStyle w:val="Num1para"/>
      </w:pPr>
      <w:r w:rsidRPr="00106A01">
        <w:t xml:space="preserve">Este informe busca presentar brevemente los aspectos fundamentales de la visita sobre el terreno y resume las observaciones de la delegación en torno a tres temas principales: el contexto del desarrollo en Guinea; el impacto de la enfermedad del virus del ébola en el país; y la coordinación del sistema de las Naciones Unidas en el país, especialmente los roles que desempeñan el PNUD, el UNFPA y la UNOPS. El informe cierra con varias observaciones y recomendaciones. </w:t>
      </w:r>
    </w:p>
    <w:p w14:paraId="7C0DE090" w14:textId="1224A3AB" w:rsidR="004065B8" w:rsidRPr="00106A01" w:rsidRDefault="00660D06" w:rsidP="00630691">
      <w:pPr>
        <w:pStyle w:val="Heading1"/>
        <w:rPr>
          <w:sz w:val="24"/>
          <w:szCs w:val="24"/>
        </w:rPr>
      </w:pPr>
      <w:r w:rsidRPr="00106A01">
        <w:rPr>
          <w:sz w:val="24"/>
        </w:rPr>
        <w:t>Contexto de desarrollo</w:t>
      </w:r>
    </w:p>
    <w:p w14:paraId="020CF31F" w14:textId="0CECE151" w:rsidR="00A3216E" w:rsidRPr="00106A01" w:rsidRDefault="004065B8" w:rsidP="00630691">
      <w:pPr>
        <w:pStyle w:val="Num1para"/>
      </w:pPr>
      <w:r w:rsidRPr="00106A01">
        <w:t xml:space="preserve">Con una población de 11 millones de habitantes, la República de Guinea es un Estado frágil que enfrenta a varios desafíos estructurales importantes: consolidación del proceso político, reconciliación nacional y consolidación de la paz; implementación de reformas institucionales, incluidas las de seguridad, justicia y sectores de la administración pública; mantenimiento del "ébola cero" y la transición a una ejecución rápida y eficaz del Plan de recuperación y resistencia posterior al ébola; así como la gestión de las expectativas populares en relación con el ritmo de desarrollo y las mejoras en la calidad de vida. En la actualidad más del 55 por ciento de su población vive por debajo del umbral de pobreza. A pesar de la reciente transición del poder militar al poder civil, la situación general de seguridad en Guinea sigue siendo frágil. Las deficiencias en las prácticas de gobernanza, la corrupción endémica (debida a décadas de régimen autoritario) y altos niveles de delincuencia, junto con la falta de capacidad institucional en todos los niveles representan importantes desafíos para el desarrollo. La mejora en la prestación de </w:t>
      </w:r>
      <w:r w:rsidRPr="00106A01">
        <w:lastRenderedPageBreak/>
        <w:t>servicios básicos ha sido lenta, y el país no alcanzó sus metas de los Objetivos de Desarrollo del Milenio. Guinea ocupa el lugar 182 de 188 en el índice de desarrollo humano (2015).</w:t>
      </w:r>
    </w:p>
    <w:p w14:paraId="698BE672" w14:textId="3D30E091" w:rsidR="00DB27A9" w:rsidRPr="00106A01" w:rsidRDefault="00725A27" w:rsidP="00630691">
      <w:pPr>
        <w:pStyle w:val="Num1para"/>
      </w:pPr>
      <w:r w:rsidRPr="00106A01">
        <w:t xml:space="preserve">El gasto público en salud es aún muy bajo (0,9% del PIB en 2015). La malaria es la principal causa de morbilidad y mortalidad infantil. Si bien la mortalidad infantil ha disminuido entre los menores de cinco años (de 163 por cada 1.000 nacidos vivos en 2005 a 124 por cada 1.000 nacidos vivos en 2012), la mortalidad materna sigue siendo una de las más altas en África (724 por cada 100.000 nacidos vivos en 2012). </w:t>
      </w:r>
    </w:p>
    <w:p w14:paraId="3DDA0F5E" w14:textId="7A786D6B" w:rsidR="004E67C8" w:rsidRPr="00106A01" w:rsidRDefault="007F15E2" w:rsidP="00630691">
      <w:pPr>
        <w:pStyle w:val="Num1para"/>
        <w:rPr>
          <w:bCs/>
        </w:rPr>
      </w:pPr>
      <w:r w:rsidRPr="00106A01">
        <w:t>Los jóvenes (menores de 35 años) representan tres cuartas partes de la población; más de la mitad (55 por ciento) son menores de 20 años de edad. Dos de cada tres niñas (63%) se casan antes de alcanzar la mayoría de edad (es decir, los 18 años, lo cual constituye la quinta incidencia más alta del mundo), una de cada cuatro adolescentes (entre 15 y 19 años de edad) ya son madres, una de cada cuatro niñas y jóvenes (entre 10 y 24 años de edad) fue víctima de violencia; la prevalencia del VIH entre los jóvenes (entre 15 y 19 años de edad) es del 1,5%. La proporción de mujeres que trabajan en sectores no agrícolas sigue siendo muy baja, y la representación de las mujeres en puestos directivos es aún limitada. En el gobierno y otras instituciones oficiales, la igualdad de género es todavía baja (inferior al 25%).</w:t>
      </w:r>
    </w:p>
    <w:p w14:paraId="75EEADA9" w14:textId="72DA41EB" w:rsidR="00706555" w:rsidRPr="00106A01" w:rsidRDefault="00685F52" w:rsidP="00630691">
      <w:pPr>
        <w:pStyle w:val="Num1para"/>
      </w:pPr>
      <w:r w:rsidRPr="00106A01">
        <w:t>La mutilación y ablación genital femeninas afectan a todas las mujeres y las niñas independientemente de las regiones, etnias o religiones, a pesar de los esfuerzos continuos de los interesados sobre el terreno. Es un hecho alarmante que el 31 por ciento de las prácticas tradicionales las lleven a cabo profesionales de la salud. Se han logrado avances desde el año 2008 a través del Programa Conjunto sobre la Mutilación/Ablación Genital Femenina del UNFPA y el UNICEF, que hace hincapié en enfoques basados en los derechos humanos y las normas sociales. Esto ha conducido a la condena pública de la práctica por parte del Presidente de la República, declaraciones públicas orientadas a fomentar el abandono de la práctica por parte de diversas comunidades, promulgación de cinco decisión ministerial que prohíben la práctica de la mutilación y ablación genital femeninas, así como actividades de sensibilización en escuelas primarias y secundarias, formación de parteras y otras comunicaciones relacionadas con la salud.</w:t>
      </w:r>
    </w:p>
    <w:p w14:paraId="231374A2" w14:textId="4C263ACD" w:rsidR="00706555" w:rsidRPr="00106A01" w:rsidRDefault="00706555" w:rsidP="001560F5">
      <w:pPr>
        <w:pStyle w:val="Heading3"/>
        <w:tabs>
          <w:tab w:val="left" w:pos="1620"/>
        </w:tabs>
        <w:ind w:hanging="7"/>
      </w:pPr>
      <w:r w:rsidRPr="00106A01">
        <w:t>Gobernanza y consolidación de la paz</w:t>
      </w:r>
    </w:p>
    <w:p w14:paraId="27673451" w14:textId="49C47CB1" w:rsidR="00654314" w:rsidRPr="00106A01" w:rsidRDefault="00654314" w:rsidP="00630691">
      <w:pPr>
        <w:pStyle w:val="Num1para"/>
        <w:rPr>
          <w:bCs/>
        </w:rPr>
      </w:pPr>
      <w:r w:rsidRPr="00106A01">
        <w:t xml:space="preserve">En 2010 tuvieron lugar las primeras elecciones democráticas de Guinea, y el Sr. Alpha Condé fue elegido Presidente, para poner fin a 26 años de régimen militar. Después de las elecciones legislativas de septiembre de 2013, el partido del Presidente ganó la mayoría de los escaños en la Asamblea Nacional, en tanto que los partidos de la oposición cuentan con 53 de 114 escaños. El Presidente fue elegido para un segundo mandato en 2015. Sin embargo, el clima político sigue siendo frágil. Todavía falta acordar el momento de las elecciones locales, originalmente programadas para el primer semestre de 2016. </w:t>
      </w:r>
    </w:p>
    <w:p w14:paraId="564C79BE" w14:textId="164D3625" w:rsidR="00BD1853" w:rsidRPr="00106A01" w:rsidRDefault="000E5873" w:rsidP="00630691">
      <w:pPr>
        <w:pStyle w:val="Num1para"/>
      </w:pPr>
      <w:r w:rsidRPr="00106A01">
        <w:t>El gobierno está tratando de gestionar la engorrosa herencia económica que le dejaron los regímenes anteriores y ha introducido varias reformas para impulsar y diversificar la economía. Con el apoyo del PNUD, el UNFPA y el Banco Africano de desarrollo (BAfD), el gobierno realizó en 2011 un estudio prospectivo: Guinea Vision 2035. A pesar de los esfuerzos del gobierno para acelerar el desarrollo a través de la inversión privada en sectores productivos, incluidas la minería y la agricultura, la débil infraestructura y la falta de un ambiente propicio de inversión constituyen los principales obstáculos y limitaciones de esta empresa. Con el apoyo de organizaciones del sistema de las Naciones Unidas y donantes internacionales, el gobierno está dando lo toques finales a su nuevo plan de desarrollo nacional, que integra los Objetivos de Desarrollo Sostenible en sus metas nacionales. Desde 2013, el UNFPA apoya al gobierno en la movilización de recursos y la organización y ejecución del Censo General de Población y Vivienda.</w:t>
      </w:r>
    </w:p>
    <w:p w14:paraId="748B727D" w14:textId="77777777" w:rsidR="00021948" w:rsidRPr="00106A01" w:rsidRDefault="00021948" w:rsidP="00154593">
      <w:pPr>
        <w:pStyle w:val="Heading4"/>
      </w:pPr>
      <w:r w:rsidRPr="00106A01">
        <w:lastRenderedPageBreak/>
        <w:t>Reforma del sector de la seguridad</w:t>
      </w:r>
    </w:p>
    <w:p w14:paraId="41B74DEF" w14:textId="74C8C77F" w:rsidR="000103EA" w:rsidRPr="00106A01" w:rsidRDefault="00021948" w:rsidP="00630691">
      <w:pPr>
        <w:pStyle w:val="Num1para"/>
      </w:pPr>
      <w:r w:rsidRPr="00106A01">
        <w:t>El Presidente de la República de Guinea ha hecho de la reforma de la seguridad una de sus principales prioridades, y ha recibido el apoyo inequívoco del sistema de las Naciones Unidas. La reforma se ha realizado en el marco de la renovación democrática, a fin de sentar las bases para una política de desarrollo sostenible. El Presidente supervisa la ejecución de la estrategia de reconciliación nacional con un Comité Provisional para la Reconciliación Nacional presidido, conjuntamente, por el Imán de la Grandiosa Mezquita y el Arzobispo de Conakry, que ayuda a elaborar un plan de trabajo sobre la mejor manera de llevar a cabo la reconciliación en Guinea.</w:t>
      </w:r>
    </w:p>
    <w:p w14:paraId="7D77CECE" w14:textId="6F875B77" w:rsidR="003923E3" w:rsidRPr="00106A01" w:rsidRDefault="00EE0848" w:rsidP="00630691">
      <w:pPr>
        <w:pStyle w:val="Num1para"/>
      </w:pPr>
      <w:r w:rsidRPr="00106A01">
        <w:t xml:space="preserve">Se ha formulado una política de defensa y seguridad, y se están tomando medidas para mejorar los servicios de seguridad y la imagen de la institución policial entre la población. Se han redactado varias leyes para la creación de comités técnicos sectoriales de defensa, seguridad y medio ambiente; otras leyes relativas al planeamiento militar, que entraron en vigor en 2015, se centran en regular las relaciones entre civiles y militares. Se iniciaron programas de cohesión social, creación de capacidad y apoyo de la comunidad, en consonancia con el plan estratégico; también se creó un Comité Directivo, presidido por el gobierno. Esta reforma en curso del sector de la seguridad ha permitido al gobierno frenar la proliferación de armas, enlazar al ejército con la población civil y aclarar las distintas funciones de los servicios de seguridad. La reforma de la policía parte del concepto de "policía comunitaria", que involucra a dirigentes de la comunidad para ayudar a la población a comprender la lógica policial de protección contra la delincuencia. El censo biométrico de los funcionarios es otro paso para mejorar la gobernabilidad y reducir los gastos de las finanzas públicas. </w:t>
      </w:r>
    </w:p>
    <w:p w14:paraId="6CB4D264" w14:textId="77BD3CEA" w:rsidR="00D51F85" w:rsidRPr="00106A01" w:rsidRDefault="006A62D7" w:rsidP="00630691">
      <w:pPr>
        <w:pStyle w:val="Num1para"/>
      </w:pPr>
      <w:r w:rsidRPr="00106A01">
        <w:t>La reestructuración del ejército como parte de la consolidación del proceso de democratización ha avanzado bien. El retiro de más de 4.000 militares también ha reducido el enorme presupuesto salarial, que ha ejercido mucha presión sobre las finanzas nacionales. Se ha fortalecido la capacidad operativa del ejército guineano, y la seguridad, la protección civil, la protección de los derechos humanos y la gestión de desastres, particularmente el control del ébola, ocupan un lugar primordial en esta reestructuración. La asistencia internacional ha sido esencial para la consecución de estos esfuerzos de reforma; el Comité Directivo orienta la coordinación entre los socios multinacionales, incluidas la Unión Europea y Japón como principales contribuyentes. El Gobierno ha recibido apoyo logístico, así como financiación de viajes para el intercambio de experiencias regionales. Con el apoyo técnico del UNFPA, los socios multilaterales han contribuido a reintegrar, entrenar y equipar a 320 jóvenes (exmilitares y excombatientes) en el Cuerpo Paramilitar de Conservación de la Naturaleza, cuya misión es proteger los bosques y los pueblos indígenas. Hoy en día, Guinea participa en operaciones de mantenimiento de la paz, con un contingente de 850 militares en Malí, como parte de la Misión Multidimensional Integrada de Estabilización de las Naciones Unidas en Malí.</w:t>
      </w:r>
    </w:p>
    <w:p w14:paraId="50611F58" w14:textId="3284E65A" w:rsidR="00021948" w:rsidRPr="00106A01" w:rsidRDefault="00021948" w:rsidP="00630691">
      <w:pPr>
        <w:pStyle w:val="Num1para"/>
      </w:pPr>
      <w:r w:rsidRPr="00106A01">
        <w:t xml:space="preserve">A pesar de los progresos realizados, siguen siendo muchos los desafíos, entre estos, los lentos procedimientos de pago de sueldos. Las demoras y ajustes en la ejecución debidas a la aparición del virus del ébola han ralentizado algunas partes de la reforma de la seguridad, en particular la aplicación de la ley de 2015-2020 sobre las cinco prioridades para el sector de la seguridad. A pesar de estas dificultades, el Comité de Dirección Estratégica ha establecido una serie de medidas a mediano y largo plazo para asegurar que el apoyo otorgado al sistema de seguridad en su conjunto se mantenga en consonancia con otras reformas de las Naciones Unidas. El sistema de las Naciones Unidas ha supervisado el fortalecimiento de la capacidad en cuestiones de género y la identificación de lagunas legislativas. </w:t>
      </w:r>
    </w:p>
    <w:p w14:paraId="2E612976" w14:textId="77777777" w:rsidR="00530F89" w:rsidRPr="00106A01" w:rsidRDefault="00530F89" w:rsidP="00065613">
      <w:pPr>
        <w:pStyle w:val="Heading3"/>
        <w:tabs>
          <w:tab w:val="left" w:pos="1710"/>
        </w:tabs>
        <w:spacing w:after="180"/>
        <w:ind w:hanging="7"/>
      </w:pPr>
      <w:r w:rsidRPr="00106A01">
        <w:t>Impacto del ébola</w:t>
      </w:r>
    </w:p>
    <w:p w14:paraId="60806038" w14:textId="6D8FBF14" w:rsidR="00530F89" w:rsidRPr="00106A01" w:rsidRDefault="00530F89" w:rsidP="00630691">
      <w:pPr>
        <w:pStyle w:val="Num1para"/>
      </w:pPr>
      <w:r w:rsidRPr="00106A01">
        <w:t xml:space="preserve">El brote de la epidemia de ébola de marzo de 2014 condujo rápidamente a una marcada desaceleración en la actividad económica y a una reducción la inversión y el crecimiento que </w:t>
      </w:r>
      <w:r w:rsidRPr="00106A01">
        <w:lastRenderedPageBreak/>
        <w:t>afectaron los medios de subsistencia de millones de personas, particularmente en las comunidades más pobres. En el sector agrícola, las cosechas se mantienen bajas debido a la falta de disponibilidad de semillas y mano de obra agrícola, la falta de recursos financieros y dificultades de acceso a crédito. El cierre de las fronteras con los países vecinos, las restricciones en el comercio exterior y la suspensión o el aplazamiento de varios proyectos de infraestructura (incluidos los de electrificación) han afectado gravemente la economía guineana. Según las estimaciones, el crecimiento real del PIB en 2015 fue de 0,1 por ciento, lo cual representa una disminución de 3 por ciento del PIB per cápita. En este contexto, dado que el gobierno mantiene altos niveles de gasto en el desarrollo de la infraestructura, el déficit ha crecido significativamente.</w:t>
      </w:r>
    </w:p>
    <w:p w14:paraId="37F821B5" w14:textId="77777777" w:rsidR="00530F89" w:rsidRPr="00106A01" w:rsidRDefault="00530F89" w:rsidP="00630691">
      <w:pPr>
        <w:pStyle w:val="Num1para"/>
      </w:pPr>
      <w:r w:rsidRPr="00106A01">
        <w:t xml:space="preserve">El impacto del brote de ébola sobre las condiciones de vida de los hogares ha sido devastador. Ha dado lugar a una fuerte caída en los ingresos, especialmente para quienes dependen de la producción de frutas y verduras que se exportan a los países vecinos. Las mujeres se vieron particularmente afectadas en este caso, ya que representan el 70 por ciento de los productores. Esto condujo por igual al deterioro de la situación nutricional, especialmente entre los grupos más vulnerables. </w:t>
      </w:r>
    </w:p>
    <w:p w14:paraId="06341669" w14:textId="35F6DBAF" w:rsidR="003B4100" w:rsidRPr="00106A01" w:rsidRDefault="00530F89" w:rsidP="00630691">
      <w:pPr>
        <w:pStyle w:val="Num1para"/>
      </w:pPr>
      <w:r w:rsidRPr="00106A01">
        <w:t>El brote ha obstaculizado el acceso a los centros de salud (muchos trabajadores de la salud han muerto, en tanto que algunos centros han sido abandonados), a lo cual se suma un rechazo generalizado de la población de acudir a los centros públicos de atención por temor a la infección. Esta disminución en el uso de servicios básicos de salud ha tenido un impacto significativo sobre la salud de madres y niños. Las mujeres han sido las más afectadas, con 52 por ciento de casos confirmados de ébola, que enmarcan una situación en que se registra una disminución del 13 por ciento de la cobertura de atención prenatal; una disminución del 11 por ciento en partos en centros de salud y una disminución del 12 por ciento de partos atendidos por personal especializado, así como un aumento del 51 por ciento de la mortalidad materna en las zonas más afectadas. La proporción de jóvenes (entre 15 y 35 años) infectados con ébola es de 33,8 por ciento.</w:t>
      </w:r>
    </w:p>
    <w:p w14:paraId="24EB63A4" w14:textId="7005FA32" w:rsidR="00530F89" w:rsidRPr="00106A01" w:rsidRDefault="00530F89" w:rsidP="00630691">
      <w:pPr>
        <w:pStyle w:val="Num1para"/>
      </w:pPr>
      <w:r w:rsidRPr="00106A01">
        <w:t>Se prevé que el descubrimiento de nuevos casos de ébola en la Prefectura de Nzérékoré a finales de marzo de 2016, tres meses después de que se declarara al país libre de ébola, en diciembre de 2015, afecte la tasa de crecimiento económico, estimada en cerca del 4 por ciento en 2016. Estos nuevos acontecimientos también podrían ralentizar la ejecución del Plan de recuperación y resistencia posterior al ébola, aunque todavía es demasiado temprano para determinar con precisión el efecto que estos tendrán. El resurgimiento de la enfermedad del ébola ha ilustrado la fuerte desconfianza de la población en el sistema de salud oficial, y ha contribuido a una desaceleración de las campañas de vacunación. Además, la asistencia escolar disminuido un 35 por ciento en las localidades afectadas por el brote.</w:t>
      </w:r>
    </w:p>
    <w:p w14:paraId="26C63236" w14:textId="77777777" w:rsidR="00BA1D47" w:rsidRPr="00106A01" w:rsidRDefault="00BA1D47" w:rsidP="002A637E">
      <w:pPr>
        <w:pStyle w:val="Num1para"/>
        <w:numPr>
          <w:ilvl w:val="0"/>
          <w:numId w:val="0"/>
        </w:numPr>
        <w:ind w:left="1267"/>
        <w:rPr>
          <w:b/>
          <w:i/>
        </w:rPr>
      </w:pPr>
      <w:r w:rsidRPr="00106A01">
        <w:rPr>
          <w:b/>
          <w:i/>
        </w:rPr>
        <w:t>Respuesta a la crisis del ébola</w:t>
      </w:r>
    </w:p>
    <w:p w14:paraId="66D412E0" w14:textId="1C1076D5" w:rsidR="00BA1D47" w:rsidRPr="00106A01" w:rsidRDefault="00BA1D47" w:rsidP="002A4F58">
      <w:pPr>
        <w:pStyle w:val="Num1para"/>
        <w:numPr>
          <w:ilvl w:val="0"/>
          <w:numId w:val="0"/>
        </w:numPr>
        <w:ind w:left="1080" w:hanging="360"/>
      </w:pPr>
      <w:r w:rsidRPr="00106A01">
        <w:t>21.</w:t>
      </w:r>
      <w:r w:rsidRPr="00106A01">
        <w:tab/>
        <w:t xml:space="preserve">El brote de la epidemia del virus del ébola en el país en marzo de 2014 interrumpió e impuso graves limitaciones a los planes y estrategias del gobierno. El caos generalizado y las consiguientes restricciones de movimiento en las regiones afectadas han afectado negativamente la ejecución de los programas del equipo de las Naciones Unidas en el país. No obstante, el PNUD, el UNFPA, la UNOPS y otros organismos de las Naciones Unidas lograron mantener sus actividades programáticas al tiempo que proporcionaban asistencia para la respuesta nacional al </w:t>
      </w:r>
      <w:proofErr w:type="spellStart"/>
      <w:r w:rsidRPr="00106A01">
        <w:t>ébola</w:t>
      </w:r>
      <w:proofErr w:type="spellEnd"/>
      <w:r w:rsidRPr="00106A01">
        <w:t>.</w:t>
      </w:r>
    </w:p>
    <w:p w14:paraId="4F0D1315" w14:textId="77777777" w:rsidR="002A3F1A" w:rsidRPr="00106A01" w:rsidRDefault="002A3F1A" w:rsidP="002A637E">
      <w:pPr>
        <w:pStyle w:val="Num1para"/>
        <w:numPr>
          <w:ilvl w:val="0"/>
          <w:numId w:val="10"/>
        </w:numPr>
      </w:pPr>
      <w:r w:rsidRPr="00106A01">
        <w:t xml:space="preserve">En respuesta al brote de ébola, se estableció la Misión de las Naciones Unidas para la Respuesta de Emergencia al Ébola (UNMEER) el 19 de septiembre de 2014, mediante la resolución 69/1 de la Asamblea General y la resolución 2177 (2014) del Consejo de Seguridad. A la misión se le encargó la coordinación general de la respuesta de las Naciones Unidas al ébola en el país. Después de la salida del Gestor de la Crisis del Ébola, en diciembre de 2015, la coordinación de la Tercera Etapa del Ébola y posteriores fue asignada a la Coordinadora Residente, que colabora con la Célula de Respuesta Nacional al Ébola y otros socios en la gestión de nuevos brotes que han tenido lugar en la región de Nzérékoré muy recientemente. El equipo de las Naciones Unidas </w:t>
      </w:r>
      <w:r w:rsidRPr="00106A01">
        <w:lastRenderedPageBreak/>
        <w:t>en el país proporciona también orientación estratégica y dirección al Gobierno de Guinea en sus esfuerzos de recuperación posterior al ébola, lo cual ha proporcionado una oportunidad para reevaluar el apoyo de las Naciones Unidas al proceso de desarrollo nacional en su conjunto.</w:t>
      </w:r>
    </w:p>
    <w:p w14:paraId="4816A60B" w14:textId="77777777" w:rsidR="008F549A" w:rsidRPr="00106A01" w:rsidRDefault="008F549A" w:rsidP="008F549A">
      <w:pPr>
        <w:pStyle w:val="Num1para"/>
      </w:pPr>
      <w:r w:rsidRPr="00106A01">
        <w:t xml:space="preserve">Con miras al fortalecimiento de la coordinación y la eficacia multisectoriales de la respuesta, el equipo de las Naciones Unidas en el país ha organizado un sólido grupo de respuesta ante situaciones de emergencia. El PNUD contribuyó al fortalecimiento de la coordinación entre las distintas entidades para combatir la epidemia del ébola, y ayudó a reforzar la Unidad Nacional de Coordinación, especialmente mediante conocimientos y medidas de apoyo relativas a la participación de la comunidad, el pago de personal médico y de trabajadores de la salud y las organizaciones no gubernamentales involucradas en la respuesta, y la gestión de desechos médicos. La coordinación descentralizada de la respuesta a la epidemia del ébola también se fortaleció mediante el despliegue de voluntarios en prefecturas ubicadas en las zonas más afectadas. </w:t>
      </w:r>
    </w:p>
    <w:p w14:paraId="27ECC31F" w14:textId="77777777" w:rsidR="008F549A" w:rsidRPr="00106A01" w:rsidRDefault="008F549A" w:rsidP="008F549A">
      <w:pPr>
        <w:pStyle w:val="Num1para"/>
      </w:pPr>
      <w:r w:rsidRPr="00106A01">
        <w:t>El UNFPA desempeñó un papel crucial en la respuesta a la enfermedad del virus del ébola a través del seguimiento de contactos relacionados con el ébola mediante el uso de teléfonos inteligentes por parte de los trabajadores comunitarios; la creación de comités de aldea para concienciar y sensibilizar a las personas sobre el modo de prevenir la transmisión de la enfermedad; el fortalecimiento de instalaciones de salud en los distritos más afectados a través del despliegue de parteras, el desarrollo de la capacidad del personal de salud, el suministro de equipos médicos y ambulancias.</w:t>
      </w:r>
    </w:p>
    <w:p w14:paraId="41064EE8" w14:textId="77777777" w:rsidR="008F549A" w:rsidRPr="00106A01" w:rsidRDefault="008F549A" w:rsidP="008F549A">
      <w:pPr>
        <w:pStyle w:val="Num1para"/>
      </w:pPr>
      <w:r w:rsidRPr="00106A01">
        <w:t>La asistencia técnica de la UNOPS a la Unidad Nacional de Coordinación del Ébola se centró primordialmente en el mantenimiento de los centros de salud, incluidas ciertas mejoras de diseño. Se pueden realizar pequeños cambios inmediatamente en los cuatro centros, con poco o ningún impacto en el presupuesto o el programa vigentes (por ejemplo, modificaciones en las tuberías y las ventanas para mejorar el saneamiento y la ventilación). Es poco probable que pueden hacerse cambios más significativos en el diseño técnico en los centros que están funcionando son que estos supongan costos o interrupciones de importancia.</w:t>
      </w:r>
    </w:p>
    <w:p w14:paraId="49A94B83" w14:textId="6C731B4E" w:rsidR="000A3946" w:rsidRPr="00106A01" w:rsidRDefault="003B4100" w:rsidP="00065613">
      <w:pPr>
        <w:pStyle w:val="Heading1"/>
        <w:ind w:hanging="277"/>
        <w:rPr>
          <w:sz w:val="24"/>
          <w:szCs w:val="24"/>
        </w:rPr>
      </w:pPr>
      <w:r w:rsidRPr="00106A01">
        <w:rPr>
          <w:sz w:val="24"/>
        </w:rPr>
        <w:t>Visitas a lugares</w:t>
      </w:r>
    </w:p>
    <w:p w14:paraId="7EC2B22F" w14:textId="7624B5A8" w:rsidR="000A3946" w:rsidRPr="00106A01" w:rsidRDefault="005D2B67" w:rsidP="00630691">
      <w:pPr>
        <w:pStyle w:val="Num1para"/>
      </w:pPr>
      <w:r w:rsidRPr="00106A01">
        <w:t>La delegación visitó tres lugares: (a) el centro de apoyo de Dubreka para el empoderamiento de las mujeres, que proporciona preparación para la vida a niñas y mujeres; (b) el centro de salud de Farmoryah, que fue uno de los centros de tratamiento del ébola más visitados desde el brote de marzo de 2014; y (c) el centro para jóvenes de Ratoma, que centra su trabajo en la promoción, el compromiso y la construcción de conocimiento de los jóvenes.</w:t>
      </w:r>
    </w:p>
    <w:p w14:paraId="0D88BA43" w14:textId="504070F5" w:rsidR="009C1239" w:rsidRPr="00106A01" w:rsidRDefault="009C1239" w:rsidP="00154593">
      <w:pPr>
        <w:pStyle w:val="Heading4"/>
      </w:pPr>
      <w:r w:rsidRPr="00106A01">
        <w:t xml:space="preserve">Dubreka </w:t>
      </w:r>
    </w:p>
    <w:p w14:paraId="416454E0" w14:textId="787E6EBA" w:rsidR="000A3946" w:rsidRPr="00106A01" w:rsidRDefault="00A14F59" w:rsidP="00630691">
      <w:pPr>
        <w:pStyle w:val="Num1para"/>
      </w:pPr>
      <w:r w:rsidRPr="00106A01">
        <w:t>Durante la visita, encabezada por el Ministro de Asuntos Sociales, la delegación observó el gran sentido de participación de las niñas y las mujeres del centro. Con el apoyo del UNFPA, el centro ofrece a niñas y mujeres capacitación de preparación para la vida orientada a la generación de ingresos en varias áreas distintas, a fin de que logren la independencia y la autosuficiencia; el propio centro ha generado ingresos a través de la venta de textiles y jabones hechos por las alumnas. En este contexto, la delegación se enteró de que después que las niñas se gradúan, algunas reciben micropréstamos para iniciar sus propios negocios o colaborar con otras. Además, un número de niñas graduandas suele regresar al centro para ayudar en la enseñanza de las recién llegadas. Dicho esto, la delegación notó igualmente que el centro carece de energía eléctrica confiable, que es esencial para facilitar la enseñanza en los cursos de informática y de costura.</w:t>
      </w:r>
    </w:p>
    <w:p w14:paraId="5E21858D" w14:textId="533A4197" w:rsidR="009810E7" w:rsidRPr="00106A01" w:rsidRDefault="000C6450" w:rsidP="00154593">
      <w:pPr>
        <w:pStyle w:val="Heading4"/>
      </w:pPr>
      <w:r w:rsidRPr="00106A01">
        <w:lastRenderedPageBreak/>
        <w:t>Farmoryah</w:t>
      </w:r>
    </w:p>
    <w:p w14:paraId="72537D08" w14:textId="4CFA51DB" w:rsidR="000A3946" w:rsidRPr="00106A01" w:rsidRDefault="000C6450" w:rsidP="00630691">
      <w:pPr>
        <w:pStyle w:val="Num1para"/>
      </w:pPr>
      <w:r w:rsidRPr="00106A01">
        <w:t>Durante la visita, la delegación recibió la información de que Farmoryah enfrentó uno de los peores brotes del ébola durante 2014 y 2015. En un esfuerzo por ayudar en la lucha contra el brote del ébola, la UNOPS se concentró en el desarrollo de la infraestructura de los centros de salud, en tanto que el PNUD desempeñó un papel de apoyo con las autoridades locales y el UNFPA colaboró con la provisión de recursos humanos y equipos médicos. Es importante mencionar que la OMS desempeño un papel central en la respuesta al ébola en esta zona.</w:t>
      </w:r>
    </w:p>
    <w:p w14:paraId="07F0985E" w14:textId="7276589C" w:rsidR="000A3946" w:rsidRPr="00106A01" w:rsidRDefault="00226D7C" w:rsidP="00630691">
      <w:pPr>
        <w:pStyle w:val="Num1para"/>
      </w:pPr>
      <w:r w:rsidRPr="00106A01">
        <w:t>El centro de salud fue rehabilitado y reformado con equipos nuevos en 2015, y está abierto las 24 horas, con rotación de turnos día y noche. Se trajeron enfermeras y parteras de otras áreas en Guinea para garantizar que el centro contara con el todo el personal necesario. El UNFPA sigue apoyando al personal y facilitando equipo y productos mientras ayuda en la formación de parteras.</w:t>
      </w:r>
    </w:p>
    <w:p w14:paraId="3025FC32" w14:textId="1ECC44EC" w:rsidR="000A3946" w:rsidRPr="00106A01" w:rsidRDefault="000A3946" w:rsidP="00630691">
      <w:pPr>
        <w:pStyle w:val="Num1para"/>
      </w:pPr>
      <w:r w:rsidRPr="00106A01">
        <w:t>Se le informó a la delegación que ha habido un aumento dramático de pacientes que buscan atención médica en el centro, en comparación con los años anteriores a la rehabilitación del centro, lo cual refleja la fe de la comunidad en la calidad de los servicios prestados en el centro de salud. Inicialmente, cuando el ébola hizo su aparición, las personas de la comunidad no visitaban la clínica para procurar atención médica, sino que preferían ver a los curanderos locales; muchos creían que el centro era la causa del brote debido a las terribles condiciones de las viejas instalaciones. La comunidad de Farmoryah ayuda a mantener el centro de salud limpio y en buenas condiciones.</w:t>
      </w:r>
    </w:p>
    <w:p w14:paraId="53F5454F" w14:textId="1C0B2671" w:rsidR="000A3946" w:rsidRPr="00106A01" w:rsidRDefault="000A3946" w:rsidP="00630691">
      <w:pPr>
        <w:pStyle w:val="Num1para"/>
      </w:pPr>
      <w:r w:rsidRPr="00106A01">
        <w:t>Debido a la disposición de equipos, productos e insumos de alta calidad, después de la restauración y rehabilitación del centro, Farmoryah ha disfrutado de una aguda disminución de la mortalidad materna y neonatal. El centro también ha visto un aumento notable en el número de mujeres que procuran atención prenatal. La delegación se enteró de que el centro sigue un protocolo estricto en casos sospechosos de contagio con el virus del ébola; esto ha disminuido ostensiblemente la exposición de persona a persona.</w:t>
      </w:r>
    </w:p>
    <w:p w14:paraId="7AC24112" w14:textId="77777777" w:rsidR="0088767C" w:rsidRPr="00106A01" w:rsidRDefault="0088767C" w:rsidP="0088767C">
      <w:pPr>
        <w:pStyle w:val="Heading4"/>
      </w:pPr>
      <w:r w:rsidRPr="00106A01">
        <w:t>Compromiso con las asociaciones de jóvenes</w:t>
      </w:r>
    </w:p>
    <w:p w14:paraId="094737FE" w14:textId="77777777" w:rsidR="0088767C" w:rsidRPr="00106A01" w:rsidRDefault="0088767C" w:rsidP="0088767C">
      <w:pPr>
        <w:pStyle w:val="Num1para"/>
      </w:pPr>
      <w:r w:rsidRPr="00106A01">
        <w:t xml:space="preserve">La delegación considera que a pesar de que Guinea es una naciente democracia con solo seis años de democratización, sus organizaciones no gubernamentales y de la sociedad civil son vibrantes, dinámicas y cuentan con gran participación de los jóvenes. Muchos de los proyectos del equipo de las Naciones Unidas en el país son ejecutados en gran medida por organizaciones no gubernamentales cuyos afiliados son en su mayoría jóvenes a quienes los proyectos proveen fuentes de ingresos. La participación de los jóvenes se centra primordialmente en la consolidación del proceso de paz y reconciliación, el proceso electoral, la gestión de conflictos, la planificación familiar y la recuperación del ébola. Dada las inadecuadas capacidades institucionales, las organizaciones no gubernamentales podrían convertirse en cantera de talentos donde seleccionar a quienes contribuyan a ejecutar las acciones prioritarias. El equipo de las Naciones Unidas en el país subcontrata la evaluación de las ONG a una compañía independiente que las clasifica según su capacidad de trabajo sobre el terreno, su capacidad de gestionar expectativas y su gestión de fondos de los donantes. </w:t>
      </w:r>
    </w:p>
    <w:p w14:paraId="0C3BC6D8" w14:textId="77777777" w:rsidR="0088767C" w:rsidRPr="00106A01" w:rsidRDefault="0088767C" w:rsidP="0088767C">
      <w:pPr>
        <w:pStyle w:val="Num1para"/>
      </w:pPr>
      <w:r w:rsidRPr="00106A01">
        <w:t xml:space="preserve">Si bien el gobierno no prevé ninguna financiación para las ONG, excepto a través de proyectos conjuntos con donantes internacionales, es importante hacer notar que las ONG apoyan las políticas gubernamentales. La delegación observó que existe una relación ejemplar entre asociaciones de jóvenes y el equipo de las Naciones Unidas en el país, especialmente en áreas relacionadas con la movilización y formación de los jóvenes. Durante las crisis del ébola y el proceso electoral se hizo especialmente manifiesto un alto nivel de inclusión de los jóvenes y las organizaciones no gubernamentales. Las principales organizaciones no gubernamentales nacionales informaron a la delegación acerca de su trabajo sobre el terreno, principalmente en lo relativo a campañas de esterilización, recuperación posterior al ébola, empoderamiento de las </w:t>
      </w:r>
      <w:r w:rsidRPr="00106A01">
        <w:lastRenderedPageBreak/>
        <w:t xml:space="preserve">mujeres y gobernanza democrática. El equipo de las Naciones Unidas en el país ha ayudado a establecer varias "zonas azules" en el país, como es el caso de la establecida en Conakry. Se trata de centros juveniles de recreación, encuentro y formación, así como de espacios para mayor participación ciudadana. </w:t>
      </w:r>
    </w:p>
    <w:p w14:paraId="6C480F74" w14:textId="77777777" w:rsidR="0088767C" w:rsidRPr="00106A01" w:rsidRDefault="0088767C" w:rsidP="0088767C">
      <w:pPr>
        <w:pStyle w:val="Num1para"/>
      </w:pPr>
      <w:r w:rsidRPr="00106A01">
        <w:t>La delegación notó la fuerte presencia del UNFPA y la relación entre un número de organizaciones no gubernamentales y organizaciones de la sociedad civil y el UNFPA, organismo que ha sido firme partidario de fortalecer estas organizaciones, particularmente las asociaciones de jóvenes y de mujeres. El UNFPA contribuye a la reintegración socioeconómica de 2.800 jóvenes exvoluntarios del ejército a través de la formación en prácticas cívicas, consolidación de la paz y actividades generadoras de ingresos. Sin embargo, a pesar del éxito de la cooperación con asociaciones de jóvenes relativa a la planificación familiar, existe una creciente necesidad y demanda de educación reproductiva y salud adecuada. Las ONG y las OSC solicitaron ayuda para mantener la condición de "libre de ébola" y pidieron ayuda para la movilización de recursos de apoyo técnico y logístico a fin de estar mejor preparadas en caso de nuevos brotes.</w:t>
      </w:r>
    </w:p>
    <w:p w14:paraId="2385BDD1" w14:textId="77777777" w:rsidR="0088767C" w:rsidRPr="00106A01" w:rsidRDefault="0088767C" w:rsidP="0088767C">
      <w:pPr>
        <w:pStyle w:val="Num1para"/>
      </w:pPr>
      <w:r w:rsidRPr="00106A01">
        <w:t xml:space="preserve">Se informó a la delegación que desde la presentación del último MANUD, más de 100.000 niños y niñas han encontrado empleo, incluidos más de 1.000 que anteriormente estuvieron involucrados en asuntos militares. No obstante, teniendo en cuenta la alarmante tasa de desempleo, las ONG han pedido el establecimiento de centros socioeconómicos que ofrezcan capacitación a pequeños empresarios. La delegación notó que las ONG no están listas para alzar la voz en la lucha contra la corrupción; en cambio, han solicitado que el equipo realice entrenamiento a los partidos políticos y a los militares y policías con miras a abordar el tema de la corrupción. </w:t>
      </w:r>
    </w:p>
    <w:p w14:paraId="5CCFCB53" w14:textId="77777777" w:rsidR="0088767C" w:rsidRPr="00106A01" w:rsidRDefault="0088767C" w:rsidP="0088767C">
      <w:pPr>
        <w:pStyle w:val="Heading4"/>
      </w:pPr>
      <w:r w:rsidRPr="00106A01">
        <w:t>Participación de las asociaciones de mujeres</w:t>
      </w:r>
    </w:p>
    <w:p w14:paraId="2AB8052C" w14:textId="77777777" w:rsidR="0088767C" w:rsidRPr="00106A01" w:rsidRDefault="0088767C" w:rsidP="0088767C">
      <w:pPr>
        <w:pStyle w:val="Num1para"/>
      </w:pPr>
      <w:r w:rsidRPr="00106A01">
        <w:t xml:space="preserve">La delegación escuchó de primera mano a una serie de organizaciones de mujeres en torno a los avances obtenido en el ámbito de la igualdad de género, el empoderamiento de mujeres y jóvenes y las muy buenas relaciones entre las contrapartes nacionales responsables de las cuestiones de género y el equipo de las Naciones Unidas en el país. Las organizaciones de mujeres compartieron sus experiencias durante los procesos electoral, posterior al ébola y otros más, y destacaron la importancia del papel que desempeñan en procesos de prevención y conciliación de conflictos. </w:t>
      </w:r>
    </w:p>
    <w:p w14:paraId="70AB308A" w14:textId="7CF32ED8" w:rsidR="0088767C" w:rsidRPr="00106A01" w:rsidRDefault="0088767C" w:rsidP="0088767C">
      <w:pPr>
        <w:pStyle w:val="Num1para"/>
      </w:pPr>
      <w:r w:rsidRPr="00106A01">
        <w:t>Aunque el nivel de participación de las mujeres en las instituciones gubernamentales no es tan bajo como se esperaría en comparación con países vecinos, es necesario organizar un programa para el empoderamiento político y económico de las mujeres. Las líderes de las asociaciones de mujeres han hecho un llamado para que la Oficina Nacional de la Mujer se convierta en la Dirección Nacional de Empoderamiento de las Mujeres, entidad que tendría más poder institucional para llevar a cabo las reformas necesarias con miras a la promoción de los derechos de las mujeres, la igualdad de género y la protección de los niños. La delegación también escuchó llamados sobre la necesidad de más programas de capacitación para mujeres empresarias, especialmente en el área de pequeños negocios transfronterizos.</w:t>
      </w:r>
    </w:p>
    <w:p w14:paraId="727209E1" w14:textId="77777777" w:rsidR="0088767C" w:rsidRPr="00106A01" w:rsidRDefault="0088767C" w:rsidP="0088767C">
      <w:pPr>
        <w:pStyle w:val="Num1para"/>
      </w:pPr>
      <w:r w:rsidRPr="00106A01">
        <w:t>Si bien la delegación notó un progreso notable en el ámbito de la promoción de la igualdad de género en la educación, se debe aplicar con carácter de urgencia la Agenda 2030 sobre violencia de género. La delegación recibió información en el sentido de que el 95% de las mujeres fue víctima de abusos y violencia en el hogar. Durante las reuniones con las asociaciones de mujeres se prestó mucha atención a las cuestiones relacionadas con la mutilación genital femenina, y se hicieron llamados para que se ejecutaran campañas más intensas para contrarrestar las prácticas nocivas.</w:t>
      </w:r>
    </w:p>
    <w:p w14:paraId="4A9C3C80" w14:textId="64BAAB61" w:rsidR="004065B8" w:rsidRPr="00106A01" w:rsidRDefault="004065B8" w:rsidP="00065613">
      <w:pPr>
        <w:pStyle w:val="Heading1"/>
        <w:ind w:hanging="277"/>
        <w:rPr>
          <w:sz w:val="24"/>
          <w:szCs w:val="24"/>
        </w:rPr>
      </w:pPr>
      <w:r w:rsidRPr="00106A01">
        <w:rPr>
          <w:sz w:val="24"/>
        </w:rPr>
        <w:lastRenderedPageBreak/>
        <w:t>El equipo de las Naciones Unidas en el país en Guinea</w:t>
      </w:r>
    </w:p>
    <w:p w14:paraId="61FDBD7C" w14:textId="3E7E92D0" w:rsidR="00E83F2C" w:rsidRPr="00106A01" w:rsidRDefault="00FA0EAE" w:rsidP="00630691">
      <w:pPr>
        <w:pStyle w:val="Num1para"/>
      </w:pPr>
      <w:r w:rsidRPr="00106A01">
        <w:t>El equipo de las Naciones Unidas en el país, bajo la dirección general de la Coordinadora Residente, parece ser un socio de confianza del Gobierno guineano. Los socios</w:t>
      </w:r>
      <w:r w:rsidRPr="00106A01">
        <w:rPr>
          <w:rStyle w:val="FootnoteReference"/>
          <w:lang w:val="es-ES"/>
        </w:rPr>
        <w:footnoteReference w:id="4"/>
      </w:r>
      <w:r w:rsidRPr="00106A01">
        <w:t xml:space="preserve"> se reúnen periódicamente en la Casa Común de las Naciones Unidas para intercambiar información y coordinar sus actividades con el gobierno y con los donantes y otros asociados. El equipo de las Naciones Unidas en el país ha organizado ocho grupos temáticos para estructurar los diálogos con el gobierno. En el marco de sus áreas temáticas correspondientes, los distintos organismos de las Naciones Unidas tienen responsabilidades fundamentales de ayuda en el desarrollo de la capacidad en el seno del gobierno.</w:t>
      </w:r>
    </w:p>
    <w:p w14:paraId="187E5BC6" w14:textId="29D715B3" w:rsidR="00445A26" w:rsidRPr="00106A01" w:rsidRDefault="00F127DF" w:rsidP="00D2332F">
      <w:pPr>
        <w:pStyle w:val="Num1para"/>
      </w:pPr>
      <w:r w:rsidRPr="00106A01">
        <w:t xml:space="preserve">El componente de consolidación de la paz tiene como objetivo fortalecer la cohesión social y la unidad nacional a través de la prevención de conflictos y la promoción del diálogo. La estrategia se centra en acciones relacionadas con la prevención de conflictos, tales como la reforma del sector de la seguridad, la defensa y fomento de la capacidad de las estructuras e instituciones con miras a prevenir y resolver conflictos, el apoyo a la reconciliación nacional y la promoción de un diálogo permanente y constructivo con la participación activa de las mujeres. Este componente se enlaza con la reforma del sector de la seguridad, con financiación del Fondo Fiduciario para la Consolidación de la Paz. El programa de crecimiento inclusivo busca apoyar los esfuerzos nacionales dirigidos a la erradicación de la pobreza y a la promoción del desarrollo económico y social sostenible e incluyente. Su objetivo es ayudar a las autoridades, tanto a nivel nacional como a nivel local, a combatir la pobreza a través de la formulación, aplicación, seguimiento y evaluación de políticas macroeconómicas y sectoriales, y a través de programas que promuevan el desarrollo y la reducción de la pobreza. </w:t>
      </w:r>
    </w:p>
    <w:p w14:paraId="6211D14F" w14:textId="77777777" w:rsidR="00181031" w:rsidRPr="00106A01" w:rsidRDefault="00181031" w:rsidP="00154593">
      <w:pPr>
        <w:pStyle w:val="Heading4"/>
      </w:pPr>
      <w:r w:rsidRPr="00106A01">
        <w:t>El PNUD desempeña un papel crucial en temas relacionados con gobernabilidad y consolidación de la paz en Guinea.</w:t>
      </w:r>
    </w:p>
    <w:p w14:paraId="23A3414A" w14:textId="232FDDC7" w:rsidR="004065B8" w:rsidRPr="00106A01" w:rsidRDefault="00181031" w:rsidP="00505977">
      <w:pPr>
        <w:pStyle w:val="Num1para"/>
      </w:pPr>
      <w:r w:rsidRPr="00106A01">
        <w:t xml:space="preserve">El PNUD promueve la gobernanza democrática y la consolidación de la paz, y ofrece apoyo al proceso electoral, la reforma del sector de la seguridad, la reconciliación nacional, la reforma de la administración pública y la modernización y el fortalecimiento de las capacidades institucionales y humanas. Asiste al gobierno en el fortalecimiento del estado de derecho y en la promoción de la integridad y transparencia públicas. Igualmente asiste al gobierno en el establecimiento de instituciones más democráticas y resilientes, ayudando a los distintos actores sociales, incluidos los dirigentes de los medios de comunicación y de las fuerzas de seguridad, a respetar los principios de la democracia y el estado de derecho. Los esfuerzos del PNUD se centran en apoyar el desarrollo de la capacidad de la Asamblea Nacional recién electa. </w:t>
      </w:r>
    </w:p>
    <w:p w14:paraId="490C6B2E" w14:textId="562B949E" w:rsidR="004065B8" w:rsidRPr="00106A01" w:rsidRDefault="004065B8" w:rsidP="00630691">
      <w:pPr>
        <w:pStyle w:val="Num1para"/>
      </w:pPr>
      <w:r w:rsidRPr="00106A01">
        <w:t xml:space="preserve">Con el apoyo del Fondo Fiduciario para la Consolidación de la Paz, el PNUD ha contribuido a la búsqueda del diálogo político pacífico mediante campañas de sensibilización y promoción en todos los niveles, movilizando y coordinando el apoyo de socios y proporcionando experiencia técnica, incluso a través del despliegue de expertos internacionales, para la coordinación de las elecciones en Conakry y las otras siete regiones administrativas del país. El PNUD también ayudó a organizar y equipar una fuerza de seguridad para las elecciones legislativas y contribuyó con los esfuerzos de promoción de un clima de paz después del anuncio de los resultados de las elecciones, especialmente a través del compromiso con los dirigentes políticos y las ONG locales. </w:t>
      </w:r>
    </w:p>
    <w:p w14:paraId="2D8BB1C1" w14:textId="711F4322" w:rsidR="00BB4BEB" w:rsidRPr="00106A01" w:rsidRDefault="004065B8" w:rsidP="00A657BA">
      <w:pPr>
        <w:pStyle w:val="Num1para"/>
      </w:pPr>
      <w:r w:rsidRPr="00106A01">
        <w:t xml:space="preserve">El PNUD desempeña un papel destacado en el apoyo a la reforma del sector de la seguridad a partir del desarrollo de un marco de coordinación con un grupo de partes interesadas, entra las que se cuentan el Gobierno de Guinea, Francia, los EE.UU., la Unión Europea y la CEDEAO. El trabajo se ha centrado principalmente en torno al apoyo a "policía comunitaria", a fin de hacerla </w:t>
      </w:r>
      <w:r w:rsidRPr="00106A01">
        <w:lastRenderedPageBreak/>
        <w:t xml:space="preserve">más sensible a las preocupaciones de los ciudadanos. El PNUD y la Unión Europea también han reforzado el Ministerio de Justicia a través de la prestación de asistencia técnica internacional. Como resultado de este apoyo, el Ministerio ha elaborado una estrategia de refuerzo de la capacidad. </w:t>
      </w:r>
    </w:p>
    <w:p w14:paraId="22A68968" w14:textId="260D2215" w:rsidR="004065B8" w:rsidRPr="00106A01" w:rsidRDefault="00CA7E28" w:rsidP="004A61DE">
      <w:pPr>
        <w:pStyle w:val="Num1para"/>
      </w:pPr>
      <w:r w:rsidRPr="00106A01">
        <w:t xml:space="preserve">En cuanto a administración pública, el PNUD ha apoyado al Alto Comisionado para la Reforma Pública mediante el diseño de un programa para modernizar las instituciones públicas; esto llevó al Presidente a crear el Ministerio para la Reforma Pública con la misión se supervisar la ejecución de esta iniciativa, que ha sido apoyada conjuntamente por el Banco Mundial, el BAfD y la Unión Europea. El PNUD brinda apoyo técnico sustancial a la Agencia Nacional Contra la Corrupción, capacitando y equipando a su personal técnico y diseñando un sitio web y un "número de teléfono verde" dedicado que permite a los ciudadanos denunciar casos de corrupción. En colaboración con la Iniciativa Sociedad Abierta para África Occidental, el PNUD y ha apoyado la redacción de una ley para la prevención y lucha contra la corrupción en Guinea. Estas acciones se complementan con su asociación con los medios de comunicación y las organizaciones de la sociedad civil, centrada en la investigación, monitoreo y denuncia de casos de corrupción; esta asociación incluye el fortalecimiento de las capacidades técnicas de 22 organizaciones de la sociedad civil cuyos 215 miembros promueven el control ciudadano del accionar público en toda Guinea. </w:t>
      </w:r>
    </w:p>
    <w:p w14:paraId="2BDD948D" w14:textId="499AE72E" w:rsidR="00CD6BDB" w:rsidRPr="00106A01" w:rsidRDefault="004065B8" w:rsidP="00E10948">
      <w:pPr>
        <w:pStyle w:val="Num1para"/>
      </w:pPr>
      <w:r w:rsidRPr="00106A01">
        <w:t xml:space="preserve">En lo relativo a la gobernanza local, el PNUD ha reforzado la estrategia de descentralización del gobierno. Esto supone el fortalecimiento de las capacidades locales a través de enfoques de capacitación en gestión inclusiva, el refuerzo de las economías locales y la promoción de fuentes de financiación innovadoras, la promoción de alianzas público-privadas y el apoyo de la dinámica local para el desarrollo económico. El PNUD se ha centrado en promover el empleo y reducir la vulnerabilidad de los jóvenes y de las mujeres, así como en la creación de plataformas multifuncionales para mejorar las condiciones de vida y trabajo de las mujeres, y en el fortalecimiento de la capacidad de las autoridades locales para apoyar su propio desarrollo. Las mujeres se cuentan entra las principales beneficiarias del apoyo del PNUD, tanto a nivel nacional como en el ámbito local. El PNUD apoyó con financiación unos 476 proyectos encabezados por jóvenes y mujeres, que han generado casi 136.000 empleos a través de instituciones de microfinanciación. Desde 2007, el 30 por ciento de los 33.000 empleos creados a partir de sus programas han sido empleos para mujeres, en tanto que más de 50.000 mujeres en las regiones Guinea meridional y Guinea central han disfrutado de acceso a servicios de energía mediante la instalación de 19 plataformas polivalentes, que han aliviado la carga de la producción agrícola. </w:t>
      </w:r>
    </w:p>
    <w:p w14:paraId="5370CBBE" w14:textId="2CEBD8E2" w:rsidR="00CD6BDB" w:rsidRPr="00106A01" w:rsidRDefault="00CD6BDB" w:rsidP="00630691">
      <w:pPr>
        <w:pStyle w:val="Num1para"/>
      </w:pPr>
      <w:r w:rsidRPr="00106A01">
        <w:t xml:space="preserve">El PNUD también proporciona asistencia técnica para el diseño de la Planificación Nacional sobre Diversidad Biológica y la ejecución del Plan Estratégico del Convenio sobre la Diversidad Biológica 2011-2020, además de en la ejecución de la Iniciativa Nacional de Resiliencia y Adaptación al cambio climático en las zonas costeras. El PNUD está ejecutando un proyecto para reforzar la resiliencia de los medios de subsistencia de las comunidades campesinas en Gaoual, Koundara y Malí, que tiene como objetivo fortalecer las capacidades de las autoridades locales y de la comunidad para integrar el cambio climático en las herramientas de planificación y para lograr inversión en los niveles descentralizados. </w:t>
      </w:r>
    </w:p>
    <w:p w14:paraId="74ED9834" w14:textId="77777777" w:rsidR="00181031" w:rsidRPr="00106A01" w:rsidRDefault="00181031" w:rsidP="00154593">
      <w:pPr>
        <w:pStyle w:val="Heading4"/>
      </w:pPr>
      <w:r w:rsidRPr="00106A01">
        <w:t xml:space="preserve">El UNFPA desempeña un papel crucial en la disponibilidad y análisis de datos, la igualdad de género y derechos reproductivos, la salud materno-infantil y la planificación familiar. </w:t>
      </w:r>
    </w:p>
    <w:p w14:paraId="0AB0BEE3" w14:textId="71C0A8B4" w:rsidR="004065B8" w:rsidRPr="00106A01" w:rsidRDefault="004065B8" w:rsidP="00630691">
      <w:pPr>
        <w:pStyle w:val="Num1para"/>
      </w:pPr>
      <w:r w:rsidRPr="00106A01">
        <w:t xml:space="preserve">El UNFPA apoya al gobierno en asuntos relativos a la dinámica de la población a través de una serie de iniciativas, tales como: (a) el análisis y difusión de los resultados del Censo de Población y Vivienda de 2012; (b) la preparación para la Encuesta Demográfica y de Salud de 2017; (c) la investigación operativa sobre salud, género y adolescentes y jóvenes; (d) el desarrollo de aptitudes para la incorporación de cuestiones de población en los planes y programas nacionales; y (e) el fortalecimiento de los sistemas nacionales de gestión de información. Los principales socios en </w:t>
      </w:r>
      <w:r w:rsidRPr="00106A01">
        <w:lastRenderedPageBreak/>
        <w:t>estos esfuerzos son el Ministerio de Planificación, el Ministerio de Salud e Higiene Pública, la Unión Europea, el Banco Africano de Desarrollo y la Agencia de los Estados Unidos para el Desarrollo Internacional.</w:t>
      </w:r>
    </w:p>
    <w:p w14:paraId="0F4D01FB" w14:textId="73A44415" w:rsidR="004065B8" w:rsidRPr="00106A01" w:rsidRDefault="004065B8" w:rsidP="00630691">
      <w:pPr>
        <w:pStyle w:val="Num1para"/>
      </w:pPr>
      <w:r w:rsidRPr="00106A01">
        <w:t xml:space="preserve">El UNFPA asiste al Gobierno de Guinea en la formulación de legislación nacional sobre igualdad de género, derechos reproductivos, VIH/SIDA, violencia de género y ablación genital femenina, asegurando que dicha legislación esté en consonancia con los convenios internacionales; además, ayuda a difundirlos a través de las estructuras nacionales y las asociaciones y redes de mujeres. Las acciones del UNFPA procuran ofrecer apoyo en: la creación de entornos institucionales, legislativos y normativos orientados a promover y proteger la igualdad y la equidad; la promoción de los derechos reproductivos y la igualdad de acceso a la salud reproductiva; la lucha contra la violencia de género y la erradicación de la mutilación y ablación genital femeninas; la incorporación de los hombres en los programas de salud reproductiva; y la creación de capacidades en torno a la salud. </w:t>
      </w:r>
    </w:p>
    <w:p w14:paraId="13711C30" w14:textId="0177331B" w:rsidR="004065B8" w:rsidRPr="00106A01" w:rsidRDefault="004065B8" w:rsidP="00630691">
      <w:pPr>
        <w:pStyle w:val="Num1para"/>
      </w:pPr>
      <w:r w:rsidRPr="00106A01">
        <w:t>El UNFPA presta apoyo en salud materna y neonatal</w:t>
      </w:r>
      <w:r w:rsidRPr="00106A01">
        <w:rPr>
          <w:b/>
        </w:rPr>
        <w:t xml:space="preserve"> </w:t>
      </w:r>
      <w:r w:rsidRPr="00106A01">
        <w:t>a través de: el desarrollo y ejecución de un plan nacional para ampliar las intervenciones de alto impacto en salud materna y neonatal, con énfasis en la atención obstétrica básica de emergencia en el plano periférico y en el cuidado integral en lo relativo a las remisiones de pacientes; la facilitación del acceso a los servicios de salud sexual y reproductiva a través de la participación de la comunidad, impulsada por el establecimiento de organizaciones cooperativas de salud; la prevención y tratamiento de la fístula obstétrica; el fortalecimiento de capacidades en las tres escuelas de formación de parteras mediante la incorporación de la atención obstétrica en los programas de formación. Los principales socios son el Ministerio de Salud, el Ministerio de Asuntos Sociales, Promoción de la Mujer y Desarrollo de los Niños, el UNICEF, la OMS, el Banco Mundial, el Fondo Francés de Solidaridad y la Agencia de los Estados Unidos para el Desarrollo Internacional.</w:t>
      </w:r>
    </w:p>
    <w:p w14:paraId="021E7F80" w14:textId="6F64DAE5" w:rsidR="004065B8" w:rsidRPr="00106A01" w:rsidRDefault="004065B8" w:rsidP="00630691">
      <w:pPr>
        <w:pStyle w:val="Num1para"/>
      </w:pPr>
      <w:r w:rsidRPr="00106A01">
        <w:t>El UNFPA es el socio principal en Guinea en lo relacionado con la planificación familiar; apoya la ejecución del plan de seguridad de productos básicos de salud reproductiva, que comprende anticonceptivos y preservativos. La principales estrategias son, entre otras, el fortalecimiento de capacidades nacionales en gestión logística, el monitoreo de sistemas, la recopilación de información y la retroinformación; y el apoyo a la movilización eficaz de los fondos asignados en la partida presupuestaria correspondiente. El UNFPA también apoya la mejora de las capacidades nacionales para la ejecución de actividades de planificación familiar con base en la comunidad. Esto se logra mediante el apoyo orientado a mejorar la calidad de servicios asegurando que se lleve a cabo la incorporación del proceso de gestión de servicios basado en el desempeño, mediante la incorporación de los métodos anticonceptivos a largo plazo, incluidos los implantes, y a partir de intervenciones comunitarias dedicadas a acercar los servicios de salud materna y neonatal a las comunidades. Los principales socios son el Ministerio de Salud e Higiene Pública, el Ministerio de Finanzas, la OMS, el Banco Mundial, Francia y la Agencia de los Estados Unidos para el Desarrollo Internacional.</w:t>
      </w:r>
    </w:p>
    <w:p w14:paraId="4538D077" w14:textId="20CE4F2E" w:rsidR="00F6596F" w:rsidRPr="00106A01" w:rsidRDefault="004065B8" w:rsidP="00630691">
      <w:pPr>
        <w:pStyle w:val="Num1para"/>
      </w:pPr>
      <w:r w:rsidRPr="00106A01">
        <w:t xml:space="preserve">El UNFPA proporciona apoyo técnico y financiero significativo para el empoderamiento de las mujeres y las niñas y para la respuesta nacional contra la violencia de género. Esto se logra mediante la capacitación de los prestadores de servicios (personal sanitario, trabajadores sociales, fuerzas de defensa, seguridad y poder judicial); la rehabilitación de los centros para el tratamiento de las víctimas de violencia de género; y mediante la formación de niñas y mujeres de entornos desfavorecidos en torno a actividades de generación de ingresos. El UNFPA ha contribuido con una serie de acciones gubernamentales sobre empoderamiento de las mujeres, como son la asistencia en la formulación de la Política de Género y Empoderamiento Económico; la ejecución del Programa Especial de Cesáreas Gratuitas, iniciado por el Presidente de la República para reducir la mortalidad materna e infantil; la asistencia en la creación de unidades de género y equidad en ministerios importantes; el apoyo a la creación de 16 centros integrados (en centros de salud) y 15 unidades integradas (en destacamentos de policía y de gendarmería) para la prevención y gestión de la violencia de género; la orientación de la Campaña Nacional sobre </w:t>
      </w:r>
      <w:r w:rsidRPr="00106A01">
        <w:lastRenderedPageBreak/>
        <w:t>Planificación Familiar; el apoyo a la rehabilitación, construcción o equipamiento de centros de formación para niñas y las mujeres; y la asistencia en la ejecución del segundo Plan de Acción de la resolución 1325 del Consejo de Seguridad sobre mujeres, paz y seguridad.</w:t>
      </w:r>
    </w:p>
    <w:p w14:paraId="7699B59E" w14:textId="38350FE6" w:rsidR="000B06CC" w:rsidRPr="00106A01" w:rsidRDefault="00DA214C" w:rsidP="00154593">
      <w:pPr>
        <w:pStyle w:val="Heading4"/>
      </w:pPr>
      <w:r w:rsidRPr="00106A01">
        <w:t>La UNOPS desempeña un papel importante en la rehabilitación de instalaciones de atención médica en Guinea</w:t>
      </w:r>
    </w:p>
    <w:p w14:paraId="277919D3" w14:textId="4917CD70" w:rsidR="00895431" w:rsidRPr="00106A01" w:rsidRDefault="00883CAB" w:rsidP="00630691">
      <w:pPr>
        <w:pStyle w:val="Num1para"/>
      </w:pPr>
      <w:r w:rsidRPr="00106A01">
        <w:t>La UNOPS contribuyó con la respuesta de emergencia ante el ébola en Guinea evaluando las instalaciones de salud existentes con el fin de rehabilitarlas y adaptarlas para enfrentar mejor los desafíos que representa la epidemia de ébola. Las empresas constructoras locales rehabilitaron un total de 41 centros de salud existentes con de gestión de contrato y supervisión proporcionadas por el equipo de infraestructura de la UNOPS. Además de la rehabilitación de instalaciones existentes, se aportaron nuevos componentes, como vallas y energía solar. Las obras se iniciaron durante el apogeo de la crisis del ébola a fin de proporcionar un entorno de trabajo más seguro para los equipos médicos nacionales e internacionales.</w:t>
      </w:r>
    </w:p>
    <w:p w14:paraId="1B8DA6E7" w14:textId="1302A168" w:rsidR="00895431" w:rsidRPr="00106A01" w:rsidRDefault="00895431" w:rsidP="002B4092">
      <w:pPr>
        <w:pStyle w:val="Num1para"/>
      </w:pPr>
      <w:r w:rsidRPr="00106A01">
        <w:t xml:space="preserve">El proyecto de Construcción de Centros de Salud Rural, financiado por el Banco Islámico de Desarrollo, tiene como objetivo proporcionar instalaciones completamente nuevas en lugares particulares. El programa de construcción es coordinado por la Unidad de Coordinación Nacional del Ébola, y los cuatro centros ejecutados por la UNOPS son parte de un programa más amplio de construcción de nuevas instalaciones, algunas de las cuales ya se han completado, mientras hay más previstos para los próximos meses. Cada una de las cuatro instalaciones de salud consta de dos unidades independientes: </w:t>
      </w:r>
      <w:r w:rsidRPr="00106A01">
        <w:rPr>
          <w:i/>
        </w:rPr>
        <w:t>centre de santé amélioré</w:t>
      </w:r>
      <w:r w:rsidRPr="00106A01">
        <w:t xml:space="preserve"> (centro de salud mejorada, o CSA por su sigla en francés) y </w:t>
      </w:r>
      <w:r w:rsidRPr="00106A01">
        <w:rPr>
          <w:i/>
        </w:rPr>
        <w:t>centre de traitement</w:t>
      </w:r>
      <w:r w:rsidRPr="00106A01">
        <w:rPr>
          <w:b/>
          <w:i/>
        </w:rPr>
        <w:t xml:space="preserve"> </w:t>
      </w:r>
      <w:r w:rsidRPr="00106A01">
        <w:rPr>
          <w:i/>
        </w:rPr>
        <w:t>epidémioloque</w:t>
      </w:r>
      <w:r w:rsidRPr="00106A01">
        <w:t xml:space="preserve"> (centro para el tratamiento epidemiológico, o CTE por su sigla en francés), junto a algunas instalaciones compartidas, como el taller de mantenimiento y las residencias del personal. El CSA ofrece servicios convencionales de salud y tratamiento, como atención prenatal y postnatal, parto, vacunación, consultas ambulatorias y hospitalización, en tanto que el CTE está dedicado al tratamiento de afecciones de carácter epidémico o infeccioso, como el ébola y el cólera. En cada localidad se han dispuesto las unidades con arreglo a las condiciones específicas del lugar, pero siempre hay una pared que separa el CTE de las otras instalaciones. Teniendo en cuenta el contexto particular de cada lugar, se han modificado algunos componentes, por lo que en los dos centros (Banankoro y Guecke) solo se proporciona residencia para dos miembros del personal en lugar de tres, para compensar el mayor costo de construcción, mientras que en Matoto (un centro urbano cercano a Conakry), las residencias serán sustituidas por espacio adicional para hospitalización.</w:t>
      </w:r>
    </w:p>
    <w:p w14:paraId="7D098310" w14:textId="55092E8E" w:rsidR="00136914" w:rsidRPr="00106A01" w:rsidRDefault="00945312" w:rsidP="00065613">
      <w:pPr>
        <w:pStyle w:val="Heading1"/>
        <w:ind w:hanging="277"/>
        <w:rPr>
          <w:sz w:val="24"/>
          <w:szCs w:val="24"/>
        </w:rPr>
      </w:pPr>
      <w:r w:rsidRPr="00106A01">
        <w:rPr>
          <w:sz w:val="24"/>
        </w:rPr>
        <w:t>Observaciones y recomendaciones</w:t>
      </w:r>
    </w:p>
    <w:p w14:paraId="70F600D5" w14:textId="77777777" w:rsidR="00136914" w:rsidRPr="00106A01" w:rsidRDefault="00136914" w:rsidP="00065613">
      <w:pPr>
        <w:pStyle w:val="Heading3"/>
        <w:numPr>
          <w:ilvl w:val="0"/>
          <w:numId w:val="9"/>
        </w:numPr>
        <w:tabs>
          <w:tab w:val="left" w:pos="1710"/>
        </w:tabs>
        <w:ind w:firstLine="180"/>
      </w:pPr>
      <w:r w:rsidRPr="00106A01">
        <w:t>Observaciones</w:t>
      </w:r>
    </w:p>
    <w:p w14:paraId="0A205E60" w14:textId="77777777" w:rsidR="005932F4" w:rsidRPr="00106A01" w:rsidRDefault="005932F4" w:rsidP="00154593">
      <w:pPr>
        <w:pStyle w:val="Heading4"/>
      </w:pPr>
      <w:r w:rsidRPr="00106A01">
        <w:t>Guinea enfrenta una serie de problemas de desarrollo similares a los de países en condiciones posconflicto.</w:t>
      </w:r>
    </w:p>
    <w:p w14:paraId="16D14904" w14:textId="34375D18" w:rsidR="005932F4" w:rsidRPr="00106A01" w:rsidRDefault="005932F4" w:rsidP="00630691">
      <w:pPr>
        <w:pStyle w:val="Num1para"/>
      </w:pPr>
      <w:r w:rsidRPr="00106A01">
        <w:t xml:space="preserve">El nuevo Gobierno de Guinea, que ha cumplido unos cien días, se enfrenta a una gran cantidad de problemas de desarrollo, especialmente debido a la ausencia de coordinación a nivel nacional y entre los socios internacionales. El Gobierno ha tomado medidas para remediar esta situación, pero carece de muchas de las capacidades humanas, financieras e institucionales para diseñar y formular proyectos y programas. También enfrenta dificultades en relación con la asignación de prioridades. </w:t>
      </w:r>
    </w:p>
    <w:p w14:paraId="4F4D490F" w14:textId="6AB31E47" w:rsidR="005932F4" w:rsidRPr="00106A01" w:rsidRDefault="005932F4" w:rsidP="00252822">
      <w:pPr>
        <w:pStyle w:val="Num1para"/>
      </w:pPr>
      <w:r w:rsidRPr="00106A01">
        <w:t xml:space="preserve">Aunque el país nunca ha sido testigo de una guerra civil, la delegación considera que Guinea se encuentra en una situación frágil, y guarda similitudes con países que salen de un conflicto. Las consecuencias de 26 años de régimen militar, los disturbios civiles y el brote de ébola han </w:t>
      </w:r>
      <w:r w:rsidRPr="00106A01">
        <w:lastRenderedPageBreak/>
        <w:t>contribuido grandemente a la situación actual. La delegación notó que hay necesidad de una mayor movilización de recursos para mantener la sostenibilidad del proceso de recuperación posterior al ébola. En ese contexto, urge introducir mejoras en el sistema de salud y del sistema de educación sanitaria.</w:t>
      </w:r>
    </w:p>
    <w:p w14:paraId="62F8ABC6" w14:textId="079FADAD" w:rsidR="005932F4" w:rsidRPr="00106A01" w:rsidRDefault="005932F4" w:rsidP="00154593">
      <w:pPr>
        <w:pStyle w:val="Heading4"/>
      </w:pPr>
      <w:r w:rsidRPr="00106A01">
        <w:t>La reforma del sector de la seguridad es la base de los esfuerzos de desarrollo sostenible en Guinea.</w:t>
      </w:r>
    </w:p>
    <w:p w14:paraId="78E2B746" w14:textId="64373F05" w:rsidR="005932F4" w:rsidRPr="00106A01" w:rsidRDefault="005932F4" w:rsidP="00630691">
      <w:pPr>
        <w:pStyle w:val="Num1para"/>
      </w:pPr>
      <w:r w:rsidRPr="00106A01">
        <w:t>La delegación observó con satisfacción que se han realizado grandes esfuerzos en la reforma del sector de la seguridad, en particular en torno a la reforma del ejército. También destacó el compromiso del gobierno de aprovechar los avances obtenidos en los sectores de defensa, policía y justicia. Estas acciones de reforma proporcionan la seguridad necesaria para alcanzar el Objetivo de Desarrollo Sostenible del país.</w:t>
      </w:r>
    </w:p>
    <w:p w14:paraId="3DAB01FA" w14:textId="369F5119" w:rsidR="00BE65C5" w:rsidRPr="00106A01" w:rsidRDefault="00BE65C5" w:rsidP="00154593">
      <w:pPr>
        <w:pStyle w:val="Heading4"/>
      </w:pPr>
      <w:r w:rsidRPr="00106A01">
        <w:t xml:space="preserve">La ejecución del MANUD 2013-2017 debió ajustarse debido al brote de ébola. </w:t>
      </w:r>
    </w:p>
    <w:p w14:paraId="5DD263A0" w14:textId="516C879A" w:rsidR="00BE65C5" w:rsidRPr="00106A01" w:rsidRDefault="00DA214C" w:rsidP="00B523EC">
      <w:pPr>
        <w:pStyle w:val="Num1para"/>
        <w:rPr>
          <w:b/>
          <w:bCs/>
        </w:rPr>
      </w:pPr>
      <w:r w:rsidRPr="00106A01">
        <w:t>El esquipo de las Naciones Unidas en el país se orienta por el MANUD 2013-2017, que ha sido avalado por el gobierno de Guinea. Antes de 2014, se centró en tres áreas temáticas que abordan las prioridades políticas esenciales y guardan consonancia con las prioridades nacionales. Después del brote de ébola en 2014, se agregó una cuarta área temática, el ébola y otras emergencias, para armonizar con las nuevas prioridades nacionales. La delegación considera que el papel de la UNMEER y el papel de la Coordinadora Residente podrían haber dado lugar a una duplicación y falta de claridad de mandatos de coordinación y de liderazgo. A partir de esto, el sistema de respuesta las Naciones Unidas pudo haberse centrado en proyectos de organismos particulares en lugar de en programas interinstitucionales coherentes.</w:t>
      </w:r>
    </w:p>
    <w:p w14:paraId="6B44E244" w14:textId="606ED97C" w:rsidR="00BE65C5" w:rsidRPr="00106A01" w:rsidRDefault="00963A0D" w:rsidP="00154593">
      <w:pPr>
        <w:pStyle w:val="Heading4"/>
      </w:pPr>
      <w:r w:rsidRPr="00106A01">
        <w:t xml:space="preserve">La movilización de recursos por parte de los distintos miembros del equipo está fragmentada. </w:t>
      </w:r>
    </w:p>
    <w:p w14:paraId="4CA92F2E" w14:textId="349F7C4F" w:rsidR="00BE65C5" w:rsidRPr="00106A01" w:rsidRDefault="00BE65C5" w:rsidP="00630691">
      <w:pPr>
        <w:pStyle w:val="Num1para"/>
      </w:pPr>
      <w:r w:rsidRPr="00106A01">
        <w:t>Distintos miembros del equipo de las Naciones Unidas en el país explicaron a la delegación las dificultades que enfrenta la Coordinadora Residente para coordinar y ejercer influencia sobre la movilización de recursos. Esto se debe a que algunos organismos de las Naciones Unidas hacen solicitudes financiación a los donantes para proyectos con objetivos similares, y se debe además a la falta de capacidad dedicada en la oficina de la Coordinadora Residente. A modo de ejemplo, el representante del PMA indicó que las diferencias en la naturaleza de las operaciones que ejecutan las distintas organizaciones de las Naciones Unidas complican la coordinación. Los organismos elaboran y ejecutan programas a "distintas velocidades". Esto, por lo tanto, complica la coordinación y las actividades de adquisición conjunta. Por esos motivos, se dedica mucho tiempo a reuniones de coordinación en todos los niveles, en lugar de dedicarlo a un enfoque estratégico común.</w:t>
      </w:r>
    </w:p>
    <w:p w14:paraId="1183E7E2" w14:textId="35A7C11C" w:rsidR="00BE65C5" w:rsidRPr="00106A01" w:rsidRDefault="00E54E86" w:rsidP="00630691">
      <w:pPr>
        <w:pStyle w:val="Num1para"/>
      </w:pPr>
      <w:r w:rsidRPr="00106A01">
        <w:t xml:space="preserve">La Coordinadora Residente informó a la delegación sobre sus esfuerzos para hacer frente a los acuerdos que fragmentan los esfuerzos y mejorar la coordinación entre los distintos organismos en el país; así, por ejemplo, en febrero de 2016, el equipo de las Naciones Unidas en el país tomó la decisión general para coordinar iniciativas con objetivos compartidos y grupos beneficiarios. A partir de allí se integraron algunos enfoques en zonas particulares de Guinea. </w:t>
      </w:r>
    </w:p>
    <w:p w14:paraId="0C63795C" w14:textId="5F0CCBB3" w:rsidR="00BE65C5" w:rsidRPr="00106A01" w:rsidRDefault="00BE65C5" w:rsidP="00154593">
      <w:pPr>
        <w:pStyle w:val="Heading4"/>
      </w:pPr>
      <w:r w:rsidRPr="00106A01">
        <w:t>Unidos en la Acción se va introduciendo gradualmente.</w:t>
      </w:r>
    </w:p>
    <w:p w14:paraId="5382D7C7" w14:textId="577E9713" w:rsidR="00BE65C5" w:rsidRPr="00106A01" w:rsidRDefault="00BE65C5" w:rsidP="00B2614A">
      <w:pPr>
        <w:pStyle w:val="Num1para"/>
      </w:pPr>
      <w:r w:rsidRPr="00106A01">
        <w:t xml:space="preserve">La delegación fue informada de que, en marzo de 2014, el Gobierno de Guinea pidió a las Naciones Unidas que pusiera en marcha el proceso Unidos en la Acción. Sobre la base de esta solicitud se formuló un plan que fue aprobado de manera conjunta. El gobierno y las Naciones Unidas firmaron una nota conceptual en septiembre de 2015, y la aplicación de Unidos en la Acción se verá reflejada en el siguiente MANUD (2018-2022). Algunos elementos de Unidos en la Acción se están aplicando en la actualidad en Guinea; tal es el caso del plan de trabajo anual conjunto, de la estrategia de movilización de recursos para la respuesta al ébola y del enfoque </w:t>
      </w:r>
      <w:r w:rsidRPr="00106A01">
        <w:lastRenderedPageBreak/>
        <w:t>integrado de las Naciones Unidas, con un enfoque de género, para el desarrollo de zonas frágiles de la región de Guinea septentrional.</w:t>
      </w:r>
    </w:p>
    <w:p w14:paraId="5D9CD1C5" w14:textId="787E7C8F" w:rsidR="00BE65C5" w:rsidRPr="00106A01" w:rsidRDefault="00BE65C5" w:rsidP="00154593">
      <w:pPr>
        <w:pStyle w:val="Heading4"/>
      </w:pPr>
      <w:r w:rsidRPr="00106A01">
        <w:t xml:space="preserve">Existen oportunidades para la cooperación y coordinación más estrecha entre los organismos de las Naciones Unidas más allá de la respuesta al ébola. </w:t>
      </w:r>
    </w:p>
    <w:p w14:paraId="642862A8" w14:textId="724ABCBE" w:rsidR="00BE65C5" w:rsidRPr="00106A01" w:rsidRDefault="00981AC5" w:rsidP="00630691">
      <w:pPr>
        <w:pStyle w:val="Num1para"/>
      </w:pPr>
      <w:r w:rsidRPr="00106A01">
        <w:t>El brote de ébola ha demostrado que la programación conjunta y la movilización de recursos comunes de las Naciones Unidas son factibles. La Coordinadora Residente declaró la intención de que los programas conjuntos adquieran mayor importancia y faciliten la participación de organizaciones de las Naciones Unidas que no tengan presencia en Guinea.</w:t>
      </w:r>
    </w:p>
    <w:p w14:paraId="7C5DBD0A" w14:textId="498E50BE" w:rsidR="00BE65C5" w:rsidRPr="00106A01" w:rsidRDefault="00BE65C5" w:rsidP="00630691">
      <w:pPr>
        <w:pStyle w:val="Num1para"/>
      </w:pPr>
      <w:r w:rsidRPr="00106A01">
        <w:t xml:space="preserve">Después de solicitar que se adoptara el enfoque Unidos en la Acción, el Gobierno de Guinea envió una solicitud a la Coordinadora Residente y a la sede de las Naciones Unidas para establecer un mecanismo de financiación para iniciativas posteriores al ébola, mediante un mecanismo de fondo fiduciario. Los preparativos están en curso para presentar un plan de trabajo conjunto en el año 2016 para la ejecución de la cuarta área temática del MANUD modificado (Ébola y otras emergencias); este será el piloto para la aplicación de Unidos en la Acción, y ofrecerá la oportunidad de aprender las lecciones antes de la plena aplicación del enfoque en el próximo ciclo del MANUD. </w:t>
      </w:r>
    </w:p>
    <w:p w14:paraId="212F6BEC" w14:textId="4726C4A8" w:rsidR="004065B8" w:rsidRPr="00106A01" w:rsidRDefault="004065B8" w:rsidP="00065613">
      <w:pPr>
        <w:pStyle w:val="Heading3"/>
        <w:tabs>
          <w:tab w:val="left" w:pos="1620"/>
        </w:tabs>
        <w:ind w:hanging="7"/>
      </w:pPr>
      <w:r w:rsidRPr="00106A01">
        <w:t>Recomendaciones</w:t>
      </w:r>
    </w:p>
    <w:p w14:paraId="05DA7BCE" w14:textId="52AF583E" w:rsidR="004065B8" w:rsidRPr="00106A01" w:rsidRDefault="004065B8" w:rsidP="00630691">
      <w:pPr>
        <w:pStyle w:val="Num1para"/>
      </w:pPr>
      <w:r w:rsidRPr="00106A01">
        <w:t>A la luz de las observaciones precedentes, se formulan las siguientes recomendaciones:</w:t>
      </w:r>
    </w:p>
    <w:p w14:paraId="00160741" w14:textId="120E7181" w:rsidR="00EE1F39" w:rsidRPr="00106A01" w:rsidRDefault="004065B8" w:rsidP="00630691">
      <w:pPr>
        <w:pStyle w:val="Num1para"/>
      </w:pPr>
      <w:r w:rsidRPr="00106A01">
        <w:rPr>
          <w:b/>
        </w:rPr>
        <w:t>Las Naciones Unidas deben estimular aún más a sus asociados para el desarrollo a fin de que sigan apoyando los esfuerzos del gobierno en la movilización de recursos hacia la ejecución de programas de recuperación posteriores al ébola.</w:t>
      </w:r>
      <w:r w:rsidRPr="00106A01">
        <w:t xml:space="preserve"> Dentro del sistema de las Naciones Unidas, el PNUD, el UNFPA y la UNOPS siguen apoyando al gobierno en la recuperación posterior al ébola y otras iniciativas de desarrollo. </w:t>
      </w:r>
    </w:p>
    <w:p w14:paraId="20C2937B" w14:textId="72FE4C43" w:rsidR="000E35B8" w:rsidRPr="00106A01" w:rsidRDefault="00286F00" w:rsidP="00630691">
      <w:pPr>
        <w:pStyle w:val="Num1para"/>
      </w:pPr>
      <w:r w:rsidRPr="00106A01">
        <w:rPr>
          <w:b/>
        </w:rPr>
        <w:t>El equipo de las Naciones Unidas en el país debe seguir fortaleciendo su trabajo relacionado con la prevención de conflictos, la consolidación de la paz y la resiliencia, incluidos los esfuerzos para fortalecer la cohesión social y reducir la vulnerabilidad de los jóvenes y las mujeres, elaborar respuestas a la violencia de género y facilitar oportunidades para el diálogo nacional entre todas las partes interesadas</w:t>
      </w:r>
      <w:r w:rsidRPr="00106A01">
        <w:t>.</w:t>
      </w:r>
    </w:p>
    <w:p w14:paraId="5C751FB0" w14:textId="7DD0E28F" w:rsidR="00CF74BE" w:rsidRPr="00106A01" w:rsidRDefault="00CF74BE" w:rsidP="00630691">
      <w:pPr>
        <w:pStyle w:val="Num1para"/>
      </w:pPr>
      <w:r w:rsidRPr="00106A01">
        <w:rPr>
          <w:b/>
        </w:rPr>
        <w:t>Ante las amenazas de violencia y extremismo y otros desafíos a la seguridad, es importante que el gobierno destine más recursos y mayores esfuerzos a la ejecución de políticas de creación de capacidad en el sector de la seguridad</w:t>
      </w:r>
      <w:r w:rsidRPr="00106A01">
        <w:t>. Las autoridades guineanas aprecian el trabajo realizado por el sistema de las Naciones Unidas en su país, pero los esfuerzos de reforma se encuentran en la actualidad en la etapa de movilización de recursos, y el gobierno desea que los socios de las Naciones Unidas continúen apoyándolo en la movilización de recursos.</w:t>
      </w:r>
    </w:p>
    <w:p w14:paraId="22A1CA16" w14:textId="06A29C0E" w:rsidR="00CF74BE" w:rsidRPr="00106A01" w:rsidRDefault="00CF74BE" w:rsidP="00630691">
      <w:pPr>
        <w:pStyle w:val="Num1para"/>
      </w:pPr>
      <w:r w:rsidRPr="00106A01">
        <w:t xml:space="preserve">Si lo que se persigue es evitar la radicalización y el extremismo, el mero apoyo a las políticas de fomento de la capacidad en el sector de la seguridad podría no ser suficiente para lograr un resultado exitoso. </w:t>
      </w:r>
      <w:r w:rsidRPr="00106A01">
        <w:rPr>
          <w:b/>
        </w:rPr>
        <w:t>Esta es, pues, una oportunidad para que el PNUD, el UNFPA y la UNOPS (y el sistema de las Naciones Unidas) apoyen un enfoque integrado y global así como el enfoque Unidos en la Acción</w:t>
      </w:r>
      <w:r w:rsidRPr="00106A01">
        <w:t>, que permitiría el análisis conjunto de otras cuestiones conexas esenciales, tales como la promoción de enfoques basados en los derechos humanos, los valores de paz, tolerancia y no violencia, el trabajo con el sistema educativo y con personalidades religiosas (imanes) y dirigentes comunitarios, la sociedad civil y organizaciones de jóvenes y mujeres para corregir mensajes de propaganda que parten del odio y el extremismo en nombre del Islam en los medios sociales y en otros círculos que facilitan la afiliación y la radicalización (tales como centros penitenciarios, centros de detención juvenil o mezquitas).</w:t>
      </w:r>
    </w:p>
    <w:p w14:paraId="7EB1B0F3" w14:textId="0AFAD254" w:rsidR="00CF74BE" w:rsidRPr="00106A01" w:rsidRDefault="00CF74BE" w:rsidP="00630691">
      <w:pPr>
        <w:pStyle w:val="Num1para"/>
      </w:pPr>
      <w:r w:rsidRPr="00106A01">
        <w:rPr>
          <w:b/>
        </w:rPr>
        <w:lastRenderedPageBreak/>
        <w:t>Es necesario elaborar enfoques de programas conjuntos y movilización conjunta de recursos con miras a trabajar Unidos en la Acción</w:t>
      </w:r>
      <w:r w:rsidRPr="00106A01">
        <w:t xml:space="preserve">. La sede debe dar un fuerte impulso en lo relativo a los fondos y programas, lo mismo que los organismos pertinentes. </w:t>
      </w:r>
      <w:r w:rsidRPr="00106A01">
        <w:rPr>
          <w:b/>
        </w:rPr>
        <w:t>Es importante reforzar las capacidades existentes en la oficina de la Coordinadora Residente</w:t>
      </w:r>
      <w:r w:rsidRPr="00106A01">
        <w:t xml:space="preserve">, no solo para hacer frente a los desafíos de la coordinación y para evitar la duplicación del trabajo entre varios organismos, sino también para fomentar la movilización conjunta de recursos con miras a apoyar el proceso de formulación del MANUD 2018-2022 así como la aplicación plena del enfoque Unidos en la Acción en el siguiente ciclo de MANUD. </w:t>
      </w:r>
    </w:p>
    <w:p w14:paraId="1D08771D" w14:textId="172C56B6" w:rsidR="00576211" w:rsidRPr="00106A01" w:rsidRDefault="006C0146" w:rsidP="00630691">
      <w:pPr>
        <w:pStyle w:val="Num1para"/>
      </w:pPr>
      <w:r w:rsidRPr="00106A01">
        <w:rPr>
          <w:b/>
        </w:rPr>
        <w:t>Es crucial que el PNUD continúe desempeñando su activo papel de apoyo a la capacidad de coordinación del gobierno. El PNUD debe ponderar el modo de incrementar su apoyo al gobierno en la coordinación de las contribuciones de los donantes y la movilización de recursos</w:t>
      </w:r>
      <w:r w:rsidRPr="00106A01">
        <w:t xml:space="preserve">. Ahora bien, la movilización de recursos debe venir acompañada del desarrollo de las capacidades de programación y ejecución del gobierno. </w:t>
      </w:r>
    </w:p>
    <w:p w14:paraId="5F90FCD7" w14:textId="7C631378" w:rsidR="00500A5E" w:rsidRPr="00106A01" w:rsidRDefault="001207F8" w:rsidP="00630691">
      <w:pPr>
        <w:pStyle w:val="Num1para"/>
      </w:pPr>
      <w:r w:rsidRPr="00106A01">
        <w:t xml:space="preserve">La visita sobre el terreno a Guinea tuvo lugar este año, pero el nuevo documento del programa para el país de Guinea, que incorpora el enfoque Unidos en la Acción, no se presentará hasta el año 2017. Esto da cuenta, pues, de una oportunidad perdida para combinar la información y las impresiones de la visita sobre el terreno con las consideraciones del nuevo programa de Guinea. </w:t>
      </w:r>
      <w:r w:rsidRPr="00106A01">
        <w:rPr>
          <w:b/>
        </w:rPr>
        <w:t>En el futuro sería beneficioso seleccionar como destino de la visita sobre el terreno de la Junta un país en que se ejecuten programas cuyo documento de programa para el país se vaya a presentar a esta en el curso del mismo año</w:t>
      </w:r>
      <w:r w:rsidRPr="00106A01">
        <w:t>.</w:t>
      </w:r>
    </w:p>
    <w:p w14:paraId="18B16D08" w14:textId="7D30C0D5" w:rsidR="00F13C7A" w:rsidRPr="00106A01" w:rsidRDefault="00F13C7A" w:rsidP="00996D71">
      <w:pPr>
        <w:spacing w:after="240"/>
        <w:rPr>
          <w:sz w:val="20"/>
        </w:rPr>
      </w:pPr>
      <w:r w:rsidRPr="00106A01">
        <w:br w:type="page"/>
      </w:r>
    </w:p>
    <w:p w14:paraId="60174821" w14:textId="77777777" w:rsidR="00D7203D" w:rsidRPr="00106A01" w:rsidRDefault="00D7203D" w:rsidP="00996D71">
      <w:pPr>
        <w:spacing w:after="240"/>
        <w:ind w:right="360"/>
        <w:jc w:val="center"/>
        <w:rPr>
          <w:b/>
        </w:rPr>
      </w:pPr>
      <w:r w:rsidRPr="00106A01">
        <w:rPr>
          <w:b/>
        </w:rPr>
        <w:lastRenderedPageBreak/>
        <w:t>APÉNDICE</w:t>
      </w:r>
    </w:p>
    <w:p w14:paraId="36FDF440" w14:textId="2C877245" w:rsidR="00E43749" w:rsidRPr="00106A01" w:rsidRDefault="00E43749" w:rsidP="00996D71">
      <w:pPr>
        <w:tabs>
          <w:tab w:val="left" w:pos="1440"/>
        </w:tabs>
        <w:spacing w:after="240"/>
        <w:ind w:right="360"/>
        <w:jc w:val="center"/>
        <w:rPr>
          <w:b/>
          <w:sz w:val="20"/>
        </w:rPr>
      </w:pPr>
      <w:r w:rsidRPr="00106A01">
        <w:rPr>
          <w:b/>
          <w:sz w:val="20"/>
        </w:rPr>
        <w:t>Lista de participantes en la visita sobre el terreno de miembros de la Junta Ejecutiva del PNUD, el UNFPA y la UNOPS a Guinea efectuada del 10 al 15 abril de 2016</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62"/>
        <w:gridCol w:w="5318"/>
      </w:tblGrid>
      <w:tr w:rsidR="00943B64" w:rsidRPr="00106A01" w14:paraId="08F7ACA8" w14:textId="77777777" w:rsidTr="00585117">
        <w:trPr>
          <w:trHeight w:val="288"/>
          <w:jc w:val="center"/>
        </w:trPr>
        <w:tc>
          <w:tcPr>
            <w:tcW w:w="3862" w:type="dxa"/>
            <w:tcBorders>
              <w:top w:val="single" w:sz="4" w:space="0" w:color="auto"/>
            </w:tcBorders>
            <w:shd w:val="pct5" w:color="auto" w:fill="FFFFFF"/>
            <w:vAlign w:val="center"/>
          </w:tcPr>
          <w:p w14:paraId="048D27D7" w14:textId="77777777" w:rsidR="00943B64" w:rsidRPr="00106A01" w:rsidRDefault="00943B64" w:rsidP="00996D71">
            <w:pPr>
              <w:jc w:val="center"/>
              <w:rPr>
                <w:b/>
                <w:sz w:val="20"/>
              </w:rPr>
            </w:pPr>
            <w:r w:rsidRPr="00106A01">
              <w:rPr>
                <w:b/>
                <w:sz w:val="20"/>
              </w:rPr>
              <w:t>País</w:t>
            </w:r>
          </w:p>
        </w:tc>
        <w:tc>
          <w:tcPr>
            <w:tcW w:w="5318" w:type="dxa"/>
            <w:tcBorders>
              <w:top w:val="single" w:sz="4" w:space="0" w:color="auto"/>
            </w:tcBorders>
            <w:shd w:val="pct5" w:color="auto" w:fill="FFFFFF"/>
            <w:vAlign w:val="center"/>
          </w:tcPr>
          <w:p w14:paraId="363E23FF" w14:textId="77777777" w:rsidR="00943B64" w:rsidRPr="00106A01" w:rsidRDefault="00943B64" w:rsidP="00996D71">
            <w:pPr>
              <w:jc w:val="center"/>
              <w:rPr>
                <w:b/>
                <w:sz w:val="20"/>
              </w:rPr>
            </w:pPr>
            <w:r w:rsidRPr="00106A01">
              <w:rPr>
                <w:b/>
                <w:sz w:val="20"/>
              </w:rPr>
              <w:t>Nombre y cargo</w:t>
            </w:r>
          </w:p>
        </w:tc>
      </w:tr>
      <w:tr w:rsidR="00943B64" w:rsidRPr="00106A01" w14:paraId="4E3328CE" w14:textId="77777777" w:rsidTr="007F34FE">
        <w:trPr>
          <w:trHeight w:val="20"/>
          <w:jc w:val="center"/>
        </w:trPr>
        <w:tc>
          <w:tcPr>
            <w:tcW w:w="9180" w:type="dxa"/>
            <w:gridSpan w:val="2"/>
            <w:tcBorders>
              <w:bottom w:val="single" w:sz="6" w:space="0" w:color="auto"/>
            </w:tcBorders>
            <w:vAlign w:val="center"/>
          </w:tcPr>
          <w:p w14:paraId="20A7534B" w14:textId="77777777" w:rsidR="00943B64" w:rsidRPr="00106A01" w:rsidRDefault="00943B64" w:rsidP="00996D71">
            <w:pPr>
              <w:rPr>
                <w:sz w:val="20"/>
              </w:rPr>
            </w:pPr>
            <w:r w:rsidRPr="00106A01">
              <w:rPr>
                <w:b/>
                <w:sz w:val="20"/>
              </w:rPr>
              <w:t>ASIA Y EL PACÍFICO</w:t>
            </w:r>
          </w:p>
        </w:tc>
      </w:tr>
      <w:tr w:rsidR="00943B64" w:rsidRPr="00106A01" w14:paraId="1975EBDE" w14:textId="77777777" w:rsidTr="00585117">
        <w:trPr>
          <w:trHeight w:val="20"/>
          <w:jc w:val="center"/>
        </w:trPr>
        <w:tc>
          <w:tcPr>
            <w:tcW w:w="3862" w:type="dxa"/>
            <w:tcBorders>
              <w:bottom w:val="single" w:sz="4" w:space="0" w:color="auto"/>
            </w:tcBorders>
            <w:vAlign w:val="center"/>
          </w:tcPr>
          <w:p w14:paraId="1BB14865" w14:textId="73F31CDC" w:rsidR="00943B64" w:rsidRPr="00106A01" w:rsidRDefault="00943B64" w:rsidP="00996D71">
            <w:pPr>
              <w:rPr>
                <w:b/>
                <w:sz w:val="20"/>
              </w:rPr>
            </w:pPr>
            <w:r w:rsidRPr="00106A01">
              <w:rPr>
                <w:b/>
                <w:sz w:val="20"/>
              </w:rPr>
              <w:t>Yemen</w:t>
            </w:r>
          </w:p>
        </w:tc>
        <w:tc>
          <w:tcPr>
            <w:tcW w:w="5318" w:type="dxa"/>
            <w:tcBorders>
              <w:bottom w:val="single" w:sz="4" w:space="0" w:color="auto"/>
            </w:tcBorders>
            <w:vAlign w:val="center"/>
          </w:tcPr>
          <w:p w14:paraId="01D8DB6E" w14:textId="77777777" w:rsidR="00943B64" w:rsidRPr="00106A01" w:rsidRDefault="00524EA9" w:rsidP="00996D71">
            <w:pPr>
              <w:rPr>
                <w:sz w:val="20"/>
              </w:rPr>
            </w:pPr>
            <w:r w:rsidRPr="00106A01">
              <w:rPr>
                <w:sz w:val="20"/>
              </w:rPr>
              <w:t>Sr. Belal Abdo</w:t>
            </w:r>
          </w:p>
          <w:p w14:paraId="7127A871" w14:textId="398B188C" w:rsidR="00524EA9" w:rsidRPr="00106A01" w:rsidRDefault="00524EA9" w:rsidP="00996D71">
            <w:pPr>
              <w:rPr>
                <w:sz w:val="20"/>
              </w:rPr>
            </w:pPr>
            <w:r w:rsidRPr="00106A01">
              <w:rPr>
                <w:sz w:val="20"/>
              </w:rPr>
              <w:t>Segundo Secretario</w:t>
            </w:r>
          </w:p>
        </w:tc>
      </w:tr>
      <w:tr w:rsidR="00943B64" w:rsidRPr="00106A01" w14:paraId="4B309895" w14:textId="77777777" w:rsidTr="007F34FE">
        <w:trPr>
          <w:trHeight w:val="20"/>
          <w:jc w:val="center"/>
        </w:trPr>
        <w:tc>
          <w:tcPr>
            <w:tcW w:w="9180" w:type="dxa"/>
            <w:gridSpan w:val="2"/>
            <w:tcBorders>
              <w:bottom w:val="single" w:sz="6" w:space="0" w:color="auto"/>
            </w:tcBorders>
          </w:tcPr>
          <w:p w14:paraId="76162905" w14:textId="7766B06C" w:rsidR="00943B64" w:rsidRPr="00106A01" w:rsidRDefault="00943B64" w:rsidP="00996D71">
            <w:pPr>
              <w:rPr>
                <w:sz w:val="20"/>
              </w:rPr>
            </w:pPr>
            <w:r w:rsidRPr="00106A01">
              <w:rPr>
                <w:b/>
                <w:sz w:val="20"/>
              </w:rPr>
              <w:t>ÁFRICA</w:t>
            </w:r>
          </w:p>
        </w:tc>
      </w:tr>
      <w:tr w:rsidR="00943B64" w:rsidRPr="00106A01" w14:paraId="6790B3CD" w14:textId="77777777" w:rsidTr="00585117">
        <w:trPr>
          <w:trHeight w:val="20"/>
          <w:jc w:val="center"/>
        </w:trPr>
        <w:tc>
          <w:tcPr>
            <w:tcW w:w="3862" w:type="dxa"/>
            <w:tcBorders>
              <w:bottom w:val="single" w:sz="4" w:space="0" w:color="auto"/>
            </w:tcBorders>
            <w:vAlign w:val="center"/>
          </w:tcPr>
          <w:p w14:paraId="3718E33D" w14:textId="1025E790" w:rsidR="00943B64" w:rsidRPr="00106A01" w:rsidRDefault="008D00E5" w:rsidP="00996D71">
            <w:pPr>
              <w:rPr>
                <w:sz w:val="20"/>
              </w:rPr>
            </w:pPr>
            <w:r w:rsidRPr="00106A01">
              <w:rPr>
                <w:b/>
                <w:sz w:val="20"/>
              </w:rPr>
              <w:t>Benín</w:t>
            </w:r>
          </w:p>
        </w:tc>
        <w:tc>
          <w:tcPr>
            <w:tcW w:w="5318" w:type="dxa"/>
            <w:tcBorders>
              <w:bottom w:val="single" w:sz="4" w:space="0" w:color="auto"/>
            </w:tcBorders>
            <w:vAlign w:val="center"/>
          </w:tcPr>
          <w:p w14:paraId="48D95CDB" w14:textId="0A22AE3F" w:rsidR="00D44F3C" w:rsidRPr="00106A01" w:rsidRDefault="00D44F3C" w:rsidP="00996D71">
            <w:pPr>
              <w:rPr>
                <w:sz w:val="20"/>
              </w:rPr>
            </w:pPr>
            <w:r w:rsidRPr="00106A01">
              <w:rPr>
                <w:sz w:val="20"/>
              </w:rPr>
              <w:t xml:space="preserve">Sra. Edwige Agossou Ahoussougbemey </w:t>
            </w:r>
          </w:p>
          <w:p w14:paraId="58F5C4EE" w14:textId="1065A458" w:rsidR="00D447AF" w:rsidRPr="00106A01" w:rsidRDefault="00D447AF" w:rsidP="00996D71">
            <w:pPr>
              <w:rPr>
                <w:sz w:val="20"/>
              </w:rPr>
            </w:pPr>
            <w:r w:rsidRPr="00106A01">
              <w:rPr>
                <w:sz w:val="20"/>
              </w:rPr>
              <w:t>Consejera</w:t>
            </w:r>
          </w:p>
        </w:tc>
      </w:tr>
      <w:tr w:rsidR="00943B64" w:rsidRPr="00106A01" w14:paraId="65828756" w14:textId="77777777" w:rsidTr="003131DC">
        <w:trPr>
          <w:trHeight w:val="20"/>
          <w:jc w:val="center"/>
        </w:trPr>
        <w:tc>
          <w:tcPr>
            <w:tcW w:w="9180" w:type="dxa"/>
            <w:gridSpan w:val="2"/>
            <w:vAlign w:val="center"/>
          </w:tcPr>
          <w:p w14:paraId="21D78E80" w14:textId="77777777" w:rsidR="00943B64" w:rsidRPr="00106A01" w:rsidRDefault="00943B64" w:rsidP="00996D71">
            <w:pPr>
              <w:rPr>
                <w:sz w:val="20"/>
              </w:rPr>
            </w:pPr>
            <w:r w:rsidRPr="00106A01">
              <w:rPr>
                <w:b/>
                <w:sz w:val="20"/>
              </w:rPr>
              <w:t>EUROPA ORIENTAL</w:t>
            </w:r>
          </w:p>
        </w:tc>
      </w:tr>
      <w:tr w:rsidR="00943B64" w:rsidRPr="00106A01" w14:paraId="27103346" w14:textId="77777777" w:rsidTr="00585117">
        <w:trPr>
          <w:trHeight w:val="20"/>
          <w:jc w:val="center"/>
        </w:trPr>
        <w:tc>
          <w:tcPr>
            <w:tcW w:w="3862" w:type="dxa"/>
            <w:vAlign w:val="center"/>
          </w:tcPr>
          <w:p w14:paraId="5B8EC8FB" w14:textId="77777777" w:rsidR="00943B64" w:rsidRPr="00106A01" w:rsidRDefault="00943B64" w:rsidP="00996D71">
            <w:pPr>
              <w:rPr>
                <w:b/>
                <w:sz w:val="20"/>
                <w:u w:val="single"/>
              </w:rPr>
            </w:pPr>
            <w:r w:rsidRPr="00106A01">
              <w:rPr>
                <w:b/>
                <w:sz w:val="20"/>
              </w:rPr>
              <w:t>Montenegro</w:t>
            </w:r>
          </w:p>
        </w:tc>
        <w:tc>
          <w:tcPr>
            <w:tcW w:w="5318" w:type="dxa"/>
            <w:vAlign w:val="center"/>
          </w:tcPr>
          <w:p w14:paraId="40FA562B" w14:textId="6BB76A15" w:rsidR="00943B64" w:rsidRPr="00106A01" w:rsidRDefault="00943B64" w:rsidP="00996D71">
            <w:pPr>
              <w:rPr>
                <w:sz w:val="20"/>
              </w:rPr>
            </w:pPr>
            <w:r w:rsidRPr="00106A01">
              <w:rPr>
                <w:sz w:val="20"/>
              </w:rPr>
              <w:t>Sr. Nikola Ivezaj</w:t>
            </w:r>
          </w:p>
          <w:p w14:paraId="392A4E72" w14:textId="5EC88291" w:rsidR="00524EA9" w:rsidRPr="00106A01" w:rsidRDefault="00524EA9" w:rsidP="00996D71">
            <w:pPr>
              <w:rPr>
                <w:sz w:val="20"/>
              </w:rPr>
            </w:pPr>
            <w:r w:rsidRPr="00106A01">
              <w:rPr>
                <w:sz w:val="20"/>
              </w:rPr>
              <w:t>Segundo Secretario</w:t>
            </w:r>
          </w:p>
        </w:tc>
      </w:tr>
      <w:tr w:rsidR="00943B64" w:rsidRPr="00106A01" w14:paraId="17FF7687" w14:textId="77777777" w:rsidTr="003131DC">
        <w:trPr>
          <w:trHeight w:val="20"/>
          <w:jc w:val="center"/>
        </w:trPr>
        <w:tc>
          <w:tcPr>
            <w:tcW w:w="9180" w:type="dxa"/>
            <w:gridSpan w:val="2"/>
            <w:vAlign w:val="center"/>
          </w:tcPr>
          <w:p w14:paraId="2D9714A3" w14:textId="77777777" w:rsidR="00943B64" w:rsidRPr="00106A01" w:rsidRDefault="00943B64" w:rsidP="00996D71">
            <w:pPr>
              <w:rPr>
                <w:sz w:val="20"/>
              </w:rPr>
            </w:pPr>
            <w:r w:rsidRPr="00106A01">
              <w:rPr>
                <w:b/>
                <w:sz w:val="20"/>
              </w:rPr>
              <w:t>AMÉRICA LATINA Y EL CARIBE</w:t>
            </w:r>
          </w:p>
        </w:tc>
      </w:tr>
      <w:tr w:rsidR="00943B64" w:rsidRPr="00106A01" w14:paraId="2980F406" w14:textId="77777777" w:rsidTr="00585117">
        <w:trPr>
          <w:trHeight w:val="20"/>
          <w:jc w:val="center"/>
        </w:trPr>
        <w:tc>
          <w:tcPr>
            <w:tcW w:w="3862" w:type="dxa"/>
            <w:vAlign w:val="center"/>
          </w:tcPr>
          <w:p w14:paraId="3E72CD32" w14:textId="75F0723E" w:rsidR="00943B64" w:rsidRPr="00106A01" w:rsidRDefault="00E71CC8" w:rsidP="00996D71">
            <w:pPr>
              <w:rPr>
                <w:b/>
                <w:sz w:val="20"/>
                <w:u w:val="single"/>
              </w:rPr>
            </w:pPr>
            <w:r w:rsidRPr="00106A01">
              <w:rPr>
                <w:b/>
                <w:sz w:val="20"/>
              </w:rPr>
              <w:t>Antigua y Barbuda</w:t>
            </w:r>
          </w:p>
        </w:tc>
        <w:tc>
          <w:tcPr>
            <w:tcW w:w="5318" w:type="dxa"/>
            <w:vAlign w:val="center"/>
          </w:tcPr>
          <w:p w14:paraId="5536BAD3" w14:textId="00E0EED0" w:rsidR="00943B64" w:rsidRPr="00106A01" w:rsidRDefault="007F34FE" w:rsidP="00996D71">
            <w:pPr>
              <w:rPr>
                <w:sz w:val="20"/>
              </w:rPr>
            </w:pPr>
            <w:r w:rsidRPr="00106A01">
              <w:rPr>
                <w:sz w:val="20"/>
              </w:rPr>
              <w:t>Sr. Tumasie Blair</w:t>
            </w:r>
          </w:p>
          <w:p w14:paraId="2FAA0B51" w14:textId="75D8F461" w:rsidR="00943B64" w:rsidRPr="00106A01" w:rsidRDefault="00705668" w:rsidP="00996D71">
            <w:pPr>
              <w:rPr>
                <w:sz w:val="20"/>
              </w:rPr>
            </w:pPr>
            <w:r w:rsidRPr="00106A01">
              <w:rPr>
                <w:sz w:val="20"/>
              </w:rPr>
              <w:t>Consejero y Vicepresidente de la Junta Ejecutiva del PNUD/UNFPA/UNOPS</w:t>
            </w:r>
          </w:p>
        </w:tc>
      </w:tr>
      <w:tr w:rsidR="00943B64" w:rsidRPr="00106A01" w14:paraId="4ED3524A" w14:textId="77777777" w:rsidTr="003131DC">
        <w:trPr>
          <w:trHeight w:val="20"/>
          <w:jc w:val="center"/>
        </w:trPr>
        <w:tc>
          <w:tcPr>
            <w:tcW w:w="9180" w:type="dxa"/>
            <w:gridSpan w:val="2"/>
            <w:tcBorders>
              <w:bottom w:val="single" w:sz="6" w:space="0" w:color="auto"/>
            </w:tcBorders>
            <w:vAlign w:val="center"/>
          </w:tcPr>
          <w:p w14:paraId="531E5C9A" w14:textId="77777777" w:rsidR="00943B64" w:rsidRPr="00106A01" w:rsidRDefault="00943B64" w:rsidP="00996D71">
            <w:pPr>
              <w:rPr>
                <w:b/>
                <w:sz w:val="20"/>
              </w:rPr>
            </w:pPr>
            <w:r w:rsidRPr="00106A01">
              <w:rPr>
                <w:b/>
                <w:sz w:val="20"/>
              </w:rPr>
              <w:t>EUROPA OCCIDENTAL Y OTROS ESTADOS</w:t>
            </w:r>
          </w:p>
        </w:tc>
      </w:tr>
      <w:tr w:rsidR="00943B64" w:rsidRPr="00106A01" w14:paraId="62CC59E5" w14:textId="77777777" w:rsidTr="00585117">
        <w:trPr>
          <w:trHeight w:val="20"/>
          <w:jc w:val="center"/>
        </w:trPr>
        <w:tc>
          <w:tcPr>
            <w:tcW w:w="3862" w:type="dxa"/>
            <w:tcBorders>
              <w:bottom w:val="single" w:sz="4" w:space="0" w:color="auto"/>
            </w:tcBorders>
            <w:vAlign w:val="center"/>
          </w:tcPr>
          <w:p w14:paraId="1C08D2A0" w14:textId="6D2B5593" w:rsidR="00943B64" w:rsidRPr="00106A01" w:rsidRDefault="00E71CC8" w:rsidP="00996D71">
            <w:pPr>
              <w:rPr>
                <w:b/>
                <w:sz w:val="20"/>
                <w:u w:val="single"/>
              </w:rPr>
            </w:pPr>
            <w:r w:rsidRPr="00106A01">
              <w:rPr>
                <w:b/>
                <w:sz w:val="20"/>
              </w:rPr>
              <w:t>Bélgica</w:t>
            </w:r>
          </w:p>
        </w:tc>
        <w:tc>
          <w:tcPr>
            <w:tcW w:w="5318" w:type="dxa"/>
            <w:tcBorders>
              <w:bottom w:val="single" w:sz="4" w:space="0" w:color="auto"/>
            </w:tcBorders>
            <w:vAlign w:val="center"/>
          </w:tcPr>
          <w:p w14:paraId="075EAB68" w14:textId="524400AF" w:rsidR="00A11A40" w:rsidRPr="00106A01" w:rsidRDefault="00A11A40" w:rsidP="00996D71">
            <w:pPr>
              <w:rPr>
                <w:sz w:val="20"/>
              </w:rPr>
            </w:pPr>
            <w:r w:rsidRPr="00106A01">
              <w:rPr>
                <w:sz w:val="20"/>
              </w:rPr>
              <w:t>S.E. Sra. Bénédicte Frankinet</w:t>
            </w:r>
          </w:p>
          <w:p w14:paraId="214EB040" w14:textId="389DC0BF" w:rsidR="00943B64" w:rsidRPr="00106A01" w:rsidRDefault="00A11A40" w:rsidP="00996D71">
            <w:pPr>
              <w:rPr>
                <w:sz w:val="20"/>
              </w:rPr>
            </w:pPr>
            <w:r w:rsidRPr="00106A01">
              <w:rPr>
                <w:sz w:val="20"/>
              </w:rPr>
              <w:t>Embajadora Extraordinaria y Plenipotenciaria, Representante Permanente y Vicepresidenta de la Junta Ejecutiva del PNUD/UNFPA/UNOPS</w:t>
            </w:r>
          </w:p>
        </w:tc>
      </w:tr>
      <w:tr w:rsidR="005B5351" w:rsidRPr="00106A01" w14:paraId="053D0232" w14:textId="77777777" w:rsidTr="00585117">
        <w:trPr>
          <w:trHeight w:val="20"/>
          <w:jc w:val="center"/>
        </w:trPr>
        <w:tc>
          <w:tcPr>
            <w:tcW w:w="3862" w:type="dxa"/>
            <w:tcBorders>
              <w:bottom w:val="single" w:sz="4" w:space="0" w:color="auto"/>
            </w:tcBorders>
            <w:vAlign w:val="center"/>
          </w:tcPr>
          <w:p w14:paraId="434D4367" w14:textId="1089FB4E" w:rsidR="005B5351" w:rsidRPr="00106A01" w:rsidRDefault="005B5351" w:rsidP="00996D71">
            <w:pPr>
              <w:rPr>
                <w:b/>
                <w:sz w:val="20"/>
              </w:rPr>
            </w:pPr>
            <w:r w:rsidRPr="00106A01">
              <w:rPr>
                <w:b/>
                <w:sz w:val="20"/>
              </w:rPr>
              <w:t>Noruega</w:t>
            </w:r>
          </w:p>
        </w:tc>
        <w:tc>
          <w:tcPr>
            <w:tcW w:w="5318" w:type="dxa"/>
            <w:tcBorders>
              <w:bottom w:val="single" w:sz="4" w:space="0" w:color="auto"/>
            </w:tcBorders>
            <w:vAlign w:val="center"/>
          </w:tcPr>
          <w:p w14:paraId="1A430244" w14:textId="1378DF90" w:rsidR="005C05C8" w:rsidRPr="00106A01" w:rsidRDefault="005C05C8" w:rsidP="00996D71">
            <w:pPr>
              <w:rPr>
                <w:sz w:val="20"/>
              </w:rPr>
            </w:pPr>
            <w:r w:rsidRPr="00106A01">
              <w:rPr>
                <w:sz w:val="20"/>
              </w:rPr>
              <w:t>Sr. Andreas Danevad</w:t>
            </w:r>
          </w:p>
          <w:p w14:paraId="061F98FE" w14:textId="48B22074" w:rsidR="005B5351" w:rsidRPr="00106A01" w:rsidRDefault="008A6CD9" w:rsidP="00996D71">
            <w:pPr>
              <w:rPr>
                <w:sz w:val="20"/>
              </w:rPr>
            </w:pPr>
            <w:r w:rsidRPr="00106A01">
              <w:rPr>
                <w:sz w:val="20"/>
              </w:rPr>
              <w:t>Asesor Superior de la Sección de Políticas de las Naciones Unidas del Ministerio de Asuntos Exteriores de Noruega</w:t>
            </w:r>
          </w:p>
        </w:tc>
      </w:tr>
      <w:tr w:rsidR="00943B64" w:rsidRPr="00106A01" w14:paraId="33F86B84" w14:textId="77777777" w:rsidTr="003131DC">
        <w:trPr>
          <w:trHeight w:val="20"/>
          <w:jc w:val="center"/>
        </w:trPr>
        <w:tc>
          <w:tcPr>
            <w:tcW w:w="9180" w:type="dxa"/>
            <w:gridSpan w:val="2"/>
            <w:tcBorders>
              <w:bottom w:val="single" w:sz="6" w:space="0" w:color="auto"/>
            </w:tcBorders>
            <w:vAlign w:val="center"/>
          </w:tcPr>
          <w:p w14:paraId="2C39798A" w14:textId="17BAA513" w:rsidR="00943B64" w:rsidRPr="00106A01" w:rsidRDefault="00A11A40" w:rsidP="00996D71">
            <w:pPr>
              <w:tabs>
                <w:tab w:val="left" w:pos="1440"/>
              </w:tabs>
              <w:ind w:right="360"/>
              <w:rPr>
                <w:b/>
                <w:sz w:val="20"/>
              </w:rPr>
            </w:pPr>
            <w:r w:rsidRPr="00106A01">
              <w:rPr>
                <w:b/>
                <w:sz w:val="20"/>
              </w:rPr>
              <w:t>SECRETARÍA</w:t>
            </w:r>
          </w:p>
        </w:tc>
      </w:tr>
      <w:tr w:rsidR="00943B64" w:rsidRPr="00106A01" w14:paraId="73B68001" w14:textId="77777777" w:rsidTr="00585117">
        <w:trPr>
          <w:trHeight w:val="20"/>
          <w:jc w:val="center"/>
        </w:trPr>
        <w:tc>
          <w:tcPr>
            <w:tcW w:w="3862" w:type="dxa"/>
            <w:tcBorders>
              <w:bottom w:val="single" w:sz="4" w:space="0" w:color="auto"/>
            </w:tcBorders>
            <w:vAlign w:val="center"/>
          </w:tcPr>
          <w:p w14:paraId="5C416C43" w14:textId="3EF86234" w:rsidR="00943B64" w:rsidRPr="00106A01" w:rsidRDefault="00B53D22" w:rsidP="00996D71">
            <w:pPr>
              <w:tabs>
                <w:tab w:val="left" w:pos="1440"/>
              </w:tabs>
              <w:ind w:right="360"/>
              <w:rPr>
                <w:b/>
                <w:sz w:val="20"/>
              </w:rPr>
            </w:pPr>
            <w:r w:rsidRPr="00106A01">
              <w:rPr>
                <w:b/>
                <w:sz w:val="20"/>
              </w:rPr>
              <w:t>PNUD</w:t>
            </w:r>
          </w:p>
        </w:tc>
        <w:tc>
          <w:tcPr>
            <w:tcW w:w="5318" w:type="dxa"/>
            <w:tcBorders>
              <w:bottom w:val="single" w:sz="4" w:space="0" w:color="auto"/>
            </w:tcBorders>
            <w:vAlign w:val="center"/>
          </w:tcPr>
          <w:p w14:paraId="3BD76894" w14:textId="77777777" w:rsidR="00943B64" w:rsidRPr="00106A01" w:rsidRDefault="00524EA9" w:rsidP="00996D71">
            <w:pPr>
              <w:tabs>
                <w:tab w:val="left" w:pos="1440"/>
              </w:tabs>
              <w:ind w:right="360"/>
              <w:rPr>
                <w:sz w:val="20"/>
              </w:rPr>
            </w:pPr>
            <w:r w:rsidRPr="00106A01">
              <w:rPr>
                <w:sz w:val="20"/>
              </w:rPr>
              <w:t>Sr. Jordi Llopart</w:t>
            </w:r>
          </w:p>
          <w:p w14:paraId="28703538" w14:textId="6E654C5C" w:rsidR="00D73F6C" w:rsidRPr="00106A01" w:rsidRDefault="00D73F6C" w:rsidP="00996D71">
            <w:pPr>
              <w:tabs>
                <w:tab w:val="left" w:pos="1440"/>
              </w:tabs>
              <w:ind w:right="360"/>
              <w:rPr>
                <w:sz w:val="20"/>
              </w:rPr>
            </w:pPr>
            <w:r w:rsidRPr="00106A01">
              <w:rPr>
                <w:sz w:val="20"/>
              </w:rPr>
              <w:t>Secretario de la Junta Ejecutiva del PNUD/UNFPA/UNOPS</w:t>
            </w:r>
          </w:p>
        </w:tc>
      </w:tr>
      <w:tr w:rsidR="00943B64" w:rsidRPr="00106A01" w14:paraId="220DB805" w14:textId="77777777" w:rsidTr="00585117">
        <w:trPr>
          <w:trHeight w:val="20"/>
          <w:jc w:val="center"/>
        </w:trPr>
        <w:tc>
          <w:tcPr>
            <w:tcW w:w="3862" w:type="dxa"/>
            <w:tcBorders>
              <w:top w:val="single" w:sz="4" w:space="0" w:color="auto"/>
              <w:bottom w:val="single" w:sz="4" w:space="0" w:color="auto"/>
            </w:tcBorders>
            <w:vAlign w:val="center"/>
          </w:tcPr>
          <w:p w14:paraId="3B599E53" w14:textId="59DC2E05" w:rsidR="00943B64" w:rsidRPr="00106A01" w:rsidRDefault="00B53D22" w:rsidP="00996D71">
            <w:pPr>
              <w:tabs>
                <w:tab w:val="left" w:pos="1440"/>
              </w:tabs>
              <w:ind w:right="360"/>
              <w:rPr>
                <w:b/>
                <w:sz w:val="20"/>
              </w:rPr>
            </w:pPr>
            <w:r w:rsidRPr="00106A01">
              <w:rPr>
                <w:b/>
                <w:sz w:val="20"/>
              </w:rPr>
              <w:t>UNFPA</w:t>
            </w:r>
          </w:p>
        </w:tc>
        <w:tc>
          <w:tcPr>
            <w:tcW w:w="5318" w:type="dxa"/>
            <w:tcBorders>
              <w:top w:val="single" w:sz="4" w:space="0" w:color="auto"/>
              <w:bottom w:val="single" w:sz="4" w:space="0" w:color="auto"/>
            </w:tcBorders>
            <w:vAlign w:val="center"/>
          </w:tcPr>
          <w:p w14:paraId="75011788" w14:textId="77777777" w:rsidR="00943B64" w:rsidRPr="00106A01" w:rsidRDefault="00D73F6C" w:rsidP="00996D71">
            <w:pPr>
              <w:tabs>
                <w:tab w:val="left" w:pos="1440"/>
              </w:tabs>
              <w:ind w:right="360"/>
              <w:rPr>
                <w:sz w:val="20"/>
              </w:rPr>
            </w:pPr>
            <w:r w:rsidRPr="00106A01">
              <w:rPr>
                <w:sz w:val="20"/>
              </w:rPr>
              <w:t>Sr. Horst Rutsch</w:t>
            </w:r>
          </w:p>
          <w:p w14:paraId="5821C19E" w14:textId="45F0A42F" w:rsidR="00D73F6C" w:rsidRPr="00106A01" w:rsidRDefault="00D73F6C" w:rsidP="00996D71">
            <w:pPr>
              <w:tabs>
                <w:tab w:val="left" w:pos="1440"/>
              </w:tabs>
              <w:ind w:right="360"/>
              <w:rPr>
                <w:sz w:val="20"/>
              </w:rPr>
            </w:pPr>
            <w:r w:rsidRPr="00106A01">
              <w:rPr>
                <w:sz w:val="20"/>
              </w:rPr>
              <w:t>Asesor Editorial Superior</w:t>
            </w:r>
          </w:p>
        </w:tc>
      </w:tr>
      <w:tr w:rsidR="00B53D22" w:rsidRPr="00106A01" w14:paraId="0D317F96" w14:textId="77777777" w:rsidTr="00585117">
        <w:trPr>
          <w:trHeight w:val="20"/>
          <w:jc w:val="center"/>
        </w:trPr>
        <w:tc>
          <w:tcPr>
            <w:tcW w:w="3862" w:type="dxa"/>
            <w:tcBorders>
              <w:top w:val="single" w:sz="4" w:space="0" w:color="auto"/>
              <w:bottom w:val="single" w:sz="4" w:space="0" w:color="auto"/>
            </w:tcBorders>
            <w:vAlign w:val="center"/>
          </w:tcPr>
          <w:p w14:paraId="61C7525D" w14:textId="6EDE5A71" w:rsidR="00B53D22" w:rsidRPr="00106A01" w:rsidRDefault="00B53D22" w:rsidP="00996D71">
            <w:pPr>
              <w:tabs>
                <w:tab w:val="left" w:pos="1440"/>
              </w:tabs>
              <w:ind w:right="360"/>
              <w:rPr>
                <w:b/>
                <w:sz w:val="20"/>
              </w:rPr>
            </w:pPr>
            <w:r w:rsidRPr="00106A01">
              <w:rPr>
                <w:b/>
                <w:sz w:val="20"/>
              </w:rPr>
              <w:t>UNOPS</w:t>
            </w:r>
          </w:p>
        </w:tc>
        <w:tc>
          <w:tcPr>
            <w:tcW w:w="5318" w:type="dxa"/>
            <w:tcBorders>
              <w:top w:val="single" w:sz="4" w:space="0" w:color="auto"/>
              <w:bottom w:val="single" w:sz="4" w:space="0" w:color="auto"/>
            </w:tcBorders>
            <w:vAlign w:val="center"/>
          </w:tcPr>
          <w:p w14:paraId="29BB1BF8" w14:textId="77777777" w:rsidR="00B53D22" w:rsidRPr="00106A01" w:rsidRDefault="00D73F6C" w:rsidP="00996D71">
            <w:pPr>
              <w:tabs>
                <w:tab w:val="left" w:pos="1440"/>
              </w:tabs>
              <w:ind w:right="360"/>
              <w:rPr>
                <w:sz w:val="20"/>
              </w:rPr>
            </w:pPr>
            <w:r w:rsidRPr="00106A01">
              <w:rPr>
                <w:sz w:val="20"/>
              </w:rPr>
              <w:t>Sra. Elle Wang</w:t>
            </w:r>
          </w:p>
          <w:p w14:paraId="36AFB14C" w14:textId="2B5DBC9B" w:rsidR="00D73F6C" w:rsidRPr="00106A01" w:rsidRDefault="00705668" w:rsidP="00996D71">
            <w:pPr>
              <w:tabs>
                <w:tab w:val="left" w:pos="1440"/>
              </w:tabs>
              <w:ind w:right="360"/>
              <w:rPr>
                <w:sz w:val="20"/>
              </w:rPr>
            </w:pPr>
            <w:r w:rsidRPr="00106A01">
              <w:rPr>
                <w:sz w:val="20"/>
              </w:rPr>
              <w:t>Analista de Alianzas</w:t>
            </w:r>
          </w:p>
        </w:tc>
      </w:tr>
    </w:tbl>
    <w:p w14:paraId="381B87E4" w14:textId="77777777" w:rsidR="00065613" w:rsidRPr="00106A01" w:rsidRDefault="00065613" w:rsidP="00065613">
      <w:pPr>
        <w:tabs>
          <w:tab w:val="left" w:pos="1440"/>
        </w:tabs>
        <w:ind w:right="720"/>
        <w:jc w:val="center"/>
        <w:rPr>
          <w:sz w:val="20"/>
        </w:rPr>
      </w:pPr>
    </w:p>
    <w:p w14:paraId="2D03C7B2" w14:textId="174559C8" w:rsidR="000A2658" w:rsidRPr="00106A01" w:rsidRDefault="00D866D0" w:rsidP="00065613">
      <w:pPr>
        <w:tabs>
          <w:tab w:val="left" w:pos="1440"/>
        </w:tabs>
        <w:ind w:right="720"/>
        <w:jc w:val="center"/>
      </w:pPr>
      <w:r w:rsidRPr="00106A01">
        <w:rPr>
          <w:sz w:val="20"/>
        </w:rPr>
        <w:t>_________</w:t>
      </w:r>
    </w:p>
    <w:sectPr w:rsidR="000A2658" w:rsidRPr="00106A01" w:rsidSect="00403864">
      <w:headerReference w:type="even" r:id="rId37"/>
      <w:headerReference w:type="default" r:id="rId38"/>
      <w:footerReference w:type="even" r:id="rId39"/>
      <w:footerReference w:type="default" r:id="rId40"/>
      <w:headerReference w:type="first" r:id="rId41"/>
      <w:footerReference w:type="first" r:id="rId42"/>
      <w:pgSz w:w="12240" w:h="15840" w:code="1"/>
      <w:pgMar w:top="1728" w:right="1620" w:bottom="1440" w:left="1440" w:header="1440" w:footer="115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0359" w14:textId="77777777" w:rsidR="00852EC3" w:rsidRDefault="00852EC3">
      <w:r>
        <w:separator/>
      </w:r>
    </w:p>
  </w:endnote>
  <w:endnote w:type="continuationSeparator" w:id="0">
    <w:p w14:paraId="67252E64" w14:textId="77777777" w:rsidR="00852EC3" w:rsidRDefault="00852EC3">
      <w:r>
        <w:continuationSeparator/>
      </w:r>
    </w:p>
  </w:endnote>
  <w:endnote w:type="continuationNotice" w:id="1">
    <w:p w14:paraId="5934A71C" w14:textId="77777777" w:rsidR="00852EC3" w:rsidRDefault="00852E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FD497" w14:textId="77777777" w:rsidR="008D10CB" w:rsidRPr="00EA39E9" w:rsidRDefault="008D10CB" w:rsidP="00EA39E9">
    <w:pPr>
      <w:pStyle w:val="Footer"/>
      <w:rPr>
        <w:rStyle w:val="PageNumber"/>
        <w:sz w:val="16"/>
        <w:szCs w:val="16"/>
      </w:rPr>
    </w:pPr>
    <w:r w:rsidRPr="00EA39E9">
      <w:rPr>
        <w:rStyle w:val="PageNumber"/>
        <w:sz w:val="16"/>
        <w:szCs w:val="16"/>
      </w:rPr>
      <w:fldChar w:fldCharType="begin"/>
    </w:r>
    <w:r w:rsidRPr="00EA39E9">
      <w:rPr>
        <w:rStyle w:val="PageNumber"/>
        <w:sz w:val="16"/>
        <w:szCs w:val="16"/>
      </w:rPr>
      <w:instrText xml:space="preserve">PAGE  </w:instrText>
    </w:r>
    <w:r w:rsidRPr="00EA39E9">
      <w:rPr>
        <w:rStyle w:val="PageNumber"/>
        <w:sz w:val="16"/>
        <w:szCs w:val="16"/>
      </w:rPr>
      <w:fldChar w:fldCharType="separate"/>
    </w:r>
    <w:r w:rsidR="008F70AC">
      <w:rPr>
        <w:rStyle w:val="PageNumber"/>
        <w:noProof/>
        <w:sz w:val="16"/>
        <w:szCs w:val="16"/>
      </w:rPr>
      <w:t>16</w:t>
    </w:r>
    <w:r w:rsidRPr="00EA39E9">
      <w:rPr>
        <w:rStyle w:val="PageNumber"/>
        <w:sz w:val="16"/>
        <w:szCs w:val="16"/>
      </w:rPr>
      <w:fldChar w:fldCharType="end"/>
    </w:r>
  </w:p>
  <w:p w14:paraId="6D2F3DB8" w14:textId="77777777" w:rsidR="008D10CB" w:rsidRPr="00BE5E5E" w:rsidRDefault="008D10CB" w:rsidP="006B4616">
    <w:pPr>
      <w:pStyle w:val="Footer"/>
      <w:ind w:right="360" w:firstLine="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5542" w14:textId="77777777" w:rsidR="008D10CB" w:rsidRPr="00F43018" w:rsidRDefault="008D10CB" w:rsidP="00EA39E9">
    <w:pPr>
      <w:pStyle w:val="Footer"/>
      <w:jc w:val="right"/>
      <w:rPr>
        <w:rStyle w:val="PageNumber"/>
        <w:sz w:val="16"/>
        <w:szCs w:val="16"/>
      </w:rPr>
    </w:pPr>
    <w:r w:rsidRPr="00F43018">
      <w:rPr>
        <w:rStyle w:val="PageNumber"/>
        <w:sz w:val="16"/>
        <w:szCs w:val="16"/>
      </w:rPr>
      <w:fldChar w:fldCharType="begin"/>
    </w:r>
    <w:r w:rsidRPr="00F43018">
      <w:rPr>
        <w:rStyle w:val="PageNumber"/>
        <w:sz w:val="16"/>
        <w:szCs w:val="16"/>
      </w:rPr>
      <w:instrText xml:space="preserve">PAGE  </w:instrText>
    </w:r>
    <w:r w:rsidRPr="00F43018">
      <w:rPr>
        <w:rStyle w:val="PageNumber"/>
        <w:sz w:val="16"/>
        <w:szCs w:val="16"/>
      </w:rPr>
      <w:fldChar w:fldCharType="separate"/>
    </w:r>
    <w:r w:rsidR="008F70AC">
      <w:rPr>
        <w:rStyle w:val="PageNumber"/>
        <w:noProof/>
        <w:sz w:val="16"/>
        <w:szCs w:val="16"/>
      </w:rPr>
      <w:t>15</w:t>
    </w:r>
    <w:r w:rsidRPr="00F43018">
      <w:rPr>
        <w:rStyle w:val="PageNumber"/>
        <w:sz w:val="16"/>
        <w:szCs w:val="16"/>
      </w:rPr>
      <w:fldChar w:fldCharType="end"/>
    </w:r>
  </w:p>
  <w:p w14:paraId="56A2F14C" w14:textId="77777777" w:rsidR="008D10CB" w:rsidRPr="00F43018" w:rsidRDefault="008D10CB">
    <w:pPr>
      <w:pStyle w:val="Footer"/>
      <w:ind w:right="360" w:firstLine="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163D" w14:textId="77777777" w:rsidR="00C74881" w:rsidRDefault="00C74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C219F" w14:textId="77777777" w:rsidR="00852EC3" w:rsidRDefault="00852EC3">
      <w:r>
        <w:separator/>
      </w:r>
    </w:p>
  </w:footnote>
  <w:footnote w:type="continuationSeparator" w:id="0">
    <w:p w14:paraId="241BE1AC" w14:textId="77777777" w:rsidR="00852EC3" w:rsidRDefault="00852EC3">
      <w:r>
        <w:continuationSeparator/>
      </w:r>
    </w:p>
  </w:footnote>
  <w:footnote w:type="continuationNotice" w:id="1">
    <w:p w14:paraId="7C6749EF" w14:textId="77777777" w:rsidR="00852EC3" w:rsidRDefault="00852EC3"/>
  </w:footnote>
  <w:footnote w:id="2">
    <w:p w14:paraId="0A08058B" w14:textId="77777777" w:rsidR="008D10CB" w:rsidRPr="00106A01" w:rsidRDefault="008D10CB" w:rsidP="00C11A4E">
      <w:pPr>
        <w:pStyle w:val="FootnoteText"/>
      </w:pPr>
      <w:r>
        <w:rPr>
          <w:rStyle w:val="FootnoteReference"/>
        </w:rPr>
        <w:footnoteRef/>
      </w:r>
      <w:r>
        <w:t xml:space="preserve"> En principio, la misión debió ser encabezada por el Presidente de la Junta Ejecutiva del PNUD, UNFPA, UNOPS y S.E. el Sr. Zohrab Mnatsakanyan, Representante Permanente de Armenia ante las Naciones Unidas; sin embargo, por circunstancias imprevistas no pudo realizar la visita sobre el terreno a Guinea.</w:t>
      </w:r>
    </w:p>
  </w:footnote>
  <w:footnote w:id="3">
    <w:p w14:paraId="5BD53BD7" w14:textId="43FB0A29" w:rsidR="008D10CB" w:rsidRPr="00A26FE7" w:rsidRDefault="008D10CB">
      <w:pPr>
        <w:pStyle w:val="FootnoteText"/>
      </w:pPr>
      <w:r>
        <w:rPr>
          <w:rStyle w:val="FootnoteReference"/>
        </w:rPr>
        <w:footnoteRef/>
      </w:r>
      <w:r>
        <w:t xml:space="preserve"> La jefa de la delegación expresó su profundo reconocimiento por el alto nivel de compromiso con el propósito de la visita sobre el terreno que demostraron todos los miembros de </w:t>
      </w:r>
      <w:r w:rsidR="00106A01">
        <w:t>la delegación</w:t>
      </w:r>
      <w:r>
        <w:t>, así como a sus colegas del PNUD, el UNFPA y la UNOPS que acompañaron a la delegación desde Nueva York.</w:t>
      </w:r>
    </w:p>
  </w:footnote>
  <w:footnote w:id="4">
    <w:p w14:paraId="098971DA" w14:textId="36D6C83F" w:rsidR="008D10CB" w:rsidRPr="00106A01" w:rsidRDefault="008D10CB">
      <w:pPr>
        <w:pStyle w:val="FootnoteText"/>
      </w:pPr>
      <w:r>
        <w:rPr>
          <w:rStyle w:val="FootnoteReference"/>
        </w:rPr>
        <w:footnoteRef/>
      </w:r>
      <w:r>
        <w:t xml:space="preserve"> Al momento, los organismos de las Naciones Unidas residentes en Guinea son: el PNUD, el UNICEF, la OMS, el </w:t>
      </w:r>
      <w:r w:rsidR="007F4419">
        <w:t xml:space="preserve">ACNUR, el </w:t>
      </w:r>
      <w:r>
        <w:t>ONUSIDA, el UNFPA, el PMA, la FAO, la ONUDI, la OIM, el Banco Mundial y el FMI. Los organismos de las Naciones Unidas no residentes que tienen presencia en Guinea son la UNESCO, la UNOPS y el FIDA.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8" w:type="dxa"/>
      <w:tblBorders>
        <w:bottom w:val="single" w:sz="4" w:space="0" w:color="auto"/>
      </w:tblBorders>
      <w:tblLook w:val="0000" w:firstRow="0" w:lastRow="0" w:firstColumn="0" w:lastColumn="0" w:noHBand="0" w:noVBand="0"/>
    </w:tblPr>
    <w:tblGrid>
      <w:gridCol w:w="4662"/>
      <w:gridCol w:w="4878"/>
    </w:tblGrid>
    <w:tr w:rsidR="008D10CB" w14:paraId="2DD0E937" w14:textId="77777777" w:rsidTr="006B4616">
      <w:trPr>
        <w:trHeight w:val="20"/>
      </w:trPr>
      <w:tc>
        <w:tcPr>
          <w:tcW w:w="4662" w:type="dxa"/>
          <w:vAlign w:val="bottom"/>
        </w:tcPr>
        <w:p w14:paraId="1085BA80" w14:textId="54894BC4" w:rsidR="008D10CB" w:rsidRPr="00DB444A" w:rsidRDefault="008D10CB" w:rsidP="004A2167">
          <w:pPr>
            <w:pStyle w:val="Header"/>
            <w:tabs>
              <w:tab w:val="clear" w:pos="4320"/>
              <w:tab w:val="clear" w:pos="8640"/>
              <w:tab w:val="left" w:pos="720"/>
            </w:tabs>
            <w:rPr>
              <w:rStyle w:val="PageNumber"/>
              <w:b/>
              <w:sz w:val="17"/>
              <w:szCs w:val="17"/>
            </w:rPr>
          </w:pPr>
          <w:r>
            <w:rPr>
              <w:rStyle w:val="PageNumber"/>
              <w:b/>
              <w:sz w:val="17"/>
            </w:rPr>
            <w:t>DP-FPA-OPS/2016/CRP.1</w:t>
          </w:r>
        </w:p>
      </w:tc>
      <w:tc>
        <w:tcPr>
          <w:tcW w:w="4878" w:type="dxa"/>
        </w:tcPr>
        <w:p w14:paraId="75508A27" w14:textId="77777777" w:rsidR="008D10CB" w:rsidRDefault="008D10CB" w:rsidP="006B4616">
          <w:pPr>
            <w:pStyle w:val="Header"/>
            <w:tabs>
              <w:tab w:val="clear" w:pos="4320"/>
              <w:tab w:val="clear" w:pos="8640"/>
              <w:tab w:val="left" w:pos="720"/>
            </w:tabs>
            <w:spacing w:line="360" w:lineRule="auto"/>
            <w:rPr>
              <w:rStyle w:val="PageNumber"/>
            </w:rPr>
          </w:pPr>
        </w:p>
      </w:tc>
    </w:tr>
  </w:tbl>
  <w:p w14:paraId="3D13F76B" w14:textId="2D939B3A" w:rsidR="008D10CB" w:rsidRPr="00AA2EC9" w:rsidRDefault="008D10CB" w:rsidP="00EE5E99">
    <w:pPr>
      <w:pStyle w:val="Header"/>
      <w:tabs>
        <w:tab w:val="clear" w:pos="4320"/>
        <w:tab w:val="clear" w:pos="8640"/>
        <w:tab w:val="left" w:pos="720"/>
      </w:tabs>
      <w:spacing w:line="360" w:lineRule="auto"/>
      <w:rPr>
        <w:bCs/>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40" w:type="dxa"/>
      <w:tblInd w:w="18" w:type="dxa"/>
      <w:tblBorders>
        <w:bottom w:val="single" w:sz="4" w:space="0" w:color="auto"/>
      </w:tblBorders>
      <w:tblLook w:val="0000" w:firstRow="0" w:lastRow="0" w:firstColumn="0" w:lastColumn="0" w:noHBand="0" w:noVBand="0"/>
    </w:tblPr>
    <w:tblGrid>
      <w:gridCol w:w="4662"/>
      <w:gridCol w:w="4878"/>
    </w:tblGrid>
    <w:tr w:rsidR="008D10CB" w:rsidRPr="004A2167" w14:paraId="139B09AE" w14:textId="77777777" w:rsidTr="009D4DEA">
      <w:trPr>
        <w:trHeight w:val="20"/>
      </w:trPr>
      <w:tc>
        <w:tcPr>
          <w:tcW w:w="4662" w:type="dxa"/>
        </w:tcPr>
        <w:p w14:paraId="334B0795" w14:textId="3FB7CEB6" w:rsidR="00391F38" w:rsidRPr="004A2167" w:rsidRDefault="00391F38" w:rsidP="009D4DEA">
          <w:pPr>
            <w:pStyle w:val="Header"/>
            <w:tabs>
              <w:tab w:val="clear" w:pos="4320"/>
              <w:tab w:val="clear" w:pos="8640"/>
              <w:tab w:val="left" w:pos="864"/>
            </w:tabs>
            <w:spacing w:line="360" w:lineRule="auto"/>
            <w:rPr>
              <w:rStyle w:val="PageNumber"/>
              <w:sz w:val="17"/>
              <w:szCs w:val="17"/>
            </w:rPr>
          </w:pPr>
        </w:p>
      </w:tc>
      <w:tc>
        <w:tcPr>
          <w:tcW w:w="4878" w:type="dxa"/>
          <w:vAlign w:val="bottom"/>
        </w:tcPr>
        <w:p w14:paraId="606EBED0" w14:textId="50CEE1BD" w:rsidR="008D10CB" w:rsidRPr="004A2167" w:rsidRDefault="008D10CB" w:rsidP="009D4DEA">
          <w:pPr>
            <w:pStyle w:val="Header"/>
            <w:tabs>
              <w:tab w:val="clear" w:pos="4320"/>
              <w:tab w:val="clear" w:pos="8640"/>
              <w:tab w:val="left" w:pos="864"/>
            </w:tabs>
            <w:jc w:val="right"/>
            <w:rPr>
              <w:rStyle w:val="PageNumber"/>
              <w:b/>
              <w:sz w:val="17"/>
              <w:szCs w:val="17"/>
            </w:rPr>
          </w:pPr>
          <w:r>
            <w:rPr>
              <w:b/>
              <w:sz w:val="17"/>
            </w:rPr>
            <w:t>DP-FPA-OPS/2016/CRP.1</w:t>
          </w:r>
        </w:p>
      </w:tc>
    </w:tr>
  </w:tbl>
  <w:p w14:paraId="27286972" w14:textId="16717F7A" w:rsidR="008D10CB" w:rsidRPr="004A2167" w:rsidRDefault="008D10CB" w:rsidP="00F17995">
    <w:pPr>
      <w:pStyle w:val="Header"/>
      <w:tabs>
        <w:tab w:val="clear" w:pos="4320"/>
        <w:tab w:val="clear" w:pos="8640"/>
        <w:tab w:val="left" w:pos="864"/>
      </w:tabs>
      <w:spacing w:line="360" w:lineRule="auto"/>
      <w:rPr>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7"/>
      <w:gridCol w:w="1872"/>
      <w:gridCol w:w="245"/>
      <w:gridCol w:w="3636"/>
      <w:gridCol w:w="630"/>
      <w:gridCol w:w="1980"/>
    </w:tblGrid>
    <w:tr w:rsidR="008D10CB" w:rsidRPr="00A25A6B" w14:paraId="3E19898D" w14:textId="77777777" w:rsidTr="00C74881">
      <w:trPr>
        <w:trHeight w:hRule="exact" w:val="432"/>
      </w:trPr>
      <w:tc>
        <w:tcPr>
          <w:tcW w:w="1357" w:type="dxa"/>
          <w:tcBorders>
            <w:top w:val="nil"/>
            <w:left w:val="nil"/>
            <w:bottom w:val="nil"/>
            <w:right w:val="nil"/>
          </w:tcBorders>
          <w:vAlign w:val="bottom"/>
        </w:tcPr>
        <w:p w14:paraId="765937BA" w14:textId="71D78F34" w:rsidR="00391F38" w:rsidRPr="00A25A6B" w:rsidRDefault="00391F38" w:rsidP="00F354DA">
          <w:pPr>
            <w:tabs>
              <w:tab w:val="center" w:pos="4513"/>
              <w:tab w:val="right" w:pos="9026"/>
            </w:tabs>
            <w:spacing w:after="120"/>
          </w:pPr>
        </w:p>
      </w:tc>
      <w:tc>
        <w:tcPr>
          <w:tcW w:w="1872" w:type="dxa"/>
          <w:tcBorders>
            <w:top w:val="nil"/>
            <w:left w:val="nil"/>
            <w:bottom w:val="nil"/>
            <w:right w:val="nil"/>
          </w:tcBorders>
          <w:vAlign w:val="bottom"/>
        </w:tcPr>
        <w:p w14:paraId="57BBE004" w14:textId="77777777" w:rsidR="008D10CB" w:rsidRPr="00A25A6B" w:rsidRDefault="008D10CB" w:rsidP="00F354DA">
          <w:pPr>
            <w:keepNext/>
            <w:keepLines/>
            <w:suppressAutoHyphens/>
            <w:spacing w:after="80" w:line="300" w:lineRule="exact"/>
            <w:outlineLvl w:val="0"/>
            <w:rPr>
              <w:spacing w:val="2"/>
              <w:w w:val="96"/>
              <w:kern w:val="14"/>
              <w:sz w:val="28"/>
            </w:rPr>
          </w:pPr>
          <w:r>
            <w:rPr>
              <w:spacing w:val="2"/>
              <w:w w:val="96"/>
              <w:kern w:val="14"/>
              <w:sz w:val="28"/>
            </w:rPr>
            <w:t>Naciones Unidas</w:t>
          </w:r>
        </w:p>
      </w:tc>
      <w:tc>
        <w:tcPr>
          <w:tcW w:w="245" w:type="dxa"/>
          <w:tcBorders>
            <w:top w:val="nil"/>
            <w:left w:val="nil"/>
            <w:bottom w:val="nil"/>
            <w:right w:val="nil"/>
          </w:tcBorders>
          <w:vAlign w:val="bottom"/>
        </w:tcPr>
        <w:p w14:paraId="5D8DE69F" w14:textId="77777777" w:rsidR="008D10CB" w:rsidRPr="00A25A6B" w:rsidRDefault="008D10CB" w:rsidP="00F354DA">
          <w:pPr>
            <w:tabs>
              <w:tab w:val="center" w:pos="4513"/>
              <w:tab w:val="right" w:pos="9026"/>
            </w:tabs>
            <w:spacing w:after="120"/>
          </w:pPr>
        </w:p>
      </w:tc>
      <w:tc>
        <w:tcPr>
          <w:tcW w:w="6246" w:type="dxa"/>
          <w:gridSpan w:val="3"/>
          <w:tcBorders>
            <w:top w:val="nil"/>
            <w:left w:val="nil"/>
            <w:bottom w:val="nil"/>
            <w:right w:val="nil"/>
          </w:tcBorders>
          <w:vAlign w:val="bottom"/>
        </w:tcPr>
        <w:p w14:paraId="27D5548E" w14:textId="20605278" w:rsidR="008D10CB" w:rsidRPr="00A25A6B" w:rsidRDefault="008D10CB" w:rsidP="001A2C22">
          <w:pPr>
            <w:spacing w:after="80"/>
            <w:ind w:right="90"/>
            <w:jc w:val="right"/>
            <w:rPr>
              <w:b/>
              <w:position w:val="-4"/>
            </w:rPr>
          </w:pPr>
          <w:r>
            <w:rPr>
              <w:b/>
              <w:position w:val="-4"/>
              <w:sz w:val="20"/>
            </w:rPr>
            <w:t>DP-FPA-OPS/2016/CRP.1</w:t>
          </w:r>
        </w:p>
      </w:tc>
    </w:tr>
    <w:tr w:rsidR="008D10CB" w:rsidRPr="00A25A6B" w14:paraId="370D1C17" w14:textId="77777777" w:rsidTr="00C74881">
      <w:trPr>
        <w:trHeight w:hRule="exact" w:val="2008"/>
      </w:trPr>
      <w:tc>
        <w:tcPr>
          <w:tcW w:w="1357" w:type="dxa"/>
          <w:tcBorders>
            <w:left w:val="nil"/>
            <w:bottom w:val="single" w:sz="12" w:space="0" w:color="auto"/>
            <w:right w:val="nil"/>
          </w:tcBorders>
        </w:tcPr>
        <w:p w14:paraId="74BEC860" w14:textId="77777777" w:rsidR="008D10CB" w:rsidRPr="00A25A6B" w:rsidRDefault="008D10CB" w:rsidP="00F354DA">
          <w:pPr>
            <w:tabs>
              <w:tab w:val="center" w:pos="4513"/>
              <w:tab w:val="right" w:pos="9026"/>
            </w:tabs>
            <w:spacing w:before="109"/>
          </w:pPr>
          <w:r>
            <w:t xml:space="preserve"> </w:t>
          </w:r>
          <w:r>
            <w:rPr>
              <w:noProof/>
              <w:lang w:val="en-US" w:eastAsia="en-US" w:bidi="ar-SA"/>
            </w:rPr>
            <w:drawing>
              <wp:inline distT="0" distB="0" distL="0" distR="0" wp14:anchorId="2558F22F" wp14:editId="604FBEE0">
                <wp:extent cx="708025" cy="624590"/>
                <wp:effectExtent l="0" t="0" r="0" b="4445"/>
                <wp:docPr id="17" name="Picture 1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_un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9435" cy="625834"/>
                        </a:xfrm>
                        <a:prstGeom prst="rect">
                          <a:avLst/>
                        </a:prstGeom>
                        <a:noFill/>
                        <a:ln>
                          <a:noFill/>
                        </a:ln>
                      </pic:spPr>
                    </pic:pic>
                  </a:graphicData>
                </a:graphic>
              </wp:inline>
            </w:drawing>
          </w:r>
        </w:p>
        <w:p w14:paraId="561A0921" w14:textId="77777777" w:rsidR="008D10CB" w:rsidRPr="00A25A6B" w:rsidRDefault="008D10CB" w:rsidP="00F354DA">
          <w:pPr>
            <w:tabs>
              <w:tab w:val="center" w:pos="4513"/>
              <w:tab w:val="right" w:pos="9026"/>
            </w:tabs>
            <w:spacing w:before="109"/>
          </w:pPr>
        </w:p>
      </w:tc>
      <w:tc>
        <w:tcPr>
          <w:tcW w:w="5753" w:type="dxa"/>
          <w:gridSpan w:val="3"/>
          <w:tcBorders>
            <w:left w:val="nil"/>
            <w:bottom w:val="single" w:sz="12" w:space="0" w:color="auto"/>
            <w:right w:val="nil"/>
          </w:tcBorders>
        </w:tcPr>
        <w:p w14:paraId="3FDD1360" w14:textId="77777777" w:rsidR="008D10CB" w:rsidRPr="00C74881" w:rsidRDefault="008D10CB" w:rsidP="00F354DA">
          <w:pPr>
            <w:keepNext/>
            <w:keepLines/>
            <w:tabs>
              <w:tab w:val="right" w:leader="dot" w:pos="360"/>
            </w:tabs>
            <w:suppressAutoHyphens/>
            <w:spacing w:before="109" w:line="330" w:lineRule="exact"/>
            <w:outlineLvl w:val="0"/>
            <w:rPr>
              <w:b/>
              <w:spacing w:val="-4"/>
              <w:w w:val="98"/>
              <w:kern w:val="14"/>
              <w:sz w:val="31"/>
              <w:szCs w:val="31"/>
            </w:rPr>
          </w:pPr>
          <w:r w:rsidRPr="00C74881">
            <w:rPr>
              <w:b/>
              <w:spacing w:val="-4"/>
              <w:w w:val="98"/>
              <w:kern w:val="14"/>
              <w:sz w:val="31"/>
              <w:szCs w:val="31"/>
            </w:rPr>
            <w:t xml:space="preserve">Junta Ejecutiva del </w:t>
          </w:r>
          <w:r w:rsidRPr="00C74881">
            <w:rPr>
              <w:b/>
              <w:spacing w:val="-4"/>
              <w:w w:val="98"/>
              <w:kern w:val="14"/>
              <w:sz w:val="31"/>
              <w:szCs w:val="31"/>
            </w:rPr>
            <w:br/>
            <w:t>Programa de las Naciones Unidas para el</w:t>
          </w:r>
          <w:r w:rsidRPr="00C74881">
            <w:rPr>
              <w:b/>
              <w:spacing w:val="-4"/>
              <w:w w:val="98"/>
              <w:kern w:val="14"/>
              <w:sz w:val="31"/>
              <w:szCs w:val="31"/>
            </w:rPr>
            <w:br/>
            <w:t>Desarrollo, el Fondo de Población de las Naciones Unidas y la Oficina de las Naciones Unidas de Servicios para Proyectos</w:t>
          </w:r>
        </w:p>
      </w:tc>
      <w:tc>
        <w:tcPr>
          <w:tcW w:w="630" w:type="dxa"/>
          <w:tcBorders>
            <w:left w:val="nil"/>
            <w:bottom w:val="single" w:sz="12" w:space="0" w:color="auto"/>
            <w:right w:val="nil"/>
          </w:tcBorders>
        </w:tcPr>
        <w:p w14:paraId="1F3D224B" w14:textId="77777777" w:rsidR="008D10CB" w:rsidRPr="00A25A6B" w:rsidRDefault="008D10CB" w:rsidP="00F354DA">
          <w:pPr>
            <w:tabs>
              <w:tab w:val="center" w:pos="4513"/>
              <w:tab w:val="right" w:pos="9026"/>
            </w:tabs>
            <w:spacing w:before="109"/>
          </w:pPr>
        </w:p>
      </w:tc>
      <w:tc>
        <w:tcPr>
          <w:tcW w:w="1980" w:type="dxa"/>
          <w:tcBorders>
            <w:left w:val="nil"/>
            <w:bottom w:val="single" w:sz="12" w:space="0" w:color="auto"/>
            <w:right w:val="nil"/>
          </w:tcBorders>
        </w:tcPr>
        <w:p w14:paraId="0759579D" w14:textId="77777777" w:rsidR="008D10CB" w:rsidRPr="00A25A6B" w:rsidRDefault="008D10CB" w:rsidP="00F354DA">
          <w:pPr>
            <w:spacing w:before="240"/>
            <w:rPr>
              <w:sz w:val="20"/>
            </w:rPr>
          </w:pPr>
          <w:r>
            <w:rPr>
              <w:sz w:val="20"/>
            </w:rPr>
            <w:t>Distr.: General</w:t>
          </w:r>
        </w:p>
        <w:p w14:paraId="0982D6A3" w14:textId="6C739357" w:rsidR="008D10CB" w:rsidRPr="00A25A6B" w:rsidRDefault="00876025" w:rsidP="00C74881">
          <w:pPr>
            <w:spacing w:after="240"/>
            <w:rPr>
              <w:sz w:val="20"/>
            </w:rPr>
          </w:pPr>
          <w:r>
            <w:rPr>
              <w:sz w:val="20"/>
            </w:rPr>
            <w:t>16 de junio de 2016</w:t>
          </w:r>
        </w:p>
        <w:p w14:paraId="7B70F252" w14:textId="77777777" w:rsidR="008D10CB" w:rsidRPr="00A25A6B" w:rsidRDefault="008D10CB" w:rsidP="00F354DA">
          <w:r>
            <w:rPr>
              <w:sz w:val="20"/>
            </w:rPr>
            <w:t>Original: Inglés</w:t>
          </w:r>
        </w:p>
      </w:tc>
    </w:tr>
  </w:tbl>
  <w:p w14:paraId="4324499F" w14:textId="77777777" w:rsidR="008D10CB" w:rsidRDefault="008D10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4314"/>
    <w:multiLevelType w:val="hybridMultilevel"/>
    <w:tmpl w:val="A8901F0A"/>
    <w:lvl w:ilvl="0" w:tplc="18502BA2">
      <w:start w:val="1"/>
      <w:numFmt w:val="upperLetter"/>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B9484C"/>
    <w:multiLevelType w:val="hybridMultilevel"/>
    <w:tmpl w:val="C254BB4C"/>
    <w:styleLink w:val="ImportedStyle1"/>
    <w:lvl w:ilvl="0" w:tplc="05DAB6B8">
      <w:start w:val="1"/>
      <w:numFmt w:val="upperRoman"/>
      <w:lvlText w:val="%1."/>
      <w:lvlJc w:val="left"/>
      <w:pPr>
        <w:ind w:left="360" w:hanging="360"/>
      </w:pPr>
      <w:rPr>
        <w:rFonts w:hAnsi="Arial Unicode MS"/>
        <w:b/>
        <w:bCs/>
        <w:caps w:val="0"/>
        <w:smallCaps w:val="0"/>
        <w:strike w:val="0"/>
        <w:dstrike w:val="0"/>
        <w:spacing w:val="0"/>
        <w:w w:val="100"/>
        <w:kern w:val="0"/>
        <w:position w:val="0"/>
        <w:highlight w:val="none"/>
        <w:vertAlign w:val="baseline"/>
      </w:rPr>
    </w:lvl>
    <w:lvl w:ilvl="1" w:tplc="3ED00BF0">
      <w:start w:val="1"/>
      <w:numFmt w:val="upperRoman"/>
      <w:lvlText w:val="%2."/>
      <w:lvlJc w:val="left"/>
      <w:pPr>
        <w:ind w:left="1080" w:hanging="360"/>
      </w:pPr>
      <w:rPr>
        <w:rFonts w:hAnsi="Arial Unicode MS"/>
        <w:b/>
        <w:bCs/>
        <w:caps w:val="0"/>
        <w:smallCaps w:val="0"/>
        <w:strike w:val="0"/>
        <w:dstrike w:val="0"/>
        <w:spacing w:val="0"/>
        <w:w w:val="100"/>
        <w:kern w:val="0"/>
        <w:position w:val="0"/>
        <w:highlight w:val="none"/>
        <w:vertAlign w:val="baseline"/>
      </w:rPr>
    </w:lvl>
    <w:lvl w:ilvl="2" w:tplc="786A0EE6">
      <w:start w:val="1"/>
      <w:numFmt w:val="upperRoman"/>
      <w:lvlText w:val="%3."/>
      <w:lvlJc w:val="left"/>
      <w:pPr>
        <w:ind w:left="1800" w:hanging="360"/>
      </w:pPr>
      <w:rPr>
        <w:rFonts w:hAnsi="Arial Unicode MS"/>
        <w:b/>
        <w:bCs/>
        <w:caps w:val="0"/>
        <w:smallCaps w:val="0"/>
        <w:strike w:val="0"/>
        <w:dstrike w:val="0"/>
        <w:spacing w:val="0"/>
        <w:w w:val="100"/>
        <w:kern w:val="0"/>
        <w:position w:val="0"/>
        <w:highlight w:val="none"/>
        <w:vertAlign w:val="baseline"/>
      </w:rPr>
    </w:lvl>
    <w:lvl w:ilvl="3" w:tplc="F502EAA2">
      <w:start w:val="1"/>
      <w:numFmt w:val="upperRoman"/>
      <w:lvlText w:val="%4."/>
      <w:lvlJc w:val="left"/>
      <w:pPr>
        <w:ind w:left="2520" w:hanging="360"/>
      </w:pPr>
      <w:rPr>
        <w:rFonts w:hAnsi="Arial Unicode MS"/>
        <w:b/>
        <w:bCs/>
        <w:caps w:val="0"/>
        <w:smallCaps w:val="0"/>
        <w:strike w:val="0"/>
        <w:dstrike w:val="0"/>
        <w:spacing w:val="0"/>
        <w:w w:val="100"/>
        <w:kern w:val="0"/>
        <w:position w:val="0"/>
        <w:highlight w:val="none"/>
        <w:vertAlign w:val="baseline"/>
      </w:rPr>
    </w:lvl>
    <w:lvl w:ilvl="4" w:tplc="DA105944">
      <w:start w:val="1"/>
      <w:numFmt w:val="upperRoman"/>
      <w:lvlText w:val="%5."/>
      <w:lvlJc w:val="left"/>
      <w:pPr>
        <w:ind w:left="3240" w:hanging="360"/>
      </w:pPr>
      <w:rPr>
        <w:rFonts w:hAnsi="Arial Unicode MS"/>
        <w:b/>
        <w:bCs/>
        <w:caps w:val="0"/>
        <w:smallCaps w:val="0"/>
        <w:strike w:val="0"/>
        <w:dstrike w:val="0"/>
        <w:spacing w:val="0"/>
        <w:w w:val="100"/>
        <w:kern w:val="0"/>
        <w:position w:val="0"/>
        <w:highlight w:val="none"/>
        <w:vertAlign w:val="baseline"/>
      </w:rPr>
    </w:lvl>
    <w:lvl w:ilvl="5" w:tplc="DC181F30">
      <w:start w:val="1"/>
      <w:numFmt w:val="upperRoman"/>
      <w:lvlText w:val="%6."/>
      <w:lvlJc w:val="left"/>
      <w:pPr>
        <w:ind w:left="3960" w:hanging="360"/>
      </w:pPr>
      <w:rPr>
        <w:rFonts w:hAnsi="Arial Unicode MS"/>
        <w:b/>
        <w:bCs/>
        <w:caps w:val="0"/>
        <w:smallCaps w:val="0"/>
        <w:strike w:val="0"/>
        <w:dstrike w:val="0"/>
        <w:spacing w:val="0"/>
        <w:w w:val="100"/>
        <w:kern w:val="0"/>
        <w:position w:val="0"/>
        <w:highlight w:val="none"/>
        <w:vertAlign w:val="baseline"/>
      </w:rPr>
    </w:lvl>
    <w:lvl w:ilvl="6" w:tplc="C2CEF504">
      <w:start w:val="1"/>
      <w:numFmt w:val="upperRoman"/>
      <w:lvlText w:val="%7."/>
      <w:lvlJc w:val="left"/>
      <w:pPr>
        <w:ind w:left="4680" w:hanging="360"/>
      </w:pPr>
      <w:rPr>
        <w:rFonts w:hAnsi="Arial Unicode MS"/>
        <w:b/>
        <w:bCs/>
        <w:caps w:val="0"/>
        <w:smallCaps w:val="0"/>
        <w:strike w:val="0"/>
        <w:dstrike w:val="0"/>
        <w:spacing w:val="0"/>
        <w:w w:val="100"/>
        <w:kern w:val="0"/>
        <w:position w:val="0"/>
        <w:highlight w:val="none"/>
        <w:vertAlign w:val="baseline"/>
      </w:rPr>
    </w:lvl>
    <w:lvl w:ilvl="7" w:tplc="3A0A153A">
      <w:start w:val="1"/>
      <w:numFmt w:val="upperRoman"/>
      <w:lvlText w:val="%8."/>
      <w:lvlJc w:val="left"/>
      <w:pPr>
        <w:ind w:left="5400" w:hanging="360"/>
      </w:pPr>
      <w:rPr>
        <w:rFonts w:hAnsi="Arial Unicode MS"/>
        <w:b/>
        <w:bCs/>
        <w:caps w:val="0"/>
        <w:smallCaps w:val="0"/>
        <w:strike w:val="0"/>
        <w:dstrike w:val="0"/>
        <w:spacing w:val="0"/>
        <w:w w:val="100"/>
        <w:kern w:val="0"/>
        <w:position w:val="0"/>
        <w:highlight w:val="none"/>
        <w:vertAlign w:val="baseline"/>
      </w:rPr>
    </w:lvl>
    <w:lvl w:ilvl="8" w:tplc="99E6A7A6">
      <w:start w:val="1"/>
      <w:numFmt w:val="upperRoman"/>
      <w:lvlText w:val="%9."/>
      <w:lvlJc w:val="left"/>
      <w:pPr>
        <w:ind w:left="6120" w:hanging="360"/>
      </w:pPr>
      <w:rPr>
        <w:rFonts w:hAnsi="Arial Unicode MS"/>
        <w:b/>
        <w:bCs/>
        <w:caps w:val="0"/>
        <w:smallCaps w:val="0"/>
        <w:strike w:val="0"/>
        <w:dstrike w:val="0"/>
        <w:spacing w:val="0"/>
        <w:w w:val="100"/>
        <w:kern w:val="0"/>
        <w:position w:val="0"/>
        <w:highlight w:val="none"/>
        <w:vertAlign w:val="baseline"/>
      </w:rPr>
    </w:lvl>
  </w:abstractNum>
  <w:abstractNum w:abstractNumId="2" w15:restartNumberingAfterBreak="0">
    <w:nsid w:val="46BB3CB8"/>
    <w:multiLevelType w:val="hybridMultilevel"/>
    <w:tmpl w:val="45D2FDC4"/>
    <w:lvl w:ilvl="0" w:tplc="AA3C351E">
      <w:start w:val="1"/>
      <w:numFmt w:val="decimal"/>
      <w:pStyle w:val="Num1para"/>
      <w:lvlText w:val="%1."/>
      <w:lvlJc w:val="left"/>
      <w:pPr>
        <w:ind w:left="1094" w:hanging="360"/>
      </w:pPr>
      <w:rPr>
        <w:rFonts w:ascii="Times New Roman" w:hAnsi="Times New Roman" w:cs="Times New Roman" w:hint="default"/>
        <w:b w:val="0"/>
        <w:i w:val="0"/>
        <w:sz w:val="20"/>
        <w:szCs w:val="20"/>
        <w:vertAlign w:val="baseline"/>
      </w:rPr>
    </w:lvl>
    <w:lvl w:ilvl="1" w:tplc="04090001">
      <w:start w:val="1"/>
      <w:numFmt w:val="bullet"/>
      <w:lvlText w:val=""/>
      <w:lvlJc w:val="left"/>
      <w:pPr>
        <w:ind w:left="2354" w:hanging="360"/>
      </w:pPr>
      <w:rPr>
        <w:rFonts w:ascii="Symbol" w:hAnsi="Symbol" w:hint="default"/>
      </w:rPr>
    </w:lvl>
    <w:lvl w:ilvl="2" w:tplc="F5A208CE">
      <w:start w:val="1"/>
      <w:numFmt w:val="lowerLetter"/>
      <w:pStyle w:val="ListParagraph"/>
      <w:lvlText w:val="(%3)"/>
      <w:lvlJc w:val="left"/>
      <w:pPr>
        <w:ind w:left="3374" w:hanging="480"/>
      </w:pPr>
      <w:rPr>
        <w:rFonts w:hint="default"/>
      </w:r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3" w15:restartNumberingAfterBreak="0">
    <w:nsid w:val="4AC9429F"/>
    <w:multiLevelType w:val="hybridMultilevel"/>
    <w:tmpl w:val="AAF633F4"/>
    <w:lvl w:ilvl="0" w:tplc="7D9E7A6A">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4542A"/>
    <w:multiLevelType w:val="hybridMultilevel"/>
    <w:tmpl w:val="722C71DA"/>
    <w:lvl w:ilvl="0" w:tplc="20F8476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lvlOverride w:ilvl="0">
      <w:startOverride w:val="1"/>
    </w:lvlOverride>
  </w:num>
  <w:num w:numId="10">
    <w:abstractNumId w:val="2"/>
    <w:lvlOverride w:ilvl="0">
      <w:startOverride w:val="2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F7"/>
    <w:rsid w:val="00000A39"/>
    <w:rsid w:val="00000C35"/>
    <w:rsid w:val="000010A1"/>
    <w:rsid w:val="000017EE"/>
    <w:rsid w:val="00001B60"/>
    <w:rsid w:val="00001C3F"/>
    <w:rsid w:val="000025FE"/>
    <w:rsid w:val="0000270D"/>
    <w:rsid w:val="0000285C"/>
    <w:rsid w:val="0000335A"/>
    <w:rsid w:val="00003695"/>
    <w:rsid w:val="00003B72"/>
    <w:rsid w:val="000057C4"/>
    <w:rsid w:val="000061C7"/>
    <w:rsid w:val="00006341"/>
    <w:rsid w:val="00006820"/>
    <w:rsid w:val="00006893"/>
    <w:rsid w:val="00006E33"/>
    <w:rsid w:val="00007F63"/>
    <w:rsid w:val="000103EA"/>
    <w:rsid w:val="0001064D"/>
    <w:rsid w:val="000108F6"/>
    <w:rsid w:val="00010F50"/>
    <w:rsid w:val="00011DC7"/>
    <w:rsid w:val="0001236F"/>
    <w:rsid w:val="0001268A"/>
    <w:rsid w:val="00012719"/>
    <w:rsid w:val="0001302C"/>
    <w:rsid w:val="00013A13"/>
    <w:rsid w:val="00013E67"/>
    <w:rsid w:val="00014CD8"/>
    <w:rsid w:val="00014DDB"/>
    <w:rsid w:val="00014F92"/>
    <w:rsid w:val="00015D16"/>
    <w:rsid w:val="000162F5"/>
    <w:rsid w:val="000166F2"/>
    <w:rsid w:val="00016810"/>
    <w:rsid w:val="000172EF"/>
    <w:rsid w:val="0002001E"/>
    <w:rsid w:val="0002025E"/>
    <w:rsid w:val="00020584"/>
    <w:rsid w:val="00020F37"/>
    <w:rsid w:val="00021948"/>
    <w:rsid w:val="000220F4"/>
    <w:rsid w:val="0002322D"/>
    <w:rsid w:val="00023B34"/>
    <w:rsid w:val="0002467E"/>
    <w:rsid w:val="00024B09"/>
    <w:rsid w:val="000266F5"/>
    <w:rsid w:val="00026702"/>
    <w:rsid w:val="0002691F"/>
    <w:rsid w:val="00026FCC"/>
    <w:rsid w:val="000270F9"/>
    <w:rsid w:val="00027320"/>
    <w:rsid w:val="00027A5C"/>
    <w:rsid w:val="00027FB1"/>
    <w:rsid w:val="000300B0"/>
    <w:rsid w:val="000300E4"/>
    <w:rsid w:val="0003147C"/>
    <w:rsid w:val="0003174E"/>
    <w:rsid w:val="000317C9"/>
    <w:rsid w:val="00031C19"/>
    <w:rsid w:val="000325C0"/>
    <w:rsid w:val="0003338B"/>
    <w:rsid w:val="00033C98"/>
    <w:rsid w:val="00035047"/>
    <w:rsid w:val="00035279"/>
    <w:rsid w:val="00035285"/>
    <w:rsid w:val="0003533B"/>
    <w:rsid w:val="00035351"/>
    <w:rsid w:val="00035597"/>
    <w:rsid w:val="00035724"/>
    <w:rsid w:val="00035B49"/>
    <w:rsid w:val="00035D1D"/>
    <w:rsid w:val="00036272"/>
    <w:rsid w:val="000369F5"/>
    <w:rsid w:val="0003777D"/>
    <w:rsid w:val="00037BAD"/>
    <w:rsid w:val="00037BCD"/>
    <w:rsid w:val="000408E3"/>
    <w:rsid w:val="0004099A"/>
    <w:rsid w:val="00040FE4"/>
    <w:rsid w:val="000416D1"/>
    <w:rsid w:val="00042AF0"/>
    <w:rsid w:val="00042FDD"/>
    <w:rsid w:val="000433C9"/>
    <w:rsid w:val="00043725"/>
    <w:rsid w:val="00043AAE"/>
    <w:rsid w:val="0004503B"/>
    <w:rsid w:val="00045160"/>
    <w:rsid w:val="00045667"/>
    <w:rsid w:val="00045FE4"/>
    <w:rsid w:val="000460FF"/>
    <w:rsid w:val="000467DA"/>
    <w:rsid w:val="00046907"/>
    <w:rsid w:val="00046BC0"/>
    <w:rsid w:val="000473ED"/>
    <w:rsid w:val="000477EA"/>
    <w:rsid w:val="000509DD"/>
    <w:rsid w:val="00050A23"/>
    <w:rsid w:val="00051336"/>
    <w:rsid w:val="0005137B"/>
    <w:rsid w:val="00051B8B"/>
    <w:rsid w:val="00051D44"/>
    <w:rsid w:val="00052070"/>
    <w:rsid w:val="000536E4"/>
    <w:rsid w:val="000539F0"/>
    <w:rsid w:val="00053D21"/>
    <w:rsid w:val="00054A90"/>
    <w:rsid w:val="00054D33"/>
    <w:rsid w:val="00054FF1"/>
    <w:rsid w:val="00055C02"/>
    <w:rsid w:val="00055C60"/>
    <w:rsid w:val="00055F65"/>
    <w:rsid w:val="0005638F"/>
    <w:rsid w:val="000569D0"/>
    <w:rsid w:val="00056C20"/>
    <w:rsid w:val="00057D08"/>
    <w:rsid w:val="00060035"/>
    <w:rsid w:val="0006057D"/>
    <w:rsid w:val="0006277E"/>
    <w:rsid w:val="0006334D"/>
    <w:rsid w:val="00064295"/>
    <w:rsid w:val="00064A56"/>
    <w:rsid w:val="00065613"/>
    <w:rsid w:val="00065657"/>
    <w:rsid w:val="00065D89"/>
    <w:rsid w:val="00066A60"/>
    <w:rsid w:val="00066ABB"/>
    <w:rsid w:val="000673C3"/>
    <w:rsid w:val="00067689"/>
    <w:rsid w:val="0007027B"/>
    <w:rsid w:val="000702B5"/>
    <w:rsid w:val="00070547"/>
    <w:rsid w:val="00071B93"/>
    <w:rsid w:val="00073BD2"/>
    <w:rsid w:val="000745A5"/>
    <w:rsid w:val="000746C5"/>
    <w:rsid w:val="00074E50"/>
    <w:rsid w:val="00074F60"/>
    <w:rsid w:val="00075541"/>
    <w:rsid w:val="0007685D"/>
    <w:rsid w:val="00077D28"/>
    <w:rsid w:val="00077F28"/>
    <w:rsid w:val="00080134"/>
    <w:rsid w:val="00080342"/>
    <w:rsid w:val="00080C10"/>
    <w:rsid w:val="00080FF8"/>
    <w:rsid w:val="00081995"/>
    <w:rsid w:val="000824A3"/>
    <w:rsid w:val="000828B1"/>
    <w:rsid w:val="00084115"/>
    <w:rsid w:val="00084508"/>
    <w:rsid w:val="000845AA"/>
    <w:rsid w:val="000845DC"/>
    <w:rsid w:val="00084A76"/>
    <w:rsid w:val="00085AAC"/>
    <w:rsid w:val="00085B46"/>
    <w:rsid w:val="00086100"/>
    <w:rsid w:val="000861F5"/>
    <w:rsid w:val="00086BAE"/>
    <w:rsid w:val="000879CB"/>
    <w:rsid w:val="000900BE"/>
    <w:rsid w:val="0009015E"/>
    <w:rsid w:val="00090689"/>
    <w:rsid w:val="00090D55"/>
    <w:rsid w:val="000911E5"/>
    <w:rsid w:val="0009163E"/>
    <w:rsid w:val="00091A60"/>
    <w:rsid w:val="00092C38"/>
    <w:rsid w:val="00092E7D"/>
    <w:rsid w:val="00092EAE"/>
    <w:rsid w:val="00093900"/>
    <w:rsid w:val="00093C0A"/>
    <w:rsid w:val="000944EA"/>
    <w:rsid w:val="00094614"/>
    <w:rsid w:val="00094B1E"/>
    <w:rsid w:val="00094BA9"/>
    <w:rsid w:val="00095FFA"/>
    <w:rsid w:val="00096374"/>
    <w:rsid w:val="00096500"/>
    <w:rsid w:val="00096503"/>
    <w:rsid w:val="00097BB4"/>
    <w:rsid w:val="00097C47"/>
    <w:rsid w:val="000A0F0B"/>
    <w:rsid w:val="000A122A"/>
    <w:rsid w:val="000A17D0"/>
    <w:rsid w:val="000A18C7"/>
    <w:rsid w:val="000A1921"/>
    <w:rsid w:val="000A1AB2"/>
    <w:rsid w:val="000A1E55"/>
    <w:rsid w:val="000A20C9"/>
    <w:rsid w:val="000A20F1"/>
    <w:rsid w:val="000A2459"/>
    <w:rsid w:val="000A2658"/>
    <w:rsid w:val="000A383D"/>
    <w:rsid w:val="000A384D"/>
    <w:rsid w:val="000A3946"/>
    <w:rsid w:val="000A3FA5"/>
    <w:rsid w:val="000A4086"/>
    <w:rsid w:val="000A413A"/>
    <w:rsid w:val="000A42BF"/>
    <w:rsid w:val="000A486B"/>
    <w:rsid w:val="000A49EC"/>
    <w:rsid w:val="000A5165"/>
    <w:rsid w:val="000A57EE"/>
    <w:rsid w:val="000A5D4D"/>
    <w:rsid w:val="000A61C8"/>
    <w:rsid w:val="000A64B0"/>
    <w:rsid w:val="000A6DF2"/>
    <w:rsid w:val="000A6F42"/>
    <w:rsid w:val="000A770E"/>
    <w:rsid w:val="000A77F1"/>
    <w:rsid w:val="000A792B"/>
    <w:rsid w:val="000A7A68"/>
    <w:rsid w:val="000A7B4F"/>
    <w:rsid w:val="000A7BAE"/>
    <w:rsid w:val="000A7D34"/>
    <w:rsid w:val="000B06CC"/>
    <w:rsid w:val="000B0A01"/>
    <w:rsid w:val="000B0A7A"/>
    <w:rsid w:val="000B0BB7"/>
    <w:rsid w:val="000B1209"/>
    <w:rsid w:val="000B126D"/>
    <w:rsid w:val="000B199C"/>
    <w:rsid w:val="000B233E"/>
    <w:rsid w:val="000B3E9C"/>
    <w:rsid w:val="000B43A5"/>
    <w:rsid w:val="000B46F6"/>
    <w:rsid w:val="000B485A"/>
    <w:rsid w:val="000B51A4"/>
    <w:rsid w:val="000B550B"/>
    <w:rsid w:val="000B554B"/>
    <w:rsid w:val="000B55C2"/>
    <w:rsid w:val="000B5650"/>
    <w:rsid w:val="000B59C5"/>
    <w:rsid w:val="000B6402"/>
    <w:rsid w:val="000B675E"/>
    <w:rsid w:val="000B6CC2"/>
    <w:rsid w:val="000B6DB0"/>
    <w:rsid w:val="000B73D3"/>
    <w:rsid w:val="000B7C3F"/>
    <w:rsid w:val="000C0B51"/>
    <w:rsid w:val="000C0FDC"/>
    <w:rsid w:val="000C16A0"/>
    <w:rsid w:val="000C179E"/>
    <w:rsid w:val="000C18DA"/>
    <w:rsid w:val="000C1CB6"/>
    <w:rsid w:val="000C2087"/>
    <w:rsid w:val="000C2790"/>
    <w:rsid w:val="000C2D93"/>
    <w:rsid w:val="000C32AC"/>
    <w:rsid w:val="000C34DC"/>
    <w:rsid w:val="000C424C"/>
    <w:rsid w:val="000C48B6"/>
    <w:rsid w:val="000C4BCA"/>
    <w:rsid w:val="000C5306"/>
    <w:rsid w:val="000C5735"/>
    <w:rsid w:val="000C5BAC"/>
    <w:rsid w:val="000C5F7A"/>
    <w:rsid w:val="000C613C"/>
    <w:rsid w:val="000C61FE"/>
    <w:rsid w:val="000C6450"/>
    <w:rsid w:val="000C6D57"/>
    <w:rsid w:val="000C78CC"/>
    <w:rsid w:val="000C7D46"/>
    <w:rsid w:val="000D0202"/>
    <w:rsid w:val="000D0783"/>
    <w:rsid w:val="000D0913"/>
    <w:rsid w:val="000D1EC3"/>
    <w:rsid w:val="000D2206"/>
    <w:rsid w:val="000D26F0"/>
    <w:rsid w:val="000D2A27"/>
    <w:rsid w:val="000D2D32"/>
    <w:rsid w:val="000D2FE8"/>
    <w:rsid w:val="000D3034"/>
    <w:rsid w:val="000D37F2"/>
    <w:rsid w:val="000D3A6D"/>
    <w:rsid w:val="000D4006"/>
    <w:rsid w:val="000D40AF"/>
    <w:rsid w:val="000D40D8"/>
    <w:rsid w:val="000D5420"/>
    <w:rsid w:val="000D60D4"/>
    <w:rsid w:val="000D65FC"/>
    <w:rsid w:val="000D6629"/>
    <w:rsid w:val="000D6680"/>
    <w:rsid w:val="000D6766"/>
    <w:rsid w:val="000D698E"/>
    <w:rsid w:val="000D6B52"/>
    <w:rsid w:val="000D6C5E"/>
    <w:rsid w:val="000D6D0C"/>
    <w:rsid w:val="000D6FBF"/>
    <w:rsid w:val="000D7038"/>
    <w:rsid w:val="000D7176"/>
    <w:rsid w:val="000D75B8"/>
    <w:rsid w:val="000D75EF"/>
    <w:rsid w:val="000D7712"/>
    <w:rsid w:val="000D7ACF"/>
    <w:rsid w:val="000D7E75"/>
    <w:rsid w:val="000E1279"/>
    <w:rsid w:val="000E162E"/>
    <w:rsid w:val="000E204F"/>
    <w:rsid w:val="000E23F1"/>
    <w:rsid w:val="000E25A8"/>
    <w:rsid w:val="000E2C20"/>
    <w:rsid w:val="000E2CF3"/>
    <w:rsid w:val="000E2F43"/>
    <w:rsid w:val="000E35B8"/>
    <w:rsid w:val="000E3656"/>
    <w:rsid w:val="000E3668"/>
    <w:rsid w:val="000E3AAC"/>
    <w:rsid w:val="000E3C63"/>
    <w:rsid w:val="000E4380"/>
    <w:rsid w:val="000E51FE"/>
    <w:rsid w:val="000E53BF"/>
    <w:rsid w:val="000E57ED"/>
    <w:rsid w:val="000E5808"/>
    <w:rsid w:val="000E5873"/>
    <w:rsid w:val="000E5A09"/>
    <w:rsid w:val="000E6D95"/>
    <w:rsid w:val="000E7958"/>
    <w:rsid w:val="000F029A"/>
    <w:rsid w:val="000F0A7E"/>
    <w:rsid w:val="000F0B7F"/>
    <w:rsid w:val="000F23D6"/>
    <w:rsid w:val="000F368E"/>
    <w:rsid w:val="000F5848"/>
    <w:rsid w:val="000F5C06"/>
    <w:rsid w:val="000F5E67"/>
    <w:rsid w:val="000F5F0C"/>
    <w:rsid w:val="000F6087"/>
    <w:rsid w:val="000F69E8"/>
    <w:rsid w:val="000F7075"/>
    <w:rsid w:val="000F7CEF"/>
    <w:rsid w:val="000F7F53"/>
    <w:rsid w:val="001005C8"/>
    <w:rsid w:val="001005CF"/>
    <w:rsid w:val="00100EB0"/>
    <w:rsid w:val="00100F7B"/>
    <w:rsid w:val="00101DCE"/>
    <w:rsid w:val="0010260C"/>
    <w:rsid w:val="0010282D"/>
    <w:rsid w:val="00104DAA"/>
    <w:rsid w:val="001052EC"/>
    <w:rsid w:val="00105F4D"/>
    <w:rsid w:val="00106273"/>
    <w:rsid w:val="0010663A"/>
    <w:rsid w:val="00106902"/>
    <w:rsid w:val="00106A01"/>
    <w:rsid w:val="00106DC2"/>
    <w:rsid w:val="00107A1C"/>
    <w:rsid w:val="00107F9A"/>
    <w:rsid w:val="0011081A"/>
    <w:rsid w:val="00110AEC"/>
    <w:rsid w:val="001110DB"/>
    <w:rsid w:val="00111B3F"/>
    <w:rsid w:val="00111CB6"/>
    <w:rsid w:val="00112028"/>
    <w:rsid w:val="00112697"/>
    <w:rsid w:val="00112861"/>
    <w:rsid w:val="001128D0"/>
    <w:rsid w:val="00113784"/>
    <w:rsid w:val="00113977"/>
    <w:rsid w:val="00113A1C"/>
    <w:rsid w:val="00113AEC"/>
    <w:rsid w:val="00113F4C"/>
    <w:rsid w:val="001143D4"/>
    <w:rsid w:val="00114A55"/>
    <w:rsid w:val="00114AD6"/>
    <w:rsid w:val="00114B4F"/>
    <w:rsid w:val="00114C82"/>
    <w:rsid w:val="00115974"/>
    <w:rsid w:val="00115A81"/>
    <w:rsid w:val="00115A96"/>
    <w:rsid w:val="00115F1A"/>
    <w:rsid w:val="0011604E"/>
    <w:rsid w:val="00116129"/>
    <w:rsid w:val="001165DB"/>
    <w:rsid w:val="00116978"/>
    <w:rsid w:val="00116C92"/>
    <w:rsid w:val="00116F45"/>
    <w:rsid w:val="00117513"/>
    <w:rsid w:val="0011757B"/>
    <w:rsid w:val="00117883"/>
    <w:rsid w:val="00117C30"/>
    <w:rsid w:val="00120247"/>
    <w:rsid w:val="001207F8"/>
    <w:rsid w:val="001208CC"/>
    <w:rsid w:val="00121011"/>
    <w:rsid w:val="00121118"/>
    <w:rsid w:val="001214E0"/>
    <w:rsid w:val="0012166C"/>
    <w:rsid w:val="001229E4"/>
    <w:rsid w:val="00122B3D"/>
    <w:rsid w:val="00122BF1"/>
    <w:rsid w:val="00123173"/>
    <w:rsid w:val="001235CF"/>
    <w:rsid w:val="00123D5E"/>
    <w:rsid w:val="00123E04"/>
    <w:rsid w:val="0012424A"/>
    <w:rsid w:val="001249AE"/>
    <w:rsid w:val="00124C8D"/>
    <w:rsid w:val="00124E0F"/>
    <w:rsid w:val="00124EC8"/>
    <w:rsid w:val="001254E2"/>
    <w:rsid w:val="00125712"/>
    <w:rsid w:val="00126B37"/>
    <w:rsid w:val="00126D90"/>
    <w:rsid w:val="00126F07"/>
    <w:rsid w:val="00127805"/>
    <w:rsid w:val="00127EA1"/>
    <w:rsid w:val="00127F78"/>
    <w:rsid w:val="00130628"/>
    <w:rsid w:val="0013065C"/>
    <w:rsid w:val="00130AB3"/>
    <w:rsid w:val="00130D2A"/>
    <w:rsid w:val="00130DB6"/>
    <w:rsid w:val="001314FC"/>
    <w:rsid w:val="00131D2F"/>
    <w:rsid w:val="00131D82"/>
    <w:rsid w:val="0013209A"/>
    <w:rsid w:val="00132258"/>
    <w:rsid w:val="00132872"/>
    <w:rsid w:val="0013419B"/>
    <w:rsid w:val="00134411"/>
    <w:rsid w:val="001344D1"/>
    <w:rsid w:val="0013495B"/>
    <w:rsid w:val="00134E37"/>
    <w:rsid w:val="00134EBA"/>
    <w:rsid w:val="00135065"/>
    <w:rsid w:val="0013575C"/>
    <w:rsid w:val="00135D56"/>
    <w:rsid w:val="00136059"/>
    <w:rsid w:val="001364DA"/>
    <w:rsid w:val="001365CB"/>
    <w:rsid w:val="00136914"/>
    <w:rsid w:val="001372EA"/>
    <w:rsid w:val="00137B5B"/>
    <w:rsid w:val="00137B5D"/>
    <w:rsid w:val="00137FBF"/>
    <w:rsid w:val="00140F8D"/>
    <w:rsid w:val="00141407"/>
    <w:rsid w:val="00141D08"/>
    <w:rsid w:val="0014241D"/>
    <w:rsid w:val="00142D33"/>
    <w:rsid w:val="00142D3A"/>
    <w:rsid w:val="0014330C"/>
    <w:rsid w:val="0014390B"/>
    <w:rsid w:val="00143A41"/>
    <w:rsid w:val="00144003"/>
    <w:rsid w:val="001442FC"/>
    <w:rsid w:val="0014567C"/>
    <w:rsid w:val="00145E5F"/>
    <w:rsid w:val="00146945"/>
    <w:rsid w:val="00146B85"/>
    <w:rsid w:val="00146E23"/>
    <w:rsid w:val="001473CE"/>
    <w:rsid w:val="001474DE"/>
    <w:rsid w:val="00147512"/>
    <w:rsid w:val="001475A9"/>
    <w:rsid w:val="00147720"/>
    <w:rsid w:val="00150011"/>
    <w:rsid w:val="001503F1"/>
    <w:rsid w:val="0015146F"/>
    <w:rsid w:val="00151495"/>
    <w:rsid w:val="00152215"/>
    <w:rsid w:val="0015224C"/>
    <w:rsid w:val="001523E5"/>
    <w:rsid w:val="0015274C"/>
    <w:rsid w:val="001529E4"/>
    <w:rsid w:val="00152A20"/>
    <w:rsid w:val="00152DC5"/>
    <w:rsid w:val="00153689"/>
    <w:rsid w:val="00154589"/>
    <w:rsid w:val="00154593"/>
    <w:rsid w:val="001545D5"/>
    <w:rsid w:val="001548B1"/>
    <w:rsid w:val="00154C76"/>
    <w:rsid w:val="00155200"/>
    <w:rsid w:val="001554C9"/>
    <w:rsid w:val="00155673"/>
    <w:rsid w:val="00155C21"/>
    <w:rsid w:val="00155FE9"/>
    <w:rsid w:val="001560F5"/>
    <w:rsid w:val="001570B2"/>
    <w:rsid w:val="00157CDE"/>
    <w:rsid w:val="0016023F"/>
    <w:rsid w:val="00160498"/>
    <w:rsid w:val="00160C21"/>
    <w:rsid w:val="0016161F"/>
    <w:rsid w:val="0016182D"/>
    <w:rsid w:val="00162425"/>
    <w:rsid w:val="001624DF"/>
    <w:rsid w:val="001635DA"/>
    <w:rsid w:val="00163FE1"/>
    <w:rsid w:val="0016408F"/>
    <w:rsid w:val="0016477E"/>
    <w:rsid w:val="00164BAC"/>
    <w:rsid w:val="00164E21"/>
    <w:rsid w:val="0016552B"/>
    <w:rsid w:val="001657A3"/>
    <w:rsid w:val="00165D35"/>
    <w:rsid w:val="00165EA6"/>
    <w:rsid w:val="0016670B"/>
    <w:rsid w:val="0016686E"/>
    <w:rsid w:val="001677D5"/>
    <w:rsid w:val="001678F2"/>
    <w:rsid w:val="00167CC5"/>
    <w:rsid w:val="00170434"/>
    <w:rsid w:val="0017072F"/>
    <w:rsid w:val="00170D86"/>
    <w:rsid w:val="001712A8"/>
    <w:rsid w:val="00172594"/>
    <w:rsid w:val="0017300F"/>
    <w:rsid w:val="00174989"/>
    <w:rsid w:val="00174EA5"/>
    <w:rsid w:val="001758B5"/>
    <w:rsid w:val="00175BB3"/>
    <w:rsid w:val="00175FDA"/>
    <w:rsid w:val="00176037"/>
    <w:rsid w:val="001761E9"/>
    <w:rsid w:val="00176382"/>
    <w:rsid w:val="00176E83"/>
    <w:rsid w:val="001774A6"/>
    <w:rsid w:val="001776DB"/>
    <w:rsid w:val="00177848"/>
    <w:rsid w:val="0017791D"/>
    <w:rsid w:val="00177F5F"/>
    <w:rsid w:val="00180566"/>
    <w:rsid w:val="0018064E"/>
    <w:rsid w:val="0018086D"/>
    <w:rsid w:val="001809CD"/>
    <w:rsid w:val="00181031"/>
    <w:rsid w:val="0018120B"/>
    <w:rsid w:val="00181C70"/>
    <w:rsid w:val="00181CA7"/>
    <w:rsid w:val="00182130"/>
    <w:rsid w:val="001836E0"/>
    <w:rsid w:val="00183A06"/>
    <w:rsid w:val="00183C11"/>
    <w:rsid w:val="00183E39"/>
    <w:rsid w:val="00184508"/>
    <w:rsid w:val="0018493B"/>
    <w:rsid w:val="001849FD"/>
    <w:rsid w:val="00184C84"/>
    <w:rsid w:val="00184CB2"/>
    <w:rsid w:val="00185403"/>
    <w:rsid w:val="00185B72"/>
    <w:rsid w:val="00185D20"/>
    <w:rsid w:val="00186C0D"/>
    <w:rsid w:val="00186DF7"/>
    <w:rsid w:val="001872D8"/>
    <w:rsid w:val="001873CD"/>
    <w:rsid w:val="001878E0"/>
    <w:rsid w:val="00187B0F"/>
    <w:rsid w:val="00190A85"/>
    <w:rsid w:val="001916CD"/>
    <w:rsid w:val="00192925"/>
    <w:rsid w:val="0019297A"/>
    <w:rsid w:val="00193702"/>
    <w:rsid w:val="00193A4A"/>
    <w:rsid w:val="00193C93"/>
    <w:rsid w:val="0019494E"/>
    <w:rsid w:val="00194B8C"/>
    <w:rsid w:val="00195B3B"/>
    <w:rsid w:val="00196107"/>
    <w:rsid w:val="0019645B"/>
    <w:rsid w:val="00196C0C"/>
    <w:rsid w:val="00196E47"/>
    <w:rsid w:val="00196ED6"/>
    <w:rsid w:val="00196F02"/>
    <w:rsid w:val="0019709F"/>
    <w:rsid w:val="001971C0"/>
    <w:rsid w:val="001971C7"/>
    <w:rsid w:val="001A02BF"/>
    <w:rsid w:val="001A0343"/>
    <w:rsid w:val="001A0447"/>
    <w:rsid w:val="001A04CA"/>
    <w:rsid w:val="001A0948"/>
    <w:rsid w:val="001A2337"/>
    <w:rsid w:val="001A2540"/>
    <w:rsid w:val="001A2C22"/>
    <w:rsid w:val="001A30C8"/>
    <w:rsid w:val="001A31AA"/>
    <w:rsid w:val="001A31D2"/>
    <w:rsid w:val="001A3ABC"/>
    <w:rsid w:val="001A3DEC"/>
    <w:rsid w:val="001A3F42"/>
    <w:rsid w:val="001A480A"/>
    <w:rsid w:val="001A480B"/>
    <w:rsid w:val="001A50AF"/>
    <w:rsid w:val="001A51DA"/>
    <w:rsid w:val="001A56B4"/>
    <w:rsid w:val="001A5787"/>
    <w:rsid w:val="001A5927"/>
    <w:rsid w:val="001A5C97"/>
    <w:rsid w:val="001A5CE1"/>
    <w:rsid w:val="001A60B9"/>
    <w:rsid w:val="001A62EF"/>
    <w:rsid w:val="001A71B5"/>
    <w:rsid w:val="001A78E7"/>
    <w:rsid w:val="001A7B84"/>
    <w:rsid w:val="001A7C05"/>
    <w:rsid w:val="001B1332"/>
    <w:rsid w:val="001B1E74"/>
    <w:rsid w:val="001B1F06"/>
    <w:rsid w:val="001B20C0"/>
    <w:rsid w:val="001B2C4A"/>
    <w:rsid w:val="001B2F3F"/>
    <w:rsid w:val="001B31DE"/>
    <w:rsid w:val="001B34BC"/>
    <w:rsid w:val="001B458F"/>
    <w:rsid w:val="001B4639"/>
    <w:rsid w:val="001B47B2"/>
    <w:rsid w:val="001B5026"/>
    <w:rsid w:val="001B5A4A"/>
    <w:rsid w:val="001B5BCE"/>
    <w:rsid w:val="001B5F0A"/>
    <w:rsid w:val="001B5F56"/>
    <w:rsid w:val="001B612E"/>
    <w:rsid w:val="001B78E0"/>
    <w:rsid w:val="001C0355"/>
    <w:rsid w:val="001C062E"/>
    <w:rsid w:val="001C0799"/>
    <w:rsid w:val="001C0C6D"/>
    <w:rsid w:val="001C0FD0"/>
    <w:rsid w:val="001C1552"/>
    <w:rsid w:val="001C21F8"/>
    <w:rsid w:val="001C24F5"/>
    <w:rsid w:val="001C2B28"/>
    <w:rsid w:val="001C2BE0"/>
    <w:rsid w:val="001C2C71"/>
    <w:rsid w:val="001C369F"/>
    <w:rsid w:val="001C3AE0"/>
    <w:rsid w:val="001C3B2B"/>
    <w:rsid w:val="001C3B57"/>
    <w:rsid w:val="001C3C7D"/>
    <w:rsid w:val="001C4092"/>
    <w:rsid w:val="001C43EF"/>
    <w:rsid w:val="001C67C9"/>
    <w:rsid w:val="001C6F3C"/>
    <w:rsid w:val="001C705D"/>
    <w:rsid w:val="001C747D"/>
    <w:rsid w:val="001C778C"/>
    <w:rsid w:val="001D10F9"/>
    <w:rsid w:val="001D1281"/>
    <w:rsid w:val="001D134F"/>
    <w:rsid w:val="001D1394"/>
    <w:rsid w:val="001D1A74"/>
    <w:rsid w:val="001D270E"/>
    <w:rsid w:val="001D2C20"/>
    <w:rsid w:val="001D2E66"/>
    <w:rsid w:val="001D2EC5"/>
    <w:rsid w:val="001D2F78"/>
    <w:rsid w:val="001D311C"/>
    <w:rsid w:val="001D3651"/>
    <w:rsid w:val="001D3D37"/>
    <w:rsid w:val="001D40B8"/>
    <w:rsid w:val="001D4E7C"/>
    <w:rsid w:val="001D4E8C"/>
    <w:rsid w:val="001D4F33"/>
    <w:rsid w:val="001D5587"/>
    <w:rsid w:val="001D5A88"/>
    <w:rsid w:val="001D5B1E"/>
    <w:rsid w:val="001D5BFA"/>
    <w:rsid w:val="001D6B05"/>
    <w:rsid w:val="001D70B5"/>
    <w:rsid w:val="001D7D6F"/>
    <w:rsid w:val="001D7DD5"/>
    <w:rsid w:val="001E00EC"/>
    <w:rsid w:val="001E0B4B"/>
    <w:rsid w:val="001E22CE"/>
    <w:rsid w:val="001E301F"/>
    <w:rsid w:val="001E3053"/>
    <w:rsid w:val="001E3466"/>
    <w:rsid w:val="001E365A"/>
    <w:rsid w:val="001E3B9A"/>
    <w:rsid w:val="001E41B2"/>
    <w:rsid w:val="001E4472"/>
    <w:rsid w:val="001E4A8E"/>
    <w:rsid w:val="001E5244"/>
    <w:rsid w:val="001E635D"/>
    <w:rsid w:val="001E67C0"/>
    <w:rsid w:val="001E6A8F"/>
    <w:rsid w:val="001E6FAE"/>
    <w:rsid w:val="001E7129"/>
    <w:rsid w:val="001E73E3"/>
    <w:rsid w:val="001E7403"/>
    <w:rsid w:val="001E7432"/>
    <w:rsid w:val="001E7685"/>
    <w:rsid w:val="001F0582"/>
    <w:rsid w:val="001F07F6"/>
    <w:rsid w:val="001F0A86"/>
    <w:rsid w:val="001F0CE6"/>
    <w:rsid w:val="001F166E"/>
    <w:rsid w:val="001F29FC"/>
    <w:rsid w:val="001F2E12"/>
    <w:rsid w:val="001F41BF"/>
    <w:rsid w:val="001F531F"/>
    <w:rsid w:val="001F5510"/>
    <w:rsid w:val="001F73E0"/>
    <w:rsid w:val="001F78E0"/>
    <w:rsid w:val="00200182"/>
    <w:rsid w:val="002004E9"/>
    <w:rsid w:val="0020054F"/>
    <w:rsid w:val="0020089B"/>
    <w:rsid w:val="002008D2"/>
    <w:rsid w:val="00201258"/>
    <w:rsid w:val="00201697"/>
    <w:rsid w:val="0020184E"/>
    <w:rsid w:val="00201943"/>
    <w:rsid w:val="00201A58"/>
    <w:rsid w:val="00201E45"/>
    <w:rsid w:val="00202636"/>
    <w:rsid w:val="00202A15"/>
    <w:rsid w:val="00202F6B"/>
    <w:rsid w:val="00203307"/>
    <w:rsid w:val="0020464F"/>
    <w:rsid w:val="002048A5"/>
    <w:rsid w:val="002048DE"/>
    <w:rsid w:val="00204E06"/>
    <w:rsid w:val="00204FE9"/>
    <w:rsid w:val="0020532A"/>
    <w:rsid w:val="0020557F"/>
    <w:rsid w:val="0020561B"/>
    <w:rsid w:val="0020566E"/>
    <w:rsid w:val="00205732"/>
    <w:rsid w:val="002059D0"/>
    <w:rsid w:val="00205D37"/>
    <w:rsid w:val="002062C6"/>
    <w:rsid w:val="00206600"/>
    <w:rsid w:val="002070B2"/>
    <w:rsid w:val="0020741A"/>
    <w:rsid w:val="00207594"/>
    <w:rsid w:val="00207673"/>
    <w:rsid w:val="0020789C"/>
    <w:rsid w:val="0020791B"/>
    <w:rsid w:val="00207BAD"/>
    <w:rsid w:val="00207C82"/>
    <w:rsid w:val="0021056E"/>
    <w:rsid w:val="002105EA"/>
    <w:rsid w:val="00211E49"/>
    <w:rsid w:val="00212489"/>
    <w:rsid w:val="00214CA2"/>
    <w:rsid w:val="00215467"/>
    <w:rsid w:val="00215654"/>
    <w:rsid w:val="002158C6"/>
    <w:rsid w:val="00215D07"/>
    <w:rsid w:val="0021616F"/>
    <w:rsid w:val="00216EBF"/>
    <w:rsid w:val="0021774E"/>
    <w:rsid w:val="00217BB2"/>
    <w:rsid w:val="00217BE0"/>
    <w:rsid w:val="002202C1"/>
    <w:rsid w:val="00220728"/>
    <w:rsid w:val="002208C2"/>
    <w:rsid w:val="0022190D"/>
    <w:rsid w:val="00222083"/>
    <w:rsid w:val="002230FF"/>
    <w:rsid w:val="00223573"/>
    <w:rsid w:val="00224225"/>
    <w:rsid w:val="00224945"/>
    <w:rsid w:val="00224AD1"/>
    <w:rsid w:val="00224B34"/>
    <w:rsid w:val="00224F4E"/>
    <w:rsid w:val="00225C3B"/>
    <w:rsid w:val="00226478"/>
    <w:rsid w:val="00226D7C"/>
    <w:rsid w:val="00226F0B"/>
    <w:rsid w:val="00227CEB"/>
    <w:rsid w:val="00231EE0"/>
    <w:rsid w:val="00232205"/>
    <w:rsid w:val="002322BA"/>
    <w:rsid w:val="0023267F"/>
    <w:rsid w:val="00232776"/>
    <w:rsid w:val="002327C9"/>
    <w:rsid w:val="002335DF"/>
    <w:rsid w:val="00233C40"/>
    <w:rsid w:val="00234287"/>
    <w:rsid w:val="002344C5"/>
    <w:rsid w:val="00234B20"/>
    <w:rsid w:val="00234B98"/>
    <w:rsid w:val="00234BF5"/>
    <w:rsid w:val="002355A9"/>
    <w:rsid w:val="002365AB"/>
    <w:rsid w:val="00236EA3"/>
    <w:rsid w:val="002375D3"/>
    <w:rsid w:val="00240A3C"/>
    <w:rsid w:val="00240E28"/>
    <w:rsid w:val="002410C1"/>
    <w:rsid w:val="002418A5"/>
    <w:rsid w:val="002429BC"/>
    <w:rsid w:val="0024336B"/>
    <w:rsid w:val="0024378E"/>
    <w:rsid w:val="00243BD4"/>
    <w:rsid w:val="002447BA"/>
    <w:rsid w:val="00244A4A"/>
    <w:rsid w:val="00244E54"/>
    <w:rsid w:val="00244F48"/>
    <w:rsid w:val="002453BF"/>
    <w:rsid w:val="00246266"/>
    <w:rsid w:val="00246FCE"/>
    <w:rsid w:val="002476E8"/>
    <w:rsid w:val="00247B0D"/>
    <w:rsid w:val="00247D9A"/>
    <w:rsid w:val="00247E00"/>
    <w:rsid w:val="00247EF5"/>
    <w:rsid w:val="002507A0"/>
    <w:rsid w:val="00250D2F"/>
    <w:rsid w:val="00251704"/>
    <w:rsid w:val="002521B0"/>
    <w:rsid w:val="00252AEF"/>
    <w:rsid w:val="00252CA4"/>
    <w:rsid w:val="00253072"/>
    <w:rsid w:val="002532ED"/>
    <w:rsid w:val="0025354B"/>
    <w:rsid w:val="00253A71"/>
    <w:rsid w:val="00253B36"/>
    <w:rsid w:val="00253E83"/>
    <w:rsid w:val="002540C9"/>
    <w:rsid w:val="0025468A"/>
    <w:rsid w:val="00254B6A"/>
    <w:rsid w:val="00254BC5"/>
    <w:rsid w:val="00255009"/>
    <w:rsid w:val="00255ABE"/>
    <w:rsid w:val="00255E7A"/>
    <w:rsid w:val="00257227"/>
    <w:rsid w:val="0025722D"/>
    <w:rsid w:val="00257C9E"/>
    <w:rsid w:val="00257D79"/>
    <w:rsid w:val="00260675"/>
    <w:rsid w:val="00260F34"/>
    <w:rsid w:val="00260F39"/>
    <w:rsid w:val="00261230"/>
    <w:rsid w:val="0026145F"/>
    <w:rsid w:val="00261674"/>
    <w:rsid w:val="00261A8E"/>
    <w:rsid w:val="00262B53"/>
    <w:rsid w:val="00263069"/>
    <w:rsid w:val="002640D8"/>
    <w:rsid w:val="0026431C"/>
    <w:rsid w:val="0026528D"/>
    <w:rsid w:val="00265F67"/>
    <w:rsid w:val="002666E8"/>
    <w:rsid w:val="0026670F"/>
    <w:rsid w:val="00266A4B"/>
    <w:rsid w:val="00266DAE"/>
    <w:rsid w:val="002703BD"/>
    <w:rsid w:val="00270AB3"/>
    <w:rsid w:val="00270ADE"/>
    <w:rsid w:val="0027159E"/>
    <w:rsid w:val="00272ADA"/>
    <w:rsid w:val="00272AE3"/>
    <w:rsid w:val="00272BD9"/>
    <w:rsid w:val="002738CA"/>
    <w:rsid w:val="00273EE4"/>
    <w:rsid w:val="00274286"/>
    <w:rsid w:val="00274A2E"/>
    <w:rsid w:val="00274C67"/>
    <w:rsid w:val="0027561B"/>
    <w:rsid w:val="00275791"/>
    <w:rsid w:val="00275B1F"/>
    <w:rsid w:val="00275D3E"/>
    <w:rsid w:val="00275E62"/>
    <w:rsid w:val="00275E70"/>
    <w:rsid w:val="00275F5D"/>
    <w:rsid w:val="002761D5"/>
    <w:rsid w:val="00276487"/>
    <w:rsid w:val="0027679E"/>
    <w:rsid w:val="002769C0"/>
    <w:rsid w:val="0027730B"/>
    <w:rsid w:val="00280423"/>
    <w:rsid w:val="002814E5"/>
    <w:rsid w:val="00281781"/>
    <w:rsid w:val="002817C5"/>
    <w:rsid w:val="00281A4E"/>
    <w:rsid w:val="0028234C"/>
    <w:rsid w:val="002823A1"/>
    <w:rsid w:val="00283149"/>
    <w:rsid w:val="00283CA3"/>
    <w:rsid w:val="00283CF0"/>
    <w:rsid w:val="00283DDD"/>
    <w:rsid w:val="00283E98"/>
    <w:rsid w:val="00286634"/>
    <w:rsid w:val="00286ACB"/>
    <w:rsid w:val="00286D1B"/>
    <w:rsid w:val="00286F00"/>
    <w:rsid w:val="00287125"/>
    <w:rsid w:val="002876EB"/>
    <w:rsid w:val="0028789C"/>
    <w:rsid w:val="002879F1"/>
    <w:rsid w:val="00287DB1"/>
    <w:rsid w:val="00290D33"/>
    <w:rsid w:val="00290F88"/>
    <w:rsid w:val="002918B7"/>
    <w:rsid w:val="00291C80"/>
    <w:rsid w:val="0029217D"/>
    <w:rsid w:val="002924C8"/>
    <w:rsid w:val="0029456E"/>
    <w:rsid w:val="002945BF"/>
    <w:rsid w:val="0029573D"/>
    <w:rsid w:val="00295E9E"/>
    <w:rsid w:val="00296BD1"/>
    <w:rsid w:val="0029749F"/>
    <w:rsid w:val="00297741"/>
    <w:rsid w:val="002A02B1"/>
    <w:rsid w:val="002A04AA"/>
    <w:rsid w:val="002A0B3F"/>
    <w:rsid w:val="002A108F"/>
    <w:rsid w:val="002A10ED"/>
    <w:rsid w:val="002A1504"/>
    <w:rsid w:val="002A1EB5"/>
    <w:rsid w:val="002A3231"/>
    <w:rsid w:val="002A39C5"/>
    <w:rsid w:val="002A3B31"/>
    <w:rsid w:val="002A3C4F"/>
    <w:rsid w:val="002A3F1A"/>
    <w:rsid w:val="002A40BF"/>
    <w:rsid w:val="002A442B"/>
    <w:rsid w:val="002A4F58"/>
    <w:rsid w:val="002A523B"/>
    <w:rsid w:val="002A589F"/>
    <w:rsid w:val="002A5A7B"/>
    <w:rsid w:val="002A637E"/>
    <w:rsid w:val="002A6A44"/>
    <w:rsid w:val="002A6A67"/>
    <w:rsid w:val="002B00A0"/>
    <w:rsid w:val="002B04FE"/>
    <w:rsid w:val="002B06DB"/>
    <w:rsid w:val="002B070E"/>
    <w:rsid w:val="002B0BE3"/>
    <w:rsid w:val="002B0EDB"/>
    <w:rsid w:val="002B1688"/>
    <w:rsid w:val="002B1C12"/>
    <w:rsid w:val="002B1DC0"/>
    <w:rsid w:val="002B21C3"/>
    <w:rsid w:val="002B39D8"/>
    <w:rsid w:val="002B3F8B"/>
    <w:rsid w:val="002B44FA"/>
    <w:rsid w:val="002B480F"/>
    <w:rsid w:val="002B48D7"/>
    <w:rsid w:val="002B4DB2"/>
    <w:rsid w:val="002B5428"/>
    <w:rsid w:val="002B57F2"/>
    <w:rsid w:val="002B62D1"/>
    <w:rsid w:val="002B67BB"/>
    <w:rsid w:val="002B6968"/>
    <w:rsid w:val="002B7473"/>
    <w:rsid w:val="002B7BBC"/>
    <w:rsid w:val="002B7F71"/>
    <w:rsid w:val="002C06EF"/>
    <w:rsid w:val="002C09C5"/>
    <w:rsid w:val="002C0D4B"/>
    <w:rsid w:val="002C1017"/>
    <w:rsid w:val="002C113D"/>
    <w:rsid w:val="002C1C48"/>
    <w:rsid w:val="002C1EE7"/>
    <w:rsid w:val="002C2503"/>
    <w:rsid w:val="002C25FB"/>
    <w:rsid w:val="002C27E4"/>
    <w:rsid w:val="002C2A85"/>
    <w:rsid w:val="002C2D22"/>
    <w:rsid w:val="002C3837"/>
    <w:rsid w:val="002C3A89"/>
    <w:rsid w:val="002C3CB0"/>
    <w:rsid w:val="002C4153"/>
    <w:rsid w:val="002C4635"/>
    <w:rsid w:val="002C4B44"/>
    <w:rsid w:val="002C4C58"/>
    <w:rsid w:val="002C5569"/>
    <w:rsid w:val="002C57E3"/>
    <w:rsid w:val="002C5FC3"/>
    <w:rsid w:val="002C5FEF"/>
    <w:rsid w:val="002C69DC"/>
    <w:rsid w:val="002C70BA"/>
    <w:rsid w:val="002C70F5"/>
    <w:rsid w:val="002C7744"/>
    <w:rsid w:val="002C78F4"/>
    <w:rsid w:val="002D010D"/>
    <w:rsid w:val="002D0250"/>
    <w:rsid w:val="002D0C1E"/>
    <w:rsid w:val="002D125D"/>
    <w:rsid w:val="002D13C3"/>
    <w:rsid w:val="002D1BD4"/>
    <w:rsid w:val="002D24B2"/>
    <w:rsid w:val="002D3274"/>
    <w:rsid w:val="002D3ED8"/>
    <w:rsid w:val="002D465A"/>
    <w:rsid w:val="002D54F7"/>
    <w:rsid w:val="002D5669"/>
    <w:rsid w:val="002D5770"/>
    <w:rsid w:val="002D5C04"/>
    <w:rsid w:val="002D69AF"/>
    <w:rsid w:val="002D69E7"/>
    <w:rsid w:val="002D7938"/>
    <w:rsid w:val="002D7E6E"/>
    <w:rsid w:val="002E0AE8"/>
    <w:rsid w:val="002E0C79"/>
    <w:rsid w:val="002E0D70"/>
    <w:rsid w:val="002E1100"/>
    <w:rsid w:val="002E21C7"/>
    <w:rsid w:val="002E2906"/>
    <w:rsid w:val="002E2DF6"/>
    <w:rsid w:val="002E3756"/>
    <w:rsid w:val="002E4D18"/>
    <w:rsid w:val="002E52DF"/>
    <w:rsid w:val="002E57BD"/>
    <w:rsid w:val="002E5EEE"/>
    <w:rsid w:val="002E5FA4"/>
    <w:rsid w:val="002E6412"/>
    <w:rsid w:val="002E6931"/>
    <w:rsid w:val="002E7362"/>
    <w:rsid w:val="002E7FFE"/>
    <w:rsid w:val="002F04F1"/>
    <w:rsid w:val="002F0517"/>
    <w:rsid w:val="002F0A82"/>
    <w:rsid w:val="002F1AE9"/>
    <w:rsid w:val="002F2DDE"/>
    <w:rsid w:val="002F2FE8"/>
    <w:rsid w:val="002F4690"/>
    <w:rsid w:val="002F552B"/>
    <w:rsid w:val="002F5A05"/>
    <w:rsid w:val="002F722F"/>
    <w:rsid w:val="002F7CA2"/>
    <w:rsid w:val="0030101A"/>
    <w:rsid w:val="0030106E"/>
    <w:rsid w:val="003013FC"/>
    <w:rsid w:val="0030178D"/>
    <w:rsid w:val="0030198B"/>
    <w:rsid w:val="00301DD8"/>
    <w:rsid w:val="00302231"/>
    <w:rsid w:val="003027AC"/>
    <w:rsid w:val="003029DE"/>
    <w:rsid w:val="00302F50"/>
    <w:rsid w:val="00303403"/>
    <w:rsid w:val="00303AA6"/>
    <w:rsid w:val="00303F19"/>
    <w:rsid w:val="00304167"/>
    <w:rsid w:val="00304220"/>
    <w:rsid w:val="003046AF"/>
    <w:rsid w:val="00304E2C"/>
    <w:rsid w:val="00304FE1"/>
    <w:rsid w:val="00305C8B"/>
    <w:rsid w:val="0030621E"/>
    <w:rsid w:val="00306256"/>
    <w:rsid w:val="00306410"/>
    <w:rsid w:val="003066A5"/>
    <w:rsid w:val="003078E7"/>
    <w:rsid w:val="00307BEF"/>
    <w:rsid w:val="00310D47"/>
    <w:rsid w:val="0031177D"/>
    <w:rsid w:val="00311E06"/>
    <w:rsid w:val="00311FC8"/>
    <w:rsid w:val="00312163"/>
    <w:rsid w:val="0031269E"/>
    <w:rsid w:val="00312E74"/>
    <w:rsid w:val="003131DC"/>
    <w:rsid w:val="00313722"/>
    <w:rsid w:val="0031398C"/>
    <w:rsid w:val="00313AE6"/>
    <w:rsid w:val="00313BCE"/>
    <w:rsid w:val="00314172"/>
    <w:rsid w:val="00314BBC"/>
    <w:rsid w:val="00315DDE"/>
    <w:rsid w:val="00315F12"/>
    <w:rsid w:val="00316416"/>
    <w:rsid w:val="003165EA"/>
    <w:rsid w:val="0031735C"/>
    <w:rsid w:val="00317591"/>
    <w:rsid w:val="003177A3"/>
    <w:rsid w:val="00317C44"/>
    <w:rsid w:val="00317D09"/>
    <w:rsid w:val="00317D2D"/>
    <w:rsid w:val="00320158"/>
    <w:rsid w:val="00320370"/>
    <w:rsid w:val="00320481"/>
    <w:rsid w:val="00320BBC"/>
    <w:rsid w:val="00320D44"/>
    <w:rsid w:val="0032185B"/>
    <w:rsid w:val="0032249D"/>
    <w:rsid w:val="00322B78"/>
    <w:rsid w:val="00324048"/>
    <w:rsid w:val="00324326"/>
    <w:rsid w:val="00324361"/>
    <w:rsid w:val="0032522A"/>
    <w:rsid w:val="003255C8"/>
    <w:rsid w:val="00325D2C"/>
    <w:rsid w:val="00325ED7"/>
    <w:rsid w:val="00326640"/>
    <w:rsid w:val="0032681A"/>
    <w:rsid w:val="003274E2"/>
    <w:rsid w:val="003278D9"/>
    <w:rsid w:val="00330B35"/>
    <w:rsid w:val="00331038"/>
    <w:rsid w:val="00332D38"/>
    <w:rsid w:val="00333DAE"/>
    <w:rsid w:val="003346E1"/>
    <w:rsid w:val="00335610"/>
    <w:rsid w:val="0033576F"/>
    <w:rsid w:val="00335950"/>
    <w:rsid w:val="00335977"/>
    <w:rsid w:val="00335D33"/>
    <w:rsid w:val="00335DEE"/>
    <w:rsid w:val="00335FD0"/>
    <w:rsid w:val="00336AC7"/>
    <w:rsid w:val="00337640"/>
    <w:rsid w:val="00337891"/>
    <w:rsid w:val="00337DFA"/>
    <w:rsid w:val="00340333"/>
    <w:rsid w:val="0034087C"/>
    <w:rsid w:val="00340B42"/>
    <w:rsid w:val="00340DB5"/>
    <w:rsid w:val="00340F34"/>
    <w:rsid w:val="00342438"/>
    <w:rsid w:val="003428D1"/>
    <w:rsid w:val="00342ADC"/>
    <w:rsid w:val="003444B9"/>
    <w:rsid w:val="00344768"/>
    <w:rsid w:val="00345405"/>
    <w:rsid w:val="00345F04"/>
    <w:rsid w:val="00345F79"/>
    <w:rsid w:val="0034631C"/>
    <w:rsid w:val="00346334"/>
    <w:rsid w:val="00346810"/>
    <w:rsid w:val="003468AC"/>
    <w:rsid w:val="00350112"/>
    <w:rsid w:val="0035083C"/>
    <w:rsid w:val="00350DB7"/>
    <w:rsid w:val="0035175B"/>
    <w:rsid w:val="00351FA9"/>
    <w:rsid w:val="00352B51"/>
    <w:rsid w:val="00352DF6"/>
    <w:rsid w:val="00353857"/>
    <w:rsid w:val="00353A7F"/>
    <w:rsid w:val="00353C02"/>
    <w:rsid w:val="00354243"/>
    <w:rsid w:val="0035443A"/>
    <w:rsid w:val="00354533"/>
    <w:rsid w:val="00354786"/>
    <w:rsid w:val="00354AB6"/>
    <w:rsid w:val="0035526B"/>
    <w:rsid w:val="00355512"/>
    <w:rsid w:val="00355536"/>
    <w:rsid w:val="003555B7"/>
    <w:rsid w:val="00355E0A"/>
    <w:rsid w:val="00355FE8"/>
    <w:rsid w:val="003563AB"/>
    <w:rsid w:val="00356F67"/>
    <w:rsid w:val="00357613"/>
    <w:rsid w:val="0036038D"/>
    <w:rsid w:val="00360B23"/>
    <w:rsid w:val="00360D15"/>
    <w:rsid w:val="00360D2B"/>
    <w:rsid w:val="003613D8"/>
    <w:rsid w:val="003613EA"/>
    <w:rsid w:val="00362406"/>
    <w:rsid w:val="00362B90"/>
    <w:rsid w:val="00362C12"/>
    <w:rsid w:val="00362D01"/>
    <w:rsid w:val="003631A4"/>
    <w:rsid w:val="00363FB6"/>
    <w:rsid w:val="003640C5"/>
    <w:rsid w:val="00364119"/>
    <w:rsid w:val="00364743"/>
    <w:rsid w:val="00364C54"/>
    <w:rsid w:val="00364D26"/>
    <w:rsid w:val="00364FB9"/>
    <w:rsid w:val="0036573B"/>
    <w:rsid w:val="00365DE4"/>
    <w:rsid w:val="003662C1"/>
    <w:rsid w:val="00366CF9"/>
    <w:rsid w:val="00367CAD"/>
    <w:rsid w:val="00367D19"/>
    <w:rsid w:val="00367D4C"/>
    <w:rsid w:val="00370137"/>
    <w:rsid w:val="00370846"/>
    <w:rsid w:val="0037148D"/>
    <w:rsid w:val="00371DBA"/>
    <w:rsid w:val="00371EFA"/>
    <w:rsid w:val="003720A0"/>
    <w:rsid w:val="003726A7"/>
    <w:rsid w:val="003726F9"/>
    <w:rsid w:val="003739B0"/>
    <w:rsid w:val="00374AFE"/>
    <w:rsid w:val="00374B6D"/>
    <w:rsid w:val="00374C19"/>
    <w:rsid w:val="00374FB7"/>
    <w:rsid w:val="0037654D"/>
    <w:rsid w:val="0037759D"/>
    <w:rsid w:val="0037763E"/>
    <w:rsid w:val="0037770F"/>
    <w:rsid w:val="003809B4"/>
    <w:rsid w:val="00380BBD"/>
    <w:rsid w:val="00380CA7"/>
    <w:rsid w:val="003810D6"/>
    <w:rsid w:val="003817E9"/>
    <w:rsid w:val="00381A24"/>
    <w:rsid w:val="00382075"/>
    <w:rsid w:val="0038260F"/>
    <w:rsid w:val="0038275D"/>
    <w:rsid w:val="00382863"/>
    <w:rsid w:val="00383351"/>
    <w:rsid w:val="00383599"/>
    <w:rsid w:val="00383811"/>
    <w:rsid w:val="003841A2"/>
    <w:rsid w:val="003845DB"/>
    <w:rsid w:val="00384750"/>
    <w:rsid w:val="00384937"/>
    <w:rsid w:val="00384961"/>
    <w:rsid w:val="0038527E"/>
    <w:rsid w:val="00385308"/>
    <w:rsid w:val="003859CD"/>
    <w:rsid w:val="003867BA"/>
    <w:rsid w:val="003869E2"/>
    <w:rsid w:val="003873E6"/>
    <w:rsid w:val="0038757F"/>
    <w:rsid w:val="00390B39"/>
    <w:rsid w:val="00391167"/>
    <w:rsid w:val="003911DB"/>
    <w:rsid w:val="00391710"/>
    <w:rsid w:val="00391CE7"/>
    <w:rsid w:val="00391F38"/>
    <w:rsid w:val="00391FED"/>
    <w:rsid w:val="00392038"/>
    <w:rsid w:val="003923E3"/>
    <w:rsid w:val="00392B24"/>
    <w:rsid w:val="00392CAA"/>
    <w:rsid w:val="00392EA7"/>
    <w:rsid w:val="00393083"/>
    <w:rsid w:val="00393148"/>
    <w:rsid w:val="00393EC4"/>
    <w:rsid w:val="0039481A"/>
    <w:rsid w:val="00394A68"/>
    <w:rsid w:val="003958EC"/>
    <w:rsid w:val="003969AC"/>
    <w:rsid w:val="00396A57"/>
    <w:rsid w:val="0039716B"/>
    <w:rsid w:val="00397174"/>
    <w:rsid w:val="0039721B"/>
    <w:rsid w:val="00397B62"/>
    <w:rsid w:val="00397BB3"/>
    <w:rsid w:val="003A0481"/>
    <w:rsid w:val="003A0E8E"/>
    <w:rsid w:val="003A127D"/>
    <w:rsid w:val="003A16EE"/>
    <w:rsid w:val="003A1A74"/>
    <w:rsid w:val="003A1AE7"/>
    <w:rsid w:val="003A321A"/>
    <w:rsid w:val="003A4383"/>
    <w:rsid w:val="003A4832"/>
    <w:rsid w:val="003A48D4"/>
    <w:rsid w:val="003A4C18"/>
    <w:rsid w:val="003A4F4A"/>
    <w:rsid w:val="003A64A3"/>
    <w:rsid w:val="003A6CA4"/>
    <w:rsid w:val="003A6F26"/>
    <w:rsid w:val="003A74D0"/>
    <w:rsid w:val="003B0AB0"/>
    <w:rsid w:val="003B1423"/>
    <w:rsid w:val="003B147F"/>
    <w:rsid w:val="003B14A8"/>
    <w:rsid w:val="003B1947"/>
    <w:rsid w:val="003B274E"/>
    <w:rsid w:val="003B2B87"/>
    <w:rsid w:val="003B2E49"/>
    <w:rsid w:val="003B3E91"/>
    <w:rsid w:val="003B4100"/>
    <w:rsid w:val="003B4294"/>
    <w:rsid w:val="003B4323"/>
    <w:rsid w:val="003B496C"/>
    <w:rsid w:val="003B4CE9"/>
    <w:rsid w:val="003B5A10"/>
    <w:rsid w:val="003B618C"/>
    <w:rsid w:val="003B6246"/>
    <w:rsid w:val="003B6EEF"/>
    <w:rsid w:val="003B70A4"/>
    <w:rsid w:val="003B733C"/>
    <w:rsid w:val="003B7E49"/>
    <w:rsid w:val="003C1050"/>
    <w:rsid w:val="003C179D"/>
    <w:rsid w:val="003C1BC5"/>
    <w:rsid w:val="003C1E61"/>
    <w:rsid w:val="003C2294"/>
    <w:rsid w:val="003C264B"/>
    <w:rsid w:val="003C2814"/>
    <w:rsid w:val="003C28D0"/>
    <w:rsid w:val="003C3399"/>
    <w:rsid w:val="003C3663"/>
    <w:rsid w:val="003C4437"/>
    <w:rsid w:val="003C472D"/>
    <w:rsid w:val="003C4ABA"/>
    <w:rsid w:val="003C56F7"/>
    <w:rsid w:val="003C6DB1"/>
    <w:rsid w:val="003C6E96"/>
    <w:rsid w:val="003C6EC0"/>
    <w:rsid w:val="003C6F7F"/>
    <w:rsid w:val="003C741E"/>
    <w:rsid w:val="003C743A"/>
    <w:rsid w:val="003C77F2"/>
    <w:rsid w:val="003C7AA4"/>
    <w:rsid w:val="003D0023"/>
    <w:rsid w:val="003D0040"/>
    <w:rsid w:val="003D150C"/>
    <w:rsid w:val="003D1858"/>
    <w:rsid w:val="003D1E7D"/>
    <w:rsid w:val="003D269B"/>
    <w:rsid w:val="003D2A55"/>
    <w:rsid w:val="003D2F27"/>
    <w:rsid w:val="003D3147"/>
    <w:rsid w:val="003D56FB"/>
    <w:rsid w:val="003D60D8"/>
    <w:rsid w:val="003D62D7"/>
    <w:rsid w:val="003D638F"/>
    <w:rsid w:val="003D6841"/>
    <w:rsid w:val="003D7D5C"/>
    <w:rsid w:val="003E038D"/>
    <w:rsid w:val="003E17C1"/>
    <w:rsid w:val="003E22CE"/>
    <w:rsid w:val="003E2A36"/>
    <w:rsid w:val="003E2DF0"/>
    <w:rsid w:val="003E440F"/>
    <w:rsid w:val="003E4604"/>
    <w:rsid w:val="003E4687"/>
    <w:rsid w:val="003E513B"/>
    <w:rsid w:val="003E561A"/>
    <w:rsid w:val="003E5D07"/>
    <w:rsid w:val="003E5F26"/>
    <w:rsid w:val="003E5FE9"/>
    <w:rsid w:val="003E6373"/>
    <w:rsid w:val="003E699C"/>
    <w:rsid w:val="003E718C"/>
    <w:rsid w:val="003E7912"/>
    <w:rsid w:val="003E7BC3"/>
    <w:rsid w:val="003F0068"/>
    <w:rsid w:val="003F0138"/>
    <w:rsid w:val="003F040F"/>
    <w:rsid w:val="003F06A3"/>
    <w:rsid w:val="003F06AC"/>
    <w:rsid w:val="003F0EDB"/>
    <w:rsid w:val="003F11CB"/>
    <w:rsid w:val="003F2966"/>
    <w:rsid w:val="003F2995"/>
    <w:rsid w:val="003F389C"/>
    <w:rsid w:val="003F38F5"/>
    <w:rsid w:val="003F3912"/>
    <w:rsid w:val="003F398F"/>
    <w:rsid w:val="003F4C51"/>
    <w:rsid w:val="003F4ECB"/>
    <w:rsid w:val="003F5041"/>
    <w:rsid w:val="003F51FA"/>
    <w:rsid w:val="003F5289"/>
    <w:rsid w:val="003F54D5"/>
    <w:rsid w:val="003F6BAD"/>
    <w:rsid w:val="003F6D5A"/>
    <w:rsid w:val="003F72FF"/>
    <w:rsid w:val="003F7877"/>
    <w:rsid w:val="003F7BD5"/>
    <w:rsid w:val="004001D5"/>
    <w:rsid w:val="00400281"/>
    <w:rsid w:val="00400968"/>
    <w:rsid w:val="00401642"/>
    <w:rsid w:val="004016C3"/>
    <w:rsid w:val="00401D27"/>
    <w:rsid w:val="0040368B"/>
    <w:rsid w:val="0040376E"/>
    <w:rsid w:val="004037C0"/>
    <w:rsid w:val="00403864"/>
    <w:rsid w:val="0040460C"/>
    <w:rsid w:val="00404EFC"/>
    <w:rsid w:val="00404F7C"/>
    <w:rsid w:val="004050B6"/>
    <w:rsid w:val="0040538E"/>
    <w:rsid w:val="00405533"/>
    <w:rsid w:val="00405799"/>
    <w:rsid w:val="0040620C"/>
    <w:rsid w:val="00406283"/>
    <w:rsid w:val="00406294"/>
    <w:rsid w:val="00406541"/>
    <w:rsid w:val="004065B8"/>
    <w:rsid w:val="00406FB9"/>
    <w:rsid w:val="004100D3"/>
    <w:rsid w:val="0041072D"/>
    <w:rsid w:val="004107EF"/>
    <w:rsid w:val="00410862"/>
    <w:rsid w:val="00412C0F"/>
    <w:rsid w:val="00412F69"/>
    <w:rsid w:val="004130FB"/>
    <w:rsid w:val="0041397B"/>
    <w:rsid w:val="00413D44"/>
    <w:rsid w:val="00414900"/>
    <w:rsid w:val="00414930"/>
    <w:rsid w:val="00414FD3"/>
    <w:rsid w:val="004151F1"/>
    <w:rsid w:val="004152CA"/>
    <w:rsid w:val="00415701"/>
    <w:rsid w:val="0041577D"/>
    <w:rsid w:val="00416065"/>
    <w:rsid w:val="00417137"/>
    <w:rsid w:val="0041763E"/>
    <w:rsid w:val="0042007B"/>
    <w:rsid w:val="00420163"/>
    <w:rsid w:val="00420DA2"/>
    <w:rsid w:val="004211FD"/>
    <w:rsid w:val="00421366"/>
    <w:rsid w:val="004225FC"/>
    <w:rsid w:val="0042305B"/>
    <w:rsid w:val="00423C14"/>
    <w:rsid w:val="004240BB"/>
    <w:rsid w:val="00424E82"/>
    <w:rsid w:val="00425271"/>
    <w:rsid w:val="00425338"/>
    <w:rsid w:val="00425C92"/>
    <w:rsid w:val="00425C9F"/>
    <w:rsid w:val="00425E63"/>
    <w:rsid w:val="00426356"/>
    <w:rsid w:val="00426903"/>
    <w:rsid w:val="00427131"/>
    <w:rsid w:val="00427589"/>
    <w:rsid w:val="004279F1"/>
    <w:rsid w:val="00427D22"/>
    <w:rsid w:val="00430054"/>
    <w:rsid w:val="00431012"/>
    <w:rsid w:val="00431041"/>
    <w:rsid w:val="00431C3F"/>
    <w:rsid w:val="00432634"/>
    <w:rsid w:val="0043292D"/>
    <w:rsid w:val="004335D2"/>
    <w:rsid w:val="0043361A"/>
    <w:rsid w:val="00433801"/>
    <w:rsid w:val="00434068"/>
    <w:rsid w:val="00434983"/>
    <w:rsid w:val="00435458"/>
    <w:rsid w:val="00435660"/>
    <w:rsid w:val="004357E0"/>
    <w:rsid w:val="00435D0F"/>
    <w:rsid w:val="00435D90"/>
    <w:rsid w:val="00435FC4"/>
    <w:rsid w:val="00436355"/>
    <w:rsid w:val="004366BB"/>
    <w:rsid w:val="004366D1"/>
    <w:rsid w:val="004369D4"/>
    <w:rsid w:val="00436BEA"/>
    <w:rsid w:val="00437196"/>
    <w:rsid w:val="004378EC"/>
    <w:rsid w:val="00437E16"/>
    <w:rsid w:val="00440E88"/>
    <w:rsid w:val="004412B5"/>
    <w:rsid w:val="004415D0"/>
    <w:rsid w:val="004418F7"/>
    <w:rsid w:val="00441F5A"/>
    <w:rsid w:val="0044242F"/>
    <w:rsid w:val="00442712"/>
    <w:rsid w:val="0044338D"/>
    <w:rsid w:val="00443436"/>
    <w:rsid w:val="004434E1"/>
    <w:rsid w:val="004439B8"/>
    <w:rsid w:val="00443FF3"/>
    <w:rsid w:val="00444E19"/>
    <w:rsid w:val="00445A26"/>
    <w:rsid w:val="00445F79"/>
    <w:rsid w:val="00446A3A"/>
    <w:rsid w:val="00447323"/>
    <w:rsid w:val="00447A0C"/>
    <w:rsid w:val="00447CFA"/>
    <w:rsid w:val="00450C9F"/>
    <w:rsid w:val="00450D23"/>
    <w:rsid w:val="00450E4A"/>
    <w:rsid w:val="00451997"/>
    <w:rsid w:val="00452988"/>
    <w:rsid w:val="00452C4A"/>
    <w:rsid w:val="00453438"/>
    <w:rsid w:val="004540B4"/>
    <w:rsid w:val="004547F3"/>
    <w:rsid w:val="004548FC"/>
    <w:rsid w:val="00454C83"/>
    <w:rsid w:val="00454E8C"/>
    <w:rsid w:val="00454ED8"/>
    <w:rsid w:val="00454FE7"/>
    <w:rsid w:val="00455739"/>
    <w:rsid w:val="00456F73"/>
    <w:rsid w:val="00457652"/>
    <w:rsid w:val="0045778D"/>
    <w:rsid w:val="00457AFC"/>
    <w:rsid w:val="00457BA8"/>
    <w:rsid w:val="00457FD6"/>
    <w:rsid w:val="00460E57"/>
    <w:rsid w:val="00461112"/>
    <w:rsid w:val="00461145"/>
    <w:rsid w:val="0046143D"/>
    <w:rsid w:val="0046174C"/>
    <w:rsid w:val="00461890"/>
    <w:rsid w:val="00461898"/>
    <w:rsid w:val="00461F2E"/>
    <w:rsid w:val="0046260E"/>
    <w:rsid w:val="004627B5"/>
    <w:rsid w:val="004633C6"/>
    <w:rsid w:val="004637EC"/>
    <w:rsid w:val="00464A35"/>
    <w:rsid w:val="00464AF2"/>
    <w:rsid w:val="00465177"/>
    <w:rsid w:val="00465308"/>
    <w:rsid w:val="004653C7"/>
    <w:rsid w:val="00465ABD"/>
    <w:rsid w:val="00465F62"/>
    <w:rsid w:val="00466B9F"/>
    <w:rsid w:val="004673D4"/>
    <w:rsid w:val="004674EC"/>
    <w:rsid w:val="0046760B"/>
    <w:rsid w:val="004703BD"/>
    <w:rsid w:val="00470F04"/>
    <w:rsid w:val="00471454"/>
    <w:rsid w:val="004714C2"/>
    <w:rsid w:val="00471547"/>
    <w:rsid w:val="0047198B"/>
    <w:rsid w:val="00471D27"/>
    <w:rsid w:val="00471DE7"/>
    <w:rsid w:val="00472569"/>
    <w:rsid w:val="00472D43"/>
    <w:rsid w:val="00472DD6"/>
    <w:rsid w:val="00472E75"/>
    <w:rsid w:val="0047328C"/>
    <w:rsid w:val="004740AA"/>
    <w:rsid w:val="004742FB"/>
    <w:rsid w:val="0047439F"/>
    <w:rsid w:val="004751E3"/>
    <w:rsid w:val="00475570"/>
    <w:rsid w:val="00475A83"/>
    <w:rsid w:val="0047653B"/>
    <w:rsid w:val="00476C1D"/>
    <w:rsid w:val="00477B3B"/>
    <w:rsid w:val="00480803"/>
    <w:rsid w:val="00480A79"/>
    <w:rsid w:val="004812EE"/>
    <w:rsid w:val="004813B0"/>
    <w:rsid w:val="004815E6"/>
    <w:rsid w:val="004819DA"/>
    <w:rsid w:val="00481FC9"/>
    <w:rsid w:val="00482C3D"/>
    <w:rsid w:val="00483E5D"/>
    <w:rsid w:val="00484C38"/>
    <w:rsid w:val="00484CBE"/>
    <w:rsid w:val="00485A81"/>
    <w:rsid w:val="0048603C"/>
    <w:rsid w:val="0048609C"/>
    <w:rsid w:val="004868AB"/>
    <w:rsid w:val="00486994"/>
    <w:rsid w:val="00487022"/>
    <w:rsid w:val="004900F9"/>
    <w:rsid w:val="004905B1"/>
    <w:rsid w:val="00490B24"/>
    <w:rsid w:val="00491512"/>
    <w:rsid w:val="0049151A"/>
    <w:rsid w:val="004915D2"/>
    <w:rsid w:val="00491DB6"/>
    <w:rsid w:val="00491FF7"/>
    <w:rsid w:val="00492638"/>
    <w:rsid w:val="004934B9"/>
    <w:rsid w:val="004934C6"/>
    <w:rsid w:val="00493677"/>
    <w:rsid w:val="00493711"/>
    <w:rsid w:val="00493EE9"/>
    <w:rsid w:val="004950EF"/>
    <w:rsid w:val="00495618"/>
    <w:rsid w:val="00495851"/>
    <w:rsid w:val="00495D55"/>
    <w:rsid w:val="00495FD7"/>
    <w:rsid w:val="004963B8"/>
    <w:rsid w:val="00496818"/>
    <w:rsid w:val="004968D7"/>
    <w:rsid w:val="00497FA0"/>
    <w:rsid w:val="004A095A"/>
    <w:rsid w:val="004A0D6A"/>
    <w:rsid w:val="004A0F9D"/>
    <w:rsid w:val="004A11CC"/>
    <w:rsid w:val="004A1413"/>
    <w:rsid w:val="004A15AF"/>
    <w:rsid w:val="004A1AB8"/>
    <w:rsid w:val="004A2167"/>
    <w:rsid w:val="004A2365"/>
    <w:rsid w:val="004A23B1"/>
    <w:rsid w:val="004A2EC8"/>
    <w:rsid w:val="004A3B8F"/>
    <w:rsid w:val="004A4C32"/>
    <w:rsid w:val="004A5741"/>
    <w:rsid w:val="004A6690"/>
    <w:rsid w:val="004A764A"/>
    <w:rsid w:val="004A7AF5"/>
    <w:rsid w:val="004A7E8B"/>
    <w:rsid w:val="004B047A"/>
    <w:rsid w:val="004B05CA"/>
    <w:rsid w:val="004B079B"/>
    <w:rsid w:val="004B0B6D"/>
    <w:rsid w:val="004B0EB0"/>
    <w:rsid w:val="004B1248"/>
    <w:rsid w:val="004B1701"/>
    <w:rsid w:val="004B19AC"/>
    <w:rsid w:val="004B2108"/>
    <w:rsid w:val="004B2ED4"/>
    <w:rsid w:val="004B346D"/>
    <w:rsid w:val="004B4130"/>
    <w:rsid w:val="004B4223"/>
    <w:rsid w:val="004B4725"/>
    <w:rsid w:val="004B4B2D"/>
    <w:rsid w:val="004B53C1"/>
    <w:rsid w:val="004B5576"/>
    <w:rsid w:val="004B5773"/>
    <w:rsid w:val="004B6155"/>
    <w:rsid w:val="004B62F3"/>
    <w:rsid w:val="004B6EBE"/>
    <w:rsid w:val="004B77A1"/>
    <w:rsid w:val="004B7B79"/>
    <w:rsid w:val="004C0141"/>
    <w:rsid w:val="004C06C7"/>
    <w:rsid w:val="004C0872"/>
    <w:rsid w:val="004C1465"/>
    <w:rsid w:val="004C14B7"/>
    <w:rsid w:val="004C152A"/>
    <w:rsid w:val="004C1797"/>
    <w:rsid w:val="004C190B"/>
    <w:rsid w:val="004C1AE0"/>
    <w:rsid w:val="004C2DD1"/>
    <w:rsid w:val="004C2F7C"/>
    <w:rsid w:val="004C346A"/>
    <w:rsid w:val="004C3C52"/>
    <w:rsid w:val="004C3DF3"/>
    <w:rsid w:val="004C3FEF"/>
    <w:rsid w:val="004C4303"/>
    <w:rsid w:val="004C4359"/>
    <w:rsid w:val="004C46AE"/>
    <w:rsid w:val="004C4C2F"/>
    <w:rsid w:val="004C4D2C"/>
    <w:rsid w:val="004C4FC9"/>
    <w:rsid w:val="004C53CC"/>
    <w:rsid w:val="004C5686"/>
    <w:rsid w:val="004C58B0"/>
    <w:rsid w:val="004C591B"/>
    <w:rsid w:val="004C5BE9"/>
    <w:rsid w:val="004C6795"/>
    <w:rsid w:val="004C688B"/>
    <w:rsid w:val="004C6963"/>
    <w:rsid w:val="004C7DAC"/>
    <w:rsid w:val="004C7F08"/>
    <w:rsid w:val="004D0706"/>
    <w:rsid w:val="004D0830"/>
    <w:rsid w:val="004D0C97"/>
    <w:rsid w:val="004D0E2D"/>
    <w:rsid w:val="004D0FF3"/>
    <w:rsid w:val="004D1282"/>
    <w:rsid w:val="004D14AD"/>
    <w:rsid w:val="004D1AC6"/>
    <w:rsid w:val="004D1CCE"/>
    <w:rsid w:val="004D1D60"/>
    <w:rsid w:val="004D252A"/>
    <w:rsid w:val="004D2983"/>
    <w:rsid w:val="004D2E44"/>
    <w:rsid w:val="004D3A65"/>
    <w:rsid w:val="004D3AF1"/>
    <w:rsid w:val="004D3E09"/>
    <w:rsid w:val="004D4084"/>
    <w:rsid w:val="004D46E1"/>
    <w:rsid w:val="004D4854"/>
    <w:rsid w:val="004D4A53"/>
    <w:rsid w:val="004D4DC7"/>
    <w:rsid w:val="004D50D1"/>
    <w:rsid w:val="004D56A2"/>
    <w:rsid w:val="004D5759"/>
    <w:rsid w:val="004D5FBC"/>
    <w:rsid w:val="004D6980"/>
    <w:rsid w:val="004D6992"/>
    <w:rsid w:val="004D6D2E"/>
    <w:rsid w:val="004D6E56"/>
    <w:rsid w:val="004D7008"/>
    <w:rsid w:val="004D729E"/>
    <w:rsid w:val="004D7C0C"/>
    <w:rsid w:val="004D7CEA"/>
    <w:rsid w:val="004D7D3F"/>
    <w:rsid w:val="004D7FAC"/>
    <w:rsid w:val="004E0938"/>
    <w:rsid w:val="004E0E7D"/>
    <w:rsid w:val="004E0F52"/>
    <w:rsid w:val="004E1375"/>
    <w:rsid w:val="004E26B6"/>
    <w:rsid w:val="004E2B83"/>
    <w:rsid w:val="004E2F39"/>
    <w:rsid w:val="004E30B9"/>
    <w:rsid w:val="004E30DA"/>
    <w:rsid w:val="004E327D"/>
    <w:rsid w:val="004E40BA"/>
    <w:rsid w:val="004E4BC6"/>
    <w:rsid w:val="004E4CC6"/>
    <w:rsid w:val="004E4F84"/>
    <w:rsid w:val="004E5711"/>
    <w:rsid w:val="004E6206"/>
    <w:rsid w:val="004E67C8"/>
    <w:rsid w:val="004E704C"/>
    <w:rsid w:val="004E72A8"/>
    <w:rsid w:val="004F0616"/>
    <w:rsid w:val="004F0981"/>
    <w:rsid w:val="004F1048"/>
    <w:rsid w:val="004F1165"/>
    <w:rsid w:val="004F1245"/>
    <w:rsid w:val="004F17FA"/>
    <w:rsid w:val="004F21B6"/>
    <w:rsid w:val="004F2595"/>
    <w:rsid w:val="004F271F"/>
    <w:rsid w:val="004F291F"/>
    <w:rsid w:val="004F2E3E"/>
    <w:rsid w:val="004F324E"/>
    <w:rsid w:val="004F3A6D"/>
    <w:rsid w:val="004F3BF3"/>
    <w:rsid w:val="004F3D73"/>
    <w:rsid w:val="004F3F5E"/>
    <w:rsid w:val="004F4670"/>
    <w:rsid w:val="004F4771"/>
    <w:rsid w:val="004F4C26"/>
    <w:rsid w:val="004F5CBC"/>
    <w:rsid w:val="004F6F74"/>
    <w:rsid w:val="004F7234"/>
    <w:rsid w:val="0050002D"/>
    <w:rsid w:val="005006D9"/>
    <w:rsid w:val="00500A5E"/>
    <w:rsid w:val="00501200"/>
    <w:rsid w:val="005015CC"/>
    <w:rsid w:val="0050167B"/>
    <w:rsid w:val="0050167D"/>
    <w:rsid w:val="0050176A"/>
    <w:rsid w:val="00501854"/>
    <w:rsid w:val="005022FB"/>
    <w:rsid w:val="005024DE"/>
    <w:rsid w:val="005024EA"/>
    <w:rsid w:val="00503609"/>
    <w:rsid w:val="00503692"/>
    <w:rsid w:val="00503E08"/>
    <w:rsid w:val="005047C0"/>
    <w:rsid w:val="00504BA5"/>
    <w:rsid w:val="00504E72"/>
    <w:rsid w:val="00505252"/>
    <w:rsid w:val="005061BB"/>
    <w:rsid w:val="00506761"/>
    <w:rsid w:val="00506C99"/>
    <w:rsid w:val="00506E84"/>
    <w:rsid w:val="0050717C"/>
    <w:rsid w:val="00507520"/>
    <w:rsid w:val="005077C4"/>
    <w:rsid w:val="005078CF"/>
    <w:rsid w:val="0051028A"/>
    <w:rsid w:val="005109EE"/>
    <w:rsid w:val="00510A26"/>
    <w:rsid w:val="00510CED"/>
    <w:rsid w:val="00510F27"/>
    <w:rsid w:val="00510F40"/>
    <w:rsid w:val="00511028"/>
    <w:rsid w:val="0051268F"/>
    <w:rsid w:val="00512743"/>
    <w:rsid w:val="00513018"/>
    <w:rsid w:val="00514AC1"/>
    <w:rsid w:val="005154C1"/>
    <w:rsid w:val="005158E0"/>
    <w:rsid w:val="00515DAE"/>
    <w:rsid w:val="00515E51"/>
    <w:rsid w:val="0051676E"/>
    <w:rsid w:val="00520D15"/>
    <w:rsid w:val="00520DF0"/>
    <w:rsid w:val="005214E5"/>
    <w:rsid w:val="00521A59"/>
    <w:rsid w:val="00522053"/>
    <w:rsid w:val="005224FD"/>
    <w:rsid w:val="00522703"/>
    <w:rsid w:val="005227B6"/>
    <w:rsid w:val="00522D78"/>
    <w:rsid w:val="00522E03"/>
    <w:rsid w:val="00523504"/>
    <w:rsid w:val="00523734"/>
    <w:rsid w:val="0052383D"/>
    <w:rsid w:val="005238D6"/>
    <w:rsid w:val="00523A32"/>
    <w:rsid w:val="00523E29"/>
    <w:rsid w:val="00523E82"/>
    <w:rsid w:val="00524606"/>
    <w:rsid w:val="00524EA9"/>
    <w:rsid w:val="00525A4A"/>
    <w:rsid w:val="005265EC"/>
    <w:rsid w:val="005269E2"/>
    <w:rsid w:val="005275A7"/>
    <w:rsid w:val="00527A83"/>
    <w:rsid w:val="00530C2D"/>
    <w:rsid w:val="00530CD9"/>
    <w:rsid w:val="00530F89"/>
    <w:rsid w:val="005312D5"/>
    <w:rsid w:val="005317E7"/>
    <w:rsid w:val="00531BC8"/>
    <w:rsid w:val="00531C0D"/>
    <w:rsid w:val="00531EAE"/>
    <w:rsid w:val="005321D6"/>
    <w:rsid w:val="0053273C"/>
    <w:rsid w:val="00532A2F"/>
    <w:rsid w:val="0053332B"/>
    <w:rsid w:val="0053336A"/>
    <w:rsid w:val="00533727"/>
    <w:rsid w:val="00533CC7"/>
    <w:rsid w:val="00533FBA"/>
    <w:rsid w:val="005340C1"/>
    <w:rsid w:val="0053493A"/>
    <w:rsid w:val="00535250"/>
    <w:rsid w:val="00535A7C"/>
    <w:rsid w:val="00535B71"/>
    <w:rsid w:val="0053605A"/>
    <w:rsid w:val="00536494"/>
    <w:rsid w:val="00536511"/>
    <w:rsid w:val="00536782"/>
    <w:rsid w:val="00537156"/>
    <w:rsid w:val="00537348"/>
    <w:rsid w:val="00537593"/>
    <w:rsid w:val="0053794D"/>
    <w:rsid w:val="00537EC8"/>
    <w:rsid w:val="0054063E"/>
    <w:rsid w:val="0054087F"/>
    <w:rsid w:val="00540F23"/>
    <w:rsid w:val="00540FFC"/>
    <w:rsid w:val="00541B8E"/>
    <w:rsid w:val="005423F2"/>
    <w:rsid w:val="005426F1"/>
    <w:rsid w:val="00542923"/>
    <w:rsid w:val="00542A15"/>
    <w:rsid w:val="00543BBF"/>
    <w:rsid w:val="00543BFA"/>
    <w:rsid w:val="00544027"/>
    <w:rsid w:val="005446AC"/>
    <w:rsid w:val="00544B54"/>
    <w:rsid w:val="005451D1"/>
    <w:rsid w:val="005452B7"/>
    <w:rsid w:val="00545B2F"/>
    <w:rsid w:val="00545DBE"/>
    <w:rsid w:val="005463B3"/>
    <w:rsid w:val="005467C7"/>
    <w:rsid w:val="00546CD8"/>
    <w:rsid w:val="00547326"/>
    <w:rsid w:val="005477B0"/>
    <w:rsid w:val="0054793C"/>
    <w:rsid w:val="005479ED"/>
    <w:rsid w:val="00547A09"/>
    <w:rsid w:val="00547A69"/>
    <w:rsid w:val="00547DE4"/>
    <w:rsid w:val="005506AE"/>
    <w:rsid w:val="00550EBB"/>
    <w:rsid w:val="00551DBF"/>
    <w:rsid w:val="00552091"/>
    <w:rsid w:val="0055269B"/>
    <w:rsid w:val="00552953"/>
    <w:rsid w:val="00552F23"/>
    <w:rsid w:val="00552F6E"/>
    <w:rsid w:val="00553013"/>
    <w:rsid w:val="00553813"/>
    <w:rsid w:val="005544F4"/>
    <w:rsid w:val="00554C21"/>
    <w:rsid w:val="0055650A"/>
    <w:rsid w:val="00556BE6"/>
    <w:rsid w:val="0055783B"/>
    <w:rsid w:val="00557C42"/>
    <w:rsid w:val="00557FE4"/>
    <w:rsid w:val="005607AA"/>
    <w:rsid w:val="005608BE"/>
    <w:rsid w:val="0056095A"/>
    <w:rsid w:val="00560A56"/>
    <w:rsid w:val="00560F99"/>
    <w:rsid w:val="00561135"/>
    <w:rsid w:val="00561174"/>
    <w:rsid w:val="00561B93"/>
    <w:rsid w:val="0056237A"/>
    <w:rsid w:val="00563D70"/>
    <w:rsid w:val="00563DA5"/>
    <w:rsid w:val="00564107"/>
    <w:rsid w:val="0056449C"/>
    <w:rsid w:val="0056467D"/>
    <w:rsid w:val="00564DFF"/>
    <w:rsid w:val="00565226"/>
    <w:rsid w:val="0056628D"/>
    <w:rsid w:val="00566417"/>
    <w:rsid w:val="005668DC"/>
    <w:rsid w:val="005669F3"/>
    <w:rsid w:val="005675F3"/>
    <w:rsid w:val="00567EBE"/>
    <w:rsid w:val="0057025A"/>
    <w:rsid w:val="00570371"/>
    <w:rsid w:val="005705DC"/>
    <w:rsid w:val="005711AB"/>
    <w:rsid w:val="00571232"/>
    <w:rsid w:val="005714BE"/>
    <w:rsid w:val="00571FE9"/>
    <w:rsid w:val="005729D5"/>
    <w:rsid w:val="00572CFE"/>
    <w:rsid w:val="005731D0"/>
    <w:rsid w:val="005738FB"/>
    <w:rsid w:val="00573F21"/>
    <w:rsid w:val="00574685"/>
    <w:rsid w:val="00574AD9"/>
    <w:rsid w:val="00574C09"/>
    <w:rsid w:val="00575D63"/>
    <w:rsid w:val="00576211"/>
    <w:rsid w:val="005769C8"/>
    <w:rsid w:val="00576BA1"/>
    <w:rsid w:val="0057707B"/>
    <w:rsid w:val="00577310"/>
    <w:rsid w:val="005773F5"/>
    <w:rsid w:val="00577701"/>
    <w:rsid w:val="005779E2"/>
    <w:rsid w:val="005801F1"/>
    <w:rsid w:val="00580C52"/>
    <w:rsid w:val="00580F88"/>
    <w:rsid w:val="0058120A"/>
    <w:rsid w:val="0058123F"/>
    <w:rsid w:val="00581413"/>
    <w:rsid w:val="00581675"/>
    <w:rsid w:val="00581A65"/>
    <w:rsid w:val="005827E5"/>
    <w:rsid w:val="0058319E"/>
    <w:rsid w:val="00583303"/>
    <w:rsid w:val="00583D8F"/>
    <w:rsid w:val="005845D0"/>
    <w:rsid w:val="00585117"/>
    <w:rsid w:val="005853EB"/>
    <w:rsid w:val="005856F7"/>
    <w:rsid w:val="00585D0B"/>
    <w:rsid w:val="005864EF"/>
    <w:rsid w:val="0058664D"/>
    <w:rsid w:val="005869BB"/>
    <w:rsid w:val="00587180"/>
    <w:rsid w:val="00587768"/>
    <w:rsid w:val="0058789C"/>
    <w:rsid w:val="00587926"/>
    <w:rsid w:val="00587BB2"/>
    <w:rsid w:val="0059043F"/>
    <w:rsid w:val="0059088E"/>
    <w:rsid w:val="00591AFE"/>
    <w:rsid w:val="0059238B"/>
    <w:rsid w:val="00592610"/>
    <w:rsid w:val="005932F4"/>
    <w:rsid w:val="00593E30"/>
    <w:rsid w:val="00593EA1"/>
    <w:rsid w:val="005944DF"/>
    <w:rsid w:val="005946DB"/>
    <w:rsid w:val="00594939"/>
    <w:rsid w:val="00594A03"/>
    <w:rsid w:val="00594BC1"/>
    <w:rsid w:val="0059649B"/>
    <w:rsid w:val="005A06D8"/>
    <w:rsid w:val="005A0CB8"/>
    <w:rsid w:val="005A1519"/>
    <w:rsid w:val="005A1532"/>
    <w:rsid w:val="005A2A4B"/>
    <w:rsid w:val="005A2AE2"/>
    <w:rsid w:val="005A2B3C"/>
    <w:rsid w:val="005A3262"/>
    <w:rsid w:val="005A52E9"/>
    <w:rsid w:val="005A5DF7"/>
    <w:rsid w:val="005A75BA"/>
    <w:rsid w:val="005A78CE"/>
    <w:rsid w:val="005A7EEC"/>
    <w:rsid w:val="005B0068"/>
    <w:rsid w:val="005B02DE"/>
    <w:rsid w:val="005B0619"/>
    <w:rsid w:val="005B1BE0"/>
    <w:rsid w:val="005B2079"/>
    <w:rsid w:val="005B2502"/>
    <w:rsid w:val="005B2D19"/>
    <w:rsid w:val="005B351E"/>
    <w:rsid w:val="005B3BD2"/>
    <w:rsid w:val="005B3DFF"/>
    <w:rsid w:val="005B3E36"/>
    <w:rsid w:val="005B4218"/>
    <w:rsid w:val="005B440E"/>
    <w:rsid w:val="005B45E6"/>
    <w:rsid w:val="005B469D"/>
    <w:rsid w:val="005B4A61"/>
    <w:rsid w:val="005B4B20"/>
    <w:rsid w:val="005B5351"/>
    <w:rsid w:val="005B55E1"/>
    <w:rsid w:val="005B56E1"/>
    <w:rsid w:val="005B5954"/>
    <w:rsid w:val="005B5EE2"/>
    <w:rsid w:val="005B6332"/>
    <w:rsid w:val="005B7EDC"/>
    <w:rsid w:val="005B7FBB"/>
    <w:rsid w:val="005C05C8"/>
    <w:rsid w:val="005C0747"/>
    <w:rsid w:val="005C14EB"/>
    <w:rsid w:val="005C16D5"/>
    <w:rsid w:val="005C1921"/>
    <w:rsid w:val="005C1E47"/>
    <w:rsid w:val="005C232C"/>
    <w:rsid w:val="005C3013"/>
    <w:rsid w:val="005C3A67"/>
    <w:rsid w:val="005C4237"/>
    <w:rsid w:val="005C477C"/>
    <w:rsid w:val="005C5139"/>
    <w:rsid w:val="005C52EA"/>
    <w:rsid w:val="005C5309"/>
    <w:rsid w:val="005C53E4"/>
    <w:rsid w:val="005C5A06"/>
    <w:rsid w:val="005C5CCC"/>
    <w:rsid w:val="005C657C"/>
    <w:rsid w:val="005C6811"/>
    <w:rsid w:val="005C6C66"/>
    <w:rsid w:val="005C6E43"/>
    <w:rsid w:val="005C777B"/>
    <w:rsid w:val="005C79D6"/>
    <w:rsid w:val="005D0413"/>
    <w:rsid w:val="005D0C45"/>
    <w:rsid w:val="005D28C7"/>
    <w:rsid w:val="005D290C"/>
    <w:rsid w:val="005D29C6"/>
    <w:rsid w:val="005D2B67"/>
    <w:rsid w:val="005D2CDB"/>
    <w:rsid w:val="005D2F1B"/>
    <w:rsid w:val="005D328D"/>
    <w:rsid w:val="005D33F4"/>
    <w:rsid w:val="005D36C6"/>
    <w:rsid w:val="005D3894"/>
    <w:rsid w:val="005D3CA2"/>
    <w:rsid w:val="005D4D3C"/>
    <w:rsid w:val="005D510E"/>
    <w:rsid w:val="005D5431"/>
    <w:rsid w:val="005D59CC"/>
    <w:rsid w:val="005D5C8A"/>
    <w:rsid w:val="005D5DB3"/>
    <w:rsid w:val="005D6167"/>
    <w:rsid w:val="005D68AA"/>
    <w:rsid w:val="005D6BF0"/>
    <w:rsid w:val="005D6D41"/>
    <w:rsid w:val="005D7741"/>
    <w:rsid w:val="005D7DC5"/>
    <w:rsid w:val="005E004C"/>
    <w:rsid w:val="005E027D"/>
    <w:rsid w:val="005E0690"/>
    <w:rsid w:val="005E07E9"/>
    <w:rsid w:val="005E0A58"/>
    <w:rsid w:val="005E0C00"/>
    <w:rsid w:val="005E1880"/>
    <w:rsid w:val="005E259C"/>
    <w:rsid w:val="005E2A7A"/>
    <w:rsid w:val="005E2CC1"/>
    <w:rsid w:val="005E2D9F"/>
    <w:rsid w:val="005E334A"/>
    <w:rsid w:val="005E3488"/>
    <w:rsid w:val="005E3782"/>
    <w:rsid w:val="005E4104"/>
    <w:rsid w:val="005E425A"/>
    <w:rsid w:val="005E4A3F"/>
    <w:rsid w:val="005E5C66"/>
    <w:rsid w:val="005E5C9C"/>
    <w:rsid w:val="005E6706"/>
    <w:rsid w:val="005E717A"/>
    <w:rsid w:val="005E7C1E"/>
    <w:rsid w:val="005E7D56"/>
    <w:rsid w:val="005F016C"/>
    <w:rsid w:val="005F084A"/>
    <w:rsid w:val="005F0EF5"/>
    <w:rsid w:val="005F10E8"/>
    <w:rsid w:val="005F1323"/>
    <w:rsid w:val="005F1FCC"/>
    <w:rsid w:val="005F2554"/>
    <w:rsid w:val="005F2590"/>
    <w:rsid w:val="005F2620"/>
    <w:rsid w:val="005F2D33"/>
    <w:rsid w:val="005F3301"/>
    <w:rsid w:val="005F3E30"/>
    <w:rsid w:val="005F42E2"/>
    <w:rsid w:val="005F43C6"/>
    <w:rsid w:val="005F4C43"/>
    <w:rsid w:val="005F4F16"/>
    <w:rsid w:val="005F5093"/>
    <w:rsid w:val="005F5270"/>
    <w:rsid w:val="005F5855"/>
    <w:rsid w:val="005F6E7E"/>
    <w:rsid w:val="005F722F"/>
    <w:rsid w:val="005F7C9C"/>
    <w:rsid w:val="005F7CB6"/>
    <w:rsid w:val="0060057C"/>
    <w:rsid w:val="00600596"/>
    <w:rsid w:val="006005F5"/>
    <w:rsid w:val="00600C20"/>
    <w:rsid w:val="00600CC8"/>
    <w:rsid w:val="00600E19"/>
    <w:rsid w:val="00601717"/>
    <w:rsid w:val="00601B05"/>
    <w:rsid w:val="00601BAD"/>
    <w:rsid w:val="00601DFB"/>
    <w:rsid w:val="00602875"/>
    <w:rsid w:val="00602A92"/>
    <w:rsid w:val="00602DD9"/>
    <w:rsid w:val="006039DB"/>
    <w:rsid w:val="00603E17"/>
    <w:rsid w:val="006045AF"/>
    <w:rsid w:val="006047EC"/>
    <w:rsid w:val="00604F62"/>
    <w:rsid w:val="00605045"/>
    <w:rsid w:val="006052DD"/>
    <w:rsid w:val="0060575A"/>
    <w:rsid w:val="00605779"/>
    <w:rsid w:val="00605AAD"/>
    <w:rsid w:val="006067C5"/>
    <w:rsid w:val="006068A7"/>
    <w:rsid w:val="00606F99"/>
    <w:rsid w:val="00606FEE"/>
    <w:rsid w:val="00607132"/>
    <w:rsid w:val="0060785D"/>
    <w:rsid w:val="0060792C"/>
    <w:rsid w:val="00610E54"/>
    <w:rsid w:val="006112D1"/>
    <w:rsid w:val="006114E3"/>
    <w:rsid w:val="00611DBA"/>
    <w:rsid w:val="0061240E"/>
    <w:rsid w:val="006130B5"/>
    <w:rsid w:val="0061354A"/>
    <w:rsid w:val="00615815"/>
    <w:rsid w:val="00615A95"/>
    <w:rsid w:val="00615CBA"/>
    <w:rsid w:val="00615CCD"/>
    <w:rsid w:val="00616490"/>
    <w:rsid w:val="00616C15"/>
    <w:rsid w:val="00616C80"/>
    <w:rsid w:val="006179E4"/>
    <w:rsid w:val="00617EB0"/>
    <w:rsid w:val="0062070D"/>
    <w:rsid w:val="00620B62"/>
    <w:rsid w:val="00620E17"/>
    <w:rsid w:val="00621A16"/>
    <w:rsid w:val="0062316F"/>
    <w:rsid w:val="0062381A"/>
    <w:rsid w:val="00623D0F"/>
    <w:rsid w:val="0062429A"/>
    <w:rsid w:val="00624867"/>
    <w:rsid w:val="00624CC6"/>
    <w:rsid w:val="00624FEB"/>
    <w:rsid w:val="0062634C"/>
    <w:rsid w:val="006266CC"/>
    <w:rsid w:val="00626B61"/>
    <w:rsid w:val="00626CA9"/>
    <w:rsid w:val="00626DAB"/>
    <w:rsid w:val="00627276"/>
    <w:rsid w:val="006275E5"/>
    <w:rsid w:val="00627C96"/>
    <w:rsid w:val="00630211"/>
    <w:rsid w:val="00630299"/>
    <w:rsid w:val="00630691"/>
    <w:rsid w:val="00630796"/>
    <w:rsid w:val="00630C25"/>
    <w:rsid w:val="00630DAC"/>
    <w:rsid w:val="00630FE5"/>
    <w:rsid w:val="006314B6"/>
    <w:rsid w:val="00631903"/>
    <w:rsid w:val="00631D94"/>
    <w:rsid w:val="006321D7"/>
    <w:rsid w:val="00632967"/>
    <w:rsid w:val="00633057"/>
    <w:rsid w:val="0063317D"/>
    <w:rsid w:val="00633597"/>
    <w:rsid w:val="00634B72"/>
    <w:rsid w:val="0063514E"/>
    <w:rsid w:val="00635B70"/>
    <w:rsid w:val="006372AE"/>
    <w:rsid w:val="00637969"/>
    <w:rsid w:val="00637B75"/>
    <w:rsid w:val="00640B81"/>
    <w:rsid w:val="00640CCB"/>
    <w:rsid w:val="006416B2"/>
    <w:rsid w:val="006416B7"/>
    <w:rsid w:val="00642319"/>
    <w:rsid w:val="00642B3B"/>
    <w:rsid w:val="00642FE1"/>
    <w:rsid w:val="0064331A"/>
    <w:rsid w:val="006433AA"/>
    <w:rsid w:val="00644E5B"/>
    <w:rsid w:val="00644EDA"/>
    <w:rsid w:val="0064509D"/>
    <w:rsid w:val="0064595D"/>
    <w:rsid w:val="00645AB3"/>
    <w:rsid w:val="00645EB0"/>
    <w:rsid w:val="006472DC"/>
    <w:rsid w:val="0064735D"/>
    <w:rsid w:val="0064786C"/>
    <w:rsid w:val="00647BDD"/>
    <w:rsid w:val="00647C73"/>
    <w:rsid w:val="006509D0"/>
    <w:rsid w:val="00650ACC"/>
    <w:rsid w:val="006516F9"/>
    <w:rsid w:val="006519D9"/>
    <w:rsid w:val="00651C1D"/>
    <w:rsid w:val="00651E31"/>
    <w:rsid w:val="00651F8F"/>
    <w:rsid w:val="00652148"/>
    <w:rsid w:val="00652749"/>
    <w:rsid w:val="006531D0"/>
    <w:rsid w:val="00653692"/>
    <w:rsid w:val="006537A4"/>
    <w:rsid w:val="00653EC7"/>
    <w:rsid w:val="006541CF"/>
    <w:rsid w:val="00654314"/>
    <w:rsid w:val="00654473"/>
    <w:rsid w:val="00655B79"/>
    <w:rsid w:val="00655BC6"/>
    <w:rsid w:val="006573B7"/>
    <w:rsid w:val="00657DBE"/>
    <w:rsid w:val="0066087D"/>
    <w:rsid w:val="00660D06"/>
    <w:rsid w:val="0066129B"/>
    <w:rsid w:val="0066291D"/>
    <w:rsid w:val="00662E9F"/>
    <w:rsid w:val="00662FAC"/>
    <w:rsid w:val="0066326D"/>
    <w:rsid w:val="00663DBA"/>
    <w:rsid w:val="006640CF"/>
    <w:rsid w:val="00664320"/>
    <w:rsid w:val="0066447E"/>
    <w:rsid w:val="00664A72"/>
    <w:rsid w:val="00664F4D"/>
    <w:rsid w:val="0066502D"/>
    <w:rsid w:val="006653B7"/>
    <w:rsid w:val="00665416"/>
    <w:rsid w:val="00665AE1"/>
    <w:rsid w:val="00665F22"/>
    <w:rsid w:val="006660D1"/>
    <w:rsid w:val="006663C7"/>
    <w:rsid w:val="006665A7"/>
    <w:rsid w:val="00666962"/>
    <w:rsid w:val="00666BAD"/>
    <w:rsid w:val="00666EE5"/>
    <w:rsid w:val="0066702B"/>
    <w:rsid w:val="006676FA"/>
    <w:rsid w:val="006679A5"/>
    <w:rsid w:val="00670A8C"/>
    <w:rsid w:val="00670AB8"/>
    <w:rsid w:val="00671293"/>
    <w:rsid w:val="006716BC"/>
    <w:rsid w:val="006718E4"/>
    <w:rsid w:val="00671E55"/>
    <w:rsid w:val="00672441"/>
    <w:rsid w:val="00672572"/>
    <w:rsid w:val="00672739"/>
    <w:rsid w:val="00672D05"/>
    <w:rsid w:val="006733B6"/>
    <w:rsid w:val="006734E5"/>
    <w:rsid w:val="0067393D"/>
    <w:rsid w:val="00673F0A"/>
    <w:rsid w:val="00674771"/>
    <w:rsid w:val="006747DD"/>
    <w:rsid w:val="00674810"/>
    <w:rsid w:val="00674893"/>
    <w:rsid w:val="00674F11"/>
    <w:rsid w:val="0067512E"/>
    <w:rsid w:val="0067513C"/>
    <w:rsid w:val="0067522F"/>
    <w:rsid w:val="00675841"/>
    <w:rsid w:val="00675DFE"/>
    <w:rsid w:val="006761E6"/>
    <w:rsid w:val="00676616"/>
    <w:rsid w:val="00676857"/>
    <w:rsid w:val="006772C2"/>
    <w:rsid w:val="00677565"/>
    <w:rsid w:val="00680A4B"/>
    <w:rsid w:val="00680C60"/>
    <w:rsid w:val="00680DCD"/>
    <w:rsid w:val="006811CF"/>
    <w:rsid w:val="00681703"/>
    <w:rsid w:val="00681715"/>
    <w:rsid w:val="00681E7C"/>
    <w:rsid w:val="0068371D"/>
    <w:rsid w:val="00683C06"/>
    <w:rsid w:val="00683D11"/>
    <w:rsid w:val="00684353"/>
    <w:rsid w:val="0068472E"/>
    <w:rsid w:val="006848EE"/>
    <w:rsid w:val="00684A36"/>
    <w:rsid w:val="00685496"/>
    <w:rsid w:val="0068559E"/>
    <w:rsid w:val="00685CC3"/>
    <w:rsid w:val="00685F52"/>
    <w:rsid w:val="0068611F"/>
    <w:rsid w:val="00686676"/>
    <w:rsid w:val="00686DEC"/>
    <w:rsid w:val="00686EF8"/>
    <w:rsid w:val="00686F83"/>
    <w:rsid w:val="0068707F"/>
    <w:rsid w:val="00690515"/>
    <w:rsid w:val="006907B9"/>
    <w:rsid w:val="00690F00"/>
    <w:rsid w:val="00690F1B"/>
    <w:rsid w:val="00691097"/>
    <w:rsid w:val="006912E1"/>
    <w:rsid w:val="006914B9"/>
    <w:rsid w:val="00691A66"/>
    <w:rsid w:val="00691AA6"/>
    <w:rsid w:val="00691C2B"/>
    <w:rsid w:val="00693065"/>
    <w:rsid w:val="006934E5"/>
    <w:rsid w:val="00693584"/>
    <w:rsid w:val="00693E12"/>
    <w:rsid w:val="00694171"/>
    <w:rsid w:val="00694E46"/>
    <w:rsid w:val="006952EA"/>
    <w:rsid w:val="00696314"/>
    <w:rsid w:val="0069695A"/>
    <w:rsid w:val="00696A51"/>
    <w:rsid w:val="006A082D"/>
    <w:rsid w:val="006A0977"/>
    <w:rsid w:val="006A0B01"/>
    <w:rsid w:val="006A0FB6"/>
    <w:rsid w:val="006A133A"/>
    <w:rsid w:val="006A18E4"/>
    <w:rsid w:val="006A24BE"/>
    <w:rsid w:val="006A2633"/>
    <w:rsid w:val="006A27EA"/>
    <w:rsid w:val="006A2B6E"/>
    <w:rsid w:val="006A2D58"/>
    <w:rsid w:val="006A3B9C"/>
    <w:rsid w:val="006A3EEF"/>
    <w:rsid w:val="006A45E4"/>
    <w:rsid w:val="006A5080"/>
    <w:rsid w:val="006A58BA"/>
    <w:rsid w:val="006A62D7"/>
    <w:rsid w:val="006A67CD"/>
    <w:rsid w:val="006A6DE7"/>
    <w:rsid w:val="006B11EE"/>
    <w:rsid w:val="006B158A"/>
    <w:rsid w:val="006B19A7"/>
    <w:rsid w:val="006B1B62"/>
    <w:rsid w:val="006B234C"/>
    <w:rsid w:val="006B31AA"/>
    <w:rsid w:val="006B369A"/>
    <w:rsid w:val="006B39E9"/>
    <w:rsid w:val="006B3BE2"/>
    <w:rsid w:val="006B4093"/>
    <w:rsid w:val="006B414E"/>
    <w:rsid w:val="006B4592"/>
    <w:rsid w:val="006B4616"/>
    <w:rsid w:val="006B5EB7"/>
    <w:rsid w:val="006B7195"/>
    <w:rsid w:val="006B7B27"/>
    <w:rsid w:val="006C0037"/>
    <w:rsid w:val="006C0146"/>
    <w:rsid w:val="006C121A"/>
    <w:rsid w:val="006C1554"/>
    <w:rsid w:val="006C1705"/>
    <w:rsid w:val="006C2239"/>
    <w:rsid w:val="006C24E8"/>
    <w:rsid w:val="006C2D82"/>
    <w:rsid w:val="006C38F5"/>
    <w:rsid w:val="006C4306"/>
    <w:rsid w:val="006C45C9"/>
    <w:rsid w:val="006C4C7F"/>
    <w:rsid w:val="006C4D22"/>
    <w:rsid w:val="006C4DFB"/>
    <w:rsid w:val="006C4EC6"/>
    <w:rsid w:val="006C592A"/>
    <w:rsid w:val="006C5E0D"/>
    <w:rsid w:val="006C622A"/>
    <w:rsid w:val="006C6A1C"/>
    <w:rsid w:val="006C6C5B"/>
    <w:rsid w:val="006C7FC8"/>
    <w:rsid w:val="006D003B"/>
    <w:rsid w:val="006D040A"/>
    <w:rsid w:val="006D124B"/>
    <w:rsid w:val="006D14F5"/>
    <w:rsid w:val="006D188F"/>
    <w:rsid w:val="006D2175"/>
    <w:rsid w:val="006D2D55"/>
    <w:rsid w:val="006D2F17"/>
    <w:rsid w:val="006D4749"/>
    <w:rsid w:val="006D4969"/>
    <w:rsid w:val="006D5566"/>
    <w:rsid w:val="006D5633"/>
    <w:rsid w:val="006D57D7"/>
    <w:rsid w:val="006D638F"/>
    <w:rsid w:val="006D692F"/>
    <w:rsid w:val="006D6D9C"/>
    <w:rsid w:val="006D6DC7"/>
    <w:rsid w:val="006D7135"/>
    <w:rsid w:val="006E10C7"/>
    <w:rsid w:val="006E11AD"/>
    <w:rsid w:val="006E1776"/>
    <w:rsid w:val="006E30D5"/>
    <w:rsid w:val="006E35FD"/>
    <w:rsid w:val="006E378A"/>
    <w:rsid w:val="006E386E"/>
    <w:rsid w:val="006E3905"/>
    <w:rsid w:val="006E3A6A"/>
    <w:rsid w:val="006E4561"/>
    <w:rsid w:val="006E4BAA"/>
    <w:rsid w:val="006E4D25"/>
    <w:rsid w:val="006E541A"/>
    <w:rsid w:val="006E582F"/>
    <w:rsid w:val="006E59CF"/>
    <w:rsid w:val="006E6647"/>
    <w:rsid w:val="006E68DA"/>
    <w:rsid w:val="006E71A9"/>
    <w:rsid w:val="006E75EC"/>
    <w:rsid w:val="006E7F49"/>
    <w:rsid w:val="006F0139"/>
    <w:rsid w:val="006F10DE"/>
    <w:rsid w:val="006F138D"/>
    <w:rsid w:val="006F1430"/>
    <w:rsid w:val="006F1D2A"/>
    <w:rsid w:val="006F2060"/>
    <w:rsid w:val="006F2260"/>
    <w:rsid w:val="006F241D"/>
    <w:rsid w:val="006F28DD"/>
    <w:rsid w:val="006F2D36"/>
    <w:rsid w:val="006F3087"/>
    <w:rsid w:val="006F3463"/>
    <w:rsid w:val="006F3591"/>
    <w:rsid w:val="006F3A02"/>
    <w:rsid w:val="006F3D97"/>
    <w:rsid w:val="006F3F23"/>
    <w:rsid w:val="006F4818"/>
    <w:rsid w:val="006F55A5"/>
    <w:rsid w:val="006F5BE7"/>
    <w:rsid w:val="006F6062"/>
    <w:rsid w:val="006F60C9"/>
    <w:rsid w:val="006F63BD"/>
    <w:rsid w:val="006F6828"/>
    <w:rsid w:val="006F6A24"/>
    <w:rsid w:val="006F71D4"/>
    <w:rsid w:val="006F7283"/>
    <w:rsid w:val="006F7714"/>
    <w:rsid w:val="00700232"/>
    <w:rsid w:val="00700416"/>
    <w:rsid w:val="00700A2E"/>
    <w:rsid w:val="00700D53"/>
    <w:rsid w:val="00700F60"/>
    <w:rsid w:val="00701212"/>
    <w:rsid w:val="00701832"/>
    <w:rsid w:val="00701923"/>
    <w:rsid w:val="00701C87"/>
    <w:rsid w:val="00701D41"/>
    <w:rsid w:val="007021C2"/>
    <w:rsid w:val="00702BDF"/>
    <w:rsid w:val="00702CC2"/>
    <w:rsid w:val="007040B9"/>
    <w:rsid w:val="007040EB"/>
    <w:rsid w:val="00704112"/>
    <w:rsid w:val="007041B3"/>
    <w:rsid w:val="007041F8"/>
    <w:rsid w:val="007042AA"/>
    <w:rsid w:val="00704499"/>
    <w:rsid w:val="0070478A"/>
    <w:rsid w:val="00704B5A"/>
    <w:rsid w:val="00704BB0"/>
    <w:rsid w:val="00704C09"/>
    <w:rsid w:val="00704CA2"/>
    <w:rsid w:val="00705668"/>
    <w:rsid w:val="007057FA"/>
    <w:rsid w:val="00705C79"/>
    <w:rsid w:val="00705F87"/>
    <w:rsid w:val="00706555"/>
    <w:rsid w:val="007077B1"/>
    <w:rsid w:val="00707B78"/>
    <w:rsid w:val="00707B8E"/>
    <w:rsid w:val="00707BD7"/>
    <w:rsid w:val="00710014"/>
    <w:rsid w:val="00710080"/>
    <w:rsid w:val="00710F09"/>
    <w:rsid w:val="007113B1"/>
    <w:rsid w:val="007115CB"/>
    <w:rsid w:val="0071194E"/>
    <w:rsid w:val="0071275B"/>
    <w:rsid w:val="00712E94"/>
    <w:rsid w:val="0071365D"/>
    <w:rsid w:val="00713AA0"/>
    <w:rsid w:val="00713B64"/>
    <w:rsid w:val="00713B8E"/>
    <w:rsid w:val="007152BB"/>
    <w:rsid w:val="0071558C"/>
    <w:rsid w:val="00715790"/>
    <w:rsid w:val="007168EC"/>
    <w:rsid w:val="0071694D"/>
    <w:rsid w:val="00716AD7"/>
    <w:rsid w:val="007174DF"/>
    <w:rsid w:val="00717B62"/>
    <w:rsid w:val="00720FA1"/>
    <w:rsid w:val="00721279"/>
    <w:rsid w:val="00721778"/>
    <w:rsid w:val="00721DAF"/>
    <w:rsid w:val="0072356A"/>
    <w:rsid w:val="0072386F"/>
    <w:rsid w:val="00723C54"/>
    <w:rsid w:val="00724C8D"/>
    <w:rsid w:val="007253E3"/>
    <w:rsid w:val="00725496"/>
    <w:rsid w:val="007254B4"/>
    <w:rsid w:val="0072565C"/>
    <w:rsid w:val="00725A27"/>
    <w:rsid w:val="0072654C"/>
    <w:rsid w:val="007271E1"/>
    <w:rsid w:val="0072761B"/>
    <w:rsid w:val="00727925"/>
    <w:rsid w:val="007314CC"/>
    <w:rsid w:val="00732825"/>
    <w:rsid w:val="00733059"/>
    <w:rsid w:val="00733CF0"/>
    <w:rsid w:val="007340A1"/>
    <w:rsid w:val="007342C1"/>
    <w:rsid w:val="007344D1"/>
    <w:rsid w:val="00734766"/>
    <w:rsid w:val="0073483E"/>
    <w:rsid w:val="00734906"/>
    <w:rsid w:val="00734B21"/>
    <w:rsid w:val="00734EA1"/>
    <w:rsid w:val="00734EDD"/>
    <w:rsid w:val="00735269"/>
    <w:rsid w:val="00736622"/>
    <w:rsid w:val="007367F7"/>
    <w:rsid w:val="00736C3F"/>
    <w:rsid w:val="00736E35"/>
    <w:rsid w:val="00736F8D"/>
    <w:rsid w:val="0073722C"/>
    <w:rsid w:val="00737404"/>
    <w:rsid w:val="007378EF"/>
    <w:rsid w:val="00737B77"/>
    <w:rsid w:val="0074065E"/>
    <w:rsid w:val="00740CB4"/>
    <w:rsid w:val="00740F44"/>
    <w:rsid w:val="00741252"/>
    <w:rsid w:val="0074143B"/>
    <w:rsid w:val="0074157B"/>
    <w:rsid w:val="00741BF3"/>
    <w:rsid w:val="00741FAE"/>
    <w:rsid w:val="00742A42"/>
    <w:rsid w:val="00742BB8"/>
    <w:rsid w:val="00742C2F"/>
    <w:rsid w:val="00743F3A"/>
    <w:rsid w:val="00744280"/>
    <w:rsid w:val="007444CD"/>
    <w:rsid w:val="007451B9"/>
    <w:rsid w:val="00745236"/>
    <w:rsid w:val="007453B9"/>
    <w:rsid w:val="00745DF7"/>
    <w:rsid w:val="00746741"/>
    <w:rsid w:val="00746916"/>
    <w:rsid w:val="0074786E"/>
    <w:rsid w:val="0075055F"/>
    <w:rsid w:val="00750B72"/>
    <w:rsid w:val="00750DAC"/>
    <w:rsid w:val="00750DDE"/>
    <w:rsid w:val="0075173E"/>
    <w:rsid w:val="007517CD"/>
    <w:rsid w:val="00751970"/>
    <w:rsid w:val="00751FE9"/>
    <w:rsid w:val="00752038"/>
    <w:rsid w:val="007526F5"/>
    <w:rsid w:val="00752E18"/>
    <w:rsid w:val="007532F6"/>
    <w:rsid w:val="00753B01"/>
    <w:rsid w:val="00754856"/>
    <w:rsid w:val="00755087"/>
    <w:rsid w:val="007556E5"/>
    <w:rsid w:val="0075570F"/>
    <w:rsid w:val="00755BE5"/>
    <w:rsid w:val="007568A9"/>
    <w:rsid w:val="00756F2E"/>
    <w:rsid w:val="007606CB"/>
    <w:rsid w:val="00760A58"/>
    <w:rsid w:val="00760A59"/>
    <w:rsid w:val="00760BE8"/>
    <w:rsid w:val="00760D68"/>
    <w:rsid w:val="00760DD6"/>
    <w:rsid w:val="00760E29"/>
    <w:rsid w:val="00760F16"/>
    <w:rsid w:val="0076157F"/>
    <w:rsid w:val="007622B4"/>
    <w:rsid w:val="0076250E"/>
    <w:rsid w:val="00763096"/>
    <w:rsid w:val="00763637"/>
    <w:rsid w:val="00763982"/>
    <w:rsid w:val="007643F6"/>
    <w:rsid w:val="00764C0C"/>
    <w:rsid w:val="00765914"/>
    <w:rsid w:val="00765BB3"/>
    <w:rsid w:val="00766996"/>
    <w:rsid w:val="007672E5"/>
    <w:rsid w:val="0076752B"/>
    <w:rsid w:val="007702AF"/>
    <w:rsid w:val="0077038B"/>
    <w:rsid w:val="00770A61"/>
    <w:rsid w:val="00770B0C"/>
    <w:rsid w:val="007717C7"/>
    <w:rsid w:val="00771859"/>
    <w:rsid w:val="0077247E"/>
    <w:rsid w:val="00772B74"/>
    <w:rsid w:val="00772C02"/>
    <w:rsid w:val="00772E90"/>
    <w:rsid w:val="0077377D"/>
    <w:rsid w:val="00773B57"/>
    <w:rsid w:val="00774025"/>
    <w:rsid w:val="00774085"/>
    <w:rsid w:val="00775384"/>
    <w:rsid w:val="00775397"/>
    <w:rsid w:val="007754A1"/>
    <w:rsid w:val="00775BE8"/>
    <w:rsid w:val="00775C7E"/>
    <w:rsid w:val="00776034"/>
    <w:rsid w:val="00776342"/>
    <w:rsid w:val="00776F6E"/>
    <w:rsid w:val="00776FA5"/>
    <w:rsid w:val="00776FF3"/>
    <w:rsid w:val="0077708B"/>
    <w:rsid w:val="007775AA"/>
    <w:rsid w:val="0077768D"/>
    <w:rsid w:val="007807C3"/>
    <w:rsid w:val="00780B52"/>
    <w:rsid w:val="0078182F"/>
    <w:rsid w:val="0078200E"/>
    <w:rsid w:val="00782AA8"/>
    <w:rsid w:val="00783440"/>
    <w:rsid w:val="007835DB"/>
    <w:rsid w:val="007838CC"/>
    <w:rsid w:val="0078392A"/>
    <w:rsid w:val="00783981"/>
    <w:rsid w:val="00785579"/>
    <w:rsid w:val="00785DD0"/>
    <w:rsid w:val="00786060"/>
    <w:rsid w:val="007868FA"/>
    <w:rsid w:val="007877AF"/>
    <w:rsid w:val="007877E4"/>
    <w:rsid w:val="00790F36"/>
    <w:rsid w:val="00792232"/>
    <w:rsid w:val="007929EE"/>
    <w:rsid w:val="007930A0"/>
    <w:rsid w:val="0079316F"/>
    <w:rsid w:val="007931C0"/>
    <w:rsid w:val="00793225"/>
    <w:rsid w:val="00793313"/>
    <w:rsid w:val="00793A7E"/>
    <w:rsid w:val="00793D1A"/>
    <w:rsid w:val="00794B9E"/>
    <w:rsid w:val="00795B91"/>
    <w:rsid w:val="00796581"/>
    <w:rsid w:val="007970B3"/>
    <w:rsid w:val="007972CE"/>
    <w:rsid w:val="0079760B"/>
    <w:rsid w:val="00797643"/>
    <w:rsid w:val="007A03C6"/>
    <w:rsid w:val="007A1408"/>
    <w:rsid w:val="007A19AE"/>
    <w:rsid w:val="007A2321"/>
    <w:rsid w:val="007A254C"/>
    <w:rsid w:val="007A3CF5"/>
    <w:rsid w:val="007A3F25"/>
    <w:rsid w:val="007A4594"/>
    <w:rsid w:val="007A5D85"/>
    <w:rsid w:val="007A5FC7"/>
    <w:rsid w:val="007A62F8"/>
    <w:rsid w:val="007A64C6"/>
    <w:rsid w:val="007B032C"/>
    <w:rsid w:val="007B0B94"/>
    <w:rsid w:val="007B105A"/>
    <w:rsid w:val="007B17A3"/>
    <w:rsid w:val="007B1EA4"/>
    <w:rsid w:val="007B321A"/>
    <w:rsid w:val="007B39D2"/>
    <w:rsid w:val="007B45A3"/>
    <w:rsid w:val="007B4602"/>
    <w:rsid w:val="007B4A89"/>
    <w:rsid w:val="007B4B4C"/>
    <w:rsid w:val="007B4EB8"/>
    <w:rsid w:val="007B4F0F"/>
    <w:rsid w:val="007B5BD9"/>
    <w:rsid w:val="007B5C0D"/>
    <w:rsid w:val="007B5C23"/>
    <w:rsid w:val="007B6091"/>
    <w:rsid w:val="007B6485"/>
    <w:rsid w:val="007B655C"/>
    <w:rsid w:val="007B69AE"/>
    <w:rsid w:val="007B70B9"/>
    <w:rsid w:val="007B7392"/>
    <w:rsid w:val="007C02EB"/>
    <w:rsid w:val="007C03ED"/>
    <w:rsid w:val="007C03F7"/>
    <w:rsid w:val="007C0465"/>
    <w:rsid w:val="007C0B70"/>
    <w:rsid w:val="007C10AC"/>
    <w:rsid w:val="007C11F7"/>
    <w:rsid w:val="007C186A"/>
    <w:rsid w:val="007C1F27"/>
    <w:rsid w:val="007C2333"/>
    <w:rsid w:val="007C23A6"/>
    <w:rsid w:val="007C28C3"/>
    <w:rsid w:val="007C2BBD"/>
    <w:rsid w:val="007C2E1D"/>
    <w:rsid w:val="007C31AE"/>
    <w:rsid w:val="007C31B9"/>
    <w:rsid w:val="007C3445"/>
    <w:rsid w:val="007C35F1"/>
    <w:rsid w:val="007C3DB3"/>
    <w:rsid w:val="007C4B44"/>
    <w:rsid w:val="007C4E3D"/>
    <w:rsid w:val="007C530C"/>
    <w:rsid w:val="007C5363"/>
    <w:rsid w:val="007C5477"/>
    <w:rsid w:val="007C569A"/>
    <w:rsid w:val="007C69D1"/>
    <w:rsid w:val="007C7139"/>
    <w:rsid w:val="007C7283"/>
    <w:rsid w:val="007D034D"/>
    <w:rsid w:val="007D05F8"/>
    <w:rsid w:val="007D0891"/>
    <w:rsid w:val="007D0EC6"/>
    <w:rsid w:val="007D0FD1"/>
    <w:rsid w:val="007D1064"/>
    <w:rsid w:val="007D12A7"/>
    <w:rsid w:val="007D18E0"/>
    <w:rsid w:val="007D31CA"/>
    <w:rsid w:val="007D34FB"/>
    <w:rsid w:val="007D3ECD"/>
    <w:rsid w:val="007D45F0"/>
    <w:rsid w:val="007D4D57"/>
    <w:rsid w:val="007D4DD6"/>
    <w:rsid w:val="007D52DC"/>
    <w:rsid w:val="007D55CE"/>
    <w:rsid w:val="007D58FB"/>
    <w:rsid w:val="007D5A78"/>
    <w:rsid w:val="007D5B99"/>
    <w:rsid w:val="007D5D36"/>
    <w:rsid w:val="007D612B"/>
    <w:rsid w:val="007D618C"/>
    <w:rsid w:val="007D61AE"/>
    <w:rsid w:val="007D6318"/>
    <w:rsid w:val="007D70E6"/>
    <w:rsid w:val="007D7292"/>
    <w:rsid w:val="007D730D"/>
    <w:rsid w:val="007E0BBE"/>
    <w:rsid w:val="007E1322"/>
    <w:rsid w:val="007E1938"/>
    <w:rsid w:val="007E288E"/>
    <w:rsid w:val="007E2970"/>
    <w:rsid w:val="007E2BF4"/>
    <w:rsid w:val="007E2DA1"/>
    <w:rsid w:val="007E2DD5"/>
    <w:rsid w:val="007E3A43"/>
    <w:rsid w:val="007E3C29"/>
    <w:rsid w:val="007E3ECE"/>
    <w:rsid w:val="007E3ED4"/>
    <w:rsid w:val="007E41B4"/>
    <w:rsid w:val="007E4BA4"/>
    <w:rsid w:val="007E51FE"/>
    <w:rsid w:val="007E5315"/>
    <w:rsid w:val="007E556A"/>
    <w:rsid w:val="007E566C"/>
    <w:rsid w:val="007E5821"/>
    <w:rsid w:val="007E58D5"/>
    <w:rsid w:val="007E6216"/>
    <w:rsid w:val="007E6FAE"/>
    <w:rsid w:val="007E71B9"/>
    <w:rsid w:val="007E74B2"/>
    <w:rsid w:val="007E7519"/>
    <w:rsid w:val="007E7AF5"/>
    <w:rsid w:val="007E7C14"/>
    <w:rsid w:val="007F15E2"/>
    <w:rsid w:val="007F1A1F"/>
    <w:rsid w:val="007F20D8"/>
    <w:rsid w:val="007F2131"/>
    <w:rsid w:val="007F237B"/>
    <w:rsid w:val="007F2839"/>
    <w:rsid w:val="007F2942"/>
    <w:rsid w:val="007F2E35"/>
    <w:rsid w:val="007F3387"/>
    <w:rsid w:val="007F34FE"/>
    <w:rsid w:val="007F3E06"/>
    <w:rsid w:val="007F4419"/>
    <w:rsid w:val="007F44BE"/>
    <w:rsid w:val="007F483A"/>
    <w:rsid w:val="007F57B2"/>
    <w:rsid w:val="007F678C"/>
    <w:rsid w:val="007F6843"/>
    <w:rsid w:val="007F7199"/>
    <w:rsid w:val="007F750C"/>
    <w:rsid w:val="007F7695"/>
    <w:rsid w:val="0080092E"/>
    <w:rsid w:val="008009C2"/>
    <w:rsid w:val="00800E1E"/>
    <w:rsid w:val="00801018"/>
    <w:rsid w:val="00801150"/>
    <w:rsid w:val="008011DB"/>
    <w:rsid w:val="008012E0"/>
    <w:rsid w:val="00801E9C"/>
    <w:rsid w:val="00801F75"/>
    <w:rsid w:val="00801FF1"/>
    <w:rsid w:val="00802068"/>
    <w:rsid w:val="008021B5"/>
    <w:rsid w:val="008023E3"/>
    <w:rsid w:val="008029B5"/>
    <w:rsid w:val="00802C69"/>
    <w:rsid w:val="00803103"/>
    <w:rsid w:val="00803291"/>
    <w:rsid w:val="00803478"/>
    <w:rsid w:val="00803FDF"/>
    <w:rsid w:val="00804059"/>
    <w:rsid w:val="00804F4D"/>
    <w:rsid w:val="008053C8"/>
    <w:rsid w:val="008055CD"/>
    <w:rsid w:val="008056C8"/>
    <w:rsid w:val="00805C39"/>
    <w:rsid w:val="008065CE"/>
    <w:rsid w:val="0080710D"/>
    <w:rsid w:val="00807650"/>
    <w:rsid w:val="00807AD1"/>
    <w:rsid w:val="00807F9A"/>
    <w:rsid w:val="00807FAF"/>
    <w:rsid w:val="00810925"/>
    <w:rsid w:val="008116D8"/>
    <w:rsid w:val="00811BBC"/>
    <w:rsid w:val="008124F1"/>
    <w:rsid w:val="0081296C"/>
    <w:rsid w:val="00812A90"/>
    <w:rsid w:val="00812CF6"/>
    <w:rsid w:val="00812DDD"/>
    <w:rsid w:val="008135C5"/>
    <w:rsid w:val="00813BAB"/>
    <w:rsid w:val="00813CFC"/>
    <w:rsid w:val="008143E8"/>
    <w:rsid w:val="00814C55"/>
    <w:rsid w:val="00814EAB"/>
    <w:rsid w:val="00815742"/>
    <w:rsid w:val="00815E31"/>
    <w:rsid w:val="00816192"/>
    <w:rsid w:val="008163D3"/>
    <w:rsid w:val="00816749"/>
    <w:rsid w:val="00817135"/>
    <w:rsid w:val="00817BCB"/>
    <w:rsid w:val="00817BDA"/>
    <w:rsid w:val="00820004"/>
    <w:rsid w:val="0082066F"/>
    <w:rsid w:val="00820BB9"/>
    <w:rsid w:val="00821AB2"/>
    <w:rsid w:val="00822FD9"/>
    <w:rsid w:val="008234ED"/>
    <w:rsid w:val="00823C4D"/>
    <w:rsid w:val="008240F4"/>
    <w:rsid w:val="0082415A"/>
    <w:rsid w:val="008247F5"/>
    <w:rsid w:val="00824AF9"/>
    <w:rsid w:val="00824D49"/>
    <w:rsid w:val="00824EFF"/>
    <w:rsid w:val="00824F18"/>
    <w:rsid w:val="00825E0E"/>
    <w:rsid w:val="008262ED"/>
    <w:rsid w:val="0082638F"/>
    <w:rsid w:val="00826A4F"/>
    <w:rsid w:val="00826B02"/>
    <w:rsid w:val="00826C2C"/>
    <w:rsid w:val="00826CA4"/>
    <w:rsid w:val="00827681"/>
    <w:rsid w:val="00827B71"/>
    <w:rsid w:val="0083076B"/>
    <w:rsid w:val="00831257"/>
    <w:rsid w:val="0083136A"/>
    <w:rsid w:val="00831B85"/>
    <w:rsid w:val="00832070"/>
    <w:rsid w:val="0083243B"/>
    <w:rsid w:val="00832939"/>
    <w:rsid w:val="00833672"/>
    <w:rsid w:val="00833AFF"/>
    <w:rsid w:val="00833BEF"/>
    <w:rsid w:val="00833EB0"/>
    <w:rsid w:val="00834FF7"/>
    <w:rsid w:val="00835383"/>
    <w:rsid w:val="00835565"/>
    <w:rsid w:val="00835B59"/>
    <w:rsid w:val="00835B5A"/>
    <w:rsid w:val="0083634D"/>
    <w:rsid w:val="00837E80"/>
    <w:rsid w:val="008406CC"/>
    <w:rsid w:val="00840C63"/>
    <w:rsid w:val="008417C2"/>
    <w:rsid w:val="008419A3"/>
    <w:rsid w:val="008420EC"/>
    <w:rsid w:val="008421B2"/>
    <w:rsid w:val="008426E7"/>
    <w:rsid w:val="00843AE1"/>
    <w:rsid w:val="00844CBE"/>
    <w:rsid w:val="008454B2"/>
    <w:rsid w:val="0084551D"/>
    <w:rsid w:val="00845995"/>
    <w:rsid w:val="00845D56"/>
    <w:rsid w:val="008466FA"/>
    <w:rsid w:val="00846A5A"/>
    <w:rsid w:val="008470E8"/>
    <w:rsid w:val="0084730D"/>
    <w:rsid w:val="00847DCB"/>
    <w:rsid w:val="00847E69"/>
    <w:rsid w:val="008502F3"/>
    <w:rsid w:val="008508A1"/>
    <w:rsid w:val="00850BE6"/>
    <w:rsid w:val="0085154A"/>
    <w:rsid w:val="008518C9"/>
    <w:rsid w:val="00851F4D"/>
    <w:rsid w:val="0085216F"/>
    <w:rsid w:val="008521A8"/>
    <w:rsid w:val="00852464"/>
    <w:rsid w:val="0085268D"/>
    <w:rsid w:val="00852693"/>
    <w:rsid w:val="00852D2C"/>
    <w:rsid w:val="00852EC3"/>
    <w:rsid w:val="0085320B"/>
    <w:rsid w:val="0085390A"/>
    <w:rsid w:val="00853F16"/>
    <w:rsid w:val="0085417E"/>
    <w:rsid w:val="008544BB"/>
    <w:rsid w:val="008547F1"/>
    <w:rsid w:val="00854E4D"/>
    <w:rsid w:val="00855306"/>
    <w:rsid w:val="00855332"/>
    <w:rsid w:val="00855D5E"/>
    <w:rsid w:val="00856855"/>
    <w:rsid w:val="008568BB"/>
    <w:rsid w:val="00856F90"/>
    <w:rsid w:val="008574AB"/>
    <w:rsid w:val="00857F3E"/>
    <w:rsid w:val="00860986"/>
    <w:rsid w:val="00861CD7"/>
    <w:rsid w:val="00862E56"/>
    <w:rsid w:val="00862F96"/>
    <w:rsid w:val="00862FBD"/>
    <w:rsid w:val="0086312A"/>
    <w:rsid w:val="008635CF"/>
    <w:rsid w:val="00863B7F"/>
    <w:rsid w:val="00863C4D"/>
    <w:rsid w:val="00864800"/>
    <w:rsid w:val="00864A00"/>
    <w:rsid w:val="00865175"/>
    <w:rsid w:val="008651B1"/>
    <w:rsid w:val="00866267"/>
    <w:rsid w:val="0086649A"/>
    <w:rsid w:val="0086689C"/>
    <w:rsid w:val="00866F6E"/>
    <w:rsid w:val="008670EA"/>
    <w:rsid w:val="0087043D"/>
    <w:rsid w:val="00870979"/>
    <w:rsid w:val="00870E9D"/>
    <w:rsid w:val="0087120F"/>
    <w:rsid w:val="0087156F"/>
    <w:rsid w:val="00871A54"/>
    <w:rsid w:val="00872378"/>
    <w:rsid w:val="00872DEB"/>
    <w:rsid w:val="00872ECD"/>
    <w:rsid w:val="00874C62"/>
    <w:rsid w:val="008756DE"/>
    <w:rsid w:val="00875980"/>
    <w:rsid w:val="00875F2D"/>
    <w:rsid w:val="00875F64"/>
    <w:rsid w:val="00876025"/>
    <w:rsid w:val="00876419"/>
    <w:rsid w:val="0087774B"/>
    <w:rsid w:val="00877804"/>
    <w:rsid w:val="00880AAE"/>
    <w:rsid w:val="00880AE9"/>
    <w:rsid w:val="008812F5"/>
    <w:rsid w:val="008820DA"/>
    <w:rsid w:val="0088298A"/>
    <w:rsid w:val="008833D4"/>
    <w:rsid w:val="00883996"/>
    <w:rsid w:val="00883AEE"/>
    <w:rsid w:val="00883BA3"/>
    <w:rsid w:val="00883C15"/>
    <w:rsid w:val="00883CAB"/>
    <w:rsid w:val="0088444B"/>
    <w:rsid w:val="008850B3"/>
    <w:rsid w:val="00886F61"/>
    <w:rsid w:val="008872D7"/>
    <w:rsid w:val="008875A2"/>
    <w:rsid w:val="0088767C"/>
    <w:rsid w:val="00890148"/>
    <w:rsid w:val="00890986"/>
    <w:rsid w:val="00890A19"/>
    <w:rsid w:val="00890BA3"/>
    <w:rsid w:val="00890F72"/>
    <w:rsid w:val="008917DC"/>
    <w:rsid w:val="008917FD"/>
    <w:rsid w:val="00891CB8"/>
    <w:rsid w:val="0089250F"/>
    <w:rsid w:val="00893152"/>
    <w:rsid w:val="0089322A"/>
    <w:rsid w:val="0089363B"/>
    <w:rsid w:val="00893EC9"/>
    <w:rsid w:val="00894C51"/>
    <w:rsid w:val="00895386"/>
    <w:rsid w:val="00895431"/>
    <w:rsid w:val="00895A4A"/>
    <w:rsid w:val="00896351"/>
    <w:rsid w:val="008964B8"/>
    <w:rsid w:val="008968B9"/>
    <w:rsid w:val="00896DFD"/>
    <w:rsid w:val="008974BA"/>
    <w:rsid w:val="00897536"/>
    <w:rsid w:val="00897B2F"/>
    <w:rsid w:val="00897F4D"/>
    <w:rsid w:val="008A0DE3"/>
    <w:rsid w:val="008A15D7"/>
    <w:rsid w:val="008A1A3F"/>
    <w:rsid w:val="008A22FF"/>
    <w:rsid w:val="008A24FF"/>
    <w:rsid w:val="008A26FA"/>
    <w:rsid w:val="008A2E5F"/>
    <w:rsid w:val="008A33C6"/>
    <w:rsid w:val="008A45A0"/>
    <w:rsid w:val="008A4D98"/>
    <w:rsid w:val="008A51A8"/>
    <w:rsid w:val="008A56B5"/>
    <w:rsid w:val="008A57C3"/>
    <w:rsid w:val="008A58AC"/>
    <w:rsid w:val="008A5A30"/>
    <w:rsid w:val="008A5B75"/>
    <w:rsid w:val="008A5F76"/>
    <w:rsid w:val="008A6612"/>
    <w:rsid w:val="008A6CD9"/>
    <w:rsid w:val="008A722F"/>
    <w:rsid w:val="008A7803"/>
    <w:rsid w:val="008A7970"/>
    <w:rsid w:val="008A7A79"/>
    <w:rsid w:val="008A7BE0"/>
    <w:rsid w:val="008B02B6"/>
    <w:rsid w:val="008B086D"/>
    <w:rsid w:val="008B08D8"/>
    <w:rsid w:val="008B0B4D"/>
    <w:rsid w:val="008B19FF"/>
    <w:rsid w:val="008B224D"/>
    <w:rsid w:val="008B2423"/>
    <w:rsid w:val="008B287F"/>
    <w:rsid w:val="008B2A17"/>
    <w:rsid w:val="008B2B67"/>
    <w:rsid w:val="008B3817"/>
    <w:rsid w:val="008B4312"/>
    <w:rsid w:val="008B4585"/>
    <w:rsid w:val="008B4C87"/>
    <w:rsid w:val="008B53EF"/>
    <w:rsid w:val="008B5EBF"/>
    <w:rsid w:val="008B6884"/>
    <w:rsid w:val="008B69F9"/>
    <w:rsid w:val="008B6B28"/>
    <w:rsid w:val="008B6D77"/>
    <w:rsid w:val="008B6F66"/>
    <w:rsid w:val="008B7306"/>
    <w:rsid w:val="008B7AD8"/>
    <w:rsid w:val="008C1081"/>
    <w:rsid w:val="008C10DC"/>
    <w:rsid w:val="008C1AA0"/>
    <w:rsid w:val="008C399C"/>
    <w:rsid w:val="008C3A9D"/>
    <w:rsid w:val="008C585A"/>
    <w:rsid w:val="008C60CC"/>
    <w:rsid w:val="008C67AB"/>
    <w:rsid w:val="008C6C7F"/>
    <w:rsid w:val="008C6D8A"/>
    <w:rsid w:val="008C6E14"/>
    <w:rsid w:val="008C6FE1"/>
    <w:rsid w:val="008C71D7"/>
    <w:rsid w:val="008C7FDD"/>
    <w:rsid w:val="008D00E5"/>
    <w:rsid w:val="008D019B"/>
    <w:rsid w:val="008D097D"/>
    <w:rsid w:val="008D09C0"/>
    <w:rsid w:val="008D0A8E"/>
    <w:rsid w:val="008D10CB"/>
    <w:rsid w:val="008D11DB"/>
    <w:rsid w:val="008D160B"/>
    <w:rsid w:val="008D2DA5"/>
    <w:rsid w:val="008D37B8"/>
    <w:rsid w:val="008D3F26"/>
    <w:rsid w:val="008D4130"/>
    <w:rsid w:val="008D4C6C"/>
    <w:rsid w:val="008D5681"/>
    <w:rsid w:val="008D588A"/>
    <w:rsid w:val="008D5C51"/>
    <w:rsid w:val="008D5EE6"/>
    <w:rsid w:val="008D6467"/>
    <w:rsid w:val="008D6687"/>
    <w:rsid w:val="008D6A0A"/>
    <w:rsid w:val="008D6D6E"/>
    <w:rsid w:val="008D6E0F"/>
    <w:rsid w:val="008D728B"/>
    <w:rsid w:val="008D745E"/>
    <w:rsid w:val="008D7483"/>
    <w:rsid w:val="008D7C64"/>
    <w:rsid w:val="008D7DFE"/>
    <w:rsid w:val="008E0CC9"/>
    <w:rsid w:val="008E0F91"/>
    <w:rsid w:val="008E1CF4"/>
    <w:rsid w:val="008E210B"/>
    <w:rsid w:val="008E231A"/>
    <w:rsid w:val="008E25DC"/>
    <w:rsid w:val="008E303B"/>
    <w:rsid w:val="008E34E0"/>
    <w:rsid w:val="008E3E52"/>
    <w:rsid w:val="008E501C"/>
    <w:rsid w:val="008E558C"/>
    <w:rsid w:val="008E57A8"/>
    <w:rsid w:val="008E5E80"/>
    <w:rsid w:val="008E65B2"/>
    <w:rsid w:val="008E6C94"/>
    <w:rsid w:val="008E6E4F"/>
    <w:rsid w:val="008E71CB"/>
    <w:rsid w:val="008E7AD1"/>
    <w:rsid w:val="008E7BA1"/>
    <w:rsid w:val="008E7D41"/>
    <w:rsid w:val="008F061E"/>
    <w:rsid w:val="008F0814"/>
    <w:rsid w:val="008F08BB"/>
    <w:rsid w:val="008F1019"/>
    <w:rsid w:val="008F191B"/>
    <w:rsid w:val="008F19B1"/>
    <w:rsid w:val="008F1DEE"/>
    <w:rsid w:val="008F2589"/>
    <w:rsid w:val="008F2AE3"/>
    <w:rsid w:val="008F2D87"/>
    <w:rsid w:val="008F2DF1"/>
    <w:rsid w:val="008F2F55"/>
    <w:rsid w:val="008F3A8E"/>
    <w:rsid w:val="008F47F5"/>
    <w:rsid w:val="008F4820"/>
    <w:rsid w:val="008F485C"/>
    <w:rsid w:val="008F4B40"/>
    <w:rsid w:val="008F5474"/>
    <w:rsid w:val="008F549A"/>
    <w:rsid w:val="008F5F83"/>
    <w:rsid w:val="008F70AC"/>
    <w:rsid w:val="008F7E75"/>
    <w:rsid w:val="008F7F4D"/>
    <w:rsid w:val="0090001A"/>
    <w:rsid w:val="009005E7"/>
    <w:rsid w:val="00901059"/>
    <w:rsid w:val="00901E3C"/>
    <w:rsid w:val="009028BF"/>
    <w:rsid w:val="009033EF"/>
    <w:rsid w:val="00903418"/>
    <w:rsid w:val="009034C3"/>
    <w:rsid w:val="009037BA"/>
    <w:rsid w:val="0090388D"/>
    <w:rsid w:val="00904284"/>
    <w:rsid w:val="0090438F"/>
    <w:rsid w:val="00904423"/>
    <w:rsid w:val="009045E6"/>
    <w:rsid w:val="00904EF8"/>
    <w:rsid w:val="009051C7"/>
    <w:rsid w:val="00905372"/>
    <w:rsid w:val="00905814"/>
    <w:rsid w:val="009058BF"/>
    <w:rsid w:val="0090590E"/>
    <w:rsid w:val="00905965"/>
    <w:rsid w:val="00905A62"/>
    <w:rsid w:val="00905A68"/>
    <w:rsid w:val="00907E7C"/>
    <w:rsid w:val="009100ED"/>
    <w:rsid w:val="0091030C"/>
    <w:rsid w:val="00910415"/>
    <w:rsid w:val="00910558"/>
    <w:rsid w:val="009106AB"/>
    <w:rsid w:val="00910D04"/>
    <w:rsid w:val="00911B74"/>
    <w:rsid w:val="0091211E"/>
    <w:rsid w:val="00912141"/>
    <w:rsid w:val="00912497"/>
    <w:rsid w:val="00912ABB"/>
    <w:rsid w:val="0091375B"/>
    <w:rsid w:val="00913B80"/>
    <w:rsid w:val="00914120"/>
    <w:rsid w:val="009142B2"/>
    <w:rsid w:val="009142F0"/>
    <w:rsid w:val="0091476F"/>
    <w:rsid w:val="00914D2E"/>
    <w:rsid w:val="009152DB"/>
    <w:rsid w:val="00915EB6"/>
    <w:rsid w:val="00916796"/>
    <w:rsid w:val="00916B97"/>
    <w:rsid w:val="00916F9A"/>
    <w:rsid w:val="009171E0"/>
    <w:rsid w:val="00917460"/>
    <w:rsid w:val="00917B93"/>
    <w:rsid w:val="009209B1"/>
    <w:rsid w:val="0092172B"/>
    <w:rsid w:val="009217A9"/>
    <w:rsid w:val="009217E4"/>
    <w:rsid w:val="009218B7"/>
    <w:rsid w:val="00921D01"/>
    <w:rsid w:val="0092248C"/>
    <w:rsid w:val="0092282F"/>
    <w:rsid w:val="00923241"/>
    <w:rsid w:val="00923B32"/>
    <w:rsid w:val="00923C8E"/>
    <w:rsid w:val="00925CFD"/>
    <w:rsid w:val="00925D8C"/>
    <w:rsid w:val="0092659C"/>
    <w:rsid w:val="00926B4C"/>
    <w:rsid w:val="00926C9C"/>
    <w:rsid w:val="0092725B"/>
    <w:rsid w:val="00927543"/>
    <w:rsid w:val="009276F7"/>
    <w:rsid w:val="00930451"/>
    <w:rsid w:val="009304CC"/>
    <w:rsid w:val="00930809"/>
    <w:rsid w:val="00930E4D"/>
    <w:rsid w:val="009333E8"/>
    <w:rsid w:val="00933704"/>
    <w:rsid w:val="009339F0"/>
    <w:rsid w:val="00933D5D"/>
    <w:rsid w:val="0093466A"/>
    <w:rsid w:val="0093485D"/>
    <w:rsid w:val="00934A15"/>
    <w:rsid w:val="00934B76"/>
    <w:rsid w:val="0093514B"/>
    <w:rsid w:val="0093515F"/>
    <w:rsid w:val="00936794"/>
    <w:rsid w:val="0093688C"/>
    <w:rsid w:val="009420D1"/>
    <w:rsid w:val="009421F9"/>
    <w:rsid w:val="00942558"/>
    <w:rsid w:val="00943A92"/>
    <w:rsid w:val="00943B64"/>
    <w:rsid w:val="00943CB1"/>
    <w:rsid w:val="00943FEB"/>
    <w:rsid w:val="009445FB"/>
    <w:rsid w:val="00945312"/>
    <w:rsid w:val="009454DC"/>
    <w:rsid w:val="00945C12"/>
    <w:rsid w:val="00945D70"/>
    <w:rsid w:val="00946E2D"/>
    <w:rsid w:val="00947912"/>
    <w:rsid w:val="00947B34"/>
    <w:rsid w:val="00950023"/>
    <w:rsid w:val="0095083F"/>
    <w:rsid w:val="009515D1"/>
    <w:rsid w:val="009515ED"/>
    <w:rsid w:val="0095170E"/>
    <w:rsid w:val="00951E99"/>
    <w:rsid w:val="0095274A"/>
    <w:rsid w:val="009545D8"/>
    <w:rsid w:val="00954F7F"/>
    <w:rsid w:val="00954FD5"/>
    <w:rsid w:val="00955317"/>
    <w:rsid w:val="009553C5"/>
    <w:rsid w:val="009554E0"/>
    <w:rsid w:val="0095645E"/>
    <w:rsid w:val="00956BED"/>
    <w:rsid w:val="00956D94"/>
    <w:rsid w:val="00960271"/>
    <w:rsid w:val="00960C32"/>
    <w:rsid w:val="00960F66"/>
    <w:rsid w:val="009613ED"/>
    <w:rsid w:val="009618D5"/>
    <w:rsid w:val="00961A5A"/>
    <w:rsid w:val="0096296C"/>
    <w:rsid w:val="009631B1"/>
    <w:rsid w:val="009635EE"/>
    <w:rsid w:val="009639C7"/>
    <w:rsid w:val="00963A0D"/>
    <w:rsid w:val="00963AF7"/>
    <w:rsid w:val="009646EE"/>
    <w:rsid w:val="00965772"/>
    <w:rsid w:val="00966187"/>
    <w:rsid w:val="00966243"/>
    <w:rsid w:val="00966D1C"/>
    <w:rsid w:val="009672BE"/>
    <w:rsid w:val="0096731C"/>
    <w:rsid w:val="00967432"/>
    <w:rsid w:val="0096758D"/>
    <w:rsid w:val="00967CC0"/>
    <w:rsid w:val="00967D55"/>
    <w:rsid w:val="00967F69"/>
    <w:rsid w:val="00967F8C"/>
    <w:rsid w:val="00970249"/>
    <w:rsid w:val="00970A1A"/>
    <w:rsid w:val="00971CC8"/>
    <w:rsid w:val="00971F42"/>
    <w:rsid w:val="009731DD"/>
    <w:rsid w:val="0097361C"/>
    <w:rsid w:val="0097384D"/>
    <w:rsid w:val="009738E2"/>
    <w:rsid w:val="00973A02"/>
    <w:rsid w:val="00973AD2"/>
    <w:rsid w:val="00973FC6"/>
    <w:rsid w:val="00974569"/>
    <w:rsid w:val="009755AB"/>
    <w:rsid w:val="00975BFC"/>
    <w:rsid w:val="00975D28"/>
    <w:rsid w:val="00976898"/>
    <w:rsid w:val="009776CE"/>
    <w:rsid w:val="00977974"/>
    <w:rsid w:val="00977999"/>
    <w:rsid w:val="00977D4F"/>
    <w:rsid w:val="00977D8D"/>
    <w:rsid w:val="00980A82"/>
    <w:rsid w:val="00980CA1"/>
    <w:rsid w:val="00980E7C"/>
    <w:rsid w:val="009810E7"/>
    <w:rsid w:val="0098189D"/>
    <w:rsid w:val="00981A65"/>
    <w:rsid w:val="00981AC5"/>
    <w:rsid w:val="00982902"/>
    <w:rsid w:val="0098312A"/>
    <w:rsid w:val="00983383"/>
    <w:rsid w:val="00983A15"/>
    <w:rsid w:val="00983BF8"/>
    <w:rsid w:val="00983DE0"/>
    <w:rsid w:val="009840D6"/>
    <w:rsid w:val="00984544"/>
    <w:rsid w:val="009850BD"/>
    <w:rsid w:val="00985A37"/>
    <w:rsid w:val="00985AB9"/>
    <w:rsid w:val="00985CC8"/>
    <w:rsid w:val="00985D5C"/>
    <w:rsid w:val="009863C8"/>
    <w:rsid w:val="0098701E"/>
    <w:rsid w:val="0098720A"/>
    <w:rsid w:val="00987423"/>
    <w:rsid w:val="0098762B"/>
    <w:rsid w:val="009877D0"/>
    <w:rsid w:val="0099012E"/>
    <w:rsid w:val="009908F1"/>
    <w:rsid w:val="00990D55"/>
    <w:rsid w:val="00990D95"/>
    <w:rsid w:val="00990EED"/>
    <w:rsid w:val="0099234B"/>
    <w:rsid w:val="009924B5"/>
    <w:rsid w:val="0099263E"/>
    <w:rsid w:val="00992778"/>
    <w:rsid w:val="00992B49"/>
    <w:rsid w:val="00992C86"/>
    <w:rsid w:val="00993348"/>
    <w:rsid w:val="00993BBB"/>
    <w:rsid w:val="00994DD6"/>
    <w:rsid w:val="00995AD8"/>
    <w:rsid w:val="00995D96"/>
    <w:rsid w:val="009961FE"/>
    <w:rsid w:val="0099640A"/>
    <w:rsid w:val="00996D71"/>
    <w:rsid w:val="00996FB9"/>
    <w:rsid w:val="00997389"/>
    <w:rsid w:val="009976E1"/>
    <w:rsid w:val="00997AD0"/>
    <w:rsid w:val="009A0353"/>
    <w:rsid w:val="009A0AE8"/>
    <w:rsid w:val="009A0DFB"/>
    <w:rsid w:val="009A0E68"/>
    <w:rsid w:val="009A20E5"/>
    <w:rsid w:val="009A2643"/>
    <w:rsid w:val="009A2673"/>
    <w:rsid w:val="009A3378"/>
    <w:rsid w:val="009A3AC3"/>
    <w:rsid w:val="009A3E27"/>
    <w:rsid w:val="009A4411"/>
    <w:rsid w:val="009A48C6"/>
    <w:rsid w:val="009A5951"/>
    <w:rsid w:val="009A63B0"/>
    <w:rsid w:val="009A69E2"/>
    <w:rsid w:val="009A6ED8"/>
    <w:rsid w:val="009A714C"/>
    <w:rsid w:val="009A7540"/>
    <w:rsid w:val="009A76CC"/>
    <w:rsid w:val="009A7EF6"/>
    <w:rsid w:val="009B00E0"/>
    <w:rsid w:val="009B0132"/>
    <w:rsid w:val="009B091F"/>
    <w:rsid w:val="009B0E2F"/>
    <w:rsid w:val="009B11DC"/>
    <w:rsid w:val="009B15F9"/>
    <w:rsid w:val="009B2053"/>
    <w:rsid w:val="009B2B43"/>
    <w:rsid w:val="009B2C69"/>
    <w:rsid w:val="009B33BE"/>
    <w:rsid w:val="009B3D33"/>
    <w:rsid w:val="009B42D9"/>
    <w:rsid w:val="009B5067"/>
    <w:rsid w:val="009B54EA"/>
    <w:rsid w:val="009B59AC"/>
    <w:rsid w:val="009B5C93"/>
    <w:rsid w:val="009B6637"/>
    <w:rsid w:val="009B7795"/>
    <w:rsid w:val="009B7844"/>
    <w:rsid w:val="009B7DB3"/>
    <w:rsid w:val="009C01D1"/>
    <w:rsid w:val="009C03C2"/>
    <w:rsid w:val="009C0741"/>
    <w:rsid w:val="009C076D"/>
    <w:rsid w:val="009C078D"/>
    <w:rsid w:val="009C0FE4"/>
    <w:rsid w:val="009C0FF7"/>
    <w:rsid w:val="009C1239"/>
    <w:rsid w:val="009C12AD"/>
    <w:rsid w:val="009C15FA"/>
    <w:rsid w:val="009C1746"/>
    <w:rsid w:val="009C2150"/>
    <w:rsid w:val="009C25BB"/>
    <w:rsid w:val="009C29D9"/>
    <w:rsid w:val="009C2A38"/>
    <w:rsid w:val="009C2E15"/>
    <w:rsid w:val="009C2F98"/>
    <w:rsid w:val="009C31A4"/>
    <w:rsid w:val="009C3671"/>
    <w:rsid w:val="009C36A9"/>
    <w:rsid w:val="009C39D3"/>
    <w:rsid w:val="009C449D"/>
    <w:rsid w:val="009C4D77"/>
    <w:rsid w:val="009C4F3B"/>
    <w:rsid w:val="009C51CF"/>
    <w:rsid w:val="009C5255"/>
    <w:rsid w:val="009C57EA"/>
    <w:rsid w:val="009C593D"/>
    <w:rsid w:val="009C673E"/>
    <w:rsid w:val="009C6947"/>
    <w:rsid w:val="009C723B"/>
    <w:rsid w:val="009C75EF"/>
    <w:rsid w:val="009C7EC5"/>
    <w:rsid w:val="009C7F47"/>
    <w:rsid w:val="009C7FC4"/>
    <w:rsid w:val="009C7FF9"/>
    <w:rsid w:val="009D0781"/>
    <w:rsid w:val="009D09A5"/>
    <w:rsid w:val="009D0F17"/>
    <w:rsid w:val="009D185B"/>
    <w:rsid w:val="009D1E0B"/>
    <w:rsid w:val="009D22A1"/>
    <w:rsid w:val="009D2475"/>
    <w:rsid w:val="009D2A46"/>
    <w:rsid w:val="009D2C61"/>
    <w:rsid w:val="009D31E7"/>
    <w:rsid w:val="009D3953"/>
    <w:rsid w:val="009D3F3F"/>
    <w:rsid w:val="009D4407"/>
    <w:rsid w:val="009D4558"/>
    <w:rsid w:val="009D472D"/>
    <w:rsid w:val="009D4810"/>
    <w:rsid w:val="009D4DEA"/>
    <w:rsid w:val="009D5187"/>
    <w:rsid w:val="009D54B6"/>
    <w:rsid w:val="009D5655"/>
    <w:rsid w:val="009D591B"/>
    <w:rsid w:val="009D5E69"/>
    <w:rsid w:val="009D5EBE"/>
    <w:rsid w:val="009D6299"/>
    <w:rsid w:val="009D64FF"/>
    <w:rsid w:val="009D6C73"/>
    <w:rsid w:val="009D7658"/>
    <w:rsid w:val="009D7D61"/>
    <w:rsid w:val="009E0068"/>
    <w:rsid w:val="009E0414"/>
    <w:rsid w:val="009E0436"/>
    <w:rsid w:val="009E0A24"/>
    <w:rsid w:val="009E152A"/>
    <w:rsid w:val="009E19F1"/>
    <w:rsid w:val="009E1C54"/>
    <w:rsid w:val="009E1E83"/>
    <w:rsid w:val="009E1F0F"/>
    <w:rsid w:val="009E278D"/>
    <w:rsid w:val="009E2812"/>
    <w:rsid w:val="009E2A6F"/>
    <w:rsid w:val="009E2C48"/>
    <w:rsid w:val="009E2CCA"/>
    <w:rsid w:val="009E32B4"/>
    <w:rsid w:val="009E36AA"/>
    <w:rsid w:val="009E3740"/>
    <w:rsid w:val="009E444E"/>
    <w:rsid w:val="009E452B"/>
    <w:rsid w:val="009E4545"/>
    <w:rsid w:val="009E4F9A"/>
    <w:rsid w:val="009E5365"/>
    <w:rsid w:val="009E562C"/>
    <w:rsid w:val="009E5B26"/>
    <w:rsid w:val="009E658A"/>
    <w:rsid w:val="009E6CFA"/>
    <w:rsid w:val="009E6DA7"/>
    <w:rsid w:val="009E7764"/>
    <w:rsid w:val="009F00AF"/>
    <w:rsid w:val="009F0B36"/>
    <w:rsid w:val="009F18CC"/>
    <w:rsid w:val="009F19F2"/>
    <w:rsid w:val="009F23F7"/>
    <w:rsid w:val="009F292A"/>
    <w:rsid w:val="009F2A91"/>
    <w:rsid w:val="009F2FE8"/>
    <w:rsid w:val="009F3996"/>
    <w:rsid w:val="009F39A4"/>
    <w:rsid w:val="009F3A8B"/>
    <w:rsid w:val="009F3BEE"/>
    <w:rsid w:val="009F3FA5"/>
    <w:rsid w:val="009F4073"/>
    <w:rsid w:val="009F452B"/>
    <w:rsid w:val="009F48A6"/>
    <w:rsid w:val="009F4FDB"/>
    <w:rsid w:val="009F5328"/>
    <w:rsid w:val="009F5724"/>
    <w:rsid w:val="009F6278"/>
    <w:rsid w:val="009F66E6"/>
    <w:rsid w:val="009F678B"/>
    <w:rsid w:val="009F67C3"/>
    <w:rsid w:val="009F6A24"/>
    <w:rsid w:val="009F6A71"/>
    <w:rsid w:val="009F6FCF"/>
    <w:rsid w:val="009F7626"/>
    <w:rsid w:val="009F78C8"/>
    <w:rsid w:val="009F7A8D"/>
    <w:rsid w:val="009F7C2F"/>
    <w:rsid w:val="00A000B4"/>
    <w:rsid w:val="00A00A8C"/>
    <w:rsid w:val="00A01A3B"/>
    <w:rsid w:val="00A01E59"/>
    <w:rsid w:val="00A01FF2"/>
    <w:rsid w:val="00A02967"/>
    <w:rsid w:val="00A03207"/>
    <w:rsid w:val="00A03319"/>
    <w:rsid w:val="00A03E35"/>
    <w:rsid w:val="00A03F23"/>
    <w:rsid w:val="00A0431B"/>
    <w:rsid w:val="00A043F7"/>
    <w:rsid w:val="00A0452C"/>
    <w:rsid w:val="00A04AE7"/>
    <w:rsid w:val="00A05128"/>
    <w:rsid w:val="00A0547A"/>
    <w:rsid w:val="00A0569D"/>
    <w:rsid w:val="00A058CE"/>
    <w:rsid w:val="00A05C1B"/>
    <w:rsid w:val="00A05DDB"/>
    <w:rsid w:val="00A06E1D"/>
    <w:rsid w:val="00A074F9"/>
    <w:rsid w:val="00A0762F"/>
    <w:rsid w:val="00A10372"/>
    <w:rsid w:val="00A10638"/>
    <w:rsid w:val="00A106EE"/>
    <w:rsid w:val="00A10C7D"/>
    <w:rsid w:val="00A10ECB"/>
    <w:rsid w:val="00A1107E"/>
    <w:rsid w:val="00A11749"/>
    <w:rsid w:val="00A11A40"/>
    <w:rsid w:val="00A123FE"/>
    <w:rsid w:val="00A1271C"/>
    <w:rsid w:val="00A12C2D"/>
    <w:rsid w:val="00A12F10"/>
    <w:rsid w:val="00A130C0"/>
    <w:rsid w:val="00A134F1"/>
    <w:rsid w:val="00A13AE2"/>
    <w:rsid w:val="00A13DB7"/>
    <w:rsid w:val="00A14155"/>
    <w:rsid w:val="00A14167"/>
    <w:rsid w:val="00A147A7"/>
    <w:rsid w:val="00A14D20"/>
    <w:rsid w:val="00A14DB6"/>
    <w:rsid w:val="00A14EBE"/>
    <w:rsid w:val="00A14F59"/>
    <w:rsid w:val="00A157F0"/>
    <w:rsid w:val="00A15B8C"/>
    <w:rsid w:val="00A15CCD"/>
    <w:rsid w:val="00A165E4"/>
    <w:rsid w:val="00A16721"/>
    <w:rsid w:val="00A1726B"/>
    <w:rsid w:val="00A1751C"/>
    <w:rsid w:val="00A17ADC"/>
    <w:rsid w:val="00A20162"/>
    <w:rsid w:val="00A20D44"/>
    <w:rsid w:val="00A21B9D"/>
    <w:rsid w:val="00A21F41"/>
    <w:rsid w:val="00A220F5"/>
    <w:rsid w:val="00A22929"/>
    <w:rsid w:val="00A23D35"/>
    <w:rsid w:val="00A23FC1"/>
    <w:rsid w:val="00A2439C"/>
    <w:rsid w:val="00A2457A"/>
    <w:rsid w:val="00A249CE"/>
    <w:rsid w:val="00A24D85"/>
    <w:rsid w:val="00A25C55"/>
    <w:rsid w:val="00A262F0"/>
    <w:rsid w:val="00A266A9"/>
    <w:rsid w:val="00A26BD2"/>
    <w:rsid w:val="00A26F44"/>
    <w:rsid w:val="00A26FE7"/>
    <w:rsid w:val="00A2746C"/>
    <w:rsid w:val="00A2759C"/>
    <w:rsid w:val="00A27936"/>
    <w:rsid w:val="00A30604"/>
    <w:rsid w:val="00A307B7"/>
    <w:rsid w:val="00A30BC8"/>
    <w:rsid w:val="00A30E3C"/>
    <w:rsid w:val="00A3102A"/>
    <w:rsid w:val="00A3171B"/>
    <w:rsid w:val="00A317F3"/>
    <w:rsid w:val="00A3216E"/>
    <w:rsid w:val="00A32744"/>
    <w:rsid w:val="00A33AB6"/>
    <w:rsid w:val="00A33CC8"/>
    <w:rsid w:val="00A353D8"/>
    <w:rsid w:val="00A35692"/>
    <w:rsid w:val="00A35740"/>
    <w:rsid w:val="00A3610F"/>
    <w:rsid w:val="00A36961"/>
    <w:rsid w:val="00A36E7C"/>
    <w:rsid w:val="00A374FA"/>
    <w:rsid w:val="00A40846"/>
    <w:rsid w:val="00A40873"/>
    <w:rsid w:val="00A40F79"/>
    <w:rsid w:val="00A414BD"/>
    <w:rsid w:val="00A41644"/>
    <w:rsid w:val="00A42560"/>
    <w:rsid w:val="00A425D7"/>
    <w:rsid w:val="00A43283"/>
    <w:rsid w:val="00A438EE"/>
    <w:rsid w:val="00A43A24"/>
    <w:rsid w:val="00A43FB3"/>
    <w:rsid w:val="00A4467F"/>
    <w:rsid w:val="00A449AE"/>
    <w:rsid w:val="00A44ABB"/>
    <w:rsid w:val="00A44B07"/>
    <w:rsid w:val="00A44BFE"/>
    <w:rsid w:val="00A450F9"/>
    <w:rsid w:val="00A45B0B"/>
    <w:rsid w:val="00A465E5"/>
    <w:rsid w:val="00A467FB"/>
    <w:rsid w:val="00A46932"/>
    <w:rsid w:val="00A46B1E"/>
    <w:rsid w:val="00A46B46"/>
    <w:rsid w:val="00A46E60"/>
    <w:rsid w:val="00A46FBF"/>
    <w:rsid w:val="00A4789C"/>
    <w:rsid w:val="00A50A44"/>
    <w:rsid w:val="00A51152"/>
    <w:rsid w:val="00A5124B"/>
    <w:rsid w:val="00A525E5"/>
    <w:rsid w:val="00A52745"/>
    <w:rsid w:val="00A52821"/>
    <w:rsid w:val="00A52D89"/>
    <w:rsid w:val="00A52E90"/>
    <w:rsid w:val="00A52EFB"/>
    <w:rsid w:val="00A52F98"/>
    <w:rsid w:val="00A530A6"/>
    <w:rsid w:val="00A53295"/>
    <w:rsid w:val="00A536E8"/>
    <w:rsid w:val="00A5440C"/>
    <w:rsid w:val="00A54560"/>
    <w:rsid w:val="00A5467C"/>
    <w:rsid w:val="00A54D34"/>
    <w:rsid w:val="00A54FD7"/>
    <w:rsid w:val="00A55D77"/>
    <w:rsid w:val="00A57534"/>
    <w:rsid w:val="00A61238"/>
    <w:rsid w:val="00A61E39"/>
    <w:rsid w:val="00A620A5"/>
    <w:rsid w:val="00A62261"/>
    <w:rsid w:val="00A62EF6"/>
    <w:rsid w:val="00A640CD"/>
    <w:rsid w:val="00A6492D"/>
    <w:rsid w:val="00A656CD"/>
    <w:rsid w:val="00A663D4"/>
    <w:rsid w:val="00A67EE8"/>
    <w:rsid w:val="00A67F9F"/>
    <w:rsid w:val="00A70D0A"/>
    <w:rsid w:val="00A72869"/>
    <w:rsid w:val="00A72C43"/>
    <w:rsid w:val="00A730CF"/>
    <w:rsid w:val="00A7387D"/>
    <w:rsid w:val="00A73F54"/>
    <w:rsid w:val="00A74141"/>
    <w:rsid w:val="00A7455B"/>
    <w:rsid w:val="00A74C44"/>
    <w:rsid w:val="00A74F24"/>
    <w:rsid w:val="00A75246"/>
    <w:rsid w:val="00A75721"/>
    <w:rsid w:val="00A7664D"/>
    <w:rsid w:val="00A76E5D"/>
    <w:rsid w:val="00A776E8"/>
    <w:rsid w:val="00A77A54"/>
    <w:rsid w:val="00A77A85"/>
    <w:rsid w:val="00A80065"/>
    <w:rsid w:val="00A8097F"/>
    <w:rsid w:val="00A80A7A"/>
    <w:rsid w:val="00A812E9"/>
    <w:rsid w:val="00A818D0"/>
    <w:rsid w:val="00A81AAA"/>
    <w:rsid w:val="00A823B9"/>
    <w:rsid w:val="00A82578"/>
    <w:rsid w:val="00A827C1"/>
    <w:rsid w:val="00A82B2D"/>
    <w:rsid w:val="00A82F3E"/>
    <w:rsid w:val="00A831E3"/>
    <w:rsid w:val="00A83245"/>
    <w:rsid w:val="00A849C0"/>
    <w:rsid w:val="00A85160"/>
    <w:rsid w:val="00A85389"/>
    <w:rsid w:val="00A85685"/>
    <w:rsid w:val="00A856D3"/>
    <w:rsid w:val="00A85CBF"/>
    <w:rsid w:val="00A8798F"/>
    <w:rsid w:val="00A87D83"/>
    <w:rsid w:val="00A907BA"/>
    <w:rsid w:val="00A909BD"/>
    <w:rsid w:val="00A91083"/>
    <w:rsid w:val="00A91135"/>
    <w:rsid w:val="00A9113E"/>
    <w:rsid w:val="00A923D1"/>
    <w:rsid w:val="00A9360B"/>
    <w:rsid w:val="00A93C7C"/>
    <w:rsid w:val="00A93ED0"/>
    <w:rsid w:val="00A93FD5"/>
    <w:rsid w:val="00A942AB"/>
    <w:rsid w:val="00A94579"/>
    <w:rsid w:val="00A9579C"/>
    <w:rsid w:val="00A95DEC"/>
    <w:rsid w:val="00A9619D"/>
    <w:rsid w:val="00A96D09"/>
    <w:rsid w:val="00A9713D"/>
    <w:rsid w:val="00A97DB9"/>
    <w:rsid w:val="00AA077F"/>
    <w:rsid w:val="00AA0FE8"/>
    <w:rsid w:val="00AA113B"/>
    <w:rsid w:val="00AA149B"/>
    <w:rsid w:val="00AA2051"/>
    <w:rsid w:val="00AA21CB"/>
    <w:rsid w:val="00AA2BD3"/>
    <w:rsid w:val="00AA2CF8"/>
    <w:rsid w:val="00AA2D06"/>
    <w:rsid w:val="00AA2E91"/>
    <w:rsid w:val="00AA2EB8"/>
    <w:rsid w:val="00AA2EC9"/>
    <w:rsid w:val="00AA329A"/>
    <w:rsid w:val="00AA32EF"/>
    <w:rsid w:val="00AA3E82"/>
    <w:rsid w:val="00AA4B30"/>
    <w:rsid w:val="00AA4B96"/>
    <w:rsid w:val="00AA4BF0"/>
    <w:rsid w:val="00AA58D4"/>
    <w:rsid w:val="00AA5FD1"/>
    <w:rsid w:val="00AA70EB"/>
    <w:rsid w:val="00AA747B"/>
    <w:rsid w:val="00AA7898"/>
    <w:rsid w:val="00AB025A"/>
    <w:rsid w:val="00AB04F1"/>
    <w:rsid w:val="00AB07EE"/>
    <w:rsid w:val="00AB0EB5"/>
    <w:rsid w:val="00AB1558"/>
    <w:rsid w:val="00AB20E5"/>
    <w:rsid w:val="00AB250F"/>
    <w:rsid w:val="00AB462A"/>
    <w:rsid w:val="00AB4918"/>
    <w:rsid w:val="00AB4B87"/>
    <w:rsid w:val="00AB502B"/>
    <w:rsid w:val="00AB50ED"/>
    <w:rsid w:val="00AB510B"/>
    <w:rsid w:val="00AB51DE"/>
    <w:rsid w:val="00AB55D4"/>
    <w:rsid w:val="00AB5803"/>
    <w:rsid w:val="00AB5B7F"/>
    <w:rsid w:val="00AB5F2D"/>
    <w:rsid w:val="00AB6650"/>
    <w:rsid w:val="00AB7224"/>
    <w:rsid w:val="00AB7483"/>
    <w:rsid w:val="00AB752C"/>
    <w:rsid w:val="00AB7629"/>
    <w:rsid w:val="00AB7856"/>
    <w:rsid w:val="00AB7A79"/>
    <w:rsid w:val="00AC0C04"/>
    <w:rsid w:val="00AC1524"/>
    <w:rsid w:val="00AC2085"/>
    <w:rsid w:val="00AC2924"/>
    <w:rsid w:val="00AC2C43"/>
    <w:rsid w:val="00AC3C34"/>
    <w:rsid w:val="00AC3FBB"/>
    <w:rsid w:val="00AC46F9"/>
    <w:rsid w:val="00AC4818"/>
    <w:rsid w:val="00AC4B80"/>
    <w:rsid w:val="00AC4BD2"/>
    <w:rsid w:val="00AC51C8"/>
    <w:rsid w:val="00AC5B51"/>
    <w:rsid w:val="00AC5E1C"/>
    <w:rsid w:val="00AC6CCA"/>
    <w:rsid w:val="00AC7BF4"/>
    <w:rsid w:val="00AC7C25"/>
    <w:rsid w:val="00AD025F"/>
    <w:rsid w:val="00AD0B6A"/>
    <w:rsid w:val="00AD0FD6"/>
    <w:rsid w:val="00AD1A22"/>
    <w:rsid w:val="00AD2DC2"/>
    <w:rsid w:val="00AD31EE"/>
    <w:rsid w:val="00AD3418"/>
    <w:rsid w:val="00AD342C"/>
    <w:rsid w:val="00AD358C"/>
    <w:rsid w:val="00AD370C"/>
    <w:rsid w:val="00AD45F0"/>
    <w:rsid w:val="00AD4D19"/>
    <w:rsid w:val="00AD4F1B"/>
    <w:rsid w:val="00AD4FF9"/>
    <w:rsid w:val="00AD5075"/>
    <w:rsid w:val="00AD5A84"/>
    <w:rsid w:val="00AD5C60"/>
    <w:rsid w:val="00AD7807"/>
    <w:rsid w:val="00AD7A79"/>
    <w:rsid w:val="00AD7A8C"/>
    <w:rsid w:val="00AD7E50"/>
    <w:rsid w:val="00AE08E3"/>
    <w:rsid w:val="00AE0982"/>
    <w:rsid w:val="00AE12E5"/>
    <w:rsid w:val="00AE1502"/>
    <w:rsid w:val="00AE1558"/>
    <w:rsid w:val="00AE1687"/>
    <w:rsid w:val="00AE1825"/>
    <w:rsid w:val="00AE1C86"/>
    <w:rsid w:val="00AE1C88"/>
    <w:rsid w:val="00AE1D13"/>
    <w:rsid w:val="00AE21D5"/>
    <w:rsid w:val="00AE2254"/>
    <w:rsid w:val="00AE2311"/>
    <w:rsid w:val="00AE2918"/>
    <w:rsid w:val="00AE293B"/>
    <w:rsid w:val="00AE295D"/>
    <w:rsid w:val="00AE37A2"/>
    <w:rsid w:val="00AE42D0"/>
    <w:rsid w:val="00AE42D3"/>
    <w:rsid w:val="00AE4723"/>
    <w:rsid w:val="00AE4771"/>
    <w:rsid w:val="00AE4816"/>
    <w:rsid w:val="00AE5C39"/>
    <w:rsid w:val="00AE5F61"/>
    <w:rsid w:val="00AE5FE8"/>
    <w:rsid w:val="00AE6C3A"/>
    <w:rsid w:val="00AE7387"/>
    <w:rsid w:val="00AE7631"/>
    <w:rsid w:val="00AE7670"/>
    <w:rsid w:val="00AE7995"/>
    <w:rsid w:val="00AE7A22"/>
    <w:rsid w:val="00AF0415"/>
    <w:rsid w:val="00AF0784"/>
    <w:rsid w:val="00AF0963"/>
    <w:rsid w:val="00AF0B5D"/>
    <w:rsid w:val="00AF0CEC"/>
    <w:rsid w:val="00AF1631"/>
    <w:rsid w:val="00AF1B79"/>
    <w:rsid w:val="00AF227D"/>
    <w:rsid w:val="00AF2416"/>
    <w:rsid w:val="00AF2D1D"/>
    <w:rsid w:val="00AF3986"/>
    <w:rsid w:val="00AF3D12"/>
    <w:rsid w:val="00AF4339"/>
    <w:rsid w:val="00AF471C"/>
    <w:rsid w:val="00AF4CFA"/>
    <w:rsid w:val="00AF50CF"/>
    <w:rsid w:val="00AF50EE"/>
    <w:rsid w:val="00AF5690"/>
    <w:rsid w:val="00AF5D74"/>
    <w:rsid w:val="00AF5E2B"/>
    <w:rsid w:val="00AF6A75"/>
    <w:rsid w:val="00AF6AAE"/>
    <w:rsid w:val="00AF737F"/>
    <w:rsid w:val="00B002B9"/>
    <w:rsid w:val="00B004CF"/>
    <w:rsid w:val="00B01446"/>
    <w:rsid w:val="00B015F0"/>
    <w:rsid w:val="00B01CB5"/>
    <w:rsid w:val="00B01F94"/>
    <w:rsid w:val="00B02293"/>
    <w:rsid w:val="00B02370"/>
    <w:rsid w:val="00B02693"/>
    <w:rsid w:val="00B02C0D"/>
    <w:rsid w:val="00B02CB8"/>
    <w:rsid w:val="00B02D60"/>
    <w:rsid w:val="00B04317"/>
    <w:rsid w:val="00B04318"/>
    <w:rsid w:val="00B048A9"/>
    <w:rsid w:val="00B04CA3"/>
    <w:rsid w:val="00B06289"/>
    <w:rsid w:val="00B06914"/>
    <w:rsid w:val="00B07287"/>
    <w:rsid w:val="00B076D1"/>
    <w:rsid w:val="00B0795A"/>
    <w:rsid w:val="00B07D56"/>
    <w:rsid w:val="00B07EA3"/>
    <w:rsid w:val="00B12118"/>
    <w:rsid w:val="00B126C5"/>
    <w:rsid w:val="00B12BA1"/>
    <w:rsid w:val="00B13215"/>
    <w:rsid w:val="00B1344C"/>
    <w:rsid w:val="00B13E2D"/>
    <w:rsid w:val="00B13EE3"/>
    <w:rsid w:val="00B14483"/>
    <w:rsid w:val="00B144CD"/>
    <w:rsid w:val="00B146FE"/>
    <w:rsid w:val="00B14A13"/>
    <w:rsid w:val="00B14FDF"/>
    <w:rsid w:val="00B15FAA"/>
    <w:rsid w:val="00B17A6C"/>
    <w:rsid w:val="00B2046F"/>
    <w:rsid w:val="00B209E6"/>
    <w:rsid w:val="00B211A9"/>
    <w:rsid w:val="00B21C69"/>
    <w:rsid w:val="00B220BC"/>
    <w:rsid w:val="00B22164"/>
    <w:rsid w:val="00B221B2"/>
    <w:rsid w:val="00B22EEC"/>
    <w:rsid w:val="00B231C2"/>
    <w:rsid w:val="00B233A5"/>
    <w:rsid w:val="00B23529"/>
    <w:rsid w:val="00B24763"/>
    <w:rsid w:val="00B24BC0"/>
    <w:rsid w:val="00B261BA"/>
    <w:rsid w:val="00B26377"/>
    <w:rsid w:val="00B263DF"/>
    <w:rsid w:val="00B27407"/>
    <w:rsid w:val="00B27881"/>
    <w:rsid w:val="00B279E1"/>
    <w:rsid w:val="00B301B7"/>
    <w:rsid w:val="00B30209"/>
    <w:rsid w:val="00B31609"/>
    <w:rsid w:val="00B31656"/>
    <w:rsid w:val="00B31B34"/>
    <w:rsid w:val="00B31BF2"/>
    <w:rsid w:val="00B325F0"/>
    <w:rsid w:val="00B32BE7"/>
    <w:rsid w:val="00B33491"/>
    <w:rsid w:val="00B33D2C"/>
    <w:rsid w:val="00B3407B"/>
    <w:rsid w:val="00B340CE"/>
    <w:rsid w:val="00B34A01"/>
    <w:rsid w:val="00B35532"/>
    <w:rsid w:val="00B356CC"/>
    <w:rsid w:val="00B35BF4"/>
    <w:rsid w:val="00B37888"/>
    <w:rsid w:val="00B379B8"/>
    <w:rsid w:val="00B37E82"/>
    <w:rsid w:val="00B405A0"/>
    <w:rsid w:val="00B407F2"/>
    <w:rsid w:val="00B40AC9"/>
    <w:rsid w:val="00B41492"/>
    <w:rsid w:val="00B41CF7"/>
    <w:rsid w:val="00B41E99"/>
    <w:rsid w:val="00B42896"/>
    <w:rsid w:val="00B431B3"/>
    <w:rsid w:val="00B43A37"/>
    <w:rsid w:val="00B43C5C"/>
    <w:rsid w:val="00B43CB0"/>
    <w:rsid w:val="00B44283"/>
    <w:rsid w:val="00B446A2"/>
    <w:rsid w:val="00B44DFD"/>
    <w:rsid w:val="00B44E0C"/>
    <w:rsid w:val="00B45532"/>
    <w:rsid w:val="00B4571C"/>
    <w:rsid w:val="00B458EC"/>
    <w:rsid w:val="00B45A0B"/>
    <w:rsid w:val="00B461CA"/>
    <w:rsid w:val="00B465D8"/>
    <w:rsid w:val="00B46DAE"/>
    <w:rsid w:val="00B46DE6"/>
    <w:rsid w:val="00B475CE"/>
    <w:rsid w:val="00B478C1"/>
    <w:rsid w:val="00B47C35"/>
    <w:rsid w:val="00B47F25"/>
    <w:rsid w:val="00B503D4"/>
    <w:rsid w:val="00B50A7C"/>
    <w:rsid w:val="00B50BB3"/>
    <w:rsid w:val="00B50E45"/>
    <w:rsid w:val="00B5130B"/>
    <w:rsid w:val="00B51652"/>
    <w:rsid w:val="00B51AE7"/>
    <w:rsid w:val="00B52AD4"/>
    <w:rsid w:val="00B533F5"/>
    <w:rsid w:val="00B538C8"/>
    <w:rsid w:val="00B53A02"/>
    <w:rsid w:val="00B53D22"/>
    <w:rsid w:val="00B540E6"/>
    <w:rsid w:val="00B54A39"/>
    <w:rsid w:val="00B55930"/>
    <w:rsid w:val="00B56352"/>
    <w:rsid w:val="00B564F1"/>
    <w:rsid w:val="00B570B0"/>
    <w:rsid w:val="00B57D71"/>
    <w:rsid w:val="00B57E87"/>
    <w:rsid w:val="00B60883"/>
    <w:rsid w:val="00B6089D"/>
    <w:rsid w:val="00B60F41"/>
    <w:rsid w:val="00B61003"/>
    <w:rsid w:val="00B6135D"/>
    <w:rsid w:val="00B6141F"/>
    <w:rsid w:val="00B6163E"/>
    <w:rsid w:val="00B61818"/>
    <w:rsid w:val="00B61D4D"/>
    <w:rsid w:val="00B61F0D"/>
    <w:rsid w:val="00B6224F"/>
    <w:rsid w:val="00B62266"/>
    <w:rsid w:val="00B623D1"/>
    <w:rsid w:val="00B6355A"/>
    <w:rsid w:val="00B63C85"/>
    <w:rsid w:val="00B64012"/>
    <w:rsid w:val="00B640AB"/>
    <w:rsid w:val="00B64449"/>
    <w:rsid w:val="00B647EC"/>
    <w:rsid w:val="00B64DFF"/>
    <w:rsid w:val="00B6522E"/>
    <w:rsid w:val="00B65320"/>
    <w:rsid w:val="00B65C0D"/>
    <w:rsid w:val="00B6642F"/>
    <w:rsid w:val="00B66516"/>
    <w:rsid w:val="00B66520"/>
    <w:rsid w:val="00B6679E"/>
    <w:rsid w:val="00B66D35"/>
    <w:rsid w:val="00B67566"/>
    <w:rsid w:val="00B70718"/>
    <w:rsid w:val="00B708A9"/>
    <w:rsid w:val="00B708C6"/>
    <w:rsid w:val="00B70CF3"/>
    <w:rsid w:val="00B70EC6"/>
    <w:rsid w:val="00B710AD"/>
    <w:rsid w:val="00B71192"/>
    <w:rsid w:val="00B711E0"/>
    <w:rsid w:val="00B71A3D"/>
    <w:rsid w:val="00B73631"/>
    <w:rsid w:val="00B747B5"/>
    <w:rsid w:val="00B74DB4"/>
    <w:rsid w:val="00B75057"/>
    <w:rsid w:val="00B75639"/>
    <w:rsid w:val="00B75D16"/>
    <w:rsid w:val="00B75F96"/>
    <w:rsid w:val="00B77BCF"/>
    <w:rsid w:val="00B77F14"/>
    <w:rsid w:val="00B803BD"/>
    <w:rsid w:val="00B80ECD"/>
    <w:rsid w:val="00B812A5"/>
    <w:rsid w:val="00B818D8"/>
    <w:rsid w:val="00B818EF"/>
    <w:rsid w:val="00B81AAD"/>
    <w:rsid w:val="00B823DB"/>
    <w:rsid w:val="00B82417"/>
    <w:rsid w:val="00B82E7C"/>
    <w:rsid w:val="00B82EF0"/>
    <w:rsid w:val="00B8354D"/>
    <w:rsid w:val="00B8376D"/>
    <w:rsid w:val="00B83BF0"/>
    <w:rsid w:val="00B83C1E"/>
    <w:rsid w:val="00B83DAF"/>
    <w:rsid w:val="00B83F02"/>
    <w:rsid w:val="00B84133"/>
    <w:rsid w:val="00B84375"/>
    <w:rsid w:val="00B846F3"/>
    <w:rsid w:val="00B85538"/>
    <w:rsid w:val="00B866CF"/>
    <w:rsid w:val="00B87087"/>
    <w:rsid w:val="00B90200"/>
    <w:rsid w:val="00B90359"/>
    <w:rsid w:val="00B907A0"/>
    <w:rsid w:val="00B907D0"/>
    <w:rsid w:val="00B90F1C"/>
    <w:rsid w:val="00B91349"/>
    <w:rsid w:val="00B91F8A"/>
    <w:rsid w:val="00B9222B"/>
    <w:rsid w:val="00B923F0"/>
    <w:rsid w:val="00B928B1"/>
    <w:rsid w:val="00B9296D"/>
    <w:rsid w:val="00B92B66"/>
    <w:rsid w:val="00B92BDE"/>
    <w:rsid w:val="00B93014"/>
    <w:rsid w:val="00B93414"/>
    <w:rsid w:val="00B934ED"/>
    <w:rsid w:val="00B936CB"/>
    <w:rsid w:val="00B938EF"/>
    <w:rsid w:val="00B93BA8"/>
    <w:rsid w:val="00B945DC"/>
    <w:rsid w:val="00B950DB"/>
    <w:rsid w:val="00B954A3"/>
    <w:rsid w:val="00B9593A"/>
    <w:rsid w:val="00B96517"/>
    <w:rsid w:val="00B9690C"/>
    <w:rsid w:val="00B96B64"/>
    <w:rsid w:val="00B9767D"/>
    <w:rsid w:val="00B97F99"/>
    <w:rsid w:val="00BA0782"/>
    <w:rsid w:val="00BA07FC"/>
    <w:rsid w:val="00BA1D47"/>
    <w:rsid w:val="00BA2373"/>
    <w:rsid w:val="00BA241D"/>
    <w:rsid w:val="00BA2460"/>
    <w:rsid w:val="00BA29FC"/>
    <w:rsid w:val="00BA37B7"/>
    <w:rsid w:val="00BA37F0"/>
    <w:rsid w:val="00BA37F1"/>
    <w:rsid w:val="00BA3E32"/>
    <w:rsid w:val="00BA43CE"/>
    <w:rsid w:val="00BA4AAC"/>
    <w:rsid w:val="00BA4DFE"/>
    <w:rsid w:val="00BA4EF6"/>
    <w:rsid w:val="00BA5151"/>
    <w:rsid w:val="00BA5418"/>
    <w:rsid w:val="00BA54E9"/>
    <w:rsid w:val="00BA563A"/>
    <w:rsid w:val="00BA5BD3"/>
    <w:rsid w:val="00BA5E05"/>
    <w:rsid w:val="00BA62A1"/>
    <w:rsid w:val="00BA63E1"/>
    <w:rsid w:val="00BA6542"/>
    <w:rsid w:val="00BA655B"/>
    <w:rsid w:val="00BA6D8A"/>
    <w:rsid w:val="00BA6F93"/>
    <w:rsid w:val="00BA6FF4"/>
    <w:rsid w:val="00BA7690"/>
    <w:rsid w:val="00BA7AFD"/>
    <w:rsid w:val="00BA7BC3"/>
    <w:rsid w:val="00BA7D0C"/>
    <w:rsid w:val="00BB143A"/>
    <w:rsid w:val="00BB14D8"/>
    <w:rsid w:val="00BB15A1"/>
    <w:rsid w:val="00BB2D6B"/>
    <w:rsid w:val="00BB37CA"/>
    <w:rsid w:val="00BB3AB8"/>
    <w:rsid w:val="00BB3E01"/>
    <w:rsid w:val="00BB493B"/>
    <w:rsid w:val="00BB4BEB"/>
    <w:rsid w:val="00BB4D0E"/>
    <w:rsid w:val="00BB519D"/>
    <w:rsid w:val="00BB5857"/>
    <w:rsid w:val="00BB5CAE"/>
    <w:rsid w:val="00BB6055"/>
    <w:rsid w:val="00BB68EE"/>
    <w:rsid w:val="00BB6A39"/>
    <w:rsid w:val="00BB6B75"/>
    <w:rsid w:val="00BB6CE3"/>
    <w:rsid w:val="00BB78AB"/>
    <w:rsid w:val="00BC0577"/>
    <w:rsid w:val="00BC0B95"/>
    <w:rsid w:val="00BC1530"/>
    <w:rsid w:val="00BC1983"/>
    <w:rsid w:val="00BC2214"/>
    <w:rsid w:val="00BC2871"/>
    <w:rsid w:val="00BC2AD8"/>
    <w:rsid w:val="00BC2BB0"/>
    <w:rsid w:val="00BC2F15"/>
    <w:rsid w:val="00BC30A0"/>
    <w:rsid w:val="00BC32E2"/>
    <w:rsid w:val="00BC3408"/>
    <w:rsid w:val="00BC3E59"/>
    <w:rsid w:val="00BC40D3"/>
    <w:rsid w:val="00BC4872"/>
    <w:rsid w:val="00BC62B5"/>
    <w:rsid w:val="00BC6DBF"/>
    <w:rsid w:val="00BC74C9"/>
    <w:rsid w:val="00BC7848"/>
    <w:rsid w:val="00BC79A9"/>
    <w:rsid w:val="00BD030B"/>
    <w:rsid w:val="00BD0477"/>
    <w:rsid w:val="00BD0C1A"/>
    <w:rsid w:val="00BD1474"/>
    <w:rsid w:val="00BD158F"/>
    <w:rsid w:val="00BD1853"/>
    <w:rsid w:val="00BD2DAE"/>
    <w:rsid w:val="00BD3709"/>
    <w:rsid w:val="00BD3CE2"/>
    <w:rsid w:val="00BD3F69"/>
    <w:rsid w:val="00BD53BD"/>
    <w:rsid w:val="00BD55E1"/>
    <w:rsid w:val="00BD5C88"/>
    <w:rsid w:val="00BD5DCE"/>
    <w:rsid w:val="00BD6394"/>
    <w:rsid w:val="00BD648E"/>
    <w:rsid w:val="00BD6D59"/>
    <w:rsid w:val="00BD7DFA"/>
    <w:rsid w:val="00BE00F5"/>
    <w:rsid w:val="00BE18D0"/>
    <w:rsid w:val="00BE1C73"/>
    <w:rsid w:val="00BE1CD0"/>
    <w:rsid w:val="00BE1D85"/>
    <w:rsid w:val="00BE21DD"/>
    <w:rsid w:val="00BE286C"/>
    <w:rsid w:val="00BE2B4D"/>
    <w:rsid w:val="00BE2D34"/>
    <w:rsid w:val="00BE2F38"/>
    <w:rsid w:val="00BE3247"/>
    <w:rsid w:val="00BE41DB"/>
    <w:rsid w:val="00BE55F6"/>
    <w:rsid w:val="00BE5E5E"/>
    <w:rsid w:val="00BE654B"/>
    <w:rsid w:val="00BE65C5"/>
    <w:rsid w:val="00BE6D78"/>
    <w:rsid w:val="00BE6EC8"/>
    <w:rsid w:val="00BE727D"/>
    <w:rsid w:val="00BE7CD4"/>
    <w:rsid w:val="00BF0EF7"/>
    <w:rsid w:val="00BF0F62"/>
    <w:rsid w:val="00BF1A4D"/>
    <w:rsid w:val="00BF1C23"/>
    <w:rsid w:val="00BF26EB"/>
    <w:rsid w:val="00BF28C7"/>
    <w:rsid w:val="00BF350E"/>
    <w:rsid w:val="00BF4080"/>
    <w:rsid w:val="00BF414B"/>
    <w:rsid w:val="00BF4F9F"/>
    <w:rsid w:val="00BF5305"/>
    <w:rsid w:val="00BF5370"/>
    <w:rsid w:val="00BF5553"/>
    <w:rsid w:val="00BF5A47"/>
    <w:rsid w:val="00BF5A68"/>
    <w:rsid w:val="00BF5FD7"/>
    <w:rsid w:val="00BF68CE"/>
    <w:rsid w:val="00BF6FE9"/>
    <w:rsid w:val="00BF6FF2"/>
    <w:rsid w:val="00BF7F45"/>
    <w:rsid w:val="00C004B0"/>
    <w:rsid w:val="00C007E3"/>
    <w:rsid w:val="00C00DDC"/>
    <w:rsid w:val="00C01397"/>
    <w:rsid w:val="00C01586"/>
    <w:rsid w:val="00C0159B"/>
    <w:rsid w:val="00C01963"/>
    <w:rsid w:val="00C01B1E"/>
    <w:rsid w:val="00C028DB"/>
    <w:rsid w:val="00C02F43"/>
    <w:rsid w:val="00C03996"/>
    <w:rsid w:val="00C03A52"/>
    <w:rsid w:val="00C03A6D"/>
    <w:rsid w:val="00C03EA4"/>
    <w:rsid w:val="00C04199"/>
    <w:rsid w:val="00C04F36"/>
    <w:rsid w:val="00C06AA8"/>
    <w:rsid w:val="00C0729B"/>
    <w:rsid w:val="00C07603"/>
    <w:rsid w:val="00C079B4"/>
    <w:rsid w:val="00C07A8C"/>
    <w:rsid w:val="00C10106"/>
    <w:rsid w:val="00C10631"/>
    <w:rsid w:val="00C107AF"/>
    <w:rsid w:val="00C10BB3"/>
    <w:rsid w:val="00C1132B"/>
    <w:rsid w:val="00C113CB"/>
    <w:rsid w:val="00C114FC"/>
    <w:rsid w:val="00C11651"/>
    <w:rsid w:val="00C11A4E"/>
    <w:rsid w:val="00C11C58"/>
    <w:rsid w:val="00C11F8F"/>
    <w:rsid w:val="00C11FC4"/>
    <w:rsid w:val="00C120CE"/>
    <w:rsid w:val="00C128A1"/>
    <w:rsid w:val="00C12E0B"/>
    <w:rsid w:val="00C14898"/>
    <w:rsid w:val="00C148DE"/>
    <w:rsid w:val="00C1494F"/>
    <w:rsid w:val="00C14D2E"/>
    <w:rsid w:val="00C15745"/>
    <w:rsid w:val="00C170C5"/>
    <w:rsid w:val="00C174A4"/>
    <w:rsid w:val="00C1757C"/>
    <w:rsid w:val="00C204E9"/>
    <w:rsid w:val="00C204F9"/>
    <w:rsid w:val="00C205EF"/>
    <w:rsid w:val="00C20C22"/>
    <w:rsid w:val="00C20F08"/>
    <w:rsid w:val="00C21314"/>
    <w:rsid w:val="00C21360"/>
    <w:rsid w:val="00C21662"/>
    <w:rsid w:val="00C22405"/>
    <w:rsid w:val="00C2267F"/>
    <w:rsid w:val="00C22946"/>
    <w:rsid w:val="00C22A87"/>
    <w:rsid w:val="00C22BDE"/>
    <w:rsid w:val="00C241F3"/>
    <w:rsid w:val="00C24995"/>
    <w:rsid w:val="00C24D11"/>
    <w:rsid w:val="00C2616E"/>
    <w:rsid w:val="00C2636C"/>
    <w:rsid w:val="00C26F14"/>
    <w:rsid w:val="00C273AC"/>
    <w:rsid w:val="00C27561"/>
    <w:rsid w:val="00C2781F"/>
    <w:rsid w:val="00C30150"/>
    <w:rsid w:val="00C3064F"/>
    <w:rsid w:val="00C31180"/>
    <w:rsid w:val="00C31AC3"/>
    <w:rsid w:val="00C32831"/>
    <w:rsid w:val="00C337DF"/>
    <w:rsid w:val="00C34436"/>
    <w:rsid w:val="00C34802"/>
    <w:rsid w:val="00C354E8"/>
    <w:rsid w:val="00C36341"/>
    <w:rsid w:val="00C364E1"/>
    <w:rsid w:val="00C3655E"/>
    <w:rsid w:val="00C365C1"/>
    <w:rsid w:val="00C36956"/>
    <w:rsid w:val="00C372EE"/>
    <w:rsid w:val="00C3771F"/>
    <w:rsid w:val="00C37883"/>
    <w:rsid w:val="00C4006C"/>
    <w:rsid w:val="00C4018D"/>
    <w:rsid w:val="00C401FA"/>
    <w:rsid w:val="00C408D9"/>
    <w:rsid w:val="00C40CF2"/>
    <w:rsid w:val="00C40E45"/>
    <w:rsid w:val="00C412DA"/>
    <w:rsid w:val="00C41500"/>
    <w:rsid w:val="00C416C0"/>
    <w:rsid w:val="00C418EC"/>
    <w:rsid w:val="00C41DFF"/>
    <w:rsid w:val="00C41F83"/>
    <w:rsid w:val="00C42235"/>
    <w:rsid w:val="00C423B6"/>
    <w:rsid w:val="00C428D9"/>
    <w:rsid w:val="00C429D6"/>
    <w:rsid w:val="00C42DB2"/>
    <w:rsid w:val="00C42E3D"/>
    <w:rsid w:val="00C43176"/>
    <w:rsid w:val="00C43207"/>
    <w:rsid w:val="00C43F92"/>
    <w:rsid w:val="00C4439C"/>
    <w:rsid w:val="00C4534A"/>
    <w:rsid w:val="00C458A7"/>
    <w:rsid w:val="00C460F2"/>
    <w:rsid w:val="00C467F1"/>
    <w:rsid w:val="00C46861"/>
    <w:rsid w:val="00C46F9D"/>
    <w:rsid w:val="00C47111"/>
    <w:rsid w:val="00C4761E"/>
    <w:rsid w:val="00C47957"/>
    <w:rsid w:val="00C479DE"/>
    <w:rsid w:val="00C50D47"/>
    <w:rsid w:val="00C50DB7"/>
    <w:rsid w:val="00C50F7F"/>
    <w:rsid w:val="00C51297"/>
    <w:rsid w:val="00C5157E"/>
    <w:rsid w:val="00C518C1"/>
    <w:rsid w:val="00C51A9A"/>
    <w:rsid w:val="00C52B0E"/>
    <w:rsid w:val="00C52B4B"/>
    <w:rsid w:val="00C53307"/>
    <w:rsid w:val="00C53356"/>
    <w:rsid w:val="00C539ED"/>
    <w:rsid w:val="00C556F5"/>
    <w:rsid w:val="00C56615"/>
    <w:rsid w:val="00C56707"/>
    <w:rsid w:val="00C56DED"/>
    <w:rsid w:val="00C5717D"/>
    <w:rsid w:val="00C57244"/>
    <w:rsid w:val="00C57374"/>
    <w:rsid w:val="00C57535"/>
    <w:rsid w:val="00C5767D"/>
    <w:rsid w:val="00C601C1"/>
    <w:rsid w:val="00C60602"/>
    <w:rsid w:val="00C608E8"/>
    <w:rsid w:val="00C6107D"/>
    <w:rsid w:val="00C61174"/>
    <w:rsid w:val="00C612CF"/>
    <w:rsid w:val="00C613B8"/>
    <w:rsid w:val="00C61B4A"/>
    <w:rsid w:val="00C61CEB"/>
    <w:rsid w:val="00C61F94"/>
    <w:rsid w:val="00C62450"/>
    <w:rsid w:val="00C627B8"/>
    <w:rsid w:val="00C62D6E"/>
    <w:rsid w:val="00C643A4"/>
    <w:rsid w:val="00C64426"/>
    <w:rsid w:val="00C645FE"/>
    <w:rsid w:val="00C64D85"/>
    <w:rsid w:val="00C64F36"/>
    <w:rsid w:val="00C66075"/>
    <w:rsid w:val="00C665A3"/>
    <w:rsid w:val="00C66C75"/>
    <w:rsid w:val="00C66ED2"/>
    <w:rsid w:val="00C67043"/>
    <w:rsid w:val="00C6783B"/>
    <w:rsid w:val="00C67A13"/>
    <w:rsid w:val="00C67AC6"/>
    <w:rsid w:val="00C70FEC"/>
    <w:rsid w:val="00C716C8"/>
    <w:rsid w:val="00C720C7"/>
    <w:rsid w:val="00C73603"/>
    <w:rsid w:val="00C7397D"/>
    <w:rsid w:val="00C744E1"/>
    <w:rsid w:val="00C7477D"/>
    <w:rsid w:val="00C74881"/>
    <w:rsid w:val="00C74B68"/>
    <w:rsid w:val="00C74D85"/>
    <w:rsid w:val="00C74E82"/>
    <w:rsid w:val="00C74F19"/>
    <w:rsid w:val="00C7502F"/>
    <w:rsid w:val="00C75674"/>
    <w:rsid w:val="00C760E8"/>
    <w:rsid w:val="00C764DD"/>
    <w:rsid w:val="00C76AB0"/>
    <w:rsid w:val="00C76B58"/>
    <w:rsid w:val="00C76E08"/>
    <w:rsid w:val="00C7718B"/>
    <w:rsid w:val="00C7797F"/>
    <w:rsid w:val="00C8028C"/>
    <w:rsid w:val="00C809C9"/>
    <w:rsid w:val="00C81119"/>
    <w:rsid w:val="00C8113C"/>
    <w:rsid w:val="00C813D0"/>
    <w:rsid w:val="00C83325"/>
    <w:rsid w:val="00C83802"/>
    <w:rsid w:val="00C839D0"/>
    <w:rsid w:val="00C84165"/>
    <w:rsid w:val="00C844B6"/>
    <w:rsid w:val="00C848DD"/>
    <w:rsid w:val="00C84EC9"/>
    <w:rsid w:val="00C8538F"/>
    <w:rsid w:val="00C85621"/>
    <w:rsid w:val="00C8585F"/>
    <w:rsid w:val="00C859B8"/>
    <w:rsid w:val="00C85A38"/>
    <w:rsid w:val="00C8615B"/>
    <w:rsid w:val="00C86711"/>
    <w:rsid w:val="00C86F49"/>
    <w:rsid w:val="00C87866"/>
    <w:rsid w:val="00C87A96"/>
    <w:rsid w:val="00C90201"/>
    <w:rsid w:val="00C91165"/>
    <w:rsid w:val="00C9141F"/>
    <w:rsid w:val="00C9163F"/>
    <w:rsid w:val="00C91AFA"/>
    <w:rsid w:val="00C91BC3"/>
    <w:rsid w:val="00C92AA6"/>
    <w:rsid w:val="00C934E1"/>
    <w:rsid w:val="00C938AB"/>
    <w:rsid w:val="00C93EB3"/>
    <w:rsid w:val="00C93F51"/>
    <w:rsid w:val="00C94755"/>
    <w:rsid w:val="00C94F58"/>
    <w:rsid w:val="00C963D5"/>
    <w:rsid w:val="00C97C67"/>
    <w:rsid w:val="00C97F7A"/>
    <w:rsid w:val="00CA09C8"/>
    <w:rsid w:val="00CA0C67"/>
    <w:rsid w:val="00CA0F32"/>
    <w:rsid w:val="00CA1488"/>
    <w:rsid w:val="00CA15EC"/>
    <w:rsid w:val="00CA199E"/>
    <w:rsid w:val="00CA1A47"/>
    <w:rsid w:val="00CA1FF0"/>
    <w:rsid w:val="00CA268F"/>
    <w:rsid w:val="00CA291B"/>
    <w:rsid w:val="00CA298F"/>
    <w:rsid w:val="00CA2AC4"/>
    <w:rsid w:val="00CA2F52"/>
    <w:rsid w:val="00CA34D7"/>
    <w:rsid w:val="00CA4EEE"/>
    <w:rsid w:val="00CA5BDE"/>
    <w:rsid w:val="00CA5DBE"/>
    <w:rsid w:val="00CA601B"/>
    <w:rsid w:val="00CA7BC8"/>
    <w:rsid w:val="00CA7E28"/>
    <w:rsid w:val="00CB02C7"/>
    <w:rsid w:val="00CB18A2"/>
    <w:rsid w:val="00CB18FE"/>
    <w:rsid w:val="00CB2AFC"/>
    <w:rsid w:val="00CB3C26"/>
    <w:rsid w:val="00CB44DE"/>
    <w:rsid w:val="00CB4899"/>
    <w:rsid w:val="00CB5018"/>
    <w:rsid w:val="00CB5C36"/>
    <w:rsid w:val="00CB5C44"/>
    <w:rsid w:val="00CB5EC7"/>
    <w:rsid w:val="00CB63E5"/>
    <w:rsid w:val="00CB67F5"/>
    <w:rsid w:val="00CB69A4"/>
    <w:rsid w:val="00CB6AC6"/>
    <w:rsid w:val="00CB6D50"/>
    <w:rsid w:val="00CB7BAC"/>
    <w:rsid w:val="00CB7E1C"/>
    <w:rsid w:val="00CC06B5"/>
    <w:rsid w:val="00CC06C1"/>
    <w:rsid w:val="00CC1A95"/>
    <w:rsid w:val="00CC1B50"/>
    <w:rsid w:val="00CC22EE"/>
    <w:rsid w:val="00CC25D0"/>
    <w:rsid w:val="00CC2E14"/>
    <w:rsid w:val="00CC328D"/>
    <w:rsid w:val="00CC3A1C"/>
    <w:rsid w:val="00CC3F32"/>
    <w:rsid w:val="00CC40A2"/>
    <w:rsid w:val="00CC42CD"/>
    <w:rsid w:val="00CC55B6"/>
    <w:rsid w:val="00CC5A6C"/>
    <w:rsid w:val="00CC5FD7"/>
    <w:rsid w:val="00CC6A83"/>
    <w:rsid w:val="00CC6EA9"/>
    <w:rsid w:val="00CC79E1"/>
    <w:rsid w:val="00CC7DB1"/>
    <w:rsid w:val="00CC7FA7"/>
    <w:rsid w:val="00CD030F"/>
    <w:rsid w:val="00CD062A"/>
    <w:rsid w:val="00CD0A57"/>
    <w:rsid w:val="00CD0FA2"/>
    <w:rsid w:val="00CD10FD"/>
    <w:rsid w:val="00CD29CF"/>
    <w:rsid w:val="00CD2B3C"/>
    <w:rsid w:val="00CD2C2C"/>
    <w:rsid w:val="00CD3E46"/>
    <w:rsid w:val="00CD4684"/>
    <w:rsid w:val="00CD49D5"/>
    <w:rsid w:val="00CD4C7F"/>
    <w:rsid w:val="00CD559F"/>
    <w:rsid w:val="00CD55A5"/>
    <w:rsid w:val="00CD59C6"/>
    <w:rsid w:val="00CD5B8E"/>
    <w:rsid w:val="00CD60C2"/>
    <w:rsid w:val="00CD6BDB"/>
    <w:rsid w:val="00CD6F43"/>
    <w:rsid w:val="00CD703C"/>
    <w:rsid w:val="00CD71FA"/>
    <w:rsid w:val="00CD78C1"/>
    <w:rsid w:val="00CD7AEB"/>
    <w:rsid w:val="00CD7C5D"/>
    <w:rsid w:val="00CE03C2"/>
    <w:rsid w:val="00CE03F4"/>
    <w:rsid w:val="00CE0D25"/>
    <w:rsid w:val="00CE10B2"/>
    <w:rsid w:val="00CE142A"/>
    <w:rsid w:val="00CE1751"/>
    <w:rsid w:val="00CE1A15"/>
    <w:rsid w:val="00CE2536"/>
    <w:rsid w:val="00CE4F6E"/>
    <w:rsid w:val="00CE5221"/>
    <w:rsid w:val="00CE5735"/>
    <w:rsid w:val="00CE5CC3"/>
    <w:rsid w:val="00CE5FA3"/>
    <w:rsid w:val="00CE64A0"/>
    <w:rsid w:val="00CE667D"/>
    <w:rsid w:val="00CE6864"/>
    <w:rsid w:val="00CE7C15"/>
    <w:rsid w:val="00CE7C98"/>
    <w:rsid w:val="00CE7F13"/>
    <w:rsid w:val="00CF00A1"/>
    <w:rsid w:val="00CF00DE"/>
    <w:rsid w:val="00CF02A0"/>
    <w:rsid w:val="00CF058F"/>
    <w:rsid w:val="00CF0871"/>
    <w:rsid w:val="00CF0936"/>
    <w:rsid w:val="00CF16A0"/>
    <w:rsid w:val="00CF1A57"/>
    <w:rsid w:val="00CF1D0A"/>
    <w:rsid w:val="00CF1D0B"/>
    <w:rsid w:val="00CF249E"/>
    <w:rsid w:val="00CF2C9E"/>
    <w:rsid w:val="00CF347C"/>
    <w:rsid w:val="00CF3578"/>
    <w:rsid w:val="00CF3AE3"/>
    <w:rsid w:val="00CF4B56"/>
    <w:rsid w:val="00CF4BEE"/>
    <w:rsid w:val="00CF56F9"/>
    <w:rsid w:val="00CF584E"/>
    <w:rsid w:val="00CF5B57"/>
    <w:rsid w:val="00CF5B5D"/>
    <w:rsid w:val="00CF5BEF"/>
    <w:rsid w:val="00CF5D4B"/>
    <w:rsid w:val="00CF6228"/>
    <w:rsid w:val="00CF6515"/>
    <w:rsid w:val="00CF6715"/>
    <w:rsid w:val="00CF7290"/>
    <w:rsid w:val="00CF733D"/>
    <w:rsid w:val="00CF74BE"/>
    <w:rsid w:val="00CF78DB"/>
    <w:rsid w:val="00CF7911"/>
    <w:rsid w:val="00CF7B4B"/>
    <w:rsid w:val="00CF7BA3"/>
    <w:rsid w:val="00CF7F79"/>
    <w:rsid w:val="00D00FA8"/>
    <w:rsid w:val="00D0141D"/>
    <w:rsid w:val="00D01441"/>
    <w:rsid w:val="00D01A40"/>
    <w:rsid w:val="00D01A43"/>
    <w:rsid w:val="00D01C7E"/>
    <w:rsid w:val="00D01D33"/>
    <w:rsid w:val="00D03425"/>
    <w:rsid w:val="00D03647"/>
    <w:rsid w:val="00D03681"/>
    <w:rsid w:val="00D03F07"/>
    <w:rsid w:val="00D04654"/>
    <w:rsid w:val="00D04664"/>
    <w:rsid w:val="00D04A77"/>
    <w:rsid w:val="00D0536C"/>
    <w:rsid w:val="00D053D4"/>
    <w:rsid w:val="00D057D2"/>
    <w:rsid w:val="00D05BA4"/>
    <w:rsid w:val="00D05D62"/>
    <w:rsid w:val="00D05EBB"/>
    <w:rsid w:val="00D05FCB"/>
    <w:rsid w:val="00D06814"/>
    <w:rsid w:val="00D06B5F"/>
    <w:rsid w:val="00D06BAF"/>
    <w:rsid w:val="00D07D41"/>
    <w:rsid w:val="00D1064E"/>
    <w:rsid w:val="00D107EA"/>
    <w:rsid w:val="00D110F8"/>
    <w:rsid w:val="00D111D2"/>
    <w:rsid w:val="00D11A3D"/>
    <w:rsid w:val="00D11A88"/>
    <w:rsid w:val="00D11AD2"/>
    <w:rsid w:val="00D12320"/>
    <w:rsid w:val="00D124A7"/>
    <w:rsid w:val="00D1271D"/>
    <w:rsid w:val="00D12CA2"/>
    <w:rsid w:val="00D12E9D"/>
    <w:rsid w:val="00D13047"/>
    <w:rsid w:val="00D132AE"/>
    <w:rsid w:val="00D13534"/>
    <w:rsid w:val="00D13652"/>
    <w:rsid w:val="00D1377D"/>
    <w:rsid w:val="00D13BDB"/>
    <w:rsid w:val="00D14B16"/>
    <w:rsid w:val="00D14B9E"/>
    <w:rsid w:val="00D15435"/>
    <w:rsid w:val="00D154D6"/>
    <w:rsid w:val="00D1562A"/>
    <w:rsid w:val="00D16706"/>
    <w:rsid w:val="00D1696F"/>
    <w:rsid w:val="00D169E9"/>
    <w:rsid w:val="00D16ED1"/>
    <w:rsid w:val="00D172AE"/>
    <w:rsid w:val="00D20000"/>
    <w:rsid w:val="00D201D0"/>
    <w:rsid w:val="00D20CFF"/>
    <w:rsid w:val="00D21464"/>
    <w:rsid w:val="00D21AEA"/>
    <w:rsid w:val="00D225C8"/>
    <w:rsid w:val="00D227EB"/>
    <w:rsid w:val="00D22868"/>
    <w:rsid w:val="00D22C35"/>
    <w:rsid w:val="00D230F1"/>
    <w:rsid w:val="00D236CA"/>
    <w:rsid w:val="00D23EFF"/>
    <w:rsid w:val="00D2457A"/>
    <w:rsid w:val="00D252D4"/>
    <w:rsid w:val="00D259B4"/>
    <w:rsid w:val="00D25BC3"/>
    <w:rsid w:val="00D25C18"/>
    <w:rsid w:val="00D26611"/>
    <w:rsid w:val="00D266FA"/>
    <w:rsid w:val="00D269CC"/>
    <w:rsid w:val="00D26C79"/>
    <w:rsid w:val="00D3045A"/>
    <w:rsid w:val="00D30A18"/>
    <w:rsid w:val="00D30C6A"/>
    <w:rsid w:val="00D30F1F"/>
    <w:rsid w:val="00D31002"/>
    <w:rsid w:val="00D3223F"/>
    <w:rsid w:val="00D323A3"/>
    <w:rsid w:val="00D32571"/>
    <w:rsid w:val="00D33383"/>
    <w:rsid w:val="00D341BD"/>
    <w:rsid w:val="00D3452E"/>
    <w:rsid w:val="00D34593"/>
    <w:rsid w:val="00D353F9"/>
    <w:rsid w:val="00D35ED9"/>
    <w:rsid w:val="00D362B7"/>
    <w:rsid w:val="00D364E3"/>
    <w:rsid w:val="00D369C5"/>
    <w:rsid w:val="00D36F4A"/>
    <w:rsid w:val="00D37DA5"/>
    <w:rsid w:val="00D403B4"/>
    <w:rsid w:val="00D404B5"/>
    <w:rsid w:val="00D40579"/>
    <w:rsid w:val="00D406F9"/>
    <w:rsid w:val="00D40B4D"/>
    <w:rsid w:val="00D41A85"/>
    <w:rsid w:val="00D424C1"/>
    <w:rsid w:val="00D4265A"/>
    <w:rsid w:val="00D4294A"/>
    <w:rsid w:val="00D42E1B"/>
    <w:rsid w:val="00D4328E"/>
    <w:rsid w:val="00D43453"/>
    <w:rsid w:val="00D4376A"/>
    <w:rsid w:val="00D43E7D"/>
    <w:rsid w:val="00D4444F"/>
    <w:rsid w:val="00D4472F"/>
    <w:rsid w:val="00D447AF"/>
    <w:rsid w:val="00D44F3C"/>
    <w:rsid w:val="00D45038"/>
    <w:rsid w:val="00D45258"/>
    <w:rsid w:val="00D4565B"/>
    <w:rsid w:val="00D45A25"/>
    <w:rsid w:val="00D45FFB"/>
    <w:rsid w:val="00D4662E"/>
    <w:rsid w:val="00D4667A"/>
    <w:rsid w:val="00D468E4"/>
    <w:rsid w:val="00D469EE"/>
    <w:rsid w:val="00D47368"/>
    <w:rsid w:val="00D477EF"/>
    <w:rsid w:val="00D47BDD"/>
    <w:rsid w:val="00D50493"/>
    <w:rsid w:val="00D51377"/>
    <w:rsid w:val="00D515FF"/>
    <w:rsid w:val="00D5191D"/>
    <w:rsid w:val="00D519AF"/>
    <w:rsid w:val="00D51F85"/>
    <w:rsid w:val="00D52C9B"/>
    <w:rsid w:val="00D53028"/>
    <w:rsid w:val="00D530A7"/>
    <w:rsid w:val="00D535A7"/>
    <w:rsid w:val="00D53774"/>
    <w:rsid w:val="00D53787"/>
    <w:rsid w:val="00D53EE1"/>
    <w:rsid w:val="00D5469A"/>
    <w:rsid w:val="00D54A32"/>
    <w:rsid w:val="00D554EC"/>
    <w:rsid w:val="00D55626"/>
    <w:rsid w:val="00D55676"/>
    <w:rsid w:val="00D55E01"/>
    <w:rsid w:val="00D569A5"/>
    <w:rsid w:val="00D56CCC"/>
    <w:rsid w:val="00D57181"/>
    <w:rsid w:val="00D57C92"/>
    <w:rsid w:val="00D6027A"/>
    <w:rsid w:val="00D604D6"/>
    <w:rsid w:val="00D60520"/>
    <w:rsid w:val="00D60590"/>
    <w:rsid w:val="00D60F3C"/>
    <w:rsid w:val="00D61373"/>
    <w:rsid w:val="00D61CDD"/>
    <w:rsid w:val="00D62024"/>
    <w:rsid w:val="00D62416"/>
    <w:rsid w:val="00D62F99"/>
    <w:rsid w:val="00D63C4E"/>
    <w:rsid w:val="00D64DE3"/>
    <w:rsid w:val="00D66CB6"/>
    <w:rsid w:val="00D67410"/>
    <w:rsid w:val="00D67697"/>
    <w:rsid w:val="00D67F5A"/>
    <w:rsid w:val="00D714A3"/>
    <w:rsid w:val="00D7152A"/>
    <w:rsid w:val="00D71563"/>
    <w:rsid w:val="00D717CF"/>
    <w:rsid w:val="00D71DDD"/>
    <w:rsid w:val="00D71DEA"/>
    <w:rsid w:val="00D7203D"/>
    <w:rsid w:val="00D72AE0"/>
    <w:rsid w:val="00D72D2C"/>
    <w:rsid w:val="00D736E6"/>
    <w:rsid w:val="00D73A02"/>
    <w:rsid w:val="00D73F6C"/>
    <w:rsid w:val="00D7405E"/>
    <w:rsid w:val="00D745C7"/>
    <w:rsid w:val="00D74BBA"/>
    <w:rsid w:val="00D7558C"/>
    <w:rsid w:val="00D756F8"/>
    <w:rsid w:val="00D7585B"/>
    <w:rsid w:val="00D7598B"/>
    <w:rsid w:val="00D76E05"/>
    <w:rsid w:val="00D808B4"/>
    <w:rsid w:val="00D80BA5"/>
    <w:rsid w:val="00D80CF4"/>
    <w:rsid w:val="00D817A2"/>
    <w:rsid w:val="00D81A00"/>
    <w:rsid w:val="00D822BB"/>
    <w:rsid w:val="00D822E6"/>
    <w:rsid w:val="00D823A6"/>
    <w:rsid w:val="00D82989"/>
    <w:rsid w:val="00D82DE4"/>
    <w:rsid w:val="00D835D9"/>
    <w:rsid w:val="00D8363A"/>
    <w:rsid w:val="00D83DFC"/>
    <w:rsid w:val="00D83E0F"/>
    <w:rsid w:val="00D83F3C"/>
    <w:rsid w:val="00D83FF4"/>
    <w:rsid w:val="00D84054"/>
    <w:rsid w:val="00D841FE"/>
    <w:rsid w:val="00D8436C"/>
    <w:rsid w:val="00D8585E"/>
    <w:rsid w:val="00D86052"/>
    <w:rsid w:val="00D862FC"/>
    <w:rsid w:val="00D866D0"/>
    <w:rsid w:val="00D86706"/>
    <w:rsid w:val="00D8683C"/>
    <w:rsid w:val="00D868C2"/>
    <w:rsid w:val="00D86ADB"/>
    <w:rsid w:val="00D87181"/>
    <w:rsid w:val="00D87657"/>
    <w:rsid w:val="00D87C9A"/>
    <w:rsid w:val="00D9099D"/>
    <w:rsid w:val="00D90C14"/>
    <w:rsid w:val="00D9123C"/>
    <w:rsid w:val="00D91BAC"/>
    <w:rsid w:val="00D91D83"/>
    <w:rsid w:val="00D9243B"/>
    <w:rsid w:val="00D92F09"/>
    <w:rsid w:val="00D93244"/>
    <w:rsid w:val="00D93261"/>
    <w:rsid w:val="00D93AF8"/>
    <w:rsid w:val="00D940FE"/>
    <w:rsid w:val="00D94729"/>
    <w:rsid w:val="00D94919"/>
    <w:rsid w:val="00D94C25"/>
    <w:rsid w:val="00D94E48"/>
    <w:rsid w:val="00D953BC"/>
    <w:rsid w:val="00D9629F"/>
    <w:rsid w:val="00D96526"/>
    <w:rsid w:val="00D96EDB"/>
    <w:rsid w:val="00D97162"/>
    <w:rsid w:val="00D971DD"/>
    <w:rsid w:val="00D9744E"/>
    <w:rsid w:val="00D9765F"/>
    <w:rsid w:val="00DA0027"/>
    <w:rsid w:val="00DA04A7"/>
    <w:rsid w:val="00DA0F90"/>
    <w:rsid w:val="00DA214C"/>
    <w:rsid w:val="00DA24C5"/>
    <w:rsid w:val="00DA2784"/>
    <w:rsid w:val="00DA2A16"/>
    <w:rsid w:val="00DA2A7A"/>
    <w:rsid w:val="00DA3571"/>
    <w:rsid w:val="00DA36AA"/>
    <w:rsid w:val="00DA3738"/>
    <w:rsid w:val="00DA3AA2"/>
    <w:rsid w:val="00DA4B21"/>
    <w:rsid w:val="00DA60B6"/>
    <w:rsid w:val="00DA6BEB"/>
    <w:rsid w:val="00DA7889"/>
    <w:rsid w:val="00DA7A03"/>
    <w:rsid w:val="00DA7D65"/>
    <w:rsid w:val="00DB024D"/>
    <w:rsid w:val="00DB05DD"/>
    <w:rsid w:val="00DB1A64"/>
    <w:rsid w:val="00DB27A9"/>
    <w:rsid w:val="00DB3958"/>
    <w:rsid w:val="00DB49B5"/>
    <w:rsid w:val="00DB4C98"/>
    <w:rsid w:val="00DB4E90"/>
    <w:rsid w:val="00DB4FA8"/>
    <w:rsid w:val="00DB5341"/>
    <w:rsid w:val="00DB594B"/>
    <w:rsid w:val="00DB5D3F"/>
    <w:rsid w:val="00DB5E6F"/>
    <w:rsid w:val="00DB5F7B"/>
    <w:rsid w:val="00DB68EF"/>
    <w:rsid w:val="00DB7520"/>
    <w:rsid w:val="00DB7926"/>
    <w:rsid w:val="00DB7BE3"/>
    <w:rsid w:val="00DC0392"/>
    <w:rsid w:val="00DC039F"/>
    <w:rsid w:val="00DC05FD"/>
    <w:rsid w:val="00DC06D7"/>
    <w:rsid w:val="00DC0D44"/>
    <w:rsid w:val="00DC1123"/>
    <w:rsid w:val="00DC121E"/>
    <w:rsid w:val="00DC1F9B"/>
    <w:rsid w:val="00DC21E4"/>
    <w:rsid w:val="00DC23E1"/>
    <w:rsid w:val="00DC2A9C"/>
    <w:rsid w:val="00DC2ACE"/>
    <w:rsid w:val="00DC3107"/>
    <w:rsid w:val="00DC36F1"/>
    <w:rsid w:val="00DC3797"/>
    <w:rsid w:val="00DC4261"/>
    <w:rsid w:val="00DC45FF"/>
    <w:rsid w:val="00DC4EF8"/>
    <w:rsid w:val="00DC50A6"/>
    <w:rsid w:val="00DC55A2"/>
    <w:rsid w:val="00DC58B6"/>
    <w:rsid w:val="00DC5A13"/>
    <w:rsid w:val="00DC61F4"/>
    <w:rsid w:val="00DC6BEE"/>
    <w:rsid w:val="00DC6EE9"/>
    <w:rsid w:val="00DC7651"/>
    <w:rsid w:val="00DC7989"/>
    <w:rsid w:val="00DD02C7"/>
    <w:rsid w:val="00DD05E9"/>
    <w:rsid w:val="00DD0944"/>
    <w:rsid w:val="00DD2A7E"/>
    <w:rsid w:val="00DD322B"/>
    <w:rsid w:val="00DD3871"/>
    <w:rsid w:val="00DD3D6D"/>
    <w:rsid w:val="00DD41B7"/>
    <w:rsid w:val="00DD41D6"/>
    <w:rsid w:val="00DD42AA"/>
    <w:rsid w:val="00DD43B9"/>
    <w:rsid w:val="00DD4691"/>
    <w:rsid w:val="00DD535C"/>
    <w:rsid w:val="00DD598D"/>
    <w:rsid w:val="00DD5AD1"/>
    <w:rsid w:val="00DD648B"/>
    <w:rsid w:val="00DD69B5"/>
    <w:rsid w:val="00DD70C8"/>
    <w:rsid w:val="00DD758E"/>
    <w:rsid w:val="00DE0066"/>
    <w:rsid w:val="00DE056A"/>
    <w:rsid w:val="00DE11FA"/>
    <w:rsid w:val="00DE1498"/>
    <w:rsid w:val="00DE23F3"/>
    <w:rsid w:val="00DE2829"/>
    <w:rsid w:val="00DE2B77"/>
    <w:rsid w:val="00DE2E24"/>
    <w:rsid w:val="00DE2E2A"/>
    <w:rsid w:val="00DE43D8"/>
    <w:rsid w:val="00DE462A"/>
    <w:rsid w:val="00DE4D39"/>
    <w:rsid w:val="00DE531F"/>
    <w:rsid w:val="00DE55D4"/>
    <w:rsid w:val="00DE5741"/>
    <w:rsid w:val="00DE5A95"/>
    <w:rsid w:val="00DE5CDC"/>
    <w:rsid w:val="00DE6ED9"/>
    <w:rsid w:val="00DE7844"/>
    <w:rsid w:val="00DF00A6"/>
    <w:rsid w:val="00DF0911"/>
    <w:rsid w:val="00DF0E0C"/>
    <w:rsid w:val="00DF1693"/>
    <w:rsid w:val="00DF1AAE"/>
    <w:rsid w:val="00DF2862"/>
    <w:rsid w:val="00DF2AA0"/>
    <w:rsid w:val="00DF2C23"/>
    <w:rsid w:val="00DF2CFA"/>
    <w:rsid w:val="00DF396E"/>
    <w:rsid w:val="00DF3AFE"/>
    <w:rsid w:val="00DF3F82"/>
    <w:rsid w:val="00DF4041"/>
    <w:rsid w:val="00DF4299"/>
    <w:rsid w:val="00DF4407"/>
    <w:rsid w:val="00DF55BE"/>
    <w:rsid w:val="00DF5AC9"/>
    <w:rsid w:val="00DF5E10"/>
    <w:rsid w:val="00DF5F24"/>
    <w:rsid w:val="00DF6B3A"/>
    <w:rsid w:val="00DF7424"/>
    <w:rsid w:val="00DF7690"/>
    <w:rsid w:val="00DF78C4"/>
    <w:rsid w:val="00DF7928"/>
    <w:rsid w:val="00DF7D56"/>
    <w:rsid w:val="00E00754"/>
    <w:rsid w:val="00E007C0"/>
    <w:rsid w:val="00E00EB2"/>
    <w:rsid w:val="00E0116A"/>
    <w:rsid w:val="00E0124C"/>
    <w:rsid w:val="00E01B42"/>
    <w:rsid w:val="00E01F7A"/>
    <w:rsid w:val="00E022E4"/>
    <w:rsid w:val="00E026F7"/>
    <w:rsid w:val="00E02751"/>
    <w:rsid w:val="00E03CD8"/>
    <w:rsid w:val="00E04043"/>
    <w:rsid w:val="00E0460E"/>
    <w:rsid w:val="00E04816"/>
    <w:rsid w:val="00E05D3A"/>
    <w:rsid w:val="00E06191"/>
    <w:rsid w:val="00E0650C"/>
    <w:rsid w:val="00E06A82"/>
    <w:rsid w:val="00E06DDF"/>
    <w:rsid w:val="00E0748F"/>
    <w:rsid w:val="00E079EE"/>
    <w:rsid w:val="00E1052C"/>
    <w:rsid w:val="00E106AF"/>
    <w:rsid w:val="00E10B46"/>
    <w:rsid w:val="00E10DB9"/>
    <w:rsid w:val="00E112B0"/>
    <w:rsid w:val="00E1235A"/>
    <w:rsid w:val="00E13691"/>
    <w:rsid w:val="00E13BF8"/>
    <w:rsid w:val="00E14701"/>
    <w:rsid w:val="00E149DF"/>
    <w:rsid w:val="00E153DC"/>
    <w:rsid w:val="00E159C1"/>
    <w:rsid w:val="00E15C72"/>
    <w:rsid w:val="00E15CAF"/>
    <w:rsid w:val="00E16285"/>
    <w:rsid w:val="00E16E16"/>
    <w:rsid w:val="00E174DB"/>
    <w:rsid w:val="00E17DEC"/>
    <w:rsid w:val="00E17F12"/>
    <w:rsid w:val="00E20309"/>
    <w:rsid w:val="00E20499"/>
    <w:rsid w:val="00E20532"/>
    <w:rsid w:val="00E217AD"/>
    <w:rsid w:val="00E217E6"/>
    <w:rsid w:val="00E219BA"/>
    <w:rsid w:val="00E21F99"/>
    <w:rsid w:val="00E22861"/>
    <w:rsid w:val="00E22AA4"/>
    <w:rsid w:val="00E22C8D"/>
    <w:rsid w:val="00E23371"/>
    <w:rsid w:val="00E23591"/>
    <w:rsid w:val="00E23E76"/>
    <w:rsid w:val="00E2423F"/>
    <w:rsid w:val="00E24613"/>
    <w:rsid w:val="00E24781"/>
    <w:rsid w:val="00E24796"/>
    <w:rsid w:val="00E24934"/>
    <w:rsid w:val="00E24BF4"/>
    <w:rsid w:val="00E24D03"/>
    <w:rsid w:val="00E24F5A"/>
    <w:rsid w:val="00E25374"/>
    <w:rsid w:val="00E25381"/>
    <w:rsid w:val="00E2587F"/>
    <w:rsid w:val="00E25D95"/>
    <w:rsid w:val="00E26674"/>
    <w:rsid w:val="00E2776C"/>
    <w:rsid w:val="00E278FB"/>
    <w:rsid w:val="00E27EEE"/>
    <w:rsid w:val="00E30BCF"/>
    <w:rsid w:val="00E31CA9"/>
    <w:rsid w:val="00E31D6D"/>
    <w:rsid w:val="00E31FA9"/>
    <w:rsid w:val="00E32057"/>
    <w:rsid w:val="00E32B09"/>
    <w:rsid w:val="00E32F79"/>
    <w:rsid w:val="00E3320C"/>
    <w:rsid w:val="00E33722"/>
    <w:rsid w:val="00E339F8"/>
    <w:rsid w:val="00E33CF6"/>
    <w:rsid w:val="00E34670"/>
    <w:rsid w:val="00E3514F"/>
    <w:rsid w:val="00E353ED"/>
    <w:rsid w:val="00E35B47"/>
    <w:rsid w:val="00E35BFB"/>
    <w:rsid w:val="00E35C4B"/>
    <w:rsid w:val="00E35F79"/>
    <w:rsid w:val="00E3649A"/>
    <w:rsid w:val="00E368AA"/>
    <w:rsid w:val="00E377ED"/>
    <w:rsid w:val="00E37DAE"/>
    <w:rsid w:val="00E37E0D"/>
    <w:rsid w:val="00E40A62"/>
    <w:rsid w:val="00E40B1F"/>
    <w:rsid w:val="00E41493"/>
    <w:rsid w:val="00E41752"/>
    <w:rsid w:val="00E418CE"/>
    <w:rsid w:val="00E41FEB"/>
    <w:rsid w:val="00E4210B"/>
    <w:rsid w:val="00E42324"/>
    <w:rsid w:val="00E42C18"/>
    <w:rsid w:val="00E43519"/>
    <w:rsid w:val="00E4354F"/>
    <w:rsid w:val="00E43749"/>
    <w:rsid w:val="00E437CD"/>
    <w:rsid w:val="00E43B7F"/>
    <w:rsid w:val="00E43FDE"/>
    <w:rsid w:val="00E4419A"/>
    <w:rsid w:val="00E450CA"/>
    <w:rsid w:val="00E458FF"/>
    <w:rsid w:val="00E45EB4"/>
    <w:rsid w:val="00E4630D"/>
    <w:rsid w:val="00E469F0"/>
    <w:rsid w:val="00E46BD7"/>
    <w:rsid w:val="00E50616"/>
    <w:rsid w:val="00E50C17"/>
    <w:rsid w:val="00E512FF"/>
    <w:rsid w:val="00E516A9"/>
    <w:rsid w:val="00E51707"/>
    <w:rsid w:val="00E517EE"/>
    <w:rsid w:val="00E53C5A"/>
    <w:rsid w:val="00E53D33"/>
    <w:rsid w:val="00E54397"/>
    <w:rsid w:val="00E54948"/>
    <w:rsid w:val="00E54E86"/>
    <w:rsid w:val="00E55423"/>
    <w:rsid w:val="00E55460"/>
    <w:rsid w:val="00E558AC"/>
    <w:rsid w:val="00E55ED3"/>
    <w:rsid w:val="00E5617F"/>
    <w:rsid w:val="00E564FB"/>
    <w:rsid w:val="00E56B13"/>
    <w:rsid w:val="00E57A3B"/>
    <w:rsid w:val="00E57A9F"/>
    <w:rsid w:val="00E6115D"/>
    <w:rsid w:val="00E61436"/>
    <w:rsid w:val="00E616D8"/>
    <w:rsid w:val="00E619C6"/>
    <w:rsid w:val="00E62050"/>
    <w:rsid w:val="00E62661"/>
    <w:rsid w:val="00E629C2"/>
    <w:rsid w:val="00E63638"/>
    <w:rsid w:val="00E636CA"/>
    <w:rsid w:val="00E64338"/>
    <w:rsid w:val="00E64C0F"/>
    <w:rsid w:val="00E650FB"/>
    <w:rsid w:val="00E65740"/>
    <w:rsid w:val="00E659C9"/>
    <w:rsid w:val="00E65D1A"/>
    <w:rsid w:val="00E66109"/>
    <w:rsid w:val="00E665EA"/>
    <w:rsid w:val="00E67C56"/>
    <w:rsid w:val="00E67D61"/>
    <w:rsid w:val="00E7011E"/>
    <w:rsid w:val="00E7167B"/>
    <w:rsid w:val="00E71963"/>
    <w:rsid w:val="00E71B63"/>
    <w:rsid w:val="00E71CC8"/>
    <w:rsid w:val="00E726F8"/>
    <w:rsid w:val="00E727EA"/>
    <w:rsid w:val="00E727FC"/>
    <w:rsid w:val="00E72A27"/>
    <w:rsid w:val="00E7329A"/>
    <w:rsid w:val="00E732F0"/>
    <w:rsid w:val="00E73E57"/>
    <w:rsid w:val="00E73EAC"/>
    <w:rsid w:val="00E73F49"/>
    <w:rsid w:val="00E7463D"/>
    <w:rsid w:val="00E748F8"/>
    <w:rsid w:val="00E74BE0"/>
    <w:rsid w:val="00E74CC8"/>
    <w:rsid w:val="00E750E6"/>
    <w:rsid w:val="00E757DF"/>
    <w:rsid w:val="00E7587B"/>
    <w:rsid w:val="00E76757"/>
    <w:rsid w:val="00E7689C"/>
    <w:rsid w:val="00E76D9B"/>
    <w:rsid w:val="00E76DB7"/>
    <w:rsid w:val="00E77299"/>
    <w:rsid w:val="00E77336"/>
    <w:rsid w:val="00E776BB"/>
    <w:rsid w:val="00E77B55"/>
    <w:rsid w:val="00E77F99"/>
    <w:rsid w:val="00E8065D"/>
    <w:rsid w:val="00E80872"/>
    <w:rsid w:val="00E80A3C"/>
    <w:rsid w:val="00E836A7"/>
    <w:rsid w:val="00E8394E"/>
    <w:rsid w:val="00E83F2C"/>
    <w:rsid w:val="00E84537"/>
    <w:rsid w:val="00E8487B"/>
    <w:rsid w:val="00E84BB2"/>
    <w:rsid w:val="00E84C53"/>
    <w:rsid w:val="00E84F86"/>
    <w:rsid w:val="00E851EA"/>
    <w:rsid w:val="00E856F8"/>
    <w:rsid w:val="00E86279"/>
    <w:rsid w:val="00E8637C"/>
    <w:rsid w:val="00E8673E"/>
    <w:rsid w:val="00E8682E"/>
    <w:rsid w:val="00E86B24"/>
    <w:rsid w:val="00E86CC2"/>
    <w:rsid w:val="00E86CE0"/>
    <w:rsid w:val="00E8742B"/>
    <w:rsid w:val="00E87493"/>
    <w:rsid w:val="00E874AB"/>
    <w:rsid w:val="00E879C4"/>
    <w:rsid w:val="00E87FC7"/>
    <w:rsid w:val="00E87FD9"/>
    <w:rsid w:val="00E909F9"/>
    <w:rsid w:val="00E90DCB"/>
    <w:rsid w:val="00E91668"/>
    <w:rsid w:val="00E91AEF"/>
    <w:rsid w:val="00E93309"/>
    <w:rsid w:val="00E9345E"/>
    <w:rsid w:val="00E93771"/>
    <w:rsid w:val="00E9425C"/>
    <w:rsid w:val="00E945A4"/>
    <w:rsid w:val="00E94B3F"/>
    <w:rsid w:val="00E94B85"/>
    <w:rsid w:val="00E94BB5"/>
    <w:rsid w:val="00E94F1A"/>
    <w:rsid w:val="00E958E8"/>
    <w:rsid w:val="00E959F6"/>
    <w:rsid w:val="00E96376"/>
    <w:rsid w:val="00E96BD9"/>
    <w:rsid w:val="00EA04AE"/>
    <w:rsid w:val="00EA137A"/>
    <w:rsid w:val="00EA1A1C"/>
    <w:rsid w:val="00EA28B9"/>
    <w:rsid w:val="00EA2DA7"/>
    <w:rsid w:val="00EA30E4"/>
    <w:rsid w:val="00EA39E9"/>
    <w:rsid w:val="00EA3E81"/>
    <w:rsid w:val="00EA46E4"/>
    <w:rsid w:val="00EA4B16"/>
    <w:rsid w:val="00EA4E20"/>
    <w:rsid w:val="00EA555D"/>
    <w:rsid w:val="00EA5B91"/>
    <w:rsid w:val="00EA6262"/>
    <w:rsid w:val="00EA7250"/>
    <w:rsid w:val="00EA786D"/>
    <w:rsid w:val="00EA7967"/>
    <w:rsid w:val="00EB027C"/>
    <w:rsid w:val="00EB0510"/>
    <w:rsid w:val="00EB0667"/>
    <w:rsid w:val="00EB068D"/>
    <w:rsid w:val="00EB07D3"/>
    <w:rsid w:val="00EB18CF"/>
    <w:rsid w:val="00EB1D9D"/>
    <w:rsid w:val="00EB256E"/>
    <w:rsid w:val="00EB2944"/>
    <w:rsid w:val="00EB35B4"/>
    <w:rsid w:val="00EB3E9C"/>
    <w:rsid w:val="00EB4E97"/>
    <w:rsid w:val="00EB54BF"/>
    <w:rsid w:val="00EB5CB6"/>
    <w:rsid w:val="00EB62E3"/>
    <w:rsid w:val="00EB6E50"/>
    <w:rsid w:val="00EB6FF4"/>
    <w:rsid w:val="00EB71DD"/>
    <w:rsid w:val="00EB753F"/>
    <w:rsid w:val="00EB7AE7"/>
    <w:rsid w:val="00EB7D37"/>
    <w:rsid w:val="00EC0046"/>
    <w:rsid w:val="00EC00E9"/>
    <w:rsid w:val="00EC0465"/>
    <w:rsid w:val="00EC0B95"/>
    <w:rsid w:val="00EC0EEE"/>
    <w:rsid w:val="00EC0F09"/>
    <w:rsid w:val="00EC11F6"/>
    <w:rsid w:val="00EC1435"/>
    <w:rsid w:val="00EC19CF"/>
    <w:rsid w:val="00EC1CDA"/>
    <w:rsid w:val="00EC2A7B"/>
    <w:rsid w:val="00EC2A97"/>
    <w:rsid w:val="00EC2BD3"/>
    <w:rsid w:val="00EC2E0D"/>
    <w:rsid w:val="00EC3A2E"/>
    <w:rsid w:val="00EC405A"/>
    <w:rsid w:val="00EC4227"/>
    <w:rsid w:val="00EC4B19"/>
    <w:rsid w:val="00EC79F1"/>
    <w:rsid w:val="00ED03BA"/>
    <w:rsid w:val="00ED06E1"/>
    <w:rsid w:val="00ED2105"/>
    <w:rsid w:val="00ED3E54"/>
    <w:rsid w:val="00ED43B4"/>
    <w:rsid w:val="00ED4CB4"/>
    <w:rsid w:val="00ED4DAB"/>
    <w:rsid w:val="00ED52DB"/>
    <w:rsid w:val="00ED5487"/>
    <w:rsid w:val="00ED5E02"/>
    <w:rsid w:val="00ED5F86"/>
    <w:rsid w:val="00ED68B8"/>
    <w:rsid w:val="00ED68BA"/>
    <w:rsid w:val="00ED6CFD"/>
    <w:rsid w:val="00ED6D23"/>
    <w:rsid w:val="00ED6E7F"/>
    <w:rsid w:val="00ED7069"/>
    <w:rsid w:val="00ED732F"/>
    <w:rsid w:val="00ED74D0"/>
    <w:rsid w:val="00ED760C"/>
    <w:rsid w:val="00ED7889"/>
    <w:rsid w:val="00EE0225"/>
    <w:rsid w:val="00EE0542"/>
    <w:rsid w:val="00EE0848"/>
    <w:rsid w:val="00EE0EB9"/>
    <w:rsid w:val="00EE1341"/>
    <w:rsid w:val="00EE19A7"/>
    <w:rsid w:val="00EE1AF6"/>
    <w:rsid w:val="00EE1F39"/>
    <w:rsid w:val="00EE299B"/>
    <w:rsid w:val="00EE31DA"/>
    <w:rsid w:val="00EE3584"/>
    <w:rsid w:val="00EE35A5"/>
    <w:rsid w:val="00EE40C8"/>
    <w:rsid w:val="00EE46EC"/>
    <w:rsid w:val="00EE4AB8"/>
    <w:rsid w:val="00EE4B21"/>
    <w:rsid w:val="00EE54D2"/>
    <w:rsid w:val="00EE5614"/>
    <w:rsid w:val="00EE5675"/>
    <w:rsid w:val="00EE5E99"/>
    <w:rsid w:val="00EE5FD2"/>
    <w:rsid w:val="00EE6B6B"/>
    <w:rsid w:val="00EE6F2F"/>
    <w:rsid w:val="00EE6F94"/>
    <w:rsid w:val="00EE7348"/>
    <w:rsid w:val="00EE7A03"/>
    <w:rsid w:val="00EE7B40"/>
    <w:rsid w:val="00EE7E21"/>
    <w:rsid w:val="00EF03CE"/>
    <w:rsid w:val="00EF0A35"/>
    <w:rsid w:val="00EF0F76"/>
    <w:rsid w:val="00EF1970"/>
    <w:rsid w:val="00EF1D7F"/>
    <w:rsid w:val="00EF25B2"/>
    <w:rsid w:val="00EF2776"/>
    <w:rsid w:val="00EF2891"/>
    <w:rsid w:val="00EF29EC"/>
    <w:rsid w:val="00EF3D4F"/>
    <w:rsid w:val="00EF3E20"/>
    <w:rsid w:val="00EF3FD2"/>
    <w:rsid w:val="00EF42E4"/>
    <w:rsid w:val="00EF43D6"/>
    <w:rsid w:val="00EF471B"/>
    <w:rsid w:val="00EF47BE"/>
    <w:rsid w:val="00EF4CB0"/>
    <w:rsid w:val="00EF4DD7"/>
    <w:rsid w:val="00EF55F4"/>
    <w:rsid w:val="00EF5CAF"/>
    <w:rsid w:val="00EF6009"/>
    <w:rsid w:val="00EF610F"/>
    <w:rsid w:val="00EF6189"/>
    <w:rsid w:val="00EF63E2"/>
    <w:rsid w:val="00EF64D8"/>
    <w:rsid w:val="00EF69FE"/>
    <w:rsid w:val="00EF6D9A"/>
    <w:rsid w:val="00EF7242"/>
    <w:rsid w:val="00EF73F1"/>
    <w:rsid w:val="00EF787F"/>
    <w:rsid w:val="00EF7A90"/>
    <w:rsid w:val="00EF7C72"/>
    <w:rsid w:val="00F006E7"/>
    <w:rsid w:val="00F00EC1"/>
    <w:rsid w:val="00F00F99"/>
    <w:rsid w:val="00F01358"/>
    <w:rsid w:val="00F01C22"/>
    <w:rsid w:val="00F01D33"/>
    <w:rsid w:val="00F02B52"/>
    <w:rsid w:val="00F02F8A"/>
    <w:rsid w:val="00F03349"/>
    <w:rsid w:val="00F03526"/>
    <w:rsid w:val="00F037CB"/>
    <w:rsid w:val="00F03A7B"/>
    <w:rsid w:val="00F03F0D"/>
    <w:rsid w:val="00F0401C"/>
    <w:rsid w:val="00F0567F"/>
    <w:rsid w:val="00F05831"/>
    <w:rsid w:val="00F05BD3"/>
    <w:rsid w:val="00F05DFD"/>
    <w:rsid w:val="00F062EA"/>
    <w:rsid w:val="00F069CD"/>
    <w:rsid w:val="00F06A4C"/>
    <w:rsid w:val="00F070AE"/>
    <w:rsid w:val="00F07399"/>
    <w:rsid w:val="00F07976"/>
    <w:rsid w:val="00F079A4"/>
    <w:rsid w:val="00F10DF0"/>
    <w:rsid w:val="00F1100A"/>
    <w:rsid w:val="00F1136B"/>
    <w:rsid w:val="00F115DB"/>
    <w:rsid w:val="00F119E9"/>
    <w:rsid w:val="00F127DF"/>
    <w:rsid w:val="00F12C1D"/>
    <w:rsid w:val="00F12CA3"/>
    <w:rsid w:val="00F13AA2"/>
    <w:rsid w:val="00F13C7A"/>
    <w:rsid w:val="00F13E46"/>
    <w:rsid w:val="00F13E75"/>
    <w:rsid w:val="00F14174"/>
    <w:rsid w:val="00F1587C"/>
    <w:rsid w:val="00F161BC"/>
    <w:rsid w:val="00F168A3"/>
    <w:rsid w:val="00F169B8"/>
    <w:rsid w:val="00F16B89"/>
    <w:rsid w:val="00F16C82"/>
    <w:rsid w:val="00F1714A"/>
    <w:rsid w:val="00F178C2"/>
    <w:rsid w:val="00F17995"/>
    <w:rsid w:val="00F17ABD"/>
    <w:rsid w:val="00F2010B"/>
    <w:rsid w:val="00F20966"/>
    <w:rsid w:val="00F20E8E"/>
    <w:rsid w:val="00F20EE3"/>
    <w:rsid w:val="00F20F25"/>
    <w:rsid w:val="00F21294"/>
    <w:rsid w:val="00F21E1F"/>
    <w:rsid w:val="00F2201F"/>
    <w:rsid w:val="00F22ED2"/>
    <w:rsid w:val="00F22F46"/>
    <w:rsid w:val="00F231F4"/>
    <w:rsid w:val="00F233B0"/>
    <w:rsid w:val="00F23F41"/>
    <w:rsid w:val="00F2425C"/>
    <w:rsid w:val="00F245D4"/>
    <w:rsid w:val="00F253C7"/>
    <w:rsid w:val="00F2562B"/>
    <w:rsid w:val="00F259CD"/>
    <w:rsid w:val="00F26C73"/>
    <w:rsid w:val="00F271C8"/>
    <w:rsid w:val="00F276BC"/>
    <w:rsid w:val="00F27AF1"/>
    <w:rsid w:val="00F30C85"/>
    <w:rsid w:val="00F30E4D"/>
    <w:rsid w:val="00F317EA"/>
    <w:rsid w:val="00F31EB2"/>
    <w:rsid w:val="00F31F13"/>
    <w:rsid w:val="00F322C0"/>
    <w:rsid w:val="00F322F0"/>
    <w:rsid w:val="00F3358E"/>
    <w:rsid w:val="00F33B82"/>
    <w:rsid w:val="00F34254"/>
    <w:rsid w:val="00F344DD"/>
    <w:rsid w:val="00F34696"/>
    <w:rsid w:val="00F346E7"/>
    <w:rsid w:val="00F34701"/>
    <w:rsid w:val="00F3481B"/>
    <w:rsid w:val="00F348B7"/>
    <w:rsid w:val="00F34F4D"/>
    <w:rsid w:val="00F35218"/>
    <w:rsid w:val="00F354DA"/>
    <w:rsid w:val="00F355A4"/>
    <w:rsid w:val="00F35665"/>
    <w:rsid w:val="00F35943"/>
    <w:rsid w:val="00F35E0B"/>
    <w:rsid w:val="00F36020"/>
    <w:rsid w:val="00F36238"/>
    <w:rsid w:val="00F36389"/>
    <w:rsid w:val="00F37080"/>
    <w:rsid w:val="00F37164"/>
    <w:rsid w:val="00F3768C"/>
    <w:rsid w:val="00F3780C"/>
    <w:rsid w:val="00F379C7"/>
    <w:rsid w:val="00F40624"/>
    <w:rsid w:val="00F40D55"/>
    <w:rsid w:val="00F41467"/>
    <w:rsid w:val="00F414B9"/>
    <w:rsid w:val="00F4169A"/>
    <w:rsid w:val="00F42DDC"/>
    <w:rsid w:val="00F43018"/>
    <w:rsid w:val="00F4320E"/>
    <w:rsid w:val="00F44813"/>
    <w:rsid w:val="00F455FC"/>
    <w:rsid w:val="00F457EA"/>
    <w:rsid w:val="00F4587D"/>
    <w:rsid w:val="00F4589E"/>
    <w:rsid w:val="00F45AA4"/>
    <w:rsid w:val="00F471D0"/>
    <w:rsid w:val="00F472EC"/>
    <w:rsid w:val="00F47C24"/>
    <w:rsid w:val="00F47E2A"/>
    <w:rsid w:val="00F50421"/>
    <w:rsid w:val="00F511AF"/>
    <w:rsid w:val="00F512A8"/>
    <w:rsid w:val="00F51529"/>
    <w:rsid w:val="00F52241"/>
    <w:rsid w:val="00F52513"/>
    <w:rsid w:val="00F52571"/>
    <w:rsid w:val="00F52F47"/>
    <w:rsid w:val="00F52F65"/>
    <w:rsid w:val="00F53656"/>
    <w:rsid w:val="00F53714"/>
    <w:rsid w:val="00F53A9D"/>
    <w:rsid w:val="00F5401C"/>
    <w:rsid w:val="00F54BD4"/>
    <w:rsid w:val="00F55013"/>
    <w:rsid w:val="00F5586E"/>
    <w:rsid w:val="00F55E97"/>
    <w:rsid w:val="00F56163"/>
    <w:rsid w:val="00F56E1C"/>
    <w:rsid w:val="00F57066"/>
    <w:rsid w:val="00F5754F"/>
    <w:rsid w:val="00F578F4"/>
    <w:rsid w:val="00F57BD1"/>
    <w:rsid w:val="00F57FFC"/>
    <w:rsid w:val="00F60684"/>
    <w:rsid w:val="00F60E71"/>
    <w:rsid w:val="00F60F91"/>
    <w:rsid w:val="00F6131A"/>
    <w:rsid w:val="00F61ABD"/>
    <w:rsid w:val="00F61EEC"/>
    <w:rsid w:val="00F622D9"/>
    <w:rsid w:val="00F628A1"/>
    <w:rsid w:val="00F631E3"/>
    <w:rsid w:val="00F6383C"/>
    <w:rsid w:val="00F63E6E"/>
    <w:rsid w:val="00F6565C"/>
    <w:rsid w:val="00F6596F"/>
    <w:rsid w:val="00F67426"/>
    <w:rsid w:val="00F70227"/>
    <w:rsid w:val="00F708E6"/>
    <w:rsid w:val="00F70FEA"/>
    <w:rsid w:val="00F71492"/>
    <w:rsid w:val="00F714CB"/>
    <w:rsid w:val="00F71699"/>
    <w:rsid w:val="00F71945"/>
    <w:rsid w:val="00F719C0"/>
    <w:rsid w:val="00F719D2"/>
    <w:rsid w:val="00F71C13"/>
    <w:rsid w:val="00F71F09"/>
    <w:rsid w:val="00F71F83"/>
    <w:rsid w:val="00F72615"/>
    <w:rsid w:val="00F727C3"/>
    <w:rsid w:val="00F72D31"/>
    <w:rsid w:val="00F72E18"/>
    <w:rsid w:val="00F736DC"/>
    <w:rsid w:val="00F73842"/>
    <w:rsid w:val="00F73937"/>
    <w:rsid w:val="00F73A49"/>
    <w:rsid w:val="00F73D3F"/>
    <w:rsid w:val="00F73FA8"/>
    <w:rsid w:val="00F74092"/>
    <w:rsid w:val="00F740EE"/>
    <w:rsid w:val="00F74201"/>
    <w:rsid w:val="00F7554C"/>
    <w:rsid w:val="00F75CCD"/>
    <w:rsid w:val="00F75E81"/>
    <w:rsid w:val="00F76309"/>
    <w:rsid w:val="00F767BD"/>
    <w:rsid w:val="00F76DBF"/>
    <w:rsid w:val="00F76EFF"/>
    <w:rsid w:val="00F76F69"/>
    <w:rsid w:val="00F776EE"/>
    <w:rsid w:val="00F77F97"/>
    <w:rsid w:val="00F8013E"/>
    <w:rsid w:val="00F8087B"/>
    <w:rsid w:val="00F81149"/>
    <w:rsid w:val="00F812BB"/>
    <w:rsid w:val="00F817BA"/>
    <w:rsid w:val="00F817C6"/>
    <w:rsid w:val="00F81E88"/>
    <w:rsid w:val="00F81EBE"/>
    <w:rsid w:val="00F821CD"/>
    <w:rsid w:val="00F8259B"/>
    <w:rsid w:val="00F82D43"/>
    <w:rsid w:val="00F83111"/>
    <w:rsid w:val="00F83FC6"/>
    <w:rsid w:val="00F84751"/>
    <w:rsid w:val="00F849A4"/>
    <w:rsid w:val="00F84B41"/>
    <w:rsid w:val="00F85ACA"/>
    <w:rsid w:val="00F8616A"/>
    <w:rsid w:val="00F868FD"/>
    <w:rsid w:val="00F86F8A"/>
    <w:rsid w:val="00F873A1"/>
    <w:rsid w:val="00F8775A"/>
    <w:rsid w:val="00F900F7"/>
    <w:rsid w:val="00F9103B"/>
    <w:rsid w:val="00F91510"/>
    <w:rsid w:val="00F9173B"/>
    <w:rsid w:val="00F918AF"/>
    <w:rsid w:val="00F91E34"/>
    <w:rsid w:val="00F91F75"/>
    <w:rsid w:val="00F92E18"/>
    <w:rsid w:val="00F93320"/>
    <w:rsid w:val="00F93380"/>
    <w:rsid w:val="00F936EF"/>
    <w:rsid w:val="00F93978"/>
    <w:rsid w:val="00F93CB9"/>
    <w:rsid w:val="00F93CD3"/>
    <w:rsid w:val="00F93CF1"/>
    <w:rsid w:val="00F93E58"/>
    <w:rsid w:val="00F94516"/>
    <w:rsid w:val="00F95DA0"/>
    <w:rsid w:val="00F96095"/>
    <w:rsid w:val="00F96E09"/>
    <w:rsid w:val="00F96F44"/>
    <w:rsid w:val="00F97010"/>
    <w:rsid w:val="00F97283"/>
    <w:rsid w:val="00F97ACE"/>
    <w:rsid w:val="00F97CB0"/>
    <w:rsid w:val="00FA0A2F"/>
    <w:rsid w:val="00FA0B16"/>
    <w:rsid w:val="00FA0DBC"/>
    <w:rsid w:val="00FA0E1C"/>
    <w:rsid w:val="00FA0EAE"/>
    <w:rsid w:val="00FA10A6"/>
    <w:rsid w:val="00FA111D"/>
    <w:rsid w:val="00FA1BBD"/>
    <w:rsid w:val="00FA2C2C"/>
    <w:rsid w:val="00FA2F65"/>
    <w:rsid w:val="00FA3406"/>
    <w:rsid w:val="00FA39EF"/>
    <w:rsid w:val="00FA594A"/>
    <w:rsid w:val="00FA621F"/>
    <w:rsid w:val="00FA6F7F"/>
    <w:rsid w:val="00FA741B"/>
    <w:rsid w:val="00FA7517"/>
    <w:rsid w:val="00FA79A9"/>
    <w:rsid w:val="00FA7BE1"/>
    <w:rsid w:val="00FB0011"/>
    <w:rsid w:val="00FB0268"/>
    <w:rsid w:val="00FB0B83"/>
    <w:rsid w:val="00FB0C00"/>
    <w:rsid w:val="00FB0E88"/>
    <w:rsid w:val="00FB1143"/>
    <w:rsid w:val="00FB123F"/>
    <w:rsid w:val="00FB125C"/>
    <w:rsid w:val="00FB1B9E"/>
    <w:rsid w:val="00FB1ED7"/>
    <w:rsid w:val="00FB2927"/>
    <w:rsid w:val="00FB2D30"/>
    <w:rsid w:val="00FB30E3"/>
    <w:rsid w:val="00FB32A3"/>
    <w:rsid w:val="00FB3722"/>
    <w:rsid w:val="00FB3775"/>
    <w:rsid w:val="00FB3A8E"/>
    <w:rsid w:val="00FB3B12"/>
    <w:rsid w:val="00FB3C64"/>
    <w:rsid w:val="00FB44F9"/>
    <w:rsid w:val="00FB4EB8"/>
    <w:rsid w:val="00FB5720"/>
    <w:rsid w:val="00FB57CD"/>
    <w:rsid w:val="00FB582C"/>
    <w:rsid w:val="00FB58F0"/>
    <w:rsid w:val="00FB5B1D"/>
    <w:rsid w:val="00FB6211"/>
    <w:rsid w:val="00FB6564"/>
    <w:rsid w:val="00FB6CCE"/>
    <w:rsid w:val="00FB737D"/>
    <w:rsid w:val="00FB7672"/>
    <w:rsid w:val="00FB7781"/>
    <w:rsid w:val="00FB7896"/>
    <w:rsid w:val="00FB79D0"/>
    <w:rsid w:val="00FC0694"/>
    <w:rsid w:val="00FC0923"/>
    <w:rsid w:val="00FC0A8D"/>
    <w:rsid w:val="00FC0E05"/>
    <w:rsid w:val="00FC1101"/>
    <w:rsid w:val="00FC22E8"/>
    <w:rsid w:val="00FC2535"/>
    <w:rsid w:val="00FC43E7"/>
    <w:rsid w:val="00FC4A0C"/>
    <w:rsid w:val="00FC4DCF"/>
    <w:rsid w:val="00FC564F"/>
    <w:rsid w:val="00FC64C6"/>
    <w:rsid w:val="00FC67E3"/>
    <w:rsid w:val="00FC6975"/>
    <w:rsid w:val="00FC697E"/>
    <w:rsid w:val="00FC715B"/>
    <w:rsid w:val="00FC71C8"/>
    <w:rsid w:val="00FD0173"/>
    <w:rsid w:val="00FD01E4"/>
    <w:rsid w:val="00FD042E"/>
    <w:rsid w:val="00FD0A96"/>
    <w:rsid w:val="00FD0D67"/>
    <w:rsid w:val="00FD1C49"/>
    <w:rsid w:val="00FD1EFF"/>
    <w:rsid w:val="00FD297F"/>
    <w:rsid w:val="00FD3222"/>
    <w:rsid w:val="00FD365C"/>
    <w:rsid w:val="00FD44BF"/>
    <w:rsid w:val="00FD46BB"/>
    <w:rsid w:val="00FD4814"/>
    <w:rsid w:val="00FD5020"/>
    <w:rsid w:val="00FD61E1"/>
    <w:rsid w:val="00FD7180"/>
    <w:rsid w:val="00FD73DB"/>
    <w:rsid w:val="00FD7B96"/>
    <w:rsid w:val="00FD7F1D"/>
    <w:rsid w:val="00FE04B4"/>
    <w:rsid w:val="00FE0AB2"/>
    <w:rsid w:val="00FE1064"/>
    <w:rsid w:val="00FE128F"/>
    <w:rsid w:val="00FE15E1"/>
    <w:rsid w:val="00FE1A29"/>
    <w:rsid w:val="00FE2291"/>
    <w:rsid w:val="00FE2F4D"/>
    <w:rsid w:val="00FE3C0B"/>
    <w:rsid w:val="00FE3F1F"/>
    <w:rsid w:val="00FE560E"/>
    <w:rsid w:val="00FE58AC"/>
    <w:rsid w:val="00FE62E8"/>
    <w:rsid w:val="00FE6981"/>
    <w:rsid w:val="00FE6ADE"/>
    <w:rsid w:val="00FE6BE4"/>
    <w:rsid w:val="00FE6EAE"/>
    <w:rsid w:val="00FE6F07"/>
    <w:rsid w:val="00FE70E7"/>
    <w:rsid w:val="00FE7953"/>
    <w:rsid w:val="00FE7C4A"/>
    <w:rsid w:val="00FF0689"/>
    <w:rsid w:val="00FF07DB"/>
    <w:rsid w:val="00FF0A32"/>
    <w:rsid w:val="00FF1355"/>
    <w:rsid w:val="00FF141E"/>
    <w:rsid w:val="00FF152A"/>
    <w:rsid w:val="00FF2499"/>
    <w:rsid w:val="00FF2674"/>
    <w:rsid w:val="00FF30A7"/>
    <w:rsid w:val="00FF3E15"/>
    <w:rsid w:val="00FF484E"/>
    <w:rsid w:val="00FF4D9F"/>
    <w:rsid w:val="00FF5262"/>
    <w:rsid w:val="00FF55B2"/>
    <w:rsid w:val="00FF707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539E21"/>
  <w15:docId w15:val="{9FBA460E-031B-4D6F-983C-1BA5BFC2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US" w:bidi="es-US"/>
      </w:rPr>
    </w:rPrDefault>
    <w:pPrDefault/>
  </w:docDefaults>
  <w:latentStyles w:defLockedState="0" w:defUIPriority="0" w:defSemiHidden="0" w:defUnhideWhenUsed="0" w:defQFormat="0" w:count="371">
    <w:lsdException w:name="Normal" w:qFormat="1"/>
    <w:lsdException w:name="heading 1" w:qFormat="1"/>
    <w:lsdException w:name="heading 2" w:uiPriority="99"/>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3C"/>
    <w:rPr>
      <w:sz w:val="24"/>
      <w:lang w:val="es-ES"/>
    </w:rPr>
  </w:style>
  <w:style w:type="paragraph" w:styleId="Heading1">
    <w:name w:val="heading 1"/>
    <w:aliases w:val="EB Heading 1"/>
    <w:basedOn w:val="Normal"/>
    <w:next w:val="Normal"/>
    <w:qFormat/>
    <w:rsid w:val="00630691"/>
    <w:pPr>
      <w:keepNext/>
      <w:numPr>
        <w:numId w:val="2"/>
      </w:numPr>
      <w:spacing w:before="240" w:after="240"/>
      <w:ind w:left="1267" w:right="360" w:hanging="720"/>
      <w:outlineLvl w:val="0"/>
    </w:pPr>
    <w:rPr>
      <w:b/>
      <w:sz w:val="28"/>
    </w:rPr>
  </w:style>
  <w:style w:type="paragraph" w:styleId="Heading2">
    <w:name w:val="heading 2"/>
    <w:basedOn w:val="Normal"/>
    <w:next w:val="Normal"/>
    <w:link w:val="Heading2Char"/>
    <w:uiPriority w:val="99"/>
    <w:rsid w:val="00683D11"/>
    <w:pPr>
      <w:keepNext/>
      <w:numPr>
        <w:numId w:val="3"/>
      </w:numPr>
      <w:ind w:left="3240"/>
      <w:outlineLvl w:val="1"/>
    </w:pPr>
    <w:rPr>
      <w:rFonts w:eastAsia="Calibri"/>
      <w:b/>
    </w:rPr>
  </w:style>
  <w:style w:type="paragraph" w:styleId="Heading3">
    <w:name w:val="heading 3"/>
    <w:aliases w:val="EB Heading 2"/>
    <w:basedOn w:val="Normal"/>
    <w:next w:val="Normal"/>
    <w:qFormat/>
    <w:rsid w:val="00154593"/>
    <w:pPr>
      <w:keepNext/>
      <w:numPr>
        <w:numId w:val="4"/>
      </w:numPr>
      <w:spacing w:before="180" w:after="240"/>
      <w:ind w:left="1267" w:right="360" w:hanging="547"/>
      <w:outlineLvl w:val="2"/>
    </w:pPr>
    <w:rPr>
      <w:rFonts w:eastAsia="Calibri"/>
      <w:b/>
      <w:szCs w:val="24"/>
    </w:rPr>
  </w:style>
  <w:style w:type="paragraph" w:styleId="Heading4">
    <w:name w:val="heading 4"/>
    <w:aliases w:val="EB Heading 4"/>
    <w:basedOn w:val="Heading8"/>
    <w:next w:val="Normal"/>
    <w:qFormat/>
    <w:rsid w:val="00154593"/>
    <w:pPr>
      <w:spacing w:before="180" w:after="180"/>
      <w:ind w:left="1267" w:right="360"/>
      <w:outlineLvl w:val="3"/>
    </w:pPr>
    <w:rPr>
      <w:rFonts w:eastAsia="Calibri"/>
      <w:b/>
      <w:sz w:val="20"/>
    </w:rPr>
  </w:style>
  <w:style w:type="paragraph" w:styleId="Heading5">
    <w:name w:val="heading 5"/>
    <w:aliases w:val="EB Heading 5"/>
    <w:basedOn w:val="Normal"/>
    <w:next w:val="Normal"/>
    <w:qFormat/>
    <w:rsid w:val="00DC6BEE"/>
    <w:pPr>
      <w:keepNext/>
      <w:tabs>
        <w:tab w:val="center" w:pos="4680"/>
      </w:tabs>
      <w:spacing w:before="120" w:after="120"/>
      <w:ind w:left="1267" w:right="360"/>
      <w:outlineLvl w:val="4"/>
    </w:pPr>
    <w:rPr>
      <w:i/>
      <w:sz w:val="20"/>
    </w:rPr>
  </w:style>
  <w:style w:type="paragraph" w:styleId="Heading6">
    <w:name w:val="heading 6"/>
    <w:basedOn w:val="Normal"/>
    <w:next w:val="Normal"/>
    <w:qFormat/>
    <w:rsid w:val="004D0706"/>
    <w:pPr>
      <w:keepNext/>
      <w:outlineLvl w:val="5"/>
    </w:pPr>
    <w:rPr>
      <w:rFonts w:ascii="Arial" w:hAnsi="Arial"/>
      <w:b/>
      <w:sz w:val="32"/>
    </w:rPr>
  </w:style>
  <w:style w:type="paragraph" w:styleId="Heading7">
    <w:name w:val="heading 7"/>
    <w:basedOn w:val="Normal"/>
    <w:next w:val="Normal"/>
    <w:qFormat/>
    <w:rsid w:val="004D0706"/>
    <w:pPr>
      <w:keepNext/>
      <w:ind w:left="720"/>
      <w:outlineLvl w:val="6"/>
    </w:pPr>
  </w:style>
  <w:style w:type="paragraph" w:styleId="Heading8">
    <w:name w:val="heading 8"/>
    <w:basedOn w:val="Normal"/>
    <w:next w:val="Normal"/>
    <w:link w:val="Heading8Char"/>
    <w:qFormat/>
    <w:rsid w:val="004D2E44"/>
    <w:pPr>
      <w:keepNext/>
      <w:ind w:left="720"/>
      <w:jc w:val="both"/>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4589E"/>
    <w:rPr>
      <w:rFonts w:ascii="Tahoma" w:hAnsi="Tahoma" w:cs="Tahoma"/>
      <w:sz w:val="16"/>
      <w:szCs w:val="16"/>
    </w:rPr>
  </w:style>
  <w:style w:type="character" w:customStyle="1" w:styleId="BalloonTextChar">
    <w:name w:val="Balloon Text Char"/>
    <w:basedOn w:val="DefaultParagraphFont"/>
    <w:uiPriority w:val="99"/>
    <w:semiHidden/>
    <w:rsid w:val="00172CDF"/>
    <w:rPr>
      <w:rFonts w:ascii="Lucida Grande" w:hAnsi="Lucida Grande"/>
      <w:sz w:val="18"/>
      <w:szCs w:val="18"/>
    </w:rPr>
  </w:style>
  <w:style w:type="paragraph" w:styleId="Header">
    <w:name w:val="header"/>
    <w:basedOn w:val="Normal"/>
    <w:link w:val="HeaderChar"/>
    <w:uiPriority w:val="99"/>
    <w:rsid w:val="004D0706"/>
    <w:pPr>
      <w:tabs>
        <w:tab w:val="center" w:pos="4320"/>
        <w:tab w:val="right" w:pos="8640"/>
      </w:tabs>
    </w:pPr>
  </w:style>
  <w:style w:type="paragraph" w:styleId="Footer">
    <w:name w:val="footer"/>
    <w:basedOn w:val="Normal"/>
    <w:rsid w:val="004D0706"/>
    <w:pPr>
      <w:tabs>
        <w:tab w:val="center" w:pos="4320"/>
        <w:tab w:val="right" w:pos="8640"/>
      </w:tabs>
    </w:pPr>
  </w:style>
  <w:style w:type="character" w:styleId="PageNumber">
    <w:name w:val="page number"/>
    <w:basedOn w:val="DefaultParagraphFont"/>
    <w:rsid w:val="004D0706"/>
  </w:style>
  <w:style w:type="character" w:styleId="FootnoteReference">
    <w:name w:val="footnote reference"/>
    <w:uiPriority w:val="99"/>
    <w:rsid w:val="00AF4339"/>
    <w:rPr>
      <w:vertAlign w:val="superscript"/>
      <w:lang w:val="es-US"/>
    </w:rPr>
  </w:style>
  <w:style w:type="paragraph" w:customStyle="1" w:styleId="Level1">
    <w:name w:val="Level 1"/>
    <w:basedOn w:val="Normal"/>
    <w:rsid w:val="004D0706"/>
    <w:pPr>
      <w:widowControl w:val="0"/>
    </w:pPr>
    <w:rPr>
      <w:snapToGrid w:val="0"/>
    </w:rPr>
  </w:style>
  <w:style w:type="paragraph" w:styleId="Title">
    <w:name w:val="Title"/>
    <w:basedOn w:val="Normal"/>
    <w:link w:val="TitleChar"/>
    <w:rsid w:val="004D0706"/>
    <w:pPr>
      <w:jc w:val="center"/>
    </w:pPr>
    <w:rPr>
      <w:b/>
      <w:sz w:val="28"/>
    </w:rPr>
  </w:style>
  <w:style w:type="paragraph" w:styleId="TOC1">
    <w:name w:val="toc 1"/>
    <w:basedOn w:val="Normal"/>
    <w:next w:val="Normal"/>
    <w:autoRedefine/>
    <w:uiPriority w:val="39"/>
    <w:rsid w:val="00C51A9A"/>
    <w:pPr>
      <w:tabs>
        <w:tab w:val="right" w:leader="dot" w:pos="9350"/>
      </w:tabs>
      <w:spacing w:before="100" w:beforeAutospacing="1" w:after="100" w:afterAutospacing="1"/>
      <w:ind w:left="634" w:hanging="634"/>
    </w:pPr>
    <w:rPr>
      <w:noProof/>
    </w:rPr>
  </w:style>
  <w:style w:type="paragraph" w:styleId="TOC2">
    <w:name w:val="toc 2"/>
    <w:basedOn w:val="Normal"/>
    <w:next w:val="Normal"/>
    <w:autoRedefine/>
    <w:uiPriority w:val="39"/>
    <w:rsid w:val="00A7664D"/>
    <w:pPr>
      <w:tabs>
        <w:tab w:val="left" w:pos="630"/>
        <w:tab w:val="left" w:pos="1260"/>
        <w:tab w:val="right" w:leader="dot" w:pos="9350"/>
      </w:tabs>
      <w:ind w:left="200"/>
    </w:pPr>
    <w:rPr>
      <w:noProof/>
    </w:rPr>
  </w:style>
  <w:style w:type="paragraph" w:styleId="TOC3">
    <w:name w:val="toc 3"/>
    <w:basedOn w:val="Normal"/>
    <w:next w:val="Normal"/>
    <w:autoRedefine/>
    <w:uiPriority w:val="39"/>
    <w:rsid w:val="004D0706"/>
    <w:pPr>
      <w:tabs>
        <w:tab w:val="left" w:pos="1800"/>
        <w:tab w:val="right" w:leader="dot" w:pos="9350"/>
      </w:tabs>
      <w:ind w:left="1260" w:hanging="860"/>
    </w:pPr>
    <w:rPr>
      <w:noProof/>
    </w:rPr>
  </w:style>
  <w:style w:type="paragraph" w:styleId="FootnoteText">
    <w:name w:val="footnote text"/>
    <w:basedOn w:val="Normal"/>
    <w:link w:val="FootnoteTextChar"/>
    <w:uiPriority w:val="99"/>
    <w:rsid w:val="00A26FE7"/>
    <w:rPr>
      <w:sz w:val="18"/>
      <w:szCs w:val="18"/>
    </w:rPr>
  </w:style>
  <w:style w:type="paragraph" w:styleId="BodyText3">
    <w:name w:val="Body Text 3"/>
    <w:basedOn w:val="Normal"/>
    <w:rsid w:val="004D0706"/>
    <w:pPr>
      <w:widowControl w:val="0"/>
      <w:jc w:val="both"/>
    </w:pPr>
    <w:rPr>
      <w:snapToGrid w:val="0"/>
    </w:rPr>
  </w:style>
  <w:style w:type="paragraph" w:styleId="BodyText2">
    <w:name w:val="Body Text 2"/>
    <w:basedOn w:val="Normal"/>
    <w:rsid w:val="004D0706"/>
    <w:rPr>
      <w:u w:val="single"/>
    </w:rPr>
  </w:style>
  <w:style w:type="paragraph" w:styleId="BodyText">
    <w:name w:val="Body Text"/>
    <w:basedOn w:val="Normal"/>
    <w:rsid w:val="004D0706"/>
    <w:pPr>
      <w:spacing w:line="480" w:lineRule="auto"/>
    </w:pPr>
  </w:style>
  <w:style w:type="paragraph" w:styleId="BodyTextIndent2">
    <w:name w:val="Body Text Indent 2"/>
    <w:basedOn w:val="Normal"/>
    <w:rsid w:val="004D0706"/>
    <w:pPr>
      <w:ind w:left="720" w:hanging="720"/>
    </w:pPr>
  </w:style>
  <w:style w:type="character" w:styleId="CommentReference">
    <w:name w:val="annotation reference"/>
    <w:basedOn w:val="DefaultParagraphFont"/>
    <w:uiPriority w:val="99"/>
    <w:semiHidden/>
    <w:unhideWhenUsed/>
    <w:rPr>
      <w:sz w:val="16"/>
      <w:szCs w:val="16"/>
    </w:rPr>
  </w:style>
  <w:style w:type="paragraph" w:styleId="BodyTextIndent">
    <w:name w:val="Body Text Indent"/>
    <w:basedOn w:val="Normal"/>
    <w:rsid w:val="004D0706"/>
    <w:pPr>
      <w:ind w:left="720"/>
    </w:pPr>
  </w:style>
  <w:style w:type="paragraph" w:styleId="BodyTextIndent3">
    <w:name w:val="Body Text Indent 3"/>
    <w:basedOn w:val="Normal"/>
    <w:rsid w:val="004D0706"/>
    <w:pPr>
      <w:ind w:left="720"/>
    </w:pPr>
    <w:rPr>
      <w:i/>
    </w:rPr>
  </w:style>
  <w:style w:type="paragraph" w:styleId="CommentText">
    <w:name w:val="annotation text"/>
    <w:basedOn w:val="Normal"/>
    <w:link w:val="CommentTextChar"/>
    <w:uiPriority w:val="99"/>
    <w:semiHidden/>
    <w:unhideWhenUsed/>
    <w:rPr>
      <w:sz w:val="20"/>
    </w:rPr>
  </w:style>
  <w:style w:type="paragraph" w:styleId="ListParagraph">
    <w:name w:val="List Paragraph"/>
    <w:basedOn w:val="Normal"/>
    <w:link w:val="ListParagraphChar"/>
    <w:uiPriority w:val="34"/>
    <w:qFormat/>
    <w:rsid w:val="00A12F10"/>
    <w:pPr>
      <w:numPr>
        <w:ilvl w:val="2"/>
        <w:numId w:val="1"/>
      </w:numPr>
      <w:tabs>
        <w:tab w:val="left" w:pos="1800"/>
      </w:tabs>
      <w:spacing w:after="120"/>
      <w:ind w:left="1800" w:right="360" w:hanging="360"/>
    </w:pPr>
    <w:rPr>
      <w:rFonts w:eastAsia="Calibri"/>
      <w:sz w:val="20"/>
    </w:rPr>
  </w:style>
  <w:style w:type="character" w:customStyle="1" w:styleId="FootnoteTextChar">
    <w:name w:val="Footnote Text Char"/>
    <w:link w:val="FootnoteText"/>
    <w:uiPriority w:val="99"/>
    <w:rsid w:val="00A26FE7"/>
    <w:rPr>
      <w:sz w:val="18"/>
      <w:szCs w:val="18"/>
      <w:lang w:val="es-US"/>
    </w:rPr>
  </w:style>
  <w:style w:type="paragraph" w:styleId="CommentSubject">
    <w:name w:val="annotation subject"/>
    <w:basedOn w:val="CommentText"/>
    <w:next w:val="CommentText"/>
    <w:link w:val="CommentSubjectChar"/>
    <w:rsid w:val="00F4589E"/>
    <w:rPr>
      <w:b/>
      <w:bCs/>
    </w:rPr>
  </w:style>
  <w:style w:type="character" w:customStyle="1" w:styleId="CommentTextChar">
    <w:name w:val="Comment Text Char"/>
    <w:link w:val="CommentText"/>
    <w:uiPriority w:val="99"/>
    <w:semiHidden/>
    <w:rsid w:val="00F4589E"/>
    <w:rPr>
      <w:snapToGrid w:val="0"/>
      <w:sz w:val="24"/>
    </w:rPr>
  </w:style>
  <w:style w:type="character" w:customStyle="1" w:styleId="CommentSubjectChar">
    <w:name w:val="Comment Subject Char"/>
    <w:link w:val="CommentSubject"/>
    <w:rsid w:val="00F4589E"/>
    <w:rPr>
      <w:b/>
      <w:bCs/>
      <w:snapToGrid/>
      <w:sz w:val="24"/>
    </w:rPr>
  </w:style>
  <w:style w:type="character" w:customStyle="1" w:styleId="BalloonTextChar1">
    <w:name w:val="Balloon Text Char1"/>
    <w:link w:val="BalloonText"/>
    <w:rsid w:val="00F4589E"/>
    <w:rPr>
      <w:rFonts w:ascii="Tahoma" w:hAnsi="Tahoma" w:cs="Tahoma"/>
      <w:sz w:val="16"/>
      <w:szCs w:val="16"/>
    </w:rPr>
  </w:style>
  <w:style w:type="paragraph" w:styleId="Revision">
    <w:name w:val="Revision"/>
    <w:hidden/>
    <w:uiPriority w:val="99"/>
    <w:semiHidden/>
    <w:rsid w:val="000416D1"/>
    <w:rPr>
      <w:sz w:val="24"/>
    </w:rPr>
  </w:style>
  <w:style w:type="character" w:customStyle="1" w:styleId="st">
    <w:name w:val="st"/>
    <w:rsid w:val="005D328D"/>
  </w:style>
  <w:style w:type="character" w:styleId="Hyperlink">
    <w:name w:val="Hyperlink"/>
    <w:uiPriority w:val="99"/>
    <w:unhideWhenUsed/>
    <w:rsid w:val="005D328D"/>
    <w:rPr>
      <w:color w:val="0000FF"/>
      <w:u w:val="single"/>
    </w:rPr>
  </w:style>
  <w:style w:type="character" w:customStyle="1" w:styleId="ListParagraphChar">
    <w:name w:val="List Paragraph Char"/>
    <w:basedOn w:val="DefaultParagraphFont"/>
    <w:link w:val="ListParagraph"/>
    <w:uiPriority w:val="34"/>
    <w:locked/>
    <w:rsid w:val="00A12F10"/>
    <w:rPr>
      <w:rFonts w:eastAsia="Calibri"/>
      <w:lang w:val="es-US"/>
    </w:rPr>
  </w:style>
  <w:style w:type="paragraph" w:styleId="NormalWeb">
    <w:name w:val="Normal (Web)"/>
    <w:basedOn w:val="Normal"/>
    <w:uiPriority w:val="99"/>
    <w:unhideWhenUsed/>
    <w:rsid w:val="00C8113C"/>
    <w:pPr>
      <w:spacing w:before="100" w:beforeAutospacing="1" w:after="100" w:afterAutospacing="1"/>
    </w:pPr>
    <w:rPr>
      <w:szCs w:val="24"/>
    </w:rPr>
  </w:style>
  <w:style w:type="paragraph" w:styleId="EndnoteText">
    <w:name w:val="endnote text"/>
    <w:basedOn w:val="Normal"/>
    <w:link w:val="EndnoteTextChar"/>
    <w:rsid w:val="00771859"/>
    <w:rPr>
      <w:sz w:val="20"/>
    </w:rPr>
  </w:style>
  <w:style w:type="character" w:customStyle="1" w:styleId="EndnoteTextChar">
    <w:name w:val="Endnote Text Char"/>
    <w:basedOn w:val="DefaultParagraphFont"/>
    <w:link w:val="EndnoteText"/>
    <w:rsid w:val="00771859"/>
  </w:style>
  <w:style w:type="character" w:styleId="EndnoteReference">
    <w:name w:val="endnote reference"/>
    <w:basedOn w:val="DefaultParagraphFont"/>
    <w:rsid w:val="00771859"/>
    <w:rPr>
      <w:vertAlign w:val="superscript"/>
    </w:rPr>
  </w:style>
  <w:style w:type="character" w:customStyle="1" w:styleId="TitleChar">
    <w:name w:val="Title Char"/>
    <w:link w:val="Title"/>
    <w:rsid w:val="0085154A"/>
    <w:rPr>
      <w:b/>
      <w:sz w:val="28"/>
      <w:lang w:val="es-US"/>
    </w:rPr>
  </w:style>
  <w:style w:type="character" w:customStyle="1" w:styleId="Heading2Char">
    <w:name w:val="Heading 2 Char"/>
    <w:link w:val="Heading2"/>
    <w:uiPriority w:val="99"/>
    <w:rsid w:val="00683D11"/>
    <w:rPr>
      <w:rFonts w:eastAsia="Calibri"/>
      <w:b/>
      <w:sz w:val="24"/>
      <w:lang w:val="es-US"/>
    </w:rPr>
  </w:style>
  <w:style w:type="paragraph" w:styleId="Caption">
    <w:name w:val="caption"/>
    <w:basedOn w:val="Normal"/>
    <w:next w:val="Normal"/>
    <w:unhideWhenUsed/>
    <w:rsid w:val="002C5FEF"/>
    <w:rPr>
      <w:b/>
      <w:bCs/>
      <w:sz w:val="20"/>
    </w:rPr>
  </w:style>
  <w:style w:type="character" w:customStyle="1" w:styleId="Heading8Char">
    <w:name w:val="Heading 8 Char"/>
    <w:basedOn w:val="DefaultParagraphFont"/>
    <w:link w:val="Heading8"/>
    <w:rsid w:val="004D2E44"/>
    <w:rPr>
      <w:i/>
      <w:sz w:val="24"/>
      <w:lang w:val="es-US"/>
    </w:rPr>
  </w:style>
  <w:style w:type="character" w:styleId="FollowedHyperlink">
    <w:name w:val="FollowedHyperlink"/>
    <w:basedOn w:val="DefaultParagraphFont"/>
    <w:rsid w:val="00040FE4"/>
    <w:rPr>
      <w:color w:val="800080" w:themeColor="followedHyperlink"/>
      <w:u w:val="single"/>
    </w:rPr>
  </w:style>
  <w:style w:type="paragraph" w:customStyle="1" w:styleId="Default">
    <w:name w:val="Default"/>
    <w:rsid w:val="006679A5"/>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F3768C"/>
    <w:pPr>
      <w:keepLines/>
      <w:numPr>
        <w:numId w:val="0"/>
      </w:numPr>
      <w:spacing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HeaderChar">
    <w:name w:val="Header Char"/>
    <w:link w:val="Header"/>
    <w:uiPriority w:val="99"/>
    <w:rsid w:val="00F354DA"/>
    <w:rPr>
      <w:sz w:val="24"/>
    </w:rPr>
  </w:style>
  <w:style w:type="table" w:styleId="TableGrid">
    <w:name w:val="Table Grid"/>
    <w:basedOn w:val="TableNormal"/>
    <w:rsid w:val="00CB0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para">
    <w:name w:val="Num 1 para"/>
    <w:basedOn w:val="Normal"/>
    <w:qFormat/>
    <w:rsid w:val="00630691"/>
    <w:pPr>
      <w:numPr>
        <w:numId w:val="1"/>
      </w:numPr>
      <w:tabs>
        <w:tab w:val="left" w:pos="1800"/>
      </w:tabs>
      <w:spacing w:after="120"/>
      <w:ind w:right="360"/>
      <w:jc w:val="both"/>
    </w:pPr>
    <w:rPr>
      <w:sz w:val="20"/>
    </w:rPr>
  </w:style>
  <w:style w:type="paragraph" w:customStyle="1" w:styleId="Numapara">
    <w:name w:val="Num (a) para"/>
    <w:basedOn w:val="ListParagraph"/>
    <w:qFormat/>
    <w:rsid w:val="0044338D"/>
    <w:pPr>
      <w:spacing w:after="80" w:line="480" w:lineRule="auto"/>
    </w:pPr>
  </w:style>
  <w:style w:type="paragraph" w:customStyle="1" w:styleId="Numapara0">
    <w:name w:val="Num a para"/>
    <w:basedOn w:val="Numapara"/>
    <w:rsid w:val="00071B93"/>
  </w:style>
  <w:style w:type="paragraph" w:customStyle="1" w:styleId="FigureHeading">
    <w:name w:val="Figure Heading"/>
    <w:basedOn w:val="Normal"/>
    <w:qFormat/>
    <w:rsid w:val="0032522A"/>
    <w:pPr>
      <w:tabs>
        <w:tab w:val="left" w:pos="1440"/>
      </w:tabs>
      <w:spacing w:before="240" w:after="60"/>
      <w:ind w:left="1267" w:right="360"/>
      <w:jc w:val="center"/>
    </w:pPr>
    <w:rPr>
      <w:b/>
      <w:sz w:val="20"/>
    </w:rPr>
  </w:style>
  <w:style w:type="paragraph" w:customStyle="1" w:styleId="Footnote">
    <w:name w:val="Footnote"/>
    <w:basedOn w:val="FootnoteText"/>
    <w:qFormat/>
    <w:rsid w:val="003F11CB"/>
    <w:pPr>
      <w:ind w:left="1260"/>
    </w:pPr>
  </w:style>
  <w:style w:type="numbering" w:customStyle="1" w:styleId="ImportedStyle1">
    <w:name w:val="Imported Style 1"/>
    <w:rsid w:val="004065B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797">
      <w:bodyDiv w:val="1"/>
      <w:marLeft w:val="0"/>
      <w:marRight w:val="0"/>
      <w:marTop w:val="0"/>
      <w:marBottom w:val="0"/>
      <w:divBdr>
        <w:top w:val="none" w:sz="0" w:space="0" w:color="auto"/>
        <w:left w:val="none" w:sz="0" w:space="0" w:color="auto"/>
        <w:bottom w:val="none" w:sz="0" w:space="0" w:color="auto"/>
        <w:right w:val="none" w:sz="0" w:space="0" w:color="auto"/>
      </w:divBdr>
    </w:div>
    <w:div w:id="26415757">
      <w:bodyDiv w:val="1"/>
      <w:marLeft w:val="0"/>
      <w:marRight w:val="0"/>
      <w:marTop w:val="0"/>
      <w:marBottom w:val="0"/>
      <w:divBdr>
        <w:top w:val="none" w:sz="0" w:space="0" w:color="auto"/>
        <w:left w:val="none" w:sz="0" w:space="0" w:color="auto"/>
        <w:bottom w:val="none" w:sz="0" w:space="0" w:color="auto"/>
        <w:right w:val="none" w:sz="0" w:space="0" w:color="auto"/>
      </w:divBdr>
      <w:divsChild>
        <w:div w:id="10303395">
          <w:marLeft w:val="576"/>
          <w:marRight w:val="0"/>
          <w:marTop w:val="115"/>
          <w:marBottom w:val="0"/>
          <w:divBdr>
            <w:top w:val="none" w:sz="0" w:space="0" w:color="auto"/>
            <w:left w:val="none" w:sz="0" w:space="0" w:color="auto"/>
            <w:bottom w:val="none" w:sz="0" w:space="0" w:color="auto"/>
            <w:right w:val="none" w:sz="0" w:space="0" w:color="auto"/>
          </w:divBdr>
        </w:div>
      </w:divsChild>
    </w:div>
    <w:div w:id="435255729">
      <w:bodyDiv w:val="1"/>
      <w:marLeft w:val="0"/>
      <w:marRight w:val="0"/>
      <w:marTop w:val="0"/>
      <w:marBottom w:val="0"/>
      <w:divBdr>
        <w:top w:val="none" w:sz="0" w:space="0" w:color="auto"/>
        <w:left w:val="none" w:sz="0" w:space="0" w:color="auto"/>
        <w:bottom w:val="none" w:sz="0" w:space="0" w:color="auto"/>
        <w:right w:val="none" w:sz="0" w:space="0" w:color="auto"/>
      </w:divBdr>
    </w:div>
    <w:div w:id="477310011">
      <w:bodyDiv w:val="1"/>
      <w:marLeft w:val="0"/>
      <w:marRight w:val="0"/>
      <w:marTop w:val="0"/>
      <w:marBottom w:val="0"/>
      <w:divBdr>
        <w:top w:val="none" w:sz="0" w:space="0" w:color="auto"/>
        <w:left w:val="none" w:sz="0" w:space="0" w:color="auto"/>
        <w:bottom w:val="none" w:sz="0" w:space="0" w:color="auto"/>
        <w:right w:val="none" w:sz="0" w:space="0" w:color="auto"/>
      </w:divBdr>
    </w:div>
    <w:div w:id="487985147">
      <w:bodyDiv w:val="1"/>
      <w:marLeft w:val="0"/>
      <w:marRight w:val="0"/>
      <w:marTop w:val="0"/>
      <w:marBottom w:val="0"/>
      <w:divBdr>
        <w:top w:val="none" w:sz="0" w:space="0" w:color="auto"/>
        <w:left w:val="none" w:sz="0" w:space="0" w:color="auto"/>
        <w:bottom w:val="none" w:sz="0" w:space="0" w:color="auto"/>
        <w:right w:val="none" w:sz="0" w:space="0" w:color="auto"/>
      </w:divBdr>
      <w:divsChild>
        <w:div w:id="639725957">
          <w:marLeft w:val="0"/>
          <w:marRight w:val="0"/>
          <w:marTop w:val="0"/>
          <w:marBottom w:val="0"/>
          <w:divBdr>
            <w:top w:val="none" w:sz="0" w:space="0" w:color="auto"/>
            <w:left w:val="none" w:sz="0" w:space="0" w:color="auto"/>
            <w:bottom w:val="none" w:sz="0" w:space="0" w:color="auto"/>
            <w:right w:val="none" w:sz="0" w:space="0" w:color="auto"/>
          </w:divBdr>
        </w:div>
      </w:divsChild>
    </w:div>
    <w:div w:id="649868756">
      <w:bodyDiv w:val="1"/>
      <w:marLeft w:val="0"/>
      <w:marRight w:val="0"/>
      <w:marTop w:val="0"/>
      <w:marBottom w:val="0"/>
      <w:divBdr>
        <w:top w:val="none" w:sz="0" w:space="0" w:color="auto"/>
        <w:left w:val="none" w:sz="0" w:space="0" w:color="auto"/>
        <w:bottom w:val="none" w:sz="0" w:space="0" w:color="auto"/>
        <w:right w:val="none" w:sz="0" w:space="0" w:color="auto"/>
      </w:divBdr>
    </w:div>
    <w:div w:id="665977209">
      <w:bodyDiv w:val="1"/>
      <w:marLeft w:val="0"/>
      <w:marRight w:val="0"/>
      <w:marTop w:val="0"/>
      <w:marBottom w:val="0"/>
      <w:divBdr>
        <w:top w:val="none" w:sz="0" w:space="0" w:color="auto"/>
        <w:left w:val="none" w:sz="0" w:space="0" w:color="auto"/>
        <w:bottom w:val="none" w:sz="0" w:space="0" w:color="auto"/>
        <w:right w:val="none" w:sz="0" w:space="0" w:color="auto"/>
      </w:divBdr>
    </w:div>
    <w:div w:id="701711939">
      <w:bodyDiv w:val="1"/>
      <w:marLeft w:val="0"/>
      <w:marRight w:val="0"/>
      <w:marTop w:val="0"/>
      <w:marBottom w:val="0"/>
      <w:divBdr>
        <w:top w:val="none" w:sz="0" w:space="0" w:color="auto"/>
        <w:left w:val="none" w:sz="0" w:space="0" w:color="auto"/>
        <w:bottom w:val="none" w:sz="0" w:space="0" w:color="auto"/>
        <w:right w:val="none" w:sz="0" w:space="0" w:color="auto"/>
      </w:divBdr>
    </w:div>
    <w:div w:id="720590714">
      <w:bodyDiv w:val="1"/>
      <w:marLeft w:val="0"/>
      <w:marRight w:val="0"/>
      <w:marTop w:val="0"/>
      <w:marBottom w:val="0"/>
      <w:divBdr>
        <w:top w:val="none" w:sz="0" w:space="0" w:color="auto"/>
        <w:left w:val="none" w:sz="0" w:space="0" w:color="auto"/>
        <w:bottom w:val="none" w:sz="0" w:space="0" w:color="auto"/>
        <w:right w:val="none" w:sz="0" w:space="0" w:color="auto"/>
      </w:divBdr>
    </w:div>
    <w:div w:id="847714750">
      <w:bodyDiv w:val="1"/>
      <w:marLeft w:val="0"/>
      <w:marRight w:val="0"/>
      <w:marTop w:val="0"/>
      <w:marBottom w:val="0"/>
      <w:divBdr>
        <w:top w:val="none" w:sz="0" w:space="0" w:color="auto"/>
        <w:left w:val="none" w:sz="0" w:space="0" w:color="auto"/>
        <w:bottom w:val="none" w:sz="0" w:space="0" w:color="auto"/>
        <w:right w:val="none" w:sz="0" w:space="0" w:color="auto"/>
      </w:divBdr>
    </w:div>
    <w:div w:id="983853709">
      <w:bodyDiv w:val="1"/>
      <w:marLeft w:val="0"/>
      <w:marRight w:val="0"/>
      <w:marTop w:val="0"/>
      <w:marBottom w:val="0"/>
      <w:divBdr>
        <w:top w:val="none" w:sz="0" w:space="0" w:color="auto"/>
        <w:left w:val="none" w:sz="0" w:space="0" w:color="auto"/>
        <w:bottom w:val="none" w:sz="0" w:space="0" w:color="auto"/>
        <w:right w:val="none" w:sz="0" w:space="0" w:color="auto"/>
      </w:divBdr>
    </w:div>
    <w:div w:id="1056900851">
      <w:bodyDiv w:val="1"/>
      <w:marLeft w:val="0"/>
      <w:marRight w:val="0"/>
      <w:marTop w:val="0"/>
      <w:marBottom w:val="0"/>
      <w:divBdr>
        <w:top w:val="none" w:sz="0" w:space="0" w:color="auto"/>
        <w:left w:val="none" w:sz="0" w:space="0" w:color="auto"/>
        <w:bottom w:val="none" w:sz="0" w:space="0" w:color="auto"/>
        <w:right w:val="none" w:sz="0" w:space="0" w:color="auto"/>
      </w:divBdr>
    </w:div>
    <w:div w:id="1185435141">
      <w:bodyDiv w:val="1"/>
      <w:marLeft w:val="0"/>
      <w:marRight w:val="0"/>
      <w:marTop w:val="0"/>
      <w:marBottom w:val="0"/>
      <w:divBdr>
        <w:top w:val="none" w:sz="0" w:space="0" w:color="auto"/>
        <w:left w:val="none" w:sz="0" w:space="0" w:color="auto"/>
        <w:bottom w:val="none" w:sz="0" w:space="0" w:color="auto"/>
        <w:right w:val="none" w:sz="0" w:space="0" w:color="auto"/>
      </w:divBdr>
    </w:div>
    <w:div w:id="1217934459">
      <w:bodyDiv w:val="1"/>
      <w:marLeft w:val="0"/>
      <w:marRight w:val="0"/>
      <w:marTop w:val="0"/>
      <w:marBottom w:val="0"/>
      <w:divBdr>
        <w:top w:val="none" w:sz="0" w:space="0" w:color="auto"/>
        <w:left w:val="none" w:sz="0" w:space="0" w:color="auto"/>
        <w:bottom w:val="none" w:sz="0" w:space="0" w:color="auto"/>
        <w:right w:val="none" w:sz="0" w:space="0" w:color="auto"/>
      </w:divBdr>
    </w:div>
    <w:div w:id="1258443637">
      <w:bodyDiv w:val="1"/>
      <w:marLeft w:val="0"/>
      <w:marRight w:val="0"/>
      <w:marTop w:val="0"/>
      <w:marBottom w:val="0"/>
      <w:divBdr>
        <w:top w:val="none" w:sz="0" w:space="0" w:color="auto"/>
        <w:left w:val="none" w:sz="0" w:space="0" w:color="auto"/>
        <w:bottom w:val="none" w:sz="0" w:space="0" w:color="auto"/>
        <w:right w:val="none" w:sz="0" w:space="0" w:color="auto"/>
      </w:divBdr>
    </w:div>
    <w:div w:id="1333143941">
      <w:bodyDiv w:val="1"/>
      <w:marLeft w:val="0"/>
      <w:marRight w:val="0"/>
      <w:marTop w:val="0"/>
      <w:marBottom w:val="0"/>
      <w:divBdr>
        <w:top w:val="none" w:sz="0" w:space="0" w:color="auto"/>
        <w:left w:val="none" w:sz="0" w:space="0" w:color="auto"/>
        <w:bottom w:val="none" w:sz="0" w:space="0" w:color="auto"/>
        <w:right w:val="none" w:sz="0" w:space="0" w:color="auto"/>
      </w:divBdr>
    </w:div>
    <w:div w:id="1423259759">
      <w:bodyDiv w:val="1"/>
      <w:marLeft w:val="0"/>
      <w:marRight w:val="0"/>
      <w:marTop w:val="0"/>
      <w:marBottom w:val="0"/>
      <w:divBdr>
        <w:top w:val="none" w:sz="0" w:space="0" w:color="auto"/>
        <w:left w:val="none" w:sz="0" w:space="0" w:color="auto"/>
        <w:bottom w:val="none" w:sz="0" w:space="0" w:color="auto"/>
        <w:right w:val="none" w:sz="0" w:space="0" w:color="auto"/>
      </w:divBdr>
      <w:divsChild>
        <w:div w:id="312561293">
          <w:marLeft w:val="446"/>
          <w:marRight w:val="0"/>
          <w:marTop w:val="0"/>
          <w:marBottom w:val="0"/>
          <w:divBdr>
            <w:top w:val="none" w:sz="0" w:space="0" w:color="auto"/>
            <w:left w:val="none" w:sz="0" w:space="0" w:color="auto"/>
            <w:bottom w:val="none" w:sz="0" w:space="0" w:color="auto"/>
            <w:right w:val="none" w:sz="0" w:space="0" w:color="auto"/>
          </w:divBdr>
        </w:div>
        <w:div w:id="1192493782">
          <w:marLeft w:val="446"/>
          <w:marRight w:val="0"/>
          <w:marTop w:val="0"/>
          <w:marBottom w:val="0"/>
          <w:divBdr>
            <w:top w:val="none" w:sz="0" w:space="0" w:color="auto"/>
            <w:left w:val="none" w:sz="0" w:space="0" w:color="auto"/>
            <w:bottom w:val="none" w:sz="0" w:space="0" w:color="auto"/>
            <w:right w:val="none" w:sz="0" w:space="0" w:color="auto"/>
          </w:divBdr>
        </w:div>
      </w:divsChild>
    </w:div>
    <w:div w:id="1506944240">
      <w:bodyDiv w:val="1"/>
      <w:marLeft w:val="0"/>
      <w:marRight w:val="0"/>
      <w:marTop w:val="0"/>
      <w:marBottom w:val="0"/>
      <w:divBdr>
        <w:top w:val="none" w:sz="0" w:space="0" w:color="auto"/>
        <w:left w:val="none" w:sz="0" w:space="0" w:color="auto"/>
        <w:bottom w:val="none" w:sz="0" w:space="0" w:color="auto"/>
        <w:right w:val="none" w:sz="0" w:space="0" w:color="auto"/>
      </w:divBdr>
    </w:div>
    <w:div w:id="1511678717">
      <w:bodyDiv w:val="1"/>
      <w:marLeft w:val="0"/>
      <w:marRight w:val="0"/>
      <w:marTop w:val="0"/>
      <w:marBottom w:val="0"/>
      <w:divBdr>
        <w:top w:val="none" w:sz="0" w:space="0" w:color="auto"/>
        <w:left w:val="none" w:sz="0" w:space="0" w:color="auto"/>
        <w:bottom w:val="none" w:sz="0" w:space="0" w:color="auto"/>
        <w:right w:val="none" w:sz="0" w:space="0" w:color="auto"/>
      </w:divBdr>
    </w:div>
    <w:div w:id="1569028364">
      <w:bodyDiv w:val="1"/>
      <w:marLeft w:val="0"/>
      <w:marRight w:val="0"/>
      <w:marTop w:val="0"/>
      <w:marBottom w:val="0"/>
      <w:divBdr>
        <w:top w:val="none" w:sz="0" w:space="0" w:color="auto"/>
        <w:left w:val="none" w:sz="0" w:space="0" w:color="auto"/>
        <w:bottom w:val="none" w:sz="0" w:space="0" w:color="auto"/>
        <w:right w:val="none" w:sz="0" w:space="0" w:color="auto"/>
      </w:divBdr>
    </w:div>
    <w:div w:id="1618835213">
      <w:bodyDiv w:val="1"/>
      <w:marLeft w:val="0"/>
      <w:marRight w:val="0"/>
      <w:marTop w:val="0"/>
      <w:marBottom w:val="0"/>
      <w:divBdr>
        <w:top w:val="none" w:sz="0" w:space="0" w:color="auto"/>
        <w:left w:val="none" w:sz="0" w:space="0" w:color="auto"/>
        <w:bottom w:val="none" w:sz="0" w:space="0" w:color="auto"/>
        <w:right w:val="none" w:sz="0" w:space="0" w:color="auto"/>
      </w:divBdr>
    </w:div>
    <w:div w:id="1666401654">
      <w:bodyDiv w:val="1"/>
      <w:marLeft w:val="0"/>
      <w:marRight w:val="0"/>
      <w:marTop w:val="0"/>
      <w:marBottom w:val="0"/>
      <w:divBdr>
        <w:top w:val="none" w:sz="0" w:space="0" w:color="auto"/>
        <w:left w:val="none" w:sz="0" w:space="0" w:color="auto"/>
        <w:bottom w:val="none" w:sz="0" w:space="0" w:color="auto"/>
        <w:right w:val="none" w:sz="0" w:space="0" w:color="auto"/>
      </w:divBdr>
    </w:div>
    <w:div w:id="1694380792">
      <w:bodyDiv w:val="1"/>
      <w:marLeft w:val="0"/>
      <w:marRight w:val="0"/>
      <w:marTop w:val="0"/>
      <w:marBottom w:val="0"/>
      <w:divBdr>
        <w:top w:val="none" w:sz="0" w:space="0" w:color="auto"/>
        <w:left w:val="none" w:sz="0" w:space="0" w:color="auto"/>
        <w:bottom w:val="none" w:sz="0" w:space="0" w:color="auto"/>
        <w:right w:val="none" w:sz="0" w:space="0" w:color="auto"/>
      </w:divBdr>
    </w:div>
    <w:div w:id="1707363222">
      <w:bodyDiv w:val="1"/>
      <w:marLeft w:val="0"/>
      <w:marRight w:val="0"/>
      <w:marTop w:val="0"/>
      <w:marBottom w:val="0"/>
      <w:divBdr>
        <w:top w:val="none" w:sz="0" w:space="0" w:color="auto"/>
        <w:left w:val="none" w:sz="0" w:space="0" w:color="auto"/>
        <w:bottom w:val="none" w:sz="0" w:space="0" w:color="auto"/>
        <w:right w:val="none" w:sz="0" w:space="0" w:color="auto"/>
      </w:divBdr>
    </w:div>
    <w:div w:id="1735658232">
      <w:bodyDiv w:val="1"/>
      <w:marLeft w:val="0"/>
      <w:marRight w:val="0"/>
      <w:marTop w:val="0"/>
      <w:marBottom w:val="0"/>
      <w:divBdr>
        <w:top w:val="none" w:sz="0" w:space="0" w:color="auto"/>
        <w:left w:val="none" w:sz="0" w:space="0" w:color="auto"/>
        <w:bottom w:val="none" w:sz="0" w:space="0" w:color="auto"/>
        <w:right w:val="none" w:sz="0" w:space="0" w:color="auto"/>
      </w:divBdr>
    </w:div>
    <w:div w:id="1959527138">
      <w:bodyDiv w:val="1"/>
      <w:marLeft w:val="0"/>
      <w:marRight w:val="0"/>
      <w:marTop w:val="0"/>
      <w:marBottom w:val="0"/>
      <w:divBdr>
        <w:top w:val="none" w:sz="0" w:space="0" w:color="auto"/>
        <w:left w:val="none" w:sz="0" w:space="0" w:color="auto"/>
        <w:bottom w:val="none" w:sz="0" w:space="0" w:color="auto"/>
        <w:right w:val="none" w:sz="0" w:space="0" w:color="auto"/>
      </w:divBdr>
    </w:div>
    <w:div w:id="20048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297C-D8AC-4530-89B2-591643763EC6}">
  <ds:schemaRefs>
    <ds:schemaRef ds:uri="http://schemas.openxmlformats.org/officeDocument/2006/bibliography"/>
  </ds:schemaRefs>
</ds:datastoreItem>
</file>

<file path=customXml/itemProps10.xml><?xml version="1.0" encoding="utf-8"?>
<ds:datastoreItem xmlns:ds="http://schemas.openxmlformats.org/officeDocument/2006/customXml" ds:itemID="{7582BBB0-6FC5-4F8E-8D98-9074740D501A}">
  <ds:schemaRefs>
    <ds:schemaRef ds:uri="http://schemas.openxmlformats.org/officeDocument/2006/bibliography"/>
  </ds:schemaRefs>
</ds:datastoreItem>
</file>

<file path=customXml/itemProps11.xml><?xml version="1.0" encoding="utf-8"?>
<ds:datastoreItem xmlns:ds="http://schemas.openxmlformats.org/officeDocument/2006/customXml" ds:itemID="{85F81F5D-E69F-4138-A21F-17A9D225C3B1}">
  <ds:schemaRefs>
    <ds:schemaRef ds:uri="http://schemas.openxmlformats.org/officeDocument/2006/bibliography"/>
  </ds:schemaRefs>
</ds:datastoreItem>
</file>

<file path=customXml/itemProps12.xml><?xml version="1.0" encoding="utf-8"?>
<ds:datastoreItem xmlns:ds="http://schemas.openxmlformats.org/officeDocument/2006/customXml" ds:itemID="{0C962351-2384-4EFB-9F78-78A028AE1A1B}">
  <ds:schemaRefs>
    <ds:schemaRef ds:uri="http://schemas.openxmlformats.org/officeDocument/2006/bibliography"/>
  </ds:schemaRefs>
</ds:datastoreItem>
</file>

<file path=customXml/itemProps13.xml><?xml version="1.0" encoding="utf-8"?>
<ds:datastoreItem xmlns:ds="http://schemas.openxmlformats.org/officeDocument/2006/customXml" ds:itemID="{665B3EF5-06BE-4442-9BCE-CDB18259F55E}">
  <ds:schemaRefs>
    <ds:schemaRef ds:uri="http://schemas.openxmlformats.org/officeDocument/2006/bibliography"/>
  </ds:schemaRefs>
</ds:datastoreItem>
</file>

<file path=customXml/itemProps14.xml><?xml version="1.0" encoding="utf-8"?>
<ds:datastoreItem xmlns:ds="http://schemas.openxmlformats.org/officeDocument/2006/customXml" ds:itemID="{77356DA8-FB55-4B55-883C-D34B8941EA22}">
  <ds:schemaRefs>
    <ds:schemaRef ds:uri="http://schemas.openxmlformats.org/officeDocument/2006/bibliography"/>
  </ds:schemaRefs>
</ds:datastoreItem>
</file>

<file path=customXml/itemProps15.xml><?xml version="1.0" encoding="utf-8"?>
<ds:datastoreItem xmlns:ds="http://schemas.openxmlformats.org/officeDocument/2006/customXml" ds:itemID="{56C22238-F4DA-427C-8698-92DEBB5E417F}">
  <ds:schemaRefs>
    <ds:schemaRef ds:uri="http://schemas.openxmlformats.org/officeDocument/2006/bibliography"/>
  </ds:schemaRefs>
</ds:datastoreItem>
</file>

<file path=customXml/itemProps16.xml><?xml version="1.0" encoding="utf-8"?>
<ds:datastoreItem xmlns:ds="http://schemas.openxmlformats.org/officeDocument/2006/customXml" ds:itemID="{FA5B6FCC-3C73-4AFA-88BF-DAC7F2DE5250}">
  <ds:schemaRefs>
    <ds:schemaRef ds:uri="http://schemas.openxmlformats.org/officeDocument/2006/bibliography"/>
  </ds:schemaRefs>
</ds:datastoreItem>
</file>

<file path=customXml/itemProps17.xml><?xml version="1.0" encoding="utf-8"?>
<ds:datastoreItem xmlns:ds="http://schemas.openxmlformats.org/officeDocument/2006/customXml" ds:itemID="{CD303FED-8322-4714-916A-C4553652CB80}">
  <ds:schemaRefs>
    <ds:schemaRef ds:uri="http://schemas.openxmlformats.org/officeDocument/2006/bibliography"/>
  </ds:schemaRefs>
</ds:datastoreItem>
</file>

<file path=customXml/itemProps18.xml><?xml version="1.0" encoding="utf-8"?>
<ds:datastoreItem xmlns:ds="http://schemas.openxmlformats.org/officeDocument/2006/customXml" ds:itemID="{4F7BC061-3D65-4BB2-B41C-0B83F15EAAA2}">
  <ds:schemaRefs>
    <ds:schemaRef ds:uri="http://schemas.openxmlformats.org/officeDocument/2006/bibliography"/>
  </ds:schemaRefs>
</ds:datastoreItem>
</file>

<file path=customXml/itemProps19.xml><?xml version="1.0" encoding="utf-8"?>
<ds:datastoreItem xmlns:ds="http://schemas.openxmlformats.org/officeDocument/2006/customXml" ds:itemID="{5DC5E724-DB09-4DA0-8C7D-E85DD70D36E1}">
  <ds:schemaRefs>
    <ds:schemaRef ds:uri="http://schemas.openxmlformats.org/officeDocument/2006/bibliography"/>
  </ds:schemaRefs>
</ds:datastoreItem>
</file>

<file path=customXml/itemProps2.xml><?xml version="1.0" encoding="utf-8"?>
<ds:datastoreItem xmlns:ds="http://schemas.openxmlformats.org/officeDocument/2006/customXml" ds:itemID="{9AB7756B-5F2D-40CC-82B7-3F0C9D6F9286}">
  <ds:schemaRefs>
    <ds:schemaRef ds:uri="http://schemas.openxmlformats.org/officeDocument/2006/bibliography"/>
  </ds:schemaRefs>
</ds:datastoreItem>
</file>

<file path=customXml/itemProps20.xml><?xml version="1.0" encoding="utf-8"?>
<ds:datastoreItem xmlns:ds="http://schemas.openxmlformats.org/officeDocument/2006/customXml" ds:itemID="{106EA299-E7F0-4229-845B-88F9D8369E5B}">
  <ds:schemaRefs>
    <ds:schemaRef ds:uri="http://schemas.openxmlformats.org/officeDocument/2006/bibliography"/>
  </ds:schemaRefs>
</ds:datastoreItem>
</file>

<file path=customXml/itemProps21.xml><?xml version="1.0" encoding="utf-8"?>
<ds:datastoreItem xmlns:ds="http://schemas.openxmlformats.org/officeDocument/2006/customXml" ds:itemID="{3D4A8F5F-0BFD-4738-98A5-41FB8C852EC6}">
  <ds:schemaRefs>
    <ds:schemaRef ds:uri="http://schemas.openxmlformats.org/officeDocument/2006/bibliography"/>
  </ds:schemaRefs>
</ds:datastoreItem>
</file>

<file path=customXml/itemProps22.xml><?xml version="1.0" encoding="utf-8"?>
<ds:datastoreItem xmlns:ds="http://schemas.openxmlformats.org/officeDocument/2006/customXml" ds:itemID="{A18A8069-9A36-4AD5-BD3F-13FE07DA7C34}">
  <ds:schemaRefs>
    <ds:schemaRef ds:uri="http://schemas.openxmlformats.org/officeDocument/2006/bibliography"/>
  </ds:schemaRefs>
</ds:datastoreItem>
</file>

<file path=customXml/itemProps23.xml><?xml version="1.0" encoding="utf-8"?>
<ds:datastoreItem xmlns:ds="http://schemas.openxmlformats.org/officeDocument/2006/customXml" ds:itemID="{5DB6304B-7D83-4B53-A78D-3BBE3F6CF525}">
  <ds:schemaRefs>
    <ds:schemaRef ds:uri="http://schemas.openxmlformats.org/officeDocument/2006/bibliography"/>
  </ds:schemaRefs>
</ds:datastoreItem>
</file>

<file path=customXml/itemProps24.xml><?xml version="1.0" encoding="utf-8"?>
<ds:datastoreItem xmlns:ds="http://schemas.openxmlformats.org/officeDocument/2006/customXml" ds:itemID="{DAE6D0F0-0B15-426C-A82C-5D6108266273}">
  <ds:schemaRefs>
    <ds:schemaRef ds:uri="http://schemas.openxmlformats.org/officeDocument/2006/bibliography"/>
  </ds:schemaRefs>
</ds:datastoreItem>
</file>

<file path=customXml/itemProps25.xml><?xml version="1.0" encoding="utf-8"?>
<ds:datastoreItem xmlns:ds="http://schemas.openxmlformats.org/officeDocument/2006/customXml" ds:itemID="{B5DC594F-ED45-4386-8C14-98AEB09A2CAB}">
  <ds:schemaRefs>
    <ds:schemaRef ds:uri="http://schemas.openxmlformats.org/officeDocument/2006/bibliography"/>
  </ds:schemaRefs>
</ds:datastoreItem>
</file>

<file path=customXml/itemProps26.xml><?xml version="1.0" encoding="utf-8"?>
<ds:datastoreItem xmlns:ds="http://schemas.openxmlformats.org/officeDocument/2006/customXml" ds:itemID="{205F6FCE-03A6-4908-9F1E-8325ECDC5331}">
  <ds:schemaRefs>
    <ds:schemaRef ds:uri="http://schemas.openxmlformats.org/officeDocument/2006/bibliography"/>
  </ds:schemaRefs>
</ds:datastoreItem>
</file>

<file path=customXml/itemProps27.xml><?xml version="1.0" encoding="utf-8"?>
<ds:datastoreItem xmlns:ds="http://schemas.openxmlformats.org/officeDocument/2006/customXml" ds:itemID="{1A1723F0-FD70-43ED-83CC-D6E670BB1ED3}">
  <ds:schemaRefs>
    <ds:schemaRef ds:uri="http://schemas.openxmlformats.org/officeDocument/2006/bibliography"/>
  </ds:schemaRefs>
</ds:datastoreItem>
</file>

<file path=customXml/itemProps28.xml><?xml version="1.0" encoding="utf-8"?>
<ds:datastoreItem xmlns:ds="http://schemas.openxmlformats.org/officeDocument/2006/customXml" ds:itemID="{C90F308F-B4FA-4FE1-A38E-492833BE0F0C}">
  <ds:schemaRefs>
    <ds:schemaRef ds:uri="http://schemas.openxmlformats.org/officeDocument/2006/bibliography"/>
  </ds:schemaRefs>
</ds:datastoreItem>
</file>

<file path=customXml/itemProps29.xml><?xml version="1.0" encoding="utf-8"?>
<ds:datastoreItem xmlns:ds="http://schemas.openxmlformats.org/officeDocument/2006/customXml" ds:itemID="{A1476829-390E-4D05-9454-966181652897}">
  <ds:schemaRefs>
    <ds:schemaRef ds:uri="http://schemas.openxmlformats.org/officeDocument/2006/bibliography"/>
  </ds:schemaRefs>
</ds:datastoreItem>
</file>

<file path=customXml/itemProps3.xml><?xml version="1.0" encoding="utf-8"?>
<ds:datastoreItem xmlns:ds="http://schemas.openxmlformats.org/officeDocument/2006/customXml" ds:itemID="{8B10444E-C713-4BFA-BDD7-F751D439066F}">
  <ds:schemaRefs>
    <ds:schemaRef ds:uri="http://schemas.openxmlformats.org/officeDocument/2006/bibliography"/>
  </ds:schemaRefs>
</ds:datastoreItem>
</file>

<file path=customXml/itemProps30.xml><?xml version="1.0" encoding="utf-8"?>
<ds:datastoreItem xmlns:ds="http://schemas.openxmlformats.org/officeDocument/2006/customXml" ds:itemID="{8720B46D-8D09-42B4-B35A-F56F19BCAE30}">
  <ds:schemaRefs>
    <ds:schemaRef ds:uri="http://schemas.openxmlformats.org/officeDocument/2006/bibliography"/>
  </ds:schemaRefs>
</ds:datastoreItem>
</file>

<file path=customXml/itemProps4.xml><?xml version="1.0" encoding="utf-8"?>
<ds:datastoreItem xmlns:ds="http://schemas.openxmlformats.org/officeDocument/2006/customXml" ds:itemID="{38BAB517-F06F-4875-8AD8-90F9FEF4EC6C}">
  <ds:schemaRefs>
    <ds:schemaRef ds:uri="http://schemas.openxmlformats.org/officeDocument/2006/bibliography"/>
  </ds:schemaRefs>
</ds:datastoreItem>
</file>

<file path=customXml/itemProps5.xml><?xml version="1.0" encoding="utf-8"?>
<ds:datastoreItem xmlns:ds="http://schemas.openxmlformats.org/officeDocument/2006/customXml" ds:itemID="{55EE20AD-997B-4E9C-83E2-780BE2064545}">
  <ds:schemaRefs>
    <ds:schemaRef ds:uri="http://schemas.openxmlformats.org/officeDocument/2006/bibliography"/>
  </ds:schemaRefs>
</ds:datastoreItem>
</file>

<file path=customXml/itemProps6.xml><?xml version="1.0" encoding="utf-8"?>
<ds:datastoreItem xmlns:ds="http://schemas.openxmlformats.org/officeDocument/2006/customXml" ds:itemID="{CAC09980-7217-45F9-9615-FBCEC1B0D6F9}">
  <ds:schemaRefs>
    <ds:schemaRef ds:uri="http://schemas.openxmlformats.org/officeDocument/2006/bibliography"/>
  </ds:schemaRefs>
</ds:datastoreItem>
</file>

<file path=customXml/itemProps7.xml><?xml version="1.0" encoding="utf-8"?>
<ds:datastoreItem xmlns:ds="http://schemas.openxmlformats.org/officeDocument/2006/customXml" ds:itemID="{580AA8A1-A5A6-40A4-8907-2CB1F43EC768}">
  <ds:schemaRefs>
    <ds:schemaRef ds:uri="http://schemas.openxmlformats.org/officeDocument/2006/bibliography"/>
  </ds:schemaRefs>
</ds:datastoreItem>
</file>

<file path=customXml/itemProps8.xml><?xml version="1.0" encoding="utf-8"?>
<ds:datastoreItem xmlns:ds="http://schemas.openxmlformats.org/officeDocument/2006/customXml" ds:itemID="{E14F773A-6B09-4017-8550-185FA7145CB9}">
  <ds:schemaRefs>
    <ds:schemaRef ds:uri="http://schemas.openxmlformats.org/officeDocument/2006/bibliography"/>
  </ds:schemaRefs>
</ds:datastoreItem>
</file>

<file path=customXml/itemProps9.xml><?xml version="1.0" encoding="utf-8"?>
<ds:datastoreItem xmlns:ds="http://schemas.openxmlformats.org/officeDocument/2006/customXml" ds:itemID="{A7844627-D735-41CB-9120-7C08557F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8697</Words>
  <Characters>49573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2012 UNFPA Executive Director Report</vt:lpstr>
    </vt:vector>
  </TitlesOfParts>
  <Company>UNFPA</Company>
  <LinksUpToDate>false</LinksUpToDate>
  <CharactersWithSpaces>58154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UNFPA Executive Director Report</dc:title>
  <dc:creator>Horst Rutsch</dc:creator>
  <cp:keywords>UNFPA, United Nations Population Fund</cp:keywords>
  <cp:lastModifiedBy>Svetlana Iazykova</cp:lastModifiedBy>
  <cp:revision>4</cp:revision>
  <cp:lastPrinted>2016-06-06T15:34:00Z</cp:lastPrinted>
  <dcterms:created xsi:type="dcterms:W3CDTF">2016-06-28T21:46:00Z</dcterms:created>
  <dcterms:modified xsi:type="dcterms:W3CDTF">2016-06-30T16:01:00Z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a4e248c2-d371-4958-9ff6-980db2256d18</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ies>
</file>