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66F45" w14:textId="77777777" w:rsidR="002B17A4" w:rsidRPr="00190D29" w:rsidRDefault="002B17A4" w:rsidP="002B17A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rPr>
      </w:pPr>
      <w:r w:rsidRPr="00190D29">
        <w:rPr>
          <w:b/>
          <w:color w:val="000000"/>
        </w:rPr>
        <w:t>Second regular session 2016</w:t>
      </w:r>
    </w:p>
    <w:p w14:paraId="6D176BA0" w14:textId="77777777" w:rsidR="002B17A4" w:rsidRPr="00190D29" w:rsidRDefault="002B17A4" w:rsidP="002B17A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190D29">
        <w:rPr>
          <w:color w:val="000000"/>
        </w:rPr>
        <w:t>6-9 and 13 September 2016, New York</w:t>
      </w:r>
    </w:p>
    <w:p w14:paraId="3688D6DB" w14:textId="77777777" w:rsidR="002B17A4" w:rsidRPr="00190D29" w:rsidRDefault="002B17A4" w:rsidP="002B17A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190D29">
        <w:rPr>
          <w:color w:val="000000"/>
        </w:rPr>
        <w:t>Item x of the provisional agenda</w:t>
      </w:r>
    </w:p>
    <w:p w14:paraId="3AA7619B" w14:textId="77777777" w:rsidR="002B17A4" w:rsidRPr="00190D29" w:rsidRDefault="002B17A4" w:rsidP="002B17A4">
      <w:pPr>
        <w:ind w:right="1260"/>
        <w:rPr>
          <w:b/>
          <w:color w:val="000000"/>
        </w:rPr>
      </w:pPr>
      <w:r w:rsidRPr="00190D29">
        <w:rPr>
          <w:b/>
          <w:color w:val="000000"/>
        </w:rPr>
        <w:t>Country programmes and related matters</w:t>
      </w:r>
    </w:p>
    <w:p w14:paraId="42584D2D" w14:textId="77777777" w:rsidR="002B17A4" w:rsidRPr="00190D29" w:rsidRDefault="002B17A4" w:rsidP="002B17A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50959755" w14:textId="77777777" w:rsidR="002B17A4" w:rsidRPr="00190D29" w:rsidRDefault="002B17A4" w:rsidP="002B17A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15DB6582" w14:textId="77777777" w:rsidR="002B17A4" w:rsidRPr="00190D29" w:rsidRDefault="002B17A4" w:rsidP="002B17A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1CD1E699" w14:textId="77777777" w:rsidR="002B17A4" w:rsidRPr="00190D29" w:rsidRDefault="002B17A4" w:rsidP="002B17A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rFonts w:asciiTheme="minorHAnsi" w:hAnsiTheme="minorHAnsi"/>
          <w:b/>
          <w:color w:val="000000"/>
          <w:spacing w:val="-2"/>
          <w:w w:val="103"/>
          <w:kern w:val="14"/>
          <w:sz w:val="28"/>
          <w:lang w:val="en-GB"/>
        </w:rPr>
      </w:pPr>
    </w:p>
    <w:p w14:paraId="3B88422A" w14:textId="0D61086F" w:rsidR="002B17A4" w:rsidRPr="00190D29" w:rsidRDefault="002B17A4" w:rsidP="002B17A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color w:val="000000"/>
          <w:spacing w:val="-2"/>
          <w:w w:val="103"/>
          <w:kern w:val="14"/>
          <w:sz w:val="28"/>
          <w:lang w:val="en-GB"/>
        </w:rPr>
      </w:pPr>
      <w:r w:rsidRPr="00190D29">
        <w:rPr>
          <w:b/>
          <w:color w:val="000000"/>
          <w:spacing w:val="-2"/>
          <w:w w:val="103"/>
          <w:kern w:val="14"/>
          <w:sz w:val="28"/>
          <w:lang w:val="en-GB"/>
        </w:rPr>
        <w:t xml:space="preserve">Draft country programme document for </w:t>
      </w:r>
      <w:r>
        <w:rPr>
          <w:b/>
          <w:color w:val="000000"/>
          <w:spacing w:val="-2"/>
          <w:w w:val="103"/>
          <w:kern w:val="14"/>
          <w:sz w:val="28"/>
          <w:lang w:val="en-GB"/>
        </w:rPr>
        <w:t>Viet Nam (2017-2021</w:t>
      </w:r>
      <w:r w:rsidRPr="00190D29">
        <w:rPr>
          <w:b/>
          <w:color w:val="000000"/>
          <w:spacing w:val="-2"/>
          <w:w w:val="103"/>
          <w:kern w:val="14"/>
          <w:sz w:val="28"/>
          <w:lang w:val="en-GB"/>
        </w:rPr>
        <w:t>)</w:t>
      </w:r>
    </w:p>
    <w:p w14:paraId="755F2324" w14:textId="77777777" w:rsidR="002B17A4" w:rsidRPr="00190D29" w:rsidRDefault="002B17A4" w:rsidP="002B17A4">
      <w:pPr>
        <w:rPr>
          <w:lang w:val="en-GB"/>
        </w:rPr>
      </w:pPr>
    </w:p>
    <w:p w14:paraId="5DD40CC5" w14:textId="77777777" w:rsidR="002B17A4" w:rsidRPr="00190D29" w:rsidRDefault="002B17A4" w:rsidP="002B17A4">
      <w:pPr>
        <w:tabs>
          <w:tab w:val="left" w:pos="1620"/>
        </w:tabs>
      </w:pPr>
    </w:p>
    <w:p w14:paraId="2AFAC29A" w14:textId="77777777" w:rsidR="002B17A4" w:rsidRPr="00190D29" w:rsidRDefault="002B17A4" w:rsidP="002B17A4">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firstLine="450"/>
        <w:outlineLvl w:val="0"/>
        <w:rPr>
          <w:spacing w:val="-2"/>
          <w:w w:val="103"/>
          <w:kern w:val="14"/>
          <w:sz w:val="28"/>
          <w:lang w:val="en-GB"/>
        </w:rPr>
      </w:pPr>
      <w:r w:rsidRPr="00190D29">
        <w:rPr>
          <w:spacing w:val="-2"/>
          <w:w w:val="103"/>
          <w:kern w:val="14"/>
          <w:sz w:val="28"/>
          <w:lang w:val="en-GB"/>
        </w:rPr>
        <w:t>Contents</w:t>
      </w:r>
    </w:p>
    <w:tbl>
      <w:tblPr>
        <w:tblW w:w="9902" w:type="dxa"/>
        <w:tblLayout w:type="fixed"/>
        <w:tblCellMar>
          <w:left w:w="0" w:type="dxa"/>
          <w:right w:w="0" w:type="dxa"/>
        </w:tblCellMar>
        <w:tblLook w:val="0000" w:firstRow="0" w:lastRow="0" w:firstColumn="0" w:lastColumn="0" w:noHBand="0" w:noVBand="0"/>
      </w:tblPr>
      <w:tblGrid>
        <w:gridCol w:w="1060"/>
        <w:gridCol w:w="8300"/>
        <w:gridCol w:w="9"/>
        <w:gridCol w:w="533"/>
      </w:tblGrid>
      <w:tr w:rsidR="002B17A4" w:rsidRPr="00190D29" w14:paraId="75C1C9E5" w14:textId="77777777" w:rsidTr="001B4A23">
        <w:tc>
          <w:tcPr>
            <w:tcW w:w="1060" w:type="dxa"/>
            <w:shd w:val="clear" w:color="auto" w:fill="auto"/>
          </w:tcPr>
          <w:p w14:paraId="71084A09" w14:textId="77777777" w:rsidR="002B17A4" w:rsidRPr="00190D29" w:rsidRDefault="002B17A4" w:rsidP="001B4A23">
            <w:pPr>
              <w:tabs>
                <w:tab w:val="left" w:pos="1620"/>
              </w:tabs>
              <w:suppressAutoHyphens/>
              <w:spacing w:after="120"/>
              <w:jc w:val="right"/>
              <w:rPr>
                <w:i/>
                <w:spacing w:val="4"/>
                <w:w w:val="103"/>
                <w:kern w:val="14"/>
                <w:sz w:val="14"/>
                <w:lang w:val="en-GB"/>
              </w:rPr>
            </w:pPr>
          </w:p>
        </w:tc>
        <w:tc>
          <w:tcPr>
            <w:tcW w:w="8300" w:type="dxa"/>
            <w:shd w:val="clear" w:color="auto" w:fill="auto"/>
          </w:tcPr>
          <w:p w14:paraId="660D2F08" w14:textId="77777777" w:rsidR="002B17A4" w:rsidRPr="00190D29" w:rsidRDefault="002B17A4" w:rsidP="001B4A23">
            <w:pPr>
              <w:tabs>
                <w:tab w:val="left" w:pos="1620"/>
              </w:tabs>
              <w:suppressAutoHyphens/>
              <w:spacing w:after="120"/>
              <w:rPr>
                <w:i/>
                <w:spacing w:val="4"/>
                <w:w w:val="103"/>
                <w:kern w:val="14"/>
                <w:sz w:val="14"/>
                <w:lang w:val="en-GB"/>
              </w:rPr>
            </w:pPr>
          </w:p>
        </w:tc>
        <w:tc>
          <w:tcPr>
            <w:tcW w:w="542" w:type="dxa"/>
            <w:gridSpan w:val="2"/>
            <w:shd w:val="clear" w:color="auto" w:fill="auto"/>
          </w:tcPr>
          <w:p w14:paraId="22D2382D" w14:textId="77777777" w:rsidR="002B17A4" w:rsidRPr="00190D29" w:rsidRDefault="002B17A4" w:rsidP="001B4A23">
            <w:pPr>
              <w:tabs>
                <w:tab w:val="left" w:pos="1620"/>
              </w:tabs>
              <w:suppressAutoHyphens/>
              <w:spacing w:after="120"/>
              <w:jc w:val="right"/>
              <w:rPr>
                <w:i/>
                <w:spacing w:val="4"/>
                <w:w w:val="103"/>
                <w:kern w:val="14"/>
                <w:sz w:val="14"/>
                <w:lang w:val="en-GB"/>
              </w:rPr>
            </w:pPr>
            <w:r w:rsidRPr="00190D29">
              <w:rPr>
                <w:i/>
                <w:spacing w:val="4"/>
                <w:w w:val="103"/>
                <w:kern w:val="14"/>
                <w:sz w:val="14"/>
                <w:lang w:val="en-GB"/>
              </w:rPr>
              <w:t>Page</w:t>
            </w:r>
          </w:p>
        </w:tc>
      </w:tr>
      <w:tr w:rsidR="002B17A4" w:rsidRPr="00190D29" w14:paraId="1C853A5F" w14:textId="77777777" w:rsidTr="001B4A23">
        <w:tc>
          <w:tcPr>
            <w:tcW w:w="9360" w:type="dxa"/>
            <w:gridSpan w:val="2"/>
            <w:shd w:val="clear" w:color="auto" w:fill="auto"/>
          </w:tcPr>
          <w:p w14:paraId="266B5532" w14:textId="77777777" w:rsidR="002B17A4" w:rsidRPr="00190D29" w:rsidRDefault="002B17A4" w:rsidP="002B17A4">
            <w:pPr>
              <w:numPr>
                <w:ilvl w:val="0"/>
                <w:numId w:val="1"/>
              </w:numPr>
              <w:tabs>
                <w:tab w:val="right" w:pos="1080"/>
                <w:tab w:val="left" w:pos="1296"/>
                <w:tab w:val="left" w:pos="1620"/>
                <w:tab w:val="left" w:pos="2160"/>
                <w:tab w:val="left" w:pos="2592"/>
                <w:tab w:val="right" w:leader="dot" w:pos="8381"/>
              </w:tabs>
              <w:suppressAutoHyphens/>
              <w:spacing w:after="120" w:line="240" w:lineRule="exact"/>
              <w:jc w:val="both"/>
              <w:rPr>
                <w:spacing w:val="4"/>
                <w:w w:val="103"/>
                <w:kern w:val="14"/>
                <w:lang w:val="en-GB"/>
              </w:rPr>
            </w:pPr>
            <w:r w:rsidRPr="00190D29">
              <w:rPr>
                <w:spacing w:val="4"/>
                <w:w w:val="103"/>
                <w:kern w:val="14"/>
                <w:lang w:val="en-GB"/>
              </w:rPr>
              <w:tab/>
              <w:t>Programme rationale</w:t>
            </w:r>
            <w:r w:rsidRPr="00190D29">
              <w:rPr>
                <w:spacing w:val="60"/>
                <w:w w:val="103"/>
                <w:kern w:val="14"/>
                <w:sz w:val="17"/>
                <w:lang w:val="en-GB"/>
              </w:rPr>
              <w:tab/>
            </w:r>
          </w:p>
        </w:tc>
        <w:tc>
          <w:tcPr>
            <w:tcW w:w="542" w:type="dxa"/>
            <w:gridSpan w:val="2"/>
            <w:vMerge w:val="restart"/>
            <w:shd w:val="clear" w:color="auto" w:fill="auto"/>
            <w:vAlign w:val="bottom"/>
          </w:tcPr>
          <w:p w14:paraId="7EB03481" w14:textId="77777777" w:rsidR="002B17A4" w:rsidRPr="00190D29" w:rsidRDefault="002B17A4" w:rsidP="001B4A23">
            <w:pPr>
              <w:tabs>
                <w:tab w:val="left" w:pos="1620"/>
              </w:tabs>
              <w:suppressAutoHyphens/>
              <w:spacing w:after="120" w:line="240" w:lineRule="exact"/>
              <w:jc w:val="right"/>
              <w:rPr>
                <w:spacing w:val="4"/>
                <w:w w:val="103"/>
                <w:kern w:val="14"/>
                <w:lang w:val="en-GB"/>
              </w:rPr>
            </w:pPr>
            <w:r w:rsidRPr="00190D29">
              <w:rPr>
                <w:spacing w:val="4"/>
                <w:w w:val="103"/>
                <w:kern w:val="14"/>
                <w:lang w:val="en-GB"/>
              </w:rPr>
              <w:t>2</w:t>
            </w:r>
          </w:p>
          <w:p w14:paraId="48DB34CB" w14:textId="77777777" w:rsidR="002B17A4" w:rsidRPr="00190D29" w:rsidRDefault="002B17A4" w:rsidP="001B4A23">
            <w:pPr>
              <w:tabs>
                <w:tab w:val="left" w:pos="1620"/>
              </w:tabs>
              <w:suppressAutoHyphens/>
              <w:spacing w:after="120" w:line="240" w:lineRule="exact"/>
              <w:jc w:val="right"/>
              <w:rPr>
                <w:spacing w:val="4"/>
                <w:w w:val="103"/>
                <w:kern w:val="14"/>
                <w:lang w:val="en-GB"/>
              </w:rPr>
            </w:pPr>
            <w:r w:rsidRPr="00190D29">
              <w:rPr>
                <w:spacing w:val="4"/>
                <w:w w:val="103"/>
                <w:kern w:val="14"/>
                <w:lang w:val="en-GB"/>
              </w:rPr>
              <w:t>5</w:t>
            </w:r>
          </w:p>
        </w:tc>
      </w:tr>
      <w:tr w:rsidR="002B17A4" w:rsidRPr="00190D29" w14:paraId="1EAC68F4" w14:textId="77777777" w:rsidTr="001B4A23">
        <w:tc>
          <w:tcPr>
            <w:tcW w:w="9360" w:type="dxa"/>
            <w:gridSpan w:val="2"/>
            <w:shd w:val="clear" w:color="auto" w:fill="auto"/>
          </w:tcPr>
          <w:p w14:paraId="3E1D1432" w14:textId="77777777" w:rsidR="002B17A4" w:rsidRPr="00190D29" w:rsidRDefault="002B17A4" w:rsidP="002B17A4">
            <w:pPr>
              <w:numPr>
                <w:ilvl w:val="0"/>
                <w:numId w:val="1"/>
              </w:numPr>
              <w:tabs>
                <w:tab w:val="right" w:pos="1080"/>
                <w:tab w:val="left" w:pos="1296"/>
                <w:tab w:val="left" w:pos="1620"/>
                <w:tab w:val="left" w:pos="2160"/>
                <w:tab w:val="left" w:pos="2592"/>
                <w:tab w:val="left" w:pos="3024"/>
                <w:tab w:val="left" w:pos="3456"/>
                <w:tab w:val="left" w:pos="3888"/>
                <w:tab w:val="left" w:pos="4320"/>
                <w:tab w:val="right" w:leader="dot" w:pos="8381"/>
              </w:tabs>
              <w:suppressAutoHyphens/>
              <w:spacing w:after="120" w:line="240" w:lineRule="exact"/>
              <w:jc w:val="both"/>
              <w:rPr>
                <w:spacing w:val="4"/>
                <w:w w:val="103"/>
                <w:kern w:val="14"/>
                <w:lang w:val="en-GB"/>
              </w:rPr>
            </w:pPr>
            <w:r w:rsidRPr="00190D29">
              <w:rPr>
                <w:spacing w:val="4"/>
                <w:w w:val="103"/>
                <w:kern w:val="14"/>
                <w:lang w:val="en-GB"/>
              </w:rPr>
              <w:tab/>
              <w:t>Programme priorities and partnerships</w:t>
            </w:r>
            <w:r w:rsidRPr="00190D29">
              <w:rPr>
                <w:spacing w:val="60"/>
                <w:w w:val="103"/>
                <w:kern w:val="14"/>
                <w:sz w:val="17"/>
                <w:lang w:val="en-GB"/>
              </w:rPr>
              <w:tab/>
            </w:r>
          </w:p>
        </w:tc>
        <w:tc>
          <w:tcPr>
            <w:tcW w:w="542" w:type="dxa"/>
            <w:gridSpan w:val="2"/>
            <w:vMerge/>
            <w:shd w:val="clear" w:color="auto" w:fill="auto"/>
            <w:vAlign w:val="bottom"/>
          </w:tcPr>
          <w:p w14:paraId="7C9C9927" w14:textId="77777777" w:rsidR="002B17A4" w:rsidRPr="00190D29" w:rsidRDefault="002B17A4" w:rsidP="001B4A23">
            <w:pPr>
              <w:tabs>
                <w:tab w:val="left" w:pos="1620"/>
              </w:tabs>
              <w:suppressAutoHyphens/>
              <w:spacing w:after="120" w:line="240" w:lineRule="exact"/>
              <w:jc w:val="right"/>
              <w:rPr>
                <w:spacing w:val="4"/>
                <w:w w:val="103"/>
                <w:kern w:val="14"/>
                <w:lang w:val="en-GB"/>
              </w:rPr>
            </w:pPr>
          </w:p>
        </w:tc>
      </w:tr>
      <w:tr w:rsidR="002B17A4" w:rsidRPr="00190D29" w14:paraId="47692F7C" w14:textId="77777777" w:rsidTr="001B4A23">
        <w:tc>
          <w:tcPr>
            <w:tcW w:w="9360" w:type="dxa"/>
            <w:gridSpan w:val="2"/>
            <w:shd w:val="clear" w:color="auto" w:fill="auto"/>
          </w:tcPr>
          <w:p w14:paraId="57430ED0" w14:textId="77777777" w:rsidR="002B17A4" w:rsidRPr="00190D29" w:rsidRDefault="002B17A4" w:rsidP="002B17A4">
            <w:pPr>
              <w:numPr>
                <w:ilvl w:val="0"/>
                <w:numId w:val="1"/>
              </w:numPr>
              <w:tabs>
                <w:tab w:val="right" w:pos="1080"/>
                <w:tab w:val="left" w:pos="1296"/>
                <w:tab w:val="left" w:pos="1620"/>
                <w:tab w:val="left" w:pos="2160"/>
                <w:tab w:val="left" w:pos="2592"/>
                <w:tab w:val="left" w:pos="3024"/>
                <w:tab w:val="right" w:leader="dot" w:pos="8381"/>
              </w:tabs>
              <w:suppressAutoHyphens/>
              <w:spacing w:after="120" w:line="240" w:lineRule="exact"/>
              <w:jc w:val="both"/>
              <w:rPr>
                <w:spacing w:val="4"/>
                <w:w w:val="103"/>
                <w:kern w:val="14"/>
                <w:lang w:val="en-GB"/>
              </w:rPr>
            </w:pPr>
            <w:r w:rsidRPr="00190D29">
              <w:rPr>
                <w:spacing w:val="4"/>
                <w:w w:val="103"/>
                <w:kern w:val="14"/>
                <w:lang w:val="en-GB"/>
              </w:rPr>
              <w:tab/>
              <w:t>Programme and risk management</w:t>
            </w:r>
            <w:r w:rsidRPr="00190D29">
              <w:rPr>
                <w:spacing w:val="60"/>
                <w:w w:val="103"/>
                <w:kern w:val="14"/>
                <w:sz w:val="17"/>
                <w:lang w:val="en-GB"/>
              </w:rPr>
              <w:tab/>
            </w:r>
          </w:p>
        </w:tc>
        <w:tc>
          <w:tcPr>
            <w:tcW w:w="542" w:type="dxa"/>
            <w:gridSpan w:val="2"/>
            <w:vMerge w:val="restart"/>
            <w:shd w:val="clear" w:color="auto" w:fill="auto"/>
            <w:vAlign w:val="bottom"/>
          </w:tcPr>
          <w:p w14:paraId="429C27EA" w14:textId="77777777" w:rsidR="002B17A4" w:rsidRPr="00190D29" w:rsidRDefault="002B17A4" w:rsidP="001B4A23">
            <w:pPr>
              <w:tabs>
                <w:tab w:val="left" w:pos="1620"/>
              </w:tabs>
              <w:suppressAutoHyphens/>
              <w:spacing w:after="120" w:line="240" w:lineRule="exact"/>
              <w:jc w:val="right"/>
              <w:rPr>
                <w:spacing w:val="4"/>
                <w:w w:val="103"/>
                <w:kern w:val="14"/>
                <w:lang w:val="en-GB"/>
              </w:rPr>
            </w:pPr>
            <w:r w:rsidRPr="00190D29">
              <w:rPr>
                <w:spacing w:val="4"/>
                <w:w w:val="103"/>
                <w:kern w:val="14"/>
                <w:lang w:val="en-GB"/>
              </w:rPr>
              <w:t>7</w:t>
            </w:r>
          </w:p>
          <w:p w14:paraId="7BB41A7D" w14:textId="77777777" w:rsidR="002B17A4" w:rsidRPr="00190D29" w:rsidRDefault="002B17A4" w:rsidP="001B4A23">
            <w:pPr>
              <w:tabs>
                <w:tab w:val="left" w:pos="1620"/>
              </w:tabs>
              <w:suppressAutoHyphens/>
              <w:spacing w:after="120" w:line="240" w:lineRule="exact"/>
              <w:jc w:val="right"/>
              <w:rPr>
                <w:spacing w:val="4"/>
                <w:w w:val="103"/>
                <w:kern w:val="14"/>
                <w:lang w:val="en-GB"/>
              </w:rPr>
            </w:pPr>
            <w:r w:rsidRPr="00190D29">
              <w:rPr>
                <w:spacing w:val="4"/>
                <w:w w:val="103"/>
                <w:kern w:val="14"/>
                <w:lang w:val="en-GB"/>
              </w:rPr>
              <w:t xml:space="preserve">8 </w:t>
            </w:r>
          </w:p>
        </w:tc>
      </w:tr>
      <w:tr w:rsidR="002B17A4" w:rsidRPr="00190D29" w14:paraId="2DB89CBD" w14:textId="77777777" w:rsidTr="001B4A23">
        <w:tc>
          <w:tcPr>
            <w:tcW w:w="9360" w:type="dxa"/>
            <w:gridSpan w:val="2"/>
            <w:shd w:val="clear" w:color="auto" w:fill="auto"/>
          </w:tcPr>
          <w:p w14:paraId="294F8E7A" w14:textId="77777777" w:rsidR="002B17A4" w:rsidRPr="00190D29" w:rsidRDefault="002B17A4" w:rsidP="002B17A4">
            <w:pPr>
              <w:numPr>
                <w:ilvl w:val="0"/>
                <w:numId w:val="1"/>
              </w:numPr>
              <w:tabs>
                <w:tab w:val="right" w:pos="1080"/>
                <w:tab w:val="left" w:pos="1296"/>
                <w:tab w:val="left" w:pos="1620"/>
                <w:tab w:val="left" w:pos="2160"/>
                <w:tab w:val="left" w:pos="2592"/>
                <w:tab w:val="left" w:pos="3024"/>
                <w:tab w:val="left" w:pos="3420"/>
                <w:tab w:val="left" w:pos="3456"/>
                <w:tab w:val="right" w:leader="dot" w:pos="8460"/>
              </w:tabs>
              <w:suppressAutoHyphens/>
              <w:spacing w:after="120" w:line="240" w:lineRule="exact"/>
              <w:jc w:val="both"/>
              <w:rPr>
                <w:spacing w:val="4"/>
                <w:w w:val="103"/>
                <w:kern w:val="14"/>
                <w:lang w:val="en-GB"/>
              </w:rPr>
            </w:pPr>
            <w:r w:rsidRPr="00190D29">
              <w:rPr>
                <w:spacing w:val="4"/>
                <w:w w:val="103"/>
                <w:kern w:val="14"/>
                <w:lang w:val="en-GB"/>
              </w:rPr>
              <w:tab/>
              <w:t>Monitoring and evaluation</w:t>
            </w:r>
            <w:r w:rsidRPr="00190D29">
              <w:rPr>
                <w:spacing w:val="60"/>
                <w:w w:val="103"/>
                <w:kern w:val="14"/>
                <w:sz w:val="17"/>
                <w:lang w:val="en-GB"/>
              </w:rPr>
              <w:tab/>
            </w:r>
          </w:p>
        </w:tc>
        <w:tc>
          <w:tcPr>
            <w:tcW w:w="542" w:type="dxa"/>
            <w:gridSpan w:val="2"/>
            <w:vMerge/>
            <w:shd w:val="clear" w:color="auto" w:fill="auto"/>
            <w:vAlign w:val="bottom"/>
          </w:tcPr>
          <w:p w14:paraId="6C199D68" w14:textId="77777777" w:rsidR="002B17A4" w:rsidRPr="00190D29" w:rsidRDefault="002B17A4" w:rsidP="001B4A23">
            <w:pPr>
              <w:tabs>
                <w:tab w:val="left" w:pos="1620"/>
              </w:tabs>
              <w:suppressAutoHyphens/>
              <w:spacing w:after="120" w:line="240" w:lineRule="exact"/>
              <w:jc w:val="right"/>
              <w:rPr>
                <w:spacing w:val="4"/>
                <w:w w:val="103"/>
                <w:kern w:val="14"/>
                <w:lang w:val="en-GB"/>
              </w:rPr>
            </w:pPr>
          </w:p>
        </w:tc>
      </w:tr>
      <w:tr w:rsidR="002B17A4" w:rsidRPr="00190D29" w14:paraId="5C063A54" w14:textId="77777777" w:rsidTr="001B4A23">
        <w:tc>
          <w:tcPr>
            <w:tcW w:w="9369" w:type="dxa"/>
            <w:gridSpan w:val="3"/>
            <w:shd w:val="clear" w:color="auto" w:fill="auto"/>
          </w:tcPr>
          <w:p w14:paraId="1E61BF2D" w14:textId="77777777" w:rsidR="002B17A4" w:rsidRPr="00190D29" w:rsidRDefault="002B17A4" w:rsidP="001B4A23">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spacing w:val="4"/>
                <w:w w:val="103"/>
                <w:kern w:val="14"/>
                <w:lang w:val="en-GB"/>
              </w:rPr>
            </w:pPr>
            <w:r w:rsidRPr="00190D29">
              <w:rPr>
                <w:spacing w:val="4"/>
                <w:w w:val="103"/>
                <w:kern w:val="14"/>
                <w:lang w:val="en-GB"/>
              </w:rPr>
              <w:t xml:space="preserve">     Annex</w:t>
            </w:r>
          </w:p>
        </w:tc>
        <w:tc>
          <w:tcPr>
            <w:tcW w:w="533" w:type="dxa"/>
            <w:shd w:val="clear" w:color="auto" w:fill="auto"/>
            <w:vAlign w:val="bottom"/>
          </w:tcPr>
          <w:p w14:paraId="26EFE3E3" w14:textId="77777777" w:rsidR="002B17A4" w:rsidRPr="00190D29" w:rsidRDefault="002B17A4" w:rsidP="001B4A23">
            <w:pPr>
              <w:tabs>
                <w:tab w:val="left" w:pos="1620"/>
              </w:tabs>
              <w:suppressAutoHyphens/>
              <w:spacing w:after="120" w:line="240" w:lineRule="exact"/>
              <w:jc w:val="right"/>
              <w:rPr>
                <w:spacing w:val="4"/>
                <w:w w:val="103"/>
                <w:kern w:val="14"/>
                <w:lang w:val="en-GB"/>
              </w:rPr>
            </w:pPr>
          </w:p>
        </w:tc>
      </w:tr>
      <w:tr w:rsidR="002B17A4" w:rsidRPr="00190D29" w14:paraId="68EB0D33" w14:textId="77777777" w:rsidTr="001B4A23">
        <w:tc>
          <w:tcPr>
            <w:tcW w:w="9369" w:type="dxa"/>
            <w:gridSpan w:val="3"/>
            <w:shd w:val="clear" w:color="auto" w:fill="auto"/>
          </w:tcPr>
          <w:p w14:paraId="75F89190" w14:textId="4FCD1DBD" w:rsidR="002B17A4" w:rsidRPr="00190D29" w:rsidRDefault="002B17A4" w:rsidP="002B17A4">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5670"/>
                <w:tab w:val="left" w:pos="6048"/>
                <w:tab w:val="right" w:leader="dot" w:pos="9360"/>
              </w:tabs>
              <w:suppressAutoHyphens/>
              <w:spacing w:after="120" w:line="240" w:lineRule="exact"/>
              <w:ind w:left="1296"/>
              <w:rPr>
                <w:spacing w:val="60"/>
                <w:w w:val="103"/>
                <w:kern w:val="14"/>
                <w:sz w:val="17"/>
                <w:lang w:val="en-GB"/>
              </w:rPr>
            </w:pPr>
            <w:r w:rsidRPr="00190D29">
              <w:rPr>
                <w:spacing w:val="4"/>
                <w:w w:val="103"/>
                <w:kern w:val="14"/>
                <w:lang w:val="en-GB"/>
              </w:rPr>
              <w:t>Resu</w:t>
            </w:r>
            <w:r>
              <w:rPr>
                <w:spacing w:val="4"/>
                <w:w w:val="103"/>
                <w:kern w:val="14"/>
                <w:lang w:val="en-GB"/>
              </w:rPr>
              <w:t>lts and resources framework for Viet Nam</w:t>
            </w:r>
            <w:r w:rsidRPr="00190D29">
              <w:rPr>
                <w:spacing w:val="4"/>
                <w:w w:val="103"/>
                <w:kern w:val="14"/>
                <w:lang w:val="en-GB"/>
              </w:rPr>
              <w:t xml:space="preserve"> (2017-202</w:t>
            </w:r>
            <w:r>
              <w:rPr>
                <w:spacing w:val="4"/>
                <w:w w:val="103"/>
                <w:kern w:val="14"/>
                <w:lang w:val="en-GB"/>
              </w:rPr>
              <w:t>1</w:t>
            </w:r>
            <w:r w:rsidRPr="00190D29">
              <w:rPr>
                <w:spacing w:val="4"/>
                <w:w w:val="103"/>
                <w:kern w:val="14"/>
                <w:lang w:val="en-GB"/>
              </w:rPr>
              <w:t>)</w:t>
            </w:r>
            <w:r w:rsidRPr="00190D29">
              <w:rPr>
                <w:spacing w:val="60"/>
                <w:w w:val="103"/>
                <w:kern w:val="14"/>
                <w:sz w:val="17"/>
                <w:lang w:val="en-GB"/>
              </w:rPr>
              <w:tab/>
            </w:r>
          </w:p>
        </w:tc>
        <w:tc>
          <w:tcPr>
            <w:tcW w:w="533" w:type="dxa"/>
            <w:shd w:val="clear" w:color="auto" w:fill="auto"/>
            <w:vAlign w:val="bottom"/>
          </w:tcPr>
          <w:p w14:paraId="5BF5347A" w14:textId="7B15F740" w:rsidR="002B17A4" w:rsidRPr="00190D29" w:rsidRDefault="00A9743B" w:rsidP="001B4A23">
            <w:pPr>
              <w:tabs>
                <w:tab w:val="left" w:pos="1620"/>
              </w:tabs>
              <w:suppressAutoHyphens/>
              <w:spacing w:after="120" w:line="240" w:lineRule="exact"/>
              <w:jc w:val="right"/>
              <w:rPr>
                <w:spacing w:val="4"/>
                <w:w w:val="103"/>
                <w:kern w:val="14"/>
                <w:lang w:val="en-GB"/>
              </w:rPr>
            </w:pPr>
            <w:r>
              <w:rPr>
                <w:spacing w:val="4"/>
                <w:w w:val="103"/>
                <w:kern w:val="14"/>
                <w:lang w:val="en-GB"/>
              </w:rPr>
              <w:t>10</w:t>
            </w:r>
          </w:p>
        </w:tc>
      </w:tr>
    </w:tbl>
    <w:p w14:paraId="1C66586A" w14:textId="77777777" w:rsidR="002B17A4" w:rsidRPr="003C26C1" w:rsidRDefault="002B17A4" w:rsidP="002B17A4">
      <w:pPr>
        <w:rPr>
          <w:rFonts w:ascii="Arial" w:hAnsi="Arial"/>
          <w:color w:val="000000"/>
          <w:spacing w:val="-2"/>
        </w:rPr>
      </w:pPr>
    </w:p>
    <w:p w14:paraId="1D5A89CA" w14:textId="77777777" w:rsidR="002B17A4" w:rsidRPr="003C26C1" w:rsidRDefault="002B17A4" w:rsidP="002B17A4">
      <w:pPr>
        <w:rPr>
          <w:color w:val="000000"/>
          <w:sz w:val="6"/>
        </w:rPr>
        <w:sectPr w:rsidR="002B17A4" w:rsidRPr="003C26C1" w:rsidSect="002B17A4">
          <w:headerReference w:type="even" r:id="rId12"/>
          <w:headerReference w:type="default" r:id="rId13"/>
          <w:footerReference w:type="even" r:id="rId14"/>
          <w:footerReference w:type="default" r:id="rId15"/>
          <w:headerReference w:type="first" r:id="rId16"/>
          <w:footnotePr>
            <w:numRestart w:val="eachSect"/>
          </w:footnotePr>
          <w:endnotePr>
            <w:numFmt w:val="decimal"/>
            <w:numStart w:val="7"/>
          </w:endnotePr>
          <w:type w:val="continuous"/>
          <w:pgSz w:w="12240" w:h="15840" w:code="1"/>
          <w:pgMar w:top="1166" w:right="1195" w:bottom="1440" w:left="1195" w:header="576" w:footer="1030" w:gutter="0"/>
          <w:pgNumType w:start="1"/>
          <w:cols w:space="720"/>
          <w:titlePg/>
        </w:sectPr>
      </w:pPr>
    </w:p>
    <w:p w14:paraId="5B8A0591" w14:textId="77777777" w:rsidR="00785474" w:rsidRPr="001F621B" w:rsidRDefault="00785474" w:rsidP="00C06ED8">
      <w:pPr>
        <w:jc w:val="both"/>
        <w:rPr>
          <w:color w:val="000000"/>
          <w:sz w:val="6"/>
          <w:lang w:val="en-GB"/>
        </w:rPr>
        <w:sectPr w:rsidR="00785474" w:rsidRPr="001F621B" w:rsidSect="00DD0A8C">
          <w:headerReference w:type="even" r:id="rId17"/>
          <w:footerReference w:type="even" r:id="rId18"/>
          <w:footerReference w:type="default" r:id="rId19"/>
          <w:headerReference w:type="first" r:id="rId20"/>
          <w:footnotePr>
            <w:numRestart w:val="eachSect"/>
          </w:footnotePr>
          <w:endnotePr>
            <w:numFmt w:val="decimal"/>
            <w:numStart w:val="7"/>
          </w:endnotePr>
          <w:type w:val="continuous"/>
          <w:pgSz w:w="12240" w:h="15840" w:code="1"/>
          <w:pgMar w:top="1166" w:right="1195" w:bottom="1440" w:left="1195" w:header="576" w:footer="1037" w:gutter="0"/>
          <w:pgNumType w:start="1"/>
          <w:cols w:space="720"/>
          <w:titlePg/>
          <w:docGrid w:linePitch="272"/>
        </w:sectPr>
      </w:pPr>
    </w:p>
    <w:p w14:paraId="59047181" w14:textId="23C6F83B" w:rsidR="007A6560" w:rsidRPr="00C17547" w:rsidRDefault="007522BE" w:rsidP="00A9743B">
      <w:pPr>
        <w:pStyle w:val="Heading2"/>
        <w:numPr>
          <w:ilvl w:val="0"/>
          <w:numId w:val="26"/>
        </w:numPr>
        <w:tabs>
          <w:tab w:val="left" w:pos="1080"/>
        </w:tabs>
        <w:ind w:left="720" w:right="720" w:hanging="270"/>
        <w:jc w:val="both"/>
        <w:rPr>
          <w:rFonts w:ascii="Times New Roman" w:eastAsiaTheme="minorHAnsi" w:hAnsi="Times New Roman"/>
          <w:sz w:val="24"/>
          <w:szCs w:val="22"/>
          <w:lang w:val="en-GB"/>
        </w:rPr>
      </w:pPr>
      <w:r w:rsidRPr="00C17547">
        <w:rPr>
          <w:rFonts w:ascii="Times New Roman" w:eastAsiaTheme="minorHAnsi" w:hAnsi="Times New Roman"/>
          <w:sz w:val="24"/>
          <w:szCs w:val="22"/>
          <w:lang w:val="en-GB"/>
        </w:rPr>
        <w:lastRenderedPageBreak/>
        <w:t xml:space="preserve">Programme </w:t>
      </w:r>
      <w:r w:rsidR="00FB0638">
        <w:rPr>
          <w:rFonts w:ascii="Times New Roman" w:eastAsiaTheme="minorHAnsi" w:hAnsi="Times New Roman"/>
          <w:sz w:val="24"/>
          <w:szCs w:val="22"/>
          <w:lang w:val="en-GB"/>
        </w:rPr>
        <w:t>r</w:t>
      </w:r>
      <w:r w:rsidRPr="00C17547">
        <w:rPr>
          <w:rFonts w:ascii="Times New Roman" w:eastAsiaTheme="minorHAnsi" w:hAnsi="Times New Roman"/>
          <w:sz w:val="24"/>
          <w:szCs w:val="22"/>
          <w:lang w:val="en-GB"/>
        </w:rPr>
        <w:t>ationale</w:t>
      </w:r>
    </w:p>
    <w:p w14:paraId="1A8335EF" w14:textId="77777777" w:rsidR="00143CF3" w:rsidRPr="001F621B" w:rsidRDefault="00143CF3" w:rsidP="00A9743B">
      <w:pPr>
        <w:pStyle w:val="ListParagraph"/>
        <w:tabs>
          <w:tab w:val="left" w:pos="1080"/>
        </w:tabs>
        <w:ind w:left="1440" w:right="720"/>
        <w:jc w:val="both"/>
        <w:rPr>
          <w:b/>
          <w:lang w:val="en-GB"/>
        </w:rPr>
      </w:pPr>
    </w:p>
    <w:p w14:paraId="36B8E405" w14:textId="4FECAE2D" w:rsidR="00056684" w:rsidRPr="00821FE6" w:rsidRDefault="002E7A7A" w:rsidP="00A9743B">
      <w:pPr>
        <w:pStyle w:val="ListParagraph"/>
        <w:numPr>
          <w:ilvl w:val="0"/>
          <w:numId w:val="2"/>
        </w:numPr>
        <w:tabs>
          <w:tab w:val="left" w:pos="1080"/>
        </w:tabs>
        <w:spacing w:after="120"/>
        <w:ind w:right="720" w:firstLine="0"/>
        <w:jc w:val="both"/>
        <w:rPr>
          <w:lang w:val="en-GB"/>
        </w:rPr>
      </w:pPr>
      <w:r w:rsidRPr="00821FE6">
        <w:rPr>
          <w:lang w:val="en-GB"/>
        </w:rPr>
        <w:t>Viet Nam</w:t>
      </w:r>
      <w:r w:rsidR="00056684" w:rsidRPr="00821FE6">
        <w:rPr>
          <w:lang w:val="en-GB"/>
        </w:rPr>
        <w:t xml:space="preserve"> is a </w:t>
      </w:r>
      <w:r w:rsidR="00825359" w:rsidRPr="00821FE6">
        <w:rPr>
          <w:lang w:val="en-GB"/>
        </w:rPr>
        <w:t xml:space="preserve">lower </w:t>
      </w:r>
      <w:r w:rsidR="00E072A7">
        <w:rPr>
          <w:lang w:val="en-GB"/>
        </w:rPr>
        <w:t>middle-income country</w:t>
      </w:r>
      <w:r w:rsidR="003F1E03">
        <w:rPr>
          <w:lang w:val="en-GB"/>
        </w:rPr>
        <w:t>,</w:t>
      </w:r>
      <w:r w:rsidR="00144297">
        <w:rPr>
          <w:lang w:val="en-GB"/>
        </w:rPr>
        <w:t xml:space="preserve"> </w:t>
      </w:r>
      <w:r w:rsidR="00554289" w:rsidRPr="00821FE6">
        <w:rPr>
          <w:lang w:val="en-GB"/>
        </w:rPr>
        <w:t xml:space="preserve">classified in the </w:t>
      </w:r>
      <w:r w:rsidR="00056684" w:rsidRPr="00821FE6">
        <w:rPr>
          <w:lang w:val="en-GB"/>
        </w:rPr>
        <w:t xml:space="preserve">medium human development </w:t>
      </w:r>
      <w:r w:rsidR="00554289" w:rsidRPr="00821FE6">
        <w:rPr>
          <w:lang w:val="en-GB"/>
        </w:rPr>
        <w:t xml:space="preserve">bracket </w:t>
      </w:r>
      <w:r w:rsidR="00056684" w:rsidRPr="00821FE6">
        <w:rPr>
          <w:lang w:val="en-GB"/>
        </w:rPr>
        <w:t xml:space="preserve">with a </w:t>
      </w:r>
      <w:r w:rsidR="003F1E03">
        <w:rPr>
          <w:lang w:val="en-GB"/>
        </w:rPr>
        <w:t>gross domestic product (GDP)</w:t>
      </w:r>
      <w:r w:rsidR="003F1E03" w:rsidRPr="00821FE6">
        <w:rPr>
          <w:lang w:val="en-GB"/>
        </w:rPr>
        <w:t xml:space="preserve"> </w:t>
      </w:r>
      <w:r w:rsidR="00056684" w:rsidRPr="00821FE6">
        <w:rPr>
          <w:lang w:val="en-GB"/>
        </w:rPr>
        <w:t>per capita of $</w:t>
      </w:r>
      <w:r w:rsidR="002B2431" w:rsidRPr="00821FE6">
        <w:rPr>
          <w:lang w:val="en-GB"/>
        </w:rPr>
        <w:t>2</w:t>
      </w:r>
      <w:r w:rsidR="00165853" w:rsidRPr="00821FE6">
        <w:rPr>
          <w:lang w:val="en-GB"/>
        </w:rPr>
        <w:t>,</w:t>
      </w:r>
      <w:r w:rsidR="002B2431" w:rsidRPr="00821FE6">
        <w:rPr>
          <w:lang w:val="en-GB"/>
        </w:rPr>
        <w:t>109</w:t>
      </w:r>
      <w:r w:rsidR="002B2431" w:rsidRPr="00821FE6">
        <w:rPr>
          <w:rStyle w:val="FootnoteReference"/>
          <w:lang w:val="en-GB"/>
        </w:rPr>
        <w:footnoteReference w:id="2"/>
      </w:r>
      <w:r w:rsidR="00865A80">
        <w:rPr>
          <w:lang w:val="en-GB"/>
        </w:rPr>
        <w:t xml:space="preserve"> </w:t>
      </w:r>
      <w:r w:rsidR="00056684" w:rsidRPr="00821FE6">
        <w:rPr>
          <w:lang w:val="en-GB"/>
        </w:rPr>
        <w:t>and H</w:t>
      </w:r>
      <w:r w:rsidR="003F1E03">
        <w:rPr>
          <w:lang w:val="en-GB"/>
        </w:rPr>
        <w:t xml:space="preserve">uman </w:t>
      </w:r>
      <w:r w:rsidR="00056684" w:rsidRPr="00821FE6">
        <w:rPr>
          <w:lang w:val="en-GB"/>
        </w:rPr>
        <w:t>D</w:t>
      </w:r>
      <w:r w:rsidR="003F1E03">
        <w:rPr>
          <w:lang w:val="en-GB"/>
        </w:rPr>
        <w:t xml:space="preserve">evelopment </w:t>
      </w:r>
      <w:r w:rsidR="00056684" w:rsidRPr="00821FE6">
        <w:rPr>
          <w:lang w:val="en-GB"/>
        </w:rPr>
        <w:t>I</w:t>
      </w:r>
      <w:r w:rsidR="003F1E03">
        <w:rPr>
          <w:lang w:val="en-GB"/>
        </w:rPr>
        <w:t>ndex</w:t>
      </w:r>
      <w:r w:rsidR="00056684" w:rsidRPr="00821FE6">
        <w:rPr>
          <w:lang w:val="en-GB"/>
        </w:rPr>
        <w:t xml:space="preserve"> of 0.666</w:t>
      </w:r>
      <w:r w:rsidR="00056684" w:rsidRPr="00821FE6">
        <w:rPr>
          <w:rStyle w:val="FootnoteReference"/>
          <w:lang w:val="en-GB"/>
        </w:rPr>
        <w:footnoteReference w:id="3"/>
      </w:r>
      <w:r w:rsidR="00056684" w:rsidRPr="00821FE6">
        <w:rPr>
          <w:lang w:val="en-GB"/>
        </w:rPr>
        <w:t xml:space="preserve"> (116 of 188 countries</w:t>
      </w:r>
      <w:r w:rsidR="00DE1C5E">
        <w:rPr>
          <w:lang w:val="en-GB"/>
        </w:rPr>
        <w:t xml:space="preserve"> </w:t>
      </w:r>
      <w:r w:rsidR="00056684" w:rsidRPr="00821FE6">
        <w:rPr>
          <w:lang w:val="en-GB"/>
        </w:rPr>
        <w:t>ranked in the 2015 H</w:t>
      </w:r>
      <w:r w:rsidR="003F1E03">
        <w:rPr>
          <w:lang w:val="en-GB"/>
        </w:rPr>
        <w:t xml:space="preserve">uman </w:t>
      </w:r>
      <w:r w:rsidR="00056684" w:rsidRPr="00821FE6">
        <w:rPr>
          <w:lang w:val="en-GB"/>
        </w:rPr>
        <w:t>D</w:t>
      </w:r>
      <w:r w:rsidR="003F1E03">
        <w:rPr>
          <w:lang w:val="en-GB"/>
        </w:rPr>
        <w:t xml:space="preserve">evelopment </w:t>
      </w:r>
      <w:r w:rsidR="00056684" w:rsidRPr="00821FE6">
        <w:rPr>
          <w:lang w:val="en-GB"/>
        </w:rPr>
        <w:t>R</w:t>
      </w:r>
      <w:r w:rsidR="003F1E03">
        <w:rPr>
          <w:lang w:val="en-GB"/>
        </w:rPr>
        <w:t>eport</w:t>
      </w:r>
      <w:r w:rsidR="00056684" w:rsidRPr="00821FE6">
        <w:rPr>
          <w:lang w:val="en-GB"/>
        </w:rPr>
        <w:t xml:space="preserve">). </w:t>
      </w:r>
      <w:r w:rsidR="00554289" w:rsidRPr="00821FE6">
        <w:rPr>
          <w:lang w:val="en-GB"/>
        </w:rPr>
        <w:t>Viet Nam’s M</w:t>
      </w:r>
      <w:r w:rsidR="00E072A7">
        <w:rPr>
          <w:lang w:val="en-GB"/>
        </w:rPr>
        <w:t xml:space="preserve">illennium </w:t>
      </w:r>
      <w:r w:rsidR="00554289" w:rsidRPr="00821FE6">
        <w:rPr>
          <w:lang w:val="en-GB"/>
        </w:rPr>
        <w:t>D</w:t>
      </w:r>
      <w:r w:rsidR="00E072A7">
        <w:rPr>
          <w:lang w:val="en-GB"/>
        </w:rPr>
        <w:t xml:space="preserve">evelopment </w:t>
      </w:r>
      <w:r w:rsidR="00554289" w:rsidRPr="00821FE6">
        <w:rPr>
          <w:lang w:val="en-GB"/>
        </w:rPr>
        <w:t>G</w:t>
      </w:r>
      <w:r w:rsidR="00E072A7">
        <w:rPr>
          <w:lang w:val="en-GB"/>
        </w:rPr>
        <w:t>oals</w:t>
      </w:r>
      <w:r w:rsidR="00554289" w:rsidRPr="00821FE6">
        <w:rPr>
          <w:lang w:val="en-GB"/>
        </w:rPr>
        <w:t xml:space="preserve"> performance has been exceptional</w:t>
      </w:r>
      <w:r w:rsidR="003F1E03">
        <w:rPr>
          <w:lang w:val="en-GB"/>
        </w:rPr>
        <w:t>,</w:t>
      </w:r>
      <w:r w:rsidR="00554289" w:rsidRPr="00821FE6">
        <w:rPr>
          <w:lang w:val="en-GB"/>
        </w:rPr>
        <w:t xml:space="preserve"> with the majority of targets met in full and many ahead of time. Between 1993 and 2015</w:t>
      </w:r>
      <w:r w:rsidR="003F1E03">
        <w:rPr>
          <w:lang w:val="en-GB"/>
        </w:rPr>
        <w:t>,</w:t>
      </w:r>
      <w:r w:rsidR="00554289" w:rsidRPr="00821FE6">
        <w:rPr>
          <w:lang w:val="en-GB"/>
        </w:rPr>
        <w:t xml:space="preserve"> the percentage of Vietnamese living below the national poverty line declined from 58</w:t>
      </w:r>
      <w:r w:rsidR="00870B73" w:rsidRPr="00821FE6">
        <w:rPr>
          <w:lang w:val="en-GB"/>
        </w:rPr>
        <w:t>.1</w:t>
      </w:r>
      <w:r w:rsidR="00554289" w:rsidRPr="00821FE6">
        <w:rPr>
          <w:lang w:val="en-GB"/>
        </w:rPr>
        <w:t xml:space="preserve"> to 7.1</w:t>
      </w:r>
      <w:r w:rsidR="003F1E03">
        <w:rPr>
          <w:lang w:val="en-GB"/>
        </w:rPr>
        <w:t xml:space="preserve"> per cent.</w:t>
      </w:r>
      <w:r w:rsidR="00554289" w:rsidRPr="00821FE6">
        <w:rPr>
          <w:rStyle w:val="FootnoteReference"/>
          <w:lang w:val="en-GB"/>
        </w:rPr>
        <w:footnoteReference w:id="4"/>
      </w:r>
      <w:r w:rsidR="004F6442" w:rsidRPr="00821FE6">
        <w:rPr>
          <w:lang w:val="en-GB"/>
        </w:rPr>
        <w:t xml:space="preserve"> </w:t>
      </w:r>
      <w:r w:rsidR="003F1E03">
        <w:rPr>
          <w:lang w:val="en-GB"/>
        </w:rPr>
        <w:t xml:space="preserve">Since 1990, </w:t>
      </w:r>
      <w:r w:rsidR="00870B73" w:rsidRPr="00821FE6">
        <w:rPr>
          <w:lang w:val="en-GB"/>
        </w:rPr>
        <w:t xml:space="preserve">Viet Nam has enjoyed one of the most successful transitions from central planning to a market economy. </w:t>
      </w:r>
      <w:r w:rsidR="000B6D5C" w:rsidRPr="00821FE6">
        <w:rPr>
          <w:lang w:val="en-GB"/>
        </w:rPr>
        <w:t xml:space="preserve">After </w:t>
      </w:r>
      <w:r w:rsidR="001F106D">
        <w:rPr>
          <w:lang w:val="en-GB"/>
        </w:rPr>
        <w:t>a</w:t>
      </w:r>
      <w:r w:rsidR="000B6D5C" w:rsidRPr="00821FE6">
        <w:rPr>
          <w:lang w:val="en-GB"/>
        </w:rPr>
        <w:t xml:space="preserve"> </w:t>
      </w:r>
      <w:r w:rsidR="00144297">
        <w:rPr>
          <w:lang w:val="en-GB"/>
        </w:rPr>
        <w:t xml:space="preserve">recent </w:t>
      </w:r>
      <w:r w:rsidR="000B6D5C" w:rsidRPr="00821FE6">
        <w:rPr>
          <w:lang w:val="en-GB"/>
        </w:rPr>
        <w:t xml:space="preserve">slowdown, </w:t>
      </w:r>
      <w:r w:rsidR="00056684" w:rsidRPr="00821FE6">
        <w:rPr>
          <w:lang w:val="en-GB"/>
        </w:rPr>
        <w:t xml:space="preserve">the economy rebounded with a </w:t>
      </w:r>
      <w:r w:rsidR="00E16F0A" w:rsidRPr="00821FE6">
        <w:rPr>
          <w:lang w:val="en-GB"/>
        </w:rPr>
        <w:t xml:space="preserve">real </w:t>
      </w:r>
      <w:r w:rsidR="00056684" w:rsidRPr="00821FE6">
        <w:rPr>
          <w:lang w:val="en-GB"/>
        </w:rPr>
        <w:t>GDP growth rate of 6.7</w:t>
      </w:r>
      <w:r w:rsidR="003F1E03">
        <w:rPr>
          <w:lang w:val="en-GB"/>
        </w:rPr>
        <w:t xml:space="preserve"> per cent</w:t>
      </w:r>
      <w:r w:rsidR="00E16F0A" w:rsidRPr="00821FE6">
        <w:rPr>
          <w:rStyle w:val="FootnoteReference"/>
          <w:lang w:val="en-GB"/>
        </w:rPr>
        <w:footnoteReference w:id="5"/>
      </w:r>
      <w:r w:rsidR="001F106D">
        <w:rPr>
          <w:lang w:val="en-GB"/>
        </w:rPr>
        <w:t xml:space="preserve"> in 2015</w:t>
      </w:r>
      <w:r w:rsidR="00E16F0A" w:rsidRPr="00821FE6">
        <w:rPr>
          <w:lang w:val="en-GB"/>
        </w:rPr>
        <w:t xml:space="preserve">. </w:t>
      </w:r>
      <w:r w:rsidR="00144297">
        <w:rPr>
          <w:lang w:val="en-GB"/>
        </w:rPr>
        <w:t>P</w:t>
      </w:r>
      <w:r w:rsidR="00E16F0A" w:rsidRPr="00821FE6">
        <w:rPr>
          <w:lang w:val="en-GB"/>
        </w:rPr>
        <w:t xml:space="preserve">rojections </w:t>
      </w:r>
      <w:r w:rsidR="00144297">
        <w:rPr>
          <w:lang w:val="en-GB"/>
        </w:rPr>
        <w:t xml:space="preserve">in the </w:t>
      </w:r>
      <w:r w:rsidR="003F1E03">
        <w:rPr>
          <w:lang w:val="en-GB"/>
        </w:rPr>
        <w:t xml:space="preserve">Government's </w:t>
      </w:r>
      <w:r w:rsidR="00144297">
        <w:rPr>
          <w:lang w:val="en-GB"/>
        </w:rPr>
        <w:t>S</w:t>
      </w:r>
      <w:r w:rsidR="00E072A7">
        <w:rPr>
          <w:lang w:val="en-GB"/>
        </w:rPr>
        <w:t>ocio Economic Development Plan (SEDP)</w:t>
      </w:r>
      <w:r w:rsidR="00144297">
        <w:rPr>
          <w:lang w:val="en-GB"/>
        </w:rPr>
        <w:t xml:space="preserve"> 2016-2020 </w:t>
      </w:r>
      <w:r w:rsidR="000B6D5C" w:rsidRPr="00821FE6">
        <w:rPr>
          <w:lang w:val="en-GB"/>
        </w:rPr>
        <w:t xml:space="preserve">indicate </w:t>
      </w:r>
      <w:r w:rsidR="001F106D">
        <w:rPr>
          <w:lang w:val="en-GB"/>
        </w:rPr>
        <w:t>that this level</w:t>
      </w:r>
      <w:r w:rsidR="00E16F0A" w:rsidRPr="00821FE6">
        <w:rPr>
          <w:lang w:val="en-GB"/>
        </w:rPr>
        <w:t xml:space="preserve"> of economic growth will be maintained </w:t>
      </w:r>
      <w:r w:rsidR="00144297">
        <w:rPr>
          <w:lang w:val="en-GB"/>
        </w:rPr>
        <w:t xml:space="preserve">in the context of recent </w:t>
      </w:r>
      <w:r w:rsidR="00E16F0A" w:rsidRPr="00821FE6">
        <w:rPr>
          <w:lang w:val="en-GB"/>
        </w:rPr>
        <w:t xml:space="preserve">accession to trade agreements such as </w:t>
      </w:r>
      <w:r w:rsidR="00554289" w:rsidRPr="00821FE6">
        <w:rPr>
          <w:lang w:val="en-GB"/>
        </w:rPr>
        <w:t xml:space="preserve">the </w:t>
      </w:r>
      <w:r w:rsidR="00E16F0A" w:rsidRPr="00821FE6">
        <w:rPr>
          <w:lang w:val="en-GB"/>
        </w:rPr>
        <w:t>Trans-Pacific Partnership</w:t>
      </w:r>
      <w:r w:rsidR="00CB42A9">
        <w:rPr>
          <w:lang w:val="en-GB"/>
        </w:rPr>
        <w:t>,</w:t>
      </w:r>
      <w:r w:rsidR="001F106D">
        <w:rPr>
          <w:lang w:val="en-GB"/>
        </w:rPr>
        <w:t xml:space="preserve"> and </w:t>
      </w:r>
      <w:r w:rsidR="00E16F0A" w:rsidRPr="00821FE6">
        <w:rPr>
          <w:lang w:val="en-GB"/>
        </w:rPr>
        <w:t xml:space="preserve">the formation of </w:t>
      </w:r>
      <w:r w:rsidR="00554289" w:rsidRPr="00821FE6">
        <w:rPr>
          <w:lang w:val="en-GB"/>
        </w:rPr>
        <w:t xml:space="preserve">the </w:t>
      </w:r>
      <w:r w:rsidR="003F1E03">
        <w:rPr>
          <w:lang w:val="en-GB"/>
        </w:rPr>
        <w:t xml:space="preserve">Association of Southeast Asian Nations </w:t>
      </w:r>
      <w:r w:rsidR="00E16F0A" w:rsidRPr="00821FE6">
        <w:rPr>
          <w:lang w:val="en-GB"/>
        </w:rPr>
        <w:t>Economic Community.</w:t>
      </w:r>
    </w:p>
    <w:p w14:paraId="08C9E682" w14:textId="2AF4DB6E" w:rsidR="00F23BAE" w:rsidRPr="00222C44" w:rsidRDefault="00010423" w:rsidP="00A9743B">
      <w:pPr>
        <w:pStyle w:val="ListParagraph"/>
        <w:numPr>
          <w:ilvl w:val="0"/>
          <w:numId w:val="2"/>
        </w:numPr>
        <w:tabs>
          <w:tab w:val="left" w:pos="1080"/>
        </w:tabs>
        <w:spacing w:after="120"/>
        <w:ind w:right="720" w:firstLine="0"/>
        <w:jc w:val="both"/>
        <w:rPr>
          <w:lang w:val="en-GB"/>
        </w:rPr>
      </w:pPr>
      <w:r w:rsidRPr="001F621B">
        <w:rPr>
          <w:lang w:val="en-GB"/>
        </w:rPr>
        <w:t xml:space="preserve">Despite </w:t>
      </w:r>
      <w:r w:rsidR="00870B73" w:rsidRPr="001F621B">
        <w:rPr>
          <w:lang w:val="en-GB"/>
        </w:rPr>
        <w:t>Viet Nam</w:t>
      </w:r>
      <w:r w:rsidRPr="001F621B">
        <w:rPr>
          <w:lang w:val="en-GB"/>
        </w:rPr>
        <w:t>’s remarkable achievements, development challenges remain</w:t>
      </w:r>
      <w:r w:rsidR="00B02845" w:rsidRPr="001F621B">
        <w:rPr>
          <w:lang w:val="en-GB"/>
        </w:rPr>
        <w:t>, including</w:t>
      </w:r>
      <w:r w:rsidR="00825359" w:rsidRPr="001F621B">
        <w:rPr>
          <w:lang w:val="en-GB"/>
        </w:rPr>
        <w:t xml:space="preserve"> an</w:t>
      </w:r>
      <w:r w:rsidR="00B02845" w:rsidRPr="001F621B">
        <w:rPr>
          <w:lang w:val="en-GB"/>
        </w:rPr>
        <w:t xml:space="preserve"> unfinished </w:t>
      </w:r>
      <w:r w:rsidR="003F1E03">
        <w:rPr>
          <w:lang w:val="en-GB"/>
        </w:rPr>
        <w:t>Millennium Development Goal</w:t>
      </w:r>
      <w:r w:rsidR="00B02845" w:rsidRPr="001F621B">
        <w:rPr>
          <w:lang w:val="en-GB"/>
        </w:rPr>
        <w:t xml:space="preserve"> agenda </w:t>
      </w:r>
      <w:r w:rsidR="004532FB">
        <w:rPr>
          <w:lang w:val="en-GB"/>
        </w:rPr>
        <w:t xml:space="preserve">and </w:t>
      </w:r>
      <w:r w:rsidR="00EC41AF">
        <w:rPr>
          <w:lang w:val="en-GB"/>
        </w:rPr>
        <w:t xml:space="preserve">persistent </w:t>
      </w:r>
      <w:r w:rsidR="00B02845" w:rsidRPr="001F621B">
        <w:rPr>
          <w:lang w:val="en-GB"/>
        </w:rPr>
        <w:t xml:space="preserve">disparities </w:t>
      </w:r>
      <w:r w:rsidR="004532FB">
        <w:rPr>
          <w:lang w:val="en-GB"/>
        </w:rPr>
        <w:t xml:space="preserve">of </w:t>
      </w:r>
      <w:r w:rsidR="00B22C6A" w:rsidRPr="001F621B">
        <w:rPr>
          <w:lang w:val="en-GB"/>
        </w:rPr>
        <w:t>ethnicity, gender and locality</w:t>
      </w:r>
      <w:r w:rsidRPr="001F621B">
        <w:rPr>
          <w:lang w:val="en-GB"/>
        </w:rPr>
        <w:t xml:space="preserve">. </w:t>
      </w:r>
      <w:r w:rsidR="004532FB">
        <w:rPr>
          <w:lang w:val="en-GB"/>
        </w:rPr>
        <w:t xml:space="preserve">The </w:t>
      </w:r>
      <w:r w:rsidR="00691855">
        <w:rPr>
          <w:lang w:val="en-GB"/>
        </w:rPr>
        <w:t xml:space="preserve">SEDP 2016-2020 aspires to build </w:t>
      </w:r>
      <w:r w:rsidR="00691855" w:rsidRPr="001E6342">
        <w:rPr>
          <w:lang w:val="en-GB"/>
        </w:rPr>
        <w:t>a</w:t>
      </w:r>
      <w:r w:rsidR="00691855">
        <w:rPr>
          <w:lang w:val="en-GB"/>
        </w:rPr>
        <w:t>n inclusive and</w:t>
      </w:r>
      <w:r w:rsidR="00691855" w:rsidRPr="001E6342">
        <w:rPr>
          <w:lang w:val="en-GB"/>
        </w:rPr>
        <w:t xml:space="preserve"> sustainable development model </w:t>
      </w:r>
      <w:r w:rsidR="00691855">
        <w:rPr>
          <w:lang w:val="en-GB"/>
        </w:rPr>
        <w:t>balancing</w:t>
      </w:r>
      <w:r w:rsidR="00691855" w:rsidRPr="001E6342">
        <w:rPr>
          <w:lang w:val="en-GB"/>
        </w:rPr>
        <w:t xml:space="preserve"> economic, social and </w:t>
      </w:r>
      <w:r w:rsidR="00691855" w:rsidRPr="0055616F">
        <w:rPr>
          <w:lang w:val="en-GB"/>
        </w:rPr>
        <w:t>environmental</w:t>
      </w:r>
      <w:r w:rsidR="00691855" w:rsidRPr="001E6342">
        <w:rPr>
          <w:lang w:val="en-GB"/>
        </w:rPr>
        <w:t xml:space="preserve"> imperatives so </w:t>
      </w:r>
      <w:r w:rsidR="004532FB">
        <w:rPr>
          <w:lang w:val="en-GB"/>
        </w:rPr>
        <w:t xml:space="preserve">that </w:t>
      </w:r>
      <w:r w:rsidR="00691855" w:rsidRPr="001E6342">
        <w:rPr>
          <w:lang w:val="en-GB"/>
        </w:rPr>
        <w:t>all citizens benefit from development gains</w:t>
      </w:r>
      <w:r w:rsidR="00691855">
        <w:rPr>
          <w:lang w:val="en-GB"/>
        </w:rPr>
        <w:t xml:space="preserve">. </w:t>
      </w:r>
      <w:r w:rsidR="00CB680F">
        <w:rPr>
          <w:lang w:val="en-GB"/>
        </w:rPr>
        <w:t>Strengthening</w:t>
      </w:r>
      <w:r w:rsidR="00CB680F" w:rsidRPr="009857BC">
        <w:rPr>
          <w:lang w:val="en-GB"/>
        </w:rPr>
        <w:t xml:space="preserve"> resilience to economic and climate-related </w:t>
      </w:r>
      <w:r w:rsidR="00CB680F">
        <w:rPr>
          <w:lang w:val="en-GB"/>
        </w:rPr>
        <w:t>shocks</w:t>
      </w:r>
      <w:r w:rsidR="00CB680F" w:rsidRPr="009857BC">
        <w:rPr>
          <w:lang w:val="en-GB"/>
        </w:rPr>
        <w:t xml:space="preserve"> is </w:t>
      </w:r>
      <w:r w:rsidR="00CB680F">
        <w:rPr>
          <w:lang w:val="en-GB"/>
        </w:rPr>
        <w:t>essential</w:t>
      </w:r>
      <w:r w:rsidR="00CB680F" w:rsidRPr="009857BC">
        <w:rPr>
          <w:lang w:val="en-GB"/>
        </w:rPr>
        <w:t xml:space="preserve"> to </w:t>
      </w:r>
      <w:r w:rsidR="00B73F75">
        <w:rPr>
          <w:lang w:val="en-GB"/>
        </w:rPr>
        <w:t>this development vision</w:t>
      </w:r>
      <w:r w:rsidR="00CB680F" w:rsidRPr="009857BC">
        <w:rPr>
          <w:lang w:val="en-GB"/>
        </w:rPr>
        <w:t xml:space="preserve">. </w:t>
      </w:r>
      <w:r w:rsidR="00825359" w:rsidRPr="001F621B">
        <w:rPr>
          <w:lang w:val="en-GB"/>
        </w:rPr>
        <w:t xml:space="preserve">While </w:t>
      </w:r>
      <w:r w:rsidR="00EC41AF">
        <w:rPr>
          <w:lang w:val="en-GB"/>
        </w:rPr>
        <w:t xml:space="preserve">income </w:t>
      </w:r>
      <w:r w:rsidR="00825359" w:rsidRPr="001F621B">
        <w:rPr>
          <w:lang w:val="en-GB"/>
        </w:rPr>
        <w:t>poverty has fallen dramatically, vulnerabilities to adverse economic events and natural disasters</w:t>
      </w:r>
      <w:r w:rsidR="00165853">
        <w:rPr>
          <w:lang w:val="en-GB"/>
        </w:rPr>
        <w:t xml:space="preserve"> have risen</w:t>
      </w:r>
      <w:r w:rsidR="00825359" w:rsidRPr="001F621B">
        <w:rPr>
          <w:lang w:val="en-GB"/>
        </w:rPr>
        <w:t xml:space="preserve">, exacerbated by climate change and environmental degradation. </w:t>
      </w:r>
      <w:r w:rsidR="004353A4">
        <w:rPr>
          <w:lang w:val="en-GB"/>
        </w:rPr>
        <w:t>Three quarters of the population are n</w:t>
      </w:r>
      <w:r w:rsidR="00837792" w:rsidRPr="00222C44">
        <w:rPr>
          <w:lang w:val="en-GB"/>
        </w:rPr>
        <w:t>ear</w:t>
      </w:r>
      <w:r w:rsidR="004532FB">
        <w:rPr>
          <w:lang w:val="en-GB"/>
        </w:rPr>
        <w:t xml:space="preserve"> </w:t>
      </w:r>
      <w:r w:rsidR="00837792" w:rsidRPr="00222C44">
        <w:rPr>
          <w:lang w:val="en-GB"/>
        </w:rPr>
        <w:t xml:space="preserve">poor </w:t>
      </w:r>
      <w:r w:rsidR="004353A4">
        <w:rPr>
          <w:lang w:val="en-GB"/>
        </w:rPr>
        <w:t>or</w:t>
      </w:r>
      <w:r w:rsidR="00837792" w:rsidRPr="00222C44">
        <w:rPr>
          <w:lang w:val="en-GB"/>
        </w:rPr>
        <w:t xml:space="preserve"> lower middle-income</w:t>
      </w:r>
      <w:r w:rsidR="004353A4">
        <w:rPr>
          <w:lang w:val="en-GB"/>
        </w:rPr>
        <w:t>,</w:t>
      </w:r>
      <w:r w:rsidR="00837792">
        <w:rPr>
          <w:lang w:val="en-GB"/>
        </w:rPr>
        <w:t xml:space="preserve"> </w:t>
      </w:r>
      <w:r w:rsidR="00837792" w:rsidRPr="00222C44">
        <w:rPr>
          <w:lang w:val="en-GB"/>
        </w:rPr>
        <w:t>lack</w:t>
      </w:r>
      <w:r w:rsidR="004353A4">
        <w:rPr>
          <w:lang w:val="en-GB"/>
        </w:rPr>
        <w:t>ing</w:t>
      </w:r>
      <w:r w:rsidR="00837792" w:rsidRPr="00222C44">
        <w:rPr>
          <w:lang w:val="en-GB"/>
        </w:rPr>
        <w:t xml:space="preserve"> resilience to shocks</w:t>
      </w:r>
      <w:r w:rsidR="004532FB">
        <w:rPr>
          <w:lang w:val="en-GB"/>
        </w:rPr>
        <w:t>.</w:t>
      </w:r>
      <w:r w:rsidR="00222C44">
        <w:rPr>
          <w:rStyle w:val="FootnoteReference"/>
          <w:lang w:val="en-GB"/>
        </w:rPr>
        <w:footnoteReference w:id="6"/>
      </w:r>
      <w:r w:rsidR="00222C44" w:rsidRPr="00222C44">
        <w:rPr>
          <w:lang w:val="en-GB"/>
        </w:rPr>
        <w:t xml:space="preserve"> </w:t>
      </w:r>
      <w:r w:rsidR="00A674DD" w:rsidRPr="00222C44">
        <w:rPr>
          <w:lang w:val="en-GB"/>
        </w:rPr>
        <w:t xml:space="preserve">New forms of </w:t>
      </w:r>
      <w:r w:rsidR="001F12C9">
        <w:rPr>
          <w:lang w:val="en-GB"/>
        </w:rPr>
        <w:t xml:space="preserve">social, economic and environmental deprivation </w:t>
      </w:r>
      <w:r w:rsidR="00A674DD" w:rsidRPr="00222C44">
        <w:rPr>
          <w:lang w:val="en-GB"/>
        </w:rPr>
        <w:t>have emerged in urban areas</w:t>
      </w:r>
      <w:r w:rsidR="004353A4">
        <w:rPr>
          <w:lang w:val="en-GB"/>
        </w:rPr>
        <w:t xml:space="preserve">, </w:t>
      </w:r>
      <w:r w:rsidR="00BE3788">
        <w:rPr>
          <w:lang w:val="en-GB"/>
        </w:rPr>
        <w:t xml:space="preserve">affecting </w:t>
      </w:r>
      <w:r w:rsidR="00005B73" w:rsidRPr="00222C44">
        <w:rPr>
          <w:lang w:val="en-GB"/>
        </w:rPr>
        <w:t>labo</w:t>
      </w:r>
      <w:r w:rsidR="00165853" w:rsidRPr="00222C44">
        <w:rPr>
          <w:lang w:val="en-GB"/>
        </w:rPr>
        <w:t>u</w:t>
      </w:r>
      <w:r w:rsidR="00005B73" w:rsidRPr="00222C44">
        <w:rPr>
          <w:lang w:val="en-GB"/>
        </w:rPr>
        <w:t>r migrants and informal sector workers, particularly women</w:t>
      </w:r>
      <w:r w:rsidR="004353A4">
        <w:rPr>
          <w:lang w:val="en-GB"/>
        </w:rPr>
        <w:t>.</w:t>
      </w:r>
      <w:r w:rsidR="002A376E">
        <w:rPr>
          <w:lang w:val="en-GB"/>
        </w:rPr>
        <w:t xml:space="preserve"> </w:t>
      </w:r>
    </w:p>
    <w:p w14:paraId="4A4B2AB8" w14:textId="12AE331C" w:rsidR="00674B1D" w:rsidRDefault="0037049C" w:rsidP="00A9743B">
      <w:pPr>
        <w:pStyle w:val="ListParagraph"/>
        <w:numPr>
          <w:ilvl w:val="0"/>
          <w:numId w:val="2"/>
        </w:numPr>
        <w:tabs>
          <w:tab w:val="left" w:pos="1080"/>
        </w:tabs>
        <w:spacing w:after="120"/>
        <w:ind w:right="720" w:firstLine="0"/>
        <w:jc w:val="both"/>
        <w:rPr>
          <w:lang w:val="en-GB"/>
        </w:rPr>
      </w:pPr>
      <w:r w:rsidRPr="0037049C">
        <w:rPr>
          <w:lang w:val="en-GB"/>
        </w:rPr>
        <w:t>As the population becomes be</w:t>
      </w:r>
      <w:r>
        <w:rPr>
          <w:lang w:val="en-GB"/>
        </w:rPr>
        <w:t xml:space="preserve">tter educated, connected </w:t>
      </w:r>
      <w:r w:rsidRPr="0037049C">
        <w:rPr>
          <w:lang w:val="en-GB"/>
        </w:rPr>
        <w:t xml:space="preserve">and more prosperous, peoples’ expectations for improved service delivery, cleaner and safer living conditions and responsive </w:t>
      </w:r>
      <w:r w:rsidR="004A5E6D">
        <w:rPr>
          <w:lang w:val="en-GB"/>
        </w:rPr>
        <w:t xml:space="preserve">institutions </w:t>
      </w:r>
      <w:r w:rsidRPr="0037049C">
        <w:rPr>
          <w:lang w:val="en-GB"/>
        </w:rPr>
        <w:t xml:space="preserve">have risen. Viet Nam’s continued successful transition </w:t>
      </w:r>
      <w:r w:rsidR="004A5E6D">
        <w:rPr>
          <w:lang w:val="en-GB"/>
        </w:rPr>
        <w:t>requires overcoming</w:t>
      </w:r>
      <w:r w:rsidR="00DE1C5E">
        <w:rPr>
          <w:lang w:val="en-GB"/>
        </w:rPr>
        <w:t xml:space="preserve"> </w:t>
      </w:r>
      <w:r w:rsidR="00F23BAE" w:rsidRPr="0037049C">
        <w:rPr>
          <w:lang w:val="en-GB"/>
        </w:rPr>
        <w:t>systemic bottlenecks</w:t>
      </w:r>
      <w:r w:rsidR="004A5E6D">
        <w:rPr>
          <w:lang w:val="en-GB"/>
        </w:rPr>
        <w:t xml:space="preserve"> in governance. </w:t>
      </w:r>
      <w:r w:rsidR="004A5E6D" w:rsidRPr="004A5E6D">
        <w:rPr>
          <w:lang w:val="en-GB"/>
        </w:rPr>
        <w:t xml:space="preserve">These include </w:t>
      </w:r>
      <w:r w:rsidR="00F23BAE" w:rsidRPr="004A5E6D">
        <w:rPr>
          <w:lang w:val="en-GB"/>
        </w:rPr>
        <w:t xml:space="preserve">the low implementation capacity at subnational levels; fragmentation of administrative mandates and ineffective coordination across sectors; </w:t>
      </w:r>
      <w:r w:rsidR="004353A4">
        <w:rPr>
          <w:lang w:val="en-GB"/>
        </w:rPr>
        <w:t xml:space="preserve">insufficient </w:t>
      </w:r>
      <w:r w:rsidR="00F23BAE" w:rsidRPr="004A5E6D">
        <w:rPr>
          <w:lang w:val="en-GB"/>
        </w:rPr>
        <w:t xml:space="preserve">social accountability and citizen engagement </w:t>
      </w:r>
      <w:r w:rsidR="00865A80">
        <w:rPr>
          <w:lang w:val="en-GB"/>
        </w:rPr>
        <w:t xml:space="preserve">– especially by women and youth – </w:t>
      </w:r>
      <w:r w:rsidR="00F23BAE" w:rsidRPr="004A5E6D">
        <w:rPr>
          <w:lang w:val="en-GB"/>
        </w:rPr>
        <w:t xml:space="preserve">in policymaking and oversight; and indirect forms of </w:t>
      </w:r>
      <w:r w:rsidR="00DF55D3">
        <w:rPr>
          <w:lang w:val="en-GB"/>
        </w:rPr>
        <w:t xml:space="preserve">gender </w:t>
      </w:r>
      <w:r w:rsidRPr="004A5E6D">
        <w:rPr>
          <w:lang w:val="en-GB"/>
        </w:rPr>
        <w:t xml:space="preserve">bias and </w:t>
      </w:r>
      <w:r w:rsidR="00F23BAE" w:rsidRPr="004A5E6D">
        <w:rPr>
          <w:lang w:val="en-GB"/>
        </w:rPr>
        <w:t xml:space="preserve">discrimination against </w:t>
      </w:r>
      <w:r w:rsidRPr="004A5E6D">
        <w:rPr>
          <w:lang w:val="en-GB"/>
        </w:rPr>
        <w:t>marginalized groups.</w:t>
      </w:r>
    </w:p>
    <w:p w14:paraId="76AB1DDD" w14:textId="0BA00838" w:rsidR="003C14C4" w:rsidRPr="00821FE6" w:rsidRDefault="00EB7709" w:rsidP="00A9743B">
      <w:pPr>
        <w:pStyle w:val="ListParagraph"/>
        <w:numPr>
          <w:ilvl w:val="0"/>
          <w:numId w:val="2"/>
        </w:numPr>
        <w:tabs>
          <w:tab w:val="left" w:pos="1080"/>
        </w:tabs>
        <w:spacing w:after="120"/>
        <w:ind w:right="720" w:firstLine="0"/>
        <w:jc w:val="both"/>
        <w:rPr>
          <w:lang w:val="en-GB"/>
        </w:rPr>
      </w:pPr>
      <w:r w:rsidRPr="004532FB">
        <w:rPr>
          <w:lang w:val="en-GB"/>
        </w:rPr>
        <w:t>D</w:t>
      </w:r>
      <w:r w:rsidR="00674B1D" w:rsidRPr="004532FB">
        <w:rPr>
          <w:lang w:val="en-GB"/>
        </w:rPr>
        <w:t>isparities by ethnicity, gender and locality</w:t>
      </w:r>
      <w:r w:rsidR="00551967" w:rsidRPr="004532FB">
        <w:rPr>
          <w:lang w:val="en-GB"/>
        </w:rPr>
        <w:t>, unequal access to services</w:t>
      </w:r>
      <w:r w:rsidRPr="004532FB">
        <w:rPr>
          <w:lang w:val="en-GB"/>
        </w:rPr>
        <w:t xml:space="preserve"> and </w:t>
      </w:r>
      <w:r w:rsidR="00A674DD" w:rsidRPr="004532FB">
        <w:rPr>
          <w:lang w:val="en-GB"/>
        </w:rPr>
        <w:t xml:space="preserve">growing </w:t>
      </w:r>
      <w:r w:rsidRPr="004532FB">
        <w:rPr>
          <w:lang w:val="en-GB"/>
        </w:rPr>
        <w:t>v</w:t>
      </w:r>
      <w:r w:rsidR="00A674DD" w:rsidRPr="004532FB">
        <w:rPr>
          <w:lang w:val="en-GB"/>
        </w:rPr>
        <w:t>ulnerability</w:t>
      </w:r>
      <w:r w:rsidR="00DE1C5E" w:rsidRPr="004532FB">
        <w:rPr>
          <w:lang w:val="en-GB"/>
        </w:rPr>
        <w:t xml:space="preserve"> </w:t>
      </w:r>
      <w:r w:rsidR="00164FD8" w:rsidRPr="004532FB">
        <w:rPr>
          <w:lang w:val="en-GB"/>
        </w:rPr>
        <w:t>prevent</w:t>
      </w:r>
      <w:r w:rsidR="00551967" w:rsidRPr="004532FB">
        <w:rPr>
          <w:lang w:val="en-GB"/>
        </w:rPr>
        <w:t xml:space="preserve"> full realization of </w:t>
      </w:r>
      <w:r w:rsidR="00F76330" w:rsidRPr="004532FB">
        <w:rPr>
          <w:lang w:val="en-GB"/>
        </w:rPr>
        <w:t>Viet Nam’s</w:t>
      </w:r>
      <w:r w:rsidR="00551967" w:rsidRPr="004532FB">
        <w:rPr>
          <w:lang w:val="en-GB"/>
        </w:rPr>
        <w:t xml:space="preserve"> development potentia</w:t>
      </w:r>
      <w:r w:rsidR="00F64F94" w:rsidRPr="004532FB">
        <w:rPr>
          <w:lang w:val="en-GB"/>
        </w:rPr>
        <w:t>l</w:t>
      </w:r>
      <w:r w:rsidR="00165853" w:rsidRPr="004532FB">
        <w:rPr>
          <w:lang w:val="en-GB"/>
        </w:rPr>
        <w:t xml:space="preserve"> and the S</w:t>
      </w:r>
      <w:r w:rsidR="00E072A7" w:rsidRPr="004532FB">
        <w:rPr>
          <w:lang w:val="en-GB"/>
        </w:rPr>
        <w:t xml:space="preserve">ustainable </w:t>
      </w:r>
      <w:r w:rsidR="00165853" w:rsidRPr="004532FB">
        <w:rPr>
          <w:lang w:val="en-GB"/>
        </w:rPr>
        <w:t>D</w:t>
      </w:r>
      <w:r w:rsidR="00E072A7" w:rsidRPr="004532FB">
        <w:rPr>
          <w:lang w:val="en-GB"/>
        </w:rPr>
        <w:t xml:space="preserve">evelopment </w:t>
      </w:r>
      <w:r w:rsidR="00165853" w:rsidRPr="004532FB">
        <w:rPr>
          <w:lang w:val="en-GB"/>
        </w:rPr>
        <w:t>G</w:t>
      </w:r>
      <w:r w:rsidR="00E072A7" w:rsidRPr="004532FB">
        <w:rPr>
          <w:lang w:val="en-GB"/>
        </w:rPr>
        <w:t>oal</w:t>
      </w:r>
      <w:r w:rsidR="00165853" w:rsidRPr="004532FB">
        <w:rPr>
          <w:lang w:val="en-GB"/>
        </w:rPr>
        <w:t>s.</w:t>
      </w:r>
      <w:r w:rsidR="00D04C40" w:rsidRPr="001E6342">
        <w:rPr>
          <w:lang w:val="en-GB"/>
        </w:rPr>
        <w:t xml:space="preserve"> While </w:t>
      </w:r>
      <w:r w:rsidR="000F23BA" w:rsidRPr="001E6342">
        <w:rPr>
          <w:lang w:val="en-GB"/>
        </w:rPr>
        <w:t>inequality</w:t>
      </w:r>
      <w:r w:rsidR="00DE1C5E">
        <w:rPr>
          <w:lang w:val="en-GB"/>
        </w:rPr>
        <w:t xml:space="preserve"> </w:t>
      </w:r>
      <w:r w:rsidR="00C2761F">
        <w:rPr>
          <w:lang w:val="en-GB"/>
        </w:rPr>
        <w:t>has not increased significantly in recent years</w:t>
      </w:r>
      <w:r w:rsidR="004532FB">
        <w:rPr>
          <w:lang w:val="en-GB"/>
        </w:rPr>
        <w:t>,</w:t>
      </w:r>
      <w:r w:rsidR="00A674DD">
        <w:rPr>
          <w:rStyle w:val="FootnoteReference"/>
          <w:lang w:val="en-GB"/>
        </w:rPr>
        <w:footnoteReference w:id="7"/>
      </w:r>
      <w:r w:rsidR="000F23BA" w:rsidRPr="001E6342">
        <w:rPr>
          <w:lang w:val="en-GB"/>
        </w:rPr>
        <w:t xml:space="preserve"> disparities </w:t>
      </w:r>
      <w:r w:rsidR="0001585A" w:rsidRPr="001E6342">
        <w:rPr>
          <w:lang w:val="en-GB"/>
        </w:rPr>
        <w:t>between</w:t>
      </w:r>
      <w:r w:rsidR="00DE1C5E">
        <w:rPr>
          <w:lang w:val="en-GB"/>
        </w:rPr>
        <w:t xml:space="preserve"> </w:t>
      </w:r>
      <w:r w:rsidR="006E5572" w:rsidRPr="001E6342">
        <w:rPr>
          <w:lang w:val="en-GB"/>
        </w:rPr>
        <w:t xml:space="preserve">population groups </w:t>
      </w:r>
      <w:r w:rsidR="00CA7142">
        <w:rPr>
          <w:lang w:val="en-GB"/>
        </w:rPr>
        <w:t>hinder t</w:t>
      </w:r>
      <w:r w:rsidR="001E6342">
        <w:rPr>
          <w:lang w:val="en-GB"/>
        </w:rPr>
        <w:t xml:space="preserve">he </w:t>
      </w:r>
      <w:r w:rsidR="004447A3" w:rsidRPr="001E6342">
        <w:rPr>
          <w:lang w:val="en-GB"/>
        </w:rPr>
        <w:t xml:space="preserve">achievement of </w:t>
      </w:r>
      <w:r w:rsidR="00D62F60">
        <w:rPr>
          <w:lang w:val="en-GB"/>
        </w:rPr>
        <w:t xml:space="preserve">Goals </w:t>
      </w:r>
      <w:r w:rsidR="00D62F60" w:rsidRPr="001E6342">
        <w:rPr>
          <w:lang w:val="en-GB"/>
        </w:rPr>
        <w:t>1</w:t>
      </w:r>
      <w:r w:rsidR="00691855">
        <w:rPr>
          <w:lang w:val="en-GB"/>
        </w:rPr>
        <w:t>, 5</w:t>
      </w:r>
      <w:r w:rsidR="004447A3" w:rsidRPr="001E6342">
        <w:rPr>
          <w:lang w:val="en-GB"/>
        </w:rPr>
        <w:t xml:space="preserve"> and 10. </w:t>
      </w:r>
      <w:r w:rsidR="007B4839" w:rsidRPr="001E6342">
        <w:rPr>
          <w:lang w:val="en-GB"/>
        </w:rPr>
        <w:t xml:space="preserve">Poverty </w:t>
      </w:r>
      <w:r w:rsidR="00CA7142">
        <w:rPr>
          <w:lang w:val="en-GB"/>
        </w:rPr>
        <w:t xml:space="preserve">among </w:t>
      </w:r>
      <w:r w:rsidR="003D69FB" w:rsidRPr="001E6342">
        <w:rPr>
          <w:lang w:val="en-GB"/>
        </w:rPr>
        <w:t>ethnic</w:t>
      </w:r>
      <w:r w:rsidR="00691855">
        <w:rPr>
          <w:lang w:val="en-GB"/>
        </w:rPr>
        <w:t xml:space="preserve"> </w:t>
      </w:r>
      <w:r w:rsidR="00014773" w:rsidRPr="001E6342">
        <w:rPr>
          <w:lang w:val="en-GB"/>
        </w:rPr>
        <w:t>minorities</w:t>
      </w:r>
      <w:r w:rsidR="00D93C94" w:rsidRPr="001E6342">
        <w:rPr>
          <w:lang w:val="en-GB"/>
        </w:rPr>
        <w:t>,</w:t>
      </w:r>
      <w:r w:rsidR="00691855">
        <w:rPr>
          <w:lang w:val="en-GB"/>
        </w:rPr>
        <w:t xml:space="preserve"> </w:t>
      </w:r>
      <w:r w:rsidR="00CA7142">
        <w:rPr>
          <w:lang w:val="en-GB"/>
        </w:rPr>
        <w:t xml:space="preserve">especially </w:t>
      </w:r>
      <w:r w:rsidR="00ED70C5" w:rsidRPr="001E6342">
        <w:rPr>
          <w:lang w:val="en-GB"/>
        </w:rPr>
        <w:t xml:space="preserve">in </w:t>
      </w:r>
      <w:r w:rsidR="00CA7142">
        <w:rPr>
          <w:lang w:val="en-GB"/>
        </w:rPr>
        <w:t xml:space="preserve">remote </w:t>
      </w:r>
      <w:r w:rsidR="007B4839" w:rsidRPr="001E6342">
        <w:rPr>
          <w:lang w:val="en-GB"/>
        </w:rPr>
        <w:t>areas</w:t>
      </w:r>
      <w:r w:rsidR="00D93C94" w:rsidRPr="001E6342">
        <w:rPr>
          <w:lang w:val="en-GB"/>
        </w:rPr>
        <w:t>,</w:t>
      </w:r>
      <w:r w:rsidR="003573E2" w:rsidRPr="001E6342">
        <w:rPr>
          <w:lang w:val="en-GB"/>
        </w:rPr>
        <w:t xml:space="preserve"> remain</w:t>
      </w:r>
      <w:r w:rsidR="00CA7142">
        <w:rPr>
          <w:lang w:val="en-GB"/>
        </w:rPr>
        <w:t>s</w:t>
      </w:r>
      <w:r w:rsidR="003573E2" w:rsidRPr="001E6342">
        <w:rPr>
          <w:lang w:val="en-GB"/>
        </w:rPr>
        <w:t xml:space="preserve"> </w:t>
      </w:r>
      <w:r w:rsidR="00257D72" w:rsidRPr="001E6342">
        <w:rPr>
          <w:lang w:val="en-GB"/>
        </w:rPr>
        <w:t>more than three times the national rate</w:t>
      </w:r>
      <w:r w:rsidR="00D62F60">
        <w:rPr>
          <w:lang w:val="en-GB"/>
        </w:rPr>
        <w:t>.</w:t>
      </w:r>
      <w:r w:rsidR="006E5572" w:rsidRPr="001E6342">
        <w:rPr>
          <w:rStyle w:val="FootnoteReference"/>
          <w:lang w:val="en-GB"/>
        </w:rPr>
        <w:footnoteReference w:id="8"/>
      </w:r>
      <w:r w:rsidR="003573E2" w:rsidRPr="001E6342">
        <w:rPr>
          <w:lang w:val="en-GB"/>
        </w:rPr>
        <w:t xml:space="preserve"> </w:t>
      </w:r>
      <w:r w:rsidR="00D62F60">
        <w:rPr>
          <w:lang w:val="en-GB"/>
        </w:rPr>
        <w:t>P</w:t>
      </w:r>
      <w:r w:rsidR="00C2761F">
        <w:rPr>
          <w:lang w:val="en-GB"/>
        </w:rPr>
        <w:t xml:space="preserve">rogress </w:t>
      </w:r>
      <w:r w:rsidR="00D62F60">
        <w:rPr>
          <w:lang w:val="en-GB"/>
        </w:rPr>
        <w:t xml:space="preserve">towards the Millennium Development Goals </w:t>
      </w:r>
      <w:r w:rsidR="00D93C94" w:rsidRPr="001E6342">
        <w:rPr>
          <w:lang w:val="en-GB"/>
        </w:rPr>
        <w:t>was also off</w:t>
      </w:r>
      <w:r w:rsidR="009B5B6E" w:rsidRPr="001E6342">
        <w:rPr>
          <w:lang w:val="en-GB"/>
        </w:rPr>
        <w:t>-</w:t>
      </w:r>
      <w:r w:rsidR="00D93C94" w:rsidRPr="001E6342">
        <w:rPr>
          <w:lang w:val="en-GB"/>
        </w:rPr>
        <w:t>track</w:t>
      </w:r>
      <w:r w:rsidR="008C4B3C" w:rsidRPr="001E6342">
        <w:rPr>
          <w:lang w:val="en-GB"/>
        </w:rPr>
        <w:t xml:space="preserve"> in these areas</w:t>
      </w:r>
      <w:r w:rsidR="00C2761F">
        <w:rPr>
          <w:lang w:val="en-GB"/>
        </w:rPr>
        <w:t>, lagging far behind</w:t>
      </w:r>
      <w:r w:rsidR="00691855">
        <w:rPr>
          <w:lang w:val="en-GB"/>
        </w:rPr>
        <w:t xml:space="preserve"> </w:t>
      </w:r>
      <w:r w:rsidR="00ED5C00" w:rsidRPr="001E6342">
        <w:rPr>
          <w:lang w:val="en-GB"/>
        </w:rPr>
        <w:t xml:space="preserve">national </w:t>
      </w:r>
      <w:r w:rsidR="00C2761F">
        <w:rPr>
          <w:lang w:val="en-GB"/>
        </w:rPr>
        <w:t>performance</w:t>
      </w:r>
      <w:r w:rsidR="00D93C94" w:rsidRPr="001E6342">
        <w:rPr>
          <w:lang w:val="en-GB"/>
        </w:rPr>
        <w:t>. Similar</w:t>
      </w:r>
      <w:r w:rsidR="00DE1C5E">
        <w:rPr>
          <w:lang w:val="en-GB"/>
        </w:rPr>
        <w:t xml:space="preserve"> </w:t>
      </w:r>
      <w:r w:rsidR="003573E2" w:rsidRPr="001E6342">
        <w:rPr>
          <w:lang w:val="en-GB"/>
        </w:rPr>
        <w:t>gaps</w:t>
      </w:r>
      <w:r w:rsidR="00DE1C5E">
        <w:rPr>
          <w:lang w:val="en-GB"/>
        </w:rPr>
        <w:t xml:space="preserve"> </w:t>
      </w:r>
      <w:r w:rsidR="00ED5C00" w:rsidRPr="001E6342">
        <w:rPr>
          <w:lang w:val="en-GB"/>
        </w:rPr>
        <w:t>are seen</w:t>
      </w:r>
      <w:r w:rsidR="00DE1C5E">
        <w:rPr>
          <w:lang w:val="en-GB"/>
        </w:rPr>
        <w:t xml:space="preserve"> </w:t>
      </w:r>
      <w:r w:rsidR="00C2761F">
        <w:rPr>
          <w:lang w:val="en-GB"/>
        </w:rPr>
        <w:t xml:space="preserve">in </w:t>
      </w:r>
      <w:r w:rsidR="003573E2" w:rsidRPr="00821FE6">
        <w:rPr>
          <w:lang w:val="en-GB"/>
        </w:rPr>
        <w:t>access to ke</w:t>
      </w:r>
      <w:r w:rsidR="00D93C94" w:rsidRPr="00821FE6">
        <w:rPr>
          <w:lang w:val="en-GB"/>
        </w:rPr>
        <w:t>y</w:t>
      </w:r>
      <w:r w:rsidR="00DE1C5E">
        <w:rPr>
          <w:lang w:val="en-GB"/>
        </w:rPr>
        <w:t xml:space="preserve"> </w:t>
      </w:r>
      <w:r w:rsidR="00D93C94" w:rsidRPr="00821FE6">
        <w:rPr>
          <w:lang w:val="en-GB"/>
        </w:rPr>
        <w:t>services</w:t>
      </w:r>
      <w:r w:rsidR="00ED5C00" w:rsidRPr="00821FE6">
        <w:rPr>
          <w:lang w:val="en-GB"/>
        </w:rPr>
        <w:t xml:space="preserve"> and non-income deprivations (</w:t>
      </w:r>
      <w:r w:rsidR="00C2761F">
        <w:rPr>
          <w:lang w:val="en-GB"/>
        </w:rPr>
        <w:t xml:space="preserve">multidimensional poverty </w:t>
      </w:r>
      <w:r w:rsidR="00164FD8" w:rsidRPr="00821FE6">
        <w:rPr>
          <w:lang w:val="en-GB"/>
        </w:rPr>
        <w:t xml:space="preserve">headcount of </w:t>
      </w:r>
      <w:r w:rsidR="00257D72" w:rsidRPr="00821FE6">
        <w:rPr>
          <w:lang w:val="en-GB"/>
        </w:rPr>
        <w:t>21.3</w:t>
      </w:r>
      <w:r w:rsidR="00D62F60">
        <w:rPr>
          <w:lang w:val="en-GB"/>
        </w:rPr>
        <w:t xml:space="preserve"> per cent</w:t>
      </w:r>
      <w:r w:rsidR="00D62F60" w:rsidRPr="00821FE6">
        <w:rPr>
          <w:lang w:val="en-GB"/>
        </w:rPr>
        <w:t xml:space="preserve"> </w:t>
      </w:r>
      <w:r w:rsidR="00257D72" w:rsidRPr="00821FE6">
        <w:rPr>
          <w:lang w:val="en-GB"/>
        </w:rPr>
        <w:t>versus 50.9</w:t>
      </w:r>
      <w:r w:rsidR="00D62F60">
        <w:rPr>
          <w:lang w:val="en-GB"/>
        </w:rPr>
        <w:t xml:space="preserve"> per cent</w:t>
      </w:r>
      <w:r w:rsidR="00D62F60" w:rsidRPr="00821FE6">
        <w:rPr>
          <w:lang w:val="en-GB"/>
        </w:rPr>
        <w:t xml:space="preserve"> </w:t>
      </w:r>
      <w:r w:rsidR="00ED5C00" w:rsidRPr="00821FE6">
        <w:rPr>
          <w:lang w:val="en-GB"/>
        </w:rPr>
        <w:t xml:space="preserve">for </w:t>
      </w:r>
      <w:r w:rsidR="001138F0" w:rsidRPr="00821FE6">
        <w:rPr>
          <w:lang w:val="en-GB"/>
        </w:rPr>
        <w:t xml:space="preserve">ethnic </w:t>
      </w:r>
      <w:r w:rsidR="00ED5C00" w:rsidRPr="00821FE6">
        <w:rPr>
          <w:lang w:val="en-GB"/>
        </w:rPr>
        <w:t>minorities)</w:t>
      </w:r>
      <w:r w:rsidR="00D62F60">
        <w:rPr>
          <w:lang w:val="en-GB"/>
        </w:rPr>
        <w:t>.</w:t>
      </w:r>
      <w:r w:rsidR="007E6E52" w:rsidRPr="00821FE6">
        <w:rPr>
          <w:rStyle w:val="FootnoteReference"/>
          <w:lang w:val="en-GB"/>
        </w:rPr>
        <w:footnoteReference w:id="9"/>
      </w:r>
      <w:r w:rsidR="00E072A7">
        <w:rPr>
          <w:lang w:val="en-GB"/>
        </w:rPr>
        <w:t xml:space="preserve"> </w:t>
      </w:r>
      <w:r w:rsidR="00C2761F">
        <w:rPr>
          <w:lang w:val="en-GB"/>
        </w:rPr>
        <w:t>S</w:t>
      </w:r>
      <w:r w:rsidR="00ED5C00" w:rsidRPr="00821FE6">
        <w:rPr>
          <w:lang w:val="en-GB"/>
        </w:rPr>
        <w:t xml:space="preserve">izeable </w:t>
      </w:r>
      <w:r w:rsidR="001138F0" w:rsidRPr="00821FE6">
        <w:rPr>
          <w:lang w:val="en-GB"/>
        </w:rPr>
        <w:t>regional</w:t>
      </w:r>
      <w:r w:rsidR="00ED5C00" w:rsidRPr="00821FE6">
        <w:rPr>
          <w:lang w:val="en-GB"/>
        </w:rPr>
        <w:t xml:space="preserve"> differences </w:t>
      </w:r>
      <w:r w:rsidR="00391803">
        <w:rPr>
          <w:lang w:val="en-GB"/>
        </w:rPr>
        <w:t>remain</w:t>
      </w:r>
      <w:r w:rsidR="00D62F60">
        <w:rPr>
          <w:lang w:val="en-GB"/>
        </w:rPr>
        <w:t xml:space="preserve">; </w:t>
      </w:r>
      <w:r w:rsidR="00391803">
        <w:rPr>
          <w:lang w:val="en-GB"/>
        </w:rPr>
        <w:t xml:space="preserve">the </w:t>
      </w:r>
      <w:r w:rsidR="001138F0" w:rsidRPr="00821FE6">
        <w:rPr>
          <w:lang w:val="en-GB"/>
        </w:rPr>
        <w:t>Mekong</w:t>
      </w:r>
      <w:r w:rsidR="00691855">
        <w:rPr>
          <w:lang w:val="en-GB"/>
        </w:rPr>
        <w:t xml:space="preserve"> </w:t>
      </w:r>
      <w:r w:rsidR="00ED70C5" w:rsidRPr="00821FE6">
        <w:rPr>
          <w:lang w:val="en-GB"/>
        </w:rPr>
        <w:t>R</w:t>
      </w:r>
      <w:r w:rsidR="009B5B6E" w:rsidRPr="00821FE6">
        <w:rPr>
          <w:lang w:val="en-GB"/>
        </w:rPr>
        <w:t xml:space="preserve">iver </w:t>
      </w:r>
      <w:r w:rsidR="00ED70C5" w:rsidRPr="00821FE6">
        <w:rPr>
          <w:lang w:val="en-GB"/>
        </w:rPr>
        <w:t>D</w:t>
      </w:r>
      <w:r w:rsidR="009B5B6E" w:rsidRPr="00821FE6">
        <w:rPr>
          <w:lang w:val="en-GB"/>
        </w:rPr>
        <w:t>elta</w:t>
      </w:r>
      <w:r w:rsidR="00ED5C00" w:rsidRPr="00821FE6">
        <w:rPr>
          <w:lang w:val="en-GB"/>
        </w:rPr>
        <w:t xml:space="preserve"> </w:t>
      </w:r>
      <w:r w:rsidR="00CA7142">
        <w:rPr>
          <w:lang w:val="en-GB"/>
        </w:rPr>
        <w:t xml:space="preserve">has the highest </w:t>
      </w:r>
      <w:r w:rsidR="009B5B6E" w:rsidRPr="00821FE6">
        <w:rPr>
          <w:lang w:val="en-GB"/>
        </w:rPr>
        <w:t xml:space="preserve">multidimensional poverty </w:t>
      </w:r>
      <w:r w:rsidR="001138F0" w:rsidRPr="00821FE6">
        <w:rPr>
          <w:lang w:val="en-GB"/>
        </w:rPr>
        <w:t xml:space="preserve">headcount of </w:t>
      </w:r>
      <w:r w:rsidR="00257D72" w:rsidRPr="00821FE6">
        <w:rPr>
          <w:lang w:val="en-GB"/>
        </w:rPr>
        <w:t>41</w:t>
      </w:r>
      <w:r w:rsidR="00DE702B" w:rsidRPr="00821FE6">
        <w:rPr>
          <w:lang w:val="en-GB"/>
        </w:rPr>
        <w:t>.6</w:t>
      </w:r>
      <w:r w:rsidR="00D62F60">
        <w:rPr>
          <w:lang w:val="en-GB"/>
        </w:rPr>
        <w:t xml:space="preserve"> per cent</w:t>
      </w:r>
      <w:r w:rsidR="00D62F60" w:rsidRPr="00821FE6">
        <w:rPr>
          <w:lang w:val="en-GB"/>
        </w:rPr>
        <w:t xml:space="preserve"> </w:t>
      </w:r>
      <w:r w:rsidR="00ED5C00" w:rsidRPr="00821FE6">
        <w:rPr>
          <w:lang w:val="en-GB"/>
        </w:rPr>
        <w:t>versu</w:t>
      </w:r>
      <w:r w:rsidR="001138F0" w:rsidRPr="00821FE6">
        <w:rPr>
          <w:lang w:val="en-GB"/>
        </w:rPr>
        <w:t>s</w:t>
      </w:r>
      <w:r w:rsidR="00821FE6">
        <w:rPr>
          <w:lang w:val="en-GB"/>
        </w:rPr>
        <w:t xml:space="preserve"> 5.7</w:t>
      </w:r>
      <w:r w:rsidR="00D62F60">
        <w:rPr>
          <w:lang w:val="en-GB"/>
        </w:rPr>
        <w:t xml:space="preserve"> per cent</w:t>
      </w:r>
      <w:r w:rsidR="00D62F60" w:rsidRPr="00821FE6">
        <w:rPr>
          <w:lang w:val="en-GB"/>
        </w:rPr>
        <w:t xml:space="preserve"> </w:t>
      </w:r>
      <w:r w:rsidR="00CA7142">
        <w:rPr>
          <w:lang w:val="en-GB"/>
        </w:rPr>
        <w:t xml:space="preserve">in </w:t>
      </w:r>
      <w:r w:rsidR="00ED5C00" w:rsidRPr="00821FE6">
        <w:rPr>
          <w:lang w:val="en-GB"/>
        </w:rPr>
        <w:t xml:space="preserve">the Red </w:t>
      </w:r>
      <w:r w:rsidR="00ED70C5" w:rsidRPr="00821FE6">
        <w:rPr>
          <w:lang w:val="en-GB"/>
        </w:rPr>
        <w:t>R</w:t>
      </w:r>
      <w:r w:rsidR="009B5B6E" w:rsidRPr="00821FE6">
        <w:rPr>
          <w:lang w:val="en-GB"/>
        </w:rPr>
        <w:t xml:space="preserve">iver </w:t>
      </w:r>
      <w:r w:rsidR="00ED70C5" w:rsidRPr="00821FE6">
        <w:rPr>
          <w:lang w:val="en-GB"/>
        </w:rPr>
        <w:t>D</w:t>
      </w:r>
      <w:r w:rsidR="009B5B6E" w:rsidRPr="00821FE6">
        <w:rPr>
          <w:lang w:val="en-GB"/>
        </w:rPr>
        <w:t>elta</w:t>
      </w:r>
      <w:r w:rsidR="00D93C94" w:rsidRPr="00821FE6">
        <w:rPr>
          <w:lang w:val="en-GB"/>
        </w:rPr>
        <w:t>.</w:t>
      </w:r>
      <w:r w:rsidR="00CA7142">
        <w:rPr>
          <w:lang w:val="en-GB"/>
        </w:rPr>
        <w:t xml:space="preserve"> </w:t>
      </w:r>
      <w:r w:rsidR="00014773" w:rsidRPr="00821FE6">
        <w:rPr>
          <w:lang w:val="en-GB"/>
        </w:rPr>
        <w:t xml:space="preserve">Gender </w:t>
      </w:r>
      <w:r w:rsidR="00F76330" w:rsidRPr="00821FE6">
        <w:rPr>
          <w:lang w:val="en-GB"/>
        </w:rPr>
        <w:t>disparities</w:t>
      </w:r>
      <w:r w:rsidR="00014773" w:rsidRPr="00821FE6">
        <w:rPr>
          <w:lang w:val="en-GB"/>
        </w:rPr>
        <w:t xml:space="preserve"> compound these </w:t>
      </w:r>
      <w:r w:rsidR="00ED5C00" w:rsidRPr="00821FE6">
        <w:rPr>
          <w:lang w:val="en-GB"/>
        </w:rPr>
        <w:t>differences</w:t>
      </w:r>
      <w:r w:rsidR="00391803">
        <w:rPr>
          <w:lang w:val="en-GB"/>
        </w:rPr>
        <w:t xml:space="preserve">; </w:t>
      </w:r>
      <w:r w:rsidR="00164FD8" w:rsidRPr="00821FE6">
        <w:rPr>
          <w:lang w:val="en-GB"/>
        </w:rPr>
        <w:t>wome</w:t>
      </w:r>
      <w:r w:rsidR="00014773" w:rsidRPr="00821FE6">
        <w:rPr>
          <w:lang w:val="en-GB"/>
        </w:rPr>
        <w:t xml:space="preserve">n </w:t>
      </w:r>
      <w:r w:rsidR="00391803">
        <w:rPr>
          <w:lang w:val="en-GB"/>
        </w:rPr>
        <w:t xml:space="preserve">have </w:t>
      </w:r>
      <w:r w:rsidR="005575FC" w:rsidRPr="001E6342">
        <w:rPr>
          <w:lang w:val="en-GB"/>
        </w:rPr>
        <w:t xml:space="preserve">lower </w:t>
      </w:r>
      <w:r w:rsidR="006E5572" w:rsidRPr="001E6342">
        <w:rPr>
          <w:lang w:val="en-GB"/>
        </w:rPr>
        <w:t>labour</w:t>
      </w:r>
      <w:r w:rsidR="005575FC" w:rsidRPr="001E6342">
        <w:rPr>
          <w:lang w:val="en-GB"/>
        </w:rPr>
        <w:t xml:space="preserve"> mar</w:t>
      </w:r>
      <w:r w:rsidR="006E5572" w:rsidRPr="001E6342">
        <w:rPr>
          <w:lang w:val="en-GB"/>
        </w:rPr>
        <w:t>k</w:t>
      </w:r>
      <w:r w:rsidR="005575FC" w:rsidRPr="001E6342">
        <w:rPr>
          <w:lang w:val="en-GB"/>
        </w:rPr>
        <w:t xml:space="preserve">et </w:t>
      </w:r>
      <w:r w:rsidR="008C4B3C" w:rsidRPr="001E6342">
        <w:rPr>
          <w:lang w:val="en-GB"/>
        </w:rPr>
        <w:t xml:space="preserve">participation rates </w:t>
      </w:r>
      <w:r w:rsidR="006E5572" w:rsidRPr="001E6342">
        <w:rPr>
          <w:lang w:val="en-GB"/>
        </w:rPr>
        <w:t>(73</w:t>
      </w:r>
      <w:r w:rsidR="00D62F60">
        <w:rPr>
          <w:lang w:val="en-GB"/>
        </w:rPr>
        <w:t xml:space="preserve"> </w:t>
      </w:r>
      <w:r w:rsidR="006E5572" w:rsidRPr="00821FE6">
        <w:rPr>
          <w:lang w:val="en-GB"/>
        </w:rPr>
        <w:t>versus</w:t>
      </w:r>
      <w:r w:rsidR="00AD45C8" w:rsidRPr="00821FE6">
        <w:rPr>
          <w:lang w:val="en-GB"/>
        </w:rPr>
        <w:t xml:space="preserve"> 82.2</w:t>
      </w:r>
      <w:r w:rsidR="00D62F60">
        <w:rPr>
          <w:lang w:val="en-GB"/>
        </w:rPr>
        <w:t xml:space="preserve"> per cent</w:t>
      </w:r>
      <w:r w:rsidR="00D62F60" w:rsidRPr="00821FE6">
        <w:rPr>
          <w:lang w:val="en-GB"/>
        </w:rPr>
        <w:t xml:space="preserve"> </w:t>
      </w:r>
      <w:r w:rsidR="008C4B3C" w:rsidRPr="00821FE6">
        <w:rPr>
          <w:lang w:val="en-GB"/>
        </w:rPr>
        <w:t>for men</w:t>
      </w:r>
      <w:r w:rsidR="00164FD8" w:rsidRPr="00821FE6">
        <w:rPr>
          <w:rStyle w:val="FootnoteReference"/>
          <w:lang w:val="en-GB"/>
        </w:rPr>
        <w:footnoteReference w:id="10"/>
      </w:r>
      <w:r w:rsidR="007A1203">
        <w:rPr>
          <w:lang w:val="en-GB"/>
        </w:rPr>
        <w:t>)</w:t>
      </w:r>
      <w:r w:rsidR="00CA7142">
        <w:rPr>
          <w:lang w:val="en-GB"/>
        </w:rPr>
        <w:t xml:space="preserve"> and their pay lags</w:t>
      </w:r>
      <w:r w:rsidR="00014773" w:rsidRPr="00821FE6">
        <w:rPr>
          <w:lang w:val="en-GB"/>
        </w:rPr>
        <w:t xml:space="preserve"> </w:t>
      </w:r>
      <w:r w:rsidR="00CA7142">
        <w:rPr>
          <w:lang w:val="en-GB"/>
        </w:rPr>
        <w:t xml:space="preserve">behind </w:t>
      </w:r>
      <w:r w:rsidR="00014773" w:rsidRPr="00821FE6">
        <w:rPr>
          <w:lang w:val="en-GB"/>
        </w:rPr>
        <w:t>men</w:t>
      </w:r>
      <w:r w:rsidR="00CA7142">
        <w:rPr>
          <w:lang w:val="en-GB"/>
        </w:rPr>
        <w:t>’s</w:t>
      </w:r>
      <w:r w:rsidR="00014773" w:rsidRPr="00821FE6">
        <w:rPr>
          <w:lang w:val="en-GB"/>
        </w:rPr>
        <w:t xml:space="preserve"> by </w:t>
      </w:r>
      <w:r w:rsidR="00222C44">
        <w:rPr>
          <w:lang w:val="en-GB"/>
        </w:rPr>
        <w:t>2</w:t>
      </w:r>
      <w:r w:rsidR="00014773" w:rsidRPr="00821FE6">
        <w:rPr>
          <w:lang w:val="en-GB"/>
        </w:rPr>
        <w:t>0</w:t>
      </w:r>
      <w:r w:rsidR="00D62F60">
        <w:rPr>
          <w:lang w:val="en-GB"/>
        </w:rPr>
        <w:t xml:space="preserve"> per cent</w:t>
      </w:r>
      <w:r w:rsidR="00014773" w:rsidRPr="00821FE6">
        <w:rPr>
          <w:lang w:val="en-GB"/>
        </w:rPr>
        <w:t>.</w:t>
      </w:r>
      <w:r w:rsidR="007E6E52" w:rsidRPr="00821FE6">
        <w:rPr>
          <w:rStyle w:val="FootnoteReference"/>
          <w:lang w:val="en-GB"/>
        </w:rPr>
        <w:footnoteReference w:id="11"/>
      </w:r>
      <w:r w:rsidR="00C17D4B">
        <w:rPr>
          <w:lang w:val="en-GB"/>
        </w:rPr>
        <w:t xml:space="preserve"> </w:t>
      </w:r>
    </w:p>
    <w:p w14:paraId="75B887EF" w14:textId="0A508F39" w:rsidR="00104879" w:rsidRPr="0095747A" w:rsidRDefault="002706B4" w:rsidP="00A9743B">
      <w:pPr>
        <w:pStyle w:val="ListParagraph"/>
        <w:numPr>
          <w:ilvl w:val="0"/>
          <w:numId w:val="2"/>
        </w:numPr>
        <w:tabs>
          <w:tab w:val="left" w:pos="1080"/>
        </w:tabs>
        <w:spacing w:after="120"/>
        <w:ind w:right="720" w:firstLine="0"/>
        <w:jc w:val="both"/>
        <w:rPr>
          <w:lang w:val="en-GB"/>
        </w:rPr>
      </w:pPr>
      <w:r>
        <w:rPr>
          <w:lang w:val="en-GB"/>
        </w:rPr>
        <w:lastRenderedPageBreak/>
        <w:t>V</w:t>
      </w:r>
      <w:r w:rsidR="00123AB0" w:rsidRPr="00821FE6">
        <w:rPr>
          <w:lang w:val="en-GB"/>
        </w:rPr>
        <w:t xml:space="preserve">ulnerability </w:t>
      </w:r>
      <w:r>
        <w:rPr>
          <w:lang w:val="en-GB"/>
        </w:rPr>
        <w:t>is not limited to the poor</w:t>
      </w:r>
      <w:r w:rsidR="00012C2D" w:rsidRPr="00821FE6">
        <w:rPr>
          <w:lang w:val="en-GB"/>
        </w:rPr>
        <w:t>.</w:t>
      </w:r>
      <w:r w:rsidR="00291331">
        <w:rPr>
          <w:lang w:val="en-GB"/>
        </w:rPr>
        <w:t xml:space="preserve"> </w:t>
      </w:r>
      <w:r>
        <w:rPr>
          <w:lang w:val="en-GB"/>
        </w:rPr>
        <w:t>Two</w:t>
      </w:r>
      <w:r w:rsidR="00D62F60">
        <w:rPr>
          <w:lang w:val="en-GB"/>
        </w:rPr>
        <w:t xml:space="preserve"> </w:t>
      </w:r>
      <w:r>
        <w:rPr>
          <w:lang w:val="en-GB"/>
        </w:rPr>
        <w:t>thirds</w:t>
      </w:r>
      <w:r>
        <w:rPr>
          <w:rStyle w:val="FootnoteReference"/>
          <w:lang w:val="en-GB"/>
        </w:rPr>
        <w:footnoteReference w:id="12"/>
      </w:r>
      <w:r w:rsidR="00123AB0" w:rsidRPr="001E6342">
        <w:rPr>
          <w:lang w:val="en-GB"/>
        </w:rPr>
        <w:t xml:space="preserve"> of the workforce </w:t>
      </w:r>
      <w:r w:rsidR="00DE702B" w:rsidRPr="001E6342">
        <w:rPr>
          <w:lang w:val="en-GB"/>
        </w:rPr>
        <w:t>remain</w:t>
      </w:r>
      <w:r w:rsidR="008C4B3C" w:rsidRPr="001E6342">
        <w:rPr>
          <w:lang w:val="en-GB"/>
        </w:rPr>
        <w:t xml:space="preserve"> in the informal</w:t>
      </w:r>
      <w:r w:rsidR="00DE1C5E">
        <w:rPr>
          <w:lang w:val="en-GB"/>
        </w:rPr>
        <w:t xml:space="preserve"> </w:t>
      </w:r>
      <w:r w:rsidR="00AD45C8" w:rsidRPr="001E6342">
        <w:rPr>
          <w:lang w:val="en-GB"/>
        </w:rPr>
        <w:t>sector</w:t>
      </w:r>
      <w:r w:rsidR="0095747A">
        <w:rPr>
          <w:lang w:val="en-GB"/>
        </w:rPr>
        <w:t xml:space="preserve"> and </w:t>
      </w:r>
      <w:r w:rsidR="006E5572" w:rsidRPr="001E6342">
        <w:rPr>
          <w:lang w:val="en-GB"/>
        </w:rPr>
        <w:t>only</w:t>
      </w:r>
      <w:r w:rsidR="00DE1C5E">
        <w:rPr>
          <w:lang w:val="en-GB"/>
        </w:rPr>
        <w:t xml:space="preserve"> </w:t>
      </w:r>
      <w:r w:rsidR="00CE18E1">
        <w:rPr>
          <w:lang w:val="en-GB"/>
        </w:rPr>
        <w:t>one</w:t>
      </w:r>
      <w:r w:rsidR="00CE18E1" w:rsidRPr="002706B4">
        <w:rPr>
          <w:lang w:val="en-GB"/>
        </w:rPr>
        <w:t xml:space="preserve"> </w:t>
      </w:r>
      <w:r w:rsidRPr="002706B4">
        <w:rPr>
          <w:lang w:val="en-GB"/>
        </w:rPr>
        <w:t>fifth</w:t>
      </w:r>
      <w:r>
        <w:rPr>
          <w:rStyle w:val="FootnoteReference"/>
          <w:lang w:val="en-GB"/>
        </w:rPr>
        <w:footnoteReference w:id="13"/>
      </w:r>
      <w:r w:rsidR="00CA7142">
        <w:rPr>
          <w:lang w:val="en-GB"/>
        </w:rPr>
        <w:t xml:space="preserve"> </w:t>
      </w:r>
      <w:r w:rsidR="00123AB0" w:rsidRPr="001E6342">
        <w:rPr>
          <w:lang w:val="en-GB"/>
        </w:rPr>
        <w:t xml:space="preserve">of </w:t>
      </w:r>
      <w:r w:rsidR="006E5572" w:rsidRPr="001E6342">
        <w:rPr>
          <w:lang w:val="en-GB"/>
        </w:rPr>
        <w:t xml:space="preserve">workers </w:t>
      </w:r>
      <w:r>
        <w:rPr>
          <w:lang w:val="en-GB"/>
        </w:rPr>
        <w:t xml:space="preserve">are covered by </w:t>
      </w:r>
      <w:r w:rsidR="00AD45C8" w:rsidRPr="001E6342">
        <w:rPr>
          <w:lang w:val="en-GB"/>
        </w:rPr>
        <w:t>social</w:t>
      </w:r>
      <w:r w:rsidR="00DE1C5E">
        <w:rPr>
          <w:lang w:val="en-GB"/>
        </w:rPr>
        <w:t xml:space="preserve"> </w:t>
      </w:r>
      <w:r w:rsidR="007E6E52" w:rsidRPr="001E6342">
        <w:rPr>
          <w:lang w:val="en-GB"/>
        </w:rPr>
        <w:t>insurance</w:t>
      </w:r>
      <w:r w:rsidR="0095747A">
        <w:rPr>
          <w:lang w:val="en-GB"/>
        </w:rPr>
        <w:t>. State-funded social assistance is limited to the poorest households</w:t>
      </w:r>
      <w:r w:rsidR="007E6E52" w:rsidRPr="001E6342">
        <w:rPr>
          <w:lang w:val="en-GB"/>
        </w:rPr>
        <w:t xml:space="preserve">. </w:t>
      </w:r>
      <w:r w:rsidR="0095747A">
        <w:rPr>
          <w:lang w:val="en-GB"/>
        </w:rPr>
        <w:t>This leaves a</w:t>
      </w:r>
      <w:r w:rsidR="0095747A" w:rsidRPr="001E6342">
        <w:rPr>
          <w:lang w:val="en-GB"/>
        </w:rPr>
        <w:t xml:space="preserve"> majority of the population</w:t>
      </w:r>
      <w:r w:rsidR="0095747A">
        <w:rPr>
          <w:lang w:val="en-GB"/>
        </w:rPr>
        <w:t xml:space="preserve">, especially </w:t>
      </w:r>
      <w:r w:rsidR="00D62F60">
        <w:rPr>
          <w:lang w:val="en-GB"/>
        </w:rPr>
        <w:t>lower-</w:t>
      </w:r>
      <w:r w:rsidR="0095747A">
        <w:rPr>
          <w:lang w:val="en-GB"/>
        </w:rPr>
        <w:t xml:space="preserve">middle-income groups, without </w:t>
      </w:r>
      <w:r w:rsidR="0095747A" w:rsidRPr="001E6342">
        <w:rPr>
          <w:lang w:val="en-GB"/>
        </w:rPr>
        <w:t>effective social</w:t>
      </w:r>
      <w:r w:rsidR="0095747A" w:rsidRPr="00821FE6">
        <w:rPr>
          <w:lang w:val="en-GB"/>
        </w:rPr>
        <w:t xml:space="preserve"> pro</w:t>
      </w:r>
      <w:r w:rsidR="0095747A">
        <w:rPr>
          <w:lang w:val="en-GB"/>
        </w:rPr>
        <w:t>tection</w:t>
      </w:r>
      <w:r w:rsidR="0095747A" w:rsidRPr="0095747A">
        <w:rPr>
          <w:lang w:val="en-GB"/>
        </w:rPr>
        <w:t>.</w:t>
      </w:r>
      <w:r w:rsidR="008353A3">
        <w:rPr>
          <w:lang w:val="en-GB"/>
        </w:rPr>
        <w:t xml:space="preserve"> </w:t>
      </w:r>
      <w:r w:rsidR="00222C44">
        <w:rPr>
          <w:lang w:val="en-GB"/>
        </w:rPr>
        <w:t>Household r</w:t>
      </w:r>
      <w:r w:rsidR="007E6E52" w:rsidRPr="0095747A">
        <w:rPr>
          <w:lang w:val="en-GB"/>
        </w:rPr>
        <w:t xml:space="preserve">esilience </w:t>
      </w:r>
      <w:r w:rsidR="008353A3">
        <w:rPr>
          <w:lang w:val="en-GB"/>
        </w:rPr>
        <w:t xml:space="preserve">to </w:t>
      </w:r>
      <w:r w:rsidR="00164FD8" w:rsidRPr="0095747A">
        <w:rPr>
          <w:lang w:val="en-GB"/>
        </w:rPr>
        <w:t xml:space="preserve">economic or environmental </w:t>
      </w:r>
      <w:r w:rsidR="008353A3">
        <w:rPr>
          <w:lang w:val="en-GB"/>
        </w:rPr>
        <w:t xml:space="preserve">shocks is low, and </w:t>
      </w:r>
      <w:r w:rsidR="007A3329">
        <w:rPr>
          <w:lang w:val="en-GB"/>
        </w:rPr>
        <w:t>current pattern</w:t>
      </w:r>
      <w:r w:rsidR="008353A3">
        <w:rPr>
          <w:lang w:val="en-GB"/>
        </w:rPr>
        <w:t>s</w:t>
      </w:r>
      <w:r w:rsidR="007A3329">
        <w:rPr>
          <w:lang w:val="en-GB"/>
        </w:rPr>
        <w:t xml:space="preserve"> of growth </w:t>
      </w:r>
      <w:r w:rsidR="008353A3">
        <w:rPr>
          <w:lang w:val="en-GB"/>
        </w:rPr>
        <w:t xml:space="preserve">might not </w:t>
      </w:r>
      <w:r w:rsidR="00AA417A" w:rsidRPr="0095747A">
        <w:rPr>
          <w:lang w:val="en-GB"/>
        </w:rPr>
        <w:t>produce</w:t>
      </w:r>
      <w:r w:rsidR="008353A3">
        <w:rPr>
          <w:lang w:val="en-GB"/>
        </w:rPr>
        <w:t xml:space="preserve"> </w:t>
      </w:r>
      <w:r w:rsidR="0099140B" w:rsidRPr="0095747A">
        <w:rPr>
          <w:lang w:val="en-GB"/>
        </w:rPr>
        <w:t xml:space="preserve">equitable </w:t>
      </w:r>
      <w:r w:rsidR="00AA417A" w:rsidRPr="0095747A">
        <w:rPr>
          <w:lang w:val="en-GB"/>
        </w:rPr>
        <w:t>outcomes. P</w:t>
      </w:r>
      <w:r w:rsidR="00F215EB" w:rsidRPr="0095747A">
        <w:rPr>
          <w:lang w:val="en-GB"/>
        </w:rPr>
        <w:t>olicy action</w:t>
      </w:r>
      <w:r w:rsidR="007A3329">
        <w:rPr>
          <w:lang w:val="en-GB"/>
        </w:rPr>
        <w:t>s</w:t>
      </w:r>
      <w:r w:rsidR="008353A3">
        <w:rPr>
          <w:lang w:val="en-GB"/>
        </w:rPr>
        <w:t xml:space="preserve"> </w:t>
      </w:r>
      <w:r w:rsidR="007A3329">
        <w:rPr>
          <w:lang w:val="en-GB"/>
        </w:rPr>
        <w:t xml:space="preserve">in line with </w:t>
      </w:r>
      <w:r w:rsidR="00D62F60">
        <w:rPr>
          <w:lang w:val="en-GB"/>
        </w:rPr>
        <w:t xml:space="preserve">Sustainable Development Goals </w:t>
      </w:r>
      <w:r w:rsidR="007A3329">
        <w:rPr>
          <w:lang w:val="en-GB"/>
        </w:rPr>
        <w:t xml:space="preserve">1 and 8 are </w:t>
      </w:r>
      <w:r w:rsidR="007E6E52" w:rsidRPr="0095747A">
        <w:rPr>
          <w:lang w:val="en-GB"/>
        </w:rPr>
        <w:t xml:space="preserve">required to promote </w:t>
      </w:r>
      <w:r w:rsidR="0099140B" w:rsidRPr="0095747A">
        <w:rPr>
          <w:lang w:val="en-GB"/>
        </w:rPr>
        <w:t>productive employment</w:t>
      </w:r>
      <w:r w:rsidR="007A3329">
        <w:rPr>
          <w:lang w:val="en-GB"/>
        </w:rPr>
        <w:t>,</w:t>
      </w:r>
      <w:r w:rsidR="008353A3">
        <w:rPr>
          <w:lang w:val="en-GB"/>
        </w:rPr>
        <w:t xml:space="preserve"> </w:t>
      </w:r>
      <w:r w:rsidR="007A3329">
        <w:rPr>
          <w:lang w:val="en-GB"/>
        </w:rPr>
        <w:t xml:space="preserve">adopt </w:t>
      </w:r>
      <w:r w:rsidR="0099140B" w:rsidRPr="0095747A">
        <w:rPr>
          <w:lang w:val="en-GB"/>
        </w:rPr>
        <w:t xml:space="preserve">new technology </w:t>
      </w:r>
      <w:r w:rsidR="007A3329">
        <w:rPr>
          <w:lang w:val="en-GB"/>
        </w:rPr>
        <w:t xml:space="preserve">and improve </w:t>
      </w:r>
      <w:r w:rsidR="0099140B" w:rsidRPr="0095747A">
        <w:rPr>
          <w:lang w:val="en-GB"/>
        </w:rPr>
        <w:t xml:space="preserve">social services and social protection for </w:t>
      </w:r>
      <w:r w:rsidR="00A0325B" w:rsidRPr="0095747A">
        <w:rPr>
          <w:lang w:val="en-GB"/>
        </w:rPr>
        <w:t xml:space="preserve">the poor and </w:t>
      </w:r>
      <w:r w:rsidR="007E6E52" w:rsidRPr="0095747A">
        <w:rPr>
          <w:lang w:val="en-GB"/>
        </w:rPr>
        <w:t>vulnerable</w:t>
      </w:r>
      <w:r w:rsidR="0099140B" w:rsidRPr="0095747A">
        <w:rPr>
          <w:lang w:val="en-GB"/>
        </w:rPr>
        <w:t xml:space="preserve">. </w:t>
      </w:r>
      <w:r w:rsidR="00D62F60">
        <w:rPr>
          <w:lang w:val="en-GB"/>
        </w:rPr>
        <w:t xml:space="preserve">There is untapped potential in </w:t>
      </w:r>
      <w:r w:rsidR="001B4A23">
        <w:rPr>
          <w:lang w:val="en-GB"/>
        </w:rPr>
        <w:t>t</w:t>
      </w:r>
      <w:r w:rsidR="008F7604" w:rsidRPr="0095747A">
        <w:rPr>
          <w:lang w:val="en-GB"/>
        </w:rPr>
        <w:t xml:space="preserve">he demographic dividend of Viet Nam’s young population, </w:t>
      </w:r>
      <w:r w:rsidR="00D62F60">
        <w:rPr>
          <w:lang w:val="en-GB"/>
        </w:rPr>
        <w:t xml:space="preserve">in </w:t>
      </w:r>
      <w:r w:rsidR="008F7604" w:rsidRPr="0095747A">
        <w:rPr>
          <w:lang w:val="en-GB"/>
        </w:rPr>
        <w:t>creating more space for public and private sector innovation and</w:t>
      </w:r>
      <w:r w:rsidR="00F46AE9" w:rsidRPr="0095747A">
        <w:rPr>
          <w:lang w:val="en-GB"/>
        </w:rPr>
        <w:t xml:space="preserve"> </w:t>
      </w:r>
      <w:r w:rsidR="00D62F60">
        <w:rPr>
          <w:lang w:val="en-GB"/>
        </w:rPr>
        <w:t xml:space="preserve">in </w:t>
      </w:r>
      <w:r w:rsidR="00F46AE9" w:rsidRPr="0095747A">
        <w:rPr>
          <w:lang w:val="en-GB"/>
        </w:rPr>
        <w:t xml:space="preserve">promoting </w:t>
      </w:r>
      <w:r w:rsidR="008F7604" w:rsidRPr="0095747A">
        <w:rPr>
          <w:lang w:val="en-GB"/>
        </w:rPr>
        <w:t>environmentally sustainable jobs</w:t>
      </w:r>
      <w:r w:rsidR="00012C2D" w:rsidRPr="0095747A">
        <w:rPr>
          <w:lang w:val="en-GB"/>
        </w:rPr>
        <w:t>.</w:t>
      </w:r>
    </w:p>
    <w:p w14:paraId="19325A33" w14:textId="2785EAB3" w:rsidR="00D35C1B" w:rsidRPr="005743E1" w:rsidRDefault="00D35C1B" w:rsidP="00A9743B">
      <w:pPr>
        <w:pStyle w:val="ListParagraph"/>
        <w:numPr>
          <w:ilvl w:val="0"/>
          <w:numId w:val="2"/>
        </w:numPr>
        <w:tabs>
          <w:tab w:val="left" w:pos="1080"/>
        </w:tabs>
        <w:spacing w:after="120"/>
        <w:ind w:right="720" w:firstLine="0"/>
        <w:jc w:val="both"/>
        <w:rPr>
          <w:lang w:val="en-GB"/>
        </w:rPr>
      </w:pPr>
      <w:r w:rsidRPr="001B4A23">
        <w:rPr>
          <w:lang w:val="en-GB"/>
        </w:rPr>
        <w:t xml:space="preserve">Viet Nam’s socioeconomic </w:t>
      </w:r>
      <w:r w:rsidR="00A8509D" w:rsidRPr="001B4A23">
        <w:rPr>
          <w:lang w:val="en-GB"/>
        </w:rPr>
        <w:t>model</w:t>
      </w:r>
      <w:r w:rsidR="008353A3" w:rsidRPr="001B4A23">
        <w:rPr>
          <w:lang w:val="en-GB"/>
        </w:rPr>
        <w:t xml:space="preserve"> </w:t>
      </w:r>
      <w:r w:rsidR="00A8509D" w:rsidRPr="001B4A23">
        <w:rPr>
          <w:lang w:val="en-GB"/>
        </w:rPr>
        <w:t xml:space="preserve">contributes to </w:t>
      </w:r>
      <w:r w:rsidRPr="001B4A23">
        <w:rPr>
          <w:lang w:val="en-GB"/>
        </w:rPr>
        <w:t xml:space="preserve">high </w:t>
      </w:r>
      <w:r w:rsidR="00A8509D" w:rsidRPr="001B4A23">
        <w:rPr>
          <w:lang w:val="en-GB"/>
        </w:rPr>
        <w:t xml:space="preserve">carbon </w:t>
      </w:r>
      <w:r w:rsidRPr="001B4A23">
        <w:rPr>
          <w:lang w:val="en-GB"/>
        </w:rPr>
        <w:t>emissions</w:t>
      </w:r>
      <w:r w:rsidR="00A8509D" w:rsidRPr="001B4A23">
        <w:rPr>
          <w:lang w:val="en-GB"/>
        </w:rPr>
        <w:t xml:space="preserve"> and</w:t>
      </w:r>
      <w:r w:rsidR="00DE1C5E" w:rsidRPr="001B4A23">
        <w:rPr>
          <w:lang w:val="en-GB"/>
        </w:rPr>
        <w:t xml:space="preserve"> </w:t>
      </w:r>
      <w:r w:rsidR="00A8509D" w:rsidRPr="001B4A23">
        <w:rPr>
          <w:lang w:val="en-GB"/>
        </w:rPr>
        <w:t>environmental degradation, while increasing disaster risks and undermining</w:t>
      </w:r>
      <w:r w:rsidRPr="001B4A23">
        <w:rPr>
          <w:lang w:val="en-GB"/>
        </w:rPr>
        <w:t xml:space="preserve"> opportunities for sustainable development</w:t>
      </w:r>
      <w:r w:rsidR="001B4A23">
        <w:rPr>
          <w:lang w:val="en-GB"/>
        </w:rPr>
        <w:t>.</w:t>
      </w:r>
      <w:r w:rsidR="001B4A23" w:rsidRPr="001B4A23">
        <w:rPr>
          <w:lang w:val="en-GB"/>
        </w:rPr>
        <w:t xml:space="preserve"> </w:t>
      </w:r>
      <w:r w:rsidR="00A8509D">
        <w:rPr>
          <w:lang w:val="en-GB"/>
        </w:rPr>
        <w:t xml:space="preserve">The country </w:t>
      </w:r>
      <w:r w:rsidRPr="001F621B">
        <w:rPr>
          <w:lang w:val="en-GB"/>
        </w:rPr>
        <w:t>is at a critical juncture where policy choices on infrastructure, energy, urbanization</w:t>
      </w:r>
      <w:r w:rsidR="001A2B81">
        <w:rPr>
          <w:lang w:val="en-GB"/>
        </w:rPr>
        <w:t>,</w:t>
      </w:r>
      <w:r w:rsidRPr="001F621B">
        <w:rPr>
          <w:lang w:val="en-GB"/>
        </w:rPr>
        <w:t xml:space="preserve"> production </w:t>
      </w:r>
      <w:r w:rsidR="001A2B81">
        <w:rPr>
          <w:lang w:val="en-GB"/>
        </w:rPr>
        <w:t xml:space="preserve">and consumption </w:t>
      </w:r>
      <w:r w:rsidRPr="001F621B">
        <w:rPr>
          <w:lang w:val="en-GB"/>
        </w:rPr>
        <w:t xml:space="preserve">will shape the success of its transition towards green, low-emission and climate-resilient development. </w:t>
      </w:r>
      <w:r w:rsidR="00A8509D">
        <w:rPr>
          <w:lang w:val="en-GB"/>
        </w:rPr>
        <w:t xml:space="preserve">The economy is heavily dependent </w:t>
      </w:r>
      <w:r w:rsidRPr="001F621B">
        <w:rPr>
          <w:lang w:val="en-GB"/>
        </w:rPr>
        <w:t xml:space="preserve">on fossil fuels. Viet Nam is among </w:t>
      </w:r>
      <w:r w:rsidR="001B4A23">
        <w:rPr>
          <w:lang w:val="en-GB"/>
        </w:rPr>
        <w:t>the</w:t>
      </w:r>
      <w:r w:rsidR="001B4A23" w:rsidRPr="001F621B">
        <w:rPr>
          <w:lang w:val="en-GB"/>
        </w:rPr>
        <w:t xml:space="preserve"> </w:t>
      </w:r>
      <w:r w:rsidRPr="001F621B">
        <w:rPr>
          <w:lang w:val="en-GB"/>
        </w:rPr>
        <w:t>countries mo</w:t>
      </w:r>
      <w:r w:rsidR="00A8509D">
        <w:rPr>
          <w:lang w:val="en-GB"/>
        </w:rPr>
        <w:t xml:space="preserve">st vulnerable to climate change and </w:t>
      </w:r>
      <w:r w:rsidRPr="001F621B">
        <w:rPr>
          <w:lang w:val="en-GB"/>
        </w:rPr>
        <w:t>weather-related loss</w:t>
      </w:r>
      <w:r w:rsidR="008353A3">
        <w:rPr>
          <w:lang w:val="en-GB"/>
        </w:rPr>
        <w:t>es</w:t>
      </w:r>
      <w:r w:rsidR="007A1203">
        <w:rPr>
          <w:lang w:val="en-GB"/>
        </w:rPr>
        <w:t>.</w:t>
      </w:r>
      <w:r w:rsidRPr="001F621B">
        <w:rPr>
          <w:vertAlign w:val="superscript"/>
          <w:lang w:val="en-GB"/>
        </w:rPr>
        <w:footnoteReference w:id="14"/>
      </w:r>
      <w:r w:rsidRPr="001F621B">
        <w:rPr>
          <w:lang w:val="en-GB"/>
        </w:rPr>
        <w:t xml:space="preserve"> </w:t>
      </w:r>
      <w:r w:rsidR="00106A26" w:rsidRPr="005740FA">
        <w:rPr>
          <w:lang w:val="en-GB"/>
        </w:rPr>
        <w:t xml:space="preserve">The Mekong River Delta is chronically </w:t>
      </w:r>
      <w:r w:rsidR="00106A26" w:rsidRPr="000A2CB0">
        <w:rPr>
          <w:lang w:val="en-GB"/>
        </w:rPr>
        <w:t xml:space="preserve">susceptible to climate-induced flooding, putting at </w:t>
      </w:r>
      <w:r w:rsidR="00106A26">
        <w:rPr>
          <w:lang w:val="en-GB"/>
        </w:rPr>
        <w:t xml:space="preserve">severe </w:t>
      </w:r>
      <w:r w:rsidR="00106A26" w:rsidRPr="000A2CB0">
        <w:rPr>
          <w:lang w:val="en-GB"/>
        </w:rPr>
        <w:t xml:space="preserve">risk millions of people, </w:t>
      </w:r>
      <w:r w:rsidR="00106A26">
        <w:rPr>
          <w:lang w:val="en-GB"/>
        </w:rPr>
        <w:t xml:space="preserve">critical </w:t>
      </w:r>
      <w:r w:rsidR="00106A26" w:rsidRPr="000A2CB0">
        <w:rPr>
          <w:lang w:val="en-GB"/>
        </w:rPr>
        <w:t xml:space="preserve">infrastructure and agricultural </w:t>
      </w:r>
      <w:r w:rsidR="00106A26">
        <w:rPr>
          <w:lang w:val="en-GB"/>
        </w:rPr>
        <w:t xml:space="preserve">production. </w:t>
      </w:r>
      <w:r w:rsidRPr="001F621B">
        <w:rPr>
          <w:lang w:val="en-GB"/>
        </w:rPr>
        <w:t xml:space="preserve">More frequent and intense </w:t>
      </w:r>
      <w:r w:rsidR="005743E1">
        <w:rPr>
          <w:lang w:val="en-GB"/>
        </w:rPr>
        <w:t xml:space="preserve">climate disruptions </w:t>
      </w:r>
      <w:r w:rsidRPr="001F621B">
        <w:rPr>
          <w:lang w:val="en-GB"/>
        </w:rPr>
        <w:t>already exact a heavy toll on economic and social development</w:t>
      </w:r>
      <w:r w:rsidR="005743E1">
        <w:rPr>
          <w:lang w:val="en-GB"/>
        </w:rPr>
        <w:t xml:space="preserve">. Disasters have caused </w:t>
      </w:r>
      <w:r w:rsidRPr="001F621B">
        <w:rPr>
          <w:lang w:val="en-GB"/>
        </w:rPr>
        <w:t xml:space="preserve">losses of </w:t>
      </w:r>
      <w:r w:rsidR="005743E1">
        <w:rPr>
          <w:lang w:val="en-GB"/>
        </w:rPr>
        <w:t xml:space="preserve">about </w:t>
      </w:r>
      <w:r w:rsidRPr="001F621B">
        <w:rPr>
          <w:lang w:val="en-GB"/>
        </w:rPr>
        <w:t>1.5</w:t>
      </w:r>
      <w:r w:rsidR="001B4A23">
        <w:rPr>
          <w:lang w:val="en-GB"/>
        </w:rPr>
        <w:t xml:space="preserve"> per cent</w:t>
      </w:r>
      <w:r w:rsidR="001B4A23" w:rsidRPr="001F621B">
        <w:rPr>
          <w:lang w:val="en-GB"/>
        </w:rPr>
        <w:t xml:space="preserve"> </w:t>
      </w:r>
      <w:r w:rsidRPr="001F621B">
        <w:rPr>
          <w:lang w:val="en-GB"/>
        </w:rPr>
        <w:t>of GD</w:t>
      </w:r>
      <w:r w:rsidR="005743E1">
        <w:rPr>
          <w:lang w:val="en-GB"/>
        </w:rPr>
        <w:t>P annually</w:t>
      </w:r>
      <w:r w:rsidRPr="001F621B">
        <w:rPr>
          <w:vertAlign w:val="superscript"/>
          <w:lang w:val="en-GB"/>
        </w:rPr>
        <w:footnoteReference w:id="15"/>
      </w:r>
      <w:r w:rsidR="005743E1">
        <w:rPr>
          <w:lang w:val="en-GB"/>
        </w:rPr>
        <w:t xml:space="preserve"> over the last three decades</w:t>
      </w:r>
      <w:r w:rsidRPr="001F621B">
        <w:rPr>
          <w:lang w:val="en-GB"/>
        </w:rPr>
        <w:t>.</w:t>
      </w:r>
      <w:r w:rsidR="008353A3">
        <w:rPr>
          <w:lang w:val="en-GB"/>
        </w:rPr>
        <w:t xml:space="preserve"> </w:t>
      </w:r>
      <w:r w:rsidR="008353A3">
        <w:t>W</w:t>
      </w:r>
      <w:r w:rsidR="00F710DF">
        <w:t xml:space="preserve">omen and girls </w:t>
      </w:r>
      <w:r w:rsidR="008353A3">
        <w:t xml:space="preserve">are </w:t>
      </w:r>
      <w:r w:rsidR="00F710DF">
        <w:t>more likely to be affected by the negative impacts of climate change and disasters</w:t>
      </w:r>
      <w:r w:rsidR="001B4A23">
        <w:t>.</w:t>
      </w:r>
      <w:r w:rsidR="00F710DF">
        <w:rPr>
          <w:rStyle w:val="FootnoteReference"/>
        </w:rPr>
        <w:footnoteReference w:id="16"/>
      </w:r>
      <w:r w:rsidR="00F710DF">
        <w:t xml:space="preserve"> </w:t>
      </w:r>
      <w:r w:rsidR="005743E1">
        <w:t xml:space="preserve">In urban settings, </w:t>
      </w:r>
      <w:r w:rsidR="008353A3">
        <w:rPr>
          <w:color w:val="000000" w:themeColor="text1"/>
          <w:lang w:val="en-GB"/>
        </w:rPr>
        <w:t>vulnerabilities</w:t>
      </w:r>
      <w:r w:rsidRPr="001F621B">
        <w:rPr>
          <w:color w:val="000000" w:themeColor="text1"/>
          <w:lang w:val="en-GB"/>
        </w:rPr>
        <w:t xml:space="preserve"> </w:t>
      </w:r>
      <w:r w:rsidR="008353A3">
        <w:rPr>
          <w:color w:val="000000" w:themeColor="text1"/>
          <w:lang w:val="en-GB"/>
        </w:rPr>
        <w:t xml:space="preserve">are </w:t>
      </w:r>
      <w:r w:rsidR="005743E1">
        <w:rPr>
          <w:color w:val="000000" w:themeColor="text1"/>
          <w:lang w:val="en-GB"/>
        </w:rPr>
        <w:t xml:space="preserve">exacerbated by poor </w:t>
      </w:r>
      <w:r w:rsidRPr="005743E1">
        <w:rPr>
          <w:color w:val="000000" w:themeColor="text1"/>
          <w:lang w:val="en-GB"/>
        </w:rPr>
        <w:t xml:space="preserve">investment in </w:t>
      </w:r>
      <w:r w:rsidR="008353A3">
        <w:rPr>
          <w:color w:val="000000" w:themeColor="text1"/>
          <w:lang w:val="en-GB"/>
        </w:rPr>
        <w:t>climate-</w:t>
      </w:r>
      <w:r w:rsidRPr="005743E1">
        <w:rPr>
          <w:color w:val="000000" w:themeColor="text1"/>
          <w:lang w:val="en-GB"/>
        </w:rPr>
        <w:t>resilient infrastructure</w:t>
      </w:r>
      <w:r w:rsidR="005743E1">
        <w:rPr>
          <w:color w:val="000000" w:themeColor="text1"/>
          <w:lang w:val="en-GB"/>
        </w:rPr>
        <w:t xml:space="preserve"> and insufficient</w:t>
      </w:r>
      <w:r w:rsidR="008353A3">
        <w:rPr>
          <w:color w:val="000000" w:themeColor="text1"/>
          <w:lang w:val="en-GB"/>
        </w:rPr>
        <w:t>ly</w:t>
      </w:r>
      <w:r w:rsidR="005743E1">
        <w:rPr>
          <w:color w:val="000000" w:themeColor="text1"/>
          <w:lang w:val="en-GB"/>
        </w:rPr>
        <w:t xml:space="preserve"> </w:t>
      </w:r>
      <w:r w:rsidRPr="005743E1">
        <w:rPr>
          <w:color w:val="000000" w:themeColor="text1"/>
          <w:lang w:val="en-GB"/>
        </w:rPr>
        <w:t>risk-informed spatial planning.</w:t>
      </w:r>
    </w:p>
    <w:p w14:paraId="1092C484" w14:textId="235C06A2" w:rsidR="00D35C1B" w:rsidRPr="003D0586" w:rsidRDefault="003D0586" w:rsidP="00A9743B">
      <w:pPr>
        <w:pStyle w:val="ListParagraph"/>
        <w:numPr>
          <w:ilvl w:val="0"/>
          <w:numId w:val="2"/>
        </w:numPr>
        <w:tabs>
          <w:tab w:val="left" w:pos="1080"/>
        </w:tabs>
        <w:spacing w:after="120"/>
        <w:ind w:right="720" w:firstLine="0"/>
        <w:jc w:val="both"/>
        <w:rPr>
          <w:lang w:val="en-GB"/>
        </w:rPr>
      </w:pPr>
      <w:r>
        <w:rPr>
          <w:lang w:val="en-GB"/>
        </w:rPr>
        <w:t>Without changes to its carbon</w:t>
      </w:r>
      <w:r w:rsidR="00D35C1B" w:rsidRPr="001F621B">
        <w:rPr>
          <w:lang w:val="en-GB"/>
        </w:rPr>
        <w:t xml:space="preserve">-intensive growth </w:t>
      </w:r>
      <w:r>
        <w:rPr>
          <w:lang w:val="en-GB"/>
        </w:rPr>
        <w:t>trajecto</w:t>
      </w:r>
      <w:r w:rsidRPr="003D0586">
        <w:rPr>
          <w:lang w:val="en-GB"/>
        </w:rPr>
        <w:t>ry</w:t>
      </w:r>
      <w:r w:rsidR="00D35C1B" w:rsidRPr="003D0586">
        <w:rPr>
          <w:lang w:val="en-GB"/>
        </w:rPr>
        <w:t xml:space="preserve">, Viet Nam </w:t>
      </w:r>
      <w:r>
        <w:rPr>
          <w:lang w:val="en-GB"/>
        </w:rPr>
        <w:t xml:space="preserve">will </w:t>
      </w:r>
      <w:r w:rsidR="00D35C1B" w:rsidRPr="003D0586">
        <w:rPr>
          <w:lang w:val="en-GB"/>
        </w:rPr>
        <w:t xml:space="preserve">become a major </w:t>
      </w:r>
      <w:r w:rsidR="00EC2F4F">
        <w:rPr>
          <w:lang w:val="en-GB"/>
        </w:rPr>
        <w:t xml:space="preserve">regional </w:t>
      </w:r>
      <w:r w:rsidR="00960CBD">
        <w:rPr>
          <w:lang w:val="en-GB"/>
        </w:rPr>
        <w:t>greenhouse gas</w:t>
      </w:r>
      <w:r w:rsidR="00D35C1B" w:rsidRPr="003D0586">
        <w:rPr>
          <w:lang w:val="en-GB"/>
        </w:rPr>
        <w:t xml:space="preserve"> emitter, with a projected fourfold increase</w:t>
      </w:r>
      <w:r w:rsidR="005743E1">
        <w:rPr>
          <w:rStyle w:val="FootnoteReference"/>
          <w:lang w:val="en-GB"/>
        </w:rPr>
        <w:footnoteReference w:id="17"/>
      </w:r>
      <w:r w:rsidR="003D5861">
        <w:rPr>
          <w:lang w:val="en-GB"/>
        </w:rPr>
        <w:t xml:space="preserve"> </w:t>
      </w:r>
      <w:r>
        <w:rPr>
          <w:lang w:val="en-GB"/>
        </w:rPr>
        <w:t xml:space="preserve">in </w:t>
      </w:r>
      <w:r w:rsidR="00D35C1B" w:rsidRPr="003D0586">
        <w:rPr>
          <w:lang w:val="en-GB"/>
        </w:rPr>
        <w:t>net emissions between 2010 and 2030</w:t>
      </w:r>
      <w:r w:rsidRPr="003D0586">
        <w:rPr>
          <w:lang w:val="en-GB"/>
        </w:rPr>
        <w:t xml:space="preserve">. </w:t>
      </w:r>
      <w:r>
        <w:rPr>
          <w:lang w:val="en-GB"/>
        </w:rPr>
        <w:t xml:space="preserve">This will jeopardize </w:t>
      </w:r>
      <w:r w:rsidR="001268E5" w:rsidRPr="003D0586">
        <w:rPr>
          <w:lang w:val="en-GB"/>
        </w:rPr>
        <w:t xml:space="preserve">its achievement of </w:t>
      </w:r>
      <w:r w:rsidR="001B4A23">
        <w:rPr>
          <w:lang w:val="en-GB"/>
        </w:rPr>
        <w:t>Sustainable Development Goal</w:t>
      </w:r>
      <w:r w:rsidR="001B4A23" w:rsidRPr="003D0586">
        <w:rPr>
          <w:lang w:val="en-GB"/>
        </w:rPr>
        <w:t xml:space="preserve"> </w:t>
      </w:r>
      <w:r w:rsidR="001268E5" w:rsidRPr="003D0586">
        <w:rPr>
          <w:lang w:val="en-GB"/>
        </w:rPr>
        <w:t xml:space="preserve">13 </w:t>
      </w:r>
      <w:r>
        <w:rPr>
          <w:lang w:val="en-GB"/>
        </w:rPr>
        <w:t xml:space="preserve">and contributions under the </w:t>
      </w:r>
      <w:r w:rsidR="001268E5" w:rsidRPr="003D0586">
        <w:rPr>
          <w:lang w:val="en-GB"/>
        </w:rPr>
        <w:t>Paris Agreement</w:t>
      </w:r>
      <w:r w:rsidR="00D35C1B" w:rsidRPr="003D0586">
        <w:rPr>
          <w:lang w:val="en-GB"/>
        </w:rPr>
        <w:t xml:space="preserve">. </w:t>
      </w:r>
      <w:r>
        <w:rPr>
          <w:lang w:val="en-GB"/>
        </w:rPr>
        <w:t xml:space="preserve">Environmental </w:t>
      </w:r>
      <w:r w:rsidR="00D35C1B" w:rsidRPr="003D0586">
        <w:rPr>
          <w:lang w:val="en-GB"/>
        </w:rPr>
        <w:t>degradation and pollution</w:t>
      </w:r>
      <w:r w:rsidR="00DE1C5E">
        <w:rPr>
          <w:lang w:val="en-GB"/>
        </w:rPr>
        <w:t xml:space="preserve"> </w:t>
      </w:r>
      <w:r w:rsidR="00D35C1B" w:rsidRPr="003D0586">
        <w:rPr>
          <w:lang w:val="en-GB"/>
        </w:rPr>
        <w:t xml:space="preserve">continue to </w:t>
      </w:r>
      <w:r w:rsidR="001268E5" w:rsidRPr="003D0586">
        <w:rPr>
          <w:lang w:val="en-GB"/>
        </w:rPr>
        <w:t>impact</w:t>
      </w:r>
      <w:r w:rsidR="00D35C1B" w:rsidRPr="003D0586">
        <w:rPr>
          <w:lang w:val="en-GB"/>
        </w:rPr>
        <w:t xml:space="preserve"> livelihood</w:t>
      </w:r>
      <w:r w:rsidR="001268E5" w:rsidRPr="003D0586">
        <w:rPr>
          <w:lang w:val="en-GB"/>
        </w:rPr>
        <w:t xml:space="preserve"> opportunities</w:t>
      </w:r>
      <w:r w:rsidR="00D35C1B" w:rsidRPr="003D0586">
        <w:rPr>
          <w:lang w:val="en-GB"/>
        </w:rPr>
        <w:t xml:space="preserve"> and </w:t>
      </w:r>
      <w:r w:rsidR="001268E5" w:rsidRPr="003D0586">
        <w:rPr>
          <w:lang w:val="en-GB"/>
        </w:rPr>
        <w:t xml:space="preserve">people’s </w:t>
      </w:r>
      <w:r w:rsidR="00D35C1B" w:rsidRPr="003D0586">
        <w:rPr>
          <w:lang w:val="en-GB"/>
        </w:rPr>
        <w:t>health</w:t>
      </w:r>
      <w:r>
        <w:rPr>
          <w:lang w:val="en-GB"/>
        </w:rPr>
        <w:t>. C</w:t>
      </w:r>
      <w:r w:rsidR="00D35C1B" w:rsidRPr="003D0586">
        <w:rPr>
          <w:lang w:val="en-GB"/>
        </w:rPr>
        <w:t xml:space="preserve">itizens are calling upon </w:t>
      </w:r>
      <w:r w:rsidR="001B4A23">
        <w:rPr>
          <w:lang w:val="en-GB"/>
        </w:rPr>
        <w:t xml:space="preserve">the </w:t>
      </w:r>
      <w:r w:rsidR="00D35C1B" w:rsidRPr="003D0586">
        <w:rPr>
          <w:lang w:val="en-GB"/>
        </w:rPr>
        <w:t xml:space="preserve">Government for more effective environmental protection and green investment to </w:t>
      </w:r>
      <w:r>
        <w:rPr>
          <w:lang w:val="en-GB"/>
        </w:rPr>
        <w:t xml:space="preserve">improve </w:t>
      </w:r>
      <w:r w:rsidR="001268E5" w:rsidRPr="003D0586">
        <w:rPr>
          <w:lang w:val="en-GB"/>
        </w:rPr>
        <w:t xml:space="preserve">their </w:t>
      </w:r>
      <w:r w:rsidR="00D35C1B" w:rsidRPr="003D0586">
        <w:rPr>
          <w:lang w:val="en-GB"/>
        </w:rPr>
        <w:t xml:space="preserve">quality of life. </w:t>
      </w:r>
      <w:r w:rsidR="00D35C1B" w:rsidRPr="003D0586">
        <w:rPr>
          <w:u w:color="0B4CB4"/>
          <w:lang w:val="en-GB" w:eastAsia="en-GB"/>
        </w:rPr>
        <w:t>Insufficient access to climate finance</w:t>
      </w:r>
      <w:r>
        <w:rPr>
          <w:u w:color="0B4CB4"/>
          <w:lang w:val="en-GB" w:eastAsia="en-GB"/>
        </w:rPr>
        <w:t xml:space="preserve"> and</w:t>
      </w:r>
      <w:r w:rsidR="00D35C1B" w:rsidRPr="003D0586">
        <w:rPr>
          <w:u w:color="0B4CB4"/>
          <w:lang w:val="en-GB" w:eastAsia="en-GB"/>
        </w:rPr>
        <w:t xml:space="preserve"> cleaner technology, coupled with weak integration of climate resilience and green growth into development planning, threaten to undermine Viet Nam’s </w:t>
      </w:r>
      <w:r>
        <w:rPr>
          <w:u w:color="0B4CB4"/>
          <w:lang w:val="en-GB" w:eastAsia="en-GB"/>
        </w:rPr>
        <w:t xml:space="preserve">socioeconomic </w:t>
      </w:r>
      <w:r w:rsidR="00D35C1B" w:rsidRPr="003D0586">
        <w:rPr>
          <w:u w:color="0B4CB4"/>
          <w:lang w:val="en-GB" w:eastAsia="en-GB"/>
        </w:rPr>
        <w:t xml:space="preserve">progress. </w:t>
      </w:r>
      <w:r w:rsidR="001B4A23">
        <w:rPr>
          <w:u w:color="0B4CB4"/>
          <w:lang w:val="en-GB" w:eastAsia="en-GB"/>
        </w:rPr>
        <w:t xml:space="preserve">The </w:t>
      </w:r>
      <w:r w:rsidR="001B4A23">
        <w:rPr>
          <w:lang w:val="en-GB"/>
        </w:rPr>
        <w:t xml:space="preserve">causes </w:t>
      </w:r>
      <w:r w:rsidR="003D5861">
        <w:rPr>
          <w:lang w:val="en-GB"/>
        </w:rPr>
        <w:t xml:space="preserve">include </w:t>
      </w:r>
      <w:r w:rsidR="001B4A23">
        <w:rPr>
          <w:lang w:val="en-GB"/>
        </w:rPr>
        <w:t xml:space="preserve">the </w:t>
      </w:r>
      <w:r w:rsidR="00EC2F4F">
        <w:rPr>
          <w:lang w:val="en-GB"/>
        </w:rPr>
        <w:t>undervalu</w:t>
      </w:r>
      <w:r w:rsidR="003D5861">
        <w:rPr>
          <w:lang w:val="en-GB"/>
        </w:rPr>
        <w:t>ed</w:t>
      </w:r>
      <w:r w:rsidR="00EC2F4F">
        <w:rPr>
          <w:lang w:val="en-GB"/>
        </w:rPr>
        <w:t xml:space="preserve"> </w:t>
      </w:r>
      <w:r w:rsidR="00D35C1B" w:rsidRPr="003D0586">
        <w:rPr>
          <w:lang w:val="en-GB"/>
        </w:rPr>
        <w:t>contribution of natural resources and environmental health to overall prosperity</w:t>
      </w:r>
      <w:r w:rsidR="003D5861">
        <w:rPr>
          <w:lang w:val="en-GB"/>
        </w:rPr>
        <w:t>,</w:t>
      </w:r>
      <w:r w:rsidR="00D35C1B" w:rsidRPr="003D0586">
        <w:rPr>
          <w:lang w:val="en-GB"/>
        </w:rPr>
        <w:t xml:space="preserve"> and </w:t>
      </w:r>
      <w:r w:rsidR="003D5861">
        <w:rPr>
          <w:lang w:val="en-GB"/>
        </w:rPr>
        <w:t xml:space="preserve">weak </w:t>
      </w:r>
      <w:r w:rsidR="003D5861" w:rsidRPr="003D0586">
        <w:rPr>
          <w:lang w:val="en-GB"/>
        </w:rPr>
        <w:t>legal</w:t>
      </w:r>
      <w:r w:rsidR="003D5861">
        <w:rPr>
          <w:lang w:val="en-GB"/>
        </w:rPr>
        <w:t xml:space="preserve"> </w:t>
      </w:r>
      <w:r w:rsidR="003D5861" w:rsidRPr="003D0586">
        <w:rPr>
          <w:lang w:val="en-GB"/>
        </w:rPr>
        <w:t>enforcement</w:t>
      </w:r>
      <w:r w:rsidR="003D5861">
        <w:rPr>
          <w:lang w:val="en-GB"/>
        </w:rPr>
        <w:t>,</w:t>
      </w:r>
      <w:r w:rsidR="003D5861" w:rsidRPr="003D0586">
        <w:rPr>
          <w:lang w:val="en-GB"/>
        </w:rPr>
        <w:t xml:space="preserve"> policy coordination</w:t>
      </w:r>
      <w:r w:rsidR="003D5861">
        <w:rPr>
          <w:lang w:val="en-GB"/>
        </w:rPr>
        <w:t xml:space="preserve"> and </w:t>
      </w:r>
      <w:r w:rsidR="00D35C1B" w:rsidRPr="003D0586">
        <w:rPr>
          <w:lang w:val="en-GB"/>
        </w:rPr>
        <w:t xml:space="preserve">public </w:t>
      </w:r>
      <w:r w:rsidR="00EC2F4F">
        <w:rPr>
          <w:lang w:val="en-GB"/>
        </w:rPr>
        <w:t xml:space="preserve">engagement </w:t>
      </w:r>
      <w:r w:rsidR="00D35C1B" w:rsidRPr="003D0586">
        <w:rPr>
          <w:lang w:val="en-GB"/>
        </w:rPr>
        <w:t xml:space="preserve">in policy </w:t>
      </w:r>
      <w:r w:rsidR="00EC2F4F">
        <w:rPr>
          <w:lang w:val="en-GB"/>
        </w:rPr>
        <w:t>processes</w:t>
      </w:r>
      <w:r w:rsidR="00D35C1B" w:rsidRPr="003D0586">
        <w:rPr>
          <w:lang w:val="en-GB"/>
        </w:rPr>
        <w:t>.</w:t>
      </w:r>
    </w:p>
    <w:p w14:paraId="64C9BBA0" w14:textId="57899F6E" w:rsidR="001A2B81" w:rsidRPr="0019235B" w:rsidRDefault="00074BAE" w:rsidP="00A9743B">
      <w:pPr>
        <w:pStyle w:val="ListParagraph"/>
        <w:numPr>
          <w:ilvl w:val="0"/>
          <w:numId w:val="2"/>
        </w:numPr>
        <w:tabs>
          <w:tab w:val="left" w:pos="1080"/>
        </w:tabs>
        <w:spacing w:after="120"/>
        <w:ind w:right="720" w:firstLine="0"/>
        <w:jc w:val="both"/>
        <w:rPr>
          <w:lang w:val="en-GB"/>
        </w:rPr>
      </w:pPr>
      <w:r w:rsidRPr="001B4A23">
        <w:rPr>
          <w:bCs/>
          <w:lang w:val="en-GB"/>
        </w:rPr>
        <w:t>Government systems and ins</w:t>
      </w:r>
      <w:r w:rsidR="00027B9A" w:rsidRPr="001B4A23">
        <w:rPr>
          <w:bCs/>
          <w:lang w:val="en-GB"/>
        </w:rPr>
        <w:t>titutions need to keep</w:t>
      </w:r>
      <w:r w:rsidRPr="001B4A23">
        <w:rPr>
          <w:bCs/>
          <w:lang w:val="en-GB"/>
        </w:rPr>
        <w:t xml:space="preserve"> pace with rising public expectations for voice, development, the </w:t>
      </w:r>
      <w:r w:rsidR="00DB7080" w:rsidRPr="001B4A23">
        <w:rPr>
          <w:bCs/>
          <w:lang w:val="en-GB"/>
        </w:rPr>
        <w:t xml:space="preserve">rule of law and </w:t>
      </w:r>
      <w:r w:rsidRPr="001B4A23">
        <w:rPr>
          <w:bCs/>
          <w:lang w:val="en-GB"/>
        </w:rPr>
        <w:t>accountability</w:t>
      </w:r>
      <w:r w:rsidR="001B4A23" w:rsidRPr="001B4A23">
        <w:rPr>
          <w:bCs/>
          <w:lang w:val="en-GB"/>
        </w:rPr>
        <w:t xml:space="preserve">. </w:t>
      </w:r>
      <w:r w:rsidR="000F772C" w:rsidRPr="0019235B">
        <w:rPr>
          <w:lang w:val="en-GB"/>
        </w:rPr>
        <w:t xml:space="preserve">Viet Nam’s economic development has not been </w:t>
      </w:r>
      <w:r w:rsidR="00794269" w:rsidRPr="0019235B">
        <w:rPr>
          <w:lang w:val="en-GB"/>
        </w:rPr>
        <w:t xml:space="preserve">fully </w:t>
      </w:r>
      <w:r w:rsidR="000F772C" w:rsidRPr="0019235B">
        <w:rPr>
          <w:lang w:val="en-GB"/>
        </w:rPr>
        <w:t xml:space="preserve">accompanied by improvements in governance performance, as evidenced by results </w:t>
      </w:r>
      <w:r w:rsidR="00DB7080" w:rsidRPr="0019235B">
        <w:rPr>
          <w:lang w:val="en-GB"/>
        </w:rPr>
        <w:t xml:space="preserve">of </w:t>
      </w:r>
      <w:r w:rsidR="000F772C" w:rsidRPr="0019235B">
        <w:rPr>
          <w:lang w:val="en-GB"/>
        </w:rPr>
        <w:t>the Viet Nam Provincial Governance and Public Administration Performance Index (PAPI) data over the period 2011-2015. To</w:t>
      </w:r>
      <w:r w:rsidR="00DB7080" w:rsidRPr="0019235B">
        <w:rPr>
          <w:lang w:val="en-GB"/>
        </w:rPr>
        <w:t xml:space="preserve"> address </w:t>
      </w:r>
      <w:r w:rsidR="000F772C" w:rsidRPr="0019235B">
        <w:rPr>
          <w:lang w:val="en-GB"/>
        </w:rPr>
        <w:t xml:space="preserve">people’s increasing expectations for responsive and effective governance, meaningful engagement in decision-making at all levels is becoming increasingly important. While </w:t>
      </w:r>
      <w:r w:rsidR="00027B9A" w:rsidRPr="0019235B">
        <w:rPr>
          <w:lang w:val="en-GB"/>
        </w:rPr>
        <w:t xml:space="preserve">more </w:t>
      </w:r>
      <w:r w:rsidR="00B3654D">
        <w:rPr>
          <w:lang w:val="en-GB"/>
        </w:rPr>
        <w:t>non-</w:t>
      </w:r>
      <w:r w:rsidR="007A1203">
        <w:rPr>
          <w:lang w:val="en-GB"/>
        </w:rPr>
        <w:t xml:space="preserve">state </w:t>
      </w:r>
      <w:r w:rsidR="00B3654D">
        <w:rPr>
          <w:lang w:val="en-GB"/>
        </w:rPr>
        <w:t xml:space="preserve">associations </w:t>
      </w:r>
      <w:r w:rsidR="00027B9A" w:rsidRPr="0019235B">
        <w:rPr>
          <w:lang w:val="en-GB"/>
        </w:rPr>
        <w:t>are contributing to national development,</w:t>
      </w:r>
      <w:r w:rsidR="000F772C" w:rsidRPr="0019235B">
        <w:rPr>
          <w:lang w:val="en-GB"/>
        </w:rPr>
        <w:t xml:space="preserve"> they operate without a</w:t>
      </w:r>
      <w:r w:rsidR="00616F0D" w:rsidRPr="0019235B">
        <w:rPr>
          <w:lang w:val="en-GB"/>
        </w:rPr>
        <w:t xml:space="preserve">n </w:t>
      </w:r>
      <w:r w:rsidR="00FB24C0">
        <w:rPr>
          <w:lang w:val="en-GB"/>
        </w:rPr>
        <w:t xml:space="preserve">effective </w:t>
      </w:r>
      <w:r w:rsidR="000F772C" w:rsidRPr="0019235B">
        <w:rPr>
          <w:lang w:val="en-GB"/>
        </w:rPr>
        <w:t xml:space="preserve">legal framework. Mechanisms for </w:t>
      </w:r>
      <w:r w:rsidR="00E50E6E" w:rsidRPr="0019235B">
        <w:rPr>
          <w:lang w:val="en-GB"/>
        </w:rPr>
        <w:t xml:space="preserve">participation </w:t>
      </w:r>
      <w:r w:rsidR="00FB24C0">
        <w:rPr>
          <w:lang w:val="en-GB"/>
        </w:rPr>
        <w:t>in policymaking</w:t>
      </w:r>
      <w:r w:rsidR="000F772C" w:rsidRPr="0019235B">
        <w:rPr>
          <w:lang w:val="en-GB"/>
        </w:rPr>
        <w:t xml:space="preserve"> – from prioritization to implementation and accountability – are limited</w:t>
      </w:r>
      <w:r w:rsidR="00E50E6E" w:rsidRPr="0019235B">
        <w:rPr>
          <w:lang w:val="en-GB"/>
        </w:rPr>
        <w:t xml:space="preserve">, especially </w:t>
      </w:r>
      <w:r w:rsidR="0019235B">
        <w:rPr>
          <w:lang w:val="en-GB"/>
        </w:rPr>
        <w:t xml:space="preserve">for </w:t>
      </w:r>
      <w:r w:rsidR="00E50E6E" w:rsidRPr="0019235B">
        <w:rPr>
          <w:lang w:val="en-GB"/>
        </w:rPr>
        <w:t>women, youth</w:t>
      </w:r>
      <w:r w:rsidR="0019235B" w:rsidRPr="0019235B">
        <w:rPr>
          <w:lang w:val="en-GB"/>
        </w:rPr>
        <w:t xml:space="preserve"> </w:t>
      </w:r>
      <w:r w:rsidR="00616F0D" w:rsidRPr="0019235B">
        <w:rPr>
          <w:lang w:val="en-GB"/>
        </w:rPr>
        <w:t xml:space="preserve">and </w:t>
      </w:r>
      <w:r w:rsidR="000F772C" w:rsidRPr="0019235B">
        <w:rPr>
          <w:lang w:val="en-GB"/>
        </w:rPr>
        <w:t xml:space="preserve">ethnic minorities. Women’s </w:t>
      </w:r>
      <w:r w:rsidR="00E50E6E" w:rsidRPr="0019235B">
        <w:rPr>
          <w:lang w:val="en-GB"/>
        </w:rPr>
        <w:t xml:space="preserve">representation in political leadership </w:t>
      </w:r>
      <w:r w:rsidR="000F772C" w:rsidRPr="0019235B">
        <w:rPr>
          <w:lang w:val="en-GB"/>
        </w:rPr>
        <w:t xml:space="preserve">is below </w:t>
      </w:r>
      <w:r w:rsidR="000F772C" w:rsidRPr="0019235B">
        <w:rPr>
          <w:lang w:val="en-GB"/>
        </w:rPr>
        <w:lastRenderedPageBreak/>
        <w:t>national targets</w:t>
      </w:r>
      <w:r w:rsidR="001E263E" w:rsidRPr="0019235B">
        <w:rPr>
          <w:lang w:val="en-GB"/>
        </w:rPr>
        <w:t>, e.g.</w:t>
      </w:r>
      <w:r w:rsidR="001B4A23">
        <w:rPr>
          <w:lang w:val="en-GB"/>
        </w:rPr>
        <w:t>,</w:t>
      </w:r>
      <w:r w:rsidR="000F772C" w:rsidRPr="0019235B">
        <w:rPr>
          <w:lang w:val="en-GB"/>
        </w:rPr>
        <w:t xml:space="preserve"> 24</w:t>
      </w:r>
      <w:r w:rsidR="001B4A23">
        <w:rPr>
          <w:lang w:val="en-GB"/>
        </w:rPr>
        <w:t xml:space="preserve"> per cent</w:t>
      </w:r>
      <w:r w:rsidR="001B4A23" w:rsidRPr="0019235B">
        <w:rPr>
          <w:lang w:val="en-GB"/>
        </w:rPr>
        <w:t xml:space="preserve"> </w:t>
      </w:r>
      <w:r w:rsidR="000F772C" w:rsidRPr="0019235B">
        <w:rPr>
          <w:lang w:val="en-GB"/>
        </w:rPr>
        <w:t xml:space="preserve">of National Assembly seats </w:t>
      </w:r>
      <w:r w:rsidR="001E263E" w:rsidRPr="0019235B">
        <w:rPr>
          <w:lang w:val="en-GB"/>
        </w:rPr>
        <w:t xml:space="preserve">are held by women </w:t>
      </w:r>
      <w:r w:rsidR="000F772C" w:rsidRPr="0019235B">
        <w:rPr>
          <w:lang w:val="en-GB"/>
        </w:rPr>
        <w:t>against the target of 35</w:t>
      </w:r>
      <w:r w:rsidR="001B4A23">
        <w:rPr>
          <w:lang w:val="en-GB"/>
        </w:rPr>
        <w:t xml:space="preserve"> per cent</w:t>
      </w:r>
      <w:r w:rsidR="001B4A23" w:rsidRPr="0019235B">
        <w:rPr>
          <w:lang w:val="en-GB"/>
        </w:rPr>
        <w:t xml:space="preserve"> </w:t>
      </w:r>
      <w:r w:rsidR="000F772C" w:rsidRPr="0019235B">
        <w:rPr>
          <w:lang w:val="en-GB"/>
        </w:rPr>
        <w:t>in the National Gender Equality Strategy</w:t>
      </w:r>
      <w:r w:rsidR="001B4A23">
        <w:rPr>
          <w:lang w:val="en-GB"/>
        </w:rPr>
        <w:t>.</w:t>
      </w:r>
      <w:r w:rsidR="000F772C" w:rsidRPr="001F621B">
        <w:rPr>
          <w:rStyle w:val="FootnoteReference"/>
          <w:lang w:val="en-GB"/>
        </w:rPr>
        <w:footnoteReference w:id="18"/>
      </w:r>
      <w:r w:rsidR="000F772C" w:rsidRPr="0019235B">
        <w:rPr>
          <w:lang w:val="en-GB"/>
        </w:rPr>
        <w:t xml:space="preserve"> </w:t>
      </w:r>
    </w:p>
    <w:p w14:paraId="25ED305A" w14:textId="1763B732" w:rsidR="006F59E9" w:rsidRPr="0089106A" w:rsidRDefault="000F772C" w:rsidP="00A9743B">
      <w:pPr>
        <w:pStyle w:val="ListParagraph"/>
        <w:numPr>
          <w:ilvl w:val="0"/>
          <w:numId w:val="2"/>
        </w:numPr>
        <w:tabs>
          <w:tab w:val="left" w:pos="1080"/>
        </w:tabs>
        <w:spacing w:after="120"/>
        <w:ind w:right="720" w:firstLine="0"/>
        <w:jc w:val="both"/>
        <w:rPr>
          <w:lang w:val="en-GB"/>
        </w:rPr>
      </w:pPr>
      <w:r w:rsidRPr="0089106A">
        <w:rPr>
          <w:lang w:val="en-GB"/>
        </w:rPr>
        <w:t xml:space="preserve">While Viet Nam increasingly </w:t>
      </w:r>
      <w:r w:rsidR="001B4A23" w:rsidRPr="0089106A">
        <w:rPr>
          <w:lang w:val="en-GB"/>
        </w:rPr>
        <w:t xml:space="preserve">has </w:t>
      </w:r>
      <w:r w:rsidRPr="0089106A">
        <w:rPr>
          <w:lang w:val="en-GB"/>
        </w:rPr>
        <w:t xml:space="preserve">aligned its legal framework with international human rights norms, the 2014 </w:t>
      </w:r>
      <w:r w:rsidR="001B4A23">
        <w:rPr>
          <w:lang w:val="en-GB"/>
        </w:rPr>
        <w:t>u</w:t>
      </w:r>
      <w:r w:rsidR="001B4A23" w:rsidRPr="0089106A">
        <w:rPr>
          <w:lang w:val="en-GB"/>
        </w:rPr>
        <w:t xml:space="preserve">niversal </w:t>
      </w:r>
      <w:r w:rsidR="001B4A23">
        <w:rPr>
          <w:lang w:val="en-GB"/>
        </w:rPr>
        <w:t>p</w:t>
      </w:r>
      <w:r w:rsidR="001B4A23" w:rsidRPr="0089106A">
        <w:rPr>
          <w:lang w:val="en-GB"/>
        </w:rPr>
        <w:t xml:space="preserve">eriod </w:t>
      </w:r>
      <w:r w:rsidR="001B4A23">
        <w:rPr>
          <w:lang w:val="en-GB"/>
        </w:rPr>
        <w:t>r</w:t>
      </w:r>
      <w:r w:rsidR="001B4A23" w:rsidRPr="0089106A">
        <w:rPr>
          <w:lang w:val="en-GB"/>
        </w:rPr>
        <w:t xml:space="preserve">eview </w:t>
      </w:r>
      <w:r w:rsidRPr="0089106A">
        <w:rPr>
          <w:lang w:val="en-GB"/>
        </w:rPr>
        <w:t xml:space="preserve">showed gaps in meeting the agreed obligations under core conventions. </w:t>
      </w:r>
      <w:r w:rsidR="001E263E" w:rsidRPr="0089106A">
        <w:rPr>
          <w:lang w:val="en-GB"/>
        </w:rPr>
        <w:t xml:space="preserve">Fulfilment of human rights </w:t>
      </w:r>
      <w:r w:rsidRPr="0089106A">
        <w:rPr>
          <w:lang w:val="en-GB"/>
        </w:rPr>
        <w:t xml:space="preserve">is hindered by </w:t>
      </w:r>
      <w:r w:rsidR="00E2092E" w:rsidRPr="0089106A">
        <w:rPr>
          <w:lang w:val="en-GB"/>
        </w:rPr>
        <w:t xml:space="preserve">insufficient </w:t>
      </w:r>
      <w:r w:rsidRPr="0089106A">
        <w:rPr>
          <w:lang w:val="en-GB"/>
        </w:rPr>
        <w:t>policies</w:t>
      </w:r>
      <w:r w:rsidR="0089106A" w:rsidRPr="0089106A">
        <w:rPr>
          <w:lang w:val="en-GB"/>
        </w:rPr>
        <w:t>,</w:t>
      </w:r>
      <w:r w:rsidRPr="0089106A">
        <w:rPr>
          <w:lang w:val="en-GB"/>
        </w:rPr>
        <w:t xml:space="preserve"> ineffective implementation mechanisms</w:t>
      </w:r>
      <w:r w:rsidR="0089106A">
        <w:rPr>
          <w:lang w:val="en-GB"/>
        </w:rPr>
        <w:t xml:space="preserve"> and limited capacities</w:t>
      </w:r>
      <w:r w:rsidRPr="0089106A">
        <w:rPr>
          <w:lang w:val="en-GB"/>
        </w:rPr>
        <w:t>.</w:t>
      </w:r>
      <w:r w:rsidR="0089106A">
        <w:rPr>
          <w:lang w:val="en-GB"/>
        </w:rPr>
        <w:t xml:space="preserve"> </w:t>
      </w:r>
      <w:r w:rsidRPr="0089106A">
        <w:rPr>
          <w:lang w:val="en-GB"/>
        </w:rPr>
        <w:t>Corruption remains a key concern, highlighted in both national and international research. More than 40</w:t>
      </w:r>
      <w:r w:rsidR="001B4A23">
        <w:rPr>
          <w:lang w:val="en-GB"/>
        </w:rPr>
        <w:t xml:space="preserve"> per cent</w:t>
      </w:r>
      <w:r w:rsidR="001B4A23" w:rsidRPr="0089106A">
        <w:rPr>
          <w:lang w:val="en-GB"/>
        </w:rPr>
        <w:t xml:space="preserve"> </w:t>
      </w:r>
      <w:r w:rsidRPr="0089106A">
        <w:rPr>
          <w:lang w:val="en-GB"/>
        </w:rPr>
        <w:t xml:space="preserve">of citizens </w:t>
      </w:r>
      <w:r w:rsidR="001E263E" w:rsidRPr="0089106A">
        <w:rPr>
          <w:lang w:val="en-GB"/>
        </w:rPr>
        <w:t xml:space="preserve">surveyed </w:t>
      </w:r>
      <w:r w:rsidR="008F460E" w:rsidRPr="0089106A">
        <w:rPr>
          <w:lang w:val="en-GB"/>
        </w:rPr>
        <w:t xml:space="preserve">indicate </w:t>
      </w:r>
      <w:r w:rsidRPr="0089106A">
        <w:rPr>
          <w:lang w:val="en-GB"/>
        </w:rPr>
        <w:t xml:space="preserve">that </w:t>
      </w:r>
      <w:r w:rsidR="008F460E" w:rsidRPr="0089106A">
        <w:rPr>
          <w:lang w:val="en-GB"/>
        </w:rPr>
        <w:t xml:space="preserve">informal payments </w:t>
      </w:r>
      <w:r w:rsidRPr="0089106A">
        <w:rPr>
          <w:lang w:val="en-GB"/>
        </w:rPr>
        <w:t>are needed to obtain state employment or public health</w:t>
      </w:r>
      <w:r w:rsidR="001B4A23">
        <w:rPr>
          <w:lang w:val="en-GB"/>
        </w:rPr>
        <w:t>-</w:t>
      </w:r>
      <w:r w:rsidRPr="0089106A">
        <w:rPr>
          <w:lang w:val="en-GB"/>
        </w:rPr>
        <w:t>care services</w:t>
      </w:r>
      <w:r w:rsidR="009D3DFC">
        <w:rPr>
          <w:lang w:val="en-GB"/>
        </w:rPr>
        <w:t>.</w:t>
      </w:r>
      <w:r w:rsidRPr="001F621B">
        <w:rPr>
          <w:rStyle w:val="FootnoteReference"/>
          <w:lang w:val="en-GB"/>
        </w:rPr>
        <w:footnoteReference w:id="19"/>
      </w:r>
      <w:r w:rsidRPr="0089106A">
        <w:rPr>
          <w:lang w:val="en-GB"/>
        </w:rPr>
        <w:t xml:space="preserve"> Viet Nam ranks 112 of 168 countries in the </w:t>
      </w:r>
      <w:r w:rsidR="007A1203">
        <w:rPr>
          <w:lang w:val="en-GB"/>
        </w:rPr>
        <w:t xml:space="preserve">Transparency International </w:t>
      </w:r>
      <w:r w:rsidRPr="0089106A">
        <w:rPr>
          <w:lang w:val="en-GB"/>
        </w:rPr>
        <w:t>2015 Corruption Perception</w:t>
      </w:r>
      <w:r w:rsidR="00BE5157" w:rsidRPr="0089106A">
        <w:rPr>
          <w:lang w:val="en-GB"/>
        </w:rPr>
        <w:t>s</w:t>
      </w:r>
      <w:r w:rsidRPr="0089106A">
        <w:rPr>
          <w:lang w:val="en-GB"/>
        </w:rPr>
        <w:t xml:space="preserve"> Index and its score has not improved over the past four years</w:t>
      </w:r>
      <w:r w:rsidR="009D3DFC">
        <w:rPr>
          <w:lang w:val="en-GB"/>
        </w:rPr>
        <w:t>.</w:t>
      </w:r>
      <w:r w:rsidRPr="001F621B">
        <w:rPr>
          <w:rStyle w:val="FootnoteReference"/>
          <w:lang w:val="en-GB"/>
        </w:rPr>
        <w:footnoteReference w:id="20"/>
      </w:r>
      <w:r w:rsidR="00DC7222" w:rsidRPr="0089106A">
        <w:rPr>
          <w:lang w:val="en-GB"/>
        </w:rPr>
        <w:t xml:space="preserve"> M</w:t>
      </w:r>
      <w:r w:rsidRPr="0089106A">
        <w:rPr>
          <w:lang w:val="en-GB"/>
        </w:rPr>
        <w:t>echanisms for increasing transparency and accountability in planning, implementing and m</w:t>
      </w:r>
      <w:r w:rsidR="001E263E" w:rsidRPr="0089106A">
        <w:rPr>
          <w:lang w:val="en-GB"/>
        </w:rPr>
        <w:t>onitoring public expenditure</w:t>
      </w:r>
      <w:r w:rsidR="00DC7222" w:rsidRPr="0089106A">
        <w:rPr>
          <w:lang w:val="en-GB"/>
        </w:rPr>
        <w:t>s, as well as measures to mitigate sector-specific corruption risks</w:t>
      </w:r>
      <w:r w:rsidR="009D3DFC">
        <w:rPr>
          <w:lang w:val="en-GB"/>
        </w:rPr>
        <w:t>,</w:t>
      </w:r>
      <w:r w:rsidRPr="0089106A">
        <w:rPr>
          <w:lang w:val="en-GB"/>
        </w:rPr>
        <w:t xml:space="preserve"> are </w:t>
      </w:r>
      <w:r w:rsidR="00DC7222" w:rsidRPr="0089106A">
        <w:rPr>
          <w:lang w:val="en-GB"/>
        </w:rPr>
        <w:t>insufficient</w:t>
      </w:r>
      <w:r w:rsidR="001E263E" w:rsidRPr="0089106A">
        <w:rPr>
          <w:lang w:val="en-GB"/>
        </w:rPr>
        <w:t>.</w:t>
      </w:r>
    </w:p>
    <w:p w14:paraId="66022EFE" w14:textId="426A15ED" w:rsidR="006F59E9" w:rsidRPr="006F59E9" w:rsidRDefault="006F59E9" w:rsidP="00A9743B">
      <w:pPr>
        <w:pStyle w:val="ListParagraph"/>
        <w:numPr>
          <w:ilvl w:val="0"/>
          <w:numId w:val="2"/>
        </w:numPr>
        <w:tabs>
          <w:tab w:val="left" w:pos="1080"/>
        </w:tabs>
        <w:spacing w:after="120"/>
        <w:ind w:right="720" w:firstLine="0"/>
        <w:jc w:val="both"/>
        <w:rPr>
          <w:lang w:val="en-GB"/>
        </w:rPr>
      </w:pPr>
      <w:r w:rsidRPr="006F59E9">
        <w:rPr>
          <w:lang w:val="en-GB"/>
        </w:rPr>
        <w:t xml:space="preserve">UNDP enjoys trusted partnerships with </w:t>
      </w:r>
      <w:r w:rsidR="009D3DFC">
        <w:rPr>
          <w:lang w:val="en-GB"/>
        </w:rPr>
        <w:t xml:space="preserve">the </w:t>
      </w:r>
      <w:r w:rsidRPr="006F59E9">
        <w:rPr>
          <w:lang w:val="en-GB"/>
        </w:rPr>
        <w:t>Government, civil society</w:t>
      </w:r>
      <w:r w:rsidR="00B3654D">
        <w:rPr>
          <w:rStyle w:val="FootnoteReference"/>
          <w:lang w:val="en-GB"/>
        </w:rPr>
        <w:footnoteReference w:id="21"/>
      </w:r>
      <w:r w:rsidRPr="006F59E9">
        <w:rPr>
          <w:lang w:val="en-GB"/>
        </w:rPr>
        <w:t xml:space="preserve"> and other development actors, and has successfully implemented a policy advisory model with programmes geared </w:t>
      </w:r>
      <w:r>
        <w:rPr>
          <w:lang w:val="en-GB"/>
        </w:rPr>
        <w:t xml:space="preserve">towards </w:t>
      </w:r>
      <w:r w:rsidRPr="006F59E9">
        <w:rPr>
          <w:lang w:val="en-GB"/>
        </w:rPr>
        <w:t xml:space="preserve">upstream policy advice. The policy-oriented approach has allowed UNDP to remain relevant and responsive to the changing context of Viet Nam as a </w:t>
      </w:r>
      <w:r w:rsidR="009D3DFC">
        <w:rPr>
          <w:lang w:val="en-GB"/>
        </w:rPr>
        <w:t>middle-income country.</w:t>
      </w:r>
      <w:r>
        <w:rPr>
          <w:rStyle w:val="FootnoteReference"/>
          <w:lang w:val="en-GB"/>
        </w:rPr>
        <w:footnoteReference w:id="22"/>
      </w:r>
      <w:r w:rsidRPr="006F59E9">
        <w:rPr>
          <w:lang w:val="en-GB"/>
        </w:rPr>
        <w:t xml:space="preserve"> </w:t>
      </w:r>
      <w:r w:rsidR="007A1203">
        <w:rPr>
          <w:lang w:val="en-GB"/>
        </w:rPr>
        <w:t>I</w:t>
      </w:r>
      <w:r w:rsidRPr="006F59E9">
        <w:rPr>
          <w:lang w:val="en-GB"/>
        </w:rPr>
        <w:t>ts achievements during the previous country programme</w:t>
      </w:r>
      <w:r w:rsidR="007A1203">
        <w:rPr>
          <w:lang w:val="en-GB"/>
        </w:rPr>
        <w:t xml:space="preserve"> period include</w:t>
      </w:r>
      <w:r w:rsidR="007A1203" w:rsidRPr="006F59E9">
        <w:rPr>
          <w:lang w:val="en-GB"/>
        </w:rPr>
        <w:t xml:space="preserve"> help</w:t>
      </w:r>
      <w:r w:rsidR="007A1203">
        <w:rPr>
          <w:lang w:val="en-GB"/>
        </w:rPr>
        <w:t>ing</w:t>
      </w:r>
      <w:r w:rsidR="007A1203" w:rsidRPr="006F59E9">
        <w:rPr>
          <w:lang w:val="en-GB"/>
        </w:rPr>
        <w:t xml:space="preserve"> </w:t>
      </w:r>
      <w:r w:rsidR="009D3DFC">
        <w:rPr>
          <w:lang w:val="en-GB"/>
        </w:rPr>
        <w:t xml:space="preserve">to </w:t>
      </w:r>
      <w:r w:rsidRPr="006F59E9">
        <w:rPr>
          <w:lang w:val="en-GB"/>
        </w:rPr>
        <w:t xml:space="preserve">develop new approaches to tackling poverty by introducing multidimensional methods to complement income-based measures, resulting in better targeting of policies. </w:t>
      </w:r>
      <w:r w:rsidR="007A5366">
        <w:rPr>
          <w:lang w:val="en-GB"/>
        </w:rPr>
        <w:t xml:space="preserve">In 2015, </w:t>
      </w:r>
      <w:r w:rsidRPr="006F59E9">
        <w:rPr>
          <w:lang w:val="en-GB"/>
        </w:rPr>
        <w:t>UNDP supported the adoption of a</w:t>
      </w:r>
      <w:r w:rsidR="009D3DFC">
        <w:rPr>
          <w:lang w:val="en-GB"/>
        </w:rPr>
        <w:t xml:space="preserve"> Millennium Development Goal</w:t>
      </w:r>
      <w:r w:rsidRPr="006F59E9">
        <w:rPr>
          <w:lang w:val="en-GB"/>
        </w:rPr>
        <w:t xml:space="preserve"> Acceleration Plan </w:t>
      </w:r>
      <w:r w:rsidR="007A5366">
        <w:rPr>
          <w:lang w:val="en-GB"/>
        </w:rPr>
        <w:t xml:space="preserve">for </w:t>
      </w:r>
      <w:r w:rsidRPr="006F59E9">
        <w:rPr>
          <w:lang w:val="en-GB"/>
        </w:rPr>
        <w:t>ethnic minorities</w:t>
      </w:r>
      <w:r w:rsidR="007A5366">
        <w:rPr>
          <w:lang w:val="en-GB"/>
        </w:rPr>
        <w:t xml:space="preserve"> as an essential step towards realizing the </w:t>
      </w:r>
      <w:r w:rsidR="007A1203">
        <w:rPr>
          <w:lang w:val="en-GB"/>
        </w:rPr>
        <w:t xml:space="preserve">commitment of the </w:t>
      </w:r>
      <w:r w:rsidR="009D3DFC">
        <w:rPr>
          <w:lang w:val="en-GB"/>
        </w:rPr>
        <w:t xml:space="preserve">Sustainable Development Goals </w:t>
      </w:r>
      <w:r w:rsidR="007A5366">
        <w:rPr>
          <w:lang w:val="en-GB"/>
        </w:rPr>
        <w:t>to leave no one behind</w:t>
      </w:r>
      <w:r w:rsidRPr="006F59E9">
        <w:rPr>
          <w:lang w:val="en-GB"/>
        </w:rPr>
        <w:t>.</w:t>
      </w:r>
    </w:p>
    <w:p w14:paraId="28CA719A" w14:textId="737109BA" w:rsidR="00D26F04" w:rsidRPr="00AF3387" w:rsidRDefault="006F59E9" w:rsidP="00A9743B">
      <w:pPr>
        <w:pStyle w:val="ListParagraph"/>
        <w:numPr>
          <w:ilvl w:val="0"/>
          <w:numId w:val="2"/>
        </w:numPr>
        <w:tabs>
          <w:tab w:val="left" w:pos="1080"/>
        </w:tabs>
        <w:spacing w:after="120"/>
        <w:ind w:right="720" w:firstLine="0"/>
        <w:jc w:val="both"/>
        <w:rPr>
          <w:lang w:val="en-GB"/>
        </w:rPr>
      </w:pPr>
      <w:r w:rsidRPr="009D3DFC">
        <w:rPr>
          <w:lang w:val="en-GB"/>
        </w:rPr>
        <w:t xml:space="preserve">The </w:t>
      </w:r>
      <w:r w:rsidR="009D3DFC">
        <w:rPr>
          <w:lang w:val="en-GB"/>
        </w:rPr>
        <w:t>c</w:t>
      </w:r>
      <w:r w:rsidR="009D3DFC" w:rsidRPr="009D3DFC">
        <w:rPr>
          <w:lang w:val="en-GB"/>
        </w:rPr>
        <w:t xml:space="preserve">ountry </w:t>
      </w:r>
      <w:r w:rsidR="009D3DFC">
        <w:rPr>
          <w:lang w:val="en-GB"/>
        </w:rPr>
        <w:t>p</w:t>
      </w:r>
      <w:r w:rsidR="009D3DFC" w:rsidRPr="009D3DFC">
        <w:rPr>
          <w:lang w:val="en-GB"/>
        </w:rPr>
        <w:t xml:space="preserve">rogramme </w:t>
      </w:r>
      <w:r w:rsidR="00AF3387" w:rsidRPr="00AF3387">
        <w:rPr>
          <w:lang w:val="en-GB"/>
        </w:rPr>
        <w:t>is built</w:t>
      </w:r>
      <w:r w:rsidR="00AF3387">
        <w:rPr>
          <w:b/>
          <w:lang w:val="en-GB"/>
        </w:rPr>
        <w:t xml:space="preserve"> </w:t>
      </w:r>
      <w:r w:rsidR="00AF3387">
        <w:rPr>
          <w:lang w:val="en-GB"/>
        </w:rPr>
        <w:t xml:space="preserve">around </w:t>
      </w:r>
      <w:r w:rsidRPr="00AF3387">
        <w:rPr>
          <w:lang w:val="en-GB"/>
        </w:rPr>
        <w:t xml:space="preserve">an integrated </w:t>
      </w:r>
      <w:r w:rsidR="00AF3387">
        <w:rPr>
          <w:lang w:val="en-GB"/>
        </w:rPr>
        <w:t xml:space="preserve">and cross-thematic </w:t>
      </w:r>
      <w:r w:rsidRPr="00AF3387">
        <w:rPr>
          <w:lang w:val="en-GB"/>
        </w:rPr>
        <w:t xml:space="preserve">approach </w:t>
      </w:r>
      <w:r w:rsidR="00AF3387">
        <w:rPr>
          <w:lang w:val="en-GB"/>
        </w:rPr>
        <w:t>to advancing Viet Nam’s sustainable development agenda</w:t>
      </w:r>
      <w:r w:rsidRPr="00AF3387">
        <w:rPr>
          <w:lang w:val="en-GB"/>
        </w:rPr>
        <w:t xml:space="preserve">. </w:t>
      </w:r>
      <w:r w:rsidR="007A6560" w:rsidRPr="00AF3387">
        <w:rPr>
          <w:lang w:val="en-GB"/>
        </w:rPr>
        <w:t xml:space="preserve">The </w:t>
      </w:r>
      <w:r w:rsidR="00B83820" w:rsidRPr="00AF3387">
        <w:rPr>
          <w:lang w:val="en-GB"/>
        </w:rPr>
        <w:t>UNDP</w:t>
      </w:r>
      <w:r w:rsidR="00BE392B" w:rsidRPr="00AF3387">
        <w:rPr>
          <w:lang w:val="en-GB"/>
        </w:rPr>
        <w:t>-</w:t>
      </w:r>
      <w:r w:rsidR="00883865" w:rsidRPr="00AF3387">
        <w:rPr>
          <w:lang w:val="en-GB"/>
        </w:rPr>
        <w:t>Viet Nam</w:t>
      </w:r>
      <w:r w:rsidR="00AF3387">
        <w:rPr>
          <w:lang w:val="en-GB"/>
        </w:rPr>
        <w:t xml:space="preserve"> </w:t>
      </w:r>
      <w:r w:rsidR="007A6560" w:rsidRPr="00AF3387">
        <w:rPr>
          <w:lang w:val="en-GB"/>
        </w:rPr>
        <w:t xml:space="preserve">partnership </w:t>
      </w:r>
      <w:r w:rsidR="000D6933" w:rsidRPr="00AF3387">
        <w:rPr>
          <w:lang w:val="en-GB"/>
        </w:rPr>
        <w:t xml:space="preserve">in this programme cycle will set the stage for </w:t>
      </w:r>
      <w:r w:rsidR="00D26F04" w:rsidRPr="00AF3387">
        <w:rPr>
          <w:lang w:val="en-GB"/>
        </w:rPr>
        <w:t xml:space="preserve">nationalizing the </w:t>
      </w:r>
      <w:r w:rsidR="009D3DFC">
        <w:rPr>
          <w:lang w:val="en-GB"/>
        </w:rPr>
        <w:t>Sustainable Development Goals</w:t>
      </w:r>
      <w:r w:rsidR="000D6933" w:rsidRPr="00AF3387">
        <w:rPr>
          <w:lang w:val="en-GB"/>
        </w:rPr>
        <w:t xml:space="preserve">. </w:t>
      </w:r>
      <w:r w:rsidR="00BE392B" w:rsidRPr="00AF3387">
        <w:rPr>
          <w:lang w:val="en-GB"/>
        </w:rPr>
        <w:t>The country</w:t>
      </w:r>
      <w:r w:rsidR="000D6933" w:rsidRPr="00AF3387">
        <w:rPr>
          <w:lang w:val="en-GB"/>
        </w:rPr>
        <w:t xml:space="preserve">’s strong track record in localizing the </w:t>
      </w:r>
      <w:r w:rsidR="009D3DFC">
        <w:rPr>
          <w:lang w:val="en-GB"/>
        </w:rPr>
        <w:t>Millennium Development Goals</w:t>
      </w:r>
      <w:r w:rsidR="000D6933" w:rsidRPr="00AF3387">
        <w:rPr>
          <w:lang w:val="en-GB"/>
        </w:rPr>
        <w:t xml:space="preserve">, </w:t>
      </w:r>
      <w:r w:rsidR="00BE392B" w:rsidRPr="00AF3387">
        <w:rPr>
          <w:lang w:val="en-GB"/>
        </w:rPr>
        <w:t xml:space="preserve">growing engagement with </w:t>
      </w:r>
      <w:r w:rsidR="000D6933" w:rsidRPr="00AF3387">
        <w:rPr>
          <w:lang w:val="en-GB"/>
        </w:rPr>
        <w:t xml:space="preserve">international human rights </w:t>
      </w:r>
      <w:r w:rsidR="00BE392B" w:rsidRPr="00AF3387">
        <w:rPr>
          <w:lang w:val="en-GB"/>
        </w:rPr>
        <w:t>bodies</w:t>
      </w:r>
      <w:r w:rsidR="000D6933" w:rsidRPr="00AF3387">
        <w:rPr>
          <w:lang w:val="en-GB"/>
        </w:rPr>
        <w:t xml:space="preserve"> and resounding support for the 2030 Agenda</w:t>
      </w:r>
      <w:r w:rsidR="009D3DFC">
        <w:rPr>
          <w:lang w:val="en-GB"/>
        </w:rPr>
        <w:t xml:space="preserve"> for Sustainable Development</w:t>
      </w:r>
      <w:r w:rsidR="000D6933" w:rsidRPr="00AF3387">
        <w:rPr>
          <w:lang w:val="en-GB"/>
        </w:rPr>
        <w:t>, Paris Agreement and Sendai Framework</w:t>
      </w:r>
      <w:r w:rsidR="00BE392B" w:rsidRPr="00AF3387">
        <w:rPr>
          <w:lang w:val="en-GB"/>
        </w:rPr>
        <w:t>,</w:t>
      </w:r>
      <w:r w:rsidR="000D6933" w:rsidRPr="00AF3387">
        <w:rPr>
          <w:lang w:val="en-GB"/>
        </w:rPr>
        <w:t xml:space="preserve"> provide a</w:t>
      </w:r>
      <w:r w:rsidR="00BE392B" w:rsidRPr="00AF3387">
        <w:rPr>
          <w:lang w:val="en-GB"/>
        </w:rPr>
        <w:t xml:space="preserve"> unique opportunity to </w:t>
      </w:r>
      <w:r w:rsidR="00AF3387">
        <w:rPr>
          <w:lang w:val="en-GB"/>
        </w:rPr>
        <w:t xml:space="preserve">further </w:t>
      </w:r>
      <w:r w:rsidR="00BE392B" w:rsidRPr="00AF3387">
        <w:rPr>
          <w:lang w:val="en-GB"/>
        </w:rPr>
        <w:t xml:space="preserve">Viet Nam’s </w:t>
      </w:r>
      <w:r w:rsidR="00AF3387">
        <w:rPr>
          <w:lang w:val="en-GB"/>
        </w:rPr>
        <w:t xml:space="preserve">international </w:t>
      </w:r>
      <w:r w:rsidR="00BE392B" w:rsidRPr="00AF3387">
        <w:rPr>
          <w:lang w:val="en-GB"/>
        </w:rPr>
        <w:t>integration</w:t>
      </w:r>
      <w:r w:rsidR="00D26F04" w:rsidRPr="00AF3387">
        <w:rPr>
          <w:lang w:val="en-GB"/>
        </w:rPr>
        <w:t xml:space="preserve">. </w:t>
      </w:r>
      <w:r w:rsidR="007A6560" w:rsidRPr="00AF3387">
        <w:rPr>
          <w:lang w:val="en-GB"/>
        </w:rPr>
        <w:t xml:space="preserve">UNDP will </w:t>
      </w:r>
      <w:r w:rsidR="00C90117" w:rsidRPr="00AF3387">
        <w:rPr>
          <w:lang w:val="en-GB"/>
        </w:rPr>
        <w:t>facilitate this agenda by serving</w:t>
      </w:r>
      <w:r w:rsidR="00D26F04" w:rsidRPr="00AF3387">
        <w:rPr>
          <w:lang w:val="en-GB"/>
        </w:rPr>
        <w:t xml:space="preserve"> as </w:t>
      </w:r>
      <w:r w:rsidR="00BE392B" w:rsidRPr="00AF3387">
        <w:rPr>
          <w:lang w:val="en-GB"/>
        </w:rPr>
        <w:t xml:space="preserve">a </w:t>
      </w:r>
      <w:r w:rsidR="00D26F04" w:rsidRPr="00AF3387">
        <w:rPr>
          <w:lang w:val="en-GB"/>
        </w:rPr>
        <w:t>connector</w:t>
      </w:r>
      <w:r w:rsidR="00AF3387">
        <w:rPr>
          <w:lang w:val="en-GB"/>
        </w:rPr>
        <w:t xml:space="preserve"> </w:t>
      </w:r>
      <w:r w:rsidR="00D26F04" w:rsidRPr="00AF3387">
        <w:rPr>
          <w:lang w:val="en-GB"/>
        </w:rPr>
        <w:t xml:space="preserve">of </w:t>
      </w:r>
      <w:r w:rsidR="007A6560" w:rsidRPr="00AF3387">
        <w:rPr>
          <w:lang w:val="en-GB"/>
        </w:rPr>
        <w:t>national and international knowledge</w:t>
      </w:r>
      <w:r w:rsidR="00F60ACB" w:rsidRPr="00AF3387">
        <w:rPr>
          <w:lang w:val="en-GB"/>
        </w:rPr>
        <w:t xml:space="preserve"> and innovation</w:t>
      </w:r>
      <w:r w:rsidR="00BE392B" w:rsidRPr="00AF3387">
        <w:rPr>
          <w:lang w:val="en-GB"/>
        </w:rPr>
        <w:t>.</w:t>
      </w:r>
      <w:r w:rsidR="00C465DD">
        <w:rPr>
          <w:lang w:val="en-GB"/>
        </w:rPr>
        <w:t xml:space="preserve"> </w:t>
      </w:r>
    </w:p>
    <w:p w14:paraId="78654E5B" w14:textId="14BB59E0" w:rsidR="006F59E9" w:rsidRDefault="006F59E9" w:rsidP="00A9743B">
      <w:pPr>
        <w:pStyle w:val="ListParagraph"/>
        <w:numPr>
          <w:ilvl w:val="0"/>
          <w:numId w:val="2"/>
        </w:numPr>
        <w:tabs>
          <w:tab w:val="left" w:pos="1080"/>
        </w:tabs>
        <w:spacing w:after="120"/>
        <w:ind w:right="720" w:firstLine="0"/>
        <w:jc w:val="both"/>
        <w:rPr>
          <w:lang w:val="en-GB"/>
        </w:rPr>
      </w:pPr>
      <w:r w:rsidRPr="009D3DFC">
        <w:rPr>
          <w:color w:val="000000" w:themeColor="text1"/>
          <w:lang w:val="en-GB"/>
        </w:rPr>
        <w:t>UNDP will target</w:t>
      </w:r>
      <w:r>
        <w:rPr>
          <w:b/>
          <w:color w:val="000000" w:themeColor="text1"/>
          <w:lang w:val="en-GB"/>
        </w:rPr>
        <w:t xml:space="preserve"> </w:t>
      </w:r>
      <w:r w:rsidRPr="001A2B81">
        <w:rPr>
          <w:lang w:val="en-GB"/>
        </w:rPr>
        <w:t xml:space="preserve">its support </w:t>
      </w:r>
      <w:r>
        <w:rPr>
          <w:lang w:val="en-GB"/>
        </w:rPr>
        <w:t xml:space="preserve">to </w:t>
      </w:r>
      <w:r w:rsidRPr="009D3DFC">
        <w:rPr>
          <w:lang w:val="en-GB"/>
        </w:rPr>
        <w:t>the poor</w:t>
      </w:r>
      <w:r w:rsidRPr="001A2B81">
        <w:rPr>
          <w:lang w:val="en-GB"/>
        </w:rPr>
        <w:t xml:space="preserve">, defined by income and multidimensional deprivations; </w:t>
      </w:r>
      <w:r w:rsidRPr="009D3DFC">
        <w:rPr>
          <w:lang w:val="en-GB"/>
        </w:rPr>
        <w:t>the vulnerable</w:t>
      </w:r>
      <w:r w:rsidRPr="001A2B81">
        <w:rPr>
          <w:lang w:val="en-GB"/>
        </w:rPr>
        <w:t>, defined as groups exposed to climatic risks (primarily ethnic minorities living in isolated areas, dependent on ecosystems threatened by climate change)</w:t>
      </w:r>
      <w:r w:rsidR="007A1203">
        <w:rPr>
          <w:lang w:val="en-GB"/>
        </w:rPr>
        <w:t>;</w:t>
      </w:r>
      <w:r w:rsidRPr="001A2B81">
        <w:rPr>
          <w:lang w:val="en-GB"/>
        </w:rPr>
        <w:t xml:space="preserve"> and </w:t>
      </w:r>
      <w:r>
        <w:rPr>
          <w:lang w:val="en-GB"/>
        </w:rPr>
        <w:t xml:space="preserve">near-poor and lower middle-income groups at </w:t>
      </w:r>
      <w:r w:rsidRPr="001A2B81">
        <w:rPr>
          <w:lang w:val="en-GB"/>
        </w:rPr>
        <w:t xml:space="preserve">high risk of falling back into poverty (informal sector workers with limited social protection, especially women and urban migrants). These groups also </w:t>
      </w:r>
      <w:r>
        <w:rPr>
          <w:lang w:val="en-GB"/>
        </w:rPr>
        <w:t>experience</w:t>
      </w:r>
      <w:r w:rsidRPr="001A2B81">
        <w:rPr>
          <w:lang w:val="en-GB"/>
        </w:rPr>
        <w:t xml:space="preserve"> </w:t>
      </w:r>
      <w:r>
        <w:rPr>
          <w:lang w:val="en-GB"/>
        </w:rPr>
        <w:t xml:space="preserve">limited </w:t>
      </w:r>
      <w:r w:rsidRPr="001A2B81">
        <w:rPr>
          <w:lang w:val="en-GB"/>
        </w:rPr>
        <w:t xml:space="preserve">socio-political participation and lack access to quality legal services. Interventions to support the poor and vulnerable will be informed by provincial </w:t>
      </w:r>
      <w:r w:rsidR="009D3DFC">
        <w:rPr>
          <w:lang w:val="en-GB"/>
        </w:rPr>
        <w:t>Human Development Index</w:t>
      </w:r>
      <w:r w:rsidR="009D3DFC" w:rsidRPr="001A2B81">
        <w:rPr>
          <w:lang w:val="en-GB"/>
        </w:rPr>
        <w:t xml:space="preserve"> </w:t>
      </w:r>
      <w:r w:rsidRPr="001A2B81">
        <w:rPr>
          <w:lang w:val="en-GB"/>
        </w:rPr>
        <w:t>and M</w:t>
      </w:r>
      <w:r w:rsidR="00960CBD">
        <w:rPr>
          <w:lang w:val="en-GB"/>
        </w:rPr>
        <w:t xml:space="preserve">ultidimensional </w:t>
      </w:r>
      <w:r w:rsidRPr="001A2B81">
        <w:rPr>
          <w:lang w:val="en-GB"/>
        </w:rPr>
        <w:t>P</w:t>
      </w:r>
      <w:r w:rsidR="00960CBD">
        <w:rPr>
          <w:lang w:val="en-GB"/>
        </w:rPr>
        <w:t xml:space="preserve">overty </w:t>
      </w:r>
      <w:r w:rsidRPr="001A2B81">
        <w:rPr>
          <w:lang w:val="en-GB"/>
        </w:rPr>
        <w:t>I</w:t>
      </w:r>
      <w:r w:rsidR="00960CBD">
        <w:rPr>
          <w:lang w:val="en-GB"/>
        </w:rPr>
        <w:t xml:space="preserve">ndex </w:t>
      </w:r>
      <w:r w:rsidRPr="001A2B81">
        <w:rPr>
          <w:lang w:val="en-GB"/>
        </w:rPr>
        <w:t xml:space="preserve">metrics, as well as UNDP survey data gauging provincial governance, public administration and </w:t>
      </w:r>
      <w:r w:rsidR="009D3DFC">
        <w:rPr>
          <w:lang w:val="en-GB"/>
        </w:rPr>
        <w:t xml:space="preserve">the </w:t>
      </w:r>
      <w:r w:rsidRPr="001A2B81">
        <w:rPr>
          <w:lang w:val="en-GB"/>
        </w:rPr>
        <w:t>quality of justice services. UNDP will focus on enlarging space for civic participation and rights awareness, and empowering communities to shape the decisions that affect them.</w:t>
      </w:r>
    </w:p>
    <w:p w14:paraId="3E995339" w14:textId="16FFABF1" w:rsidR="006F59E9" w:rsidRPr="006F59E9" w:rsidRDefault="006F59E9" w:rsidP="00A9743B">
      <w:pPr>
        <w:pStyle w:val="ListParagraph"/>
        <w:numPr>
          <w:ilvl w:val="0"/>
          <w:numId w:val="2"/>
        </w:numPr>
        <w:tabs>
          <w:tab w:val="left" w:pos="1080"/>
        </w:tabs>
        <w:ind w:right="720" w:firstLine="0"/>
        <w:jc w:val="both"/>
        <w:rPr>
          <w:lang w:val="en-GB"/>
        </w:rPr>
      </w:pPr>
      <w:r>
        <w:rPr>
          <w:lang w:val="en-GB"/>
        </w:rPr>
        <w:t>The s</w:t>
      </w:r>
      <w:r w:rsidRPr="001A2B81">
        <w:rPr>
          <w:lang w:val="en-GB"/>
        </w:rPr>
        <w:t xml:space="preserve">ystematic use of </w:t>
      </w:r>
      <w:r>
        <w:rPr>
          <w:lang w:val="en-GB"/>
        </w:rPr>
        <w:t xml:space="preserve">citizens’ experiences </w:t>
      </w:r>
      <w:r w:rsidRPr="001A2B81">
        <w:rPr>
          <w:lang w:val="en-GB"/>
        </w:rPr>
        <w:t xml:space="preserve">as evidence for effective policy </w:t>
      </w:r>
      <w:r>
        <w:rPr>
          <w:lang w:val="en-GB"/>
        </w:rPr>
        <w:t xml:space="preserve">advocacy </w:t>
      </w:r>
      <w:r w:rsidRPr="001A2B81">
        <w:rPr>
          <w:lang w:val="en-GB"/>
        </w:rPr>
        <w:t xml:space="preserve">has allowed UNDP to develop the case for reform. </w:t>
      </w:r>
      <w:r>
        <w:rPr>
          <w:lang w:val="en-GB"/>
        </w:rPr>
        <w:t xml:space="preserve">This approach has influenced </w:t>
      </w:r>
      <w:r w:rsidRPr="001A2B81">
        <w:rPr>
          <w:lang w:val="en-GB"/>
        </w:rPr>
        <w:t>several UNDP policy reform initiatives, including citizen-centred surveys (e.g.</w:t>
      </w:r>
      <w:r w:rsidR="009D3DFC">
        <w:rPr>
          <w:lang w:val="en-GB"/>
        </w:rPr>
        <w:t>,</w:t>
      </w:r>
      <w:r w:rsidRPr="001A2B81">
        <w:rPr>
          <w:lang w:val="en-GB"/>
        </w:rPr>
        <w:t xml:space="preserve"> PAPI</w:t>
      </w:r>
      <w:r>
        <w:rPr>
          <w:lang w:val="en-GB"/>
        </w:rPr>
        <w:t xml:space="preserve"> and </w:t>
      </w:r>
      <w:r w:rsidR="004D17C8">
        <w:rPr>
          <w:lang w:val="en-GB"/>
        </w:rPr>
        <w:t xml:space="preserve">the </w:t>
      </w:r>
      <w:r>
        <w:rPr>
          <w:lang w:val="en-GB"/>
        </w:rPr>
        <w:t>Justice Index</w:t>
      </w:r>
      <w:r w:rsidRPr="001A2B81">
        <w:rPr>
          <w:lang w:val="en-GB"/>
        </w:rPr>
        <w:t>)</w:t>
      </w:r>
      <w:r>
        <w:rPr>
          <w:lang w:val="en-GB"/>
        </w:rPr>
        <w:t>,</w:t>
      </w:r>
      <w:r w:rsidRPr="001A2B81">
        <w:rPr>
          <w:lang w:val="en-GB"/>
        </w:rPr>
        <w:t xml:space="preserve"> and documented community feedback for policy change. </w:t>
      </w:r>
      <w:r>
        <w:rPr>
          <w:lang w:val="en-GB"/>
        </w:rPr>
        <w:t xml:space="preserve">Citizen feedback mechanisms </w:t>
      </w:r>
      <w:r w:rsidRPr="001A2B81">
        <w:rPr>
          <w:lang w:val="en-GB"/>
        </w:rPr>
        <w:t xml:space="preserve">will be applied </w:t>
      </w:r>
      <w:r>
        <w:rPr>
          <w:lang w:val="en-GB"/>
        </w:rPr>
        <w:t xml:space="preserve">across </w:t>
      </w:r>
      <w:r w:rsidRPr="001A2B81">
        <w:rPr>
          <w:lang w:val="en-GB"/>
        </w:rPr>
        <w:t xml:space="preserve">new programmes </w:t>
      </w:r>
      <w:r>
        <w:rPr>
          <w:lang w:val="en-GB"/>
        </w:rPr>
        <w:t>to provide decision</w:t>
      </w:r>
      <w:r w:rsidR="009D3DFC">
        <w:rPr>
          <w:lang w:val="en-GB"/>
        </w:rPr>
        <w:t xml:space="preserve"> </w:t>
      </w:r>
      <w:r w:rsidRPr="001A2B81">
        <w:rPr>
          <w:lang w:val="en-GB"/>
        </w:rPr>
        <w:t xml:space="preserve">makers with credible evidence to inform policy </w:t>
      </w:r>
      <w:r w:rsidRPr="001A2B81">
        <w:rPr>
          <w:lang w:val="en-GB"/>
        </w:rPr>
        <w:lastRenderedPageBreak/>
        <w:t xml:space="preserve">choices. </w:t>
      </w:r>
      <w:r w:rsidR="00C465DD">
        <w:rPr>
          <w:lang w:val="en-GB"/>
        </w:rPr>
        <w:t>In line with the recommendation</w:t>
      </w:r>
      <w:r w:rsidR="009D3DFC">
        <w:rPr>
          <w:lang w:val="en-GB"/>
        </w:rPr>
        <w:t xml:space="preserve"> of the 2015 assessment of development results</w:t>
      </w:r>
      <w:r w:rsidR="00596C8A">
        <w:rPr>
          <w:lang w:val="en-GB"/>
        </w:rPr>
        <w:t xml:space="preserve"> (ADR)</w:t>
      </w:r>
      <w:r w:rsidR="00C465DD">
        <w:rPr>
          <w:lang w:val="en-GB"/>
        </w:rPr>
        <w:t xml:space="preserve">, UNDP will focus on bringing different actors together to address institutional fragmentation and overlaps, and promote the role of civil society as an important partner in development. </w:t>
      </w:r>
      <w:r w:rsidRPr="001A2B81">
        <w:rPr>
          <w:lang w:val="en-GB"/>
        </w:rPr>
        <w:t>Gender analysis will be a</w:t>
      </w:r>
      <w:r>
        <w:rPr>
          <w:lang w:val="en-GB"/>
        </w:rPr>
        <w:t xml:space="preserve">n integral </w:t>
      </w:r>
      <w:r w:rsidRPr="001A2B81">
        <w:rPr>
          <w:lang w:val="en-GB"/>
        </w:rPr>
        <w:t xml:space="preserve">component of </w:t>
      </w:r>
      <w:r w:rsidR="00596C8A">
        <w:rPr>
          <w:lang w:val="en-GB"/>
        </w:rPr>
        <w:t>the country programme</w:t>
      </w:r>
      <w:r w:rsidRPr="001A2B81">
        <w:rPr>
          <w:lang w:val="en-GB"/>
        </w:rPr>
        <w:t xml:space="preserve">. The ADR noted that </w:t>
      </w:r>
      <w:r w:rsidR="00596C8A">
        <w:rPr>
          <w:lang w:val="en-GB"/>
        </w:rPr>
        <w:t xml:space="preserve">the overall </w:t>
      </w:r>
      <w:r w:rsidRPr="001A2B81">
        <w:rPr>
          <w:lang w:val="en-GB"/>
        </w:rPr>
        <w:t>UNDP contribution to gender equality and women’s empowerment should be increased, requiring a major shift in allocation of resources at all levels and across programmes in the new cycle.</w:t>
      </w:r>
    </w:p>
    <w:p w14:paraId="034C76BC" w14:textId="77777777" w:rsidR="006F59E9" w:rsidRPr="006F59E9" w:rsidRDefault="006F59E9" w:rsidP="00A9743B">
      <w:pPr>
        <w:tabs>
          <w:tab w:val="left" w:pos="1080"/>
        </w:tabs>
        <w:ind w:right="720"/>
        <w:rPr>
          <w:rFonts w:eastAsiaTheme="minorHAnsi"/>
          <w:lang w:val="en-GB"/>
        </w:rPr>
      </w:pPr>
    </w:p>
    <w:p w14:paraId="14E303EE" w14:textId="0C430F60" w:rsidR="007A6560" w:rsidRPr="001F621B" w:rsidRDefault="007A6560" w:rsidP="00A9743B">
      <w:pPr>
        <w:pStyle w:val="Heading2"/>
        <w:numPr>
          <w:ilvl w:val="0"/>
          <w:numId w:val="26"/>
        </w:numPr>
        <w:tabs>
          <w:tab w:val="left" w:pos="1080"/>
        </w:tabs>
        <w:ind w:left="720" w:right="720" w:hanging="540"/>
        <w:jc w:val="both"/>
        <w:rPr>
          <w:rFonts w:ascii="Times New Roman" w:eastAsiaTheme="minorHAnsi" w:hAnsi="Times New Roman"/>
          <w:sz w:val="24"/>
          <w:szCs w:val="22"/>
          <w:lang w:val="en-GB"/>
        </w:rPr>
      </w:pPr>
      <w:r w:rsidRPr="001F621B">
        <w:rPr>
          <w:rFonts w:ascii="Times New Roman" w:eastAsiaTheme="minorHAnsi" w:hAnsi="Times New Roman"/>
          <w:sz w:val="24"/>
          <w:szCs w:val="22"/>
          <w:lang w:val="en-GB"/>
        </w:rPr>
        <w:t xml:space="preserve">Programme </w:t>
      </w:r>
      <w:r w:rsidR="00B14310">
        <w:rPr>
          <w:rFonts w:ascii="Times New Roman" w:eastAsiaTheme="minorHAnsi" w:hAnsi="Times New Roman"/>
          <w:sz w:val="24"/>
          <w:szCs w:val="22"/>
          <w:lang w:val="en-GB"/>
        </w:rPr>
        <w:t>p</w:t>
      </w:r>
      <w:r w:rsidRPr="001F621B">
        <w:rPr>
          <w:rFonts w:ascii="Times New Roman" w:eastAsiaTheme="minorHAnsi" w:hAnsi="Times New Roman"/>
          <w:sz w:val="24"/>
          <w:szCs w:val="22"/>
          <w:lang w:val="en-GB"/>
        </w:rPr>
        <w:t xml:space="preserve">riorities and </w:t>
      </w:r>
      <w:r w:rsidR="00B14310">
        <w:rPr>
          <w:rFonts w:ascii="Times New Roman" w:eastAsiaTheme="minorHAnsi" w:hAnsi="Times New Roman"/>
          <w:sz w:val="24"/>
          <w:szCs w:val="22"/>
          <w:lang w:val="en-GB"/>
        </w:rPr>
        <w:t>p</w:t>
      </w:r>
      <w:r w:rsidRPr="001F621B">
        <w:rPr>
          <w:rFonts w:ascii="Times New Roman" w:eastAsiaTheme="minorHAnsi" w:hAnsi="Times New Roman"/>
          <w:sz w:val="24"/>
          <w:szCs w:val="22"/>
          <w:lang w:val="en-GB"/>
        </w:rPr>
        <w:t>artnerships</w:t>
      </w:r>
    </w:p>
    <w:p w14:paraId="641A8BDD" w14:textId="77777777" w:rsidR="007A6560" w:rsidRPr="001F621B" w:rsidRDefault="007A6560" w:rsidP="00A9743B">
      <w:pPr>
        <w:tabs>
          <w:tab w:val="left" w:pos="1080"/>
        </w:tabs>
        <w:ind w:left="720" w:right="720"/>
        <w:rPr>
          <w:lang w:val="en-GB"/>
        </w:rPr>
      </w:pPr>
    </w:p>
    <w:p w14:paraId="69748549" w14:textId="105CEBA2" w:rsidR="001A2B81" w:rsidRDefault="008F086C" w:rsidP="00A9743B">
      <w:pPr>
        <w:pStyle w:val="ListParagraph"/>
        <w:numPr>
          <w:ilvl w:val="0"/>
          <w:numId w:val="2"/>
        </w:numPr>
        <w:tabs>
          <w:tab w:val="left" w:pos="1080"/>
        </w:tabs>
        <w:spacing w:after="120"/>
        <w:ind w:right="720" w:firstLine="0"/>
        <w:jc w:val="both"/>
        <w:rPr>
          <w:lang w:val="en-GB"/>
        </w:rPr>
      </w:pPr>
      <w:r w:rsidRPr="001F621B">
        <w:rPr>
          <w:lang w:val="en-GB"/>
        </w:rPr>
        <w:t xml:space="preserve">The </w:t>
      </w:r>
      <w:r w:rsidR="00596C8A">
        <w:rPr>
          <w:lang w:val="en-GB"/>
        </w:rPr>
        <w:t>country programme</w:t>
      </w:r>
      <w:r w:rsidR="00596C8A" w:rsidRPr="001F621B">
        <w:rPr>
          <w:lang w:val="en-GB"/>
        </w:rPr>
        <w:t xml:space="preserve"> </w:t>
      </w:r>
      <w:r w:rsidR="00596C8A">
        <w:rPr>
          <w:lang w:val="en-GB"/>
        </w:rPr>
        <w:t>is</w:t>
      </w:r>
      <w:r w:rsidRPr="001F621B">
        <w:rPr>
          <w:lang w:val="en-GB"/>
        </w:rPr>
        <w:t xml:space="preserve"> </w:t>
      </w:r>
      <w:r w:rsidR="00B350CD">
        <w:rPr>
          <w:lang w:val="en-GB"/>
        </w:rPr>
        <w:t>aligned with the Government</w:t>
      </w:r>
      <w:r w:rsidR="00596C8A">
        <w:rPr>
          <w:lang w:val="en-GB"/>
        </w:rPr>
        <w:t>'s</w:t>
      </w:r>
      <w:r w:rsidR="00B350CD">
        <w:rPr>
          <w:lang w:val="en-GB"/>
        </w:rPr>
        <w:t xml:space="preserve"> SEDP 2016-2020 and contributes</w:t>
      </w:r>
      <w:r w:rsidRPr="001F621B">
        <w:rPr>
          <w:lang w:val="en-GB"/>
        </w:rPr>
        <w:t xml:space="preserve"> to the </w:t>
      </w:r>
      <w:r w:rsidR="00B350CD" w:rsidRPr="004240D0">
        <w:rPr>
          <w:lang w:val="en-GB"/>
        </w:rPr>
        <w:t>One U</w:t>
      </w:r>
      <w:r w:rsidR="00596C8A">
        <w:rPr>
          <w:lang w:val="en-GB"/>
        </w:rPr>
        <w:t xml:space="preserve">nited </w:t>
      </w:r>
      <w:r w:rsidR="00B350CD" w:rsidRPr="004240D0">
        <w:rPr>
          <w:lang w:val="en-GB"/>
        </w:rPr>
        <w:t>N</w:t>
      </w:r>
      <w:r w:rsidR="00596C8A">
        <w:rPr>
          <w:lang w:val="en-GB"/>
        </w:rPr>
        <w:t>ations</w:t>
      </w:r>
      <w:r w:rsidR="00B350CD" w:rsidRPr="004240D0">
        <w:rPr>
          <w:lang w:val="en-GB"/>
        </w:rPr>
        <w:t xml:space="preserve"> Strategic Plan</w:t>
      </w:r>
      <w:r w:rsidR="00596C8A">
        <w:rPr>
          <w:lang w:val="en-GB"/>
        </w:rPr>
        <w:t>,</w:t>
      </w:r>
      <w:r w:rsidR="00B350CD" w:rsidRPr="004240D0">
        <w:rPr>
          <w:lang w:val="en-GB"/>
        </w:rPr>
        <w:t xml:space="preserve"> </w:t>
      </w:r>
      <w:r w:rsidRPr="001F621B">
        <w:rPr>
          <w:lang w:val="en-GB"/>
        </w:rPr>
        <w:t xml:space="preserve">2017-2021. </w:t>
      </w:r>
      <w:r w:rsidR="00D30D3B">
        <w:rPr>
          <w:lang w:val="en-GB"/>
        </w:rPr>
        <w:t xml:space="preserve">It </w:t>
      </w:r>
      <w:r w:rsidRPr="001F621B">
        <w:rPr>
          <w:lang w:val="en-GB"/>
        </w:rPr>
        <w:t xml:space="preserve">recognizes </w:t>
      </w:r>
      <w:r w:rsidR="00596C8A">
        <w:rPr>
          <w:lang w:val="en-GB"/>
        </w:rPr>
        <w:t xml:space="preserve">the changing role of the United Nations system </w:t>
      </w:r>
      <w:r w:rsidRPr="001F621B">
        <w:rPr>
          <w:lang w:val="en-GB"/>
        </w:rPr>
        <w:t xml:space="preserve">in Viet Nam’s </w:t>
      </w:r>
      <w:r w:rsidR="00596C8A">
        <w:rPr>
          <w:lang w:val="en-GB"/>
        </w:rPr>
        <w:t xml:space="preserve">middle-income </w:t>
      </w:r>
      <w:r w:rsidRPr="001F621B">
        <w:rPr>
          <w:lang w:val="en-GB"/>
        </w:rPr>
        <w:t>context</w:t>
      </w:r>
      <w:r w:rsidR="006D16BC">
        <w:rPr>
          <w:lang w:val="en-GB"/>
        </w:rPr>
        <w:t xml:space="preserve"> and reflects the evolving partnership landscape characterized by declining grant and concessional finance</w:t>
      </w:r>
      <w:r w:rsidRPr="001F621B">
        <w:rPr>
          <w:lang w:val="en-GB"/>
        </w:rPr>
        <w:t xml:space="preserve">. </w:t>
      </w:r>
      <w:r w:rsidR="00F92FCC" w:rsidRPr="001F621B">
        <w:rPr>
          <w:lang w:val="en-GB"/>
        </w:rPr>
        <w:t xml:space="preserve">UNDP will </w:t>
      </w:r>
      <w:r w:rsidR="00CE0F3C">
        <w:rPr>
          <w:lang w:val="en-GB"/>
        </w:rPr>
        <w:t xml:space="preserve">further develop its </w:t>
      </w:r>
      <w:r w:rsidR="00F92FCC" w:rsidRPr="001F621B">
        <w:rPr>
          <w:lang w:val="en-GB"/>
        </w:rPr>
        <w:t xml:space="preserve">partnership with </w:t>
      </w:r>
      <w:r w:rsidR="009306D8">
        <w:rPr>
          <w:lang w:val="en-GB"/>
        </w:rPr>
        <w:t xml:space="preserve">the </w:t>
      </w:r>
      <w:r w:rsidR="00F92FCC" w:rsidRPr="001F621B">
        <w:rPr>
          <w:lang w:val="en-GB"/>
        </w:rPr>
        <w:t>Government</w:t>
      </w:r>
      <w:r w:rsidR="00CE0F3C">
        <w:rPr>
          <w:lang w:val="en-GB"/>
        </w:rPr>
        <w:t xml:space="preserve"> to</w:t>
      </w:r>
      <w:r w:rsidR="00CE0F3C" w:rsidRPr="001F621B">
        <w:rPr>
          <w:lang w:val="en-GB"/>
        </w:rPr>
        <w:t xml:space="preserve"> </w:t>
      </w:r>
      <w:r w:rsidR="00B350CD">
        <w:rPr>
          <w:lang w:val="en-GB"/>
        </w:rPr>
        <w:t xml:space="preserve">respond to emerging needs and </w:t>
      </w:r>
      <w:r w:rsidR="00F92FCC" w:rsidRPr="001F621B">
        <w:rPr>
          <w:lang w:val="en-GB"/>
        </w:rPr>
        <w:t>ensur</w:t>
      </w:r>
      <w:r w:rsidR="00CE0F3C">
        <w:rPr>
          <w:lang w:val="en-GB"/>
        </w:rPr>
        <w:t>e</w:t>
      </w:r>
      <w:r w:rsidR="00F92FCC" w:rsidRPr="001F621B">
        <w:rPr>
          <w:lang w:val="en-GB"/>
        </w:rPr>
        <w:t xml:space="preserve"> that successful </w:t>
      </w:r>
      <w:r w:rsidR="00670737">
        <w:rPr>
          <w:lang w:val="en-GB"/>
        </w:rPr>
        <w:t>initiatives</w:t>
      </w:r>
      <w:r w:rsidR="00F92FCC" w:rsidRPr="001F621B">
        <w:rPr>
          <w:lang w:val="en-GB"/>
        </w:rPr>
        <w:t xml:space="preserve"> are taken to scale</w:t>
      </w:r>
      <w:r w:rsidR="00B350CD">
        <w:rPr>
          <w:lang w:val="en-GB"/>
        </w:rPr>
        <w:t>,</w:t>
      </w:r>
      <w:r w:rsidR="00F92FCC" w:rsidRPr="001F621B">
        <w:rPr>
          <w:lang w:val="en-GB"/>
        </w:rPr>
        <w:t xml:space="preserve"> including </w:t>
      </w:r>
      <w:r w:rsidR="00F92FCC">
        <w:rPr>
          <w:lang w:val="en-GB"/>
        </w:rPr>
        <w:t>with</w:t>
      </w:r>
      <w:r w:rsidR="00D30D3B">
        <w:rPr>
          <w:lang w:val="en-GB"/>
        </w:rPr>
        <w:t xml:space="preserve"> </w:t>
      </w:r>
      <w:r w:rsidR="00F92FCC">
        <w:rPr>
          <w:lang w:val="en-GB"/>
        </w:rPr>
        <w:t>domestic</w:t>
      </w:r>
      <w:r w:rsidR="00F92FCC" w:rsidRPr="001F621B">
        <w:rPr>
          <w:lang w:val="en-GB"/>
        </w:rPr>
        <w:t xml:space="preserve"> resources.</w:t>
      </w:r>
      <w:r w:rsidR="00C05526">
        <w:rPr>
          <w:lang w:val="en-GB"/>
        </w:rPr>
        <w:t xml:space="preserve"> As </w:t>
      </w:r>
      <w:r w:rsidR="0085245F">
        <w:rPr>
          <w:lang w:val="en-GB"/>
        </w:rPr>
        <w:t xml:space="preserve">noted </w:t>
      </w:r>
      <w:r w:rsidR="00C05526">
        <w:rPr>
          <w:lang w:val="en-GB"/>
        </w:rPr>
        <w:t>by the 2015 ADR, u</w:t>
      </w:r>
      <w:r w:rsidR="00C05526" w:rsidRPr="001F621B">
        <w:rPr>
          <w:lang w:val="en-GB"/>
        </w:rPr>
        <w:t xml:space="preserve">pstream policy advice </w:t>
      </w:r>
      <w:r w:rsidR="0085245F">
        <w:rPr>
          <w:lang w:val="en-GB"/>
        </w:rPr>
        <w:t xml:space="preserve">has been instrumental </w:t>
      </w:r>
      <w:r w:rsidR="00530B94">
        <w:rPr>
          <w:lang w:val="en-GB"/>
        </w:rPr>
        <w:t xml:space="preserve">in </w:t>
      </w:r>
      <w:r w:rsidR="0085245F">
        <w:rPr>
          <w:lang w:val="en-GB"/>
        </w:rPr>
        <w:t>delivering results at scale</w:t>
      </w:r>
      <w:r w:rsidR="00AE4F2A">
        <w:rPr>
          <w:lang w:val="en-GB"/>
        </w:rPr>
        <w:t xml:space="preserve">; further </w:t>
      </w:r>
      <w:r w:rsidR="009306D8">
        <w:rPr>
          <w:lang w:val="en-GB"/>
        </w:rPr>
        <w:t>scaling-</w:t>
      </w:r>
      <w:r w:rsidR="00AE4F2A">
        <w:rPr>
          <w:lang w:val="en-GB"/>
        </w:rPr>
        <w:t xml:space="preserve">up will incorporate strategies to expand partnerships and address </w:t>
      </w:r>
      <w:r w:rsidR="00796E0C">
        <w:rPr>
          <w:lang w:val="en-GB"/>
        </w:rPr>
        <w:t xml:space="preserve">policy </w:t>
      </w:r>
      <w:r w:rsidR="00AE4F2A">
        <w:rPr>
          <w:lang w:val="en-GB"/>
        </w:rPr>
        <w:t xml:space="preserve">implementation bottlenecks </w:t>
      </w:r>
      <w:r w:rsidR="0055616F">
        <w:rPr>
          <w:lang w:val="en-GB"/>
        </w:rPr>
        <w:t xml:space="preserve">to magnify </w:t>
      </w:r>
      <w:r w:rsidR="00796E0C">
        <w:rPr>
          <w:lang w:val="en-GB"/>
        </w:rPr>
        <w:t>impact</w:t>
      </w:r>
      <w:r w:rsidR="00AE4F2A">
        <w:rPr>
          <w:lang w:val="en-GB"/>
        </w:rPr>
        <w:t>.</w:t>
      </w:r>
    </w:p>
    <w:p w14:paraId="50BE8A1C" w14:textId="69ABCCA5" w:rsidR="00F33737" w:rsidRPr="00F33737" w:rsidRDefault="00F33737" w:rsidP="00A9743B">
      <w:pPr>
        <w:pStyle w:val="ListParagraph"/>
        <w:numPr>
          <w:ilvl w:val="0"/>
          <w:numId w:val="2"/>
        </w:numPr>
        <w:tabs>
          <w:tab w:val="left" w:pos="1080"/>
        </w:tabs>
        <w:spacing w:after="120"/>
        <w:ind w:right="720" w:firstLine="0"/>
        <w:jc w:val="both"/>
        <w:rPr>
          <w:lang w:val="en-GB"/>
        </w:rPr>
      </w:pPr>
      <w:r w:rsidRPr="00F33737">
        <w:rPr>
          <w:lang w:val="en-GB"/>
        </w:rPr>
        <w:t xml:space="preserve">At its core, the </w:t>
      </w:r>
      <w:r w:rsidR="009306D8">
        <w:rPr>
          <w:lang w:val="en-GB"/>
        </w:rPr>
        <w:t>c</w:t>
      </w:r>
      <w:r w:rsidR="009306D8" w:rsidRPr="00F33737">
        <w:rPr>
          <w:lang w:val="en-GB"/>
        </w:rPr>
        <w:t xml:space="preserve">ountry </w:t>
      </w:r>
      <w:r w:rsidR="009306D8">
        <w:rPr>
          <w:lang w:val="en-GB"/>
        </w:rPr>
        <w:t>p</w:t>
      </w:r>
      <w:r w:rsidR="009306D8" w:rsidRPr="00F33737">
        <w:rPr>
          <w:lang w:val="en-GB"/>
        </w:rPr>
        <w:t xml:space="preserve">rogramme </w:t>
      </w:r>
      <w:r w:rsidRPr="00F33737">
        <w:rPr>
          <w:lang w:val="en-GB"/>
        </w:rPr>
        <w:t xml:space="preserve">will </w:t>
      </w:r>
      <w:r w:rsidRPr="009306D8">
        <w:rPr>
          <w:lang w:val="en-GB"/>
        </w:rPr>
        <w:t xml:space="preserve">support Viet Nam to complete </w:t>
      </w:r>
      <w:r w:rsidR="009306D8">
        <w:rPr>
          <w:lang w:val="en-GB"/>
        </w:rPr>
        <w:t xml:space="preserve">the </w:t>
      </w:r>
      <w:r w:rsidRPr="009306D8">
        <w:rPr>
          <w:lang w:val="en-GB"/>
        </w:rPr>
        <w:t xml:space="preserve">unfinished </w:t>
      </w:r>
      <w:r w:rsidR="009306D8">
        <w:rPr>
          <w:lang w:val="en-GB"/>
        </w:rPr>
        <w:t xml:space="preserve">Millennium Development Goal agenda </w:t>
      </w:r>
      <w:r w:rsidRPr="009306D8">
        <w:rPr>
          <w:lang w:val="en-GB"/>
        </w:rPr>
        <w:t xml:space="preserve">and advance </w:t>
      </w:r>
      <w:r w:rsidR="009306D8">
        <w:rPr>
          <w:lang w:val="en-GB"/>
        </w:rPr>
        <w:t xml:space="preserve">towards the 2030 </w:t>
      </w:r>
      <w:r w:rsidRPr="009306D8">
        <w:rPr>
          <w:lang w:val="en-GB"/>
        </w:rPr>
        <w:t>Agenda</w:t>
      </w:r>
      <w:r w:rsidRPr="00F33737">
        <w:rPr>
          <w:lang w:val="en-GB"/>
        </w:rPr>
        <w:t xml:space="preserve">. The </w:t>
      </w:r>
      <w:r w:rsidR="009306D8">
        <w:rPr>
          <w:lang w:val="en-GB"/>
        </w:rPr>
        <w:t xml:space="preserve">Sustainable Development Goals </w:t>
      </w:r>
      <w:r w:rsidRPr="00F33737">
        <w:rPr>
          <w:lang w:val="en-GB"/>
        </w:rPr>
        <w:t>provide a platform for multi</w:t>
      </w:r>
      <w:r w:rsidR="009306D8">
        <w:rPr>
          <w:lang w:val="en-GB"/>
        </w:rPr>
        <w:t xml:space="preserve">ple </w:t>
      </w:r>
      <w:r w:rsidRPr="00F33737">
        <w:rPr>
          <w:lang w:val="en-GB"/>
        </w:rPr>
        <w:t xml:space="preserve">stakeholder and rights-based engagement, and an opportunity for cross-cutting development solutions. UNDP is well positioned to partner with </w:t>
      </w:r>
      <w:r w:rsidR="009306D8">
        <w:rPr>
          <w:lang w:val="en-GB"/>
        </w:rPr>
        <w:t xml:space="preserve">the </w:t>
      </w:r>
      <w:r w:rsidRPr="00F33737">
        <w:rPr>
          <w:lang w:val="en-GB"/>
        </w:rPr>
        <w:t>Government across branches</w:t>
      </w:r>
      <w:r w:rsidR="00612750">
        <w:rPr>
          <w:lang w:val="en-GB"/>
        </w:rPr>
        <w:t xml:space="preserve"> and sectors</w:t>
      </w:r>
      <w:r>
        <w:rPr>
          <w:lang w:val="en-GB"/>
        </w:rPr>
        <w:t xml:space="preserve"> to </w:t>
      </w:r>
      <w:r w:rsidRPr="00F33737">
        <w:rPr>
          <w:lang w:val="en-GB"/>
        </w:rPr>
        <w:t xml:space="preserve">unlock the country’s full potential for inclusive, sustainable and climate-resilient development. </w:t>
      </w:r>
      <w:r w:rsidR="00377189">
        <w:rPr>
          <w:lang w:val="en-GB"/>
        </w:rPr>
        <w:t xml:space="preserve">UNDP will promote </w:t>
      </w:r>
      <w:r w:rsidR="004D17C8">
        <w:rPr>
          <w:lang w:val="en-GB"/>
        </w:rPr>
        <w:t xml:space="preserve">a </w:t>
      </w:r>
      <w:r w:rsidRPr="00F33737">
        <w:rPr>
          <w:lang w:val="en-GB"/>
        </w:rPr>
        <w:t>whole-of-government approach,</w:t>
      </w:r>
      <w:r w:rsidR="00377189">
        <w:rPr>
          <w:lang w:val="en-GB"/>
        </w:rPr>
        <w:t xml:space="preserve"> a </w:t>
      </w:r>
      <w:r w:rsidRPr="00F33737">
        <w:rPr>
          <w:lang w:val="en-GB"/>
        </w:rPr>
        <w:t xml:space="preserve">stronger civil society </w:t>
      </w:r>
      <w:r w:rsidR="000170C4">
        <w:rPr>
          <w:lang w:val="en-GB"/>
        </w:rPr>
        <w:t xml:space="preserve">and more prominent role of women and youth to deliver on the ambition of the </w:t>
      </w:r>
      <w:r w:rsidR="009306D8">
        <w:rPr>
          <w:lang w:val="en-GB"/>
        </w:rPr>
        <w:t>Sustainable Development Goals</w:t>
      </w:r>
      <w:r w:rsidR="000170C4">
        <w:rPr>
          <w:lang w:val="en-GB"/>
        </w:rPr>
        <w:t xml:space="preserve">. </w:t>
      </w:r>
      <w:r w:rsidR="00D020BB">
        <w:rPr>
          <w:lang w:val="en-GB"/>
        </w:rPr>
        <w:t xml:space="preserve">Realizing the untapped potential of </w:t>
      </w:r>
      <w:r w:rsidR="00BA0370">
        <w:rPr>
          <w:lang w:val="en-GB"/>
        </w:rPr>
        <w:t xml:space="preserve">domestic revenue </w:t>
      </w:r>
      <w:r w:rsidR="00D020BB">
        <w:rPr>
          <w:lang w:val="en-GB"/>
        </w:rPr>
        <w:t>will be a key element of this approach</w:t>
      </w:r>
      <w:r w:rsidR="00BA0370">
        <w:rPr>
          <w:lang w:val="en-GB"/>
        </w:rPr>
        <w:t xml:space="preserve">. </w:t>
      </w:r>
      <w:r w:rsidR="000170C4">
        <w:rPr>
          <w:lang w:val="en-GB"/>
        </w:rPr>
        <w:t xml:space="preserve">UNDP will also leverage the private sector </w:t>
      </w:r>
      <w:r w:rsidR="00377189">
        <w:rPr>
          <w:lang w:val="en-GB"/>
        </w:rPr>
        <w:t xml:space="preserve">as </w:t>
      </w:r>
      <w:r w:rsidR="000170C4">
        <w:rPr>
          <w:lang w:val="en-GB"/>
        </w:rPr>
        <w:t>a catalytic partner and an investor to scale up development solutions.</w:t>
      </w:r>
      <w:r w:rsidR="00CE0F3C">
        <w:rPr>
          <w:lang w:val="en-GB"/>
        </w:rPr>
        <w:t xml:space="preserve"> Impact investment and crowdsourcing platforms will be </w:t>
      </w:r>
      <w:r w:rsidR="00BA0370">
        <w:rPr>
          <w:lang w:val="en-GB"/>
        </w:rPr>
        <w:t xml:space="preserve">pursued as part of the </w:t>
      </w:r>
      <w:r w:rsidR="009306D8">
        <w:rPr>
          <w:lang w:val="en-GB"/>
        </w:rPr>
        <w:t>scaling-</w:t>
      </w:r>
      <w:r w:rsidR="00BA0370">
        <w:rPr>
          <w:lang w:val="en-GB"/>
        </w:rPr>
        <w:t>up approach</w:t>
      </w:r>
      <w:r w:rsidR="00612750">
        <w:rPr>
          <w:lang w:val="en-GB"/>
        </w:rPr>
        <w:t>.</w:t>
      </w:r>
    </w:p>
    <w:p w14:paraId="5AEE932D" w14:textId="5694A0DE" w:rsidR="001A2B81" w:rsidRDefault="007F023E" w:rsidP="00A9743B">
      <w:pPr>
        <w:pStyle w:val="ListParagraph"/>
        <w:numPr>
          <w:ilvl w:val="0"/>
          <w:numId w:val="2"/>
        </w:numPr>
        <w:tabs>
          <w:tab w:val="left" w:pos="1080"/>
        </w:tabs>
        <w:spacing w:after="120"/>
        <w:ind w:right="720" w:firstLine="0"/>
        <w:jc w:val="both"/>
        <w:rPr>
          <w:lang w:val="en-GB"/>
        </w:rPr>
      </w:pPr>
      <w:r w:rsidRPr="001A2B81">
        <w:rPr>
          <w:lang w:val="en-GB"/>
        </w:rPr>
        <w:t xml:space="preserve">Viet Nam has much to share with other countries </w:t>
      </w:r>
      <w:r w:rsidR="00AF1843" w:rsidRPr="001A2B81">
        <w:rPr>
          <w:lang w:val="en-GB"/>
        </w:rPr>
        <w:t xml:space="preserve">by way of </w:t>
      </w:r>
      <w:r w:rsidRPr="001A2B81">
        <w:rPr>
          <w:lang w:val="en-GB"/>
        </w:rPr>
        <w:t xml:space="preserve">its experiences in poverty reduction, disaster risk management and use of evidence-based policy tools. </w:t>
      </w:r>
      <w:r w:rsidR="008F086C" w:rsidRPr="001A2B81">
        <w:rPr>
          <w:lang w:val="en-GB"/>
        </w:rPr>
        <w:t xml:space="preserve">UNDP will systematically </w:t>
      </w:r>
      <w:r w:rsidR="00C90117">
        <w:rPr>
          <w:lang w:val="en-GB"/>
        </w:rPr>
        <w:t xml:space="preserve">promote </w:t>
      </w:r>
      <w:r w:rsidR="008C435A">
        <w:rPr>
          <w:lang w:val="en-GB"/>
        </w:rPr>
        <w:t xml:space="preserve">these practices </w:t>
      </w:r>
      <w:r w:rsidR="008F086C" w:rsidRPr="001A2B81">
        <w:rPr>
          <w:lang w:val="en-GB"/>
        </w:rPr>
        <w:t xml:space="preserve">through </w:t>
      </w:r>
      <w:r w:rsidR="008F086C" w:rsidRPr="005A5255">
        <w:rPr>
          <w:lang w:val="en-GB"/>
        </w:rPr>
        <w:t xml:space="preserve">South-South and </w:t>
      </w:r>
      <w:r w:rsidR="009306D8">
        <w:rPr>
          <w:lang w:val="en-GB"/>
        </w:rPr>
        <w:t>t</w:t>
      </w:r>
      <w:r w:rsidR="009306D8" w:rsidRPr="005A5255">
        <w:rPr>
          <w:lang w:val="en-GB"/>
        </w:rPr>
        <w:t xml:space="preserve">riangular </w:t>
      </w:r>
      <w:r w:rsidR="009306D8">
        <w:rPr>
          <w:lang w:val="en-GB"/>
        </w:rPr>
        <w:t>c</w:t>
      </w:r>
      <w:r w:rsidR="009306D8" w:rsidRPr="005A5255">
        <w:rPr>
          <w:lang w:val="en-GB"/>
        </w:rPr>
        <w:t xml:space="preserve">ooperation </w:t>
      </w:r>
      <w:r w:rsidR="00CC390F">
        <w:rPr>
          <w:lang w:val="en-GB"/>
        </w:rPr>
        <w:t xml:space="preserve">and build Viet Nam’s institutional capacities for </w:t>
      </w:r>
      <w:r w:rsidR="00C90117">
        <w:rPr>
          <w:lang w:val="en-GB"/>
        </w:rPr>
        <w:t xml:space="preserve">such </w:t>
      </w:r>
      <w:r w:rsidR="00CC390F">
        <w:rPr>
          <w:lang w:val="en-GB"/>
        </w:rPr>
        <w:t xml:space="preserve">partnerships. </w:t>
      </w:r>
      <w:r w:rsidRPr="001A2B81">
        <w:rPr>
          <w:lang w:val="en-GB"/>
        </w:rPr>
        <w:t xml:space="preserve">Viet Nam </w:t>
      </w:r>
      <w:r w:rsidR="007A6560" w:rsidRPr="001A2B81">
        <w:rPr>
          <w:lang w:val="en-GB"/>
        </w:rPr>
        <w:t xml:space="preserve">can </w:t>
      </w:r>
      <w:r w:rsidR="00CC390F">
        <w:rPr>
          <w:lang w:val="en-GB"/>
        </w:rPr>
        <w:t xml:space="preserve">apply successful practices </w:t>
      </w:r>
      <w:r w:rsidR="007A6560" w:rsidRPr="001A2B81">
        <w:rPr>
          <w:lang w:val="en-GB"/>
        </w:rPr>
        <w:t xml:space="preserve">from other countries </w:t>
      </w:r>
      <w:r w:rsidR="00CC390F">
        <w:rPr>
          <w:lang w:val="en-GB"/>
        </w:rPr>
        <w:t xml:space="preserve">to </w:t>
      </w:r>
      <w:r w:rsidR="005A5255">
        <w:rPr>
          <w:lang w:val="en-GB"/>
        </w:rPr>
        <w:t>catalyse</w:t>
      </w:r>
      <w:r w:rsidR="003845D8">
        <w:rPr>
          <w:lang w:val="en-GB"/>
        </w:rPr>
        <w:t xml:space="preserve"> improvements in human development</w:t>
      </w:r>
      <w:r w:rsidR="005A5255">
        <w:rPr>
          <w:lang w:val="en-GB"/>
        </w:rPr>
        <w:t>, realize</w:t>
      </w:r>
      <w:r w:rsidR="00AD1ED9">
        <w:rPr>
          <w:lang w:val="en-GB"/>
        </w:rPr>
        <w:t xml:space="preserve"> </w:t>
      </w:r>
      <w:r w:rsidR="00AF1843" w:rsidRPr="001A2B81">
        <w:rPr>
          <w:lang w:val="en-GB"/>
        </w:rPr>
        <w:t xml:space="preserve">the </w:t>
      </w:r>
      <w:r w:rsidR="002C57F7" w:rsidRPr="001A2B81">
        <w:rPr>
          <w:lang w:val="en-GB"/>
        </w:rPr>
        <w:t>benefits of green development</w:t>
      </w:r>
      <w:r w:rsidR="005B0735" w:rsidRPr="001A2B81">
        <w:rPr>
          <w:lang w:val="en-GB"/>
        </w:rPr>
        <w:t xml:space="preserve"> and </w:t>
      </w:r>
      <w:r w:rsidR="00CC390F">
        <w:rPr>
          <w:lang w:val="en-GB"/>
        </w:rPr>
        <w:t>enla</w:t>
      </w:r>
      <w:r w:rsidR="005A5255">
        <w:rPr>
          <w:lang w:val="en-GB"/>
        </w:rPr>
        <w:t>rge</w:t>
      </w:r>
      <w:r w:rsidRPr="001A2B81">
        <w:rPr>
          <w:lang w:val="en-GB"/>
        </w:rPr>
        <w:t xml:space="preserve"> </w:t>
      </w:r>
      <w:r w:rsidR="004D17C8">
        <w:rPr>
          <w:lang w:val="en-GB"/>
        </w:rPr>
        <w:t xml:space="preserve">the </w:t>
      </w:r>
      <w:r w:rsidRPr="001A2B81">
        <w:rPr>
          <w:lang w:val="en-GB"/>
        </w:rPr>
        <w:t>space for civic engagement</w:t>
      </w:r>
      <w:r w:rsidR="007A6560" w:rsidRPr="001A2B81">
        <w:rPr>
          <w:lang w:val="en-GB"/>
        </w:rPr>
        <w:t xml:space="preserve">. </w:t>
      </w:r>
      <w:r w:rsidR="00CC390F">
        <w:rPr>
          <w:lang w:val="en-GB"/>
        </w:rPr>
        <w:t xml:space="preserve">Beyond </w:t>
      </w:r>
      <w:r w:rsidR="009306D8">
        <w:rPr>
          <w:lang w:val="en-GB"/>
        </w:rPr>
        <w:t xml:space="preserve">South-South and </w:t>
      </w:r>
      <w:r w:rsidR="00E35BD9">
        <w:rPr>
          <w:lang w:val="en-GB"/>
        </w:rPr>
        <w:t>triangular</w:t>
      </w:r>
      <w:r w:rsidR="009306D8">
        <w:rPr>
          <w:lang w:val="en-GB"/>
        </w:rPr>
        <w:t xml:space="preserve"> cooperation</w:t>
      </w:r>
      <w:r w:rsidR="00CC390F">
        <w:rPr>
          <w:lang w:val="en-GB"/>
        </w:rPr>
        <w:t xml:space="preserve">, </w:t>
      </w:r>
      <w:r w:rsidR="007A6560" w:rsidRPr="001A2B81">
        <w:rPr>
          <w:lang w:val="en-GB"/>
        </w:rPr>
        <w:t xml:space="preserve">UNDP will continue to </w:t>
      </w:r>
      <w:r w:rsidR="00CC390F">
        <w:rPr>
          <w:lang w:val="en-GB"/>
        </w:rPr>
        <w:t xml:space="preserve">promote </w:t>
      </w:r>
      <w:r w:rsidR="005B0735" w:rsidRPr="001A2B81">
        <w:rPr>
          <w:lang w:val="en-GB"/>
        </w:rPr>
        <w:t>Viet Nam’s lead</w:t>
      </w:r>
      <w:r w:rsidR="007A6560" w:rsidRPr="001A2B81">
        <w:rPr>
          <w:lang w:val="en-GB"/>
        </w:rPr>
        <w:t xml:space="preserve"> role in regional and global development for</w:t>
      </w:r>
      <w:r w:rsidR="003845D8">
        <w:rPr>
          <w:lang w:val="en-GB"/>
        </w:rPr>
        <w:t>ums</w:t>
      </w:r>
      <w:r w:rsidR="007A6560" w:rsidRPr="001A2B81">
        <w:rPr>
          <w:lang w:val="en-GB"/>
        </w:rPr>
        <w:t>.</w:t>
      </w:r>
    </w:p>
    <w:p w14:paraId="10247465" w14:textId="0C195F84" w:rsidR="007A6560" w:rsidRPr="001A2B81" w:rsidRDefault="005A5255" w:rsidP="00A9743B">
      <w:pPr>
        <w:pStyle w:val="ListParagraph"/>
        <w:numPr>
          <w:ilvl w:val="0"/>
          <w:numId w:val="2"/>
        </w:numPr>
        <w:tabs>
          <w:tab w:val="left" w:pos="1080"/>
        </w:tabs>
        <w:spacing w:after="120"/>
        <w:ind w:right="720" w:firstLine="0"/>
        <w:jc w:val="both"/>
        <w:rPr>
          <w:lang w:val="en-GB"/>
        </w:rPr>
      </w:pPr>
      <w:r>
        <w:rPr>
          <w:lang w:val="en-GB"/>
        </w:rPr>
        <w:t xml:space="preserve">In Viet Nam’s context </w:t>
      </w:r>
      <w:r w:rsidR="0073159D">
        <w:rPr>
          <w:lang w:val="en-GB"/>
        </w:rPr>
        <w:t xml:space="preserve">as </w:t>
      </w:r>
      <w:r>
        <w:rPr>
          <w:lang w:val="en-GB"/>
        </w:rPr>
        <w:t xml:space="preserve">an advanced Delivering as One country, </w:t>
      </w:r>
      <w:r w:rsidR="0032560A" w:rsidRPr="001F621B">
        <w:rPr>
          <w:lang w:val="en-GB"/>
        </w:rPr>
        <w:t xml:space="preserve">UNDP </w:t>
      </w:r>
      <w:r w:rsidR="0073159D">
        <w:rPr>
          <w:lang w:val="en-GB"/>
        </w:rPr>
        <w:t>will intensify synergies with other U</w:t>
      </w:r>
      <w:r w:rsidR="009306D8">
        <w:rPr>
          <w:lang w:val="en-GB"/>
        </w:rPr>
        <w:t xml:space="preserve">nited </w:t>
      </w:r>
      <w:r w:rsidR="0073159D">
        <w:rPr>
          <w:lang w:val="en-GB"/>
        </w:rPr>
        <w:t>N</w:t>
      </w:r>
      <w:r w:rsidR="009306D8">
        <w:rPr>
          <w:lang w:val="en-GB"/>
        </w:rPr>
        <w:t>ations</w:t>
      </w:r>
      <w:r w:rsidR="0073159D">
        <w:rPr>
          <w:lang w:val="en-GB"/>
        </w:rPr>
        <w:t xml:space="preserve"> organizations</w:t>
      </w:r>
      <w:r w:rsidR="0073159D" w:rsidRPr="001F621B">
        <w:rPr>
          <w:lang w:val="en-GB"/>
        </w:rPr>
        <w:t xml:space="preserve"> </w:t>
      </w:r>
      <w:r w:rsidR="0073159D">
        <w:rPr>
          <w:lang w:val="en-GB"/>
        </w:rPr>
        <w:t xml:space="preserve">through targeted joint programming, advocacy and </w:t>
      </w:r>
      <w:r w:rsidR="005C1F24">
        <w:rPr>
          <w:lang w:val="en-GB"/>
        </w:rPr>
        <w:t>monitoring and evaluation</w:t>
      </w:r>
      <w:r w:rsidR="0032560A" w:rsidRPr="001F621B">
        <w:rPr>
          <w:lang w:val="en-GB"/>
        </w:rPr>
        <w:t xml:space="preserve">. The </w:t>
      </w:r>
      <w:r w:rsidR="009306D8">
        <w:rPr>
          <w:lang w:val="en-GB"/>
        </w:rPr>
        <w:t>c</w:t>
      </w:r>
      <w:r w:rsidR="009306D8" w:rsidRPr="001F621B">
        <w:rPr>
          <w:lang w:val="en-GB"/>
        </w:rPr>
        <w:t xml:space="preserve">ountry </w:t>
      </w:r>
      <w:r w:rsidR="009306D8">
        <w:rPr>
          <w:lang w:val="en-GB"/>
        </w:rPr>
        <w:t>p</w:t>
      </w:r>
      <w:r w:rsidR="009306D8" w:rsidRPr="001F621B">
        <w:rPr>
          <w:lang w:val="en-GB"/>
        </w:rPr>
        <w:t xml:space="preserve">rogramme </w:t>
      </w:r>
      <w:r w:rsidR="0032560A" w:rsidRPr="001F621B">
        <w:rPr>
          <w:lang w:val="en-GB"/>
        </w:rPr>
        <w:t xml:space="preserve">will contribute to </w:t>
      </w:r>
      <w:r w:rsidR="0032560A" w:rsidRPr="009306D8">
        <w:rPr>
          <w:lang w:val="en-GB"/>
        </w:rPr>
        <w:t>three interrelated outcomes</w:t>
      </w:r>
      <w:r w:rsidR="00AD1ED9">
        <w:rPr>
          <w:b/>
          <w:lang w:val="en-GB"/>
        </w:rPr>
        <w:t xml:space="preserve"> </w:t>
      </w:r>
      <w:r w:rsidR="004240D0">
        <w:rPr>
          <w:lang w:val="en-GB"/>
        </w:rPr>
        <w:t xml:space="preserve">of the </w:t>
      </w:r>
      <w:r w:rsidR="004240D0" w:rsidRPr="004240D0">
        <w:rPr>
          <w:lang w:val="en-GB"/>
        </w:rPr>
        <w:t>One U</w:t>
      </w:r>
      <w:r w:rsidR="009306D8">
        <w:rPr>
          <w:lang w:val="en-GB"/>
        </w:rPr>
        <w:t xml:space="preserve">nited </w:t>
      </w:r>
      <w:r w:rsidR="004240D0" w:rsidRPr="004240D0">
        <w:rPr>
          <w:lang w:val="en-GB"/>
        </w:rPr>
        <w:t>N</w:t>
      </w:r>
      <w:r w:rsidR="009306D8">
        <w:rPr>
          <w:lang w:val="en-GB"/>
        </w:rPr>
        <w:t>ations</w:t>
      </w:r>
      <w:r w:rsidR="004240D0" w:rsidRPr="004240D0">
        <w:rPr>
          <w:lang w:val="en-GB"/>
        </w:rPr>
        <w:t xml:space="preserve"> Strategic Plan </w:t>
      </w:r>
      <w:r w:rsidR="004240D0">
        <w:rPr>
          <w:lang w:val="en-GB"/>
        </w:rPr>
        <w:t>for Viet Nam</w:t>
      </w:r>
      <w:r w:rsidR="004240D0" w:rsidRPr="001F621B">
        <w:rPr>
          <w:lang w:val="en-GB"/>
        </w:rPr>
        <w:t xml:space="preserve">, </w:t>
      </w:r>
      <w:r w:rsidR="00710A83">
        <w:rPr>
          <w:lang w:val="en-GB"/>
        </w:rPr>
        <w:t xml:space="preserve">aiming to </w:t>
      </w:r>
      <w:r w:rsidR="0032560A" w:rsidRPr="001F621B">
        <w:rPr>
          <w:lang w:val="en-GB"/>
        </w:rPr>
        <w:t xml:space="preserve">address poverty and </w:t>
      </w:r>
      <w:r w:rsidR="0032560A">
        <w:rPr>
          <w:lang w:val="en-GB"/>
        </w:rPr>
        <w:t>inequalities</w:t>
      </w:r>
      <w:r w:rsidR="0032560A" w:rsidRPr="001F621B">
        <w:rPr>
          <w:lang w:val="en-GB"/>
        </w:rPr>
        <w:t xml:space="preserve">; enhance </w:t>
      </w:r>
      <w:r w:rsidR="003845D8">
        <w:rPr>
          <w:lang w:val="en-GB"/>
        </w:rPr>
        <w:t xml:space="preserve">citizen participation and protection of </w:t>
      </w:r>
      <w:r w:rsidR="0032560A" w:rsidRPr="001F621B">
        <w:rPr>
          <w:lang w:val="en-GB"/>
        </w:rPr>
        <w:t xml:space="preserve">rights; and </w:t>
      </w:r>
      <w:r w:rsidR="00710A83">
        <w:rPr>
          <w:lang w:val="en-GB"/>
        </w:rPr>
        <w:t>promote</w:t>
      </w:r>
      <w:r w:rsidR="005B3A0A">
        <w:rPr>
          <w:lang w:val="en-GB"/>
        </w:rPr>
        <w:t xml:space="preserve"> </w:t>
      </w:r>
      <w:r w:rsidR="00710A83">
        <w:rPr>
          <w:lang w:val="en-GB"/>
        </w:rPr>
        <w:t xml:space="preserve">sustainable </w:t>
      </w:r>
      <w:r w:rsidR="0032560A" w:rsidRPr="001F621B">
        <w:rPr>
          <w:lang w:val="en-GB"/>
        </w:rPr>
        <w:t xml:space="preserve">low-carbon development while strengthening resilience of </w:t>
      </w:r>
      <w:r w:rsidR="003845D8">
        <w:rPr>
          <w:lang w:val="en-GB"/>
        </w:rPr>
        <w:t xml:space="preserve">the </w:t>
      </w:r>
      <w:r w:rsidR="0032560A" w:rsidRPr="001F621B">
        <w:rPr>
          <w:lang w:val="en-GB"/>
        </w:rPr>
        <w:t>targeted groups</w:t>
      </w:r>
      <w:r w:rsidR="002C57F7" w:rsidRPr="001A2B81">
        <w:rPr>
          <w:lang w:val="en-GB"/>
        </w:rPr>
        <w:t>.</w:t>
      </w:r>
    </w:p>
    <w:p w14:paraId="39C6A351" w14:textId="4471FBA8" w:rsidR="00A64DF2" w:rsidRPr="009857BC" w:rsidRDefault="007A6560" w:rsidP="00A9743B">
      <w:pPr>
        <w:pStyle w:val="ListParagraph"/>
        <w:tabs>
          <w:tab w:val="left" w:pos="1080"/>
        </w:tabs>
        <w:spacing w:after="120"/>
        <w:ind w:right="720"/>
        <w:jc w:val="both"/>
        <w:rPr>
          <w:b/>
          <w:lang w:val="en-GB"/>
        </w:rPr>
      </w:pPr>
      <w:r w:rsidRPr="009857BC">
        <w:rPr>
          <w:b/>
          <w:lang w:val="en-GB"/>
        </w:rPr>
        <w:t xml:space="preserve">Outcome 1: </w:t>
      </w:r>
      <w:r w:rsidR="00A64DF2" w:rsidRPr="009857BC">
        <w:rPr>
          <w:b/>
          <w:lang w:val="en-GB"/>
        </w:rPr>
        <w:t xml:space="preserve">Poverty eradication and </w:t>
      </w:r>
      <w:r w:rsidR="00830102" w:rsidRPr="009857BC">
        <w:rPr>
          <w:b/>
          <w:lang w:val="en-GB"/>
        </w:rPr>
        <w:t xml:space="preserve">greater </w:t>
      </w:r>
      <w:r w:rsidR="00A64DF2" w:rsidRPr="009857BC">
        <w:rPr>
          <w:b/>
          <w:lang w:val="en-GB"/>
        </w:rPr>
        <w:t>socioeconomic equity</w:t>
      </w:r>
    </w:p>
    <w:p w14:paraId="495942A0" w14:textId="57B99D4D" w:rsidR="001A2B81" w:rsidRDefault="00796B6E" w:rsidP="00A9743B">
      <w:pPr>
        <w:pStyle w:val="ListParagraph"/>
        <w:numPr>
          <w:ilvl w:val="0"/>
          <w:numId w:val="2"/>
        </w:numPr>
        <w:tabs>
          <w:tab w:val="left" w:pos="1080"/>
        </w:tabs>
        <w:spacing w:after="120"/>
        <w:ind w:right="720" w:firstLine="0"/>
        <w:jc w:val="both"/>
        <w:rPr>
          <w:lang w:val="en-GB"/>
        </w:rPr>
      </w:pPr>
      <w:r w:rsidRPr="001A2B81">
        <w:rPr>
          <w:lang w:val="en-GB"/>
        </w:rPr>
        <w:t xml:space="preserve">Successfully tackling </w:t>
      </w:r>
      <w:r w:rsidR="00AF1843" w:rsidRPr="001A2B81">
        <w:rPr>
          <w:lang w:val="en-GB"/>
        </w:rPr>
        <w:t>persistent income and multi</w:t>
      </w:r>
      <w:r w:rsidRPr="001A2B81">
        <w:rPr>
          <w:lang w:val="en-GB"/>
        </w:rPr>
        <w:t xml:space="preserve">dimensional poverty, </w:t>
      </w:r>
      <w:r w:rsidR="005B352F" w:rsidRPr="001A2B81">
        <w:rPr>
          <w:lang w:val="en-GB"/>
        </w:rPr>
        <w:t>disparities between areas and groups</w:t>
      </w:r>
      <w:r w:rsidR="00AD1ED9">
        <w:rPr>
          <w:lang w:val="en-GB"/>
        </w:rPr>
        <w:t xml:space="preserve"> </w:t>
      </w:r>
      <w:r w:rsidR="005B352F">
        <w:rPr>
          <w:lang w:val="en-GB"/>
        </w:rPr>
        <w:t xml:space="preserve">and </w:t>
      </w:r>
      <w:r w:rsidRPr="001A2B81">
        <w:rPr>
          <w:lang w:val="en-GB"/>
        </w:rPr>
        <w:t>growing vulnerability</w:t>
      </w:r>
      <w:r w:rsidR="00AD1ED9">
        <w:rPr>
          <w:lang w:val="en-GB"/>
        </w:rPr>
        <w:t xml:space="preserve"> </w:t>
      </w:r>
      <w:r w:rsidR="00AF1843" w:rsidRPr="001A2B81">
        <w:rPr>
          <w:lang w:val="en-GB"/>
        </w:rPr>
        <w:t xml:space="preserve">requires Viet Nam </w:t>
      </w:r>
      <w:r w:rsidRPr="001A2B81">
        <w:rPr>
          <w:lang w:val="en-GB"/>
        </w:rPr>
        <w:t xml:space="preserve">to take policy actions to ensure more inclusive </w:t>
      </w:r>
      <w:r w:rsidR="00145A0F">
        <w:rPr>
          <w:lang w:val="en-GB"/>
        </w:rPr>
        <w:t xml:space="preserve">and equitable </w:t>
      </w:r>
      <w:r w:rsidRPr="001A2B81">
        <w:rPr>
          <w:lang w:val="en-GB"/>
        </w:rPr>
        <w:t>growth</w:t>
      </w:r>
      <w:r w:rsidR="0073159D">
        <w:rPr>
          <w:lang w:val="en-GB"/>
        </w:rPr>
        <w:t xml:space="preserve"> </w:t>
      </w:r>
      <w:r w:rsidR="00145A0F">
        <w:rPr>
          <w:lang w:val="en-GB"/>
        </w:rPr>
        <w:t xml:space="preserve">and </w:t>
      </w:r>
      <w:r w:rsidR="0073159D">
        <w:rPr>
          <w:lang w:val="en-GB"/>
        </w:rPr>
        <w:t>achieve</w:t>
      </w:r>
      <w:r w:rsidR="00F46AE9" w:rsidRPr="001A2B81">
        <w:rPr>
          <w:lang w:val="en-GB"/>
        </w:rPr>
        <w:t xml:space="preserve"> </w:t>
      </w:r>
      <w:r w:rsidR="00AE789C" w:rsidRPr="001A2B81">
        <w:rPr>
          <w:lang w:val="en-GB"/>
        </w:rPr>
        <w:t>S</w:t>
      </w:r>
      <w:r w:rsidR="00AE789C">
        <w:rPr>
          <w:lang w:val="en-GB"/>
        </w:rPr>
        <w:t xml:space="preserve">ustainable Development Goals </w:t>
      </w:r>
      <w:r w:rsidR="00377189">
        <w:rPr>
          <w:lang w:val="en-GB"/>
        </w:rPr>
        <w:t xml:space="preserve">1 </w:t>
      </w:r>
      <w:r w:rsidR="003845D8">
        <w:rPr>
          <w:lang w:val="en-GB"/>
        </w:rPr>
        <w:t>and 10</w:t>
      </w:r>
      <w:r w:rsidRPr="001A2B81">
        <w:rPr>
          <w:lang w:val="en-GB"/>
        </w:rPr>
        <w:t xml:space="preserve">. Drawing on </w:t>
      </w:r>
      <w:r w:rsidR="00AE789C">
        <w:rPr>
          <w:lang w:val="en-GB"/>
        </w:rPr>
        <w:t xml:space="preserve">the </w:t>
      </w:r>
      <w:r w:rsidRPr="001A2B81">
        <w:rPr>
          <w:lang w:val="en-GB"/>
        </w:rPr>
        <w:t>UNDP comparative advantage</w:t>
      </w:r>
      <w:r w:rsidR="002C6F5F" w:rsidRPr="001A2B81">
        <w:rPr>
          <w:lang w:val="en-GB"/>
        </w:rPr>
        <w:t xml:space="preserve"> and analysis of policy, institutional and delivery bottlenecks</w:t>
      </w:r>
      <w:r w:rsidR="00AE789C">
        <w:rPr>
          <w:lang w:val="en-GB"/>
        </w:rPr>
        <w:t>,</w:t>
      </w:r>
      <w:r w:rsidR="002C6F5F" w:rsidRPr="003845D8">
        <w:rPr>
          <w:rStyle w:val="FootnoteReference"/>
        </w:rPr>
        <w:footnoteReference w:id="23"/>
      </w:r>
      <w:r w:rsidR="0073159D">
        <w:rPr>
          <w:lang w:val="en-GB"/>
        </w:rPr>
        <w:t xml:space="preserve"> </w:t>
      </w:r>
      <w:r w:rsidR="00FA399F" w:rsidRPr="001A2B81">
        <w:rPr>
          <w:lang w:val="en-GB"/>
        </w:rPr>
        <w:t>three</w:t>
      </w:r>
      <w:r w:rsidRPr="001A2B81">
        <w:rPr>
          <w:lang w:val="en-GB"/>
        </w:rPr>
        <w:t xml:space="preserve"> sets of supportive activities can be identified.</w:t>
      </w:r>
    </w:p>
    <w:p w14:paraId="28F876CF" w14:textId="2CCB32BA" w:rsidR="001A2B81" w:rsidRDefault="00796B6E" w:rsidP="00A9743B">
      <w:pPr>
        <w:pStyle w:val="ListParagraph"/>
        <w:numPr>
          <w:ilvl w:val="0"/>
          <w:numId w:val="2"/>
        </w:numPr>
        <w:tabs>
          <w:tab w:val="left" w:pos="1080"/>
        </w:tabs>
        <w:spacing w:after="120"/>
        <w:ind w:right="720" w:firstLine="0"/>
        <w:jc w:val="both"/>
        <w:rPr>
          <w:lang w:val="en-GB"/>
        </w:rPr>
      </w:pPr>
      <w:r w:rsidRPr="001A2B81">
        <w:rPr>
          <w:lang w:val="en-GB"/>
        </w:rPr>
        <w:lastRenderedPageBreak/>
        <w:t xml:space="preserve">UNDP will assist </w:t>
      </w:r>
      <w:r w:rsidR="00AE789C">
        <w:rPr>
          <w:lang w:val="en-GB"/>
        </w:rPr>
        <w:t xml:space="preserve">the </w:t>
      </w:r>
      <w:r w:rsidRPr="001A2B81">
        <w:rPr>
          <w:lang w:val="en-GB"/>
        </w:rPr>
        <w:t xml:space="preserve">Government and </w:t>
      </w:r>
      <w:r w:rsidR="00830102" w:rsidRPr="001A2B81">
        <w:rPr>
          <w:lang w:val="en-GB"/>
        </w:rPr>
        <w:t>communities</w:t>
      </w:r>
      <w:r w:rsidRPr="001A2B81">
        <w:rPr>
          <w:lang w:val="en-GB"/>
        </w:rPr>
        <w:t xml:space="preserve"> to </w:t>
      </w:r>
      <w:r w:rsidR="00C0289F">
        <w:rPr>
          <w:lang w:val="en-GB"/>
        </w:rPr>
        <w:t xml:space="preserve">scale up solutions to </w:t>
      </w:r>
      <w:r w:rsidR="00145A0F">
        <w:rPr>
          <w:lang w:val="en-GB"/>
        </w:rPr>
        <w:t xml:space="preserve">address </w:t>
      </w:r>
      <w:r w:rsidRPr="001A2B81">
        <w:rPr>
          <w:lang w:val="en-GB"/>
        </w:rPr>
        <w:t xml:space="preserve">high levels of poverty in ethnic minority </w:t>
      </w:r>
      <w:r w:rsidR="00830102" w:rsidRPr="001A2B81">
        <w:rPr>
          <w:lang w:val="en-GB"/>
        </w:rPr>
        <w:t>areas</w:t>
      </w:r>
      <w:r w:rsidRPr="001A2B81">
        <w:rPr>
          <w:lang w:val="en-GB"/>
        </w:rPr>
        <w:t xml:space="preserve">. UNDP will </w:t>
      </w:r>
      <w:r w:rsidR="00B11A6B">
        <w:rPr>
          <w:lang w:val="en-GB"/>
        </w:rPr>
        <w:t>focus on improving the effectiveness of</w:t>
      </w:r>
      <w:r w:rsidR="00AF1843" w:rsidRPr="001A2B81">
        <w:rPr>
          <w:lang w:val="en-GB"/>
        </w:rPr>
        <w:t xml:space="preserve"> the National</w:t>
      </w:r>
      <w:r w:rsidRPr="001A2B81">
        <w:rPr>
          <w:lang w:val="en-GB"/>
        </w:rPr>
        <w:t xml:space="preserve"> Targeted Programmes (NTPs) </w:t>
      </w:r>
      <w:r w:rsidR="00B11A6B">
        <w:rPr>
          <w:lang w:val="en-GB"/>
        </w:rPr>
        <w:t>on</w:t>
      </w:r>
      <w:r w:rsidRPr="001A2B81">
        <w:rPr>
          <w:lang w:val="en-GB"/>
        </w:rPr>
        <w:t xml:space="preserve"> Sustainable Poverty Reduction and </w:t>
      </w:r>
      <w:r w:rsidR="00B11A6B">
        <w:rPr>
          <w:lang w:val="en-GB"/>
        </w:rPr>
        <w:t xml:space="preserve">on </w:t>
      </w:r>
      <w:r w:rsidRPr="001A2B81">
        <w:rPr>
          <w:lang w:val="en-GB"/>
        </w:rPr>
        <w:t>New Rural Development</w:t>
      </w:r>
      <w:r w:rsidR="00B11A6B">
        <w:rPr>
          <w:lang w:val="en-GB"/>
        </w:rPr>
        <w:t xml:space="preserve">, </w:t>
      </w:r>
      <w:r w:rsidR="001E6DAB">
        <w:rPr>
          <w:lang w:val="en-GB"/>
        </w:rPr>
        <w:t xml:space="preserve">in </w:t>
      </w:r>
      <w:r w:rsidR="00B11A6B">
        <w:rPr>
          <w:lang w:val="en-GB"/>
        </w:rPr>
        <w:t xml:space="preserve">which </w:t>
      </w:r>
      <w:r w:rsidR="00145A0F">
        <w:rPr>
          <w:lang w:val="en-GB"/>
        </w:rPr>
        <w:t xml:space="preserve">significant </w:t>
      </w:r>
      <w:r w:rsidR="00B11A6B">
        <w:rPr>
          <w:lang w:val="en-GB"/>
        </w:rPr>
        <w:t xml:space="preserve">public funds </w:t>
      </w:r>
      <w:r w:rsidR="001E6DAB">
        <w:rPr>
          <w:lang w:val="en-GB"/>
        </w:rPr>
        <w:t xml:space="preserve">are </w:t>
      </w:r>
      <w:r w:rsidR="00145A0F">
        <w:rPr>
          <w:lang w:val="en-GB"/>
        </w:rPr>
        <w:t xml:space="preserve">distributed </w:t>
      </w:r>
      <w:r w:rsidR="00B11A6B">
        <w:rPr>
          <w:lang w:val="en-GB"/>
        </w:rPr>
        <w:t xml:space="preserve">to </w:t>
      </w:r>
      <w:r w:rsidR="00145A0F">
        <w:rPr>
          <w:lang w:val="en-GB"/>
        </w:rPr>
        <w:t xml:space="preserve">assist </w:t>
      </w:r>
      <w:r w:rsidR="00B11A6B">
        <w:rPr>
          <w:lang w:val="en-GB"/>
        </w:rPr>
        <w:t>low</w:t>
      </w:r>
      <w:r w:rsidR="00145A0F">
        <w:rPr>
          <w:lang w:val="en-GB"/>
        </w:rPr>
        <w:t>-</w:t>
      </w:r>
      <w:r w:rsidR="00B11A6B">
        <w:rPr>
          <w:lang w:val="en-GB"/>
        </w:rPr>
        <w:t xml:space="preserve">income and </w:t>
      </w:r>
      <w:r w:rsidR="00145A0F">
        <w:rPr>
          <w:lang w:val="en-GB"/>
        </w:rPr>
        <w:t xml:space="preserve">excluded </w:t>
      </w:r>
      <w:r w:rsidR="00B11A6B">
        <w:rPr>
          <w:lang w:val="en-GB"/>
        </w:rPr>
        <w:t>communities</w:t>
      </w:r>
      <w:r w:rsidR="00145A0F">
        <w:rPr>
          <w:lang w:val="en-GB"/>
        </w:rPr>
        <w:t xml:space="preserve"> nation</w:t>
      </w:r>
      <w:r w:rsidR="001E6DAB">
        <w:rPr>
          <w:lang w:val="en-GB"/>
        </w:rPr>
        <w:t>wide</w:t>
      </w:r>
      <w:r w:rsidR="00B11A6B">
        <w:rPr>
          <w:lang w:val="en-GB"/>
        </w:rPr>
        <w:t xml:space="preserve">. UNDP support to NTPs will </w:t>
      </w:r>
      <w:r w:rsidR="001E6DAB">
        <w:rPr>
          <w:lang w:val="en-GB"/>
        </w:rPr>
        <w:t>emphasize</w:t>
      </w:r>
      <w:r w:rsidRPr="001A2B81">
        <w:rPr>
          <w:lang w:val="en-GB"/>
        </w:rPr>
        <w:t xml:space="preserve"> </w:t>
      </w:r>
      <w:r w:rsidR="00145A0F">
        <w:rPr>
          <w:lang w:val="en-GB"/>
        </w:rPr>
        <w:t xml:space="preserve">productive capacities </w:t>
      </w:r>
      <w:r w:rsidRPr="001A2B81">
        <w:rPr>
          <w:lang w:val="en-GB"/>
        </w:rPr>
        <w:t>and livelihoods</w:t>
      </w:r>
      <w:r w:rsidR="00145A0F">
        <w:rPr>
          <w:lang w:val="en-GB"/>
        </w:rPr>
        <w:t>,</w:t>
      </w:r>
      <w:r w:rsidRPr="001A2B81">
        <w:rPr>
          <w:lang w:val="en-GB"/>
        </w:rPr>
        <w:t xml:space="preserve"> and </w:t>
      </w:r>
      <w:r w:rsidR="00B11A6B">
        <w:rPr>
          <w:lang w:val="en-GB"/>
        </w:rPr>
        <w:t xml:space="preserve">promote the </w:t>
      </w:r>
      <w:r w:rsidRPr="001A2B81">
        <w:rPr>
          <w:lang w:val="en-GB"/>
        </w:rPr>
        <w:t>empower</w:t>
      </w:r>
      <w:r w:rsidR="00B11A6B">
        <w:rPr>
          <w:lang w:val="en-GB"/>
        </w:rPr>
        <w:t>ment</w:t>
      </w:r>
      <w:r w:rsidR="00AD1ED9">
        <w:rPr>
          <w:lang w:val="en-GB"/>
        </w:rPr>
        <w:t xml:space="preserve"> </w:t>
      </w:r>
      <w:r w:rsidR="00B11A6B">
        <w:rPr>
          <w:lang w:val="en-GB"/>
        </w:rPr>
        <w:t xml:space="preserve">of </w:t>
      </w:r>
      <w:r w:rsidRPr="001A2B81">
        <w:rPr>
          <w:lang w:val="en-GB"/>
        </w:rPr>
        <w:t>ethnic minorit</w:t>
      </w:r>
      <w:r w:rsidR="00647B22">
        <w:rPr>
          <w:lang w:val="en-GB"/>
        </w:rPr>
        <w:t xml:space="preserve">y </w:t>
      </w:r>
      <w:r w:rsidR="001E6DAB">
        <w:rPr>
          <w:lang w:val="en-GB"/>
        </w:rPr>
        <w:t>women and men</w:t>
      </w:r>
      <w:r w:rsidRPr="001A2B81">
        <w:rPr>
          <w:lang w:val="en-GB"/>
        </w:rPr>
        <w:t xml:space="preserve">. </w:t>
      </w:r>
      <w:r w:rsidR="00647B22">
        <w:rPr>
          <w:lang w:val="en-GB"/>
        </w:rPr>
        <w:t xml:space="preserve">UNDP will facilitate </w:t>
      </w:r>
      <w:r w:rsidR="00C64426">
        <w:rPr>
          <w:lang w:val="en-GB"/>
        </w:rPr>
        <w:t xml:space="preserve">the </w:t>
      </w:r>
      <w:r w:rsidR="00145A0F">
        <w:rPr>
          <w:lang w:val="en-GB"/>
        </w:rPr>
        <w:t xml:space="preserve">replication </w:t>
      </w:r>
      <w:r w:rsidR="00C64426">
        <w:rPr>
          <w:lang w:val="en-GB"/>
        </w:rPr>
        <w:t xml:space="preserve">of locally </w:t>
      </w:r>
      <w:r w:rsidRPr="001A2B81">
        <w:rPr>
          <w:lang w:val="en-GB"/>
        </w:rPr>
        <w:t>appropriate models of community-led development</w:t>
      </w:r>
      <w:r w:rsidR="00C64426">
        <w:rPr>
          <w:lang w:val="en-GB"/>
        </w:rPr>
        <w:t xml:space="preserve"> via </w:t>
      </w:r>
      <w:r w:rsidR="00AE789C">
        <w:rPr>
          <w:lang w:val="en-GB"/>
        </w:rPr>
        <w:t>South-South and technical cooperation</w:t>
      </w:r>
      <w:r w:rsidR="00AE789C" w:rsidRPr="001A2B81">
        <w:rPr>
          <w:lang w:val="en-GB"/>
        </w:rPr>
        <w:t xml:space="preserve"> </w:t>
      </w:r>
      <w:r w:rsidR="00C64426">
        <w:rPr>
          <w:lang w:val="en-GB"/>
        </w:rPr>
        <w:t>approaches</w:t>
      </w:r>
      <w:r w:rsidRPr="001A2B81">
        <w:rPr>
          <w:lang w:val="en-GB"/>
        </w:rPr>
        <w:t xml:space="preserve">. </w:t>
      </w:r>
      <w:r w:rsidR="00C0289F">
        <w:rPr>
          <w:lang w:val="en-GB"/>
        </w:rPr>
        <w:t>T</w:t>
      </w:r>
      <w:r w:rsidR="00830102" w:rsidRPr="001A2B81">
        <w:rPr>
          <w:lang w:val="en-GB"/>
        </w:rPr>
        <w:t xml:space="preserve">his will </w:t>
      </w:r>
      <w:r w:rsidR="00647B22">
        <w:rPr>
          <w:lang w:val="en-GB"/>
        </w:rPr>
        <w:t xml:space="preserve">help </w:t>
      </w:r>
      <w:r w:rsidR="00AE789C">
        <w:rPr>
          <w:lang w:val="en-GB"/>
        </w:rPr>
        <w:t xml:space="preserve">to </w:t>
      </w:r>
      <w:r w:rsidRPr="001A2B81">
        <w:rPr>
          <w:lang w:val="en-GB"/>
        </w:rPr>
        <w:t>r</w:t>
      </w:r>
      <w:r w:rsidR="00647B22">
        <w:rPr>
          <w:lang w:val="en-GB"/>
        </w:rPr>
        <w:t>ealize</w:t>
      </w:r>
      <w:r w:rsidR="00B408CA" w:rsidRPr="001A2B81">
        <w:rPr>
          <w:lang w:val="en-GB"/>
        </w:rPr>
        <w:t xml:space="preserve"> </w:t>
      </w:r>
      <w:r w:rsidR="00AE789C">
        <w:rPr>
          <w:lang w:val="en-GB"/>
        </w:rPr>
        <w:t>women's</w:t>
      </w:r>
      <w:r w:rsidR="00AE789C" w:rsidRPr="001A2B81">
        <w:rPr>
          <w:lang w:val="en-GB"/>
        </w:rPr>
        <w:t xml:space="preserve"> </w:t>
      </w:r>
      <w:r w:rsidR="00B408CA" w:rsidRPr="001A2B81">
        <w:rPr>
          <w:lang w:val="en-GB"/>
        </w:rPr>
        <w:t>untapped potential</w:t>
      </w:r>
      <w:r w:rsidRPr="001A2B81">
        <w:rPr>
          <w:lang w:val="en-GB"/>
        </w:rPr>
        <w:t xml:space="preserve"> for expanded production and delivering social and </w:t>
      </w:r>
      <w:r w:rsidR="007C0A63" w:rsidRPr="001A2B81">
        <w:rPr>
          <w:lang w:val="en-GB"/>
        </w:rPr>
        <w:t>human development improvements.</w:t>
      </w:r>
    </w:p>
    <w:p w14:paraId="211FEAA2" w14:textId="01AF865F" w:rsidR="001A2B81" w:rsidRPr="005E48BE" w:rsidRDefault="00796B6E" w:rsidP="00A9743B">
      <w:pPr>
        <w:pStyle w:val="ListParagraph"/>
        <w:numPr>
          <w:ilvl w:val="0"/>
          <w:numId w:val="2"/>
        </w:numPr>
        <w:tabs>
          <w:tab w:val="left" w:pos="1080"/>
        </w:tabs>
        <w:spacing w:after="120"/>
        <w:ind w:right="720" w:firstLine="0"/>
        <w:jc w:val="both"/>
        <w:rPr>
          <w:lang w:val="en-GB"/>
        </w:rPr>
      </w:pPr>
      <w:r w:rsidRPr="001A2B81">
        <w:rPr>
          <w:lang w:val="en-GB"/>
        </w:rPr>
        <w:t xml:space="preserve">UNDP will </w:t>
      </w:r>
      <w:r w:rsidR="00C64426">
        <w:rPr>
          <w:lang w:val="en-GB"/>
        </w:rPr>
        <w:t>foster</w:t>
      </w:r>
      <w:r w:rsidR="00AD1ED9">
        <w:rPr>
          <w:lang w:val="en-GB"/>
        </w:rPr>
        <w:t xml:space="preserve"> </w:t>
      </w:r>
      <w:r w:rsidR="00ED70C5" w:rsidRPr="001A2B81">
        <w:rPr>
          <w:lang w:val="en-GB"/>
        </w:rPr>
        <w:t>the applic</w:t>
      </w:r>
      <w:r w:rsidR="00215AD6" w:rsidRPr="001A2B81">
        <w:rPr>
          <w:lang w:val="en-GB"/>
        </w:rPr>
        <w:t>a</w:t>
      </w:r>
      <w:r w:rsidR="00ED70C5" w:rsidRPr="001A2B81">
        <w:rPr>
          <w:lang w:val="en-GB"/>
        </w:rPr>
        <w:t>tion</w:t>
      </w:r>
      <w:r w:rsidR="00AD1ED9">
        <w:rPr>
          <w:lang w:val="en-GB"/>
        </w:rPr>
        <w:t xml:space="preserve"> </w:t>
      </w:r>
      <w:r w:rsidR="007C0A63" w:rsidRPr="001A2B81">
        <w:rPr>
          <w:lang w:val="en-GB"/>
        </w:rPr>
        <w:t xml:space="preserve">of </w:t>
      </w:r>
      <w:r w:rsidR="00011A5D">
        <w:rPr>
          <w:lang w:val="en-GB"/>
        </w:rPr>
        <w:t xml:space="preserve">innovative </w:t>
      </w:r>
      <w:r w:rsidR="007C0A63" w:rsidRPr="001A2B81">
        <w:rPr>
          <w:lang w:val="en-GB"/>
        </w:rPr>
        <w:t>multi</w:t>
      </w:r>
      <w:r w:rsidRPr="001A2B81">
        <w:rPr>
          <w:lang w:val="en-GB"/>
        </w:rPr>
        <w:t xml:space="preserve">dimensional </w:t>
      </w:r>
      <w:r w:rsidR="007C0A63" w:rsidRPr="001A2B81">
        <w:rPr>
          <w:lang w:val="en-GB"/>
        </w:rPr>
        <w:t xml:space="preserve">methods for </w:t>
      </w:r>
      <w:r w:rsidR="001E50BD">
        <w:rPr>
          <w:lang w:val="en-GB"/>
        </w:rPr>
        <w:t xml:space="preserve">targeting poverty reduction </w:t>
      </w:r>
      <w:r w:rsidR="00C64426">
        <w:rPr>
          <w:lang w:val="en-GB"/>
        </w:rPr>
        <w:t xml:space="preserve">programmes </w:t>
      </w:r>
      <w:r w:rsidR="001E6DAB">
        <w:rPr>
          <w:lang w:val="en-GB"/>
        </w:rPr>
        <w:t>and policies</w:t>
      </w:r>
      <w:r w:rsidRPr="001A2B81">
        <w:rPr>
          <w:lang w:val="en-GB"/>
        </w:rPr>
        <w:t xml:space="preserve">. This will contribute to </w:t>
      </w:r>
      <w:r w:rsidR="00AE789C">
        <w:rPr>
          <w:lang w:val="en-GB"/>
        </w:rPr>
        <w:t>g</w:t>
      </w:r>
      <w:r w:rsidR="00AE789C" w:rsidRPr="001A2B81">
        <w:rPr>
          <w:lang w:val="en-GB"/>
        </w:rPr>
        <w:t xml:space="preserve">overnment </w:t>
      </w:r>
      <w:r w:rsidRPr="001A2B81">
        <w:rPr>
          <w:lang w:val="en-GB"/>
        </w:rPr>
        <w:t xml:space="preserve">efforts to eradicate pockets of extreme poverty and address </w:t>
      </w:r>
      <w:r w:rsidR="001E50BD">
        <w:rPr>
          <w:lang w:val="en-GB"/>
        </w:rPr>
        <w:t xml:space="preserve">new forms of exclusion </w:t>
      </w:r>
      <w:r w:rsidR="007C0A63" w:rsidRPr="001A2B81">
        <w:rPr>
          <w:lang w:val="en-GB"/>
        </w:rPr>
        <w:t>in fast-</w:t>
      </w:r>
      <w:r w:rsidRPr="001A2B81">
        <w:rPr>
          <w:lang w:val="en-GB"/>
        </w:rPr>
        <w:t xml:space="preserve">growing cities. </w:t>
      </w:r>
      <w:r w:rsidR="00011A5D">
        <w:rPr>
          <w:lang w:val="en-GB"/>
        </w:rPr>
        <w:t>W</w:t>
      </w:r>
      <w:r w:rsidRPr="001A2B81">
        <w:rPr>
          <w:lang w:val="en-GB"/>
        </w:rPr>
        <w:t xml:space="preserve">orking with leading urban </w:t>
      </w:r>
      <w:r w:rsidR="007C0A63" w:rsidRPr="001A2B81">
        <w:rPr>
          <w:lang w:val="en-GB"/>
        </w:rPr>
        <w:t>administrations</w:t>
      </w:r>
      <w:r w:rsidR="00E7308E">
        <w:rPr>
          <w:lang w:val="en-GB"/>
        </w:rPr>
        <w:t xml:space="preserve">, </w:t>
      </w:r>
      <w:r w:rsidR="00AE789C">
        <w:rPr>
          <w:lang w:val="en-GB"/>
        </w:rPr>
        <w:t xml:space="preserve">the </w:t>
      </w:r>
      <w:r w:rsidR="00E7308E">
        <w:rPr>
          <w:lang w:val="en-GB"/>
        </w:rPr>
        <w:t xml:space="preserve">private sector </w:t>
      </w:r>
      <w:r w:rsidR="004D1069" w:rsidRPr="001A2B81">
        <w:rPr>
          <w:lang w:val="en-GB"/>
        </w:rPr>
        <w:t>and civil society</w:t>
      </w:r>
      <w:r w:rsidR="007C0A63" w:rsidRPr="001A2B81">
        <w:rPr>
          <w:lang w:val="en-GB"/>
        </w:rPr>
        <w:t xml:space="preserve">, </w:t>
      </w:r>
      <w:r w:rsidR="00B408CA" w:rsidRPr="001A2B81">
        <w:rPr>
          <w:lang w:val="en-GB"/>
        </w:rPr>
        <w:t xml:space="preserve">UNDP </w:t>
      </w:r>
      <w:r w:rsidRPr="001A2B81">
        <w:rPr>
          <w:lang w:val="en-GB"/>
        </w:rPr>
        <w:t xml:space="preserve">will </w:t>
      </w:r>
      <w:r w:rsidR="00145A0F">
        <w:rPr>
          <w:lang w:val="en-GB"/>
        </w:rPr>
        <w:t xml:space="preserve">help </w:t>
      </w:r>
      <w:r w:rsidR="00AE789C">
        <w:rPr>
          <w:lang w:val="en-GB"/>
        </w:rPr>
        <w:t xml:space="preserve">to </w:t>
      </w:r>
      <w:r w:rsidR="001E50BD">
        <w:rPr>
          <w:lang w:val="en-GB"/>
        </w:rPr>
        <w:t xml:space="preserve">identify and scale </w:t>
      </w:r>
      <w:r w:rsidR="00145A0F">
        <w:rPr>
          <w:lang w:val="en-GB"/>
        </w:rPr>
        <w:t>up</w:t>
      </w:r>
      <w:r w:rsidR="00145A0F" w:rsidRPr="001A2B81">
        <w:rPr>
          <w:lang w:val="en-GB"/>
        </w:rPr>
        <w:t xml:space="preserve"> </w:t>
      </w:r>
      <w:r w:rsidR="00145A0F">
        <w:rPr>
          <w:lang w:val="en-GB"/>
        </w:rPr>
        <w:t xml:space="preserve">innovative </w:t>
      </w:r>
      <w:r w:rsidRPr="001A2B81">
        <w:rPr>
          <w:lang w:val="en-GB"/>
        </w:rPr>
        <w:t xml:space="preserve">cross-sectoral </w:t>
      </w:r>
      <w:r w:rsidR="00145A0F">
        <w:rPr>
          <w:lang w:val="en-GB"/>
        </w:rPr>
        <w:t>solutions,</w:t>
      </w:r>
      <w:r w:rsidRPr="001A2B81">
        <w:rPr>
          <w:lang w:val="en-GB"/>
        </w:rPr>
        <w:t xml:space="preserve"> under a </w:t>
      </w:r>
      <w:r w:rsidRPr="00AE789C">
        <w:rPr>
          <w:lang w:val="en-GB"/>
        </w:rPr>
        <w:t>liv</w:t>
      </w:r>
      <w:r w:rsidR="001F621B" w:rsidRPr="00AE789C">
        <w:rPr>
          <w:lang w:val="en-GB"/>
        </w:rPr>
        <w:t>e</w:t>
      </w:r>
      <w:r w:rsidRPr="00AE789C">
        <w:rPr>
          <w:lang w:val="en-GB"/>
        </w:rPr>
        <w:t>able cities</w:t>
      </w:r>
      <w:r w:rsidR="007C0A63" w:rsidRPr="001A2B81">
        <w:rPr>
          <w:lang w:val="en-GB"/>
        </w:rPr>
        <w:t xml:space="preserve"> model</w:t>
      </w:r>
      <w:r w:rsidR="005E48BE">
        <w:rPr>
          <w:lang w:val="en-GB"/>
        </w:rPr>
        <w:t>, bringing together multiple dimensions</w:t>
      </w:r>
      <w:r w:rsidR="00145A0F">
        <w:rPr>
          <w:lang w:val="en-GB"/>
        </w:rPr>
        <w:t xml:space="preserve"> </w:t>
      </w:r>
      <w:r w:rsidR="00AE789C">
        <w:rPr>
          <w:lang w:val="en-GB"/>
        </w:rPr>
        <w:t xml:space="preserve">of the Sustainable Development Goals </w:t>
      </w:r>
      <w:r w:rsidR="00145A0F">
        <w:rPr>
          <w:lang w:val="en-GB"/>
        </w:rPr>
        <w:t xml:space="preserve">to </w:t>
      </w:r>
      <w:r w:rsidR="009857BC" w:rsidRPr="005E48BE">
        <w:rPr>
          <w:lang w:val="en-GB"/>
        </w:rPr>
        <w:t xml:space="preserve">address </w:t>
      </w:r>
      <w:r w:rsidR="00B408CA" w:rsidRPr="005E48BE">
        <w:rPr>
          <w:lang w:val="en-GB"/>
        </w:rPr>
        <w:t>urban poverty</w:t>
      </w:r>
      <w:r w:rsidR="001E19D7" w:rsidRPr="005E48BE">
        <w:rPr>
          <w:lang w:val="en-GB"/>
        </w:rPr>
        <w:t xml:space="preserve">, </w:t>
      </w:r>
      <w:r w:rsidR="00B408CA" w:rsidRPr="005E48BE">
        <w:rPr>
          <w:lang w:val="en-GB"/>
        </w:rPr>
        <w:t>governance</w:t>
      </w:r>
      <w:r w:rsidR="001E19D7" w:rsidRPr="005E48BE">
        <w:rPr>
          <w:lang w:val="en-GB"/>
        </w:rPr>
        <w:t>, greening and resilience.</w:t>
      </w:r>
      <w:r w:rsidR="00E7308E">
        <w:rPr>
          <w:lang w:val="en-GB"/>
        </w:rPr>
        <w:t xml:space="preserve"> I</w:t>
      </w:r>
      <w:r w:rsidR="00682BBB" w:rsidRPr="005E48BE">
        <w:rPr>
          <w:lang w:val="en-GB"/>
        </w:rPr>
        <w:t xml:space="preserve">n concert with development partners, UNDP will advance a broader policy agenda to expand economic opportunities </w:t>
      </w:r>
      <w:r w:rsidR="001E50BD">
        <w:rPr>
          <w:lang w:val="en-GB"/>
        </w:rPr>
        <w:t>for equitable growth</w:t>
      </w:r>
      <w:r w:rsidR="00682BBB" w:rsidRPr="005E48BE">
        <w:rPr>
          <w:lang w:val="en-GB"/>
        </w:rPr>
        <w:t>.</w:t>
      </w:r>
    </w:p>
    <w:p w14:paraId="1F2F74C3" w14:textId="726A5167" w:rsidR="00C70134" w:rsidRPr="00956B24" w:rsidRDefault="00ED70C5" w:rsidP="00A9743B">
      <w:pPr>
        <w:pStyle w:val="ListParagraph"/>
        <w:numPr>
          <w:ilvl w:val="0"/>
          <w:numId w:val="2"/>
        </w:numPr>
        <w:tabs>
          <w:tab w:val="left" w:pos="1080"/>
        </w:tabs>
        <w:spacing w:after="120"/>
        <w:ind w:right="720" w:firstLine="0"/>
        <w:jc w:val="both"/>
        <w:rPr>
          <w:lang w:val="en-GB"/>
        </w:rPr>
      </w:pPr>
      <w:r w:rsidRPr="001A2B81">
        <w:rPr>
          <w:lang w:val="en-GB"/>
        </w:rPr>
        <w:t xml:space="preserve">UNDP will support </w:t>
      </w:r>
      <w:r w:rsidR="00C64426">
        <w:rPr>
          <w:lang w:val="en-GB"/>
        </w:rPr>
        <w:t xml:space="preserve">the </w:t>
      </w:r>
      <w:r w:rsidR="009857BC" w:rsidRPr="001A2B81">
        <w:rPr>
          <w:lang w:val="en-GB"/>
        </w:rPr>
        <w:t>roll</w:t>
      </w:r>
      <w:r w:rsidR="00AE789C">
        <w:rPr>
          <w:lang w:val="en-GB"/>
        </w:rPr>
        <w:t>-</w:t>
      </w:r>
      <w:r w:rsidRPr="001A2B81">
        <w:rPr>
          <w:lang w:val="en-GB"/>
        </w:rPr>
        <w:t xml:space="preserve">out of </w:t>
      </w:r>
      <w:r w:rsidR="00796B6E" w:rsidRPr="001A2B81">
        <w:rPr>
          <w:lang w:val="en-GB"/>
        </w:rPr>
        <w:t xml:space="preserve">the Government’s Master Plan for Social Assistance Reform </w:t>
      </w:r>
      <w:r w:rsidRPr="001A2B81">
        <w:rPr>
          <w:lang w:val="en-GB"/>
        </w:rPr>
        <w:t xml:space="preserve">to </w:t>
      </w:r>
      <w:r w:rsidR="00796B6E" w:rsidRPr="001A2B81">
        <w:rPr>
          <w:lang w:val="en-GB"/>
        </w:rPr>
        <w:t>deliver</w:t>
      </w:r>
      <w:r w:rsidR="00AD1ED9">
        <w:rPr>
          <w:lang w:val="en-GB"/>
        </w:rPr>
        <w:t xml:space="preserve"> </w:t>
      </w:r>
      <w:r w:rsidR="00796B6E" w:rsidRPr="001A2B81">
        <w:rPr>
          <w:lang w:val="en-GB"/>
        </w:rPr>
        <w:t xml:space="preserve">transformational changes to the social protection </w:t>
      </w:r>
      <w:r w:rsidRPr="001A2B81">
        <w:rPr>
          <w:lang w:val="en-GB"/>
        </w:rPr>
        <w:t>system</w:t>
      </w:r>
      <w:r w:rsidR="00796B6E" w:rsidRPr="001A2B81">
        <w:rPr>
          <w:lang w:val="en-GB"/>
        </w:rPr>
        <w:t>.</w:t>
      </w:r>
      <w:r w:rsidR="00026020">
        <w:rPr>
          <w:lang w:val="en-GB"/>
        </w:rPr>
        <w:t xml:space="preserve"> Building on its experience with institutional reform and </w:t>
      </w:r>
      <w:r w:rsidR="001E50BD">
        <w:rPr>
          <w:lang w:val="en-GB"/>
        </w:rPr>
        <w:t xml:space="preserve">strong </w:t>
      </w:r>
      <w:r w:rsidR="00956B24">
        <w:rPr>
          <w:lang w:val="en-GB"/>
        </w:rPr>
        <w:t>U</w:t>
      </w:r>
      <w:r w:rsidR="00AE789C">
        <w:rPr>
          <w:lang w:val="en-GB"/>
        </w:rPr>
        <w:t xml:space="preserve">nited </w:t>
      </w:r>
      <w:r w:rsidR="00956B24">
        <w:rPr>
          <w:lang w:val="en-GB"/>
        </w:rPr>
        <w:t>N</w:t>
      </w:r>
      <w:r w:rsidR="00AE789C">
        <w:rPr>
          <w:lang w:val="en-GB"/>
        </w:rPr>
        <w:t>ations</w:t>
      </w:r>
      <w:r w:rsidR="00956B24">
        <w:rPr>
          <w:lang w:val="en-GB"/>
        </w:rPr>
        <w:t xml:space="preserve"> partnerships</w:t>
      </w:r>
      <w:r w:rsidR="00026020">
        <w:rPr>
          <w:lang w:val="en-GB"/>
        </w:rPr>
        <w:t xml:space="preserve">, </w:t>
      </w:r>
      <w:r w:rsidR="007C0A63" w:rsidRPr="001A2B81">
        <w:rPr>
          <w:lang w:val="en-GB"/>
        </w:rPr>
        <w:t>UNDP</w:t>
      </w:r>
      <w:r w:rsidR="00796B6E" w:rsidRPr="001A2B81">
        <w:rPr>
          <w:lang w:val="en-GB"/>
        </w:rPr>
        <w:t xml:space="preserve"> will </w:t>
      </w:r>
      <w:r w:rsidR="00543AAE" w:rsidRPr="001A2B81">
        <w:rPr>
          <w:lang w:val="en-GB"/>
        </w:rPr>
        <w:t>promote</w:t>
      </w:r>
      <w:r w:rsidR="00AD1ED9">
        <w:rPr>
          <w:lang w:val="en-GB"/>
        </w:rPr>
        <w:t xml:space="preserve"> </w:t>
      </w:r>
      <w:r w:rsidR="00956B24">
        <w:rPr>
          <w:lang w:val="en-GB"/>
        </w:rPr>
        <w:t xml:space="preserve">a </w:t>
      </w:r>
      <w:r w:rsidR="007C0A63" w:rsidRPr="001A2B81">
        <w:rPr>
          <w:lang w:val="en-GB"/>
        </w:rPr>
        <w:t>life</w:t>
      </w:r>
      <w:r w:rsidR="004D17C8">
        <w:rPr>
          <w:lang w:val="en-GB"/>
        </w:rPr>
        <w:t>-</w:t>
      </w:r>
      <w:r w:rsidR="007C0A63" w:rsidRPr="001A2B81">
        <w:rPr>
          <w:lang w:val="en-GB"/>
        </w:rPr>
        <w:t>cycle-</w:t>
      </w:r>
      <w:r w:rsidR="00796B6E" w:rsidRPr="001A2B81">
        <w:rPr>
          <w:lang w:val="en-GB"/>
        </w:rPr>
        <w:t xml:space="preserve">based </w:t>
      </w:r>
      <w:r w:rsidR="00956B24">
        <w:rPr>
          <w:lang w:val="en-GB"/>
        </w:rPr>
        <w:t>approach</w:t>
      </w:r>
      <w:r w:rsidR="009637C9">
        <w:rPr>
          <w:lang w:val="en-GB"/>
        </w:rPr>
        <w:t xml:space="preserve"> and</w:t>
      </w:r>
      <w:r w:rsidR="00AD1ED9">
        <w:rPr>
          <w:lang w:val="en-GB"/>
        </w:rPr>
        <w:t xml:space="preserve"> </w:t>
      </w:r>
      <w:r w:rsidR="009637C9">
        <w:rPr>
          <w:lang w:val="en-GB"/>
        </w:rPr>
        <w:t>increased public investment</w:t>
      </w:r>
      <w:r w:rsidR="001E50BD">
        <w:rPr>
          <w:lang w:val="en-GB"/>
        </w:rPr>
        <w:t>,</w:t>
      </w:r>
      <w:r w:rsidR="009637C9">
        <w:rPr>
          <w:lang w:val="en-GB"/>
        </w:rPr>
        <w:t xml:space="preserve"> enabling </w:t>
      </w:r>
      <w:r w:rsidR="00C64426">
        <w:rPr>
          <w:lang w:val="en-GB"/>
        </w:rPr>
        <w:t xml:space="preserve">higher </w:t>
      </w:r>
      <w:r w:rsidR="00796B6E" w:rsidRPr="001A2B81">
        <w:rPr>
          <w:lang w:val="en-GB"/>
        </w:rPr>
        <w:t>transfer levels and un</w:t>
      </w:r>
      <w:r w:rsidR="007C0A63" w:rsidRPr="001A2B81">
        <w:rPr>
          <w:lang w:val="en-GB"/>
        </w:rPr>
        <w:t>iversal coverage</w:t>
      </w:r>
      <w:r w:rsidR="00956B24">
        <w:rPr>
          <w:lang w:val="en-GB"/>
        </w:rPr>
        <w:t xml:space="preserve">. UNDP will thereby </w:t>
      </w:r>
      <w:r w:rsidR="009637C9">
        <w:rPr>
          <w:lang w:val="en-GB"/>
        </w:rPr>
        <w:t xml:space="preserve">contribute to </w:t>
      </w:r>
      <w:r w:rsidR="00956B24">
        <w:rPr>
          <w:lang w:val="en-GB"/>
        </w:rPr>
        <w:t>strengthen</w:t>
      </w:r>
      <w:r w:rsidR="009637C9">
        <w:rPr>
          <w:lang w:val="en-GB"/>
        </w:rPr>
        <w:t>ing</w:t>
      </w:r>
      <w:r w:rsidR="00956B24">
        <w:rPr>
          <w:lang w:val="en-GB"/>
        </w:rPr>
        <w:t xml:space="preserve"> the resilience of the </w:t>
      </w:r>
      <w:r w:rsidR="00956B24" w:rsidRPr="001A2B81">
        <w:rPr>
          <w:lang w:val="en-GB"/>
        </w:rPr>
        <w:t>near-poor and lower middle-income groups</w:t>
      </w:r>
      <w:r w:rsidR="00956B24">
        <w:rPr>
          <w:lang w:val="en-GB"/>
        </w:rPr>
        <w:t xml:space="preserve">, </w:t>
      </w:r>
      <w:r w:rsidR="00964073">
        <w:rPr>
          <w:lang w:val="en-GB"/>
        </w:rPr>
        <w:t>prevent</w:t>
      </w:r>
      <w:r w:rsidR="009637C9">
        <w:rPr>
          <w:lang w:val="en-GB"/>
        </w:rPr>
        <w:t>ing</w:t>
      </w:r>
      <w:r w:rsidR="00964073">
        <w:rPr>
          <w:lang w:val="en-GB"/>
        </w:rPr>
        <w:t xml:space="preserve"> them from falling back into poverty</w:t>
      </w:r>
      <w:r w:rsidR="00956B24">
        <w:rPr>
          <w:lang w:val="en-GB"/>
        </w:rPr>
        <w:t>.</w:t>
      </w:r>
    </w:p>
    <w:p w14:paraId="4857EA83" w14:textId="77777777" w:rsidR="0021505D" w:rsidRPr="001F621B" w:rsidRDefault="0021505D" w:rsidP="00A9743B">
      <w:pPr>
        <w:tabs>
          <w:tab w:val="left" w:pos="1080"/>
        </w:tabs>
        <w:spacing w:after="120"/>
        <w:ind w:left="720" w:right="720"/>
        <w:jc w:val="both"/>
        <w:rPr>
          <w:b/>
          <w:lang w:val="en-GB"/>
        </w:rPr>
      </w:pPr>
      <w:r w:rsidRPr="001F621B">
        <w:rPr>
          <w:b/>
          <w:lang w:val="en-GB"/>
        </w:rPr>
        <w:t xml:space="preserve">Outcome 2: </w:t>
      </w:r>
      <w:r w:rsidRPr="001F621B">
        <w:rPr>
          <w:b/>
          <w:bCs/>
          <w:iCs/>
          <w:color w:val="000000"/>
          <w:lang w:val="en-GB"/>
        </w:rPr>
        <w:t>Low-carbon</w:t>
      </w:r>
      <w:r w:rsidR="00217124" w:rsidRPr="001F621B">
        <w:rPr>
          <w:b/>
          <w:bCs/>
          <w:iCs/>
          <w:color w:val="000000"/>
          <w:lang w:val="en-GB"/>
        </w:rPr>
        <w:t xml:space="preserve">, resilient and </w:t>
      </w:r>
      <w:r w:rsidR="00C60B24" w:rsidRPr="001F621B">
        <w:rPr>
          <w:b/>
          <w:bCs/>
          <w:iCs/>
          <w:color w:val="000000"/>
          <w:lang w:val="en-GB"/>
        </w:rPr>
        <w:t xml:space="preserve">environmentally </w:t>
      </w:r>
      <w:r w:rsidR="00217124" w:rsidRPr="001F621B">
        <w:rPr>
          <w:b/>
          <w:bCs/>
          <w:iCs/>
          <w:color w:val="000000"/>
          <w:lang w:val="en-GB"/>
        </w:rPr>
        <w:t>sustainable</w:t>
      </w:r>
      <w:r w:rsidRPr="001F621B">
        <w:rPr>
          <w:b/>
          <w:bCs/>
          <w:iCs/>
          <w:color w:val="000000"/>
          <w:lang w:val="en-GB"/>
        </w:rPr>
        <w:t xml:space="preserve"> development</w:t>
      </w:r>
    </w:p>
    <w:p w14:paraId="14D7A0E9" w14:textId="09DB4B5A" w:rsidR="001A2B81" w:rsidRPr="00874900" w:rsidRDefault="00E7308E" w:rsidP="00A9743B">
      <w:pPr>
        <w:pStyle w:val="ListParagraph"/>
        <w:numPr>
          <w:ilvl w:val="0"/>
          <w:numId w:val="2"/>
        </w:numPr>
        <w:tabs>
          <w:tab w:val="left" w:pos="1080"/>
        </w:tabs>
        <w:spacing w:after="120"/>
        <w:ind w:right="720" w:firstLine="0"/>
        <w:jc w:val="both"/>
        <w:rPr>
          <w:lang w:val="en-GB"/>
        </w:rPr>
      </w:pPr>
      <w:r>
        <w:rPr>
          <w:lang w:val="en-GB"/>
        </w:rPr>
        <w:t>UNDP will promote l</w:t>
      </w:r>
      <w:r w:rsidR="00323488" w:rsidRPr="001A2B81">
        <w:rPr>
          <w:lang w:val="en-GB"/>
        </w:rPr>
        <w:t xml:space="preserve">ow-carbon and climate-resilient development </w:t>
      </w:r>
      <w:r>
        <w:rPr>
          <w:lang w:val="en-GB"/>
        </w:rPr>
        <w:t xml:space="preserve">to </w:t>
      </w:r>
      <w:r w:rsidR="005C3127">
        <w:rPr>
          <w:lang w:val="en-GB"/>
        </w:rPr>
        <w:t>improv</w:t>
      </w:r>
      <w:r>
        <w:rPr>
          <w:lang w:val="en-GB"/>
        </w:rPr>
        <w:t>e</w:t>
      </w:r>
      <w:r w:rsidR="00323488" w:rsidRPr="001A2B81">
        <w:rPr>
          <w:lang w:val="en-GB"/>
        </w:rPr>
        <w:t xml:space="preserve"> people’s well-being and </w:t>
      </w:r>
      <w:r w:rsidR="00211EAA" w:rsidRPr="001A2B81">
        <w:rPr>
          <w:lang w:val="en-GB"/>
        </w:rPr>
        <w:t xml:space="preserve">expand the </w:t>
      </w:r>
      <w:r w:rsidR="005C3127">
        <w:rPr>
          <w:lang w:val="en-GB"/>
        </w:rPr>
        <w:t xml:space="preserve">benefits </w:t>
      </w:r>
      <w:r>
        <w:rPr>
          <w:lang w:val="en-GB"/>
        </w:rPr>
        <w:t xml:space="preserve">of </w:t>
      </w:r>
      <w:r w:rsidR="005C3127">
        <w:rPr>
          <w:lang w:val="en-GB"/>
        </w:rPr>
        <w:t xml:space="preserve">a more </w:t>
      </w:r>
      <w:r w:rsidR="00323488" w:rsidRPr="001A2B81">
        <w:rPr>
          <w:lang w:val="en-GB"/>
        </w:rPr>
        <w:t xml:space="preserve">sustainable economy. </w:t>
      </w:r>
      <w:r w:rsidR="00F75A4D">
        <w:rPr>
          <w:lang w:val="en-GB"/>
        </w:rPr>
        <w:t>E</w:t>
      </w:r>
      <w:r w:rsidR="005C3127">
        <w:rPr>
          <w:lang w:val="en-GB"/>
        </w:rPr>
        <w:t xml:space="preserve">arly implementation of </w:t>
      </w:r>
      <w:r w:rsidR="00AE789C">
        <w:rPr>
          <w:lang w:val="en-GB"/>
        </w:rPr>
        <w:t>Sustainable Development Goal</w:t>
      </w:r>
      <w:r w:rsidR="005C3127">
        <w:rPr>
          <w:lang w:val="en-GB"/>
        </w:rPr>
        <w:t xml:space="preserve"> 13 under the Paris Agreement will be accelerated by</w:t>
      </w:r>
      <w:r w:rsidR="00323488" w:rsidRPr="001A2B81">
        <w:rPr>
          <w:lang w:val="en-GB"/>
        </w:rPr>
        <w:t xml:space="preserve"> </w:t>
      </w:r>
      <w:r w:rsidR="00F75A4D">
        <w:rPr>
          <w:lang w:val="en-GB"/>
        </w:rPr>
        <w:t>scaling</w:t>
      </w:r>
      <w:r w:rsidR="00AE789C">
        <w:rPr>
          <w:lang w:val="en-GB"/>
        </w:rPr>
        <w:t xml:space="preserve"> </w:t>
      </w:r>
      <w:r w:rsidR="00F75A4D">
        <w:rPr>
          <w:lang w:val="en-GB"/>
        </w:rPr>
        <w:t>up</w:t>
      </w:r>
      <w:r w:rsidR="00F75A4D" w:rsidRPr="001A2B81">
        <w:rPr>
          <w:lang w:val="en-GB"/>
        </w:rPr>
        <w:t xml:space="preserve"> </w:t>
      </w:r>
      <w:r w:rsidR="00323488" w:rsidRPr="001A2B81">
        <w:rPr>
          <w:lang w:val="en-GB"/>
        </w:rPr>
        <w:t>re</w:t>
      </w:r>
      <w:r w:rsidR="005C3127">
        <w:rPr>
          <w:lang w:val="en-GB"/>
        </w:rPr>
        <w:t>newable energy</w:t>
      </w:r>
      <w:r w:rsidR="00F75A4D">
        <w:rPr>
          <w:lang w:val="en-GB"/>
        </w:rPr>
        <w:t>,</w:t>
      </w:r>
      <w:r w:rsidR="00323488" w:rsidRPr="001A2B81">
        <w:rPr>
          <w:lang w:val="en-GB"/>
        </w:rPr>
        <w:t xml:space="preserve"> realizing efficiency gains in </w:t>
      </w:r>
      <w:r w:rsidR="00874900" w:rsidRPr="001A2B81">
        <w:rPr>
          <w:lang w:val="en-GB"/>
        </w:rPr>
        <w:t>industr</w:t>
      </w:r>
      <w:r w:rsidR="00874900">
        <w:rPr>
          <w:lang w:val="en-GB"/>
        </w:rPr>
        <w:t>y</w:t>
      </w:r>
      <w:r w:rsidR="00874900" w:rsidRPr="001A2B81">
        <w:rPr>
          <w:lang w:val="en-GB"/>
        </w:rPr>
        <w:t xml:space="preserve"> </w:t>
      </w:r>
      <w:r w:rsidR="00323488" w:rsidRPr="001A2B81">
        <w:rPr>
          <w:lang w:val="en-GB"/>
        </w:rPr>
        <w:t>and transportation</w:t>
      </w:r>
      <w:r w:rsidR="00F75A4D">
        <w:rPr>
          <w:lang w:val="en-GB"/>
        </w:rPr>
        <w:t xml:space="preserve"> </w:t>
      </w:r>
      <w:r w:rsidR="00874900">
        <w:rPr>
          <w:lang w:val="en-GB"/>
        </w:rPr>
        <w:t xml:space="preserve">and promoting clean </w:t>
      </w:r>
      <w:r w:rsidR="00323488" w:rsidRPr="001A2B81">
        <w:rPr>
          <w:lang w:val="en-GB"/>
        </w:rPr>
        <w:t>technology transfer and en</w:t>
      </w:r>
      <w:r w:rsidR="005C3127">
        <w:rPr>
          <w:lang w:val="en-GB"/>
        </w:rPr>
        <w:t>vironmental</w:t>
      </w:r>
      <w:r w:rsidR="00323488" w:rsidRPr="001A2B81">
        <w:rPr>
          <w:lang w:val="en-GB"/>
        </w:rPr>
        <w:t xml:space="preserve"> standards. UNDP will facilitate partnerships</w:t>
      </w:r>
      <w:r w:rsidR="00F75A4D">
        <w:rPr>
          <w:lang w:val="en-GB"/>
        </w:rPr>
        <w:t xml:space="preserve"> </w:t>
      </w:r>
      <w:r w:rsidR="00323488" w:rsidRPr="001A2B81">
        <w:rPr>
          <w:lang w:val="en-GB"/>
        </w:rPr>
        <w:t>with business</w:t>
      </w:r>
      <w:r w:rsidR="00874900">
        <w:rPr>
          <w:lang w:val="en-GB"/>
        </w:rPr>
        <w:t>es</w:t>
      </w:r>
      <w:r w:rsidR="00323488" w:rsidRPr="001A2B81">
        <w:rPr>
          <w:lang w:val="en-GB"/>
        </w:rPr>
        <w:t xml:space="preserve"> and civil society</w:t>
      </w:r>
      <w:r w:rsidR="00F75A4D" w:rsidRPr="00874900">
        <w:rPr>
          <w:lang w:val="en-GB"/>
        </w:rPr>
        <w:t xml:space="preserve"> and</w:t>
      </w:r>
      <w:r w:rsidR="00B8234D" w:rsidRPr="00874900">
        <w:rPr>
          <w:lang w:val="en-GB"/>
        </w:rPr>
        <w:t xml:space="preserve"> </w:t>
      </w:r>
      <w:r w:rsidR="00323488" w:rsidRPr="00874900">
        <w:rPr>
          <w:lang w:val="en-GB"/>
        </w:rPr>
        <w:t xml:space="preserve">assist </w:t>
      </w:r>
      <w:r w:rsidR="00193E7C">
        <w:rPr>
          <w:lang w:val="en-GB"/>
        </w:rPr>
        <w:t xml:space="preserve">the </w:t>
      </w:r>
      <w:r w:rsidR="00323488" w:rsidRPr="00874900">
        <w:rPr>
          <w:lang w:val="en-GB"/>
        </w:rPr>
        <w:t>Government to enact more effective policies and regulations, including through fiscal tools and a</w:t>
      </w:r>
      <w:r w:rsidR="00152B5B">
        <w:rPr>
          <w:lang w:val="en-GB"/>
        </w:rPr>
        <w:t xml:space="preserve"> </w:t>
      </w:r>
      <w:r w:rsidR="00323488" w:rsidRPr="00874900">
        <w:rPr>
          <w:lang w:val="en-GB"/>
        </w:rPr>
        <w:t>‘carbon</w:t>
      </w:r>
      <w:r w:rsidR="00874900">
        <w:rPr>
          <w:lang w:val="en-GB"/>
        </w:rPr>
        <w:t xml:space="preserve"> </w:t>
      </w:r>
      <w:r w:rsidR="00323488" w:rsidRPr="00874900">
        <w:rPr>
          <w:lang w:val="en-GB"/>
        </w:rPr>
        <w:t>tax’.</w:t>
      </w:r>
      <w:r w:rsidR="00E502DB" w:rsidRPr="00874900">
        <w:rPr>
          <w:lang w:val="en-GB"/>
        </w:rPr>
        <w:t xml:space="preserve"> </w:t>
      </w:r>
      <w:r w:rsidR="00B8234D" w:rsidRPr="00874900">
        <w:rPr>
          <w:lang w:val="en-GB"/>
        </w:rPr>
        <w:t xml:space="preserve">UNDP will </w:t>
      </w:r>
      <w:r w:rsidR="00874900">
        <w:rPr>
          <w:lang w:val="en-GB"/>
        </w:rPr>
        <w:t xml:space="preserve">initiate </w:t>
      </w:r>
      <w:r w:rsidR="0055616F">
        <w:rPr>
          <w:lang w:val="en-GB"/>
        </w:rPr>
        <w:t xml:space="preserve">awareness </w:t>
      </w:r>
      <w:r w:rsidR="00782503" w:rsidRPr="00874900">
        <w:rPr>
          <w:lang w:val="en-GB"/>
        </w:rPr>
        <w:t xml:space="preserve">campaigns to promote </w:t>
      </w:r>
      <w:r w:rsidR="00B8234D" w:rsidRPr="00874900">
        <w:rPr>
          <w:lang w:val="en-GB"/>
        </w:rPr>
        <w:t>behaviour</w:t>
      </w:r>
      <w:r w:rsidR="00AF0500" w:rsidRPr="00874900">
        <w:rPr>
          <w:lang w:val="en-GB"/>
        </w:rPr>
        <w:t>al</w:t>
      </w:r>
      <w:r w:rsidR="00B8234D" w:rsidRPr="00874900">
        <w:rPr>
          <w:lang w:val="en-GB"/>
        </w:rPr>
        <w:t xml:space="preserve"> change towards </w:t>
      </w:r>
      <w:r w:rsidR="0089106A">
        <w:rPr>
          <w:lang w:val="en-GB"/>
        </w:rPr>
        <w:t>sustainable</w:t>
      </w:r>
      <w:r w:rsidR="0089106A" w:rsidRPr="00874900">
        <w:rPr>
          <w:lang w:val="en-GB"/>
        </w:rPr>
        <w:t xml:space="preserve"> </w:t>
      </w:r>
      <w:r w:rsidR="00B8234D" w:rsidRPr="00874900">
        <w:rPr>
          <w:lang w:val="en-GB"/>
        </w:rPr>
        <w:t>consumption, especially among the growing middle class.</w:t>
      </w:r>
    </w:p>
    <w:p w14:paraId="7AEE008D" w14:textId="2DCBC35A" w:rsidR="001A2B81" w:rsidRPr="00DC7794" w:rsidRDefault="00323488" w:rsidP="00A9743B">
      <w:pPr>
        <w:pStyle w:val="ListParagraph"/>
        <w:numPr>
          <w:ilvl w:val="0"/>
          <w:numId w:val="2"/>
        </w:numPr>
        <w:tabs>
          <w:tab w:val="left" w:pos="1080"/>
        </w:tabs>
        <w:spacing w:after="120"/>
        <w:ind w:right="720" w:firstLine="0"/>
        <w:jc w:val="both"/>
        <w:rPr>
          <w:lang w:val="en-GB"/>
        </w:rPr>
      </w:pPr>
      <w:r w:rsidRPr="00DC7794">
        <w:rPr>
          <w:lang w:val="en-GB"/>
        </w:rPr>
        <w:t>Action to promote adaptation and resilience to climate change and disaster risks will focus on empowering the poor</w:t>
      </w:r>
      <w:r w:rsidR="00E502DB">
        <w:rPr>
          <w:lang w:val="en-GB"/>
        </w:rPr>
        <w:t xml:space="preserve"> </w:t>
      </w:r>
      <w:r w:rsidRPr="00DC7794">
        <w:rPr>
          <w:lang w:val="en-GB"/>
        </w:rPr>
        <w:t>and vulnerable groups</w:t>
      </w:r>
      <w:r w:rsidR="00DC7794" w:rsidRPr="00DC7794">
        <w:rPr>
          <w:lang w:val="en-GB"/>
        </w:rPr>
        <w:t xml:space="preserve">. UNDP will </w:t>
      </w:r>
      <w:r w:rsidR="00DC7794">
        <w:rPr>
          <w:lang w:val="en-GB"/>
        </w:rPr>
        <w:t xml:space="preserve">support the application </w:t>
      </w:r>
      <w:r w:rsidR="00883738">
        <w:rPr>
          <w:lang w:val="en-GB"/>
        </w:rPr>
        <w:t>and scaling</w:t>
      </w:r>
      <w:r w:rsidR="00874900">
        <w:rPr>
          <w:lang w:val="en-GB"/>
        </w:rPr>
        <w:t>-</w:t>
      </w:r>
      <w:r w:rsidR="00883738">
        <w:rPr>
          <w:lang w:val="en-GB"/>
        </w:rPr>
        <w:t xml:space="preserve">up </w:t>
      </w:r>
      <w:r w:rsidR="00DC7794">
        <w:rPr>
          <w:lang w:val="en-GB"/>
        </w:rPr>
        <w:t xml:space="preserve">of </w:t>
      </w:r>
      <w:r w:rsidRPr="00DC7794">
        <w:rPr>
          <w:lang w:val="en-GB"/>
        </w:rPr>
        <w:t>gender-sensitive</w:t>
      </w:r>
      <w:r w:rsidR="00DC7794">
        <w:rPr>
          <w:lang w:val="en-GB"/>
        </w:rPr>
        <w:t>,</w:t>
      </w:r>
      <w:r w:rsidRPr="00DC7794">
        <w:rPr>
          <w:lang w:val="en-GB"/>
        </w:rPr>
        <w:t xml:space="preserve"> community and ecosystem-based approaches</w:t>
      </w:r>
      <w:r w:rsidR="00F96C6F" w:rsidRPr="00DC7794">
        <w:rPr>
          <w:lang w:val="en-GB"/>
        </w:rPr>
        <w:t xml:space="preserve"> in the implementation of the </w:t>
      </w:r>
      <w:r w:rsidR="00882275" w:rsidRPr="00882275">
        <w:rPr>
          <w:lang w:val="en-GB"/>
        </w:rPr>
        <w:t xml:space="preserve">National Programmes on Storm and </w:t>
      </w:r>
      <w:r w:rsidR="00882275">
        <w:rPr>
          <w:lang w:val="en-GB"/>
        </w:rPr>
        <w:t>Flood-R</w:t>
      </w:r>
      <w:r w:rsidR="00882275" w:rsidRPr="00882275">
        <w:rPr>
          <w:lang w:val="en-GB"/>
        </w:rPr>
        <w:t xml:space="preserve">esilient Housing </w:t>
      </w:r>
      <w:r w:rsidR="00F96C6F" w:rsidRPr="00882275">
        <w:rPr>
          <w:lang w:val="en-GB"/>
        </w:rPr>
        <w:t xml:space="preserve">and </w:t>
      </w:r>
      <w:r w:rsidR="00882275" w:rsidRPr="00882275">
        <w:rPr>
          <w:lang w:val="en-GB"/>
        </w:rPr>
        <w:t>on Protection and Development of Coastal Forests</w:t>
      </w:r>
      <w:r w:rsidRPr="00DC7794">
        <w:rPr>
          <w:lang w:val="en-GB"/>
        </w:rPr>
        <w:t>. Innovative data</w:t>
      </w:r>
      <w:r w:rsidR="00F75A4D">
        <w:rPr>
          <w:lang w:val="en-GB"/>
        </w:rPr>
        <w:t xml:space="preserve"> collection</w:t>
      </w:r>
      <w:r w:rsidRPr="00DC7794">
        <w:rPr>
          <w:lang w:val="en-GB"/>
        </w:rPr>
        <w:t xml:space="preserve">, mapping and vulnerability assessment tools </w:t>
      </w:r>
      <w:r w:rsidR="00F75A4D">
        <w:rPr>
          <w:lang w:val="en-GB"/>
        </w:rPr>
        <w:t>to</w:t>
      </w:r>
      <w:r w:rsidRPr="00DC7794">
        <w:rPr>
          <w:lang w:val="en-GB"/>
        </w:rPr>
        <w:t xml:space="preserve"> measure and track risks, including potential loss and damage, will be further strengthened, and regional cooperation to promote </w:t>
      </w:r>
      <w:r w:rsidR="00152B5B">
        <w:rPr>
          <w:lang w:val="en-GB"/>
        </w:rPr>
        <w:t xml:space="preserve">spatial </w:t>
      </w:r>
      <w:r w:rsidRPr="00DC7794">
        <w:rPr>
          <w:lang w:val="en-GB"/>
        </w:rPr>
        <w:t xml:space="preserve">planning and investment will be enhanced. In Viet Nam’s rapidly urbanizing environment, UNDP will </w:t>
      </w:r>
      <w:r w:rsidR="0055616F">
        <w:rPr>
          <w:lang w:val="en-GB"/>
        </w:rPr>
        <w:t xml:space="preserve">work with other partners to advance </w:t>
      </w:r>
      <w:r w:rsidRPr="00DC7794">
        <w:rPr>
          <w:lang w:val="en-GB"/>
        </w:rPr>
        <w:t>climate-resilient and green urban management</w:t>
      </w:r>
      <w:r w:rsidR="00D237E8" w:rsidRPr="00DC7794">
        <w:rPr>
          <w:lang w:val="en-GB"/>
        </w:rPr>
        <w:t xml:space="preserve"> </w:t>
      </w:r>
      <w:r w:rsidR="0055616F">
        <w:rPr>
          <w:lang w:val="en-GB"/>
        </w:rPr>
        <w:t xml:space="preserve">at scale </w:t>
      </w:r>
      <w:r w:rsidR="00D237E8" w:rsidRPr="00DC7794">
        <w:rPr>
          <w:lang w:val="en-GB"/>
        </w:rPr>
        <w:t xml:space="preserve">as part of the broader </w:t>
      </w:r>
      <w:r w:rsidR="00D237E8" w:rsidRPr="00193E7C">
        <w:rPr>
          <w:lang w:val="en-GB"/>
        </w:rPr>
        <w:t>liveable cities</w:t>
      </w:r>
      <w:r w:rsidR="00D237E8" w:rsidRPr="00DC7794">
        <w:rPr>
          <w:lang w:val="en-GB"/>
        </w:rPr>
        <w:t xml:space="preserve"> concept</w:t>
      </w:r>
      <w:r w:rsidRPr="00DC7794">
        <w:rPr>
          <w:lang w:val="en-GB"/>
        </w:rPr>
        <w:t>.</w:t>
      </w:r>
    </w:p>
    <w:p w14:paraId="4241649A" w14:textId="301C7F40" w:rsidR="001A2B81" w:rsidRDefault="00910D30" w:rsidP="00A9743B">
      <w:pPr>
        <w:pStyle w:val="ListParagraph"/>
        <w:numPr>
          <w:ilvl w:val="0"/>
          <w:numId w:val="2"/>
        </w:numPr>
        <w:tabs>
          <w:tab w:val="left" w:pos="1080"/>
        </w:tabs>
        <w:spacing w:after="120"/>
        <w:ind w:right="720" w:firstLine="0"/>
        <w:jc w:val="both"/>
        <w:rPr>
          <w:lang w:val="en-GB"/>
        </w:rPr>
      </w:pPr>
      <w:r w:rsidRPr="001A2B81">
        <w:rPr>
          <w:lang w:val="en-GB"/>
        </w:rPr>
        <w:t xml:space="preserve">UNDP </w:t>
      </w:r>
      <w:r w:rsidR="00323488" w:rsidRPr="001A2B81">
        <w:rPr>
          <w:lang w:val="en-GB"/>
        </w:rPr>
        <w:t xml:space="preserve">will continue to </w:t>
      </w:r>
      <w:r w:rsidR="00F75A4D">
        <w:rPr>
          <w:lang w:val="en-GB"/>
        </w:rPr>
        <w:t xml:space="preserve">help </w:t>
      </w:r>
      <w:r w:rsidR="00323488" w:rsidRPr="001A2B81">
        <w:rPr>
          <w:lang w:val="en-GB"/>
        </w:rPr>
        <w:t xml:space="preserve">strengthen institutional capacity and coordination, </w:t>
      </w:r>
      <w:r w:rsidR="00A30CD8">
        <w:rPr>
          <w:lang w:val="en-GB"/>
        </w:rPr>
        <w:t>emphasizing</w:t>
      </w:r>
      <w:r w:rsidR="00F75A4D">
        <w:rPr>
          <w:lang w:val="en-GB"/>
        </w:rPr>
        <w:t xml:space="preserve"> </w:t>
      </w:r>
      <w:r w:rsidR="0089106A">
        <w:rPr>
          <w:lang w:val="en-GB"/>
        </w:rPr>
        <w:t>partnerships with all relevant stakeholders, including</w:t>
      </w:r>
      <w:r w:rsidR="0089106A" w:rsidRPr="001A2B81">
        <w:rPr>
          <w:lang w:val="en-GB"/>
        </w:rPr>
        <w:t xml:space="preserve"> </w:t>
      </w:r>
      <w:r w:rsidR="00193E7C">
        <w:rPr>
          <w:lang w:val="en-GB"/>
        </w:rPr>
        <w:t xml:space="preserve">the </w:t>
      </w:r>
      <w:r w:rsidR="00323488" w:rsidRPr="001A2B81">
        <w:rPr>
          <w:lang w:val="en-GB"/>
        </w:rPr>
        <w:t xml:space="preserve">private sector </w:t>
      </w:r>
      <w:r w:rsidR="00F75A4D">
        <w:rPr>
          <w:lang w:val="en-GB"/>
        </w:rPr>
        <w:t xml:space="preserve">and </w:t>
      </w:r>
      <w:r w:rsidR="00323488" w:rsidRPr="001A2B81">
        <w:rPr>
          <w:lang w:val="en-GB"/>
        </w:rPr>
        <w:t>civil society</w:t>
      </w:r>
      <w:r w:rsidR="0089106A">
        <w:rPr>
          <w:lang w:val="en-GB"/>
        </w:rPr>
        <w:t>,</w:t>
      </w:r>
      <w:r w:rsidR="00323488" w:rsidRPr="001A2B81">
        <w:rPr>
          <w:lang w:val="en-GB"/>
        </w:rPr>
        <w:t xml:space="preserve"> </w:t>
      </w:r>
      <w:r w:rsidR="00F75A4D">
        <w:rPr>
          <w:lang w:val="en-GB"/>
        </w:rPr>
        <w:t xml:space="preserve">to </w:t>
      </w:r>
      <w:r w:rsidR="00152B5B">
        <w:rPr>
          <w:lang w:val="en-GB"/>
        </w:rPr>
        <w:t xml:space="preserve">scale </w:t>
      </w:r>
      <w:r w:rsidR="00F75A4D">
        <w:rPr>
          <w:lang w:val="en-GB"/>
        </w:rPr>
        <w:t>up</w:t>
      </w:r>
      <w:r w:rsidR="00323488" w:rsidRPr="001A2B81">
        <w:rPr>
          <w:lang w:val="en-GB"/>
        </w:rPr>
        <w:t xml:space="preserve"> </w:t>
      </w:r>
      <w:r w:rsidR="00A30CD8">
        <w:rPr>
          <w:lang w:val="en-GB"/>
        </w:rPr>
        <w:t xml:space="preserve">solutions in </w:t>
      </w:r>
      <w:r w:rsidR="00323488" w:rsidRPr="001A2B81">
        <w:rPr>
          <w:lang w:val="en-GB"/>
        </w:rPr>
        <w:t xml:space="preserve">biodiversity conservation, environmental protection and </w:t>
      </w:r>
      <w:r w:rsidR="00F75A4D">
        <w:rPr>
          <w:lang w:val="en-GB"/>
        </w:rPr>
        <w:t>reduc</w:t>
      </w:r>
      <w:r w:rsidR="00A30CD8">
        <w:rPr>
          <w:lang w:val="en-GB"/>
        </w:rPr>
        <w:t>ing</w:t>
      </w:r>
      <w:r w:rsidR="00323488" w:rsidRPr="001A2B81">
        <w:rPr>
          <w:lang w:val="en-GB"/>
        </w:rPr>
        <w:t xml:space="preserve"> emission</w:t>
      </w:r>
      <w:r w:rsidR="00F75A4D">
        <w:rPr>
          <w:lang w:val="en-GB"/>
        </w:rPr>
        <w:t>s</w:t>
      </w:r>
      <w:r w:rsidR="00323488" w:rsidRPr="001A2B81">
        <w:rPr>
          <w:lang w:val="en-GB"/>
        </w:rPr>
        <w:t xml:space="preserve"> from deforestation and forest degradation.</w:t>
      </w:r>
      <w:r w:rsidR="00E502DB">
        <w:rPr>
          <w:lang w:val="en-GB"/>
        </w:rPr>
        <w:t xml:space="preserve"> </w:t>
      </w:r>
      <w:r w:rsidR="00A30CD8">
        <w:rPr>
          <w:lang w:val="en-GB"/>
        </w:rPr>
        <w:t>R</w:t>
      </w:r>
      <w:r w:rsidR="002E1DEA">
        <w:rPr>
          <w:lang w:val="en-GB"/>
        </w:rPr>
        <w:t>espond</w:t>
      </w:r>
      <w:r w:rsidR="00A30CD8">
        <w:rPr>
          <w:lang w:val="en-GB"/>
        </w:rPr>
        <w:t xml:space="preserve">ing </w:t>
      </w:r>
      <w:r w:rsidR="002E1DEA">
        <w:rPr>
          <w:lang w:val="en-GB"/>
        </w:rPr>
        <w:t>to growing public concern</w:t>
      </w:r>
      <w:r w:rsidR="00152B5B">
        <w:rPr>
          <w:lang w:val="en-GB"/>
        </w:rPr>
        <w:t>s</w:t>
      </w:r>
      <w:r w:rsidR="002E1DEA">
        <w:rPr>
          <w:lang w:val="en-GB"/>
        </w:rPr>
        <w:t xml:space="preserve"> over environmental deterioration, </w:t>
      </w:r>
      <w:r w:rsidR="00323488" w:rsidRPr="001A2B81">
        <w:rPr>
          <w:lang w:val="en-GB"/>
        </w:rPr>
        <w:t xml:space="preserve">UNDP </w:t>
      </w:r>
      <w:r w:rsidR="00F75A4D">
        <w:rPr>
          <w:lang w:val="en-GB"/>
        </w:rPr>
        <w:t>will</w:t>
      </w:r>
      <w:r w:rsidR="00323488" w:rsidRPr="001A2B81">
        <w:rPr>
          <w:lang w:val="en-GB"/>
        </w:rPr>
        <w:t xml:space="preserve"> </w:t>
      </w:r>
      <w:r w:rsidR="00152B5B">
        <w:rPr>
          <w:lang w:val="en-GB"/>
        </w:rPr>
        <w:t xml:space="preserve">design </w:t>
      </w:r>
      <w:r w:rsidR="002F512A">
        <w:rPr>
          <w:lang w:val="en-GB"/>
        </w:rPr>
        <w:t xml:space="preserve">an </w:t>
      </w:r>
      <w:r w:rsidR="00D237E8">
        <w:rPr>
          <w:lang w:val="en-GB"/>
        </w:rPr>
        <w:t>environmental performance</w:t>
      </w:r>
      <w:r w:rsidR="00E502DB">
        <w:rPr>
          <w:lang w:val="en-GB"/>
        </w:rPr>
        <w:t xml:space="preserve"> </w:t>
      </w:r>
      <w:r w:rsidR="002E1DEA">
        <w:rPr>
          <w:lang w:val="en-GB"/>
        </w:rPr>
        <w:t xml:space="preserve">monitoring </w:t>
      </w:r>
      <w:r w:rsidR="006A7058">
        <w:rPr>
          <w:lang w:val="en-GB"/>
        </w:rPr>
        <w:t xml:space="preserve">index </w:t>
      </w:r>
      <w:r w:rsidR="002E1DEA">
        <w:rPr>
          <w:lang w:val="en-GB"/>
        </w:rPr>
        <w:t xml:space="preserve">for </w:t>
      </w:r>
      <w:r w:rsidR="002E1DEA" w:rsidRPr="001A2B81">
        <w:rPr>
          <w:lang w:val="en-GB"/>
        </w:rPr>
        <w:t xml:space="preserve">sustainable </w:t>
      </w:r>
      <w:r w:rsidR="002E1DEA">
        <w:rPr>
          <w:lang w:val="en-GB"/>
        </w:rPr>
        <w:t>management of ecosystems and natural resources</w:t>
      </w:r>
      <w:r w:rsidR="00323488" w:rsidRPr="001A2B81">
        <w:rPr>
          <w:lang w:val="en-GB"/>
        </w:rPr>
        <w:t>.</w:t>
      </w:r>
      <w:r w:rsidR="007352D2">
        <w:rPr>
          <w:lang w:val="en-GB"/>
        </w:rPr>
        <w:t xml:space="preserve"> This approach will harness greater transparency and public oversight </w:t>
      </w:r>
      <w:r w:rsidR="00F75A4D">
        <w:rPr>
          <w:lang w:val="en-GB"/>
        </w:rPr>
        <w:t xml:space="preserve">for </w:t>
      </w:r>
      <w:r w:rsidR="007352D2">
        <w:rPr>
          <w:lang w:val="en-GB"/>
        </w:rPr>
        <w:t>environmental management</w:t>
      </w:r>
      <w:r w:rsidR="00573751">
        <w:rPr>
          <w:lang w:val="en-GB"/>
        </w:rPr>
        <w:t>.</w:t>
      </w:r>
    </w:p>
    <w:p w14:paraId="36C7D437" w14:textId="6EFB87BE" w:rsidR="004F6442" w:rsidRPr="001A2B81" w:rsidRDefault="00323488" w:rsidP="00A9743B">
      <w:pPr>
        <w:pStyle w:val="ListParagraph"/>
        <w:numPr>
          <w:ilvl w:val="0"/>
          <w:numId w:val="2"/>
        </w:numPr>
        <w:tabs>
          <w:tab w:val="left" w:pos="1080"/>
        </w:tabs>
        <w:spacing w:after="120"/>
        <w:ind w:right="720" w:firstLine="0"/>
        <w:jc w:val="both"/>
        <w:rPr>
          <w:lang w:val="en-GB"/>
        </w:rPr>
      </w:pPr>
      <w:r w:rsidRPr="001A2B81">
        <w:rPr>
          <w:lang w:val="en-GB"/>
        </w:rPr>
        <w:t xml:space="preserve">Through targeted policy advice and technical assistance, UNDP will </w:t>
      </w:r>
      <w:r w:rsidR="00A30CD8">
        <w:rPr>
          <w:lang w:val="en-GB"/>
        </w:rPr>
        <w:t>assist</w:t>
      </w:r>
      <w:r w:rsidR="00A30CD8" w:rsidRPr="001A2B81">
        <w:rPr>
          <w:lang w:val="en-GB"/>
        </w:rPr>
        <w:t xml:space="preserve"> </w:t>
      </w:r>
      <w:r w:rsidR="00193E7C">
        <w:rPr>
          <w:lang w:val="en-GB"/>
        </w:rPr>
        <w:t xml:space="preserve">the </w:t>
      </w:r>
      <w:r w:rsidRPr="001A2B81">
        <w:rPr>
          <w:lang w:val="en-GB"/>
        </w:rPr>
        <w:t>Government to mobilize, track and make</w:t>
      </w:r>
      <w:r w:rsidR="00A30CD8">
        <w:rPr>
          <w:lang w:val="en-GB"/>
        </w:rPr>
        <w:t xml:space="preserve"> more</w:t>
      </w:r>
      <w:r w:rsidRPr="001A2B81">
        <w:rPr>
          <w:lang w:val="en-GB"/>
        </w:rPr>
        <w:t xml:space="preserve"> effective use of </w:t>
      </w:r>
      <w:r w:rsidR="0089106A">
        <w:rPr>
          <w:lang w:val="en-GB"/>
        </w:rPr>
        <w:t xml:space="preserve">all available and potential sources of climate </w:t>
      </w:r>
      <w:r w:rsidR="0089106A">
        <w:rPr>
          <w:lang w:val="en-GB"/>
        </w:rPr>
        <w:lastRenderedPageBreak/>
        <w:t xml:space="preserve">finance, including </w:t>
      </w:r>
      <w:r w:rsidR="00A30CD8">
        <w:rPr>
          <w:lang w:val="en-GB"/>
        </w:rPr>
        <w:t xml:space="preserve">public/private </w:t>
      </w:r>
      <w:r w:rsidRPr="001A2B81">
        <w:rPr>
          <w:lang w:val="en-GB"/>
        </w:rPr>
        <w:t>domestic and international</w:t>
      </w:r>
      <w:r w:rsidR="00A30CD8">
        <w:rPr>
          <w:lang w:val="en-GB"/>
        </w:rPr>
        <w:t xml:space="preserve"> </w:t>
      </w:r>
      <w:r w:rsidRPr="001A2B81">
        <w:rPr>
          <w:lang w:val="en-GB"/>
        </w:rPr>
        <w:t>finance</w:t>
      </w:r>
      <w:r w:rsidR="00A30CD8">
        <w:rPr>
          <w:lang w:val="en-GB"/>
        </w:rPr>
        <w:t xml:space="preserve">, </w:t>
      </w:r>
      <w:r w:rsidR="006A7058">
        <w:rPr>
          <w:lang w:val="en-GB"/>
        </w:rPr>
        <w:t xml:space="preserve">accelerating </w:t>
      </w:r>
      <w:r w:rsidRPr="001A2B81">
        <w:rPr>
          <w:lang w:val="en-GB"/>
        </w:rPr>
        <w:t xml:space="preserve">low-emission and resilient </w:t>
      </w:r>
      <w:r w:rsidR="0055616F">
        <w:rPr>
          <w:lang w:val="en-GB"/>
        </w:rPr>
        <w:t xml:space="preserve">development pathways </w:t>
      </w:r>
      <w:r w:rsidRPr="001A2B81">
        <w:rPr>
          <w:lang w:val="en-GB"/>
        </w:rPr>
        <w:t>and environmental protection.</w:t>
      </w:r>
    </w:p>
    <w:p w14:paraId="48A94478" w14:textId="1F90DE82" w:rsidR="00E050BF" w:rsidRPr="00FF2B1F" w:rsidRDefault="00E050BF" w:rsidP="00A9743B">
      <w:pPr>
        <w:pStyle w:val="ListParagraph"/>
        <w:tabs>
          <w:tab w:val="left" w:pos="1080"/>
        </w:tabs>
        <w:spacing w:after="120"/>
        <w:ind w:right="720"/>
        <w:rPr>
          <w:b/>
          <w:lang w:val="en-GB"/>
        </w:rPr>
      </w:pPr>
      <w:r w:rsidRPr="00FF2B1F">
        <w:rPr>
          <w:b/>
          <w:lang w:val="en-GB"/>
        </w:rPr>
        <w:t xml:space="preserve">Outcome 3: </w:t>
      </w:r>
      <w:r w:rsidR="007E1819">
        <w:rPr>
          <w:b/>
          <w:lang w:val="en-GB"/>
        </w:rPr>
        <w:t xml:space="preserve">Institutional </w:t>
      </w:r>
      <w:r w:rsidRPr="00FF2B1F">
        <w:rPr>
          <w:b/>
          <w:lang w:val="en-GB"/>
        </w:rPr>
        <w:t>accountability</w:t>
      </w:r>
      <w:r w:rsidR="007E1819">
        <w:rPr>
          <w:b/>
          <w:lang w:val="en-GB"/>
        </w:rPr>
        <w:t>,</w:t>
      </w:r>
      <w:r w:rsidR="00682BBB">
        <w:rPr>
          <w:b/>
          <w:lang w:val="en-GB"/>
        </w:rPr>
        <w:t xml:space="preserve"> </w:t>
      </w:r>
      <w:r w:rsidR="007E1819">
        <w:rPr>
          <w:b/>
          <w:lang w:val="en-GB"/>
        </w:rPr>
        <w:t xml:space="preserve">people’s voice </w:t>
      </w:r>
      <w:r w:rsidR="00682BBB">
        <w:rPr>
          <w:b/>
          <w:lang w:val="en-GB"/>
        </w:rPr>
        <w:t>and access to justice</w:t>
      </w:r>
    </w:p>
    <w:p w14:paraId="4C30F4A8" w14:textId="54883169" w:rsidR="0008025A" w:rsidRDefault="00420CAD" w:rsidP="00A9743B">
      <w:pPr>
        <w:pStyle w:val="ListParagraph"/>
        <w:numPr>
          <w:ilvl w:val="0"/>
          <w:numId w:val="2"/>
        </w:numPr>
        <w:tabs>
          <w:tab w:val="left" w:pos="1080"/>
        </w:tabs>
        <w:spacing w:after="120"/>
        <w:ind w:right="720" w:firstLine="0"/>
        <w:contextualSpacing/>
        <w:jc w:val="both"/>
        <w:rPr>
          <w:lang w:val="en-GB"/>
        </w:rPr>
      </w:pPr>
      <w:r w:rsidRPr="001A2B81">
        <w:rPr>
          <w:lang w:val="en-GB"/>
        </w:rPr>
        <w:t xml:space="preserve">UNDP will </w:t>
      </w:r>
      <w:r w:rsidR="00682BBB">
        <w:rPr>
          <w:lang w:val="en-GB"/>
        </w:rPr>
        <w:t>broaden</w:t>
      </w:r>
      <w:r w:rsidRPr="001A2B81">
        <w:rPr>
          <w:lang w:val="en-GB"/>
        </w:rPr>
        <w:t xml:space="preserve"> the space for public participation </w:t>
      </w:r>
      <w:r w:rsidR="00682BBB">
        <w:rPr>
          <w:lang w:val="en-GB"/>
        </w:rPr>
        <w:t xml:space="preserve">in </w:t>
      </w:r>
      <w:r w:rsidR="00682BBB" w:rsidRPr="001A2B81">
        <w:rPr>
          <w:lang w:val="en-GB"/>
        </w:rPr>
        <w:t>policy dialogue</w:t>
      </w:r>
      <w:r w:rsidR="00DD45DE">
        <w:rPr>
          <w:lang w:val="en-GB"/>
        </w:rPr>
        <w:t xml:space="preserve"> </w:t>
      </w:r>
      <w:r w:rsidR="00682BBB">
        <w:rPr>
          <w:lang w:val="en-GB"/>
        </w:rPr>
        <w:t xml:space="preserve">and </w:t>
      </w:r>
      <w:r w:rsidR="00DD45DE">
        <w:rPr>
          <w:lang w:val="en-GB"/>
        </w:rPr>
        <w:t>strengthen</w:t>
      </w:r>
      <w:r w:rsidRPr="00DD45DE">
        <w:rPr>
          <w:lang w:val="en-GB"/>
        </w:rPr>
        <w:t xml:space="preserve"> responsive governance in line with </w:t>
      </w:r>
      <w:r w:rsidR="00193E7C">
        <w:rPr>
          <w:lang w:val="en-GB"/>
        </w:rPr>
        <w:t xml:space="preserve">Sustainable Development Goal </w:t>
      </w:r>
      <w:r w:rsidRPr="00DD45DE">
        <w:rPr>
          <w:lang w:val="en-GB"/>
        </w:rPr>
        <w:t>16. Following successful deliver</w:t>
      </w:r>
      <w:r w:rsidR="00DD45DE">
        <w:rPr>
          <w:lang w:val="en-GB"/>
        </w:rPr>
        <w:t>y of</w:t>
      </w:r>
      <w:r w:rsidRPr="00DD45DE">
        <w:rPr>
          <w:lang w:val="en-GB"/>
        </w:rPr>
        <w:t xml:space="preserve"> </w:t>
      </w:r>
      <w:r w:rsidR="00682BBB" w:rsidRPr="00DD45DE">
        <w:rPr>
          <w:lang w:val="en-GB"/>
        </w:rPr>
        <w:t xml:space="preserve">PAPI and </w:t>
      </w:r>
      <w:r w:rsidR="00DD45DE">
        <w:rPr>
          <w:lang w:val="en-GB"/>
        </w:rPr>
        <w:t xml:space="preserve">the </w:t>
      </w:r>
      <w:r w:rsidR="00682BBB" w:rsidRPr="00DD45DE">
        <w:rPr>
          <w:lang w:val="en-GB"/>
        </w:rPr>
        <w:t>Justice Index</w:t>
      </w:r>
      <w:r w:rsidRPr="00DD45DE">
        <w:rPr>
          <w:lang w:val="en-GB"/>
        </w:rPr>
        <w:t xml:space="preserve">, UNDP </w:t>
      </w:r>
      <w:r w:rsidR="00E65C62" w:rsidRPr="00DD45DE">
        <w:rPr>
          <w:lang w:val="en-GB"/>
        </w:rPr>
        <w:t xml:space="preserve">will promote accountability and foster evidence-based policy formulation through </w:t>
      </w:r>
      <w:r w:rsidR="00DD45DE">
        <w:rPr>
          <w:lang w:val="en-GB"/>
        </w:rPr>
        <w:t xml:space="preserve">further </w:t>
      </w:r>
      <w:r w:rsidRPr="00DD45DE">
        <w:rPr>
          <w:lang w:val="en-GB"/>
        </w:rPr>
        <w:t>innovati</w:t>
      </w:r>
      <w:r w:rsidR="00DD45DE">
        <w:rPr>
          <w:lang w:val="en-GB"/>
        </w:rPr>
        <w:t>ons in</w:t>
      </w:r>
      <w:r w:rsidR="00E65C62" w:rsidRPr="00DD45DE">
        <w:rPr>
          <w:lang w:val="en-GB"/>
        </w:rPr>
        <w:t xml:space="preserve"> </w:t>
      </w:r>
      <w:r w:rsidRPr="00DD45DE">
        <w:rPr>
          <w:lang w:val="en-GB"/>
        </w:rPr>
        <w:t>public consultation</w:t>
      </w:r>
      <w:r w:rsidR="00987A58" w:rsidRPr="00DD45DE">
        <w:rPr>
          <w:lang w:val="en-GB"/>
        </w:rPr>
        <w:t xml:space="preserve">, </w:t>
      </w:r>
      <w:r w:rsidR="00864F70" w:rsidRPr="00DD45DE">
        <w:rPr>
          <w:lang w:val="en-GB"/>
        </w:rPr>
        <w:t>linking</w:t>
      </w:r>
      <w:r w:rsidR="0027019E">
        <w:rPr>
          <w:lang w:val="en-GB"/>
        </w:rPr>
        <w:t xml:space="preserve"> citizens </w:t>
      </w:r>
      <w:r w:rsidR="00864F70" w:rsidRPr="00DD45DE">
        <w:rPr>
          <w:lang w:val="en-GB"/>
        </w:rPr>
        <w:t>to decision</w:t>
      </w:r>
      <w:r w:rsidR="00193E7C">
        <w:rPr>
          <w:lang w:val="en-GB"/>
        </w:rPr>
        <w:t xml:space="preserve"> </w:t>
      </w:r>
      <w:r w:rsidR="00864F70" w:rsidRPr="00DD45DE">
        <w:rPr>
          <w:lang w:val="en-GB"/>
        </w:rPr>
        <w:t xml:space="preserve">makers and service providers </w:t>
      </w:r>
      <w:r w:rsidR="00DD45DE">
        <w:rPr>
          <w:lang w:val="en-GB"/>
        </w:rPr>
        <w:t>via</w:t>
      </w:r>
      <w:r w:rsidR="00864F70" w:rsidRPr="00DD45DE">
        <w:rPr>
          <w:lang w:val="en-GB"/>
        </w:rPr>
        <w:t xml:space="preserve"> </w:t>
      </w:r>
      <w:r w:rsidR="00987A58" w:rsidRPr="00DD45DE">
        <w:rPr>
          <w:lang w:val="en-GB"/>
        </w:rPr>
        <w:t>interactive technology</w:t>
      </w:r>
      <w:r w:rsidR="0027019E">
        <w:rPr>
          <w:lang w:val="en-GB"/>
        </w:rPr>
        <w:t xml:space="preserve"> and social media</w:t>
      </w:r>
      <w:r w:rsidR="00864F70" w:rsidRPr="00DD45DE">
        <w:rPr>
          <w:lang w:val="en-GB"/>
        </w:rPr>
        <w:t>.</w:t>
      </w:r>
    </w:p>
    <w:p w14:paraId="03B18B27" w14:textId="77777777" w:rsidR="00B14310" w:rsidRPr="00B14310" w:rsidRDefault="00B14310" w:rsidP="00A9743B">
      <w:pPr>
        <w:pStyle w:val="ListParagraph"/>
        <w:tabs>
          <w:tab w:val="left" w:pos="1080"/>
        </w:tabs>
        <w:spacing w:after="120"/>
        <w:ind w:right="720"/>
        <w:contextualSpacing/>
        <w:jc w:val="both"/>
        <w:rPr>
          <w:sz w:val="12"/>
          <w:szCs w:val="12"/>
          <w:lang w:val="en-GB"/>
        </w:rPr>
      </w:pPr>
    </w:p>
    <w:p w14:paraId="1E53ABBF" w14:textId="0570FD12" w:rsidR="00E050BF" w:rsidRPr="0008025A" w:rsidRDefault="0027019E" w:rsidP="00A9743B">
      <w:pPr>
        <w:pStyle w:val="ListParagraph"/>
        <w:numPr>
          <w:ilvl w:val="0"/>
          <w:numId w:val="2"/>
        </w:numPr>
        <w:tabs>
          <w:tab w:val="left" w:pos="1080"/>
        </w:tabs>
        <w:spacing w:after="120"/>
        <w:ind w:right="720" w:firstLine="0"/>
        <w:contextualSpacing/>
        <w:jc w:val="both"/>
        <w:rPr>
          <w:lang w:val="en-GB"/>
        </w:rPr>
      </w:pPr>
      <w:r>
        <w:rPr>
          <w:lang w:val="en-GB"/>
        </w:rPr>
        <w:t>UNDP will work</w:t>
      </w:r>
      <w:r w:rsidR="00420CAD" w:rsidRPr="001A2B81">
        <w:rPr>
          <w:lang w:val="en-GB"/>
        </w:rPr>
        <w:t xml:space="preserve"> with </w:t>
      </w:r>
      <w:r w:rsidR="00193E7C">
        <w:rPr>
          <w:lang w:val="en-GB"/>
        </w:rPr>
        <w:t xml:space="preserve">the </w:t>
      </w:r>
      <w:r w:rsidR="00420CAD" w:rsidRPr="001A2B81">
        <w:rPr>
          <w:lang w:val="en-GB"/>
        </w:rPr>
        <w:t xml:space="preserve">Government </w:t>
      </w:r>
      <w:r>
        <w:rPr>
          <w:lang w:val="en-GB"/>
        </w:rPr>
        <w:t>and civil society to support</w:t>
      </w:r>
      <w:r w:rsidRPr="001A2B81">
        <w:rPr>
          <w:lang w:val="en-GB"/>
        </w:rPr>
        <w:t xml:space="preserve"> </w:t>
      </w:r>
      <w:r w:rsidR="00420CAD" w:rsidRPr="001A2B81">
        <w:rPr>
          <w:lang w:val="en-GB"/>
        </w:rPr>
        <w:t xml:space="preserve">national strategies to combat corruption </w:t>
      </w:r>
      <w:r>
        <w:rPr>
          <w:lang w:val="en-GB"/>
        </w:rPr>
        <w:t xml:space="preserve">in both </w:t>
      </w:r>
      <w:r w:rsidR="00193E7C">
        <w:rPr>
          <w:lang w:val="en-GB"/>
        </w:rPr>
        <w:t xml:space="preserve">the </w:t>
      </w:r>
      <w:r w:rsidR="00420CAD" w:rsidRPr="001A2B81">
        <w:rPr>
          <w:lang w:val="en-GB"/>
        </w:rPr>
        <w:t xml:space="preserve">public </w:t>
      </w:r>
      <w:r>
        <w:rPr>
          <w:lang w:val="en-GB"/>
        </w:rPr>
        <w:t xml:space="preserve">and private </w:t>
      </w:r>
      <w:r w:rsidR="00420CAD" w:rsidRPr="001A2B81">
        <w:rPr>
          <w:lang w:val="en-GB"/>
        </w:rPr>
        <w:t>sector</w:t>
      </w:r>
      <w:r>
        <w:rPr>
          <w:lang w:val="en-GB"/>
        </w:rPr>
        <w:t>s</w:t>
      </w:r>
      <w:r w:rsidR="00420CAD" w:rsidRPr="001A2B81">
        <w:rPr>
          <w:lang w:val="en-GB"/>
        </w:rPr>
        <w:t>.</w:t>
      </w:r>
      <w:r w:rsidR="00DD45DE">
        <w:rPr>
          <w:lang w:val="en-GB"/>
        </w:rPr>
        <w:t xml:space="preserve"> </w:t>
      </w:r>
      <w:r w:rsidR="00165242">
        <w:rPr>
          <w:lang w:val="en-GB"/>
        </w:rPr>
        <w:t xml:space="preserve">Responding to the growing interest by other countries in PAPI, UNDP will facilitate </w:t>
      </w:r>
      <w:r w:rsidR="00193E7C">
        <w:rPr>
          <w:lang w:val="en-GB"/>
        </w:rPr>
        <w:t>South</w:t>
      </w:r>
      <w:r w:rsidR="00165242">
        <w:rPr>
          <w:lang w:val="en-GB"/>
        </w:rPr>
        <w:t>-</w:t>
      </w:r>
      <w:r w:rsidR="00193E7C">
        <w:rPr>
          <w:lang w:val="en-GB"/>
        </w:rPr>
        <w:t xml:space="preserve">South </w:t>
      </w:r>
      <w:r w:rsidR="00165242">
        <w:rPr>
          <w:lang w:val="en-GB"/>
        </w:rPr>
        <w:t>knowledge exchange on social accountability</w:t>
      </w:r>
      <w:r>
        <w:rPr>
          <w:lang w:val="en-GB"/>
        </w:rPr>
        <w:t xml:space="preserve"> tools</w:t>
      </w:r>
      <w:r w:rsidR="00165242">
        <w:rPr>
          <w:lang w:val="en-GB"/>
        </w:rPr>
        <w:t xml:space="preserve"> and </w:t>
      </w:r>
      <w:r w:rsidR="00193E7C">
        <w:rPr>
          <w:lang w:val="en-GB"/>
        </w:rPr>
        <w:t xml:space="preserve">monitoring of Goal </w:t>
      </w:r>
      <w:r w:rsidR="00165242">
        <w:rPr>
          <w:lang w:val="en-GB"/>
        </w:rPr>
        <w:t xml:space="preserve">16. </w:t>
      </w:r>
      <w:r w:rsidR="00E050BF" w:rsidRPr="0008025A">
        <w:rPr>
          <w:lang w:val="en-GB"/>
        </w:rPr>
        <w:t xml:space="preserve">UNDP will build on its past </w:t>
      </w:r>
      <w:r w:rsidR="0008025A">
        <w:rPr>
          <w:lang w:val="en-GB"/>
        </w:rPr>
        <w:t xml:space="preserve">work </w:t>
      </w:r>
      <w:r w:rsidR="00E050BF" w:rsidRPr="0008025A">
        <w:rPr>
          <w:lang w:val="en-GB"/>
        </w:rPr>
        <w:t xml:space="preserve">in public administration reform to support citizen-centred public service delivery as part of the </w:t>
      </w:r>
      <w:r w:rsidR="00E050BF" w:rsidRPr="00193E7C">
        <w:rPr>
          <w:lang w:val="en-GB"/>
        </w:rPr>
        <w:t>liveable cities</w:t>
      </w:r>
      <w:r w:rsidR="00E050BF" w:rsidRPr="0008025A">
        <w:rPr>
          <w:i/>
          <w:lang w:val="en-GB"/>
        </w:rPr>
        <w:t xml:space="preserve"> </w:t>
      </w:r>
      <w:r w:rsidR="00E050BF" w:rsidRPr="0008025A">
        <w:rPr>
          <w:lang w:val="en-GB"/>
        </w:rPr>
        <w:t>model.</w:t>
      </w:r>
    </w:p>
    <w:p w14:paraId="0AF09203" w14:textId="77777777" w:rsidR="00E050BF" w:rsidRPr="00B14310" w:rsidRDefault="00E050BF" w:rsidP="00A9743B">
      <w:pPr>
        <w:pStyle w:val="ListParagraph"/>
        <w:tabs>
          <w:tab w:val="left" w:pos="1080"/>
        </w:tabs>
        <w:ind w:left="714" w:right="720"/>
        <w:contextualSpacing/>
        <w:jc w:val="both"/>
        <w:rPr>
          <w:sz w:val="12"/>
          <w:szCs w:val="12"/>
          <w:lang w:val="en-GB"/>
        </w:rPr>
      </w:pPr>
    </w:p>
    <w:p w14:paraId="4A1E257A" w14:textId="5AB96405" w:rsidR="00E050BF" w:rsidRPr="00DD2986" w:rsidRDefault="004125C0" w:rsidP="00A9743B">
      <w:pPr>
        <w:pStyle w:val="ListParagraph"/>
        <w:numPr>
          <w:ilvl w:val="0"/>
          <w:numId w:val="2"/>
        </w:numPr>
        <w:tabs>
          <w:tab w:val="left" w:pos="1080"/>
        </w:tabs>
        <w:spacing w:after="120"/>
        <w:ind w:right="720" w:firstLine="0"/>
        <w:contextualSpacing/>
        <w:jc w:val="both"/>
        <w:rPr>
          <w:lang w:val="en-GB"/>
        </w:rPr>
      </w:pPr>
      <w:r>
        <w:rPr>
          <w:lang w:val="en-GB"/>
        </w:rPr>
        <w:t xml:space="preserve">To promote </w:t>
      </w:r>
      <w:r w:rsidR="00193E7C">
        <w:rPr>
          <w:lang w:val="en-GB"/>
        </w:rPr>
        <w:t>Sustainable Development Goal</w:t>
      </w:r>
      <w:r>
        <w:rPr>
          <w:lang w:val="en-GB"/>
        </w:rPr>
        <w:t xml:space="preserve"> 16 targets, including the protection of fundamental freedoms in accordance with national legislation and international agreements, </w:t>
      </w:r>
      <w:r w:rsidR="00E050BF" w:rsidRPr="00F36DDA">
        <w:rPr>
          <w:lang w:val="en-GB"/>
        </w:rPr>
        <w:t xml:space="preserve">UNDP will </w:t>
      </w:r>
      <w:r w:rsidR="00973A3F">
        <w:rPr>
          <w:lang w:val="en-GB"/>
        </w:rPr>
        <w:t xml:space="preserve">facilitate inclusive </w:t>
      </w:r>
      <w:r w:rsidR="00E050BF" w:rsidRPr="00F36DDA">
        <w:rPr>
          <w:lang w:val="en-GB"/>
        </w:rPr>
        <w:t>policy and legal reform dialogue</w:t>
      </w:r>
      <w:r w:rsidR="0027019E">
        <w:rPr>
          <w:lang w:val="en-GB"/>
        </w:rPr>
        <w:t>s</w:t>
      </w:r>
      <w:r w:rsidR="00E050BF" w:rsidRPr="00F36DDA">
        <w:rPr>
          <w:lang w:val="en-GB"/>
        </w:rPr>
        <w:t xml:space="preserve"> and</w:t>
      </w:r>
      <w:r w:rsidR="00DD2986">
        <w:rPr>
          <w:lang w:val="en-GB"/>
        </w:rPr>
        <w:t xml:space="preserve"> support</w:t>
      </w:r>
      <w:r w:rsidR="00E050BF" w:rsidRPr="00F36DDA">
        <w:rPr>
          <w:lang w:val="en-GB"/>
        </w:rPr>
        <w:t xml:space="preserve"> compliance with human rights </w:t>
      </w:r>
      <w:r w:rsidR="0008025A">
        <w:rPr>
          <w:lang w:val="en-GB"/>
        </w:rPr>
        <w:t>obligations</w:t>
      </w:r>
      <w:r w:rsidR="00E050BF" w:rsidRPr="00F36DDA">
        <w:rPr>
          <w:lang w:val="en-GB"/>
        </w:rPr>
        <w:t>.</w:t>
      </w:r>
      <w:r w:rsidR="00973A3F">
        <w:rPr>
          <w:lang w:val="en-GB"/>
        </w:rPr>
        <w:t xml:space="preserve"> UNDP will partner with </w:t>
      </w:r>
      <w:r w:rsidR="00193E7C">
        <w:rPr>
          <w:lang w:val="en-GB"/>
        </w:rPr>
        <w:t xml:space="preserve">the </w:t>
      </w:r>
      <w:r w:rsidR="00973A3F">
        <w:rPr>
          <w:lang w:val="en-GB"/>
        </w:rPr>
        <w:t>Government, civil society and academia as part of a multi</w:t>
      </w:r>
      <w:r w:rsidR="00D731E2">
        <w:rPr>
          <w:lang w:val="en-GB"/>
        </w:rPr>
        <w:t>-</w:t>
      </w:r>
      <w:r w:rsidR="00973A3F">
        <w:rPr>
          <w:lang w:val="en-GB"/>
        </w:rPr>
        <w:t xml:space="preserve">stakeholder effort to </w:t>
      </w:r>
      <w:r w:rsidR="00DD2986">
        <w:rPr>
          <w:lang w:val="en-GB"/>
        </w:rPr>
        <w:t xml:space="preserve">enhance </w:t>
      </w:r>
      <w:r w:rsidR="00973A3F">
        <w:rPr>
          <w:lang w:val="en-GB"/>
        </w:rPr>
        <w:t xml:space="preserve">the rule of law and </w:t>
      </w:r>
      <w:r w:rsidR="00973A3F" w:rsidRPr="00F36DDA">
        <w:rPr>
          <w:lang w:val="en-GB"/>
        </w:rPr>
        <w:t xml:space="preserve">legal rights awareness. </w:t>
      </w:r>
      <w:r w:rsidR="0008025A">
        <w:rPr>
          <w:lang w:val="en-GB"/>
        </w:rPr>
        <w:t xml:space="preserve">UNDP will </w:t>
      </w:r>
      <w:r w:rsidR="00DD2986">
        <w:rPr>
          <w:lang w:val="en-GB"/>
        </w:rPr>
        <w:t>support</w:t>
      </w:r>
      <w:r w:rsidR="00E050BF" w:rsidRPr="00F36DDA">
        <w:rPr>
          <w:lang w:val="en-GB"/>
        </w:rPr>
        <w:t xml:space="preserve"> access </w:t>
      </w:r>
      <w:r w:rsidR="00DC2B86">
        <w:rPr>
          <w:lang w:val="en-GB"/>
        </w:rPr>
        <w:t>to justice by vulnerable groups</w:t>
      </w:r>
      <w:r w:rsidR="00DD2986">
        <w:rPr>
          <w:lang w:val="en-GB"/>
        </w:rPr>
        <w:t>,</w:t>
      </w:r>
      <w:r w:rsidR="00E050BF" w:rsidRPr="00F36DDA">
        <w:rPr>
          <w:lang w:val="en-GB"/>
        </w:rPr>
        <w:t xml:space="preserve"> strengthen</w:t>
      </w:r>
      <w:r w:rsidR="00DD2986">
        <w:rPr>
          <w:lang w:val="en-GB"/>
        </w:rPr>
        <w:t>ing</w:t>
      </w:r>
      <w:r w:rsidR="00E050BF" w:rsidRPr="00F36DDA">
        <w:rPr>
          <w:lang w:val="en-GB"/>
        </w:rPr>
        <w:t xml:space="preserve"> the </w:t>
      </w:r>
      <w:r w:rsidR="00413662">
        <w:rPr>
          <w:lang w:val="en-GB"/>
        </w:rPr>
        <w:t>capacity</w:t>
      </w:r>
      <w:r w:rsidR="00C2173C">
        <w:rPr>
          <w:lang w:val="en-GB"/>
        </w:rPr>
        <w:t xml:space="preserve"> of the </w:t>
      </w:r>
      <w:r w:rsidR="00DD2986">
        <w:rPr>
          <w:lang w:val="en-GB"/>
        </w:rPr>
        <w:t>executive and the judiciary</w:t>
      </w:r>
      <w:r w:rsidR="00E050BF">
        <w:rPr>
          <w:lang w:val="en-GB"/>
        </w:rPr>
        <w:t xml:space="preserve"> </w:t>
      </w:r>
      <w:r w:rsidR="00E050BF" w:rsidRPr="00F36DDA">
        <w:rPr>
          <w:lang w:val="en-GB"/>
        </w:rPr>
        <w:t xml:space="preserve">to </w:t>
      </w:r>
      <w:r w:rsidR="00DC2B86">
        <w:rPr>
          <w:lang w:val="en-GB"/>
        </w:rPr>
        <w:t>provide</w:t>
      </w:r>
      <w:r w:rsidR="00DD2986">
        <w:rPr>
          <w:lang w:val="en-GB"/>
        </w:rPr>
        <w:t xml:space="preserve"> improved</w:t>
      </w:r>
      <w:r w:rsidR="00DC2B86">
        <w:rPr>
          <w:lang w:val="en-GB"/>
        </w:rPr>
        <w:t xml:space="preserve"> </w:t>
      </w:r>
      <w:r w:rsidR="00E050BF" w:rsidRPr="00F36DDA">
        <w:rPr>
          <w:lang w:val="en-GB"/>
        </w:rPr>
        <w:t>legal service</w:t>
      </w:r>
      <w:r w:rsidR="00DD2986">
        <w:rPr>
          <w:lang w:val="en-GB"/>
        </w:rPr>
        <w:t>s, especially to</w:t>
      </w:r>
      <w:r w:rsidR="00DC2B86" w:rsidRPr="00DD2986">
        <w:rPr>
          <w:lang w:val="en-GB"/>
        </w:rPr>
        <w:t xml:space="preserve"> </w:t>
      </w:r>
      <w:r w:rsidR="00E050BF" w:rsidRPr="00DD2986">
        <w:rPr>
          <w:lang w:val="en-GB"/>
        </w:rPr>
        <w:t xml:space="preserve">women and youth. To support </w:t>
      </w:r>
      <w:r w:rsidR="00193E7C" w:rsidRPr="00DD2986">
        <w:rPr>
          <w:lang w:val="en-GB"/>
        </w:rPr>
        <w:t>gender</w:t>
      </w:r>
      <w:r w:rsidR="00193E7C">
        <w:rPr>
          <w:lang w:val="en-GB"/>
        </w:rPr>
        <w:t>-</w:t>
      </w:r>
      <w:r w:rsidR="008E1FBA" w:rsidRPr="00DD2986">
        <w:rPr>
          <w:lang w:val="en-GB"/>
        </w:rPr>
        <w:t xml:space="preserve">responsive </w:t>
      </w:r>
      <w:r w:rsidR="00973A3F" w:rsidRPr="00DD2986">
        <w:rPr>
          <w:lang w:val="en-GB"/>
        </w:rPr>
        <w:t>justice</w:t>
      </w:r>
      <w:r w:rsidR="00E050BF" w:rsidRPr="00DD2986">
        <w:rPr>
          <w:lang w:val="en-GB"/>
        </w:rPr>
        <w:t xml:space="preserve">, UNDP will promote women’s representation </w:t>
      </w:r>
      <w:r w:rsidR="008E1FBA" w:rsidRPr="00DD2986">
        <w:rPr>
          <w:lang w:val="en-GB"/>
        </w:rPr>
        <w:t xml:space="preserve">and gender awareness </w:t>
      </w:r>
      <w:r w:rsidR="00E050BF" w:rsidRPr="00DD2986">
        <w:rPr>
          <w:lang w:val="en-GB"/>
        </w:rPr>
        <w:t xml:space="preserve">in </w:t>
      </w:r>
      <w:r w:rsidR="008E1FBA" w:rsidRPr="00DD2986">
        <w:rPr>
          <w:lang w:val="en-GB"/>
        </w:rPr>
        <w:t xml:space="preserve">the </w:t>
      </w:r>
      <w:r w:rsidR="00973A3F" w:rsidRPr="00DD2986">
        <w:rPr>
          <w:lang w:val="en-GB"/>
        </w:rPr>
        <w:t xml:space="preserve">justice </w:t>
      </w:r>
      <w:r w:rsidR="005E279D" w:rsidRPr="00DD2986">
        <w:rPr>
          <w:lang w:val="en-GB"/>
        </w:rPr>
        <w:t>sector</w:t>
      </w:r>
      <w:r w:rsidR="008E1FBA" w:rsidRPr="00DD2986">
        <w:rPr>
          <w:lang w:val="en-GB"/>
        </w:rPr>
        <w:t>.</w:t>
      </w:r>
    </w:p>
    <w:p w14:paraId="01908F7E" w14:textId="77777777" w:rsidR="00E050BF" w:rsidRPr="00B14310" w:rsidRDefault="00E050BF" w:rsidP="00A9743B">
      <w:pPr>
        <w:pStyle w:val="ListParagraph"/>
        <w:tabs>
          <w:tab w:val="left" w:pos="1080"/>
        </w:tabs>
        <w:ind w:right="720"/>
        <w:rPr>
          <w:sz w:val="12"/>
          <w:szCs w:val="12"/>
          <w:lang w:val="en-GB"/>
        </w:rPr>
      </w:pPr>
    </w:p>
    <w:p w14:paraId="21DD83E8" w14:textId="4C44C5DE" w:rsidR="001A2B81" w:rsidRPr="00D63BC9" w:rsidRDefault="00E050BF" w:rsidP="00A9743B">
      <w:pPr>
        <w:pStyle w:val="ListParagraph"/>
        <w:numPr>
          <w:ilvl w:val="0"/>
          <w:numId w:val="2"/>
        </w:numPr>
        <w:tabs>
          <w:tab w:val="left" w:pos="1080"/>
        </w:tabs>
        <w:ind w:right="720" w:firstLine="0"/>
        <w:contextualSpacing/>
        <w:jc w:val="both"/>
        <w:rPr>
          <w:lang w:val="en-GB"/>
        </w:rPr>
      </w:pPr>
      <w:r w:rsidRPr="008C3CBD">
        <w:rPr>
          <w:lang w:val="en-GB"/>
        </w:rPr>
        <w:t xml:space="preserve">UNDP will promote </w:t>
      </w:r>
      <w:r w:rsidR="00F45927">
        <w:rPr>
          <w:lang w:val="en-GB"/>
        </w:rPr>
        <w:t>youth and women</w:t>
      </w:r>
      <w:r w:rsidRPr="008C3CBD">
        <w:rPr>
          <w:lang w:val="en-GB"/>
        </w:rPr>
        <w:t xml:space="preserve"> in leadership roles</w:t>
      </w:r>
      <w:r w:rsidR="00F45927">
        <w:rPr>
          <w:lang w:val="en-GB"/>
        </w:rPr>
        <w:t xml:space="preserve"> in </w:t>
      </w:r>
      <w:r w:rsidR="00193E7C">
        <w:rPr>
          <w:lang w:val="en-GB"/>
        </w:rPr>
        <w:t xml:space="preserve">the </w:t>
      </w:r>
      <w:r w:rsidR="00F45927">
        <w:rPr>
          <w:lang w:val="en-GB"/>
        </w:rPr>
        <w:t>political and administrative spheres</w:t>
      </w:r>
      <w:r w:rsidRPr="008C3CBD">
        <w:rPr>
          <w:lang w:val="en-GB"/>
        </w:rPr>
        <w:t xml:space="preserve"> through empowerment and capacity development</w:t>
      </w:r>
      <w:r w:rsidR="008E1FBA">
        <w:rPr>
          <w:lang w:val="en-GB"/>
        </w:rPr>
        <w:t>,</w:t>
      </w:r>
      <w:r w:rsidRPr="008C3CBD">
        <w:rPr>
          <w:lang w:val="en-GB"/>
        </w:rPr>
        <w:t xml:space="preserve"> and </w:t>
      </w:r>
      <w:r w:rsidR="00193E7C">
        <w:rPr>
          <w:lang w:val="en-GB"/>
        </w:rPr>
        <w:t xml:space="preserve">by </w:t>
      </w:r>
      <w:r w:rsidR="00F45927">
        <w:rPr>
          <w:lang w:val="en-GB"/>
        </w:rPr>
        <w:t>addressing barriers and stereotypes such as those on</w:t>
      </w:r>
      <w:r w:rsidR="005E279D" w:rsidRPr="00F45927">
        <w:rPr>
          <w:lang w:val="en-GB"/>
        </w:rPr>
        <w:t xml:space="preserve"> gender, ethnicity and sexual orientation</w:t>
      </w:r>
      <w:r w:rsidRPr="00F45927">
        <w:rPr>
          <w:lang w:val="en-GB"/>
        </w:rPr>
        <w:t xml:space="preserve">. UNDP will </w:t>
      </w:r>
      <w:r w:rsidR="00D63BC9">
        <w:rPr>
          <w:lang w:val="en-GB"/>
        </w:rPr>
        <w:t xml:space="preserve">continue to </w:t>
      </w:r>
      <w:r w:rsidR="0055616F">
        <w:rPr>
          <w:lang w:val="en-GB"/>
        </w:rPr>
        <w:t xml:space="preserve">act as convener of </w:t>
      </w:r>
      <w:r w:rsidR="001926DC">
        <w:rPr>
          <w:lang w:val="en-GB"/>
        </w:rPr>
        <w:t xml:space="preserve">development </w:t>
      </w:r>
      <w:r w:rsidR="00D63BC9">
        <w:rPr>
          <w:lang w:val="en-GB"/>
        </w:rPr>
        <w:t>partners</w:t>
      </w:r>
      <w:r w:rsidR="00D63BC9" w:rsidRPr="00F45927">
        <w:rPr>
          <w:lang w:val="en-GB"/>
        </w:rPr>
        <w:t xml:space="preserve"> </w:t>
      </w:r>
      <w:r w:rsidRPr="00F45927">
        <w:rPr>
          <w:lang w:val="en-GB"/>
        </w:rPr>
        <w:t xml:space="preserve">on </w:t>
      </w:r>
      <w:r w:rsidR="00D63BC9">
        <w:rPr>
          <w:lang w:val="en-GB"/>
        </w:rPr>
        <w:t>human</w:t>
      </w:r>
      <w:r w:rsidR="00D63BC9" w:rsidRPr="00F45927">
        <w:rPr>
          <w:lang w:val="en-GB"/>
        </w:rPr>
        <w:t xml:space="preserve"> </w:t>
      </w:r>
      <w:r w:rsidRPr="00F45927">
        <w:rPr>
          <w:lang w:val="en-GB"/>
        </w:rPr>
        <w:t>rights</w:t>
      </w:r>
      <w:r w:rsidR="001926DC">
        <w:rPr>
          <w:lang w:val="en-GB"/>
        </w:rPr>
        <w:t>,</w:t>
      </w:r>
      <w:r w:rsidRPr="00F45927">
        <w:rPr>
          <w:lang w:val="en-GB"/>
        </w:rPr>
        <w:t xml:space="preserve"> </w:t>
      </w:r>
      <w:r w:rsidR="001926DC">
        <w:rPr>
          <w:lang w:val="en-GB"/>
        </w:rPr>
        <w:t>and harness synergies with other U</w:t>
      </w:r>
      <w:r w:rsidR="00193E7C">
        <w:rPr>
          <w:lang w:val="en-GB"/>
        </w:rPr>
        <w:t xml:space="preserve">nited </w:t>
      </w:r>
      <w:r w:rsidR="001926DC">
        <w:rPr>
          <w:lang w:val="en-GB"/>
        </w:rPr>
        <w:t>N</w:t>
      </w:r>
      <w:r w:rsidR="00193E7C">
        <w:rPr>
          <w:lang w:val="en-GB"/>
        </w:rPr>
        <w:t>ations</w:t>
      </w:r>
      <w:r w:rsidR="001926DC">
        <w:rPr>
          <w:lang w:val="en-GB"/>
        </w:rPr>
        <w:t xml:space="preserve"> organizations</w:t>
      </w:r>
      <w:r w:rsidRPr="00F45927">
        <w:rPr>
          <w:lang w:val="en-GB"/>
        </w:rPr>
        <w:t xml:space="preserve"> on women’s empowerment</w:t>
      </w:r>
      <w:r w:rsidR="00420CAD" w:rsidRPr="00F45927">
        <w:rPr>
          <w:lang w:val="en-GB"/>
        </w:rPr>
        <w:t xml:space="preserve"> (</w:t>
      </w:r>
      <w:r w:rsidR="00193E7C">
        <w:rPr>
          <w:lang w:val="en-GB"/>
        </w:rPr>
        <w:t>Sustainable Development Goal</w:t>
      </w:r>
      <w:r w:rsidR="00420CAD" w:rsidRPr="00D63BC9">
        <w:rPr>
          <w:lang w:val="en-GB"/>
        </w:rPr>
        <w:t xml:space="preserve"> 5)</w:t>
      </w:r>
      <w:r w:rsidRPr="00D63BC9">
        <w:rPr>
          <w:lang w:val="en-GB"/>
        </w:rPr>
        <w:t>, safe cities</w:t>
      </w:r>
      <w:r w:rsidR="00420CAD" w:rsidRPr="00D63BC9">
        <w:rPr>
          <w:lang w:val="en-GB"/>
        </w:rPr>
        <w:t xml:space="preserve"> (</w:t>
      </w:r>
      <w:r w:rsidR="00193E7C">
        <w:rPr>
          <w:lang w:val="en-GB"/>
        </w:rPr>
        <w:t>Goal</w:t>
      </w:r>
      <w:r w:rsidR="00420CAD" w:rsidRPr="00D63BC9">
        <w:rPr>
          <w:lang w:val="en-GB"/>
        </w:rPr>
        <w:t xml:space="preserve"> 11)</w:t>
      </w:r>
      <w:r w:rsidR="00D63BC9" w:rsidRPr="00D63BC9">
        <w:rPr>
          <w:lang w:val="en-GB"/>
        </w:rPr>
        <w:t xml:space="preserve"> and</w:t>
      </w:r>
      <w:r w:rsidRPr="00D63BC9">
        <w:rPr>
          <w:lang w:val="en-GB"/>
        </w:rPr>
        <w:t xml:space="preserve"> due process in justice</w:t>
      </w:r>
      <w:r w:rsidR="00420CAD" w:rsidRPr="00D63BC9">
        <w:rPr>
          <w:lang w:val="en-GB"/>
        </w:rPr>
        <w:t xml:space="preserve"> (</w:t>
      </w:r>
      <w:r w:rsidR="00193E7C">
        <w:rPr>
          <w:lang w:val="en-GB"/>
        </w:rPr>
        <w:t>Goal</w:t>
      </w:r>
      <w:r w:rsidR="00420CAD" w:rsidRPr="00D63BC9">
        <w:rPr>
          <w:lang w:val="en-GB"/>
        </w:rPr>
        <w:t xml:space="preserve"> 16)</w:t>
      </w:r>
      <w:r w:rsidRPr="00D63BC9">
        <w:rPr>
          <w:lang w:val="en-GB"/>
        </w:rPr>
        <w:t>.</w:t>
      </w:r>
    </w:p>
    <w:p w14:paraId="4A1A186C" w14:textId="77777777" w:rsidR="001A2B81" w:rsidRPr="00F9540F" w:rsidRDefault="001A2B81" w:rsidP="00A9743B">
      <w:pPr>
        <w:pStyle w:val="ListParagraph"/>
        <w:tabs>
          <w:tab w:val="left" w:pos="1080"/>
        </w:tabs>
        <w:ind w:right="720"/>
        <w:rPr>
          <w:sz w:val="12"/>
          <w:szCs w:val="12"/>
          <w:lang w:val="en-GB"/>
        </w:rPr>
      </w:pPr>
    </w:p>
    <w:p w14:paraId="6627D4F7" w14:textId="0786DCA8" w:rsidR="00E050BF" w:rsidRPr="00603955" w:rsidRDefault="00603955" w:rsidP="00A9743B">
      <w:pPr>
        <w:pStyle w:val="ListParagraph"/>
        <w:numPr>
          <w:ilvl w:val="0"/>
          <w:numId w:val="2"/>
        </w:numPr>
        <w:tabs>
          <w:tab w:val="left" w:pos="1080"/>
        </w:tabs>
        <w:ind w:right="720" w:firstLine="0"/>
        <w:contextualSpacing/>
        <w:jc w:val="both"/>
        <w:rPr>
          <w:lang w:val="en-GB"/>
        </w:rPr>
      </w:pPr>
      <w:r>
        <w:rPr>
          <w:lang w:val="en-GB"/>
        </w:rPr>
        <w:t>Building</w:t>
      </w:r>
      <w:r w:rsidR="00E050BF" w:rsidRPr="001A2B81">
        <w:rPr>
          <w:lang w:val="en-GB"/>
        </w:rPr>
        <w:t xml:space="preserve"> on </w:t>
      </w:r>
      <w:r w:rsidR="00193E7C">
        <w:rPr>
          <w:lang w:val="en-GB"/>
        </w:rPr>
        <w:t xml:space="preserve">Millennium Development Goal </w:t>
      </w:r>
      <w:r>
        <w:rPr>
          <w:lang w:val="en-GB"/>
        </w:rPr>
        <w:t xml:space="preserve">localization </w:t>
      </w:r>
      <w:r w:rsidR="00E050BF" w:rsidRPr="001A2B81">
        <w:rPr>
          <w:lang w:val="en-GB"/>
        </w:rPr>
        <w:t>success</w:t>
      </w:r>
      <w:r w:rsidR="002E79BE">
        <w:rPr>
          <w:lang w:val="en-GB"/>
        </w:rPr>
        <w:t xml:space="preserve"> and in line with the </w:t>
      </w:r>
      <w:r w:rsidR="00193E7C">
        <w:rPr>
          <w:lang w:val="en-GB"/>
        </w:rPr>
        <w:t>mainstreaming</w:t>
      </w:r>
      <w:r w:rsidR="002E79BE">
        <w:rPr>
          <w:lang w:val="en-GB"/>
        </w:rPr>
        <w:t xml:space="preserve">, </w:t>
      </w:r>
      <w:r w:rsidR="00193E7C">
        <w:rPr>
          <w:lang w:val="en-GB"/>
        </w:rPr>
        <w:t xml:space="preserve">acceleration </w:t>
      </w:r>
      <w:r w:rsidR="002E79BE">
        <w:rPr>
          <w:lang w:val="en-GB"/>
        </w:rPr>
        <w:t xml:space="preserve">and </w:t>
      </w:r>
      <w:r w:rsidR="00193E7C">
        <w:rPr>
          <w:lang w:val="en-GB"/>
        </w:rPr>
        <w:t>policy support</w:t>
      </w:r>
      <w:r w:rsidR="00A9743B">
        <w:rPr>
          <w:lang w:val="en-GB"/>
        </w:rPr>
        <w:t xml:space="preserve"> </w:t>
      </w:r>
      <w:r w:rsidR="002E79BE">
        <w:rPr>
          <w:lang w:val="en-GB"/>
        </w:rPr>
        <w:t>approach</w:t>
      </w:r>
      <w:r>
        <w:rPr>
          <w:lang w:val="en-GB"/>
        </w:rPr>
        <w:t>,</w:t>
      </w:r>
      <w:r w:rsidR="00E050BF" w:rsidRPr="001A2B81">
        <w:rPr>
          <w:lang w:val="en-GB"/>
        </w:rPr>
        <w:t xml:space="preserve"> </w:t>
      </w:r>
      <w:r>
        <w:rPr>
          <w:lang w:val="en-GB"/>
        </w:rPr>
        <w:t>UNDP will support</w:t>
      </w:r>
      <w:r w:rsidR="00E050BF" w:rsidRPr="00603955">
        <w:rPr>
          <w:lang w:val="en-GB"/>
        </w:rPr>
        <w:t xml:space="preserve"> a</w:t>
      </w:r>
      <w:r>
        <w:rPr>
          <w:lang w:val="en-GB"/>
        </w:rPr>
        <w:t xml:space="preserve"> national</w:t>
      </w:r>
      <w:r w:rsidR="00E050BF" w:rsidRPr="00603955">
        <w:rPr>
          <w:lang w:val="en-GB"/>
        </w:rPr>
        <w:t xml:space="preserve"> </w:t>
      </w:r>
      <w:r w:rsidR="005C1F24">
        <w:rPr>
          <w:lang w:val="en-GB"/>
        </w:rPr>
        <w:t>monitoring and evaluation</w:t>
      </w:r>
      <w:r w:rsidR="00E050BF" w:rsidRPr="00603955">
        <w:rPr>
          <w:lang w:val="en-GB"/>
        </w:rPr>
        <w:t xml:space="preserve"> framework for </w:t>
      </w:r>
      <w:r w:rsidR="00E03385">
        <w:rPr>
          <w:lang w:val="en-GB"/>
        </w:rPr>
        <w:t>Sustainable Development Goal</w:t>
      </w:r>
      <w:r w:rsidR="00E050BF" w:rsidRPr="00603955">
        <w:rPr>
          <w:lang w:val="en-GB"/>
        </w:rPr>
        <w:t xml:space="preserve"> perform</w:t>
      </w:r>
      <w:r w:rsidR="0014300C" w:rsidRPr="00603955">
        <w:rPr>
          <w:lang w:val="en-GB"/>
        </w:rPr>
        <w:t>ance and progressiv</w:t>
      </w:r>
      <w:r>
        <w:rPr>
          <w:lang w:val="en-GB"/>
        </w:rPr>
        <w:t>e</w:t>
      </w:r>
      <w:r w:rsidR="0014300C" w:rsidRPr="00603955">
        <w:rPr>
          <w:lang w:val="en-GB"/>
        </w:rPr>
        <w:t xml:space="preserve"> </w:t>
      </w:r>
      <w:r w:rsidR="00D63BC9" w:rsidRPr="00603955">
        <w:rPr>
          <w:lang w:val="en-GB"/>
        </w:rPr>
        <w:t>integrat</w:t>
      </w:r>
      <w:r>
        <w:rPr>
          <w:lang w:val="en-GB"/>
        </w:rPr>
        <w:t>ion of</w:t>
      </w:r>
      <w:r w:rsidR="0014300C" w:rsidRPr="00603955">
        <w:rPr>
          <w:lang w:val="en-GB"/>
        </w:rPr>
        <w:t xml:space="preserve"> </w:t>
      </w:r>
      <w:r w:rsidR="00E03385">
        <w:rPr>
          <w:lang w:val="en-GB"/>
        </w:rPr>
        <w:t xml:space="preserve">related </w:t>
      </w:r>
      <w:r w:rsidR="00D63BC9" w:rsidRPr="00603955">
        <w:rPr>
          <w:lang w:val="en-GB"/>
        </w:rPr>
        <w:t>targets</w:t>
      </w:r>
      <w:r w:rsidR="00E050BF" w:rsidRPr="00603955">
        <w:rPr>
          <w:lang w:val="en-GB"/>
        </w:rPr>
        <w:t xml:space="preserve"> in </w:t>
      </w:r>
      <w:r>
        <w:rPr>
          <w:lang w:val="en-GB"/>
        </w:rPr>
        <w:t>central and local</w:t>
      </w:r>
      <w:r w:rsidRPr="00603955">
        <w:rPr>
          <w:lang w:val="en-GB"/>
        </w:rPr>
        <w:t xml:space="preserve"> </w:t>
      </w:r>
      <w:r w:rsidR="00E050BF" w:rsidRPr="00603955">
        <w:rPr>
          <w:lang w:val="en-GB"/>
        </w:rPr>
        <w:t xml:space="preserve">planning </w:t>
      </w:r>
      <w:r w:rsidRPr="00603955">
        <w:rPr>
          <w:lang w:val="en-GB"/>
        </w:rPr>
        <w:t xml:space="preserve">and </w:t>
      </w:r>
      <w:r w:rsidR="00E050BF" w:rsidRPr="00603955">
        <w:rPr>
          <w:lang w:val="en-GB"/>
        </w:rPr>
        <w:t xml:space="preserve">budgeting. </w:t>
      </w:r>
      <w:r>
        <w:rPr>
          <w:lang w:val="en-GB"/>
        </w:rPr>
        <w:t xml:space="preserve">This includes </w:t>
      </w:r>
      <w:r w:rsidR="0014300C" w:rsidRPr="00603955">
        <w:rPr>
          <w:lang w:val="en-GB"/>
        </w:rPr>
        <w:t>establish</w:t>
      </w:r>
      <w:r>
        <w:rPr>
          <w:lang w:val="en-GB"/>
        </w:rPr>
        <w:t>ing</w:t>
      </w:r>
      <w:r w:rsidR="0014300C" w:rsidRPr="00603955">
        <w:rPr>
          <w:lang w:val="en-GB"/>
        </w:rPr>
        <w:t xml:space="preserve"> a baseline</w:t>
      </w:r>
      <w:r>
        <w:rPr>
          <w:lang w:val="en-GB"/>
        </w:rPr>
        <w:t xml:space="preserve"> and roadmap</w:t>
      </w:r>
      <w:r w:rsidR="00E050BF" w:rsidRPr="00603955">
        <w:rPr>
          <w:lang w:val="en-GB"/>
        </w:rPr>
        <w:t xml:space="preserve">. Recognizing that </w:t>
      </w:r>
      <w:r w:rsidR="00E03385">
        <w:rPr>
          <w:lang w:val="en-GB"/>
        </w:rPr>
        <w:t xml:space="preserve">the Goals </w:t>
      </w:r>
      <w:r w:rsidR="00E050BF" w:rsidRPr="00603955">
        <w:rPr>
          <w:lang w:val="en-GB"/>
        </w:rPr>
        <w:t xml:space="preserve">call for intersectoral approaches and policy coherence, UNDP will </w:t>
      </w:r>
      <w:r w:rsidR="00E00507">
        <w:rPr>
          <w:lang w:val="en-GB"/>
        </w:rPr>
        <w:t xml:space="preserve">champion </w:t>
      </w:r>
      <w:r w:rsidR="00E050BF" w:rsidRPr="00603955">
        <w:rPr>
          <w:lang w:val="en-GB"/>
        </w:rPr>
        <w:t>whole-of-</w:t>
      </w:r>
      <w:r w:rsidR="00E00507">
        <w:rPr>
          <w:lang w:val="en-GB"/>
        </w:rPr>
        <w:t>government</w:t>
      </w:r>
      <w:r w:rsidR="00E00507" w:rsidRPr="00603955">
        <w:rPr>
          <w:lang w:val="en-GB"/>
        </w:rPr>
        <w:t xml:space="preserve"> </w:t>
      </w:r>
      <w:r w:rsidR="00E050BF" w:rsidRPr="00603955">
        <w:rPr>
          <w:lang w:val="en-GB"/>
        </w:rPr>
        <w:t>action</w:t>
      </w:r>
      <w:r w:rsidR="00C2173C">
        <w:rPr>
          <w:lang w:val="en-GB"/>
        </w:rPr>
        <w:t>s</w:t>
      </w:r>
      <w:r w:rsidR="00E050BF" w:rsidRPr="00603955">
        <w:rPr>
          <w:lang w:val="en-GB"/>
        </w:rPr>
        <w:t xml:space="preserve"> towards </w:t>
      </w:r>
      <w:r w:rsidR="00E03385">
        <w:rPr>
          <w:lang w:val="en-GB"/>
        </w:rPr>
        <w:t xml:space="preserve">the 2030 </w:t>
      </w:r>
      <w:r w:rsidR="00E00507">
        <w:rPr>
          <w:lang w:val="en-GB"/>
        </w:rPr>
        <w:t>Agenda,</w:t>
      </w:r>
      <w:r w:rsidR="00E050BF" w:rsidRPr="00603955">
        <w:rPr>
          <w:lang w:val="en-GB"/>
        </w:rPr>
        <w:t xml:space="preserve"> </w:t>
      </w:r>
      <w:r w:rsidR="00E00507">
        <w:rPr>
          <w:lang w:val="en-GB"/>
        </w:rPr>
        <w:t>including</w:t>
      </w:r>
      <w:r w:rsidR="00E00507" w:rsidRPr="00603955">
        <w:rPr>
          <w:lang w:val="en-GB"/>
        </w:rPr>
        <w:t xml:space="preserve"> </w:t>
      </w:r>
      <w:r w:rsidR="004125C0">
        <w:rPr>
          <w:lang w:val="en-GB"/>
        </w:rPr>
        <w:t xml:space="preserve">necessary </w:t>
      </w:r>
      <w:r>
        <w:rPr>
          <w:lang w:val="en-GB"/>
        </w:rPr>
        <w:t xml:space="preserve">public </w:t>
      </w:r>
      <w:r w:rsidR="00E050BF" w:rsidRPr="00603955">
        <w:rPr>
          <w:lang w:val="en-GB"/>
        </w:rPr>
        <w:t>engagement.</w:t>
      </w:r>
    </w:p>
    <w:p w14:paraId="2121F547" w14:textId="77777777" w:rsidR="007A6560" w:rsidRPr="00F9540F" w:rsidRDefault="007A6560" w:rsidP="00A9743B">
      <w:pPr>
        <w:pStyle w:val="ListParagraph"/>
        <w:tabs>
          <w:tab w:val="left" w:pos="1080"/>
        </w:tabs>
        <w:autoSpaceDE w:val="0"/>
        <w:autoSpaceDN w:val="0"/>
        <w:adjustRightInd w:val="0"/>
        <w:ind w:right="720"/>
        <w:jc w:val="both"/>
        <w:rPr>
          <w:lang w:val="en-GB" w:eastAsia="en-GB"/>
        </w:rPr>
      </w:pPr>
    </w:p>
    <w:p w14:paraId="2ECB6DB3" w14:textId="6A9542B8" w:rsidR="002827BF" w:rsidRPr="001F621B" w:rsidRDefault="002827BF" w:rsidP="00A9743B">
      <w:pPr>
        <w:pStyle w:val="Heading2"/>
        <w:numPr>
          <w:ilvl w:val="0"/>
          <w:numId w:val="26"/>
        </w:numPr>
        <w:tabs>
          <w:tab w:val="left" w:pos="720"/>
          <w:tab w:val="left" w:pos="1080"/>
        </w:tabs>
        <w:ind w:right="720" w:hanging="1260"/>
        <w:jc w:val="both"/>
        <w:rPr>
          <w:rFonts w:ascii="Times New Roman" w:eastAsiaTheme="minorHAnsi" w:hAnsi="Times New Roman"/>
          <w:sz w:val="24"/>
          <w:szCs w:val="22"/>
          <w:lang w:val="en-GB"/>
        </w:rPr>
      </w:pPr>
      <w:r w:rsidRPr="001F621B">
        <w:rPr>
          <w:rFonts w:ascii="Times New Roman" w:eastAsiaTheme="minorHAnsi" w:hAnsi="Times New Roman"/>
          <w:sz w:val="24"/>
          <w:szCs w:val="22"/>
          <w:lang w:val="en-GB"/>
        </w:rPr>
        <w:t xml:space="preserve">Programme and risk management </w:t>
      </w:r>
    </w:p>
    <w:p w14:paraId="4D3C3BC0" w14:textId="77777777" w:rsidR="002827BF" w:rsidRPr="001F621B" w:rsidRDefault="002827BF" w:rsidP="00A9743B">
      <w:pPr>
        <w:pStyle w:val="ListParagraph"/>
        <w:tabs>
          <w:tab w:val="left" w:pos="1080"/>
        </w:tabs>
        <w:ind w:right="720"/>
        <w:jc w:val="both"/>
        <w:rPr>
          <w:lang w:val="en-GB"/>
        </w:rPr>
      </w:pPr>
    </w:p>
    <w:p w14:paraId="1ACD18C8" w14:textId="2C39B9E3" w:rsidR="002827BF" w:rsidRPr="001F621B" w:rsidRDefault="002827BF" w:rsidP="00A9743B">
      <w:pPr>
        <w:pStyle w:val="ListParagraph"/>
        <w:numPr>
          <w:ilvl w:val="0"/>
          <w:numId w:val="2"/>
        </w:numPr>
        <w:tabs>
          <w:tab w:val="left" w:pos="1080"/>
        </w:tabs>
        <w:spacing w:after="120"/>
        <w:ind w:right="720" w:firstLine="0"/>
        <w:jc w:val="both"/>
        <w:rPr>
          <w:lang w:val="en-GB"/>
        </w:rPr>
      </w:pPr>
      <w:r w:rsidRPr="001F621B">
        <w:rPr>
          <w:lang w:val="en-GB"/>
        </w:rPr>
        <w:t xml:space="preserve">This </w:t>
      </w:r>
      <w:r w:rsidR="00E03385">
        <w:rPr>
          <w:lang w:val="en-GB"/>
        </w:rPr>
        <w:t>c</w:t>
      </w:r>
      <w:r w:rsidR="00E03385" w:rsidRPr="001F621B">
        <w:rPr>
          <w:lang w:val="en-GB"/>
        </w:rPr>
        <w:t xml:space="preserve">ountry </w:t>
      </w:r>
      <w:r w:rsidR="00E03385">
        <w:rPr>
          <w:lang w:val="en-GB"/>
        </w:rPr>
        <w:t>p</w:t>
      </w:r>
      <w:r w:rsidR="00E03385" w:rsidRPr="001F621B">
        <w:rPr>
          <w:lang w:val="en-GB"/>
        </w:rPr>
        <w:t xml:space="preserve">rogramme </w:t>
      </w:r>
      <w:r w:rsidR="00E03385">
        <w:rPr>
          <w:lang w:val="en-GB"/>
        </w:rPr>
        <w:t>d</w:t>
      </w:r>
      <w:r w:rsidR="00E03385" w:rsidRPr="001F621B">
        <w:rPr>
          <w:lang w:val="en-GB"/>
        </w:rPr>
        <w:t xml:space="preserve">ocument </w:t>
      </w:r>
      <w:r w:rsidRPr="001F621B">
        <w:rPr>
          <w:lang w:val="en-GB"/>
        </w:rPr>
        <w:t xml:space="preserve">outlines </w:t>
      </w:r>
      <w:r w:rsidR="00E03385">
        <w:rPr>
          <w:lang w:val="en-GB"/>
        </w:rPr>
        <w:t xml:space="preserve">the </w:t>
      </w:r>
      <w:r w:rsidRPr="001F621B">
        <w:rPr>
          <w:lang w:val="en-GB"/>
        </w:rPr>
        <w:t xml:space="preserve">UNDP contributions to national results and serves as the primary unit of accountability to the Executive Board for results alignment and resources assigned to the programme at country level. Accountabilities with respect to country programme </w:t>
      </w:r>
      <w:r w:rsidR="00E00507">
        <w:rPr>
          <w:lang w:val="en-GB"/>
        </w:rPr>
        <w:t xml:space="preserve">are </w:t>
      </w:r>
      <w:r w:rsidRPr="001F621B">
        <w:rPr>
          <w:lang w:val="en-GB"/>
        </w:rPr>
        <w:t xml:space="preserve">prescribed in the organization’s </w:t>
      </w:r>
      <w:hyperlink r:id="rId21" w:history="1">
        <w:r w:rsidRPr="001F621B">
          <w:rPr>
            <w:lang w:val="en-GB"/>
          </w:rPr>
          <w:t>programme and operations policies and procedures</w:t>
        </w:r>
      </w:hyperlink>
      <w:r w:rsidRPr="001F621B">
        <w:rPr>
          <w:lang w:val="en-GB"/>
        </w:rPr>
        <w:t xml:space="preserve"> and the </w:t>
      </w:r>
      <w:hyperlink r:id="rId22" w:history="1">
        <w:r w:rsidRPr="001F621B">
          <w:rPr>
            <w:lang w:val="en-GB"/>
          </w:rPr>
          <w:t>internal control framework</w:t>
        </w:r>
      </w:hyperlink>
      <w:r w:rsidR="008F0E62">
        <w:rPr>
          <w:lang w:val="en-GB"/>
        </w:rPr>
        <w:t>, including social and environmental standards and accountability mechanism</w:t>
      </w:r>
      <w:r w:rsidRPr="001F621B">
        <w:rPr>
          <w:lang w:val="en-GB"/>
        </w:rPr>
        <w:t>.</w:t>
      </w:r>
    </w:p>
    <w:p w14:paraId="2FABBD90" w14:textId="4D2D7D3C" w:rsidR="002827BF" w:rsidRPr="00E00507" w:rsidRDefault="002827BF" w:rsidP="00A9743B">
      <w:pPr>
        <w:pStyle w:val="ListParagraph"/>
        <w:numPr>
          <w:ilvl w:val="0"/>
          <w:numId w:val="2"/>
        </w:numPr>
        <w:tabs>
          <w:tab w:val="left" w:pos="1080"/>
        </w:tabs>
        <w:spacing w:after="120"/>
        <w:ind w:right="720" w:firstLine="0"/>
        <w:jc w:val="both"/>
        <w:rPr>
          <w:lang w:val="en-GB"/>
        </w:rPr>
      </w:pPr>
      <w:r w:rsidRPr="001F621B">
        <w:rPr>
          <w:lang w:val="en-GB"/>
        </w:rPr>
        <w:t xml:space="preserve">The </w:t>
      </w:r>
      <w:r w:rsidR="00E03385">
        <w:rPr>
          <w:lang w:val="en-GB"/>
        </w:rPr>
        <w:t>c</w:t>
      </w:r>
      <w:r w:rsidR="00E03385" w:rsidRPr="001F621B">
        <w:rPr>
          <w:lang w:val="en-GB"/>
        </w:rPr>
        <w:t xml:space="preserve">ountry </w:t>
      </w:r>
      <w:r w:rsidR="00E03385">
        <w:rPr>
          <w:lang w:val="en-GB"/>
        </w:rPr>
        <w:t>p</w:t>
      </w:r>
      <w:r w:rsidR="00E03385" w:rsidRPr="001F621B">
        <w:rPr>
          <w:lang w:val="en-GB"/>
        </w:rPr>
        <w:t xml:space="preserve">rogramme </w:t>
      </w:r>
      <w:r w:rsidRPr="001F621B">
        <w:rPr>
          <w:lang w:val="en-GB"/>
        </w:rPr>
        <w:t xml:space="preserve">will be nationally executed to ensure </w:t>
      </w:r>
      <w:r w:rsidR="00E03385">
        <w:rPr>
          <w:lang w:val="en-GB"/>
        </w:rPr>
        <w:t xml:space="preserve">national </w:t>
      </w:r>
      <w:r w:rsidR="00AB004F">
        <w:rPr>
          <w:lang w:val="en-GB"/>
        </w:rPr>
        <w:t xml:space="preserve">ownership </w:t>
      </w:r>
      <w:r w:rsidRPr="001F621B">
        <w:rPr>
          <w:lang w:val="en-GB"/>
        </w:rPr>
        <w:t xml:space="preserve">and accountability for achieving </w:t>
      </w:r>
      <w:r w:rsidR="00AB7A45">
        <w:rPr>
          <w:lang w:val="en-GB"/>
        </w:rPr>
        <w:t xml:space="preserve">Viet Nam’s </w:t>
      </w:r>
      <w:r w:rsidRPr="001F621B">
        <w:rPr>
          <w:lang w:val="en-GB"/>
        </w:rPr>
        <w:t>development results.</w:t>
      </w:r>
      <w:r w:rsidR="00DD5A40">
        <w:rPr>
          <w:lang w:val="en-GB"/>
        </w:rPr>
        <w:t xml:space="preserve"> Adjusting the business model to a middle-income country context and building on current strengths,</w:t>
      </w:r>
      <w:r w:rsidRPr="001F621B">
        <w:rPr>
          <w:lang w:val="en-GB"/>
        </w:rPr>
        <w:t xml:space="preserve"> </w:t>
      </w:r>
      <w:r w:rsidR="00E00507" w:rsidRPr="00C124B1">
        <w:rPr>
          <w:lang w:val="en-GB"/>
        </w:rPr>
        <w:t xml:space="preserve">UNDP will </w:t>
      </w:r>
      <w:r w:rsidR="001926DC">
        <w:rPr>
          <w:lang w:val="en-GB"/>
        </w:rPr>
        <w:t>provide</w:t>
      </w:r>
      <w:r w:rsidR="00E00507" w:rsidRPr="00C124B1">
        <w:rPr>
          <w:lang w:val="en-GB"/>
        </w:rPr>
        <w:t xml:space="preserve"> a </w:t>
      </w:r>
      <w:r w:rsidR="009D6B8B">
        <w:rPr>
          <w:lang w:val="en-GB"/>
        </w:rPr>
        <w:t>combined offer</w:t>
      </w:r>
      <w:r w:rsidR="009D6B8B" w:rsidRPr="00C124B1">
        <w:rPr>
          <w:lang w:val="en-GB"/>
        </w:rPr>
        <w:t xml:space="preserve"> </w:t>
      </w:r>
      <w:r w:rsidR="00E00507" w:rsidRPr="00C124B1">
        <w:rPr>
          <w:lang w:val="en-GB"/>
        </w:rPr>
        <w:t>of policy advice, evidence and research</w:t>
      </w:r>
      <w:r w:rsidR="00E03385">
        <w:rPr>
          <w:lang w:val="en-GB"/>
        </w:rPr>
        <w:t>,</w:t>
      </w:r>
      <w:r w:rsidR="00E00507" w:rsidRPr="00C124B1">
        <w:rPr>
          <w:lang w:val="en-GB"/>
        </w:rPr>
        <w:t xml:space="preserve"> drawing on international experiences, and </w:t>
      </w:r>
      <w:r w:rsidR="009D6B8B">
        <w:rPr>
          <w:lang w:val="en-GB"/>
        </w:rPr>
        <w:t xml:space="preserve">implementation </w:t>
      </w:r>
      <w:r w:rsidR="001926DC">
        <w:rPr>
          <w:lang w:val="en-GB"/>
        </w:rPr>
        <w:t>services that</w:t>
      </w:r>
      <w:r w:rsidR="009D6B8B">
        <w:rPr>
          <w:lang w:val="en-GB"/>
        </w:rPr>
        <w:t xml:space="preserve"> </w:t>
      </w:r>
      <w:r w:rsidR="0001415D">
        <w:rPr>
          <w:lang w:val="en-GB"/>
        </w:rPr>
        <w:t>integrat</w:t>
      </w:r>
      <w:r w:rsidR="001926DC">
        <w:rPr>
          <w:lang w:val="en-GB"/>
        </w:rPr>
        <w:t>e</w:t>
      </w:r>
      <w:r w:rsidR="00435830">
        <w:rPr>
          <w:lang w:val="en-GB"/>
        </w:rPr>
        <w:t xml:space="preserve"> </w:t>
      </w:r>
      <w:r w:rsidR="00AC5521">
        <w:rPr>
          <w:lang w:val="en-GB"/>
        </w:rPr>
        <w:t>partnership approaches to</w:t>
      </w:r>
      <w:r w:rsidR="009D6B8B">
        <w:rPr>
          <w:lang w:val="en-GB"/>
        </w:rPr>
        <w:t xml:space="preserve"> </w:t>
      </w:r>
      <w:r w:rsidR="00E00507" w:rsidRPr="00C124B1">
        <w:rPr>
          <w:lang w:val="en-GB"/>
        </w:rPr>
        <w:t xml:space="preserve">scale up proven development solutions. UNDP will increasingly deliver on-demand services to enhance development </w:t>
      </w:r>
      <w:r w:rsidR="00E00507" w:rsidRPr="00C124B1">
        <w:rPr>
          <w:lang w:val="en-GB"/>
        </w:rPr>
        <w:lastRenderedPageBreak/>
        <w:t>effectiveness</w:t>
      </w:r>
      <w:r w:rsidR="001926DC">
        <w:rPr>
          <w:lang w:val="en-GB"/>
        </w:rPr>
        <w:t>,</w:t>
      </w:r>
      <w:r w:rsidR="00E00507" w:rsidRPr="00C124B1">
        <w:rPr>
          <w:lang w:val="en-GB"/>
        </w:rPr>
        <w:t xml:space="preserve"> accelerate national programmes (co)financed by </w:t>
      </w:r>
      <w:r w:rsidR="00E03385">
        <w:rPr>
          <w:lang w:val="en-GB"/>
        </w:rPr>
        <w:t xml:space="preserve">the </w:t>
      </w:r>
      <w:r w:rsidR="00E00507" w:rsidRPr="00C124B1">
        <w:rPr>
          <w:lang w:val="en-GB"/>
        </w:rPr>
        <w:t>Government</w:t>
      </w:r>
      <w:r w:rsidR="001926DC">
        <w:rPr>
          <w:lang w:val="en-GB"/>
        </w:rPr>
        <w:t>,</w:t>
      </w:r>
      <w:r w:rsidR="009D6B8B">
        <w:rPr>
          <w:lang w:val="en-GB"/>
        </w:rPr>
        <w:t xml:space="preserve"> and cooperate </w:t>
      </w:r>
      <w:r w:rsidR="001926DC">
        <w:rPr>
          <w:lang w:val="en-GB"/>
        </w:rPr>
        <w:t xml:space="preserve">at subnational level </w:t>
      </w:r>
      <w:r w:rsidR="009D6B8B">
        <w:rPr>
          <w:lang w:val="en-GB"/>
        </w:rPr>
        <w:t xml:space="preserve">in addressing </w:t>
      </w:r>
      <w:r w:rsidR="001926DC">
        <w:rPr>
          <w:lang w:val="en-GB"/>
        </w:rPr>
        <w:t xml:space="preserve">local </w:t>
      </w:r>
      <w:r w:rsidR="009D6B8B">
        <w:rPr>
          <w:lang w:val="en-GB"/>
        </w:rPr>
        <w:t>development challenges</w:t>
      </w:r>
      <w:r w:rsidR="00E00507" w:rsidRPr="00C124B1">
        <w:rPr>
          <w:lang w:val="en-GB"/>
        </w:rPr>
        <w:t>.</w:t>
      </w:r>
    </w:p>
    <w:p w14:paraId="57D0767D" w14:textId="5BCBCB15" w:rsidR="00927074" w:rsidRDefault="002827BF" w:rsidP="00A9743B">
      <w:pPr>
        <w:pStyle w:val="ListParagraph"/>
        <w:numPr>
          <w:ilvl w:val="0"/>
          <w:numId w:val="2"/>
        </w:numPr>
        <w:tabs>
          <w:tab w:val="left" w:pos="1080"/>
        </w:tabs>
        <w:spacing w:after="120"/>
        <w:ind w:right="720" w:firstLine="0"/>
        <w:jc w:val="both"/>
        <w:rPr>
          <w:lang w:val="en-GB"/>
        </w:rPr>
      </w:pPr>
      <w:r w:rsidRPr="001F621B">
        <w:rPr>
          <w:lang w:val="en-GB"/>
        </w:rPr>
        <w:t xml:space="preserve">The </w:t>
      </w:r>
      <w:r w:rsidR="00E03385">
        <w:rPr>
          <w:lang w:val="en-GB"/>
        </w:rPr>
        <w:t>c</w:t>
      </w:r>
      <w:r w:rsidR="00E03385" w:rsidRPr="001F621B">
        <w:rPr>
          <w:lang w:val="en-GB"/>
        </w:rPr>
        <w:t xml:space="preserve">ountry </w:t>
      </w:r>
      <w:r w:rsidR="00E03385">
        <w:rPr>
          <w:lang w:val="en-GB"/>
        </w:rPr>
        <w:t>p</w:t>
      </w:r>
      <w:r w:rsidR="00E03385" w:rsidRPr="001F621B">
        <w:rPr>
          <w:lang w:val="en-GB"/>
        </w:rPr>
        <w:t xml:space="preserve">rogramme </w:t>
      </w:r>
      <w:r w:rsidRPr="001F621B">
        <w:rPr>
          <w:lang w:val="en-GB"/>
        </w:rPr>
        <w:t xml:space="preserve">will be implemented in close collaboration with </w:t>
      </w:r>
      <w:r w:rsidR="00C2173C">
        <w:rPr>
          <w:lang w:val="en-GB"/>
        </w:rPr>
        <w:t xml:space="preserve">the </w:t>
      </w:r>
      <w:r w:rsidRPr="001F621B">
        <w:rPr>
          <w:lang w:val="en-GB"/>
        </w:rPr>
        <w:t>Government</w:t>
      </w:r>
      <w:r w:rsidR="00C2173C">
        <w:rPr>
          <w:lang w:val="en-GB"/>
        </w:rPr>
        <w:t>'s</w:t>
      </w:r>
      <w:r w:rsidRPr="001F621B">
        <w:rPr>
          <w:lang w:val="en-GB"/>
        </w:rPr>
        <w:t xml:space="preserve"> </w:t>
      </w:r>
      <w:r w:rsidR="00C2173C">
        <w:rPr>
          <w:lang w:val="en-GB"/>
        </w:rPr>
        <w:t>a</w:t>
      </w:r>
      <w:r w:rsidR="00C2173C" w:rsidRPr="001F621B">
        <w:rPr>
          <w:lang w:val="en-GB"/>
        </w:rPr>
        <w:t xml:space="preserve">id </w:t>
      </w:r>
      <w:r w:rsidR="00C2173C">
        <w:rPr>
          <w:lang w:val="en-GB"/>
        </w:rPr>
        <w:t>c</w:t>
      </w:r>
      <w:r w:rsidR="00C2173C" w:rsidRPr="001F621B">
        <w:rPr>
          <w:lang w:val="en-GB"/>
        </w:rPr>
        <w:t xml:space="preserve">oordinating </w:t>
      </w:r>
      <w:r w:rsidR="00C2173C">
        <w:rPr>
          <w:lang w:val="en-GB"/>
        </w:rPr>
        <w:t>a</w:t>
      </w:r>
      <w:r w:rsidR="00C2173C" w:rsidRPr="001F621B">
        <w:rPr>
          <w:lang w:val="en-GB"/>
        </w:rPr>
        <w:t>gencies</w:t>
      </w:r>
      <w:r w:rsidRPr="001F621B">
        <w:rPr>
          <w:lang w:val="en-GB"/>
        </w:rPr>
        <w:t>. Different implementation modalities, e.</w:t>
      </w:r>
      <w:r w:rsidR="00AB004F">
        <w:rPr>
          <w:lang w:val="en-GB"/>
        </w:rPr>
        <w:t>g.</w:t>
      </w:r>
      <w:r w:rsidR="00E03385">
        <w:rPr>
          <w:lang w:val="en-GB"/>
        </w:rPr>
        <w:t>,</w:t>
      </w:r>
      <w:r w:rsidRPr="001F621B">
        <w:rPr>
          <w:lang w:val="en-GB"/>
        </w:rPr>
        <w:t xml:space="preserve"> national</w:t>
      </w:r>
      <w:r w:rsidR="00D05D4F">
        <w:rPr>
          <w:lang w:val="en-GB"/>
        </w:rPr>
        <w:t xml:space="preserve">, </w:t>
      </w:r>
      <w:r w:rsidR="00AB004F">
        <w:rPr>
          <w:lang w:val="en-GB"/>
        </w:rPr>
        <w:t xml:space="preserve">direct </w:t>
      </w:r>
      <w:r w:rsidR="00D05D4F">
        <w:rPr>
          <w:lang w:val="en-GB"/>
        </w:rPr>
        <w:t xml:space="preserve">or </w:t>
      </w:r>
      <w:r w:rsidR="00E03385">
        <w:rPr>
          <w:lang w:val="en-GB"/>
        </w:rPr>
        <w:t xml:space="preserve">non-governmental organization </w:t>
      </w:r>
      <w:r w:rsidRPr="001F621B">
        <w:rPr>
          <w:lang w:val="en-GB"/>
        </w:rPr>
        <w:t xml:space="preserve">implementation, will be selected to enhance </w:t>
      </w:r>
      <w:r w:rsidR="00E03385">
        <w:rPr>
          <w:lang w:val="en-GB"/>
        </w:rPr>
        <w:t xml:space="preserve">the </w:t>
      </w:r>
      <w:r w:rsidRPr="001F621B">
        <w:rPr>
          <w:lang w:val="en-GB"/>
        </w:rPr>
        <w:t>efficiency</w:t>
      </w:r>
      <w:r w:rsidR="00AB004F">
        <w:rPr>
          <w:lang w:val="en-GB"/>
        </w:rPr>
        <w:t xml:space="preserve"> </w:t>
      </w:r>
      <w:r w:rsidRPr="001F621B">
        <w:rPr>
          <w:lang w:val="en-GB"/>
        </w:rPr>
        <w:t>and effective</w:t>
      </w:r>
      <w:r w:rsidR="00AB004F">
        <w:rPr>
          <w:lang w:val="en-GB"/>
        </w:rPr>
        <w:t>ness of</w:t>
      </w:r>
      <w:r w:rsidRPr="001F621B">
        <w:rPr>
          <w:lang w:val="en-GB"/>
        </w:rPr>
        <w:t xml:space="preserve"> UNDP contributions to development results. Implementing partners will be selected </w:t>
      </w:r>
      <w:r w:rsidR="0057268A">
        <w:rPr>
          <w:lang w:val="en-GB"/>
        </w:rPr>
        <w:t xml:space="preserve">on the basis of comparative advantage and capacities, and </w:t>
      </w:r>
      <w:r w:rsidR="005E279D">
        <w:rPr>
          <w:lang w:val="en-GB"/>
        </w:rPr>
        <w:t xml:space="preserve">with a view to </w:t>
      </w:r>
      <w:r w:rsidR="0057268A">
        <w:rPr>
          <w:lang w:val="en-GB"/>
        </w:rPr>
        <w:t xml:space="preserve">building </w:t>
      </w:r>
      <w:r w:rsidR="0001415D">
        <w:rPr>
          <w:lang w:val="en-GB"/>
        </w:rPr>
        <w:t>sustainable impact</w:t>
      </w:r>
      <w:r w:rsidRPr="001F621B">
        <w:rPr>
          <w:lang w:val="en-GB"/>
        </w:rPr>
        <w:t xml:space="preserve">. When required, UNDP will support national implementing partners </w:t>
      </w:r>
      <w:r w:rsidR="00435830">
        <w:rPr>
          <w:lang w:val="en-GB"/>
        </w:rPr>
        <w:t>in</w:t>
      </w:r>
      <w:r w:rsidR="00435830" w:rsidRPr="001F621B">
        <w:rPr>
          <w:lang w:val="en-GB"/>
        </w:rPr>
        <w:t xml:space="preserve"> </w:t>
      </w:r>
      <w:r w:rsidRPr="001F621B">
        <w:rPr>
          <w:lang w:val="en-GB"/>
        </w:rPr>
        <w:t>address</w:t>
      </w:r>
      <w:r w:rsidR="00435830">
        <w:rPr>
          <w:lang w:val="en-GB"/>
        </w:rPr>
        <w:t>ing</w:t>
      </w:r>
      <w:r w:rsidRPr="001F621B">
        <w:rPr>
          <w:lang w:val="en-GB"/>
        </w:rPr>
        <w:t xml:space="preserve"> capacity gaps</w:t>
      </w:r>
      <w:r w:rsidR="007E1819">
        <w:rPr>
          <w:lang w:val="en-GB"/>
        </w:rPr>
        <w:t xml:space="preserve"> in line with the </w:t>
      </w:r>
      <w:r w:rsidR="00E03385">
        <w:rPr>
          <w:lang w:val="en-GB"/>
        </w:rPr>
        <w:t xml:space="preserve">harmonized approach </w:t>
      </w:r>
      <w:r w:rsidR="005C1F24">
        <w:rPr>
          <w:lang w:val="en-GB"/>
        </w:rPr>
        <w:t xml:space="preserve">to </w:t>
      </w:r>
      <w:r w:rsidR="00E03385">
        <w:rPr>
          <w:lang w:val="en-GB"/>
        </w:rPr>
        <w:t>cash transfers</w:t>
      </w:r>
      <w:r w:rsidRPr="001F621B">
        <w:rPr>
          <w:lang w:val="en-GB"/>
        </w:rPr>
        <w:t xml:space="preserve">. </w:t>
      </w:r>
      <w:r w:rsidR="00927074" w:rsidRPr="006C0EC8">
        <w:rPr>
          <w:lang w:val="en-GB"/>
        </w:rPr>
        <w:t>As the primary means of program</w:t>
      </w:r>
      <w:r w:rsidR="00927074">
        <w:rPr>
          <w:lang w:val="en-GB"/>
        </w:rPr>
        <w:t>me</w:t>
      </w:r>
      <w:r w:rsidR="00927074" w:rsidRPr="006C0EC8">
        <w:rPr>
          <w:lang w:val="en-GB"/>
        </w:rPr>
        <w:t xml:space="preserve"> management is </w:t>
      </w:r>
      <w:r w:rsidR="00E03385">
        <w:rPr>
          <w:lang w:val="en-GB"/>
        </w:rPr>
        <w:t xml:space="preserve">through </w:t>
      </w:r>
      <w:r w:rsidR="00E35BD9" w:rsidRPr="006C0EC8">
        <w:rPr>
          <w:lang w:val="en-GB"/>
        </w:rPr>
        <w:t>UNDP</w:t>
      </w:r>
      <w:r w:rsidR="00E35BD9">
        <w:rPr>
          <w:lang w:val="en-GB"/>
        </w:rPr>
        <w:t xml:space="preserve"> </w:t>
      </w:r>
      <w:r w:rsidR="00E35BD9" w:rsidRPr="006C0EC8">
        <w:rPr>
          <w:lang w:val="en-GB"/>
        </w:rPr>
        <w:t>staff</w:t>
      </w:r>
      <w:r w:rsidR="00E03385">
        <w:rPr>
          <w:lang w:val="en-GB"/>
        </w:rPr>
        <w:t>,</w:t>
      </w:r>
      <w:r w:rsidR="00927074" w:rsidRPr="006C0EC8">
        <w:rPr>
          <w:lang w:val="en-GB"/>
        </w:rPr>
        <w:t xml:space="preserve"> allocation</w:t>
      </w:r>
      <w:r w:rsidR="00927074">
        <w:rPr>
          <w:lang w:val="en-GB"/>
        </w:rPr>
        <w:t>s</w:t>
      </w:r>
      <w:r w:rsidR="00927074" w:rsidRPr="006C0EC8">
        <w:rPr>
          <w:lang w:val="en-GB"/>
        </w:rPr>
        <w:t xml:space="preserve"> in the form of direct project cost</w:t>
      </w:r>
      <w:r w:rsidR="00927074">
        <w:rPr>
          <w:lang w:val="en-GB"/>
        </w:rPr>
        <w:t>s</w:t>
      </w:r>
      <w:r w:rsidR="00927074" w:rsidRPr="006C0EC8">
        <w:rPr>
          <w:lang w:val="en-GB"/>
        </w:rPr>
        <w:t xml:space="preserve"> will be applied to maintain the necessary human resources.</w:t>
      </w:r>
      <w:r w:rsidR="00927074">
        <w:rPr>
          <w:lang w:val="en-GB"/>
        </w:rPr>
        <w:t xml:space="preserve"> </w:t>
      </w:r>
    </w:p>
    <w:p w14:paraId="312D3A00" w14:textId="7B28D727" w:rsidR="002827BF" w:rsidRPr="009018C1" w:rsidRDefault="005E279D" w:rsidP="00A9743B">
      <w:pPr>
        <w:pStyle w:val="ListParagraph"/>
        <w:numPr>
          <w:ilvl w:val="0"/>
          <w:numId w:val="2"/>
        </w:numPr>
        <w:tabs>
          <w:tab w:val="left" w:pos="1080"/>
        </w:tabs>
        <w:spacing w:after="120"/>
        <w:ind w:right="720" w:firstLine="0"/>
        <w:jc w:val="both"/>
        <w:rPr>
          <w:lang w:val="en-GB"/>
        </w:rPr>
      </w:pPr>
      <w:r>
        <w:rPr>
          <w:lang w:val="en-GB"/>
        </w:rPr>
        <w:t>UNDP will harness knowledge and innovation to generate new</w:t>
      </w:r>
      <w:r w:rsidRPr="001F621B">
        <w:rPr>
          <w:lang w:val="en-GB"/>
        </w:rPr>
        <w:t xml:space="preserve"> development solutions</w:t>
      </w:r>
      <w:r>
        <w:rPr>
          <w:lang w:val="en-GB"/>
        </w:rPr>
        <w:t xml:space="preserve"> relevant in </w:t>
      </w:r>
      <w:r w:rsidR="00AB7A45">
        <w:rPr>
          <w:lang w:val="en-GB"/>
        </w:rPr>
        <w:t>a</w:t>
      </w:r>
      <w:r w:rsidR="00E03385">
        <w:rPr>
          <w:lang w:val="en-GB"/>
        </w:rPr>
        <w:t xml:space="preserve"> middle-income </w:t>
      </w:r>
      <w:r>
        <w:rPr>
          <w:lang w:val="en-GB"/>
        </w:rPr>
        <w:t xml:space="preserve">context, including an offer of development support services to accelerate </w:t>
      </w:r>
      <w:r w:rsidR="00AB7A45">
        <w:rPr>
          <w:lang w:val="en-GB"/>
        </w:rPr>
        <w:t xml:space="preserve">delivery of national </w:t>
      </w:r>
      <w:r>
        <w:rPr>
          <w:lang w:val="en-GB"/>
        </w:rPr>
        <w:t>programmes</w:t>
      </w:r>
      <w:r w:rsidRPr="001F621B">
        <w:rPr>
          <w:lang w:val="en-GB"/>
        </w:rPr>
        <w:t xml:space="preserve">. </w:t>
      </w:r>
      <w:r w:rsidR="002827BF" w:rsidRPr="001F621B">
        <w:rPr>
          <w:lang w:val="en-GB"/>
        </w:rPr>
        <w:t xml:space="preserve">UNDP will </w:t>
      </w:r>
      <w:r w:rsidR="00AB004F">
        <w:rPr>
          <w:lang w:val="en-GB"/>
        </w:rPr>
        <w:t xml:space="preserve">apply </w:t>
      </w:r>
      <w:r w:rsidR="002827BF" w:rsidRPr="001F621B">
        <w:rPr>
          <w:lang w:val="en-GB"/>
        </w:rPr>
        <w:t>results-</w:t>
      </w:r>
      <w:r w:rsidR="00D44416">
        <w:rPr>
          <w:lang w:val="en-GB"/>
        </w:rPr>
        <w:t>oriented</w:t>
      </w:r>
      <w:r w:rsidR="00E502DB">
        <w:rPr>
          <w:lang w:val="en-GB"/>
        </w:rPr>
        <w:t xml:space="preserve"> </w:t>
      </w:r>
      <w:r w:rsidR="00D44416">
        <w:rPr>
          <w:lang w:val="en-GB"/>
        </w:rPr>
        <w:t xml:space="preserve">management </w:t>
      </w:r>
      <w:r w:rsidR="00CD558E" w:rsidRPr="001F621B">
        <w:rPr>
          <w:lang w:val="en-GB"/>
        </w:rPr>
        <w:t xml:space="preserve">and </w:t>
      </w:r>
      <w:r w:rsidR="00AB004F">
        <w:rPr>
          <w:lang w:val="en-GB"/>
        </w:rPr>
        <w:t xml:space="preserve">an </w:t>
      </w:r>
      <w:r w:rsidR="00CD558E" w:rsidRPr="001F621B">
        <w:rPr>
          <w:lang w:val="en-GB"/>
        </w:rPr>
        <w:t>issue</w:t>
      </w:r>
      <w:r w:rsidR="002827BF" w:rsidRPr="001F621B">
        <w:rPr>
          <w:lang w:val="en-GB"/>
        </w:rPr>
        <w:t xml:space="preserve">-based approach </w:t>
      </w:r>
      <w:r w:rsidR="00CD558E" w:rsidRPr="001F621B">
        <w:rPr>
          <w:lang w:val="en-GB"/>
        </w:rPr>
        <w:t xml:space="preserve">to </w:t>
      </w:r>
      <w:r w:rsidR="002827BF" w:rsidRPr="001F621B">
        <w:rPr>
          <w:lang w:val="en-GB"/>
        </w:rPr>
        <w:t>programming</w:t>
      </w:r>
      <w:r w:rsidR="004D4195" w:rsidRPr="001F621B">
        <w:rPr>
          <w:lang w:val="en-GB"/>
        </w:rPr>
        <w:t xml:space="preserve">, </w:t>
      </w:r>
      <w:r w:rsidR="002827BF" w:rsidRPr="001F621B">
        <w:rPr>
          <w:lang w:val="en-GB"/>
        </w:rPr>
        <w:t xml:space="preserve">drawing on </w:t>
      </w:r>
      <w:r w:rsidR="00AB004F">
        <w:rPr>
          <w:lang w:val="en-GB"/>
        </w:rPr>
        <w:t>its</w:t>
      </w:r>
      <w:r w:rsidR="002827BF" w:rsidRPr="001F621B">
        <w:rPr>
          <w:lang w:val="en-GB"/>
        </w:rPr>
        <w:t xml:space="preserve"> </w:t>
      </w:r>
      <w:r w:rsidR="00AB004F">
        <w:rPr>
          <w:lang w:val="en-GB"/>
        </w:rPr>
        <w:t xml:space="preserve">policy advisory </w:t>
      </w:r>
      <w:r w:rsidR="004D4195" w:rsidRPr="001F621B">
        <w:rPr>
          <w:lang w:val="en-GB"/>
        </w:rPr>
        <w:t>capacity</w:t>
      </w:r>
      <w:r w:rsidR="00AB004F">
        <w:rPr>
          <w:lang w:val="en-GB"/>
        </w:rPr>
        <w:t>, as recommended by the 2015 ADR.</w:t>
      </w:r>
      <w:r w:rsidR="009018C1">
        <w:rPr>
          <w:lang w:val="en-GB"/>
        </w:rPr>
        <w:t xml:space="preserve"> Inter-disciplinary </w:t>
      </w:r>
      <w:r w:rsidR="004D4195" w:rsidRPr="009018C1">
        <w:rPr>
          <w:lang w:val="en-GB"/>
        </w:rPr>
        <w:t xml:space="preserve">teams will work on </w:t>
      </w:r>
      <w:r w:rsidR="009018C1">
        <w:rPr>
          <w:lang w:val="en-GB"/>
        </w:rPr>
        <w:t>topics</w:t>
      </w:r>
      <w:r w:rsidR="004D4195" w:rsidRPr="009018C1">
        <w:rPr>
          <w:lang w:val="en-GB"/>
        </w:rPr>
        <w:t xml:space="preserve"> such as </w:t>
      </w:r>
      <w:r w:rsidR="009018C1">
        <w:rPr>
          <w:lang w:val="en-GB"/>
        </w:rPr>
        <w:t xml:space="preserve">human rights and </w:t>
      </w:r>
      <w:r w:rsidR="004D4195" w:rsidRPr="009018C1">
        <w:rPr>
          <w:lang w:val="en-GB"/>
        </w:rPr>
        <w:t>urban development.</w:t>
      </w:r>
    </w:p>
    <w:p w14:paraId="1A2C4DC4" w14:textId="1CB6F92A" w:rsidR="002827BF" w:rsidRPr="001F621B" w:rsidRDefault="00D020BB" w:rsidP="00A9743B">
      <w:pPr>
        <w:pStyle w:val="ListParagraph"/>
        <w:numPr>
          <w:ilvl w:val="0"/>
          <w:numId w:val="2"/>
        </w:numPr>
        <w:tabs>
          <w:tab w:val="left" w:pos="1080"/>
        </w:tabs>
        <w:spacing w:after="120"/>
        <w:ind w:right="720" w:firstLine="0"/>
        <w:jc w:val="both"/>
        <w:rPr>
          <w:lang w:val="en-GB"/>
        </w:rPr>
      </w:pPr>
      <w:r>
        <w:rPr>
          <w:lang w:val="en-GB"/>
        </w:rPr>
        <w:t xml:space="preserve">The decline in </w:t>
      </w:r>
      <w:r w:rsidR="006D16BC">
        <w:rPr>
          <w:lang w:val="en-GB"/>
        </w:rPr>
        <w:t xml:space="preserve">grant </w:t>
      </w:r>
      <w:r w:rsidR="00E03385">
        <w:rPr>
          <w:lang w:val="en-GB"/>
        </w:rPr>
        <w:t xml:space="preserve">official development assistance </w:t>
      </w:r>
      <w:r w:rsidR="00C67395">
        <w:rPr>
          <w:lang w:val="en-GB"/>
        </w:rPr>
        <w:t>necessitates</w:t>
      </w:r>
      <w:r w:rsidR="00E502DB">
        <w:rPr>
          <w:lang w:val="en-GB"/>
        </w:rPr>
        <w:t xml:space="preserve"> </w:t>
      </w:r>
      <w:r w:rsidR="002827BF" w:rsidRPr="001F621B">
        <w:rPr>
          <w:lang w:val="en-GB"/>
        </w:rPr>
        <w:t xml:space="preserve">greater </w:t>
      </w:r>
      <w:r w:rsidR="007C0DBF">
        <w:rPr>
          <w:lang w:val="en-GB"/>
        </w:rPr>
        <w:t xml:space="preserve">national </w:t>
      </w:r>
      <w:r w:rsidR="002827BF" w:rsidRPr="001F621B">
        <w:rPr>
          <w:lang w:val="en-GB"/>
        </w:rPr>
        <w:t>responsibility</w:t>
      </w:r>
      <w:r w:rsidR="00E502DB">
        <w:rPr>
          <w:lang w:val="en-GB"/>
        </w:rPr>
        <w:t xml:space="preserve"> </w:t>
      </w:r>
      <w:r w:rsidR="00D44416">
        <w:rPr>
          <w:lang w:val="en-GB"/>
        </w:rPr>
        <w:t xml:space="preserve">for </w:t>
      </w:r>
      <w:r w:rsidR="002827BF" w:rsidRPr="001F621B">
        <w:rPr>
          <w:lang w:val="en-GB"/>
        </w:rPr>
        <w:t xml:space="preserve">financing development </w:t>
      </w:r>
      <w:r w:rsidR="004D4195" w:rsidRPr="001F621B">
        <w:rPr>
          <w:lang w:val="en-GB"/>
        </w:rPr>
        <w:t xml:space="preserve">using </w:t>
      </w:r>
      <w:r w:rsidR="002827BF" w:rsidRPr="001F621B">
        <w:rPr>
          <w:lang w:val="en-GB"/>
        </w:rPr>
        <w:t>domestic resource</w:t>
      </w:r>
      <w:r w:rsidR="004D4195" w:rsidRPr="001F621B">
        <w:rPr>
          <w:lang w:val="en-GB"/>
        </w:rPr>
        <w:t>s</w:t>
      </w:r>
      <w:r w:rsidR="009D6B8B">
        <w:rPr>
          <w:lang w:val="en-GB"/>
        </w:rPr>
        <w:t xml:space="preserve">, with opportunities to </w:t>
      </w:r>
      <w:r w:rsidR="00E03385">
        <w:rPr>
          <w:lang w:val="en-GB"/>
        </w:rPr>
        <w:t xml:space="preserve">optimize </w:t>
      </w:r>
      <w:r w:rsidR="009D6B8B">
        <w:rPr>
          <w:lang w:val="en-GB"/>
        </w:rPr>
        <w:t>resource management</w:t>
      </w:r>
      <w:r w:rsidR="007A2265">
        <w:rPr>
          <w:lang w:val="en-GB"/>
        </w:rPr>
        <w:t>,</w:t>
      </w:r>
      <w:r w:rsidR="009D6B8B">
        <w:rPr>
          <w:lang w:val="en-GB"/>
        </w:rPr>
        <w:t xml:space="preserve"> but also risks that vital capacity development needs go unmet</w:t>
      </w:r>
      <w:r w:rsidR="002827BF" w:rsidRPr="001F621B">
        <w:rPr>
          <w:lang w:val="en-GB"/>
        </w:rPr>
        <w:t xml:space="preserve">. </w:t>
      </w:r>
      <w:r w:rsidR="009018C1">
        <w:rPr>
          <w:lang w:val="en-GB"/>
        </w:rPr>
        <w:t xml:space="preserve">In this context, </w:t>
      </w:r>
      <w:r w:rsidR="002827BF" w:rsidRPr="001F621B">
        <w:rPr>
          <w:lang w:val="en-GB"/>
        </w:rPr>
        <w:t xml:space="preserve">UNDP </w:t>
      </w:r>
      <w:r w:rsidR="009018C1">
        <w:rPr>
          <w:lang w:val="en-GB"/>
        </w:rPr>
        <w:t xml:space="preserve">will seize opportunities </w:t>
      </w:r>
      <w:r w:rsidR="007C0DBF">
        <w:rPr>
          <w:lang w:val="en-GB"/>
        </w:rPr>
        <w:t xml:space="preserve">to </w:t>
      </w:r>
      <w:r w:rsidR="002827BF" w:rsidRPr="001F621B">
        <w:rPr>
          <w:lang w:val="en-GB"/>
        </w:rPr>
        <w:t xml:space="preserve">expand partnerships with </w:t>
      </w:r>
      <w:r w:rsidR="00E03385">
        <w:rPr>
          <w:lang w:val="en-GB"/>
        </w:rPr>
        <w:t xml:space="preserve">the </w:t>
      </w:r>
      <w:r w:rsidR="00D44416">
        <w:rPr>
          <w:lang w:val="en-GB"/>
        </w:rPr>
        <w:t>Government, private sector</w:t>
      </w:r>
      <w:r w:rsidR="00927074">
        <w:rPr>
          <w:lang w:val="en-GB"/>
        </w:rPr>
        <w:t xml:space="preserve"> and </w:t>
      </w:r>
      <w:r w:rsidR="00E03385">
        <w:rPr>
          <w:lang w:val="en-GB"/>
        </w:rPr>
        <w:t>international financial institutions</w:t>
      </w:r>
      <w:r w:rsidR="009D6B8B">
        <w:rPr>
          <w:lang w:val="en-GB"/>
        </w:rPr>
        <w:t xml:space="preserve">, investing UNDP </w:t>
      </w:r>
      <w:r w:rsidR="00C2173C">
        <w:rPr>
          <w:lang w:val="en-GB"/>
        </w:rPr>
        <w:t>regular</w:t>
      </w:r>
      <w:r w:rsidR="00C2173C" w:rsidRPr="001F621B">
        <w:rPr>
          <w:lang w:val="en-GB"/>
        </w:rPr>
        <w:t xml:space="preserve"> </w:t>
      </w:r>
      <w:r w:rsidR="009018C1">
        <w:rPr>
          <w:lang w:val="en-GB"/>
        </w:rPr>
        <w:t xml:space="preserve">resources </w:t>
      </w:r>
      <w:r w:rsidR="007C0DBF">
        <w:rPr>
          <w:lang w:val="en-GB"/>
        </w:rPr>
        <w:t>in innovative solutions</w:t>
      </w:r>
      <w:r w:rsidR="007C0DBF" w:rsidRPr="001F621B">
        <w:rPr>
          <w:lang w:val="en-GB"/>
        </w:rPr>
        <w:t xml:space="preserve"> </w:t>
      </w:r>
      <w:r w:rsidR="009D6B8B">
        <w:rPr>
          <w:lang w:val="en-GB"/>
        </w:rPr>
        <w:t xml:space="preserve">while </w:t>
      </w:r>
      <w:r w:rsidR="007C0DBF">
        <w:rPr>
          <w:lang w:val="en-GB"/>
        </w:rPr>
        <w:t xml:space="preserve">leveraging other </w:t>
      </w:r>
      <w:r w:rsidR="009018C1">
        <w:rPr>
          <w:lang w:val="en-GB"/>
        </w:rPr>
        <w:t xml:space="preserve">funding </w:t>
      </w:r>
      <w:r w:rsidR="007C0DBF">
        <w:rPr>
          <w:lang w:val="en-GB"/>
        </w:rPr>
        <w:t>for scaling up</w:t>
      </w:r>
      <w:r w:rsidR="009267D5">
        <w:rPr>
          <w:lang w:val="en-GB"/>
        </w:rPr>
        <w:t xml:space="preserve"> assistance</w:t>
      </w:r>
      <w:r w:rsidR="002827BF" w:rsidRPr="001F621B">
        <w:rPr>
          <w:lang w:val="en-GB"/>
        </w:rPr>
        <w:t>.</w:t>
      </w:r>
    </w:p>
    <w:p w14:paraId="0039AB6A" w14:textId="655A8DE1" w:rsidR="008A42B1" w:rsidRPr="006C0EC8" w:rsidRDefault="008A42B1" w:rsidP="00A9743B">
      <w:pPr>
        <w:pStyle w:val="ListParagraph"/>
        <w:numPr>
          <w:ilvl w:val="0"/>
          <w:numId w:val="2"/>
        </w:numPr>
        <w:tabs>
          <w:tab w:val="left" w:pos="1080"/>
        </w:tabs>
        <w:spacing w:after="120"/>
        <w:ind w:right="720" w:firstLine="0"/>
        <w:jc w:val="both"/>
        <w:rPr>
          <w:lang w:val="en-GB"/>
        </w:rPr>
      </w:pPr>
      <w:r>
        <w:rPr>
          <w:lang w:val="en-GB"/>
        </w:rPr>
        <w:t>Given Viet Nam’s chronic vulnerability to disasters and climate disruptions, UNDP will work with U</w:t>
      </w:r>
      <w:r w:rsidR="00E03385">
        <w:rPr>
          <w:lang w:val="en-GB"/>
        </w:rPr>
        <w:t xml:space="preserve">nited </w:t>
      </w:r>
      <w:r>
        <w:rPr>
          <w:lang w:val="en-GB"/>
        </w:rPr>
        <w:t>N</w:t>
      </w:r>
      <w:r w:rsidR="00E03385">
        <w:rPr>
          <w:lang w:val="en-GB"/>
        </w:rPr>
        <w:t>ations</w:t>
      </w:r>
      <w:r>
        <w:rPr>
          <w:lang w:val="en-GB"/>
        </w:rPr>
        <w:t xml:space="preserve"> partners to execute a joint business continuity plan for uninterrupted delivery of support. </w:t>
      </w:r>
      <w:r w:rsidRPr="001F621B">
        <w:rPr>
          <w:lang w:val="en-GB"/>
        </w:rPr>
        <w:t xml:space="preserve">Fast-track procedures </w:t>
      </w:r>
      <w:r>
        <w:rPr>
          <w:lang w:val="en-GB"/>
        </w:rPr>
        <w:t xml:space="preserve">can </w:t>
      </w:r>
      <w:r w:rsidRPr="001F621B">
        <w:rPr>
          <w:lang w:val="en-GB"/>
        </w:rPr>
        <w:t xml:space="preserve">be adopted </w:t>
      </w:r>
      <w:r>
        <w:rPr>
          <w:lang w:val="en-GB"/>
        </w:rPr>
        <w:t>to provide timely response</w:t>
      </w:r>
      <w:r w:rsidRPr="001F621B">
        <w:rPr>
          <w:lang w:val="en-GB"/>
        </w:rPr>
        <w:t xml:space="preserve"> </w:t>
      </w:r>
      <w:r>
        <w:rPr>
          <w:lang w:val="en-GB"/>
        </w:rPr>
        <w:t xml:space="preserve">in emergency situations and to meet </w:t>
      </w:r>
      <w:r w:rsidRPr="006C0EC8">
        <w:rPr>
          <w:lang w:val="en-GB"/>
        </w:rPr>
        <w:t>urgent demands</w:t>
      </w:r>
      <w:r>
        <w:rPr>
          <w:lang w:val="en-GB"/>
        </w:rPr>
        <w:t xml:space="preserve"> for assistance</w:t>
      </w:r>
      <w:r w:rsidRPr="006C0EC8">
        <w:rPr>
          <w:lang w:val="en-GB"/>
        </w:rPr>
        <w:t>.</w:t>
      </w:r>
      <w:r>
        <w:rPr>
          <w:lang w:val="en-GB"/>
        </w:rPr>
        <w:t xml:space="preserve"> </w:t>
      </w:r>
      <w:r w:rsidR="008F0E62">
        <w:rPr>
          <w:lang w:val="en-GB"/>
        </w:rPr>
        <w:t>These measures supplement UNDP institutional and capacity development support for disaster risk reduction.</w:t>
      </w:r>
    </w:p>
    <w:p w14:paraId="6626E706" w14:textId="343ACB5B" w:rsidR="009018C1" w:rsidRDefault="002827BF" w:rsidP="00A9743B">
      <w:pPr>
        <w:pStyle w:val="ListParagraph"/>
        <w:numPr>
          <w:ilvl w:val="0"/>
          <w:numId w:val="2"/>
        </w:numPr>
        <w:tabs>
          <w:tab w:val="left" w:pos="1080"/>
        </w:tabs>
        <w:ind w:right="720" w:firstLine="0"/>
        <w:jc w:val="both"/>
        <w:rPr>
          <w:lang w:val="en-GB"/>
        </w:rPr>
      </w:pPr>
      <w:r w:rsidRPr="001F621B">
        <w:rPr>
          <w:lang w:val="en-GB"/>
        </w:rPr>
        <w:t xml:space="preserve">UNDP </w:t>
      </w:r>
      <w:r w:rsidR="001B3F20">
        <w:rPr>
          <w:lang w:val="en-GB"/>
        </w:rPr>
        <w:t xml:space="preserve">works on </w:t>
      </w:r>
      <w:r w:rsidRPr="001F621B">
        <w:rPr>
          <w:lang w:val="en-GB"/>
        </w:rPr>
        <w:t xml:space="preserve">sensitive </w:t>
      </w:r>
      <w:r w:rsidR="001B3F20">
        <w:rPr>
          <w:lang w:val="en-GB"/>
        </w:rPr>
        <w:t>policy issues</w:t>
      </w:r>
      <w:r w:rsidRPr="001F621B">
        <w:rPr>
          <w:lang w:val="en-GB"/>
        </w:rPr>
        <w:t xml:space="preserve">, </w:t>
      </w:r>
      <w:r w:rsidR="001B3F20">
        <w:rPr>
          <w:lang w:val="en-GB"/>
        </w:rPr>
        <w:t xml:space="preserve">with potential risks to </w:t>
      </w:r>
      <w:r w:rsidRPr="001F621B">
        <w:rPr>
          <w:lang w:val="en-GB"/>
        </w:rPr>
        <w:t xml:space="preserve">perceptions of </w:t>
      </w:r>
      <w:r w:rsidR="00E03385">
        <w:rPr>
          <w:lang w:val="en-GB"/>
        </w:rPr>
        <w:t>its</w:t>
      </w:r>
      <w:r w:rsidRPr="001F621B">
        <w:rPr>
          <w:lang w:val="en-GB"/>
        </w:rPr>
        <w:t xml:space="preserve"> </w:t>
      </w:r>
      <w:r w:rsidR="000961B7" w:rsidRPr="001F621B">
        <w:rPr>
          <w:lang w:val="en-GB"/>
        </w:rPr>
        <w:t>impartiality</w:t>
      </w:r>
      <w:r w:rsidRPr="001F621B">
        <w:rPr>
          <w:lang w:val="en-GB"/>
        </w:rPr>
        <w:t xml:space="preserve">, one of the </w:t>
      </w:r>
      <w:r w:rsidR="000961B7" w:rsidRPr="001F621B">
        <w:rPr>
          <w:lang w:val="en-GB"/>
        </w:rPr>
        <w:t>organization</w:t>
      </w:r>
      <w:r w:rsidRPr="001F621B">
        <w:rPr>
          <w:lang w:val="en-GB"/>
        </w:rPr>
        <w:t xml:space="preserve">’s </w:t>
      </w:r>
      <w:r w:rsidR="000961B7" w:rsidRPr="001F621B">
        <w:rPr>
          <w:lang w:val="en-GB"/>
        </w:rPr>
        <w:t>greatest</w:t>
      </w:r>
      <w:r w:rsidRPr="001F621B">
        <w:rPr>
          <w:lang w:val="en-GB"/>
        </w:rPr>
        <w:t xml:space="preserve"> assets. To mitigate this </w:t>
      </w:r>
      <w:r w:rsidR="000961B7" w:rsidRPr="001F621B">
        <w:rPr>
          <w:lang w:val="en-GB"/>
        </w:rPr>
        <w:t xml:space="preserve">risk, </w:t>
      </w:r>
      <w:r w:rsidRPr="001F621B">
        <w:rPr>
          <w:lang w:val="en-GB"/>
        </w:rPr>
        <w:t xml:space="preserve">UNDP will develop and </w:t>
      </w:r>
      <w:r w:rsidR="000961B7" w:rsidRPr="001F621B">
        <w:rPr>
          <w:lang w:val="en-GB"/>
        </w:rPr>
        <w:t xml:space="preserve">continually </w:t>
      </w:r>
      <w:r w:rsidRPr="001F621B">
        <w:rPr>
          <w:lang w:val="en-GB"/>
        </w:rPr>
        <w:t xml:space="preserve">adjust </w:t>
      </w:r>
      <w:r w:rsidR="000961B7" w:rsidRPr="001F621B">
        <w:rPr>
          <w:lang w:val="en-GB"/>
        </w:rPr>
        <w:t xml:space="preserve">its </w:t>
      </w:r>
      <w:r w:rsidRPr="001F621B">
        <w:rPr>
          <w:lang w:val="en-GB"/>
        </w:rPr>
        <w:t>program</w:t>
      </w:r>
      <w:r w:rsidR="000961B7" w:rsidRPr="001F621B">
        <w:rPr>
          <w:lang w:val="en-GB"/>
        </w:rPr>
        <w:t>me</w:t>
      </w:r>
      <w:r w:rsidRPr="001F621B">
        <w:rPr>
          <w:lang w:val="en-GB"/>
        </w:rPr>
        <w:t xml:space="preserve">-specific risk </w:t>
      </w:r>
      <w:r w:rsidR="000961B7" w:rsidRPr="001F621B">
        <w:rPr>
          <w:lang w:val="en-GB"/>
        </w:rPr>
        <w:t xml:space="preserve">management </w:t>
      </w:r>
      <w:r w:rsidRPr="001F621B">
        <w:rPr>
          <w:lang w:val="en-GB"/>
        </w:rPr>
        <w:t xml:space="preserve">strategies based on </w:t>
      </w:r>
      <w:r w:rsidR="003677DE">
        <w:rPr>
          <w:lang w:val="en-GB"/>
        </w:rPr>
        <w:t xml:space="preserve">institutional context </w:t>
      </w:r>
      <w:r w:rsidR="00D44416">
        <w:rPr>
          <w:lang w:val="en-GB"/>
        </w:rPr>
        <w:t>analysis.</w:t>
      </w:r>
    </w:p>
    <w:p w14:paraId="719DBEB1" w14:textId="77777777" w:rsidR="002827BF" w:rsidRPr="001F621B" w:rsidRDefault="002827BF" w:rsidP="00A9743B">
      <w:pPr>
        <w:tabs>
          <w:tab w:val="left" w:pos="1080"/>
        </w:tabs>
        <w:ind w:left="720" w:right="720"/>
        <w:rPr>
          <w:lang w:val="en-GB"/>
        </w:rPr>
      </w:pPr>
    </w:p>
    <w:p w14:paraId="4BA96FE1" w14:textId="24133F7F" w:rsidR="007A6560" w:rsidRPr="001F621B" w:rsidRDefault="00237448" w:rsidP="00A9743B">
      <w:pPr>
        <w:pStyle w:val="Heading1"/>
        <w:numPr>
          <w:ilvl w:val="0"/>
          <w:numId w:val="26"/>
        </w:numPr>
        <w:tabs>
          <w:tab w:val="left" w:pos="630"/>
          <w:tab w:val="left" w:pos="1080"/>
          <w:tab w:val="left" w:pos="1800"/>
        </w:tabs>
        <w:ind w:left="720" w:right="720" w:hanging="360"/>
        <w:jc w:val="both"/>
        <w:rPr>
          <w:lang w:val="en-GB"/>
        </w:rPr>
      </w:pPr>
      <w:r>
        <w:rPr>
          <w:rFonts w:ascii="Times New Roman" w:eastAsiaTheme="minorHAnsi" w:hAnsi="Times New Roman"/>
          <w:sz w:val="24"/>
          <w:szCs w:val="22"/>
          <w:lang w:val="en-GB"/>
        </w:rPr>
        <w:t>Monitoring and e</w:t>
      </w:r>
      <w:r w:rsidR="007A6560" w:rsidRPr="001F621B">
        <w:rPr>
          <w:rFonts w:ascii="Times New Roman" w:eastAsiaTheme="minorHAnsi" w:hAnsi="Times New Roman"/>
          <w:sz w:val="24"/>
          <w:szCs w:val="22"/>
          <w:lang w:val="en-GB"/>
        </w:rPr>
        <w:t>valuation</w:t>
      </w:r>
    </w:p>
    <w:p w14:paraId="3E35F403" w14:textId="77777777" w:rsidR="00F353B2" w:rsidRPr="001F621B" w:rsidRDefault="00F353B2" w:rsidP="00A9743B">
      <w:pPr>
        <w:tabs>
          <w:tab w:val="left" w:pos="1080"/>
        </w:tabs>
        <w:ind w:right="720"/>
        <w:rPr>
          <w:rFonts w:asciiTheme="minorHAnsi" w:eastAsiaTheme="minorHAnsi" w:hAnsiTheme="minorHAnsi"/>
          <w:sz w:val="22"/>
          <w:szCs w:val="22"/>
          <w:lang w:val="en-GB"/>
        </w:rPr>
      </w:pPr>
    </w:p>
    <w:p w14:paraId="36DEF8CC" w14:textId="10918460" w:rsidR="001A2B81" w:rsidRPr="00792124" w:rsidRDefault="00D44416" w:rsidP="00A9743B">
      <w:pPr>
        <w:pStyle w:val="ListParagraph"/>
        <w:numPr>
          <w:ilvl w:val="0"/>
          <w:numId w:val="2"/>
        </w:numPr>
        <w:tabs>
          <w:tab w:val="left" w:pos="1080"/>
        </w:tabs>
        <w:spacing w:after="120"/>
        <w:ind w:right="720" w:firstLine="0"/>
        <w:jc w:val="both"/>
        <w:rPr>
          <w:lang w:val="en-GB"/>
        </w:rPr>
      </w:pPr>
      <w:r>
        <w:rPr>
          <w:lang w:val="en-GB"/>
        </w:rPr>
        <w:t xml:space="preserve">Country </w:t>
      </w:r>
      <w:r w:rsidR="00E03385">
        <w:rPr>
          <w:lang w:val="en-GB"/>
        </w:rPr>
        <w:t>p</w:t>
      </w:r>
      <w:r w:rsidR="00E03385" w:rsidRPr="001A2B81">
        <w:rPr>
          <w:lang w:val="en-GB"/>
        </w:rPr>
        <w:t xml:space="preserve">rogramme </w:t>
      </w:r>
      <w:r w:rsidR="005C1F24">
        <w:rPr>
          <w:lang w:val="en-GB"/>
        </w:rPr>
        <w:t>monitoring and evaluation</w:t>
      </w:r>
      <w:r w:rsidR="00DF626F">
        <w:rPr>
          <w:lang w:val="en-GB"/>
        </w:rPr>
        <w:t xml:space="preserve"> </w:t>
      </w:r>
      <w:r w:rsidR="00B22D2B">
        <w:rPr>
          <w:lang w:val="en-GB"/>
        </w:rPr>
        <w:t xml:space="preserve">(M&amp;E) </w:t>
      </w:r>
      <w:r w:rsidR="00E03385">
        <w:rPr>
          <w:lang w:val="en-GB"/>
        </w:rPr>
        <w:t xml:space="preserve">are </w:t>
      </w:r>
      <w:r w:rsidR="006F1272" w:rsidRPr="001A2B81">
        <w:rPr>
          <w:lang w:val="en-GB"/>
        </w:rPr>
        <w:t xml:space="preserve">integral </w:t>
      </w:r>
      <w:r w:rsidR="00E03385">
        <w:rPr>
          <w:lang w:val="en-GB"/>
        </w:rPr>
        <w:t xml:space="preserve">to </w:t>
      </w:r>
      <w:r w:rsidR="006F1272" w:rsidRPr="001A2B81">
        <w:rPr>
          <w:lang w:val="en-GB"/>
        </w:rPr>
        <w:t xml:space="preserve">the </w:t>
      </w:r>
      <w:r w:rsidR="00E03385">
        <w:rPr>
          <w:lang w:val="en-GB"/>
        </w:rPr>
        <w:t xml:space="preserve">results framework of the </w:t>
      </w:r>
      <w:r w:rsidR="006F1272" w:rsidRPr="001A2B81">
        <w:rPr>
          <w:lang w:val="en-GB"/>
        </w:rPr>
        <w:t xml:space="preserve">One </w:t>
      </w:r>
      <w:r>
        <w:rPr>
          <w:lang w:val="en-GB"/>
        </w:rPr>
        <w:t>U</w:t>
      </w:r>
      <w:r w:rsidR="00E03385">
        <w:rPr>
          <w:lang w:val="en-GB"/>
        </w:rPr>
        <w:t xml:space="preserve">nited </w:t>
      </w:r>
      <w:r>
        <w:rPr>
          <w:lang w:val="en-GB"/>
        </w:rPr>
        <w:t>N</w:t>
      </w:r>
      <w:r w:rsidR="00E03385">
        <w:rPr>
          <w:lang w:val="en-GB"/>
        </w:rPr>
        <w:t>ations</w:t>
      </w:r>
      <w:r>
        <w:rPr>
          <w:lang w:val="en-GB"/>
        </w:rPr>
        <w:t xml:space="preserve"> </w:t>
      </w:r>
      <w:r w:rsidR="006F1272" w:rsidRPr="001A2B81">
        <w:rPr>
          <w:lang w:val="en-GB"/>
        </w:rPr>
        <w:t>Strategic Pla</w:t>
      </w:r>
      <w:r w:rsidR="00640EFB">
        <w:rPr>
          <w:lang w:val="en-GB"/>
        </w:rPr>
        <w:t>n</w:t>
      </w:r>
      <w:r w:rsidR="00C2173C">
        <w:rPr>
          <w:lang w:val="en-GB"/>
        </w:rPr>
        <w:t>,</w:t>
      </w:r>
      <w:r w:rsidR="00792124">
        <w:rPr>
          <w:lang w:val="en-GB"/>
        </w:rPr>
        <w:t xml:space="preserve"> including requisite </w:t>
      </w:r>
      <w:r w:rsidR="00C2173C">
        <w:rPr>
          <w:lang w:val="en-GB"/>
        </w:rPr>
        <w:t>M&amp;E</w:t>
      </w:r>
      <w:r w:rsidR="00DF626F">
        <w:rPr>
          <w:lang w:val="en-GB"/>
        </w:rPr>
        <w:t xml:space="preserve"> </w:t>
      </w:r>
      <w:r w:rsidR="006F1272" w:rsidRPr="00640EFB">
        <w:rPr>
          <w:lang w:val="en-GB"/>
        </w:rPr>
        <w:t xml:space="preserve">reporting and </w:t>
      </w:r>
      <w:r w:rsidR="00792124">
        <w:rPr>
          <w:lang w:val="en-GB"/>
        </w:rPr>
        <w:t>quality assurance actions</w:t>
      </w:r>
      <w:r w:rsidR="006F1272" w:rsidRPr="00640EFB">
        <w:rPr>
          <w:lang w:val="en-GB"/>
        </w:rPr>
        <w:t xml:space="preserve">. </w:t>
      </w:r>
      <w:r w:rsidR="00A54DEA">
        <w:rPr>
          <w:lang w:val="en-GB"/>
        </w:rPr>
        <w:t xml:space="preserve">This </w:t>
      </w:r>
      <w:r w:rsidR="00180505">
        <w:rPr>
          <w:lang w:val="en-GB"/>
        </w:rPr>
        <w:t xml:space="preserve">Strategic Plan has adopted relevant current indicators for the </w:t>
      </w:r>
      <w:r w:rsidR="00E03385">
        <w:rPr>
          <w:lang w:val="en-GB"/>
        </w:rPr>
        <w:t>Sustainable Development Goal</w:t>
      </w:r>
      <w:r w:rsidR="00180505">
        <w:rPr>
          <w:lang w:val="en-GB"/>
        </w:rPr>
        <w:t xml:space="preserve"> targets</w:t>
      </w:r>
      <w:r w:rsidR="00C2173C">
        <w:rPr>
          <w:lang w:val="en-GB"/>
        </w:rPr>
        <w:t>.</w:t>
      </w:r>
      <w:r w:rsidR="00180505">
        <w:rPr>
          <w:rStyle w:val="FootnoteReference"/>
          <w:lang w:val="en-GB"/>
        </w:rPr>
        <w:footnoteReference w:id="24"/>
      </w:r>
      <w:r w:rsidR="00180505">
        <w:rPr>
          <w:lang w:val="en-GB"/>
        </w:rPr>
        <w:t xml:space="preserve"> </w:t>
      </w:r>
      <w:r w:rsidRPr="00640EFB">
        <w:rPr>
          <w:lang w:val="en-GB"/>
        </w:rPr>
        <w:t>As per the 2015 ADR, p</w:t>
      </w:r>
      <w:r w:rsidR="006F1272" w:rsidRPr="00640EFB">
        <w:rPr>
          <w:lang w:val="en-GB"/>
        </w:rPr>
        <w:t xml:space="preserve">articular attention will be given to measuring the results of </w:t>
      </w:r>
      <w:r w:rsidRPr="00640EFB">
        <w:rPr>
          <w:lang w:val="en-GB"/>
        </w:rPr>
        <w:t>UNDP</w:t>
      </w:r>
      <w:r w:rsidR="006F1272" w:rsidRPr="00640EFB">
        <w:rPr>
          <w:lang w:val="en-GB"/>
        </w:rPr>
        <w:t xml:space="preserve"> </w:t>
      </w:r>
      <w:r w:rsidRPr="00640EFB">
        <w:rPr>
          <w:lang w:val="en-GB"/>
        </w:rPr>
        <w:t>support to upstream policy</w:t>
      </w:r>
      <w:r w:rsidR="006F1272" w:rsidRPr="00640EFB">
        <w:rPr>
          <w:lang w:val="en-GB"/>
        </w:rPr>
        <w:t>making</w:t>
      </w:r>
      <w:r w:rsidR="007A2265">
        <w:rPr>
          <w:lang w:val="en-GB"/>
        </w:rPr>
        <w:t xml:space="preserve"> and gender equality</w:t>
      </w:r>
      <w:r w:rsidR="006F1272" w:rsidRPr="00640EFB">
        <w:rPr>
          <w:lang w:val="en-GB"/>
        </w:rPr>
        <w:t xml:space="preserve">. UNDP will contribute to the development and monitoring of relevant </w:t>
      </w:r>
      <w:r w:rsidR="00792124">
        <w:rPr>
          <w:lang w:val="en-GB"/>
        </w:rPr>
        <w:t>U</w:t>
      </w:r>
      <w:r w:rsidR="00E03385">
        <w:rPr>
          <w:lang w:val="en-GB"/>
        </w:rPr>
        <w:t xml:space="preserve">nited </w:t>
      </w:r>
      <w:r w:rsidR="00792124">
        <w:rPr>
          <w:lang w:val="en-GB"/>
        </w:rPr>
        <w:t>N</w:t>
      </w:r>
      <w:r w:rsidR="00E03385">
        <w:rPr>
          <w:lang w:val="en-GB"/>
        </w:rPr>
        <w:t>ations</w:t>
      </w:r>
      <w:r w:rsidR="00792124">
        <w:rPr>
          <w:lang w:val="en-GB"/>
        </w:rPr>
        <w:t xml:space="preserve"> </w:t>
      </w:r>
      <w:r w:rsidR="00E03385">
        <w:rPr>
          <w:lang w:val="en-GB"/>
        </w:rPr>
        <w:t>r</w:t>
      </w:r>
      <w:r w:rsidR="00E03385" w:rsidRPr="00640EFB">
        <w:rPr>
          <w:lang w:val="en-GB"/>
        </w:rPr>
        <w:t xml:space="preserve">esults </w:t>
      </w:r>
      <w:r w:rsidR="00E03385">
        <w:rPr>
          <w:lang w:val="en-GB"/>
        </w:rPr>
        <w:t>g</w:t>
      </w:r>
      <w:r w:rsidR="00E03385" w:rsidRPr="00640EFB">
        <w:rPr>
          <w:lang w:val="en-GB"/>
        </w:rPr>
        <w:t xml:space="preserve">roup </w:t>
      </w:r>
      <w:r w:rsidR="006F1272" w:rsidRPr="00640EFB">
        <w:rPr>
          <w:lang w:val="en-GB"/>
        </w:rPr>
        <w:t>workplans</w:t>
      </w:r>
      <w:r w:rsidR="00792124">
        <w:rPr>
          <w:lang w:val="en-GB"/>
        </w:rPr>
        <w:t xml:space="preserve"> t</w:t>
      </w:r>
      <w:r w:rsidRPr="00640EFB">
        <w:rPr>
          <w:lang w:val="en-GB"/>
        </w:rPr>
        <w:t>o ensure</w:t>
      </w:r>
      <w:r w:rsidR="006F1272" w:rsidRPr="00640EFB">
        <w:rPr>
          <w:lang w:val="en-GB"/>
        </w:rPr>
        <w:t xml:space="preserve"> </w:t>
      </w:r>
      <w:r w:rsidR="00792124">
        <w:rPr>
          <w:lang w:val="en-GB"/>
        </w:rPr>
        <w:t xml:space="preserve">coordination, joint programming and </w:t>
      </w:r>
      <w:r w:rsidR="006F1272" w:rsidRPr="00640EFB">
        <w:rPr>
          <w:lang w:val="en-GB"/>
        </w:rPr>
        <w:t xml:space="preserve">harmonized </w:t>
      </w:r>
      <w:r w:rsidR="00B22D2B">
        <w:rPr>
          <w:lang w:val="en-GB"/>
        </w:rPr>
        <w:t>result-based management</w:t>
      </w:r>
      <w:r w:rsidR="00B22D2B" w:rsidRPr="00792124">
        <w:rPr>
          <w:lang w:val="en-GB"/>
        </w:rPr>
        <w:t xml:space="preserve"> </w:t>
      </w:r>
      <w:r w:rsidR="00B22D2B">
        <w:rPr>
          <w:lang w:val="en-GB"/>
        </w:rPr>
        <w:t xml:space="preserve">(RBM) </w:t>
      </w:r>
      <w:r w:rsidR="006F1272" w:rsidRPr="00640EFB">
        <w:rPr>
          <w:lang w:val="en-GB"/>
        </w:rPr>
        <w:t>approaches</w:t>
      </w:r>
      <w:r w:rsidR="00792124" w:rsidRPr="00792124">
        <w:rPr>
          <w:lang w:val="en-GB"/>
        </w:rPr>
        <w:t xml:space="preserve">. </w:t>
      </w:r>
      <w:r w:rsidR="006F1272" w:rsidRPr="00792124">
        <w:rPr>
          <w:lang w:val="en-GB"/>
        </w:rPr>
        <w:t xml:space="preserve">Joint </w:t>
      </w:r>
      <w:r w:rsidR="00B22D2B">
        <w:rPr>
          <w:lang w:val="en-GB"/>
        </w:rPr>
        <w:t xml:space="preserve">M&amp;E </w:t>
      </w:r>
      <w:r w:rsidR="00792124">
        <w:rPr>
          <w:lang w:val="en-GB"/>
        </w:rPr>
        <w:t xml:space="preserve">and national </w:t>
      </w:r>
      <w:r w:rsidR="00B22D2B">
        <w:rPr>
          <w:lang w:val="en-GB"/>
        </w:rPr>
        <w:t xml:space="preserve">RBM </w:t>
      </w:r>
      <w:r w:rsidR="006F1272" w:rsidRPr="00792124">
        <w:rPr>
          <w:lang w:val="en-GB"/>
        </w:rPr>
        <w:t>capacity development will be supported in coordination with Government and other U</w:t>
      </w:r>
      <w:r w:rsidR="00A54DEA">
        <w:rPr>
          <w:lang w:val="en-GB"/>
        </w:rPr>
        <w:t xml:space="preserve">nited </w:t>
      </w:r>
      <w:r w:rsidR="006F1272" w:rsidRPr="00792124">
        <w:rPr>
          <w:lang w:val="en-GB"/>
        </w:rPr>
        <w:t>N</w:t>
      </w:r>
      <w:r w:rsidR="00A54DEA">
        <w:rPr>
          <w:lang w:val="en-GB"/>
        </w:rPr>
        <w:t>ations</w:t>
      </w:r>
      <w:r w:rsidR="006F1272" w:rsidRPr="00792124">
        <w:rPr>
          <w:lang w:val="en-GB"/>
        </w:rPr>
        <w:t xml:space="preserve"> </w:t>
      </w:r>
      <w:r w:rsidR="00792124">
        <w:rPr>
          <w:lang w:val="en-GB"/>
        </w:rPr>
        <w:t>partners</w:t>
      </w:r>
      <w:r w:rsidR="006F1272" w:rsidRPr="00792124">
        <w:rPr>
          <w:lang w:val="en-GB"/>
        </w:rPr>
        <w:t>.</w:t>
      </w:r>
    </w:p>
    <w:p w14:paraId="77220B51" w14:textId="6226C675" w:rsidR="00C965D6" w:rsidRDefault="00C965D6" w:rsidP="00A9743B">
      <w:pPr>
        <w:pStyle w:val="ListParagraph"/>
        <w:numPr>
          <w:ilvl w:val="0"/>
          <w:numId w:val="2"/>
        </w:numPr>
        <w:tabs>
          <w:tab w:val="left" w:pos="1080"/>
        </w:tabs>
        <w:spacing w:after="120"/>
        <w:ind w:right="720" w:firstLine="0"/>
        <w:jc w:val="both"/>
        <w:rPr>
          <w:lang w:val="en-GB"/>
        </w:rPr>
      </w:pPr>
      <w:r>
        <w:rPr>
          <w:lang w:val="en-GB"/>
        </w:rPr>
        <w:t xml:space="preserve">As recommended in </w:t>
      </w:r>
      <w:r w:rsidRPr="001A2B81">
        <w:rPr>
          <w:lang w:val="en-GB"/>
        </w:rPr>
        <w:t xml:space="preserve">the 2015 </w:t>
      </w:r>
      <w:r>
        <w:rPr>
          <w:lang w:val="en-GB"/>
        </w:rPr>
        <w:t>ADR</w:t>
      </w:r>
      <w:r w:rsidRPr="001A2B81">
        <w:rPr>
          <w:lang w:val="en-GB"/>
        </w:rPr>
        <w:t xml:space="preserve">, UNDP will strengthen </w:t>
      </w:r>
      <w:r w:rsidR="00B22D2B">
        <w:rPr>
          <w:lang w:val="en-GB"/>
        </w:rPr>
        <w:t xml:space="preserve">M&amp;E </w:t>
      </w:r>
      <w:r w:rsidRPr="001A2B81">
        <w:rPr>
          <w:lang w:val="en-GB"/>
        </w:rPr>
        <w:t xml:space="preserve">practices to generate </w:t>
      </w:r>
      <w:r>
        <w:rPr>
          <w:lang w:val="en-GB"/>
        </w:rPr>
        <w:t xml:space="preserve">data </w:t>
      </w:r>
      <w:r w:rsidRPr="001A2B81">
        <w:rPr>
          <w:lang w:val="en-GB"/>
        </w:rPr>
        <w:t>and evidence through: (</w:t>
      </w:r>
      <w:r w:rsidR="00A54DEA">
        <w:rPr>
          <w:lang w:val="en-GB"/>
        </w:rPr>
        <w:t>a</w:t>
      </w:r>
      <w:r w:rsidRPr="001A2B81">
        <w:rPr>
          <w:lang w:val="en-GB"/>
        </w:rPr>
        <w:t>) periodic reviews and midterm</w:t>
      </w:r>
      <w:r>
        <w:rPr>
          <w:lang w:val="en-GB"/>
        </w:rPr>
        <w:t xml:space="preserve"> and/or </w:t>
      </w:r>
      <w:r w:rsidRPr="001A2B81">
        <w:rPr>
          <w:lang w:val="en-GB"/>
        </w:rPr>
        <w:t>final evaluations and joint U</w:t>
      </w:r>
      <w:r w:rsidR="00A54DEA">
        <w:rPr>
          <w:lang w:val="en-GB"/>
        </w:rPr>
        <w:t xml:space="preserve">nited </w:t>
      </w:r>
      <w:r w:rsidRPr="001A2B81">
        <w:rPr>
          <w:lang w:val="en-GB"/>
        </w:rPr>
        <w:t>N</w:t>
      </w:r>
      <w:r w:rsidR="00A54DEA">
        <w:rPr>
          <w:lang w:val="en-GB"/>
        </w:rPr>
        <w:t>ations</w:t>
      </w:r>
      <w:r w:rsidRPr="001A2B81">
        <w:rPr>
          <w:lang w:val="en-GB"/>
        </w:rPr>
        <w:t xml:space="preserve"> actions; </w:t>
      </w:r>
      <w:r>
        <w:rPr>
          <w:lang w:val="en-GB"/>
        </w:rPr>
        <w:t xml:space="preserve">and </w:t>
      </w:r>
      <w:r w:rsidRPr="001A2B81">
        <w:rPr>
          <w:lang w:val="en-GB"/>
        </w:rPr>
        <w:t>(</w:t>
      </w:r>
      <w:r w:rsidR="00A54DEA">
        <w:rPr>
          <w:lang w:val="en-GB"/>
        </w:rPr>
        <w:t>b</w:t>
      </w:r>
      <w:r w:rsidRPr="001A2B81">
        <w:rPr>
          <w:lang w:val="en-GB"/>
        </w:rPr>
        <w:t xml:space="preserve">) </w:t>
      </w:r>
      <w:r>
        <w:rPr>
          <w:lang w:val="en-GB"/>
        </w:rPr>
        <w:t>fully</w:t>
      </w:r>
      <w:r w:rsidR="00A54DEA">
        <w:rPr>
          <w:lang w:val="en-GB"/>
        </w:rPr>
        <w:t xml:space="preserve"> </w:t>
      </w:r>
      <w:r>
        <w:rPr>
          <w:lang w:val="en-GB"/>
        </w:rPr>
        <w:t xml:space="preserve">costed evaluations </w:t>
      </w:r>
      <w:r w:rsidRPr="001A2B81">
        <w:rPr>
          <w:lang w:val="en-GB"/>
        </w:rPr>
        <w:t>cover</w:t>
      </w:r>
      <w:r>
        <w:rPr>
          <w:lang w:val="en-GB"/>
        </w:rPr>
        <w:t>ing</w:t>
      </w:r>
      <w:r w:rsidRPr="001A2B81">
        <w:rPr>
          <w:lang w:val="en-GB"/>
        </w:rPr>
        <w:t xml:space="preserve"> all </w:t>
      </w:r>
      <w:r>
        <w:rPr>
          <w:lang w:val="en-GB"/>
        </w:rPr>
        <w:t xml:space="preserve">outcome </w:t>
      </w:r>
      <w:r w:rsidRPr="001A2B81">
        <w:rPr>
          <w:lang w:val="en-GB"/>
        </w:rPr>
        <w:t>area</w:t>
      </w:r>
      <w:r>
        <w:rPr>
          <w:lang w:val="en-GB"/>
        </w:rPr>
        <w:t xml:space="preserve">s, including </w:t>
      </w:r>
      <w:r w:rsidRPr="001A2B81">
        <w:rPr>
          <w:lang w:val="en-GB"/>
        </w:rPr>
        <w:t>full evaluations of large-scale projects.</w:t>
      </w:r>
    </w:p>
    <w:p w14:paraId="21B6E8BA" w14:textId="39902267" w:rsidR="00C965D6" w:rsidRDefault="00C2173C" w:rsidP="00A9743B">
      <w:pPr>
        <w:pStyle w:val="ListParagraph"/>
        <w:numPr>
          <w:ilvl w:val="0"/>
          <w:numId w:val="2"/>
        </w:numPr>
        <w:tabs>
          <w:tab w:val="left" w:pos="1080"/>
        </w:tabs>
        <w:ind w:right="720" w:firstLine="0"/>
        <w:jc w:val="both"/>
        <w:rPr>
          <w:lang w:val="en-GB"/>
        </w:rPr>
      </w:pPr>
      <w:r>
        <w:rPr>
          <w:lang w:val="en-GB"/>
        </w:rPr>
        <w:t>Monitoring and evaluation</w:t>
      </w:r>
      <w:r w:rsidR="00A54DEA">
        <w:rPr>
          <w:lang w:val="en-GB"/>
        </w:rPr>
        <w:t xml:space="preserve"> of the country p</w:t>
      </w:r>
      <w:r w:rsidR="00A54DEA" w:rsidRPr="001A2B81">
        <w:rPr>
          <w:lang w:val="en-GB"/>
        </w:rPr>
        <w:t xml:space="preserve">rogramme </w:t>
      </w:r>
      <w:r w:rsidR="006F1272" w:rsidRPr="001A2B81">
        <w:rPr>
          <w:lang w:val="en-GB"/>
        </w:rPr>
        <w:t xml:space="preserve">will be </w:t>
      </w:r>
      <w:r w:rsidR="00C965D6">
        <w:rPr>
          <w:lang w:val="en-GB"/>
        </w:rPr>
        <w:t xml:space="preserve">aligned with </w:t>
      </w:r>
      <w:r>
        <w:rPr>
          <w:lang w:val="en-GB"/>
        </w:rPr>
        <w:t xml:space="preserve">the </w:t>
      </w:r>
      <w:r w:rsidR="006F1272" w:rsidRPr="001A2B81">
        <w:rPr>
          <w:lang w:val="en-GB"/>
        </w:rPr>
        <w:t xml:space="preserve">indicators, baselines and targets defined in the </w:t>
      </w:r>
      <w:r w:rsidR="005B186C">
        <w:rPr>
          <w:lang w:val="en-GB"/>
        </w:rPr>
        <w:t xml:space="preserve">UNDP </w:t>
      </w:r>
      <w:r w:rsidR="006F1272" w:rsidRPr="001A2B81">
        <w:rPr>
          <w:lang w:val="en-GB"/>
        </w:rPr>
        <w:t>Strategic Pla</w:t>
      </w:r>
      <w:r w:rsidR="00C965D6">
        <w:rPr>
          <w:lang w:val="en-GB"/>
        </w:rPr>
        <w:t>n</w:t>
      </w:r>
      <w:r w:rsidR="00A54DEA">
        <w:rPr>
          <w:lang w:val="en-GB"/>
        </w:rPr>
        <w:t>, 2014-2017</w:t>
      </w:r>
      <w:r w:rsidR="006F1272" w:rsidRPr="001A2B81">
        <w:rPr>
          <w:lang w:val="en-GB"/>
        </w:rPr>
        <w:t xml:space="preserve">. Indicators will be </w:t>
      </w:r>
      <w:r w:rsidR="006F1272" w:rsidRPr="001A2B81">
        <w:rPr>
          <w:lang w:val="en-GB"/>
        </w:rPr>
        <w:lastRenderedPageBreak/>
        <w:t xml:space="preserve">disaggregated by sex and other variables, where applicable. </w:t>
      </w:r>
      <w:r w:rsidR="00EB7E51">
        <w:rPr>
          <w:lang w:val="en-GB"/>
        </w:rPr>
        <w:t>Use of n</w:t>
      </w:r>
      <w:r w:rsidR="006F1272" w:rsidRPr="001A2B81">
        <w:rPr>
          <w:lang w:val="en-GB"/>
        </w:rPr>
        <w:t xml:space="preserve">ational data and </w:t>
      </w:r>
      <w:r w:rsidR="00B22D2B">
        <w:rPr>
          <w:lang w:val="en-GB"/>
        </w:rPr>
        <w:t>M&amp;E</w:t>
      </w:r>
      <w:r w:rsidR="005C1F24">
        <w:rPr>
          <w:lang w:val="en-GB"/>
        </w:rPr>
        <w:t xml:space="preserve"> </w:t>
      </w:r>
      <w:r w:rsidR="006F1272" w:rsidRPr="001A2B81">
        <w:rPr>
          <w:lang w:val="en-GB"/>
        </w:rPr>
        <w:t xml:space="preserve">systems will be </w:t>
      </w:r>
      <w:r w:rsidR="00EB7E51">
        <w:rPr>
          <w:lang w:val="en-GB"/>
        </w:rPr>
        <w:t>maximized, and capacity for quality data generation will be developed</w:t>
      </w:r>
      <w:r w:rsidR="005B186C">
        <w:rPr>
          <w:lang w:val="en-GB"/>
        </w:rPr>
        <w:t>.</w:t>
      </w:r>
      <w:r w:rsidR="00FD45A5">
        <w:rPr>
          <w:lang w:val="en-GB"/>
        </w:rPr>
        <w:t xml:space="preserve"> </w:t>
      </w:r>
      <w:r w:rsidR="00EB7E51">
        <w:rPr>
          <w:lang w:val="en-GB"/>
        </w:rPr>
        <w:t xml:space="preserve">Building on </w:t>
      </w:r>
      <w:r w:rsidR="00A54DEA">
        <w:rPr>
          <w:lang w:val="en-GB"/>
        </w:rPr>
        <w:t xml:space="preserve">the </w:t>
      </w:r>
      <w:r w:rsidR="00EB7E51">
        <w:rPr>
          <w:lang w:val="en-GB"/>
        </w:rPr>
        <w:t xml:space="preserve">UNDP </w:t>
      </w:r>
      <w:r w:rsidR="00C965D6">
        <w:rPr>
          <w:lang w:val="en-GB"/>
        </w:rPr>
        <w:t>citizen feedback initiatives, o</w:t>
      </w:r>
      <w:r w:rsidR="00FD45A5">
        <w:rPr>
          <w:lang w:val="en-GB"/>
        </w:rPr>
        <w:t xml:space="preserve">ptions for innovative data collection </w:t>
      </w:r>
      <w:r w:rsidR="00C965D6">
        <w:rPr>
          <w:lang w:val="en-GB"/>
        </w:rPr>
        <w:t xml:space="preserve">through modern technology </w:t>
      </w:r>
      <w:r w:rsidR="00FD45A5">
        <w:rPr>
          <w:lang w:val="en-GB"/>
        </w:rPr>
        <w:t xml:space="preserve">will be pursued for </w:t>
      </w:r>
      <w:r w:rsidR="00C965D6">
        <w:rPr>
          <w:lang w:val="en-GB"/>
        </w:rPr>
        <w:t xml:space="preserve">tracking progress </w:t>
      </w:r>
      <w:r w:rsidR="00A54DEA">
        <w:rPr>
          <w:lang w:val="en-GB"/>
        </w:rPr>
        <w:t xml:space="preserve">towards the Sustainable Development Goals </w:t>
      </w:r>
      <w:r w:rsidR="00C965D6">
        <w:rPr>
          <w:lang w:val="en-GB"/>
        </w:rPr>
        <w:t xml:space="preserve">as well as </w:t>
      </w:r>
      <w:r w:rsidR="00A54DEA">
        <w:rPr>
          <w:lang w:val="en-GB"/>
        </w:rPr>
        <w:t xml:space="preserve">the </w:t>
      </w:r>
      <w:r w:rsidR="00C965D6">
        <w:rPr>
          <w:lang w:val="en-GB"/>
        </w:rPr>
        <w:t xml:space="preserve">contributions </w:t>
      </w:r>
      <w:r w:rsidR="00A54DEA">
        <w:rPr>
          <w:lang w:val="en-GB"/>
        </w:rPr>
        <w:t xml:space="preserve">of UNDP </w:t>
      </w:r>
      <w:r w:rsidR="00C965D6">
        <w:rPr>
          <w:lang w:val="en-GB"/>
        </w:rPr>
        <w:t>to development results</w:t>
      </w:r>
      <w:r w:rsidR="00FD45A5">
        <w:rPr>
          <w:lang w:val="en-GB"/>
        </w:rPr>
        <w:t>.</w:t>
      </w:r>
    </w:p>
    <w:p w14:paraId="2B38C58A" w14:textId="351741A6" w:rsidR="001B0D67" w:rsidRDefault="001B0D67">
      <w:pPr>
        <w:rPr>
          <w:lang w:val="en-GB"/>
        </w:rPr>
      </w:pPr>
      <w:r>
        <w:rPr>
          <w:lang w:val="en-GB"/>
        </w:rPr>
        <w:br w:type="page"/>
      </w:r>
    </w:p>
    <w:p w14:paraId="576742BF" w14:textId="77777777" w:rsidR="001B0D67" w:rsidRDefault="001B0D67" w:rsidP="006431EC">
      <w:pPr>
        <w:tabs>
          <w:tab w:val="left" w:pos="5610"/>
        </w:tabs>
        <w:contextualSpacing/>
        <w:rPr>
          <w:lang w:val="en-GB"/>
        </w:rPr>
        <w:sectPr w:rsidR="001B0D67" w:rsidSect="001B0D67">
          <w:headerReference w:type="first" r:id="rId23"/>
          <w:footerReference w:type="first" r:id="rId24"/>
          <w:pgSz w:w="12240" w:h="15840"/>
          <w:pgMar w:top="1152" w:right="1440" w:bottom="1152" w:left="1440" w:header="720" w:footer="720" w:gutter="0"/>
          <w:cols w:space="720"/>
          <w:docGrid w:linePitch="272"/>
        </w:sectPr>
      </w:pPr>
    </w:p>
    <w:p w14:paraId="26203927" w14:textId="6D5E1AD9" w:rsidR="006431EC" w:rsidRDefault="006431EC" w:rsidP="006431EC">
      <w:pPr>
        <w:tabs>
          <w:tab w:val="left" w:pos="5610"/>
        </w:tabs>
        <w:contextualSpacing/>
        <w:rPr>
          <w:b/>
          <w:bCs/>
          <w:sz w:val="24"/>
          <w:szCs w:val="24"/>
        </w:rPr>
      </w:pPr>
      <w:r w:rsidRPr="008067B2">
        <w:rPr>
          <w:b/>
          <w:bCs/>
          <w:sz w:val="24"/>
          <w:szCs w:val="24"/>
        </w:rPr>
        <w:lastRenderedPageBreak/>
        <w:t xml:space="preserve">Annex. Results and resources framework for </w:t>
      </w:r>
      <w:r>
        <w:rPr>
          <w:b/>
          <w:bCs/>
          <w:sz w:val="24"/>
          <w:szCs w:val="24"/>
        </w:rPr>
        <w:t>Viet Nam</w:t>
      </w:r>
      <w:r w:rsidRPr="008067B2">
        <w:rPr>
          <w:b/>
          <w:bCs/>
          <w:sz w:val="24"/>
          <w:szCs w:val="24"/>
        </w:rPr>
        <w:t xml:space="preserve"> (2017-202</w:t>
      </w:r>
      <w:r>
        <w:rPr>
          <w:b/>
          <w:bCs/>
          <w:sz w:val="24"/>
          <w:szCs w:val="24"/>
        </w:rPr>
        <w:t>1</w:t>
      </w:r>
      <w:r w:rsidRPr="008067B2">
        <w:rPr>
          <w:b/>
          <w:bCs/>
          <w:sz w:val="24"/>
          <w:szCs w:val="24"/>
        </w:rPr>
        <w:t>)</w:t>
      </w:r>
    </w:p>
    <w:p w14:paraId="7E2F5A43" w14:textId="77777777" w:rsidR="000E3032" w:rsidRPr="006431EC" w:rsidRDefault="000E3032" w:rsidP="000E3032"/>
    <w:tbl>
      <w:tblPr>
        <w:tblW w:w="4833" w:type="pct"/>
        <w:tblInd w:w="5" w:type="dxa"/>
        <w:tblBorders>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932"/>
        <w:gridCol w:w="2026"/>
        <w:gridCol w:w="3680"/>
        <w:gridCol w:w="2851"/>
        <w:gridCol w:w="1873"/>
      </w:tblGrid>
      <w:tr w:rsidR="007255AE" w:rsidRPr="003C26C1" w14:paraId="0BC73BD1" w14:textId="77777777" w:rsidTr="006431EC">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9A6B6FF" w14:textId="41141C9E" w:rsidR="007255AE" w:rsidRPr="0055354E" w:rsidRDefault="00A54DEA" w:rsidP="00C2173C">
            <w:pPr>
              <w:rPr>
                <w:sz w:val="16"/>
                <w:szCs w:val="16"/>
              </w:rPr>
            </w:pPr>
            <w:r>
              <w:rPr>
                <w:b/>
                <w:bCs/>
                <w:color w:val="000000"/>
                <w:sz w:val="16"/>
                <w:szCs w:val="16"/>
                <w:lang w:val="en-GB" w:eastAsia="en-GB"/>
              </w:rPr>
              <w:t>SOCI</w:t>
            </w:r>
            <w:r w:rsidR="00C26DF1">
              <w:rPr>
                <w:b/>
                <w:bCs/>
                <w:color w:val="000000"/>
                <w:sz w:val="16"/>
                <w:szCs w:val="16"/>
                <w:lang w:val="en-GB" w:eastAsia="en-GB"/>
              </w:rPr>
              <w:t>O</w:t>
            </w:r>
            <w:r w:rsidR="00C2173C">
              <w:rPr>
                <w:b/>
                <w:bCs/>
                <w:color w:val="000000"/>
                <w:sz w:val="16"/>
                <w:szCs w:val="16"/>
                <w:lang w:val="en-GB" w:eastAsia="en-GB"/>
              </w:rPr>
              <w:t xml:space="preserve"> </w:t>
            </w:r>
            <w:r>
              <w:rPr>
                <w:b/>
                <w:bCs/>
                <w:color w:val="000000"/>
                <w:sz w:val="16"/>
                <w:szCs w:val="16"/>
                <w:lang w:val="en-GB" w:eastAsia="en-GB"/>
              </w:rPr>
              <w:t>ECONOMIC DEVELOPMENT PLAN (</w:t>
            </w:r>
            <w:r w:rsidR="007255AE" w:rsidRPr="001114F6">
              <w:rPr>
                <w:b/>
                <w:bCs/>
                <w:color w:val="000000"/>
                <w:sz w:val="16"/>
                <w:szCs w:val="16"/>
                <w:lang w:val="en-GB" w:eastAsia="en-GB"/>
              </w:rPr>
              <w:t>SEDP</w:t>
            </w:r>
            <w:r w:rsidR="00C2173C">
              <w:rPr>
                <w:b/>
                <w:bCs/>
                <w:color w:val="000000"/>
                <w:sz w:val="16"/>
                <w:szCs w:val="16"/>
                <w:lang w:val="en-GB" w:eastAsia="en-GB"/>
              </w:rPr>
              <w:t>)</w:t>
            </w:r>
            <w:r w:rsidR="007255AE" w:rsidRPr="001114F6">
              <w:rPr>
                <w:b/>
                <w:bCs/>
                <w:color w:val="000000"/>
                <w:sz w:val="16"/>
                <w:szCs w:val="16"/>
                <w:lang w:val="en-GB" w:eastAsia="en-GB"/>
              </w:rPr>
              <w:t xml:space="preserve"> 2016-2020</w:t>
            </w:r>
            <w:r>
              <w:rPr>
                <w:b/>
                <w:bCs/>
                <w:sz w:val="16"/>
                <w:szCs w:val="16"/>
                <w:lang w:val="en-GB"/>
              </w:rPr>
              <w:t xml:space="preserve"> </w:t>
            </w:r>
            <w:r w:rsidR="00C2173C">
              <w:rPr>
                <w:b/>
                <w:bCs/>
                <w:sz w:val="16"/>
                <w:szCs w:val="16"/>
                <w:lang w:val="en-GB"/>
              </w:rPr>
              <w:t xml:space="preserve">Priority </w:t>
            </w:r>
            <w:r>
              <w:rPr>
                <w:b/>
                <w:bCs/>
                <w:sz w:val="16"/>
                <w:szCs w:val="16"/>
                <w:lang w:val="en-GB"/>
              </w:rPr>
              <w:t xml:space="preserve">5: </w:t>
            </w:r>
            <w:r w:rsidRPr="007255AE">
              <w:rPr>
                <w:b/>
                <w:bCs/>
                <w:sz w:val="16"/>
                <w:szCs w:val="16"/>
                <w:lang w:val="en-GB"/>
              </w:rPr>
              <w:t xml:space="preserve"> </w:t>
            </w:r>
            <w:r w:rsidR="007255AE" w:rsidRPr="007255AE">
              <w:rPr>
                <w:b/>
                <w:bCs/>
                <w:sz w:val="16"/>
                <w:szCs w:val="16"/>
                <w:lang w:val="en-GB"/>
              </w:rPr>
              <w:t>Promote cultural and social development, improve people's living standards</w:t>
            </w:r>
          </w:p>
        </w:tc>
      </w:tr>
      <w:tr w:rsidR="007255AE" w:rsidRPr="0055354E" w14:paraId="5E869D12" w14:textId="77777777" w:rsidTr="006431EC">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54E790B" w14:textId="3B9AA11B" w:rsidR="002D70CA" w:rsidRPr="007255AE" w:rsidRDefault="00A54DEA" w:rsidP="00413662">
            <w:pPr>
              <w:rPr>
                <w:b/>
                <w:bCs/>
                <w:sz w:val="16"/>
                <w:szCs w:val="16"/>
                <w:lang w:val="en-GB"/>
              </w:rPr>
            </w:pPr>
            <w:r>
              <w:rPr>
                <w:b/>
                <w:bCs/>
                <w:sz w:val="16"/>
                <w:szCs w:val="16"/>
                <w:lang w:val="en-GB"/>
              </w:rPr>
              <w:t xml:space="preserve">ONE UNITED NATIONS </w:t>
            </w:r>
            <w:r w:rsidR="007255AE" w:rsidRPr="0055354E">
              <w:rPr>
                <w:b/>
                <w:bCs/>
                <w:sz w:val="16"/>
                <w:szCs w:val="16"/>
                <w:lang w:val="en-GB"/>
              </w:rPr>
              <w:t>STRATEGIC PLAN OUTCOME INVOLVING UNDP</w:t>
            </w:r>
            <w:r w:rsidR="00C2173C">
              <w:rPr>
                <w:b/>
                <w:bCs/>
                <w:sz w:val="16"/>
                <w:szCs w:val="16"/>
                <w:lang w:val="en-GB"/>
              </w:rPr>
              <w:t>:</w:t>
            </w:r>
            <w:r w:rsidR="007255AE" w:rsidRPr="0055354E">
              <w:rPr>
                <w:b/>
                <w:bCs/>
                <w:sz w:val="16"/>
                <w:szCs w:val="16"/>
                <w:lang w:val="en-GB"/>
              </w:rPr>
              <w:t xml:space="preserve"> </w:t>
            </w:r>
            <w:r w:rsidR="007255AE">
              <w:rPr>
                <w:b/>
                <w:bCs/>
                <w:sz w:val="16"/>
                <w:szCs w:val="16"/>
                <w:lang w:val="en-GB"/>
              </w:rPr>
              <w:t>1</w:t>
            </w:r>
            <w:r w:rsidR="007255AE" w:rsidRPr="0055354E">
              <w:rPr>
                <w:b/>
                <w:bCs/>
                <w:sz w:val="16"/>
                <w:szCs w:val="16"/>
                <w:lang w:val="en-GB"/>
              </w:rPr>
              <w:t>.1</w:t>
            </w:r>
            <w:r w:rsidR="00413662">
              <w:rPr>
                <w:b/>
                <w:bCs/>
                <w:sz w:val="16"/>
                <w:szCs w:val="16"/>
                <w:lang w:val="en-GB"/>
              </w:rPr>
              <w:t>.</w:t>
            </w:r>
            <w:r w:rsidR="00413662" w:rsidRPr="00EF7DD8">
              <w:rPr>
                <w:b/>
                <w:bCs/>
                <w:sz w:val="16"/>
                <w:szCs w:val="16"/>
                <w:lang w:val="en-GB"/>
              </w:rPr>
              <w:t xml:space="preserve"> </w:t>
            </w:r>
            <w:r w:rsidR="007255AE" w:rsidRPr="007255AE">
              <w:rPr>
                <w:b/>
                <w:bCs/>
                <w:sz w:val="16"/>
                <w:szCs w:val="16"/>
                <w:lang w:val="en-GB"/>
              </w:rPr>
              <w:t xml:space="preserve">By 2021, </w:t>
            </w:r>
            <w:r w:rsidR="007255AE">
              <w:rPr>
                <w:b/>
                <w:bCs/>
                <w:sz w:val="16"/>
                <w:szCs w:val="16"/>
                <w:lang w:val="en-GB"/>
              </w:rPr>
              <w:t xml:space="preserve">all people benefit from inclusive </w:t>
            </w:r>
            <w:r w:rsidR="003677DE">
              <w:rPr>
                <w:b/>
                <w:bCs/>
                <w:sz w:val="16"/>
                <w:szCs w:val="16"/>
                <w:lang w:val="en-GB"/>
              </w:rPr>
              <w:t xml:space="preserve">and equitable </w:t>
            </w:r>
            <w:r w:rsidR="007255AE">
              <w:rPr>
                <w:b/>
                <w:bCs/>
                <w:sz w:val="16"/>
                <w:szCs w:val="16"/>
                <w:lang w:val="en-GB"/>
              </w:rPr>
              <w:t>social protection systems and poverty reduction services</w:t>
            </w:r>
            <w:r w:rsidR="003677DE">
              <w:rPr>
                <w:b/>
                <w:bCs/>
                <w:sz w:val="16"/>
                <w:szCs w:val="16"/>
                <w:lang w:val="en-GB"/>
              </w:rPr>
              <w:t>, which will</w:t>
            </w:r>
            <w:r w:rsidR="007255AE">
              <w:rPr>
                <w:b/>
                <w:bCs/>
                <w:sz w:val="16"/>
                <w:szCs w:val="16"/>
                <w:lang w:val="en-GB"/>
              </w:rPr>
              <w:t xml:space="preserve"> reduce multidimensional poverty and vulnerabilities</w:t>
            </w:r>
          </w:p>
        </w:tc>
      </w:tr>
      <w:tr w:rsidR="007255AE" w:rsidRPr="0055354E" w14:paraId="7D06662E" w14:textId="77777777" w:rsidTr="006431EC">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D44A1F7" w14:textId="0592373B" w:rsidR="007255AE" w:rsidRPr="0055354E" w:rsidRDefault="00A54DEA" w:rsidP="00413662">
            <w:pPr>
              <w:pStyle w:val="level2"/>
              <w:tabs>
                <w:tab w:val="clear" w:pos="720"/>
                <w:tab w:val="left" w:pos="423"/>
              </w:tabs>
              <w:ind w:left="-2" w:hanging="13"/>
              <w:rPr>
                <w:b/>
                <w:bCs/>
                <w:sz w:val="16"/>
                <w:szCs w:val="16"/>
                <w:lang w:val="en-GB"/>
              </w:rPr>
            </w:pPr>
            <w:r>
              <w:rPr>
                <w:b/>
                <w:bCs/>
                <w:sz w:val="16"/>
                <w:szCs w:val="16"/>
                <w:lang w:val="en-GB"/>
              </w:rPr>
              <w:t xml:space="preserve">UNDP </w:t>
            </w:r>
            <w:r w:rsidR="007255AE" w:rsidRPr="0055354E">
              <w:rPr>
                <w:b/>
                <w:bCs/>
                <w:sz w:val="16"/>
                <w:szCs w:val="16"/>
                <w:lang w:val="en-GB"/>
              </w:rPr>
              <w:t>STRATEGIC PLAN OUTCOME</w:t>
            </w:r>
            <w:r>
              <w:rPr>
                <w:b/>
                <w:bCs/>
                <w:sz w:val="16"/>
                <w:szCs w:val="16"/>
                <w:lang w:val="en-GB"/>
              </w:rPr>
              <w:t>:</w:t>
            </w:r>
            <w:r w:rsidR="00D731E2">
              <w:rPr>
                <w:b/>
                <w:bCs/>
                <w:sz w:val="16"/>
                <w:szCs w:val="16"/>
                <w:lang w:val="en-GB"/>
              </w:rPr>
              <w:t xml:space="preserve"> </w:t>
            </w:r>
            <w:r w:rsidR="007255AE" w:rsidRPr="0055354E">
              <w:rPr>
                <w:b/>
                <w:bCs/>
                <w:sz w:val="16"/>
                <w:szCs w:val="16"/>
                <w:lang w:val="en-GB"/>
              </w:rPr>
              <w:t>1</w:t>
            </w:r>
            <w:r w:rsidR="00413662">
              <w:rPr>
                <w:b/>
                <w:bCs/>
                <w:sz w:val="16"/>
                <w:szCs w:val="16"/>
                <w:lang w:val="en-GB"/>
              </w:rPr>
              <w:t>.</w:t>
            </w:r>
            <w:r w:rsidR="00413662" w:rsidRPr="0055354E">
              <w:rPr>
                <w:b/>
                <w:bCs/>
                <w:sz w:val="16"/>
                <w:szCs w:val="16"/>
                <w:lang w:val="en-GB"/>
              </w:rPr>
              <w:t xml:space="preserve"> </w:t>
            </w:r>
            <w:r w:rsidR="007255AE" w:rsidRPr="0055354E">
              <w:rPr>
                <w:b/>
                <w:sz w:val="16"/>
                <w:szCs w:val="16"/>
                <w:lang w:val="en-GB"/>
              </w:rPr>
              <w:t>Growth and development are inclusive and sustainable, incorporating productive capacities that create employment and livelihoods for the poor and excluded</w:t>
            </w:r>
            <w:r w:rsidR="00C2173C">
              <w:rPr>
                <w:b/>
                <w:sz w:val="16"/>
                <w:szCs w:val="16"/>
                <w:lang w:val="en-GB"/>
              </w:rPr>
              <w:t>.</w:t>
            </w:r>
          </w:p>
        </w:tc>
      </w:tr>
      <w:tr w:rsidR="007255AE" w:rsidRPr="003C26C1" w14:paraId="301069D1" w14:textId="77777777" w:rsidTr="006431EC">
        <w:tc>
          <w:tcPr>
            <w:tcW w:w="1097" w:type="pct"/>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14:paraId="798AF0D0" w14:textId="23EAEE80" w:rsidR="007255AE" w:rsidRPr="003C26C1" w:rsidRDefault="00A54DEA" w:rsidP="003404EE">
            <w:pPr>
              <w:jc w:val="center"/>
              <w:rPr>
                <w:color w:val="000000"/>
                <w:sz w:val="16"/>
                <w:szCs w:val="16"/>
              </w:rPr>
            </w:pPr>
            <w:r>
              <w:rPr>
                <w:b/>
                <w:bCs/>
                <w:color w:val="000000"/>
                <w:sz w:val="16"/>
                <w:szCs w:val="16"/>
                <w:lang w:val="en-GB"/>
              </w:rPr>
              <w:t xml:space="preserve">ONE UNITED NATIONS </w:t>
            </w:r>
            <w:r w:rsidR="003A7F2A">
              <w:rPr>
                <w:b/>
                <w:bCs/>
                <w:color w:val="000000"/>
                <w:sz w:val="16"/>
                <w:szCs w:val="16"/>
                <w:lang w:val="en-GB"/>
              </w:rPr>
              <w:t>PLAN</w:t>
            </w:r>
            <w:r w:rsidR="00FF6ADD">
              <w:rPr>
                <w:b/>
                <w:bCs/>
                <w:color w:val="000000"/>
                <w:sz w:val="16"/>
                <w:szCs w:val="16"/>
                <w:lang w:val="en-GB"/>
              </w:rPr>
              <w:t xml:space="preserve"> </w:t>
            </w:r>
            <w:r w:rsidR="007255AE" w:rsidRPr="003C26C1">
              <w:rPr>
                <w:b/>
                <w:bCs/>
                <w:color w:val="000000"/>
                <w:sz w:val="16"/>
                <w:szCs w:val="16"/>
                <w:lang w:val="en-GB"/>
              </w:rPr>
              <w:t>OUTCOME INDICATOR(S)</w:t>
            </w:r>
            <w:r w:rsidR="003404EE">
              <w:rPr>
                <w:b/>
                <w:bCs/>
                <w:color w:val="000000"/>
                <w:sz w:val="16"/>
                <w:szCs w:val="16"/>
                <w:lang w:val="en-GB"/>
              </w:rPr>
              <w:t>,</w:t>
            </w:r>
            <w:r w:rsidR="00B716C5">
              <w:rPr>
                <w:rStyle w:val="FootnoteReference"/>
                <w:b/>
                <w:bCs/>
                <w:color w:val="000000"/>
                <w:sz w:val="16"/>
                <w:szCs w:val="16"/>
                <w:lang w:val="en-GB"/>
              </w:rPr>
              <w:footnoteReference w:id="25"/>
            </w:r>
            <w:r w:rsidR="007255AE" w:rsidRPr="003C26C1">
              <w:rPr>
                <w:b/>
                <w:bCs/>
                <w:color w:val="000000"/>
                <w:sz w:val="16"/>
                <w:szCs w:val="16"/>
                <w:lang w:val="en-GB"/>
              </w:rPr>
              <w:t xml:space="preserve"> BASELINES, TARGET(S)</w:t>
            </w:r>
            <w:r w:rsidR="00D731E2">
              <w:rPr>
                <w:rStyle w:val="FootnoteReference"/>
                <w:b/>
                <w:bCs/>
                <w:color w:val="000000"/>
                <w:sz w:val="16"/>
                <w:szCs w:val="16"/>
                <w:lang w:val="en-GB"/>
              </w:rPr>
              <w:footnoteReference w:id="26"/>
            </w:r>
          </w:p>
        </w:tc>
        <w:tc>
          <w:tcPr>
            <w:tcW w:w="758" w:type="pct"/>
            <w:tcBorders>
              <w:top w:val="single" w:sz="4" w:space="0" w:color="auto"/>
              <w:bottom w:val="single" w:sz="4" w:space="0" w:color="auto"/>
            </w:tcBorders>
            <w:shd w:val="clear" w:color="auto" w:fill="auto"/>
            <w:vAlign w:val="center"/>
          </w:tcPr>
          <w:p w14:paraId="62455060" w14:textId="77777777" w:rsidR="007255AE" w:rsidRPr="003C26C1" w:rsidRDefault="007255AE" w:rsidP="00F92FCC">
            <w:pPr>
              <w:jc w:val="center"/>
              <w:rPr>
                <w:b/>
                <w:color w:val="000000"/>
                <w:sz w:val="16"/>
                <w:szCs w:val="16"/>
              </w:rPr>
            </w:pPr>
            <w:r w:rsidRPr="003C26C1">
              <w:rPr>
                <w:b/>
                <w:color w:val="000000"/>
                <w:sz w:val="16"/>
                <w:szCs w:val="16"/>
              </w:rPr>
              <w:t>DATA SOURCE AND FREQUENCY OF DATA COLLECTION, AND RESPONSIBILITIES</w:t>
            </w:r>
          </w:p>
        </w:tc>
        <w:tc>
          <w:tcPr>
            <w:tcW w:w="1377" w:type="pct"/>
            <w:tcBorders>
              <w:top w:val="single" w:sz="4" w:space="0" w:color="auto"/>
              <w:bottom w:val="single" w:sz="4" w:space="0" w:color="auto"/>
            </w:tcBorders>
            <w:shd w:val="clear" w:color="auto" w:fill="auto"/>
            <w:tcMar>
              <w:top w:w="72" w:type="dxa"/>
              <w:left w:w="144" w:type="dxa"/>
              <w:bottom w:w="72" w:type="dxa"/>
              <w:right w:w="144" w:type="dxa"/>
            </w:tcMar>
            <w:vAlign w:val="center"/>
          </w:tcPr>
          <w:p w14:paraId="1829539C" w14:textId="77777777" w:rsidR="007255AE" w:rsidRPr="003C26C1" w:rsidRDefault="007255AE" w:rsidP="00F92FCC">
            <w:pPr>
              <w:jc w:val="center"/>
              <w:rPr>
                <w:color w:val="000000"/>
                <w:sz w:val="16"/>
                <w:szCs w:val="16"/>
              </w:rPr>
            </w:pPr>
            <w:r w:rsidRPr="003C26C1">
              <w:rPr>
                <w:b/>
                <w:bCs/>
                <w:color w:val="000000"/>
                <w:sz w:val="16"/>
                <w:szCs w:val="16"/>
                <w:lang w:val="en-GB"/>
              </w:rPr>
              <w:t xml:space="preserve">INDICATIVE COUNTRY PROGRAMME OUTPUTS </w:t>
            </w:r>
            <w:r w:rsidRPr="003C26C1">
              <w:rPr>
                <w:b/>
                <w:bCs/>
                <w:i/>
                <w:color w:val="000000"/>
                <w:sz w:val="16"/>
                <w:szCs w:val="16"/>
                <w:lang w:val="en-GB"/>
              </w:rPr>
              <w:t>(including indicators, baselines targets)</w:t>
            </w:r>
          </w:p>
        </w:tc>
        <w:tc>
          <w:tcPr>
            <w:tcW w:w="1067" w:type="pct"/>
            <w:tcBorders>
              <w:top w:val="single" w:sz="4" w:space="0" w:color="auto"/>
              <w:bottom w:val="single" w:sz="4" w:space="0" w:color="auto"/>
            </w:tcBorders>
            <w:shd w:val="clear" w:color="auto" w:fill="auto"/>
            <w:vAlign w:val="center"/>
          </w:tcPr>
          <w:p w14:paraId="04794E42" w14:textId="77777777" w:rsidR="007255AE" w:rsidRPr="003C26C1" w:rsidRDefault="007255AE" w:rsidP="00F92FCC">
            <w:pPr>
              <w:jc w:val="center"/>
              <w:rPr>
                <w:b/>
                <w:bCs/>
                <w:color w:val="000000"/>
                <w:sz w:val="16"/>
                <w:szCs w:val="16"/>
                <w:lang w:val="en-GB"/>
              </w:rPr>
            </w:pPr>
            <w:r w:rsidRPr="003C26C1">
              <w:rPr>
                <w:b/>
                <w:bCs/>
                <w:color w:val="000000"/>
                <w:sz w:val="16"/>
                <w:szCs w:val="16"/>
                <w:lang w:val="en-GB"/>
              </w:rPr>
              <w:t>MAJOR PARTNERS / PARTNERSHIPS</w:t>
            </w:r>
          </w:p>
          <w:p w14:paraId="3CBBF180" w14:textId="77777777" w:rsidR="007255AE" w:rsidRPr="003C26C1" w:rsidRDefault="007255AE" w:rsidP="00F92FCC">
            <w:pPr>
              <w:jc w:val="center"/>
              <w:rPr>
                <w:b/>
                <w:bCs/>
                <w:color w:val="000000"/>
                <w:sz w:val="16"/>
                <w:szCs w:val="16"/>
                <w:lang w:val="en-GB"/>
              </w:rPr>
            </w:pPr>
            <w:r w:rsidRPr="003C26C1">
              <w:rPr>
                <w:b/>
                <w:bCs/>
                <w:color w:val="000000"/>
                <w:sz w:val="16"/>
                <w:szCs w:val="16"/>
                <w:lang w:val="en-GB"/>
              </w:rPr>
              <w:t>FRAMEWORKS</w:t>
            </w:r>
          </w:p>
        </w:tc>
        <w:tc>
          <w:tcPr>
            <w:tcW w:w="701" w:type="pct"/>
            <w:tcBorders>
              <w:top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112C85D5" w14:textId="21A1D7A6" w:rsidR="007255AE" w:rsidRDefault="007255AE" w:rsidP="003B4440">
            <w:pPr>
              <w:jc w:val="center"/>
              <w:rPr>
                <w:b/>
                <w:bCs/>
                <w:color w:val="000000"/>
                <w:sz w:val="16"/>
                <w:szCs w:val="16"/>
                <w:lang w:val="en-GB"/>
              </w:rPr>
            </w:pPr>
            <w:r w:rsidRPr="003C26C1">
              <w:rPr>
                <w:b/>
                <w:bCs/>
                <w:color w:val="000000"/>
                <w:sz w:val="16"/>
                <w:szCs w:val="16"/>
                <w:lang w:val="en-GB"/>
              </w:rPr>
              <w:t>IN</w:t>
            </w:r>
            <w:r w:rsidR="006431EC">
              <w:rPr>
                <w:b/>
                <w:bCs/>
                <w:color w:val="000000"/>
                <w:sz w:val="16"/>
                <w:szCs w:val="16"/>
                <w:lang w:val="en-GB"/>
              </w:rPr>
              <w:t>DICATIVE RESOURCES BY OUTCOME (</w:t>
            </w:r>
            <w:r w:rsidRPr="003C26C1">
              <w:rPr>
                <w:b/>
                <w:bCs/>
                <w:color w:val="000000"/>
                <w:sz w:val="16"/>
                <w:szCs w:val="16"/>
                <w:lang w:val="en-GB"/>
              </w:rPr>
              <w:t>$)</w:t>
            </w:r>
          </w:p>
          <w:p w14:paraId="7416F70B" w14:textId="77777777" w:rsidR="003B4440" w:rsidRPr="003B4440" w:rsidRDefault="003B4440" w:rsidP="003B4440">
            <w:pPr>
              <w:jc w:val="center"/>
              <w:rPr>
                <w:b/>
                <w:bCs/>
                <w:color w:val="000000"/>
                <w:sz w:val="16"/>
                <w:szCs w:val="16"/>
                <w:lang w:val="en-GB"/>
              </w:rPr>
            </w:pPr>
          </w:p>
        </w:tc>
      </w:tr>
      <w:tr w:rsidR="007255AE" w:rsidRPr="003C26C1" w14:paraId="495354F2" w14:textId="77777777" w:rsidTr="006431EC">
        <w:tc>
          <w:tcPr>
            <w:tcW w:w="1097" w:type="pct"/>
            <w:tcBorders>
              <w:top w:val="single" w:sz="4" w:space="0" w:color="auto"/>
              <w:left w:val="single" w:sz="4" w:space="0" w:color="auto"/>
              <w:bottom w:val="single" w:sz="4" w:space="0" w:color="auto"/>
            </w:tcBorders>
            <w:tcMar>
              <w:top w:w="72" w:type="dxa"/>
              <w:left w:w="144" w:type="dxa"/>
              <w:bottom w:w="72" w:type="dxa"/>
              <w:right w:w="144" w:type="dxa"/>
            </w:tcMar>
          </w:tcPr>
          <w:p w14:paraId="3BD5A13A" w14:textId="06CC7893" w:rsidR="00392A07" w:rsidRDefault="00ED3686" w:rsidP="00213FFE">
            <w:pPr>
              <w:rPr>
                <w:b/>
                <w:iCs/>
                <w:color w:val="000000"/>
                <w:sz w:val="16"/>
                <w:szCs w:val="16"/>
                <w:lang w:val="en-GB"/>
              </w:rPr>
            </w:pPr>
            <w:r>
              <w:rPr>
                <w:b/>
                <w:iCs/>
                <w:color w:val="000000"/>
                <w:sz w:val="16"/>
                <w:szCs w:val="16"/>
                <w:lang w:val="en-GB"/>
              </w:rPr>
              <w:t xml:space="preserve">1.2.2: </w:t>
            </w:r>
            <w:r w:rsidR="00392A07" w:rsidRPr="00392A07">
              <w:rPr>
                <w:b/>
                <w:iCs/>
                <w:color w:val="000000"/>
                <w:sz w:val="16"/>
                <w:szCs w:val="16"/>
                <w:lang w:val="en-GB"/>
              </w:rPr>
              <w:t>Proportion of men, women and children of all ages living in poverty in all its dimensions according to national definitions</w:t>
            </w:r>
          </w:p>
          <w:p w14:paraId="36882DEE" w14:textId="77777777" w:rsidR="00213FFE" w:rsidRPr="001951C1" w:rsidRDefault="00213FFE" w:rsidP="00213FFE">
            <w:pPr>
              <w:rPr>
                <w:b/>
                <w:color w:val="FF0000"/>
                <w:sz w:val="16"/>
                <w:szCs w:val="16"/>
              </w:rPr>
            </w:pPr>
          </w:p>
          <w:p w14:paraId="2D7D90AB" w14:textId="6CFE5451" w:rsidR="00213FFE" w:rsidRPr="001951C1" w:rsidRDefault="00213FFE" w:rsidP="00392A07">
            <w:pPr>
              <w:rPr>
                <w:rStyle w:val="formatdata"/>
                <w:bCs/>
                <w:sz w:val="16"/>
                <w:szCs w:val="16"/>
                <w:lang w:val="en-GB"/>
              </w:rPr>
            </w:pPr>
            <w:r w:rsidRPr="001951C1">
              <w:rPr>
                <w:b/>
                <w:bCs/>
                <w:sz w:val="16"/>
                <w:szCs w:val="16"/>
                <w:lang w:val="en-GB"/>
              </w:rPr>
              <w:t>Baseline (</w:t>
            </w:r>
            <w:r w:rsidR="00392A07" w:rsidRPr="001951C1">
              <w:rPr>
                <w:b/>
                <w:bCs/>
                <w:sz w:val="16"/>
                <w:szCs w:val="16"/>
                <w:lang w:val="en-GB"/>
              </w:rPr>
              <w:t>201</w:t>
            </w:r>
            <w:r w:rsidR="00ED3686">
              <w:rPr>
                <w:b/>
                <w:bCs/>
                <w:sz w:val="16"/>
                <w:szCs w:val="16"/>
                <w:lang w:val="en-GB"/>
              </w:rPr>
              <w:t>2</w:t>
            </w:r>
            <w:r w:rsidRPr="001951C1">
              <w:rPr>
                <w:b/>
                <w:bCs/>
                <w:sz w:val="16"/>
                <w:szCs w:val="16"/>
                <w:lang w:val="en-GB"/>
              </w:rPr>
              <w:t>)</w:t>
            </w:r>
            <w:r w:rsidR="00392A07">
              <w:rPr>
                <w:b/>
                <w:bCs/>
                <w:sz w:val="16"/>
                <w:szCs w:val="16"/>
                <w:lang w:val="en-GB"/>
              </w:rPr>
              <w:t>:</w:t>
            </w:r>
            <w:r w:rsidR="00ED3686">
              <w:rPr>
                <w:b/>
                <w:bCs/>
                <w:sz w:val="16"/>
                <w:szCs w:val="16"/>
                <w:lang w:val="en-GB"/>
              </w:rPr>
              <w:t xml:space="preserve"> </w:t>
            </w:r>
            <w:r w:rsidR="00ED3686" w:rsidRPr="00ED3686">
              <w:rPr>
                <w:bCs/>
                <w:sz w:val="16"/>
                <w:szCs w:val="16"/>
                <w:lang w:val="en-GB"/>
              </w:rPr>
              <w:t>21.3% (N</w:t>
            </w:r>
            <w:r w:rsidR="005A351D">
              <w:rPr>
                <w:bCs/>
                <w:sz w:val="16"/>
                <w:szCs w:val="16"/>
                <w:lang w:val="en-GB"/>
              </w:rPr>
              <w:t xml:space="preserve">ational </w:t>
            </w:r>
            <w:r w:rsidR="00ED3686" w:rsidRPr="00ED3686">
              <w:rPr>
                <w:bCs/>
                <w:sz w:val="16"/>
                <w:szCs w:val="16"/>
                <w:lang w:val="en-GB"/>
              </w:rPr>
              <w:t>H</w:t>
            </w:r>
            <w:r w:rsidR="005A351D">
              <w:rPr>
                <w:bCs/>
                <w:sz w:val="16"/>
                <w:szCs w:val="16"/>
                <w:lang w:val="en-GB"/>
              </w:rPr>
              <w:t xml:space="preserve">uman </w:t>
            </w:r>
            <w:r w:rsidR="00ED3686" w:rsidRPr="00ED3686">
              <w:rPr>
                <w:bCs/>
                <w:sz w:val="16"/>
                <w:szCs w:val="16"/>
                <w:lang w:val="en-GB"/>
              </w:rPr>
              <w:t>D</w:t>
            </w:r>
            <w:r w:rsidR="005A351D">
              <w:rPr>
                <w:bCs/>
                <w:sz w:val="16"/>
                <w:szCs w:val="16"/>
                <w:lang w:val="en-GB"/>
              </w:rPr>
              <w:t xml:space="preserve">evelopment </w:t>
            </w:r>
            <w:r w:rsidR="00ED3686" w:rsidRPr="00ED3686">
              <w:rPr>
                <w:bCs/>
                <w:sz w:val="16"/>
                <w:szCs w:val="16"/>
                <w:lang w:val="en-GB"/>
              </w:rPr>
              <w:t>R</w:t>
            </w:r>
            <w:r w:rsidR="005A351D">
              <w:rPr>
                <w:bCs/>
                <w:sz w:val="16"/>
                <w:szCs w:val="16"/>
                <w:lang w:val="en-GB"/>
              </w:rPr>
              <w:t>eport</w:t>
            </w:r>
            <w:r w:rsidR="00ED3686" w:rsidRPr="00ED3686">
              <w:rPr>
                <w:bCs/>
                <w:sz w:val="16"/>
                <w:szCs w:val="16"/>
                <w:lang w:val="en-GB"/>
              </w:rPr>
              <w:t xml:space="preserve"> 2015)</w:t>
            </w:r>
          </w:p>
          <w:p w14:paraId="131BF706" w14:textId="564AB760" w:rsidR="00ED4F39" w:rsidRPr="009A224B" w:rsidRDefault="00213FFE" w:rsidP="00392A07">
            <w:pPr>
              <w:rPr>
                <w:bCs/>
                <w:color w:val="FF0000"/>
                <w:sz w:val="16"/>
                <w:szCs w:val="16"/>
                <w:lang w:val="en-GB"/>
              </w:rPr>
            </w:pPr>
            <w:r w:rsidRPr="001951C1">
              <w:rPr>
                <w:b/>
                <w:bCs/>
                <w:sz w:val="16"/>
                <w:szCs w:val="16"/>
                <w:lang w:val="en-GB"/>
              </w:rPr>
              <w:t>Target:</w:t>
            </w:r>
            <w:r w:rsidRPr="001951C1">
              <w:rPr>
                <w:bCs/>
                <w:sz w:val="16"/>
                <w:szCs w:val="16"/>
                <w:lang w:val="en-GB"/>
              </w:rPr>
              <w:t xml:space="preserve"> </w:t>
            </w:r>
            <w:r w:rsidR="00ED3686">
              <w:rPr>
                <w:bCs/>
                <w:sz w:val="16"/>
                <w:szCs w:val="16"/>
                <w:lang w:val="en-GB"/>
              </w:rPr>
              <w:t>12.3% (r</w:t>
            </w:r>
            <w:r w:rsidR="00392A07" w:rsidRPr="00392A07">
              <w:rPr>
                <w:bCs/>
                <w:sz w:val="16"/>
                <w:szCs w:val="16"/>
                <w:lang w:val="en-GB"/>
              </w:rPr>
              <w:t xml:space="preserve">eduction in poverty rate </w:t>
            </w:r>
            <w:r w:rsidR="00ED3686">
              <w:rPr>
                <w:bCs/>
                <w:sz w:val="16"/>
                <w:szCs w:val="16"/>
                <w:lang w:val="en-GB"/>
              </w:rPr>
              <w:t xml:space="preserve">by at least </w:t>
            </w:r>
            <w:r w:rsidR="00392A07" w:rsidRPr="00392A07">
              <w:rPr>
                <w:bCs/>
                <w:sz w:val="16"/>
                <w:szCs w:val="16"/>
                <w:lang w:val="en-GB"/>
              </w:rPr>
              <w:t>1% per year</w:t>
            </w:r>
            <w:r w:rsidR="00ED3686">
              <w:rPr>
                <w:bCs/>
                <w:sz w:val="16"/>
                <w:szCs w:val="16"/>
                <w:lang w:val="en-GB"/>
              </w:rPr>
              <w:t>)</w:t>
            </w:r>
            <w:r w:rsidR="00FE3CD6">
              <w:rPr>
                <w:bCs/>
                <w:sz w:val="16"/>
                <w:szCs w:val="16"/>
                <w:lang w:val="en-GB"/>
              </w:rPr>
              <w:t>.</w:t>
            </w:r>
          </w:p>
        </w:tc>
        <w:tc>
          <w:tcPr>
            <w:tcW w:w="758" w:type="pct"/>
            <w:tcBorders>
              <w:top w:val="single" w:sz="4" w:space="0" w:color="auto"/>
              <w:bottom w:val="single" w:sz="4" w:space="0" w:color="auto"/>
            </w:tcBorders>
          </w:tcPr>
          <w:p w14:paraId="0CB1FD96" w14:textId="0B69B8FE" w:rsidR="001951C1" w:rsidRDefault="001951C1" w:rsidP="001951C1">
            <w:pPr>
              <w:pStyle w:val="ListParagraph"/>
              <w:numPr>
                <w:ilvl w:val="0"/>
                <w:numId w:val="18"/>
              </w:numPr>
              <w:ind w:left="153" w:hanging="153"/>
              <w:rPr>
                <w:i/>
                <w:iCs/>
                <w:sz w:val="16"/>
                <w:szCs w:val="16"/>
                <w:lang w:val="en-GB"/>
              </w:rPr>
            </w:pPr>
            <w:r w:rsidRPr="001951C1">
              <w:rPr>
                <w:iCs/>
                <w:color w:val="000000"/>
                <w:sz w:val="16"/>
                <w:szCs w:val="16"/>
                <w:lang w:val="en-GB"/>
              </w:rPr>
              <w:t>Ministry of Labour, the Disabled and Social Affairs</w:t>
            </w:r>
            <w:r w:rsidRPr="001951C1">
              <w:rPr>
                <w:i/>
                <w:iCs/>
                <w:sz w:val="16"/>
                <w:szCs w:val="16"/>
                <w:lang w:val="en-GB"/>
              </w:rPr>
              <w:t xml:space="preserve"> </w:t>
            </w:r>
            <w:r w:rsidRPr="002677F7">
              <w:rPr>
                <w:iCs/>
                <w:sz w:val="16"/>
                <w:szCs w:val="16"/>
                <w:lang w:val="en-GB"/>
              </w:rPr>
              <w:t xml:space="preserve">administrative data </w:t>
            </w:r>
            <w:r w:rsidRPr="001951C1">
              <w:rPr>
                <w:i/>
                <w:iCs/>
                <w:sz w:val="16"/>
                <w:szCs w:val="16"/>
                <w:lang w:val="en-GB"/>
              </w:rPr>
              <w:t>(annual)</w:t>
            </w:r>
          </w:p>
          <w:p w14:paraId="20DE2060" w14:textId="77777777" w:rsidR="000217C7" w:rsidRPr="001951C1" w:rsidRDefault="000217C7" w:rsidP="000217C7">
            <w:pPr>
              <w:pStyle w:val="ListParagraph"/>
              <w:ind w:left="153"/>
              <w:rPr>
                <w:i/>
                <w:iCs/>
                <w:sz w:val="16"/>
                <w:szCs w:val="16"/>
                <w:lang w:val="en-GB"/>
              </w:rPr>
            </w:pPr>
          </w:p>
          <w:p w14:paraId="580D46FE" w14:textId="6BF4C4C7" w:rsidR="007255AE" w:rsidRPr="00B07533" w:rsidRDefault="000D79CB" w:rsidP="00ED3686">
            <w:pPr>
              <w:pStyle w:val="ListParagraph"/>
              <w:numPr>
                <w:ilvl w:val="0"/>
                <w:numId w:val="18"/>
              </w:numPr>
              <w:ind w:left="153" w:hanging="153"/>
              <w:rPr>
                <w:i/>
                <w:iCs/>
                <w:sz w:val="16"/>
                <w:szCs w:val="16"/>
                <w:lang w:val="en-GB"/>
              </w:rPr>
            </w:pPr>
            <w:r>
              <w:rPr>
                <w:iCs/>
                <w:sz w:val="16"/>
                <w:szCs w:val="16"/>
                <w:lang w:val="en-GB"/>
              </w:rPr>
              <w:t xml:space="preserve">General Statistics Office, </w:t>
            </w:r>
            <w:r w:rsidR="001951C1" w:rsidRPr="002677F7">
              <w:rPr>
                <w:iCs/>
                <w:sz w:val="16"/>
                <w:szCs w:val="16"/>
                <w:lang w:val="en-GB"/>
              </w:rPr>
              <w:t xml:space="preserve">Viet Nam Household Living Standards </w:t>
            </w:r>
            <w:r w:rsidR="004F24CB">
              <w:rPr>
                <w:iCs/>
                <w:sz w:val="16"/>
                <w:szCs w:val="16"/>
                <w:lang w:val="en-GB"/>
              </w:rPr>
              <w:t>s</w:t>
            </w:r>
            <w:r w:rsidR="001951C1" w:rsidRPr="002677F7">
              <w:rPr>
                <w:iCs/>
                <w:sz w:val="16"/>
                <w:szCs w:val="16"/>
                <w:lang w:val="en-GB"/>
              </w:rPr>
              <w:t>u</w:t>
            </w:r>
            <w:r w:rsidR="002677F7">
              <w:rPr>
                <w:iCs/>
                <w:sz w:val="16"/>
                <w:szCs w:val="16"/>
                <w:lang w:val="en-GB"/>
              </w:rPr>
              <w:t>rv</w:t>
            </w:r>
            <w:r w:rsidR="001951C1" w:rsidRPr="002677F7">
              <w:rPr>
                <w:iCs/>
                <w:sz w:val="16"/>
                <w:szCs w:val="16"/>
                <w:lang w:val="en-GB"/>
              </w:rPr>
              <w:t xml:space="preserve">ey data </w:t>
            </w:r>
            <w:r w:rsidR="001951C1" w:rsidRPr="001951C1">
              <w:rPr>
                <w:i/>
                <w:iCs/>
                <w:sz w:val="16"/>
                <w:szCs w:val="16"/>
                <w:lang w:val="en-GB"/>
              </w:rPr>
              <w:t>(</w:t>
            </w:r>
            <w:r w:rsidR="00ED3686">
              <w:rPr>
                <w:i/>
                <w:iCs/>
                <w:sz w:val="16"/>
                <w:szCs w:val="16"/>
                <w:lang w:val="en-GB"/>
              </w:rPr>
              <w:t>biennial</w:t>
            </w:r>
            <w:r w:rsidR="001951C1" w:rsidRPr="001951C1">
              <w:rPr>
                <w:i/>
                <w:iCs/>
                <w:sz w:val="16"/>
                <w:szCs w:val="16"/>
                <w:lang w:val="en-GB"/>
              </w:rPr>
              <w:t>)</w:t>
            </w:r>
          </w:p>
        </w:tc>
        <w:tc>
          <w:tcPr>
            <w:tcW w:w="1377" w:type="pct"/>
            <w:tcBorders>
              <w:top w:val="single" w:sz="4" w:space="0" w:color="auto"/>
              <w:bottom w:val="single" w:sz="4" w:space="0" w:color="auto"/>
            </w:tcBorders>
            <w:shd w:val="clear" w:color="auto" w:fill="auto"/>
            <w:tcMar>
              <w:top w:w="72" w:type="dxa"/>
              <w:left w:w="144" w:type="dxa"/>
              <w:bottom w:w="72" w:type="dxa"/>
              <w:right w:w="144" w:type="dxa"/>
            </w:tcMar>
          </w:tcPr>
          <w:p w14:paraId="10696886" w14:textId="70652099" w:rsidR="00C34DB0" w:rsidRPr="005131D4" w:rsidRDefault="00C34DB0" w:rsidP="00C34DB0">
            <w:pPr>
              <w:rPr>
                <w:b/>
                <w:iCs/>
                <w:color w:val="000000"/>
                <w:sz w:val="16"/>
                <w:szCs w:val="16"/>
                <w:lang w:val="en-GB"/>
              </w:rPr>
            </w:pPr>
            <w:r w:rsidRPr="005131D4">
              <w:rPr>
                <w:b/>
                <w:iCs/>
                <w:color w:val="000000"/>
                <w:sz w:val="16"/>
                <w:szCs w:val="16"/>
                <w:lang w:val="en-GB"/>
              </w:rPr>
              <w:t>1</w:t>
            </w:r>
            <w:r w:rsidR="005634E2" w:rsidRPr="005131D4">
              <w:rPr>
                <w:b/>
                <w:iCs/>
                <w:color w:val="000000"/>
                <w:sz w:val="16"/>
                <w:szCs w:val="16"/>
                <w:lang w:val="en-GB"/>
              </w:rPr>
              <w:t>.</w:t>
            </w:r>
            <w:r w:rsidR="007255AE" w:rsidRPr="005131D4">
              <w:rPr>
                <w:b/>
                <w:iCs/>
                <w:color w:val="000000"/>
                <w:sz w:val="16"/>
                <w:szCs w:val="16"/>
                <w:lang w:val="en-GB"/>
              </w:rPr>
              <w:t xml:space="preserve">1: </w:t>
            </w:r>
            <w:r w:rsidRPr="005131D4">
              <w:rPr>
                <w:b/>
                <w:iCs/>
                <w:color w:val="000000"/>
                <w:sz w:val="16"/>
                <w:szCs w:val="16"/>
                <w:lang w:val="en-GB"/>
              </w:rPr>
              <w:t xml:space="preserve">National Targeted Programmes (NTPs) </w:t>
            </w:r>
            <w:r w:rsidR="00C70FCF">
              <w:rPr>
                <w:b/>
                <w:iCs/>
                <w:color w:val="000000"/>
                <w:sz w:val="16"/>
                <w:szCs w:val="16"/>
                <w:lang w:val="en-GB"/>
              </w:rPr>
              <w:t>reduce</w:t>
            </w:r>
            <w:r w:rsidRPr="005131D4">
              <w:rPr>
                <w:b/>
                <w:iCs/>
                <w:color w:val="000000"/>
                <w:sz w:val="16"/>
                <w:szCs w:val="16"/>
                <w:lang w:val="en-GB"/>
              </w:rPr>
              <w:t xml:space="preserve"> entrenched and extreme poverty in </w:t>
            </w:r>
            <w:r w:rsidR="00B716C5">
              <w:rPr>
                <w:b/>
                <w:iCs/>
                <w:color w:val="000000"/>
                <w:sz w:val="16"/>
                <w:szCs w:val="16"/>
                <w:lang w:val="en-GB"/>
              </w:rPr>
              <w:t>e</w:t>
            </w:r>
            <w:r w:rsidR="00B716C5" w:rsidRPr="005131D4">
              <w:rPr>
                <w:b/>
                <w:iCs/>
                <w:color w:val="000000"/>
                <w:sz w:val="16"/>
                <w:szCs w:val="16"/>
                <w:lang w:val="en-GB"/>
              </w:rPr>
              <w:t xml:space="preserve">thnic </w:t>
            </w:r>
            <w:r w:rsidR="00B716C5">
              <w:rPr>
                <w:b/>
                <w:iCs/>
                <w:color w:val="000000"/>
                <w:sz w:val="16"/>
                <w:szCs w:val="16"/>
                <w:lang w:val="en-GB"/>
              </w:rPr>
              <w:t>m</w:t>
            </w:r>
            <w:r w:rsidR="00B716C5" w:rsidRPr="005131D4">
              <w:rPr>
                <w:b/>
                <w:iCs/>
                <w:color w:val="000000"/>
                <w:sz w:val="16"/>
                <w:szCs w:val="16"/>
                <w:lang w:val="en-GB"/>
              </w:rPr>
              <w:t xml:space="preserve">inority </w:t>
            </w:r>
            <w:r w:rsidRPr="005131D4">
              <w:rPr>
                <w:b/>
                <w:iCs/>
                <w:color w:val="000000"/>
                <w:sz w:val="16"/>
                <w:szCs w:val="16"/>
                <w:lang w:val="en-GB"/>
              </w:rPr>
              <w:t xml:space="preserve">and remote communities, </w:t>
            </w:r>
            <w:r w:rsidR="00C70FCF">
              <w:rPr>
                <w:b/>
                <w:iCs/>
                <w:color w:val="000000"/>
                <w:sz w:val="16"/>
                <w:szCs w:val="16"/>
                <w:lang w:val="en-GB"/>
              </w:rPr>
              <w:t>especially among women</w:t>
            </w:r>
          </w:p>
          <w:p w14:paraId="36DBA5E3" w14:textId="77777777" w:rsidR="00C34DB0" w:rsidRPr="005131D4" w:rsidRDefault="00C34DB0" w:rsidP="00C34DB0">
            <w:pPr>
              <w:rPr>
                <w:b/>
                <w:iCs/>
                <w:color w:val="000000"/>
                <w:sz w:val="16"/>
                <w:szCs w:val="16"/>
                <w:lang w:val="en-GB"/>
              </w:rPr>
            </w:pPr>
          </w:p>
          <w:p w14:paraId="2377BAB3" w14:textId="555D92B9" w:rsidR="00C34DB0" w:rsidRPr="005131D4" w:rsidRDefault="00C34DB0" w:rsidP="00C34DB0">
            <w:pPr>
              <w:rPr>
                <w:iCs/>
                <w:color w:val="000000"/>
                <w:sz w:val="16"/>
                <w:szCs w:val="16"/>
                <w:lang w:val="en-GB"/>
              </w:rPr>
            </w:pPr>
            <w:r w:rsidRPr="005131D4">
              <w:rPr>
                <w:iCs/>
                <w:color w:val="000000"/>
                <w:sz w:val="16"/>
                <w:szCs w:val="16"/>
                <w:lang w:val="en-GB"/>
              </w:rPr>
              <w:t xml:space="preserve">Extent to which </w:t>
            </w:r>
            <w:r w:rsidR="006B59E3" w:rsidRPr="005131D4">
              <w:rPr>
                <w:iCs/>
                <w:color w:val="000000"/>
                <w:sz w:val="16"/>
                <w:szCs w:val="16"/>
                <w:lang w:val="en-GB"/>
              </w:rPr>
              <w:t xml:space="preserve">NTP </w:t>
            </w:r>
            <w:r w:rsidRPr="005131D4">
              <w:rPr>
                <w:iCs/>
                <w:color w:val="000000"/>
                <w:sz w:val="16"/>
                <w:szCs w:val="16"/>
                <w:lang w:val="en-GB"/>
              </w:rPr>
              <w:t xml:space="preserve">systems and institutional measures </w:t>
            </w:r>
            <w:r w:rsidR="006B59E3" w:rsidRPr="005131D4">
              <w:rPr>
                <w:iCs/>
                <w:color w:val="000000"/>
                <w:sz w:val="16"/>
                <w:szCs w:val="16"/>
                <w:lang w:val="en-GB"/>
              </w:rPr>
              <w:t xml:space="preserve">are implemented </w:t>
            </w:r>
            <w:r w:rsidRPr="005131D4">
              <w:rPr>
                <w:iCs/>
                <w:color w:val="000000"/>
                <w:sz w:val="16"/>
                <w:szCs w:val="16"/>
                <w:lang w:val="en-GB"/>
              </w:rPr>
              <w:t>at the national and subnational levels to generate and strengthen employment and livelihoods</w:t>
            </w:r>
            <w:r w:rsidR="00FB28E2">
              <w:rPr>
                <w:iCs/>
                <w:color w:val="000000"/>
                <w:sz w:val="16"/>
                <w:szCs w:val="16"/>
                <w:lang w:val="en-GB"/>
              </w:rPr>
              <w:t xml:space="preserve"> for women and men</w:t>
            </w:r>
          </w:p>
          <w:p w14:paraId="43423893" w14:textId="14174E4D" w:rsidR="00C34DB0" w:rsidRPr="005131D4" w:rsidRDefault="00C34DB0" w:rsidP="00C34DB0">
            <w:pPr>
              <w:rPr>
                <w:b/>
                <w:iCs/>
                <w:color w:val="000000"/>
                <w:sz w:val="16"/>
                <w:szCs w:val="16"/>
                <w:lang w:val="en-GB"/>
              </w:rPr>
            </w:pPr>
            <w:r w:rsidRPr="005131D4">
              <w:rPr>
                <w:b/>
                <w:iCs/>
                <w:color w:val="000000"/>
                <w:sz w:val="16"/>
                <w:szCs w:val="16"/>
                <w:lang w:val="en-GB"/>
              </w:rPr>
              <w:t>Baseline (2015):</w:t>
            </w:r>
            <w:r w:rsidR="001F634D">
              <w:rPr>
                <w:b/>
                <w:iCs/>
                <w:color w:val="000000"/>
                <w:sz w:val="16"/>
                <w:szCs w:val="16"/>
                <w:lang w:val="en-GB"/>
              </w:rPr>
              <w:t xml:space="preserve"> </w:t>
            </w:r>
            <w:r w:rsidR="006B59E3" w:rsidRPr="005131D4">
              <w:rPr>
                <w:iCs/>
                <w:color w:val="000000"/>
                <w:sz w:val="16"/>
                <w:szCs w:val="16"/>
                <w:lang w:val="en-GB"/>
              </w:rPr>
              <w:t>1 (Inadequate)</w:t>
            </w:r>
          </w:p>
          <w:p w14:paraId="5E81272F" w14:textId="5D238FDA" w:rsidR="00C34DB0" w:rsidRPr="005131D4" w:rsidRDefault="00C34DB0" w:rsidP="00C34DB0">
            <w:pPr>
              <w:rPr>
                <w:iCs/>
                <w:color w:val="000000"/>
                <w:sz w:val="16"/>
                <w:szCs w:val="16"/>
                <w:lang w:val="en-GB"/>
              </w:rPr>
            </w:pPr>
            <w:r w:rsidRPr="005131D4">
              <w:rPr>
                <w:b/>
                <w:iCs/>
                <w:color w:val="000000"/>
                <w:sz w:val="16"/>
                <w:szCs w:val="16"/>
                <w:lang w:val="en-GB"/>
              </w:rPr>
              <w:t>Target:</w:t>
            </w:r>
            <w:r w:rsidR="001F634D">
              <w:rPr>
                <w:b/>
                <w:iCs/>
                <w:color w:val="000000"/>
                <w:sz w:val="16"/>
                <w:szCs w:val="16"/>
                <w:lang w:val="en-GB"/>
              </w:rPr>
              <w:t xml:space="preserve"> </w:t>
            </w:r>
            <w:r w:rsidR="006B59E3" w:rsidRPr="005131D4">
              <w:rPr>
                <w:iCs/>
                <w:color w:val="000000"/>
                <w:sz w:val="16"/>
                <w:szCs w:val="16"/>
                <w:lang w:val="en-GB"/>
              </w:rPr>
              <w:t>4 (Largely)</w:t>
            </w:r>
          </w:p>
          <w:p w14:paraId="1BC9105E" w14:textId="65A1F91D" w:rsidR="00C34DB0" w:rsidRPr="005131D4" w:rsidRDefault="00C34DB0" w:rsidP="00C34DB0">
            <w:pPr>
              <w:rPr>
                <w:iCs/>
                <w:color w:val="000000"/>
                <w:sz w:val="16"/>
                <w:szCs w:val="16"/>
                <w:lang w:val="en-GB"/>
              </w:rPr>
            </w:pPr>
            <w:r w:rsidRPr="005131D4">
              <w:rPr>
                <w:b/>
                <w:iCs/>
                <w:color w:val="000000"/>
                <w:sz w:val="16"/>
                <w:szCs w:val="16"/>
                <w:lang w:val="en-GB"/>
              </w:rPr>
              <w:t>Source:</w:t>
            </w:r>
            <w:r w:rsidR="00DF626F">
              <w:rPr>
                <w:b/>
                <w:iCs/>
                <w:color w:val="000000"/>
                <w:sz w:val="16"/>
                <w:szCs w:val="16"/>
                <w:lang w:val="en-GB"/>
              </w:rPr>
              <w:t xml:space="preserve"> </w:t>
            </w:r>
            <w:r w:rsidR="00FB28E2">
              <w:rPr>
                <w:iCs/>
                <w:color w:val="000000"/>
                <w:sz w:val="16"/>
                <w:szCs w:val="16"/>
                <w:lang w:val="en-GB"/>
              </w:rPr>
              <w:t>Gender-d</w:t>
            </w:r>
            <w:r w:rsidR="00FB28E2" w:rsidRPr="00FB28E2">
              <w:rPr>
                <w:iCs/>
                <w:color w:val="000000"/>
                <w:sz w:val="16"/>
                <w:szCs w:val="16"/>
                <w:lang w:val="en-GB"/>
              </w:rPr>
              <w:t>isaggregated</w:t>
            </w:r>
            <w:r w:rsidR="00FB28E2">
              <w:rPr>
                <w:b/>
                <w:iCs/>
                <w:color w:val="000000"/>
                <w:sz w:val="16"/>
                <w:szCs w:val="16"/>
                <w:lang w:val="en-GB"/>
              </w:rPr>
              <w:t xml:space="preserve"> </w:t>
            </w:r>
            <w:r w:rsidR="006B59E3" w:rsidRPr="005131D4">
              <w:rPr>
                <w:iCs/>
                <w:color w:val="000000"/>
                <w:sz w:val="16"/>
                <w:szCs w:val="16"/>
                <w:lang w:val="en-GB"/>
              </w:rPr>
              <w:t>NTP monitoring data.</w:t>
            </w:r>
          </w:p>
          <w:p w14:paraId="0B8594E8" w14:textId="77777777" w:rsidR="00C34DB0" w:rsidRDefault="00C34DB0" w:rsidP="00F92FCC">
            <w:pPr>
              <w:rPr>
                <w:iCs/>
                <w:color w:val="000000"/>
                <w:sz w:val="16"/>
                <w:szCs w:val="16"/>
                <w:lang w:val="en-GB"/>
              </w:rPr>
            </w:pPr>
          </w:p>
          <w:p w14:paraId="5E723706" w14:textId="141BAD64" w:rsidR="006B59E3" w:rsidRPr="005131D4" w:rsidRDefault="005634E2" w:rsidP="00F92FCC">
            <w:pPr>
              <w:rPr>
                <w:b/>
                <w:iCs/>
                <w:color w:val="000000"/>
                <w:sz w:val="16"/>
                <w:szCs w:val="16"/>
                <w:lang w:val="en-GB"/>
              </w:rPr>
            </w:pPr>
            <w:r w:rsidRPr="005131D4">
              <w:rPr>
                <w:b/>
                <w:iCs/>
                <w:color w:val="000000"/>
                <w:sz w:val="16"/>
                <w:szCs w:val="16"/>
                <w:lang w:val="en-GB"/>
              </w:rPr>
              <w:t>1.</w:t>
            </w:r>
            <w:r w:rsidR="009A0714" w:rsidRPr="005131D4">
              <w:rPr>
                <w:b/>
                <w:iCs/>
                <w:color w:val="000000"/>
                <w:sz w:val="16"/>
                <w:szCs w:val="16"/>
                <w:lang w:val="en-GB"/>
              </w:rPr>
              <w:t>2: National and subnational systems, institutions and polic</w:t>
            </w:r>
            <w:r w:rsidR="003B4440" w:rsidRPr="005131D4">
              <w:rPr>
                <w:b/>
                <w:iCs/>
                <w:color w:val="000000"/>
                <w:sz w:val="16"/>
                <w:szCs w:val="16"/>
                <w:lang w:val="en-GB"/>
              </w:rPr>
              <w:t>i</w:t>
            </w:r>
            <w:r w:rsidR="009A0714" w:rsidRPr="005131D4">
              <w:rPr>
                <w:b/>
                <w:iCs/>
                <w:color w:val="000000"/>
                <w:sz w:val="16"/>
                <w:szCs w:val="16"/>
                <w:lang w:val="en-GB"/>
              </w:rPr>
              <w:t>es</w:t>
            </w:r>
            <w:r w:rsidR="00C70FCF">
              <w:rPr>
                <w:b/>
                <w:iCs/>
                <w:color w:val="000000"/>
                <w:sz w:val="16"/>
                <w:szCs w:val="16"/>
                <w:lang w:val="en-GB"/>
              </w:rPr>
              <w:t xml:space="preserve"> reduce </w:t>
            </w:r>
            <w:r w:rsidR="009A0714" w:rsidRPr="005131D4">
              <w:rPr>
                <w:b/>
                <w:iCs/>
                <w:color w:val="000000"/>
                <w:sz w:val="16"/>
                <w:szCs w:val="16"/>
                <w:lang w:val="en-GB"/>
              </w:rPr>
              <w:t>multidimensional poverty, exclusion and inequality</w:t>
            </w:r>
            <w:r w:rsidR="003B4440" w:rsidRPr="005131D4">
              <w:rPr>
                <w:b/>
                <w:iCs/>
                <w:color w:val="000000"/>
                <w:sz w:val="16"/>
                <w:szCs w:val="16"/>
                <w:lang w:val="en-GB"/>
              </w:rPr>
              <w:t>, particularly for urban settings</w:t>
            </w:r>
          </w:p>
          <w:p w14:paraId="5EB5BF23" w14:textId="77777777" w:rsidR="007E5ADA" w:rsidRPr="005131D4" w:rsidRDefault="007E5ADA" w:rsidP="00F92FCC">
            <w:pPr>
              <w:rPr>
                <w:b/>
                <w:iCs/>
                <w:color w:val="000000"/>
                <w:sz w:val="16"/>
                <w:szCs w:val="16"/>
                <w:lang w:val="en-GB"/>
              </w:rPr>
            </w:pPr>
          </w:p>
          <w:p w14:paraId="7D72995F" w14:textId="7C0F1A8E" w:rsidR="007255AE" w:rsidRPr="005131D4" w:rsidRDefault="00B716C5" w:rsidP="00F92FCC">
            <w:pPr>
              <w:rPr>
                <w:iCs/>
                <w:color w:val="000000"/>
                <w:sz w:val="16"/>
                <w:szCs w:val="16"/>
                <w:lang w:val="en-GB"/>
              </w:rPr>
            </w:pPr>
            <w:r>
              <w:rPr>
                <w:iCs/>
                <w:color w:val="000000"/>
                <w:sz w:val="16"/>
                <w:szCs w:val="16"/>
                <w:lang w:val="en-GB"/>
              </w:rPr>
              <w:t>Number</w:t>
            </w:r>
            <w:r w:rsidRPr="005131D4">
              <w:rPr>
                <w:iCs/>
                <w:color w:val="000000"/>
                <w:sz w:val="16"/>
                <w:szCs w:val="16"/>
                <w:lang w:val="en-GB"/>
              </w:rPr>
              <w:t xml:space="preserve"> </w:t>
            </w:r>
            <w:r w:rsidR="009A0714" w:rsidRPr="005131D4">
              <w:rPr>
                <w:iCs/>
                <w:color w:val="000000"/>
                <w:sz w:val="16"/>
                <w:szCs w:val="16"/>
                <w:lang w:val="en-GB"/>
              </w:rPr>
              <w:t xml:space="preserve">of </w:t>
            </w:r>
            <w:r w:rsidR="00FB28E2">
              <w:rPr>
                <w:iCs/>
                <w:color w:val="000000"/>
                <w:sz w:val="16"/>
                <w:szCs w:val="16"/>
                <w:lang w:val="en-GB"/>
              </w:rPr>
              <w:t xml:space="preserve">gender-disaggregated </w:t>
            </w:r>
            <w:r w:rsidR="009A0714" w:rsidRPr="005131D4">
              <w:rPr>
                <w:iCs/>
                <w:color w:val="000000"/>
                <w:sz w:val="16"/>
                <w:szCs w:val="16"/>
                <w:lang w:val="en-GB"/>
              </w:rPr>
              <w:t xml:space="preserve">national and subnational baselines and diagnostics carried out to inform policy responses </w:t>
            </w:r>
          </w:p>
          <w:p w14:paraId="3072D4CA" w14:textId="38527AA8" w:rsidR="007255AE" w:rsidRPr="005131D4" w:rsidRDefault="007255AE" w:rsidP="00F92FCC">
            <w:pPr>
              <w:rPr>
                <w:b/>
                <w:iCs/>
                <w:color w:val="000000"/>
                <w:sz w:val="16"/>
                <w:szCs w:val="16"/>
                <w:lang w:val="en-GB"/>
              </w:rPr>
            </w:pPr>
            <w:r w:rsidRPr="005131D4">
              <w:rPr>
                <w:b/>
                <w:iCs/>
                <w:color w:val="000000"/>
                <w:sz w:val="16"/>
                <w:szCs w:val="16"/>
                <w:lang w:val="en-GB"/>
              </w:rPr>
              <w:t>Baseline (2015):</w:t>
            </w:r>
            <w:r w:rsidR="001F634D">
              <w:rPr>
                <w:b/>
                <w:iCs/>
                <w:color w:val="000000"/>
                <w:sz w:val="16"/>
                <w:szCs w:val="16"/>
                <w:lang w:val="en-GB"/>
              </w:rPr>
              <w:t xml:space="preserve"> </w:t>
            </w:r>
            <w:r w:rsidR="009A0714" w:rsidRPr="005131D4">
              <w:rPr>
                <w:iCs/>
                <w:color w:val="000000"/>
                <w:sz w:val="16"/>
                <w:szCs w:val="16"/>
                <w:lang w:val="en-GB"/>
              </w:rPr>
              <w:t>2</w:t>
            </w:r>
            <w:r w:rsidR="007E5ADA" w:rsidRPr="005131D4">
              <w:rPr>
                <w:iCs/>
                <w:color w:val="000000"/>
                <w:sz w:val="16"/>
                <w:szCs w:val="16"/>
                <w:lang w:val="en-GB"/>
              </w:rPr>
              <w:t xml:space="preserve"> (one national and one urban)</w:t>
            </w:r>
          </w:p>
          <w:p w14:paraId="405A05DA" w14:textId="4F385E6A" w:rsidR="007255AE" w:rsidRPr="005131D4" w:rsidRDefault="007255AE" w:rsidP="00F92FCC">
            <w:pPr>
              <w:rPr>
                <w:iCs/>
                <w:color w:val="000000"/>
                <w:sz w:val="16"/>
                <w:szCs w:val="16"/>
                <w:lang w:val="en-GB"/>
              </w:rPr>
            </w:pPr>
            <w:r w:rsidRPr="005131D4">
              <w:rPr>
                <w:b/>
                <w:iCs/>
                <w:color w:val="000000"/>
                <w:sz w:val="16"/>
                <w:szCs w:val="16"/>
                <w:lang w:val="en-GB"/>
              </w:rPr>
              <w:t>Target:</w:t>
            </w:r>
            <w:r w:rsidR="001F634D">
              <w:rPr>
                <w:b/>
                <w:iCs/>
                <w:color w:val="000000"/>
                <w:sz w:val="16"/>
                <w:szCs w:val="16"/>
                <w:lang w:val="en-GB"/>
              </w:rPr>
              <w:t xml:space="preserve"> </w:t>
            </w:r>
            <w:r w:rsidR="00AA12A2" w:rsidRPr="005131D4">
              <w:rPr>
                <w:iCs/>
                <w:sz w:val="16"/>
                <w:szCs w:val="16"/>
                <w:lang w:val="en-GB"/>
              </w:rPr>
              <w:t>8</w:t>
            </w:r>
            <w:r w:rsidR="007E5ADA" w:rsidRPr="005131D4">
              <w:rPr>
                <w:iCs/>
                <w:sz w:val="16"/>
                <w:szCs w:val="16"/>
                <w:lang w:val="en-GB"/>
              </w:rPr>
              <w:t xml:space="preserve"> (including at least 2 cross-sectoral </w:t>
            </w:r>
            <w:r w:rsidR="007E5ADA" w:rsidRPr="00B716C5">
              <w:rPr>
                <w:iCs/>
                <w:sz w:val="16"/>
                <w:szCs w:val="16"/>
                <w:lang w:val="en-GB"/>
              </w:rPr>
              <w:t>liveable city</w:t>
            </w:r>
            <w:r w:rsidR="007E5ADA" w:rsidRPr="005131D4">
              <w:rPr>
                <w:iCs/>
                <w:sz w:val="16"/>
                <w:szCs w:val="16"/>
                <w:lang w:val="en-GB"/>
              </w:rPr>
              <w:t xml:space="preserve"> programmes)</w:t>
            </w:r>
          </w:p>
          <w:p w14:paraId="589F4613" w14:textId="19E04C75" w:rsidR="007255AE" w:rsidRPr="005131D4" w:rsidRDefault="007255AE" w:rsidP="00F92FCC">
            <w:pPr>
              <w:rPr>
                <w:iCs/>
                <w:color w:val="000000"/>
                <w:sz w:val="16"/>
                <w:szCs w:val="16"/>
                <w:lang w:val="en-GB"/>
              </w:rPr>
            </w:pPr>
            <w:r w:rsidRPr="005131D4">
              <w:rPr>
                <w:b/>
                <w:iCs/>
                <w:color w:val="000000"/>
                <w:sz w:val="16"/>
                <w:szCs w:val="16"/>
                <w:lang w:val="en-GB"/>
              </w:rPr>
              <w:t>Source:</w:t>
            </w:r>
            <w:r w:rsidR="00ED4F39">
              <w:rPr>
                <w:b/>
                <w:iCs/>
                <w:color w:val="000000"/>
                <w:sz w:val="16"/>
                <w:szCs w:val="16"/>
                <w:lang w:val="en-GB"/>
              </w:rPr>
              <w:t xml:space="preserve"> </w:t>
            </w:r>
            <w:r w:rsidR="00C70FCF">
              <w:rPr>
                <w:iCs/>
                <w:color w:val="000000"/>
                <w:sz w:val="16"/>
                <w:szCs w:val="16"/>
                <w:lang w:val="en-GB"/>
              </w:rPr>
              <w:t xml:space="preserve">Project </w:t>
            </w:r>
            <w:r w:rsidR="00B22D2B">
              <w:rPr>
                <w:iCs/>
                <w:color w:val="000000"/>
                <w:sz w:val="16"/>
                <w:szCs w:val="16"/>
                <w:lang w:val="en-GB"/>
              </w:rPr>
              <w:t>M&amp;E</w:t>
            </w:r>
            <w:r w:rsidR="009A0714" w:rsidRPr="005131D4">
              <w:rPr>
                <w:iCs/>
                <w:color w:val="000000"/>
                <w:sz w:val="16"/>
                <w:szCs w:val="16"/>
                <w:lang w:val="en-GB"/>
              </w:rPr>
              <w:t xml:space="preserve"> data.</w:t>
            </w:r>
          </w:p>
          <w:p w14:paraId="7150247C" w14:textId="77777777" w:rsidR="007255AE" w:rsidRPr="005131D4" w:rsidRDefault="007255AE" w:rsidP="00F92FCC">
            <w:pPr>
              <w:rPr>
                <w:iCs/>
                <w:color w:val="000000"/>
                <w:sz w:val="16"/>
                <w:szCs w:val="16"/>
                <w:lang w:val="en-GB"/>
              </w:rPr>
            </w:pPr>
          </w:p>
          <w:p w14:paraId="236D3697" w14:textId="2F86F696" w:rsidR="00AA12A2" w:rsidRPr="005131D4" w:rsidRDefault="00AA12A2" w:rsidP="00F92FCC">
            <w:pPr>
              <w:ind w:right="-29"/>
              <w:rPr>
                <w:b/>
                <w:iCs/>
                <w:color w:val="000000"/>
                <w:sz w:val="16"/>
                <w:szCs w:val="16"/>
                <w:lang w:val="en-GB"/>
              </w:rPr>
            </w:pPr>
            <w:r w:rsidRPr="005131D4">
              <w:rPr>
                <w:b/>
                <w:iCs/>
                <w:color w:val="000000"/>
                <w:sz w:val="16"/>
                <w:szCs w:val="16"/>
                <w:lang w:val="en-GB"/>
              </w:rPr>
              <w:t>1</w:t>
            </w:r>
            <w:r w:rsidR="005634E2" w:rsidRPr="005131D4">
              <w:rPr>
                <w:b/>
                <w:iCs/>
                <w:color w:val="000000"/>
                <w:sz w:val="16"/>
                <w:szCs w:val="16"/>
                <w:lang w:val="en-GB"/>
              </w:rPr>
              <w:t>.</w:t>
            </w:r>
            <w:r w:rsidRPr="005131D4">
              <w:rPr>
                <w:b/>
                <w:iCs/>
                <w:color w:val="000000"/>
                <w:sz w:val="16"/>
                <w:szCs w:val="16"/>
                <w:lang w:val="en-GB"/>
              </w:rPr>
              <w:t>3</w:t>
            </w:r>
            <w:r w:rsidR="007255AE" w:rsidRPr="005131D4">
              <w:rPr>
                <w:b/>
                <w:iCs/>
                <w:color w:val="000000"/>
                <w:sz w:val="16"/>
                <w:szCs w:val="16"/>
                <w:lang w:val="en-GB"/>
              </w:rPr>
              <w:t xml:space="preserve">: </w:t>
            </w:r>
            <w:r w:rsidRPr="005131D4">
              <w:rPr>
                <w:b/>
                <w:iCs/>
                <w:color w:val="000000"/>
                <w:sz w:val="16"/>
                <w:szCs w:val="16"/>
                <w:lang w:val="en-GB"/>
              </w:rPr>
              <w:t>Social protection is progressively expanded based on a life</w:t>
            </w:r>
            <w:r w:rsidR="00C2173C">
              <w:rPr>
                <w:b/>
                <w:iCs/>
                <w:color w:val="000000"/>
                <w:sz w:val="16"/>
                <w:szCs w:val="16"/>
                <w:lang w:val="en-GB"/>
              </w:rPr>
              <w:t>-</w:t>
            </w:r>
            <w:r w:rsidRPr="005131D4">
              <w:rPr>
                <w:b/>
                <w:iCs/>
                <w:color w:val="000000"/>
                <w:sz w:val="16"/>
                <w:szCs w:val="16"/>
                <w:lang w:val="en-GB"/>
              </w:rPr>
              <w:t>cycle approach and universal floor coverage</w:t>
            </w:r>
            <w:r w:rsidR="00C2173C">
              <w:rPr>
                <w:b/>
                <w:iCs/>
                <w:color w:val="000000"/>
                <w:sz w:val="16"/>
                <w:szCs w:val="16"/>
                <w:lang w:val="en-GB"/>
              </w:rPr>
              <w:t>.</w:t>
            </w:r>
          </w:p>
          <w:p w14:paraId="72158C43" w14:textId="67AEA06C" w:rsidR="007255AE" w:rsidRPr="00DE7070" w:rsidRDefault="00B716C5" w:rsidP="00F92FCC">
            <w:pPr>
              <w:rPr>
                <w:iCs/>
                <w:sz w:val="16"/>
                <w:szCs w:val="16"/>
                <w:lang w:val="en-GB"/>
              </w:rPr>
            </w:pPr>
            <w:r>
              <w:rPr>
                <w:iCs/>
                <w:sz w:val="16"/>
                <w:szCs w:val="16"/>
                <w:lang w:val="en-GB"/>
              </w:rPr>
              <w:lastRenderedPageBreak/>
              <w:t>Number</w:t>
            </w:r>
            <w:r w:rsidRPr="00DE7070">
              <w:rPr>
                <w:iCs/>
                <w:sz w:val="16"/>
                <w:szCs w:val="16"/>
                <w:lang w:val="en-GB"/>
              </w:rPr>
              <w:t xml:space="preserve"> </w:t>
            </w:r>
            <w:r w:rsidR="005131D4" w:rsidRPr="00DE7070">
              <w:rPr>
                <w:iCs/>
                <w:sz w:val="16"/>
                <w:szCs w:val="16"/>
                <w:lang w:val="en-GB"/>
              </w:rPr>
              <w:t xml:space="preserve">of </w:t>
            </w:r>
            <w:r w:rsidR="00741806" w:rsidRPr="00DE7070">
              <w:rPr>
                <w:iCs/>
                <w:sz w:val="16"/>
                <w:szCs w:val="16"/>
                <w:lang w:val="en-GB"/>
              </w:rPr>
              <w:t xml:space="preserve">women and men </w:t>
            </w:r>
            <w:r w:rsidR="005131D4" w:rsidRPr="00DE7070">
              <w:rPr>
                <w:iCs/>
                <w:sz w:val="16"/>
                <w:szCs w:val="16"/>
                <w:lang w:val="en-GB"/>
              </w:rPr>
              <w:t xml:space="preserve">benefiting from regular </w:t>
            </w:r>
            <w:r w:rsidR="00DE7070" w:rsidRPr="00DE7070">
              <w:rPr>
                <w:iCs/>
                <w:sz w:val="16"/>
                <w:szCs w:val="16"/>
                <w:lang w:val="en-GB"/>
              </w:rPr>
              <w:t>life</w:t>
            </w:r>
            <w:r w:rsidR="00C2173C">
              <w:rPr>
                <w:iCs/>
                <w:sz w:val="16"/>
                <w:szCs w:val="16"/>
                <w:lang w:val="en-GB"/>
              </w:rPr>
              <w:t>-</w:t>
            </w:r>
            <w:r w:rsidR="00DE7070" w:rsidRPr="00DE7070">
              <w:rPr>
                <w:iCs/>
                <w:sz w:val="16"/>
                <w:szCs w:val="16"/>
                <w:lang w:val="en-GB"/>
              </w:rPr>
              <w:t xml:space="preserve">cycle social assistance </w:t>
            </w:r>
            <w:r w:rsidR="005131D4" w:rsidRPr="00DE7070">
              <w:rPr>
                <w:iCs/>
                <w:sz w:val="16"/>
                <w:szCs w:val="16"/>
                <w:lang w:val="en-GB"/>
              </w:rPr>
              <w:t>cash transfers (disaggregated by scheme)</w:t>
            </w:r>
          </w:p>
          <w:p w14:paraId="3FB2DE3A" w14:textId="1337ECEA" w:rsidR="007255AE" w:rsidRPr="00DE7070" w:rsidRDefault="007255AE" w:rsidP="00F92FCC">
            <w:pPr>
              <w:rPr>
                <w:b/>
                <w:iCs/>
                <w:sz w:val="16"/>
                <w:szCs w:val="16"/>
                <w:lang w:val="en-GB"/>
              </w:rPr>
            </w:pPr>
            <w:r w:rsidRPr="00DE7070">
              <w:rPr>
                <w:b/>
                <w:iCs/>
                <w:sz w:val="16"/>
                <w:szCs w:val="16"/>
                <w:lang w:val="en-GB"/>
              </w:rPr>
              <w:t>Baseline (201</w:t>
            </w:r>
            <w:r w:rsidR="005131D4" w:rsidRPr="00DE7070">
              <w:rPr>
                <w:b/>
                <w:iCs/>
                <w:sz w:val="16"/>
                <w:szCs w:val="16"/>
                <w:lang w:val="en-GB"/>
              </w:rPr>
              <w:t>4</w:t>
            </w:r>
            <w:r w:rsidRPr="00DE7070">
              <w:rPr>
                <w:b/>
                <w:iCs/>
                <w:sz w:val="16"/>
                <w:szCs w:val="16"/>
                <w:lang w:val="en-GB"/>
              </w:rPr>
              <w:t>):</w:t>
            </w:r>
            <w:r w:rsidR="001F634D" w:rsidRPr="00DE7070">
              <w:rPr>
                <w:b/>
                <w:iCs/>
                <w:sz w:val="16"/>
                <w:szCs w:val="16"/>
                <w:lang w:val="en-GB"/>
              </w:rPr>
              <w:t xml:space="preserve"> </w:t>
            </w:r>
            <w:r w:rsidR="00DE7070" w:rsidRPr="00DE7070">
              <w:rPr>
                <w:iCs/>
                <w:sz w:val="16"/>
                <w:szCs w:val="16"/>
                <w:lang w:val="en-GB"/>
              </w:rPr>
              <w:t>1</w:t>
            </w:r>
            <w:r w:rsidR="00B716C5">
              <w:rPr>
                <w:iCs/>
                <w:sz w:val="16"/>
                <w:szCs w:val="16"/>
                <w:lang w:val="en-GB"/>
              </w:rPr>
              <w:t>.</w:t>
            </w:r>
            <w:r w:rsidR="00DE7070" w:rsidRPr="00DE7070">
              <w:rPr>
                <w:iCs/>
                <w:sz w:val="16"/>
                <w:szCs w:val="16"/>
                <w:lang w:val="en-GB"/>
              </w:rPr>
              <w:t>7</w:t>
            </w:r>
            <w:r w:rsidR="00B716C5">
              <w:rPr>
                <w:iCs/>
                <w:sz w:val="16"/>
                <w:szCs w:val="16"/>
                <w:lang w:val="en-GB"/>
              </w:rPr>
              <w:t xml:space="preserve"> million women</w:t>
            </w:r>
            <w:r w:rsidR="00DE7070" w:rsidRPr="00DE7070">
              <w:rPr>
                <w:iCs/>
                <w:sz w:val="16"/>
                <w:szCs w:val="16"/>
                <w:lang w:val="en-GB"/>
              </w:rPr>
              <w:t>/1</w:t>
            </w:r>
            <w:r w:rsidR="00B716C5">
              <w:rPr>
                <w:iCs/>
                <w:sz w:val="16"/>
                <w:szCs w:val="16"/>
                <w:lang w:val="en-GB"/>
              </w:rPr>
              <w:t xml:space="preserve"> million men</w:t>
            </w:r>
          </w:p>
          <w:p w14:paraId="3DA8F4B7" w14:textId="691ADAC2" w:rsidR="00DE7070" w:rsidRPr="00DE7070" w:rsidRDefault="007255AE" w:rsidP="00DE7070">
            <w:pPr>
              <w:rPr>
                <w:iCs/>
                <w:sz w:val="16"/>
                <w:szCs w:val="16"/>
                <w:lang w:val="en-GB"/>
              </w:rPr>
            </w:pPr>
            <w:r w:rsidRPr="00DE7070">
              <w:rPr>
                <w:b/>
                <w:iCs/>
                <w:sz w:val="16"/>
                <w:szCs w:val="16"/>
                <w:lang w:val="en-GB"/>
              </w:rPr>
              <w:t>Target:</w:t>
            </w:r>
            <w:r w:rsidR="001F634D" w:rsidRPr="00DE7070">
              <w:rPr>
                <w:b/>
                <w:iCs/>
                <w:sz w:val="16"/>
                <w:szCs w:val="16"/>
                <w:lang w:val="en-GB"/>
              </w:rPr>
              <w:t xml:space="preserve"> </w:t>
            </w:r>
            <w:r w:rsidR="00DE7070" w:rsidRPr="00DE7070">
              <w:rPr>
                <w:iCs/>
                <w:sz w:val="16"/>
                <w:szCs w:val="16"/>
                <w:lang w:val="en-GB"/>
              </w:rPr>
              <w:t>2</w:t>
            </w:r>
            <w:r w:rsidR="00B716C5">
              <w:rPr>
                <w:iCs/>
                <w:sz w:val="16"/>
                <w:szCs w:val="16"/>
                <w:lang w:val="en-GB"/>
              </w:rPr>
              <w:t>.6 million women</w:t>
            </w:r>
            <w:r w:rsidR="00DE7070" w:rsidRPr="00DE7070">
              <w:rPr>
                <w:iCs/>
                <w:sz w:val="16"/>
                <w:szCs w:val="16"/>
                <w:lang w:val="en-GB"/>
              </w:rPr>
              <w:t>/1</w:t>
            </w:r>
            <w:r w:rsidR="00B716C5">
              <w:rPr>
                <w:iCs/>
                <w:sz w:val="16"/>
                <w:szCs w:val="16"/>
                <w:lang w:val="en-GB"/>
              </w:rPr>
              <w:t>.</w:t>
            </w:r>
            <w:r w:rsidR="00DE7070" w:rsidRPr="00DE7070">
              <w:rPr>
                <w:iCs/>
                <w:sz w:val="16"/>
                <w:szCs w:val="16"/>
                <w:lang w:val="en-GB"/>
              </w:rPr>
              <w:t>1</w:t>
            </w:r>
            <w:r w:rsidR="00B716C5">
              <w:rPr>
                <w:iCs/>
                <w:sz w:val="16"/>
                <w:szCs w:val="16"/>
                <w:lang w:val="en-GB"/>
              </w:rPr>
              <w:t xml:space="preserve"> million men</w:t>
            </w:r>
          </w:p>
          <w:p w14:paraId="73428DCE" w14:textId="69AD49D6" w:rsidR="00DE7070" w:rsidRPr="006431EC" w:rsidRDefault="00DE7070" w:rsidP="007F5FB5">
            <w:pPr>
              <w:rPr>
                <w:iCs/>
                <w:sz w:val="16"/>
                <w:szCs w:val="16"/>
                <w:lang w:val="en-GB"/>
              </w:rPr>
            </w:pPr>
            <w:r w:rsidRPr="00DE7070">
              <w:rPr>
                <w:b/>
                <w:iCs/>
                <w:sz w:val="16"/>
                <w:szCs w:val="16"/>
                <w:lang w:val="en-GB"/>
              </w:rPr>
              <w:t xml:space="preserve">Source: </w:t>
            </w:r>
            <w:r w:rsidRPr="00DE7070">
              <w:rPr>
                <w:iCs/>
                <w:sz w:val="16"/>
                <w:szCs w:val="16"/>
                <w:lang w:val="en-GB"/>
              </w:rPr>
              <w:t>Master Plan for Social Assistance Reform.</w:t>
            </w:r>
          </w:p>
        </w:tc>
        <w:tc>
          <w:tcPr>
            <w:tcW w:w="1067" w:type="pct"/>
            <w:tcBorders>
              <w:top w:val="single" w:sz="4" w:space="0" w:color="auto"/>
              <w:bottom w:val="single" w:sz="4" w:space="0" w:color="auto"/>
            </w:tcBorders>
          </w:tcPr>
          <w:p w14:paraId="0BA78D59" w14:textId="46472BE1" w:rsidR="006B58CC" w:rsidRDefault="007255AE" w:rsidP="00F92FCC">
            <w:pPr>
              <w:rPr>
                <w:iCs/>
                <w:color w:val="000000"/>
                <w:sz w:val="16"/>
                <w:szCs w:val="16"/>
                <w:lang w:val="en-GB"/>
              </w:rPr>
            </w:pPr>
            <w:r>
              <w:rPr>
                <w:iCs/>
                <w:color w:val="000000"/>
                <w:sz w:val="16"/>
                <w:szCs w:val="16"/>
                <w:lang w:val="en-GB"/>
              </w:rPr>
              <w:lastRenderedPageBreak/>
              <w:t xml:space="preserve">Ministry of </w:t>
            </w:r>
            <w:r w:rsidR="006B59E3">
              <w:rPr>
                <w:iCs/>
                <w:color w:val="000000"/>
                <w:sz w:val="16"/>
                <w:szCs w:val="16"/>
                <w:lang w:val="en-GB"/>
              </w:rPr>
              <w:t>Labo</w:t>
            </w:r>
            <w:r w:rsidR="00B07533">
              <w:rPr>
                <w:iCs/>
                <w:color w:val="000000"/>
                <w:sz w:val="16"/>
                <w:szCs w:val="16"/>
                <w:lang w:val="en-GB"/>
              </w:rPr>
              <w:t>u</w:t>
            </w:r>
            <w:r w:rsidR="006B59E3">
              <w:rPr>
                <w:iCs/>
                <w:color w:val="000000"/>
                <w:sz w:val="16"/>
                <w:szCs w:val="16"/>
                <w:lang w:val="en-GB"/>
              </w:rPr>
              <w:t>r, the Disabled and Social Affairs</w:t>
            </w:r>
            <w:r w:rsidR="00B716C5">
              <w:rPr>
                <w:iCs/>
                <w:color w:val="000000"/>
                <w:sz w:val="16"/>
                <w:szCs w:val="16"/>
                <w:lang w:val="en-GB"/>
              </w:rPr>
              <w:t>;</w:t>
            </w:r>
          </w:p>
          <w:p w14:paraId="1C374671" w14:textId="3F382134" w:rsidR="00B716C5" w:rsidRDefault="006B58CC" w:rsidP="00F92FCC">
            <w:pPr>
              <w:rPr>
                <w:iCs/>
                <w:color w:val="000000"/>
                <w:sz w:val="16"/>
                <w:szCs w:val="16"/>
                <w:lang w:val="en-GB"/>
              </w:rPr>
            </w:pPr>
            <w:r>
              <w:rPr>
                <w:iCs/>
                <w:color w:val="000000"/>
                <w:sz w:val="16"/>
                <w:szCs w:val="16"/>
                <w:lang w:val="en-GB"/>
              </w:rPr>
              <w:t>Ministry of Planning and Investment</w:t>
            </w:r>
            <w:r w:rsidR="00C2173C">
              <w:rPr>
                <w:iCs/>
                <w:color w:val="000000"/>
                <w:sz w:val="16"/>
                <w:szCs w:val="16"/>
                <w:lang w:val="en-GB"/>
              </w:rPr>
              <w:t>;</w:t>
            </w:r>
          </w:p>
          <w:p w14:paraId="0A55849B" w14:textId="304505AF" w:rsidR="00B716C5" w:rsidRDefault="006B59E3" w:rsidP="00F92FCC">
            <w:pPr>
              <w:rPr>
                <w:iCs/>
                <w:color w:val="000000"/>
                <w:sz w:val="16"/>
                <w:szCs w:val="16"/>
                <w:lang w:val="en-GB"/>
              </w:rPr>
            </w:pPr>
            <w:r>
              <w:rPr>
                <w:iCs/>
                <w:color w:val="000000"/>
                <w:sz w:val="16"/>
                <w:szCs w:val="16"/>
                <w:lang w:val="en-GB"/>
              </w:rPr>
              <w:t>Ministry of Agriculture and Rural Development</w:t>
            </w:r>
            <w:r w:rsidR="00B716C5">
              <w:rPr>
                <w:iCs/>
                <w:color w:val="000000"/>
                <w:sz w:val="16"/>
                <w:szCs w:val="16"/>
                <w:lang w:val="en-GB"/>
              </w:rPr>
              <w:t xml:space="preserve">; </w:t>
            </w:r>
          </w:p>
          <w:p w14:paraId="39CA1744" w14:textId="62F7CFE2" w:rsidR="006B58CC" w:rsidRDefault="006B59E3" w:rsidP="00F92FCC">
            <w:pPr>
              <w:rPr>
                <w:iCs/>
                <w:color w:val="000000"/>
                <w:sz w:val="16"/>
                <w:szCs w:val="16"/>
                <w:lang w:val="en-GB"/>
              </w:rPr>
            </w:pPr>
            <w:r>
              <w:rPr>
                <w:iCs/>
                <w:color w:val="000000"/>
                <w:sz w:val="16"/>
                <w:szCs w:val="16"/>
                <w:lang w:val="en-GB"/>
              </w:rPr>
              <w:t>Committee for Ethnic Minority Affairs</w:t>
            </w:r>
            <w:r w:rsidR="00B716C5">
              <w:rPr>
                <w:iCs/>
                <w:color w:val="000000"/>
                <w:sz w:val="16"/>
                <w:szCs w:val="16"/>
                <w:lang w:val="en-GB"/>
              </w:rPr>
              <w:t xml:space="preserve">; </w:t>
            </w:r>
            <w:r w:rsidR="007F5FB5">
              <w:rPr>
                <w:iCs/>
                <w:color w:val="000000"/>
                <w:sz w:val="16"/>
                <w:szCs w:val="16"/>
                <w:lang w:val="en-GB"/>
              </w:rPr>
              <w:t>General Statistics Office</w:t>
            </w:r>
            <w:r>
              <w:rPr>
                <w:iCs/>
                <w:color w:val="000000"/>
                <w:sz w:val="16"/>
                <w:szCs w:val="16"/>
                <w:lang w:val="en-GB"/>
              </w:rPr>
              <w:t xml:space="preserve"> (</w:t>
            </w:r>
            <w:r w:rsidR="007255AE">
              <w:rPr>
                <w:iCs/>
                <w:color w:val="000000"/>
                <w:sz w:val="16"/>
                <w:szCs w:val="16"/>
                <w:lang w:val="en-GB"/>
              </w:rPr>
              <w:t>at central and provincial levels</w:t>
            </w:r>
            <w:r>
              <w:rPr>
                <w:iCs/>
                <w:color w:val="000000"/>
                <w:sz w:val="16"/>
                <w:szCs w:val="16"/>
                <w:lang w:val="en-GB"/>
              </w:rPr>
              <w:t xml:space="preserve">); </w:t>
            </w:r>
          </w:p>
          <w:p w14:paraId="0B1AE9DF" w14:textId="18EB6206" w:rsidR="00B716C5" w:rsidRDefault="006B58CC" w:rsidP="00F92FCC">
            <w:pPr>
              <w:rPr>
                <w:iCs/>
                <w:color w:val="000000"/>
                <w:sz w:val="16"/>
                <w:szCs w:val="16"/>
                <w:lang w:val="en-GB"/>
              </w:rPr>
            </w:pPr>
            <w:r>
              <w:rPr>
                <w:iCs/>
                <w:color w:val="000000"/>
                <w:sz w:val="16"/>
                <w:szCs w:val="16"/>
                <w:lang w:val="en-GB"/>
              </w:rPr>
              <w:t>Ministry of Finance; Ministry of Health; Ministry of Education and Training; General Statistics Office, Viet Nam Social Insurance (at central and provincial level);</w:t>
            </w:r>
          </w:p>
          <w:p w14:paraId="2F788822" w14:textId="77777777" w:rsidR="001B0D67" w:rsidRDefault="007255AE" w:rsidP="00F92FCC">
            <w:pPr>
              <w:rPr>
                <w:iCs/>
                <w:color w:val="000000"/>
                <w:sz w:val="16"/>
                <w:szCs w:val="16"/>
                <w:lang w:val="en-GB"/>
              </w:rPr>
            </w:pPr>
            <w:r>
              <w:rPr>
                <w:iCs/>
                <w:color w:val="000000"/>
                <w:sz w:val="16"/>
                <w:szCs w:val="16"/>
                <w:lang w:val="en-GB"/>
              </w:rPr>
              <w:t>National Assembly and People’s Councils;</w:t>
            </w:r>
            <w:r w:rsidR="006B59E3">
              <w:rPr>
                <w:iCs/>
                <w:color w:val="000000"/>
                <w:sz w:val="16"/>
                <w:szCs w:val="16"/>
                <w:lang w:val="en-GB"/>
              </w:rPr>
              <w:t xml:space="preserve"> </w:t>
            </w:r>
          </w:p>
          <w:p w14:paraId="41C507B9" w14:textId="57EEEB9D" w:rsidR="006B58CC" w:rsidRDefault="006B59E3" w:rsidP="00F92FCC">
            <w:pPr>
              <w:rPr>
                <w:iCs/>
                <w:color w:val="000000"/>
                <w:sz w:val="16"/>
                <w:szCs w:val="16"/>
                <w:lang w:val="en-GB"/>
              </w:rPr>
            </w:pPr>
            <w:r>
              <w:rPr>
                <w:iCs/>
                <w:color w:val="000000"/>
                <w:sz w:val="16"/>
                <w:szCs w:val="16"/>
                <w:lang w:val="en-GB"/>
              </w:rPr>
              <w:t xml:space="preserve">Ethnic </w:t>
            </w:r>
            <w:r w:rsidR="00B716C5">
              <w:rPr>
                <w:iCs/>
                <w:color w:val="000000"/>
                <w:sz w:val="16"/>
                <w:szCs w:val="16"/>
                <w:lang w:val="en-GB"/>
              </w:rPr>
              <w:t xml:space="preserve">minority </w:t>
            </w:r>
            <w:r>
              <w:rPr>
                <w:iCs/>
                <w:color w:val="000000"/>
                <w:sz w:val="16"/>
                <w:szCs w:val="16"/>
                <w:lang w:val="en-GB"/>
              </w:rPr>
              <w:t>communities, self-help groups;</w:t>
            </w:r>
            <w:r w:rsidR="007255AE">
              <w:rPr>
                <w:iCs/>
                <w:color w:val="000000"/>
                <w:sz w:val="16"/>
                <w:szCs w:val="16"/>
                <w:lang w:val="en-GB"/>
              </w:rPr>
              <w:t xml:space="preserve"> </w:t>
            </w:r>
          </w:p>
          <w:p w14:paraId="517C3EE8" w14:textId="06FF711F" w:rsidR="001B0D67" w:rsidRDefault="001B0D67" w:rsidP="00F92FCC">
            <w:pPr>
              <w:rPr>
                <w:iCs/>
                <w:color w:val="000000"/>
                <w:sz w:val="16"/>
                <w:szCs w:val="16"/>
                <w:lang w:val="en-GB"/>
              </w:rPr>
            </w:pPr>
          </w:p>
          <w:p w14:paraId="50730FEE" w14:textId="2686344F" w:rsidR="006B58CC" w:rsidRDefault="006B58CC" w:rsidP="00F92FCC">
            <w:pPr>
              <w:rPr>
                <w:iCs/>
                <w:color w:val="000000"/>
                <w:sz w:val="16"/>
                <w:szCs w:val="16"/>
                <w:lang w:val="en-GB"/>
              </w:rPr>
            </w:pPr>
            <w:r>
              <w:rPr>
                <w:iCs/>
                <w:color w:val="000000"/>
                <w:sz w:val="16"/>
                <w:szCs w:val="16"/>
                <w:lang w:val="en-GB"/>
              </w:rPr>
              <w:t>Viet Nam Academy of Social Sciences and other think tanks and academic institutions;</w:t>
            </w:r>
          </w:p>
          <w:p w14:paraId="671F7F54" w14:textId="6936F25A" w:rsidR="00B716C5" w:rsidRDefault="007255AE" w:rsidP="00F92FCC">
            <w:pPr>
              <w:rPr>
                <w:iCs/>
                <w:color w:val="000000"/>
                <w:sz w:val="16"/>
                <w:szCs w:val="16"/>
                <w:lang w:val="en-GB"/>
              </w:rPr>
            </w:pPr>
            <w:r>
              <w:rPr>
                <w:iCs/>
                <w:color w:val="000000"/>
                <w:sz w:val="16"/>
                <w:szCs w:val="16"/>
                <w:lang w:val="en-GB"/>
              </w:rPr>
              <w:t xml:space="preserve">civil society </w:t>
            </w:r>
            <w:r w:rsidR="006B59E3">
              <w:rPr>
                <w:iCs/>
                <w:color w:val="000000"/>
                <w:sz w:val="16"/>
                <w:szCs w:val="16"/>
                <w:lang w:val="en-GB"/>
              </w:rPr>
              <w:t>and mass organizations</w:t>
            </w:r>
            <w:r>
              <w:rPr>
                <w:iCs/>
                <w:color w:val="000000"/>
                <w:sz w:val="16"/>
                <w:szCs w:val="16"/>
                <w:lang w:val="en-GB"/>
              </w:rPr>
              <w:t xml:space="preserve">; </w:t>
            </w:r>
          </w:p>
          <w:p w14:paraId="05916F01" w14:textId="77777777" w:rsidR="001B0D67" w:rsidRDefault="007255AE" w:rsidP="00F92FCC">
            <w:pPr>
              <w:rPr>
                <w:iCs/>
                <w:color w:val="000000"/>
                <w:sz w:val="16"/>
                <w:szCs w:val="16"/>
                <w:lang w:val="en-GB"/>
              </w:rPr>
            </w:pPr>
            <w:r>
              <w:rPr>
                <w:iCs/>
                <w:color w:val="000000"/>
                <w:sz w:val="16"/>
                <w:szCs w:val="16"/>
                <w:lang w:val="en-GB"/>
              </w:rPr>
              <w:t xml:space="preserve">UNICEF, </w:t>
            </w:r>
            <w:r w:rsidR="006B58CC">
              <w:rPr>
                <w:iCs/>
                <w:color w:val="000000"/>
                <w:sz w:val="16"/>
                <w:szCs w:val="16"/>
                <w:lang w:val="en-GB"/>
              </w:rPr>
              <w:t xml:space="preserve">UN-Women, UNFPA, </w:t>
            </w:r>
            <w:r w:rsidR="006B59E3">
              <w:rPr>
                <w:iCs/>
                <w:color w:val="000000"/>
                <w:sz w:val="16"/>
                <w:szCs w:val="16"/>
                <w:lang w:val="en-GB"/>
              </w:rPr>
              <w:t xml:space="preserve">UNESCO, FAO </w:t>
            </w:r>
            <w:r>
              <w:rPr>
                <w:iCs/>
                <w:color w:val="000000"/>
                <w:sz w:val="16"/>
                <w:szCs w:val="16"/>
                <w:lang w:val="en-GB"/>
              </w:rPr>
              <w:t>and other U</w:t>
            </w:r>
            <w:r w:rsidR="00B716C5">
              <w:rPr>
                <w:iCs/>
                <w:color w:val="000000"/>
                <w:sz w:val="16"/>
                <w:szCs w:val="16"/>
                <w:lang w:val="en-GB"/>
              </w:rPr>
              <w:t xml:space="preserve">nited </w:t>
            </w:r>
            <w:r>
              <w:rPr>
                <w:iCs/>
                <w:color w:val="000000"/>
                <w:sz w:val="16"/>
                <w:szCs w:val="16"/>
                <w:lang w:val="en-GB"/>
              </w:rPr>
              <w:t>N</w:t>
            </w:r>
            <w:r w:rsidR="00B716C5">
              <w:rPr>
                <w:iCs/>
                <w:color w:val="000000"/>
                <w:sz w:val="16"/>
                <w:szCs w:val="16"/>
                <w:lang w:val="en-GB"/>
              </w:rPr>
              <w:t>ations</w:t>
            </w:r>
            <w:r>
              <w:rPr>
                <w:iCs/>
                <w:color w:val="000000"/>
                <w:sz w:val="16"/>
                <w:szCs w:val="16"/>
                <w:lang w:val="en-GB"/>
              </w:rPr>
              <w:t xml:space="preserve"> agencies; </w:t>
            </w:r>
          </w:p>
          <w:p w14:paraId="5B471138" w14:textId="03D1D010" w:rsidR="007255AE" w:rsidRDefault="006B59E3" w:rsidP="00F92FCC">
            <w:pPr>
              <w:rPr>
                <w:iCs/>
                <w:color w:val="000000"/>
                <w:sz w:val="16"/>
                <w:szCs w:val="16"/>
                <w:lang w:val="en-GB"/>
              </w:rPr>
            </w:pPr>
            <w:r>
              <w:rPr>
                <w:iCs/>
                <w:color w:val="000000"/>
                <w:sz w:val="16"/>
                <w:szCs w:val="16"/>
                <w:lang w:val="en-GB"/>
              </w:rPr>
              <w:t xml:space="preserve">World Bank, </w:t>
            </w:r>
            <w:r w:rsidR="00B716C5">
              <w:rPr>
                <w:iCs/>
                <w:color w:val="000000"/>
                <w:sz w:val="16"/>
                <w:szCs w:val="16"/>
                <w:lang w:val="en-GB"/>
              </w:rPr>
              <w:t xml:space="preserve">Governments of </w:t>
            </w:r>
            <w:r>
              <w:rPr>
                <w:iCs/>
                <w:color w:val="000000"/>
                <w:sz w:val="16"/>
                <w:szCs w:val="16"/>
                <w:lang w:val="en-GB"/>
              </w:rPr>
              <w:t>Ireland, Australia</w:t>
            </w:r>
            <w:r w:rsidR="007255AE">
              <w:rPr>
                <w:iCs/>
                <w:color w:val="000000"/>
                <w:sz w:val="16"/>
                <w:szCs w:val="16"/>
                <w:lang w:val="en-GB"/>
              </w:rPr>
              <w:t xml:space="preserve"> and other partners</w:t>
            </w:r>
            <w:r>
              <w:rPr>
                <w:iCs/>
                <w:color w:val="000000"/>
                <w:sz w:val="16"/>
                <w:szCs w:val="16"/>
                <w:lang w:val="en-GB"/>
              </w:rPr>
              <w:t>.</w:t>
            </w:r>
          </w:p>
          <w:p w14:paraId="00DBAD13" w14:textId="77777777" w:rsidR="00F475DE" w:rsidRDefault="00F475DE" w:rsidP="00F92FCC">
            <w:pPr>
              <w:rPr>
                <w:iCs/>
                <w:color w:val="000000"/>
                <w:sz w:val="16"/>
                <w:szCs w:val="16"/>
                <w:lang w:val="en-GB"/>
              </w:rPr>
            </w:pPr>
          </w:p>
          <w:p w14:paraId="5B1E665B" w14:textId="2C576BE5" w:rsidR="007255AE" w:rsidRDefault="007255AE" w:rsidP="00F92FCC">
            <w:pPr>
              <w:rPr>
                <w:iCs/>
                <w:color w:val="000000"/>
                <w:sz w:val="16"/>
                <w:szCs w:val="16"/>
                <w:lang w:val="en-GB"/>
              </w:rPr>
            </w:pPr>
          </w:p>
          <w:p w14:paraId="3849A5A6" w14:textId="77777777" w:rsidR="007255AE" w:rsidRPr="0027502A" w:rsidRDefault="007255AE" w:rsidP="007F5FB5">
            <w:pPr>
              <w:rPr>
                <w:iCs/>
                <w:color w:val="000000"/>
                <w:sz w:val="16"/>
                <w:szCs w:val="16"/>
                <w:lang w:val="en-GB"/>
              </w:rPr>
            </w:pPr>
          </w:p>
        </w:tc>
        <w:tc>
          <w:tcPr>
            <w:tcW w:w="701" w:type="pct"/>
            <w:tcBorders>
              <w:top w:val="single" w:sz="4" w:space="0" w:color="auto"/>
              <w:bottom w:val="single" w:sz="4" w:space="0" w:color="auto"/>
              <w:right w:val="single" w:sz="4" w:space="0" w:color="auto"/>
            </w:tcBorders>
            <w:tcMar>
              <w:top w:w="15" w:type="dxa"/>
              <w:left w:w="108" w:type="dxa"/>
              <w:bottom w:w="0" w:type="dxa"/>
              <w:right w:w="108" w:type="dxa"/>
            </w:tcMar>
          </w:tcPr>
          <w:p w14:paraId="7C649D0E" w14:textId="18F578A5" w:rsidR="007255AE" w:rsidRDefault="007255AE" w:rsidP="00F92FCC">
            <w:pPr>
              <w:rPr>
                <w:b/>
                <w:color w:val="000000"/>
                <w:sz w:val="16"/>
                <w:szCs w:val="16"/>
              </w:rPr>
            </w:pPr>
            <w:r w:rsidRPr="003C26C1">
              <w:rPr>
                <w:b/>
                <w:color w:val="000000"/>
                <w:sz w:val="16"/>
                <w:szCs w:val="16"/>
              </w:rPr>
              <w:t>Regular</w:t>
            </w:r>
            <w:r w:rsidR="00E35BD9">
              <w:rPr>
                <w:b/>
                <w:color w:val="000000"/>
                <w:sz w:val="16"/>
                <w:szCs w:val="16"/>
              </w:rPr>
              <w:t xml:space="preserve"> resources</w:t>
            </w:r>
            <w:r w:rsidR="000E3032">
              <w:rPr>
                <w:b/>
                <w:color w:val="000000"/>
                <w:sz w:val="16"/>
                <w:szCs w:val="16"/>
              </w:rPr>
              <w:t>:</w:t>
            </w:r>
            <w:r w:rsidR="00742892">
              <w:rPr>
                <w:b/>
                <w:color w:val="000000"/>
                <w:sz w:val="16"/>
                <w:szCs w:val="16"/>
              </w:rPr>
              <w:t xml:space="preserve"> </w:t>
            </w:r>
            <w:r w:rsidR="00410F3D">
              <w:rPr>
                <w:b/>
                <w:color w:val="000000"/>
                <w:sz w:val="16"/>
                <w:szCs w:val="16"/>
              </w:rPr>
              <w:t>$</w:t>
            </w:r>
            <w:r w:rsidR="00742892">
              <w:rPr>
                <w:b/>
                <w:color w:val="000000"/>
                <w:sz w:val="16"/>
                <w:szCs w:val="16"/>
              </w:rPr>
              <w:t>9</w:t>
            </w:r>
            <w:r w:rsidR="008A182E">
              <w:rPr>
                <w:b/>
                <w:color w:val="000000"/>
                <w:sz w:val="16"/>
                <w:szCs w:val="16"/>
              </w:rPr>
              <w:t>,</w:t>
            </w:r>
            <w:r w:rsidR="00742892">
              <w:rPr>
                <w:b/>
                <w:color w:val="000000"/>
                <w:sz w:val="16"/>
                <w:szCs w:val="16"/>
              </w:rPr>
              <w:t>400</w:t>
            </w:r>
            <w:r w:rsidR="008A182E">
              <w:rPr>
                <w:b/>
                <w:color w:val="000000"/>
                <w:sz w:val="16"/>
                <w:szCs w:val="16"/>
              </w:rPr>
              <w:t>,000</w:t>
            </w:r>
          </w:p>
          <w:p w14:paraId="3AEA146D" w14:textId="77777777" w:rsidR="00F30EAE" w:rsidRDefault="00F30EAE" w:rsidP="00F92FCC">
            <w:pPr>
              <w:rPr>
                <w:b/>
                <w:color w:val="000000"/>
                <w:sz w:val="16"/>
                <w:szCs w:val="16"/>
              </w:rPr>
            </w:pPr>
          </w:p>
          <w:p w14:paraId="411E7AA1" w14:textId="1C22038C" w:rsidR="00F30EAE" w:rsidRPr="003C26C1" w:rsidRDefault="00F30EAE" w:rsidP="000E3032">
            <w:pPr>
              <w:rPr>
                <w:b/>
                <w:color w:val="000000"/>
                <w:sz w:val="16"/>
                <w:szCs w:val="16"/>
              </w:rPr>
            </w:pPr>
            <w:r>
              <w:rPr>
                <w:b/>
                <w:color w:val="000000"/>
                <w:sz w:val="16"/>
                <w:szCs w:val="16"/>
              </w:rPr>
              <w:t>Other</w:t>
            </w:r>
            <w:r w:rsidR="00E35BD9">
              <w:rPr>
                <w:b/>
                <w:color w:val="000000"/>
                <w:sz w:val="16"/>
                <w:szCs w:val="16"/>
              </w:rPr>
              <w:t xml:space="preserve"> resources</w:t>
            </w:r>
            <w:r w:rsidR="00BE120B">
              <w:rPr>
                <w:b/>
                <w:color w:val="000000"/>
                <w:sz w:val="16"/>
                <w:szCs w:val="16"/>
              </w:rPr>
              <w:t>:</w:t>
            </w:r>
            <w:r w:rsidR="00CA7751">
              <w:rPr>
                <w:b/>
                <w:color w:val="000000"/>
                <w:sz w:val="16"/>
                <w:szCs w:val="16"/>
              </w:rPr>
              <w:t xml:space="preserve"> </w:t>
            </w:r>
            <w:r w:rsidR="00410F3D">
              <w:rPr>
                <w:b/>
                <w:color w:val="000000"/>
                <w:sz w:val="16"/>
                <w:szCs w:val="16"/>
              </w:rPr>
              <w:t>$</w:t>
            </w:r>
            <w:r w:rsidR="000E3032">
              <w:rPr>
                <w:b/>
                <w:color w:val="000000"/>
                <w:sz w:val="16"/>
                <w:szCs w:val="16"/>
              </w:rPr>
              <w:t>30,000,000</w:t>
            </w:r>
          </w:p>
        </w:tc>
      </w:tr>
      <w:tr w:rsidR="00F475DE" w:rsidRPr="003C26C1" w14:paraId="038AF7E9" w14:textId="77777777" w:rsidTr="006431EC">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DBF00B5" w14:textId="2066D70A" w:rsidR="00F475DE" w:rsidRPr="0055354E" w:rsidRDefault="00F475DE" w:rsidP="00B716C5">
            <w:pPr>
              <w:rPr>
                <w:sz w:val="16"/>
                <w:szCs w:val="16"/>
              </w:rPr>
            </w:pPr>
            <w:r w:rsidRPr="001114F6">
              <w:rPr>
                <w:b/>
                <w:bCs/>
                <w:color w:val="000000"/>
                <w:sz w:val="16"/>
                <w:szCs w:val="16"/>
                <w:lang w:val="en-GB" w:eastAsia="en-GB"/>
              </w:rPr>
              <w:t>SEDP 2016-2020</w:t>
            </w:r>
            <w:r w:rsidR="00B716C5">
              <w:rPr>
                <w:b/>
                <w:bCs/>
                <w:color w:val="000000"/>
                <w:sz w:val="16"/>
                <w:szCs w:val="16"/>
                <w:lang w:val="en-GB" w:eastAsia="en-GB"/>
              </w:rPr>
              <w:t xml:space="preserve"> </w:t>
            </w:r>
            <w:r w:rsidR="00413662">
              <w:rPr>
                <w:b/>
                <w:bCs/>
                <w:color w:val="000000"/>
                <w:sz w:val="16"/>
                <w:szCs w:val="16"/>
                <w:lang w:val="en-GB" w:eastAsia="en-GB"/>
              </w:rPr>
              <w:t xml:space="preserve">Priority </w:t>
            </w:r>
            <w:r w:rsidR="0009398D">
              <w:rPr>
                <w:b/>
                <w:bCs/>
                <w:color w:val="000000"/>
                <w:sz w:val="16"/>
                <w:szCs w:val="16"/>
                <w:lang w:val="en-GB" w:eastAsia="en-GB"/>
              </w:rPr>
              <w:t>6</w:t>
            </w:r>
            <w:r w:rsidR="00413662">
              <w:rPr>
                <w:b/>
                <w:bCs/>
                <w:color w:val="000000"/>
                <w:sz w:val="16"/>
                <w:szCs w:val="16"/>
                <w:lang w:val="en-GB" w:eastAsia="en-GB"/>
              </w:rPr>
              <w:t>:</w:t>
            </w:r>
            <w:r w:rsidRPr="007255AE">
              <w:rPr>
                <w:b/>
                <w:bCs/>
                <w:sz w:val="16"/>
                <w:szCs w:val="16"/>
                <w:lang w:val="en-GB"/>
              </w:rPr>
              <w:t xml:space="preserve"> </w:t>
            </w:r>
            <w:r w:rsidRPr="00AC6ACE">
              <w:rPr>
                <w:b/>
                <w:bCs/>
                <w:color w:val="000000"/>
                <w:sz w:val="16"/>
                <w:szCs w:val="16"/>
                <w:lang w:val="en-GB" w:eastAsia="en-GB"/>
              </w:rPr>
              <w:t>Actively respond to climate change, prevent disaster</w:t>
            </w:r>
            <w:r>
              <w:rPr>
                <w:b/>
                <w:bCs/>
                <w:color w:val="000000"/>
                <w:sz w:val="16"/>
                <w:szCs w:val="16"/>
                <w:lang w:val="en-GB" w:eastAsia="en-GB"/>
              </w:rPr>
              <w:t>s</w:t>
            </w:r>
            <w:r w:rsidRPr="00AC6ACE">
              <w:rPr>
                <w:b/>
                <w:bCs/>
                <w:color w:val="000000"/>
                <w:sz w:val="16"/>
                <w:szCs w:val="16"/>
                <w:lang w:val="en-GB" w:eastAsia="en-GB"/>
              </w:rPr>
              <w:t>, strengthen natural resource management and environmental protection</w:t>
            </w:r>
          </w:p>
        </w:tc>
      </w:tr>
      <w:tr w:rsidR="00F475DE" w:rsidRPr="003C26C1" w14:paraId="3770DE9D" w14:textId="77777777" w:rsidTr="006431EC">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55560D7" w14:textId="245451A2" w:rsidR="002D70CA" w:rsidRPr="0055354E" w:rsidRDefault="00F475DE" w:rsidP="00413662">
            <w:pPr>
              <w:rPr>
                <w:sz w:val="16"/>
                <w:szCs w:val="16"/>
              </w:rPr>
            </w:pPr>
            <w:r w:rsidRPr="0055354E">
              <w:rPr>
                <w:b/>
                <w:bCs/>
                <w:sz w:val="16"/>
                <w:szCs w:val="16"/>
                <w:lang w:val="en-GB"/>
              </w:rPr>
              <w:t xml:space="preserve">ONE </w:t>
            </w:r>
            <w:r w:rsidR="00B716C5">
              <w:rPr>
                <w:b/>
                <w:bCs/>
                <w:sz w:val="16"/>
                <w:szCs w:val="16"/>
                <w:lang w:val="en-GB"/>
              </w:rPr>
              <w:t xml:space="preserve">UNITED NATIONS </w:t>
            </w:r>
            <w:r w:rsidRPr="0055354E">
              <w:rPr>
                <w:b/>
                <w:bCs/>
                <w:sz w:val="16"/>
                <w:szCs w:val="16"/>
                <w:lang w:val="en-GB"/>
              </w:rPr>
              <w:t>STRATEGIC PLAN OUTCOME INVOLVING UNDP</w:t>
            </w:r>
            <w:r w:rsidR="00413662">
              <w:rPr>
                <w:b/>
                <w:bCs/>
                <w:sz w:val="16"/>
                <w:szCs w:val="16"/>
                <w:lang w:val="en-GB"/>
              </w:rPr>
              <w:t>:</w:t>
            </w:r>
            <w:r w:rsidRPr="0055354E">
              <w:rPr>
                <w:b/>
                <w:bCs/>
                <w:sz w:val="16"/>
                <w:szCs w:val="16"/>
                <w:lang w:val="en-GB"/>
              </w:rPr>
              <w:t xml:space="preserve"> </w:t>
            </w:r>
            <w:r w:rsidRPr="0067279F">
              <w:rPr>
                <w:b/>
                <w:bCs/>
                <w:color w:val="000000"/>
                <w:sz w:val="16"/>
                <w:szCs w:val="16"/>
                <w:lang w:val="en-GB" w:eastAsia="en-GB"/>
              </w:rPr>
              <w:t>2.1</w:t>
            </w:r>
            <w:r w:rsidR="00413662">
              <w:rPr>
                <w:b/>
                <w:bCs/>
                <w:color w:val="000000"/>
                <w:sz w:val="16"/>
                <w:szCs w:val="16"/>
                <w:lang w:val="en-GB" w:eastAsia="en-GB"/>
              </w:rPr>
              <w:t>.</w:t>
            </w:r>
            <w:r w:rsidR="00413662" w:rsidRPr="00BD3EA5">
              <w:rPr>
                <w:b/>
                <w:bCs/>
                <w:color w:val="000000"/>
                <w:sz w:val="16"/>
                <w:szCs w:val="16"/>
                <w:lang w:val="en-GB" w:eastAsia="en-GB"/>
              </w:rPr>
              <w:t xml:space="preserve"> </w:t>
            </w:r>
            <w:r w:rsidRPr="0055354E">
              <w:rPr>
                <w:b/>
                <w:bCs/>
                <w:iCs/>
                <w:color w:val="000000"/>
                <w:sz w:val="16"/>
                <w:szCs w:val="16"/>
                <w:lang w:val="en-GB"/>
              </w:rPr>
              <w:t xml:space="preserve">By 2021, Viet Nam has </w:t>
            </w:r>
            <w:r>
              <w:rPr>
                <w:b/>
                <w:bCs/>
                <w:iCs/>
                <w:color w:val="000000"/>
                <w:sz w:val="16"/>
                <w:szCs w:val="16"/>
                <w:lang w:val="en-GB"/>
              </w:rPr>
              <w:t xml:space="preserve">accelerated its transition to </w:t>
            </w:r>
            <w:r w:rsidRPr="0055354E">
              <w:rPr>
                <w:b/>
                <w:bCs/>
                <w:iCs/>
                <w:color w:val="000000"/>
                <w:sz w:val="16"/>
                <w:szCs w:val="16"/>
                <w:lang w:val="en-GB"/>
              </w:rPr>
              <w:t>low-carbon and green development, and enhanced its adaptation and resilience to climate change and natural disasters</w:t>
            </w:r>
            <w:r w:rsidRPr="0055354E">
              <w:rPr>
                <w:b/>
                <w:iCs/>
                <w:color w:val="000000"/>
                <w:sz w:val="16"/>
                <w:szCs w:val="16"/>
                <w:lang w:val="en-GB"/>
              </w:rPr>
              <w:t>, with a focus on empowering the poor and vulnerable groups</w:t>
            </w:r>
            <w:r w:rsidR="00413662">
              <w:rPr>
                <w:b/>
                <w:iCs/>
                <w:color w:val="000000"/>
                <w:sz w:val="16"/>
                <w:szCs w:val="16"/>
                <w:lang w:val="en-GB"/>
              </w:rPr>
              <w:t>.</w:t>
            </w:r>
          </w:p>
        </w:tc>
      </w:tr>
      <w:tr w:rsidR="00F475DE" w:rsidRPr="003C26C1" w14:paraId="5AB97617" w14:textId="77777777" w:rsidTr="006431EC">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01903F5" w14:textId="51CC73C4" w:rsidR="00F475DE" w:rsidRPr="00F475DE" w:rsidRDefault="00B716C5" w:rsidP="00413662">
            <w:pPr>
              <w:pStyle w:val="level2"/>
              <w:tabs>
                <w:tab w:val="clear" w:pos="720"/>
                <w:tab w:val="left" w:pos="423"/>
              </w:tabs>
              <w:ind w:left="-2" w:hanging="13"/>
              <w:rPr>
                <w:b/>
                <w:sz w:val="16"/>
                <w:szCs w:val="16"/>
                <w:lang w:val="en-GB"/>
              </w:rPr>
            </w:pPr>
            <w:r>
              <w:rPr>
                <w:b/>
                <w:bCs/>
                <w:sz w:val="16"/>
                <w:szCs w:val="16"/>
                <w:lang w:val="en-GB"/>
              </w:rPr>
              <w:t>UNDP</w:t>
            </w:r>
            <w:r w:rsidRPr="0055354E">
              <w:rPr>
                <w:b/>
                <w:bCs/>
                <w:sz w:val="16"/>
                <w:szCs w:val="16"/>
                <w:lang w:val="en-GB"/>
              </w:rPr>
              <w:t xml:space="preserve"> </w:t>
            </w:r>
            <w:r w:rsidR="00F475DE" w:rsidRPr="0055354E">
              <w:rPr>
                <w:b/>
                <w:bCs/>
                <w:sz w:val="16"/>
                <w:szCs w:val="16"/>
                <w:lang w:val="en-GB"/>
              </w:rPr>
              <w:t>STRATEGIC PLAN OUTCOME</w:t>
            </w:r>
            <w:r w:rsidR="00413662">
              <w:rPr>
                <w:b/>
                <w:bCs/>
                <w:sz w:val="16"/>
                <w:szCs w:val="16"/>
                <w:lang w:val="en-GB"/>
              </w:rPr>
              <w:t>:</w:t>
            </w:r>
            <w:r w:rsidR="00F475DE" w:rsidRPr="0055354E">
              <w:rPr>
                <w:b/>
                <w:bCs/>
                <w:sz w:val="16"/>
                <w:szCs w:val="16"/>
                <w:lang w:val="en-GB"/>
              </w:rPr>
              <w:t xml:space="preserve"> 5</w:t>
            </w:r>
            <w:r w:rsidR="00413662">
              <w:rPr>
                <w:b/>
                <w:bCs/>
                <w:sz w:val="16"/>
                <w:szCs w:val="16"/>
                <w:lang w:val="en-GB"/>
              </w:rPr>
              <w:t>.</w:t>
            </w:r>
            <w:r w:rsidR="00413662" w:rsidRPr="0055354E">
              <w:rPr>
                <w:b/>
                <w:bCs/>
                <w:sz w:val="16"/>
                <w:szCs w:val="16"/>
                <w:lang w:val="en-GB"/>
              </w:rPr>
              <w:t xml:space="preserve"> </w:t>
            </w:r>
            <w:r w:rsidR="00F475DE" w:rsidRPr="0055354E">
              <w:rPr>
                <w:b/>
                <w:sz w:val="16"/>
                <w:szCs w:val="16"/>
                <w:lang w:val="en-GB"/>
              </w:rPr>
              <w:t>Countries are able to reduce the likelihood of conflict, and lower the risk of natural disasters, including from climate change</w:t>
            </w:r>
            <w:r w:rsidR="00F475DE">
              <w:rPr>
                <w:b/>
                <w:sz w:val="16"/>
                <w:szCs w:val="16"/>
                <w:lang w:val="en-GB"/>
              </w:rPr>
              <w:t>.</w:t>
            </w:r>
          </w:p>
        </w:tc>
      </w:tr>
      <w:tr w:rsidR="000E3032" w:rsidRPr="003C26C1" w14:paraId="12DEE2C7" w14:textId="77777777" w:rsidTr="006431EC">
        <w:tc>
          <w:tcPr>
            <w:tcW w:w="1097" w:type="pct"/>
            <w:tcBorders>
              <w:top w:val="single" w:sz="4" w:space="0" w:color="auto"/>
              <w:left w:val="single" w:sz="4" w:space="0" w:color="auto"/>
              <w:bottom w:val="single" w:sz="4" w:space="0" w:color="auto"/>
            </w:tcBorders>
            <w:tcMar>
              <w:top w:w="72" w:type="dxa"/>
              <w:left w:w="144" w:type="dxa"/>
              <w:bottom w:w="72" w:type="dxa"/>
              <w:right w:w="144" w:type="dxa"/>
            </w:tcMar>
          </w:tcPr>
          <w:p w14:paraId="79A456E6" w14:textId="2F2AE832" w:rsidR="003E392C" w:rsidRDefault="003E392C" w:rsidP="003E392C">
            <w:pPr>
              <w:rPr>
                <w:b/>
                <w:bCs/>
                <w:sz w:val="16"/>
                <w:szCs w:val="16"/>
                <w:lang w:val="en-GB"/>
              </w:rPr>
            </w:pPr>
            <w:r>
              <w:rPr>
                <w:b/>
                <w:bCs/>
                <w:sz w:val="16"/>
                <w:szCs w:val="16"/>
                <w:lang w:val="en-GB"/>
              </w:rPr>
              <w:t xml:space="preserve">11.5.2: </w:t>
            </w:r>
            <w:r w:rsidRPr="003E392C">
              <w:rPr>
                <w:b/>
                <w:bCs/>
                <w:sz w:val="16"/>
                <w:szCs w:val="16"/>
                <w:lang w:val="en-GB"/>
              </w:rPr>
              <w:t>Direct disaster economic loss in relation to GDP, including disaster damage to critical infrastructure and disruption of basic services</w:t>
            </w:r>
          </w:p>
          <w:p w14:paraId="03A6871C" w14:textId="77777777" w:rsidR="003E392C" w:rsidRPr="001951C1" w:rsidRDefault="003E392C" w:rsidP="003E392C">
            <w:pPr>
              <w:rPr>
                <w:b/>
                <w:color w:val="FF0000"/>
                <w:sz w:val="16"/>
                <w:szCs w:val="16"/>
              </w:rPr>
            </w:pPr>
          </w:p>
          <w:p w14:paraId="2699FCB7" w14:textId="1686663D" w:rsidR="003E392C" w:rsidRPr="001951C1" w:rsidRDefault="003E392C" w:rsidP="003E392C">
            <w:pPr>
              <w:rPr>
                <w:rStyle w:val="formatdata"/>
                <w:bCs/>
                <w:sz w:val="16"/>
                <w:szCs w:val="16"/>
                <w:lang w:val="en-GB"/>
              </w:rPr>
            </w:pPr>
            <w:r w:rsidRPr="001951C1">
              <w:rPr>
                <w:b/>
                <w:bCs/>
                <w:sz w:val="16"/>
                <w:szCs w:val="16"/>
                <w:lang w:val="en-GB"/>
              </w:rPr>
              <w:t>Baseline (201</w:t>
            </w:r>
            <w:r>
              <w:rPr>
                <w:b/>
                <w:bCs/>
                <w:sz w:val="16"/>
                <w:szCs w:val="16"/>
                <w:lang w:val="en-GB"/>
              </w:rPr>
              <w:t>5</w:t>
            </w:r>
            <w:r w:rsidRPr="001951C1">
              <w:rPr>
                <w:b/>
                <w:bCs/>
                <w:sz w:val="16"/>
                <w:szCs w:val="16"/>
                <w:lang w:val="en-GB"/>
              </w:rPr>
              <w:t>)</w:t>
            </w:r>
            <w:r>
              <w:rPr>
                <w:b/>
                <w:bCs/>
                <w:sz w:val="16"/>
                <w:szCs w:val="16"/>
                <w:lang w:val="en-GB"/>
              </w:rPr>
              <w:t xml:space="preserve">: </w:t>
            </w:r>
            <w:r w:rsidR="00CD0BF2" w:rsidRPr="00CD0BF2">
              <w:rPr>
                <w:bCs/>
                <w:sz w:val="16"/>
                <w:szCs w:val="16"/>
                <w:lang w:val="en-GB"/>
              </w:rPr>
              <w:t>0.75% (2006-2015, average)</w:t>
            </w:r>
          </w:p>
          <w:p w14:paraId="6FE50D7F" w14:textId="19BBCEBB" w:rsidR="003E392C" w:rsidRDefault="003E392C" w:rsidP="003E392C">
            <w:pPr>
              <w:rPr>
                <w:bCs/>
                <w:sz w:val="16"/>
                <w:szCs w:val="16"/>
                <w:lang w:val="en-GB"/>
              </w:rPr>
            </w:pPr>
            <w:r w:rsidRPr="001951C1">
              <w:rPr>
                <w:b/>
                <w:bCs/>
                <w:sz w:val="16"/>
                <w:szCs w:val="16"/>
                <w:lang w:val="en-GB"/>
              </w:rPr>
              <w:t>Target:</w:t>
            </w:r>
            <w:r w:rsidR="00CD0BF2">
              <w:rPr>
                <w:b/>
                <w:bCs/>
                <w:sz w:val="16"/>
                <w:szCs w:val="16"/>
                <w:lang w:val="en-GB"/>
              </w:rPr>
              <w:t xml:space="preserve"> </w:t>
            </w:r>
            <w:r w:rsidR="00CD0BF2" w:rsidRPr="00CD0BF2">
              <w:rPr>
                <w:bCs/>
                <w:sz w:val="16"/>
                <w:szCs w:val="16"/>
                <w:lang w:val="en-GB"/>
              </w:rPr>
              <w:t>Under 0.6%</w:t>
            </w:r>
            <w:r w:rsidRPr="001951C1">
              <w:rPr>
                <w:bCs/>
                <w:sz w:val="16"/>
                <w:szCs w:val="16"/>
                <w:lang w:val="en-GB"/>
              </w:rPr>
              <w:t xml:space="preserve"> </w:t>
            </w:r>
            <w:r w:rsidR="00CD0BF2" w:rsidRPr="00CD0BF2">
              <w:rPr>
                <w:bCs/>
                <w:sz w:val="16"/>
                <w:szCs w:val="16"/>
                <w:lang w:val="en-GB"/>
              </w:rPr>
              <w:t>(2012-2021, average)</w:t>
            </w:r>
            <w:r w:rsidR="00FE3CD6">
              <w:rPr>
                <w:bCs/>
                <w:sz w:val="16"/>
                <w:szCs w:val="16"/>
                <w:lang w:val="en-GB"/>
              </w:rPr>
              <w:t>.</w:t>
            </w:r>
          </w:p>
          <w:p w14:paraId="5E06E7AA" w14:textId="77777777" w:rsidR="003E392C" w:rsidRDefault="003E392C" w:rsidP="003E392C">
            <w:pPr>
              <w:rPr>
                <w:bCs/>
                <w:sz w:val="16"/>
                <w:szCs w:val="16"/>
                <w:lang w:val="en-GB"/>
              </w:rPr>
            </w:pPr>
          </w:p>
          <w:p w14:paraId="44295A20" w14:textId="77777777" w:rsidR="003E392C" w:rsidRDefault="003E392C" w:rsidP="003E392C">
            <w:pPr>
              <w:rPr>
                <w:bCs/>
                <w:sz w:val="16"/>
                <w:szCs w:val="16"/>
                <w:lang w:val="en-GB"/>
              </w:rPr>
            </w:pPr>
          </w:p>
          <w:p w14:paraId="338A0514" w14:textId="77777777" w:rsidR="000D79CB" w:rsidRDefault="000D79CB" w:rsidP="003E392C">
            <w:pPr>
              <w:rPr>
                <w:bCs/>
                <w:sz w:val="16"/>
                <w:szCs w:val="16"/>
                <w:lang w:val="en-GB"/>
              </w:rPr>
            </w:pPr>
          </w:p>
          <w:p w14:paraId="50F1A097" w14:textId="77777777" w:rsidR="000D79CB" w:rsidRDefault="000D79CB" w:rsidP="003E392C">
            <w:pPr>
              <w:rPr>
                <w:bCs/>
                <w:sz w:val="16"/>
                <w:szCs w:val="16"/>
                <w:lang w:val="en-GB"/>
              </w:rPr>
            </w:pPr>
          </w:p>
          <w:p w14:paraId="60AA8FE7" w14:textId="77777777" w:rsidR="000D79CB" w:rsidRDefault="000D79CB" w:rsidP="003E392C">
            <w:pPr>
              <w:rPr>
                <w:bCs/>
                <w:sz w:val="16"/>
                <w:szCs w:val="16"/>
                <w:lang w:val="en-GB"/>
              </w:rPr>
            </w:pPr>
          </w:p>
          <w:p w14:paraId="43632C56" w14:textId="1C1A82DC" w:rsidR="003E392C" w:rsidRDefault="003E392C" w:rsidP="003E392C">
            <w:pPr>
              <w:rPr>
                <w:b/>
                <w:bCs/>
                <w:sz w:val="16"/>
                <w:szCs w:val="16"/>
                <w:lang w:val="en-GB"/>
              </w:rPr>
            </w:pPr>
            <w:r w:rsidRPr="003E392C">
              <w:rPr>
                <w:b/>
                <w:bCs/>
                <w:sz w:val="16"/>
                <w:szCs w:val="16"/>
                <w:lang w:val="en-GB"/>
              </w:rPr>
              <w:t>15.1.1: Forest area as a proportion of total land area</w:t>
            </w:r>
          </w:p>
          <w:p w14:paraId="3C664E8E" w14:textId="77777777" w:rsidR="003E392C" w:rsidRDefault="003E392C" w:rsidP="003E392C">
            <w:pPr>
              <w:rPr>
                <w:b/>
                <w:bCs/>
                <w:sz w:val="16"/>
                <w:szCs w:val="16"/>
                <w:lang w:val="en-GB"/>
              </w:rPr>
            </w:pPr>
          </w:p>
          <w:p w14:paraId="3BE08237" w14:textId="199044BF" w:rsidR="003E392C" w:rsidRPr="001951C1" w:rsidRDefault="003E392C" w:rsidP="003E392C">
            <w:pPr>
              <w:rPr>
                <w:rStyle w:val="formatdata"/>
                <w:bCs/>
                <w:sz w:val="16"/>
                <w:szCs w:val="16"/>
                <w:lang w:val="en-GB"/>
              </w:rPr>
            </w:pPr>
            <w:r w:rsidRPr="003E392C">
              <w:rPr>
                <w:b/>
                <w:bCs/>
                <w:sz w:val="16"/>
                <w:szCs w:val="16"/>
                <w:lang w:val="en-GB"/>
              </w:rPr>
              <w:t>Baseline (201</w:t>
            </w:r>
            <w:r>
              <w:rPr>
                <w:b/>
                <w:bCs/>
                <w:sz w:val="16"/>
                <w:szCs w:val="16"/>
                <w:lang w:val="en-GB"/>
              </w:rPr>
              <w:t>3</w:t>
            </w:r>
            <w:r w:rsidRPr="003E392C">
              <w:rPr>
                <w:b/>
                <w:bCs/>
                <w:sz w:val="16"/>
                <w:szCs w:val="16"/>
                <w:lang w:val="en-GB"/>
              </w:rPr>
              <w:t xml:space="preserve">): </w:t>
            </w:r>
            <w:r>
              <w:rPr>
                <w:bCs/>
                <w:sz w:val="16"/>
                <w:szCs w:val="16"/>
                <w:lang w:val="en-GB"/>
              </w:rPr>
              <w:t>40.7</w:t>
            </w:r>
            <w:r w:rsidRPr="003E392C">
              <w:rPr>
                <w:bCs/>
                <w:sz w:val="16"/>
                <w:szCs w:val="16"/>
                <w:lang w:val="en-GB"/>
              </w:rPr>
              <w:t xml:space="preserve">% of </w:t>
            </w:r>
            <w:r>
              <w:rPr>
                <w:bCs/>
                <w:sz w:val="16"/>
                <w:szCs w:val="16"/>
                <w:lang w:val="en-GB"/>
              </w:rPr>
              <w:t xml:space="preserve">total land area </w:t>
            </w:r>
          </w:p>
          <w:p w14:paraId="262DFFBF" w14:textId="6023D648" w:rsidR="002439EB" w:rsidRPr="006431EC" w:rsidRDefault="003E392C" w:rsidP="003E392C">
            <w:pPr>
              <w:rPr>
                <w:bCs/>
                <w:sz w:val="16"/>
                <w:szCs w:val="16"/>
                <w:lang w:val="en-GB"/>
              </w:rPr>
            </w:pPr>
            <w:r w:rsidRPr="001951C1">
              <w:rPr>
                <w:b/>
                <w:bCs/>
                <w:sz w:val="16"/>
                <w:szCs w:val="16"/>
                <w:lang w:val="en-GB"/>
              </w:rPr>
              <w:t>Target:</w:t>
            </w:r>
            <w:r w:rsidRPr="001951C1">
              <w:rPr>
                <w:bCs/>
                <w:sz w:val="16"/>
                <w:szCs w:val="16"/>
                <w:lang w:val="en-GB"/>
              </w:rPr>
              <w:t xml:space="preserve"> </w:t>
            </w:r>
            <w:r>
              <w:rPr>
                <w:bCs/>
                <w:sz w:val="16"/>
                <w:szCs w:val="16"/>
                <w:lang w:val="en-GB"/>
              </w:rPr>
              <w:t>42% of total land area</w:t>
            </w:r>
            <w:r w:rsidR="00FE3CD6">
              <w:rPr>
                <w:bCs/>
                <w:sz w:val="16"/>
                <w:szCs w:val="16"/>
                <w:lang w:val="en-GB"/>
              </w:rPr>
              <w:t>.</w:t>
            </w:r>
          </w:p>
        </w:tc>
        <w:tc>
          <w:tcPr>
            <w:tcW w:w="758" w:type="pct"/>
            <w:tcBorders>
              <w:top w:val="single" w:sz="4" w:space="0" w:color="auto"/>
              <w:bottom w:val="single" w:sz="4" w:space="0" w:color="auto"/>
            </w:tcBorders>
          </w:tcPr>
          <w:p w14:paraId="61950A86" w14:textId="29D02439" w:rsidR="003E392C" w:rsidRDefault="003E392C" w:rsidP="003E392C">
            <w:pPr>
              <w:pStyle w:val="ListParagraph"/>
              <w:numPr>
                <w:ilvl w:val="0"/>
                <w:numId w:val="18"/>
              </w:numPr>
              <w:ind w:left="153" w:hanging="153"/>
              <w:rPr>
                <w:i/>
                <w:iCs/>
                <w:sz w:val="16"/>
                <w:szCs w:val="16"/>
                <w:lang w:val="en-GB"/>
              </w:rPr>
            </w:pPr>
            <w:r w:rsidRPr="001951C1">
              <w:rPr>
                <w:iCs/>
                <w:color w:val="000000"/>
                <w:sz w:val="16"/>
                <w:szCs w:val="16"/>
                <w:lang w:val="en-GB"/>
              </w:rPr>
              <w:t xml:space="preserve">Ministry of </w:t>
            </w:r>
            <w:r>
              <w:rPr>
                <w:iCs/>
                <w:color w:val="000000"/>
                <w:sz w:val="16"/>
                <w:szCs w:val="16"/>
                <w:lang w:val="en-GB"/>
              </w:rPr>
              <w:t xml:space="preserve">Agriculture and Rural Development reporting on </w:t>
            </w:r>
            <w:r w:rsidR="007278FA">
              <w:rPr>
                <w:iCs/>
                <w:color w:val="000000"/>
                <w:sz w:val="16"/>
                <w:szCs w:val="16"/>
                <w:lang w:val="en-GB"/>
              </w:rPr>
              <w:t>loss and damage</w:t>
            </w:r>
            <w:r>
              <w:rPr>
                <w:iCs/>
                <w:color w:val="000000"/>
                <w:sz w:val="16"/>
                <w:szCs w:val="16"/>
                <w:lang w:val="en-GB"/>
              </w:rPr>
              <w:t xml:space="preserve"> </w:t>
            </w:r>
            <w:r w:rsidRPr="001951C1">
              <w:rPr>
                <w:i/>
                <w:iCs/>
                <w:sz w:val="16"/>
                <w:szCs w:val="16"/>
                <w:lang w:val="en-GB"/>
              </w:rPr>
              <w:t>(annual)</w:t>
            </w:r>
          </w:p>
          <w:p w14:paraId="0C9FEBDB" w14:textId="77777777" w:rsidR="000D79CB" w:rsidRPr="000D79CB" w:rsidRDefault="000D79CB" w:rsidP="000D79CB">
            <w:pPr>
              <w:pStyle w:val="ListParagraph"/>
              <w:ind w:left="153"/>
              <w:rPr>
                <w:i/>
                <w:iCs/>
                <w:sz w:val="16"/>
                <w:szCs w:val="16"/>
                <w:lang w:val="en-GB"/>
              </w:rPr>
            </w:pPr>
          </w:p>
          <w:p w14:paraId="0BD64212" w14:textId="09759530" w:rsidR="007278FA" w:rsidRDefault="000D79CB" w:rsidP="007278FA">
            <w:pPr>
              <w:pStyle w:val="ListParagraph"/>
              <w:numPr>
                <w:ilvl w:val="0"/>
                <w:numId w:val="18"/>
              </w:numPr>
              <w:ind w:left="153" w:hanging="153"/>
              <w:rPr>
                <w:i/>
                <w:iCs/>
                <w:sz w:val="16"/>
                <w:szCs w:val="16"/>
                <w:lang w:val="en-GB"/>
              </w:rPr>
            </w:pPr>
            <w:r>
              <w:rPr>
                <w:iCs/>
                <w:sz w:val="16"/>
                <w:szCs w:val="16"/>
                <w:lang w:val="en-GB"/>
              </w:rPr>
              <w:t>General Statistics Office, GDP data</w:t>
            </w:r>
            <w:r w:rsidR="007278FA">
              <w:rPr>
                <w:iCs/>
                <w:color w:val="000000"/>
                <w:sz w:val="16"/>
                <w:szCs w:val="16"/>
                <w:lang w:val="en-GB"/>
              </w:rPr>
              <w:t xml:space="preserve"> </w:t>
            </w:r>
            <w:r w:rsidR="007278FA" w:rsidRPr="001951C1">
              <w:rPr>
                <w:i/>
                <w:iCs/>
                <w:sz w:val="16"/>
                <w:szCs w:val="16"/>
                <w:lang w:val="en-GB"/>
              </w:rPr>
              <w:t>(annual)</w:t>
            </w:r>
          </w:p>
          <w:p w14:paraId="293A3EAE" w14:textId="77777777" w:rsidR="003E392C" w:rsidRDefault="003E392C" w:rsidP="003E392C">
            <w:pPr>
              <w:pStyle w:val="ListParagraph"/>
              <w:ind w:left="153"/>
              <w:rPr>
                <w:i/>
                <w:iCs/>
                <w:sz w:val="16"/>
                <w:szCs w:val="16"/>
                <w:lang w:val="en-GB"/>
              </w:rPr>
            </w:pPr>
          </w:p>
          <w:p w14:paraId="3A835E5F" w14:textId="77777777" w:rsidR="003E392C" w:rsidRDefault="003E392C" w:rsidP="003E392C">
            <w:pPr>
              <w:pStyle w:val="ListParagraph"/>
              <w:ind w:left="153"/>
              <w:rPr>
                <w:i/>
                <w:iCs/>
                <w:sz w:val="16"/>
                <w:szCs w:val="16"/>
                <w:lang w:val="en-GB"/>
              </w:rPr>
            </w:pPr>
          </w:p>
          <w:p w14:paraId="5CC82F16" w14:textId="77777777" w:rsidR="003E392C" w:rsidRDefault="003E392C" w:rsidP="003E392C">
            <w:pPr>
              <w:pStyle w:val="ListParagraph"/>
              <w:ind w:left="153"/>
              <w:rPr>
                <w:i/>
                <w:iCs/>
                <w:sz w:val="16"/>
                <w:szCs w:val="16"/>
                <w:lang w:val="en-GB"/>
              </w:rPr>
            </w:pPr>
          </w:p>
          <w:p w14:paraId="6E27D725" w14:textId="77777777" w:rsidR="000D79CB" w:rsidRDefault="000D79CB" w:rsidP="003E392C">
            <w:pPr>
              <w:pStyle w:val="ListParagraph"/>
              <w:ind w:left="153"/>
              <w:rPr>
                <w:i/>
                <w:iCs/>
                <w:sz w:val="16"/>
                <w:szCs w:val="16"/>
                <w:lang w:val="en-GB"/>
              </w:rPr>
            </w:pPr>
          </w:p>
          <w:p w14:paraId="06C35143" w14:textId="77777777" w:rsidR="003E392C" w:rsidRDefault="003E392C" w:rsidP="003E392C">
            <w:pPr>
              <w:pStyle w:val="ListParagraph"/>
              <w:ind w:left="153"/>
              <w:rPr>
                <w:i/>
                <w:iCs/>
                <w:sz w:val="16"/>
                <w:szCs w:val="16"/>
                <w:lang w:val="en-GB"/>
              </w:rPr>
            </w:pPr>
          </w:p>
          <w:p w14:paraId="01736481" w14:textId="77777777" w:rsidR="003E392C" w:rsidRDefault="003E392C" w:rsidP="003E392C">
            <w:pPr>
              <w:pStyle w:val="ListParagraph"/>
              <w:ind w:left="153"/>
              <w:rPr>
                <w:i/>
                <w:iCs/>
                <w:sz w:val="16"/>
                <w:szCs w:val="16"/>
                <w:lang w:val="en-GB"/>
              </w:rPr>
            </w:pPr>
          </w:p>
          <w:p w14:paraId="0E112AE5" w14:textId="77777777" w:rsidR="003E392C" w:rsidRDefault="003E392C" w:rsidP="003E392C">
            <w:pPr>
              <w:pStyle w:val="ListParagraph"/>
              <w:ind w:left="153"/>
              <w:rPr>
                <w:i/>
                <w:iCs/>
                <w:sz w:val="16"/>
                <w:szCs w:val="16"/>
                <w:lang w:val="en-GB"/>
              </w:rPr>
            </w:pPr>
          </w:p>
          <w:p w14:paraId="574B43D3" w14:textId="23936C45" w:rsidR="00F53D27" w:rsidRPr="006431EC" w:rsidRDefault="003E392C" w:rsidP="003E392C">
            <w:pPr>
              <w:pStyle w:val="ListParagraph"/>
              <w:numPr>
                <w:ilvl w:val="0"/>
                <w:numId w:val="18"/>
              </w:numPr>
              <w:ind w:left="153" w:hanging="153"/>
              <w:rPr>
                <w:i/>
                <w:iCs/>
                <w:sz w:val="16"/>
                <w:szCs w:val="16"/>
                <w:lang w:val="en-GB"/>
              </w:rPr>
            </w:pPr>
            <w:r w:rsidRPr="001951C1">
              <w:rPr>
                <w:iCs/>
                <w:color w:val="000000"/>
                <w:sz w:val="16"/>
                <w:szCs w:val="16"/>
                <w:lang w:val="en-GB"/>
              </w:rPr>
              <w:t xml:space="preserve">Ministry of </w:t>
            </w:r>
            <w:r>
              <w:rPr>
                <w:iCs/>
                <w:color w:val="000000"/>
                <w:sz w:val="16"/>
                <w:szCs w:val="16"/>
                <w:lang w:val="en-GB"/>
              </w:rPr>
              <w:t xml:space="preserve">Agriculture and Rural Development reporting on forest cover </w:t>
            </w:r>
            <w:r w:rsidRPr="001951C1">
              <w:rPr>
                <w:i/>
                <w:iCs/>
                <w:sz w:val="16"/>
                <w:szCs w:val="16"/>
                <w:lang w:val="en-GB"/>
              </w:rPr>
              <w:t>(annual)</w:t>
            </w:r>
          </w:p>
        </w:tc>
        <w:tc>
          <w:tcPr>
            <w:tcW w:w="1377" w:type="pct"/>
            <w:tcBorders>
              <w:top w:val="single" w:sz="4" w:space="0" w:color="auto"/>
              <w:bottom w:val="single" w:sz="4" w:space="0" w:color="auto"/>
            </w:tcBorders>
            <w:tcMar>
              <w:top w:w="72" w:type="dxa"/>
              <w:left w:w="144" w:type="dxa"/>
              <w:bottom w:w="72" w:type="dxa"/>
              <w:right w:w="144" w:type="dxa"/>
            </w:tcMar>
          </w:tcPr>
          <w:p w14:paraId="7D75D22F" w14:textId="4EAA13F9" w:rsidR="008C5999" w:rsidRPr="008C5999" w:rsidRDefault="000E3032" w:rsidP="00F53D27">
            <w:pPr>
              <w:tabs>
                <w:tab w:val="left" w:pos="423"/>
              </w:tabs>
              <w:rPr>
                <w:b/>
                <w:iCs/>
                <w:color w:val="000000"/>
                <w:sz w:val="16"/>
                <w:szCs w:val="16"/>
                <w:lang w:val="en-GB" w:eastAsia="en-GB"/>
              </w:rPr>
            </w:pPr>
            <w:r w:rsidRPr="008C5999">
              <w:rPr>
                <w:b/>
                <w:iCs/>
                <w:color w:val="000000"/>
                <w:sz w:val="16"/>
                <w:szCs w:val="16"/>
                <w:lang w:val="en-GB" w:eastAsia="en-GB"/>
              </w:rPr>
              <w:t xml:space="preserve">2.1: </w:t>
            </w:r>
            <w:r w:rsidR="008C5999" w:rsidRPr="008C5999">
              <w:rPr>
                <w:b/>
                <w:iCs/>
                <w:color w:val="000000"/>
                <w:sz w:val="16"/>
                <w:szCs w:val="16"/>
                <w:lang w:val="en-GB" w:eastAsia="en-GB"/>
              </w:rPr>
              <w:t xml:space="preserve">Reduced </w:t>
            </w:r>
            <w:r w:rsidR="003404EE">
              <w:rPr>
                <w:b/>
                <w:iCs/>
                <w:color w:val="000000"/>
                <w:sz w:val="16"/>
                <w:szCs w:val="16"/>
                <w:lang w:val="en-GB" w:eastAsia="en-GB"/>
              </w:rPr>
              <w:t xml:space="preserve">greenhouse gas </w:t>
            </w:r>
            <w:r w:rsidR="003404EE" w:rsidRPr="008C5999">
              <w:rPr>
                <w:b/>
                <w:iCs/>
                <w:color w:val="000000"/>
                <w:sz w:val="16"/>
                <w:szCs w:val="16"/>
                <w:lang w:val="en-GB" w:eastAsia="en-GB"/>
              </w:rPr>
              <w:t xml:space="preserve"> </w:t>
            </w:r>
            <w:r w:rsidR="008C5999" w:rsidRPr="008C5999">
              <w:rPr>
                <w:b/>
                <w:iCs/>
                <w:color w:val="000000"/>
                <w:sz w:val="16"/>
                <w:szCs w:val="16"/>
                <w:lang w:val="en-GB" w:eastAsia="en-GB"/>
              </w:rPr>
              <w:t xml:space="preserve">emissions </w:t>
            </w:r>
            <w:r w:rsidR="00106A26">
              <w:rPr>
                <w:b/>
                <w:iCs/>
                <w:color w:val="000000"/>
                <w:sz w:val="16"/>
                <w:szCs w:val="16"/>
                <w:lang w:val="en-GB" w:eastAsia="en-GB"/>
              </w:rPr>
              <w:t xml:space="preserve">in </w:t>
            </w:r>
            <w:r w:rsidR="008C5999" w:rsidRPr="008C5999">
              <w:rPr>
                <w:b/>
                <w:iCs/>
                <w:color w:val="000000"/>
                <w:sz w:val="16"/>
                <w:szCs w:val="16"/>
                <w:lang w:val="en-GB" w:eastAsia="en-GB"/>
              </w:rPr>
              <w:t>key sectors and cities </w:t>
            </w:r>
            <w:r w:rsidR="00106A26">
              <w:rPr>
                <w:b/>
                <w:iCs/>
                <w:color w:val="000000"/>
                <w:sz w:val="16"/>
                <w:szCs w:val="16"/>
                <w:lang w:val="en-GB" w:eastAsia="en-GB"/>
              </w:rPr>
              <w:t>through</w:t>
            </w:r>
            <w:r w:rsidR="008C5999" w:rsidRPr="008C5999">
              <w:rPr>
                <w:b/>
                <w:iCs/>
                <w:color w:val="000000"/>
                <w:sz w:val="16"/>
                <w:szCs w:val="16"/>
                <w:lang w:val="en-GB" w:eastAsia="en-GB"/>
              </w:rPr>
              <w:t xml:space="preserve"> low-emission and green development</w:t>
            </w:r>
          </w:p>
          <w:p w14:paraId="2C0D61CB" w14:textId="77777777" w:rsidR="008C5999" w:rsidRPr="008C5999" w:rsidRDefault="008C5999" w:rsidP="00F53D27">
            <w:pPr>
              <w:rPr>
                <w:iCs/>
                <w:color w:val="000000"/>
                <w:sz w:val="16"/>
                <w:szCs w:val="16"/>
                <w:lang w:val="en-GB" w:eastAsia="en-GB"/>
              </w:rPr>
            </w:pPr>
          </w:p>
          <w:p w14:paraId="186D6105" w14:textId="7A2DD966" w:rsidR="000E3032" w:rsidRPr="008C5999" w:rsidRDefault="003404EE" w:rsidP="00F53D27">
            <w:pPr>
              <w:rPr>
                <w:iCs/>
                <w:color w:val="000000"/>
                <w:sz w:val="16"/>
                <w:szCs w:val="16"/>
                <w:lang w:val="en-GB" w:eastAsia="en-GB"/>
              </w:rPr>
            </w:pPr>
            <w:r>
              <w:rPr>
                <w:b/>
                <w:iCs/>
                <w:color w:val="000000"/>
                <w:sz w:val="16"/>
                <w:szCs w:val="16"/>
                <w:lang w:val="en-GB" w:eastAsia="en-GB"/>
              </w:rPr>
              <w:t xml:space="preserve">Number of tons of </w:t>
            </w:r>
            <w:r w:rsidR="000E3032" w:rsidRPr="008C5999">
              <w:rPr>
                <w:iCs/>
                <w:color w:val="000000"/>
                <w:sz w:val="16"/>
                <w:szCs w:val="16"/>
                <w:lang w:val="en-GB" w:eastAsia="en-GB"/>
              </w:rPr>
              <w:t>CO</w:t>
            </w:r>
            <w:r w:rsidR="000E3032" w:rsidRPr="008C5999">
              <w:rPr>
                <w:iCs/>
                <w:color w:val="000000"/>
                <w:sz w:val="16"/>
                <w:szCs w:val="16"/>
                <w:vertAlign w:val="subscript"/>
                <w:lang w:val="en-GB" w:eastAsia="en-GB"/>
              </w:rPr>
              <w:t>2</w:t>
            </w:r>
            <w:r>
              <w:rPr>
                <w:iCs/>
                <w:color w:val="000000"/>
                <w:sz w:val="16"/>
                <w:szCs w:val="16"/>
                <w:vertAlign w:val="subscript"/>
                <w:lang w:val="en-GB" w:eastAsia="en-GB"/>
              </w:rPr>
              <w:t xml:space="preserve"> </w:t>
            </w:r>
            <w:r w:rsidR="000E3032" w:rsidRPr="008C5999">
              <w:rPr>
                <w:iCs/>
                <w:color w:val="000000"/>
                <w:sz w:val="16"/>
                <w:szCs w:val="16"/>
                <w:lang w:val="en-GB" w:eastAsia="en-GB"/>
              </w:rPr>
              <w:t>e</w:t>
            </w:r>
            <w:r>
              <w:rPr>
                <w:iCs/>
                <w:color w:val="000000"/>
                <w:sz w:val="16"/>
                <w:szCs w:val="16"/>
                <w:lang w:val="en-GB" w:eastAsia="en-GB"/>
              </w:rPr>
              <w:t xml:space="preserve">quivalent </w:t>
            </w:r>
            <w:r w:rsidR="000E3032" w:rsidRPr="008C5999">
              <w:rPr>
                <w:iCs/>
                <w:color w:val="000000"/>
                <w:sz w:val="16"/>
                <w:szCs w:val="16"/>
                <w:lang w:val="en-GB" w:eastAsia="en-GB"/>
              </w:rPr>
              <w:t xml:space="preserve"> reduction from UNDP</w:t>
            </w:r>
            <w:r w:rsidR="00106A26">
              <w:rPr>
                <w:iCs/>
                <w:color w:val="000000"/>
                <w:sz w:val="16"/>
                <w:szCs w:val="16"/>
                <w:lang w:val="en-GB" w:eastAsia="en-GB"/>
              </w:rPr>
              <w:t>-assisted</w:t>
            </w:r>
            <w:r w:rsidR="000E3032" w:rsidRPr="008C5999">
              <w:rPr>
                <w:iCs/>
                <w:color w:val="000000"/>
                <w:sz w:val="16"/>
                <w:szCs w:val="16"/>
                <w:lang w:val="en-GB" w:eastAsia="en-GB"/>
              </w:rPr>
              <w:t xml:space="preserve"> </w:t>
            </w:r>
            <w:r w:rsidR="00106A26">
              <w:rPr>
                <w:iCs/>
                <w:color w:val="000000"/>
                <w:sz w:val="16"/>
                <w:szCs w:val="16"/>
                <w:lang w:val="en-GB" w:eastAsia="en-GB"/>
              </w:rPr>
              <w:t xml:space="preserve">expansion of </w:t>
            </w:r>
            <w:r w:rsidR="000E3032" w:rsidRPr="008C5999">
              <w:rPr>
                <w:iCs/>
                <w:color w:val="000000"/>
                <w:sz w:val="16"/>
                <w:szCs w:val="16"/>
                <w:lang w:val="en-GB" w:eastAsia="en-GB"/>
              </w:rPr>
              <w:t>renewable energy access and energy efficiency</w:t>
            </w:r>
          </w:p>
          <w:p w14:paraId="372FC01A" w14:textId="7601C538" w:rsidR="000E3032" w:rsidRPr="008C5999" w:rsidRDefault="000E3032" w:rsidP="00F53D27">
            <w:pPr>
              <w:rPr>
                <w:iCs/>
                <w:color w:val="000000"/>
                <w:sz w:val="16"/>
                <w:szCs w:val="16"/>
                <w:lang w:val="en-GB" w:eastAsia="en-GB"/>
              </w:rPr>
            </w:pPr>
            <w:r w:rsidRPr="008C5999">
              <w:rPr>
                <w:b/>
                <w:iCs/>
                <w:color w:val="000000"/>
                <w:sz w:val="16"/>
                <w:szCs w:val="16"/>
                <w:lang w:val="en-GB" w:eastAsia="en-GB"/>
              </w:rPr>
              <w:t>Baseline (201</w:t>
            </w:r>
            <w:r w:rsidR="00106A26">
              <w:rPr>
                <w:b/>
                <w:iCs/>
                <w:color w:val="000000"/>
                <w:sz w:val="16"/>
                <w:szCs w:val="16"/>
                <w:lang w:val="en-GB" w:eastAsia="en-GB"/>
              </w:rPr>
              <w:t>6</w:t>
            </w:r>
            <w:r w:rsidRPr="008C5999">
              <w:rPr>
                <w:b/>
                <w:iCs/>
                <w:color w:val="000000"/>
                <w:sz w:val="16"/>
                <w:szCs w:val="16"/>
                <w:lang w:val="en-GB" w:eastAsia="en-GB"/>
              </w:rPr>
              <w:t>):</w:t>
            </w:r>
            <w:r w:rsidRPr="008C5999">
              <w:rPr>
                <w:iCs/>
                <w:color w:val="000000"/>
                <w:sz w:val="16"/>
                <w:szCs w:val="16"/>
                <w:lang w:val="en-GB" w:eastAsia="en-GB"/>
              </w:rPr>
              <w:t xml:space="preserve"> </w:t>
            </w:r>
            <w:r w:rsidR="00106A26">
              <w:rPr>
                <w:iCs/>
                <w:color w:val="000000"/>
                <w:sz w:val="16"/>
                <w:szCs w:val="16"/>
                <w:lang w:val="en-GB" w:eastAsia="en-GB"/>
              </w:rPr>
              <w:t>0</w:t>
            </w:r>
          </w:p>
          <w:p w14:paraId="3DE983A1" w14:textId="142D7E31" w:rsidR="000E3032" w:rsidRPr="008C5999" w:rsidRDefault="000E3032" w:rsidP="00F53D27">
            <w:pPr>
              <w:rPr>
                <w:iCs/>
                <w:sz w:val="16"/>
                <w:szCs w:val="16"/>
                <w:lang w:val="en-GB" w:eastAsia="en-GB"/>
              </w:rPr>
            </w:pPr>
            <w:r w:rsidRPr="008C5999">
              <w:rPr>
                <w:b/>
                <w:iCs/>
                <w:color w:val="000000"/>
                <w:sz w:val="16"/>
                <w:szCs w:val="16"/>
                <w:lang w:val="en-GB" w:eastAsia="en-GB"/>
              </w:rPr>
              <w:t>Target:</w:t>
            </w:r>
            <w:r w:rsidR="005A5FAF">
              <w:rPr>
                <w:b/>
                <w:iCs/>
                <w:color w:val="000000"/>
                <w:sz w:val="16"/>
                <w:szCs w:val="16"/>
                <w:lang w:val="en-GB" w:eastAsia="en-GB"/>
              </w:rPr>
              <w:t xml:space="preserve"> </w:t>
            </w:r>
            <w:r w:rsidRPr="008C5999">
              <w:rPr>
                <w:iCs/>
                <w:sz w:val="16"/>
                <w:szCs w:val="16"/>
                <w:lang w:val="en-GB" w:eastAsia="en-GB"/>
              </w:rPr>
              <w:t>2</w:t>
            </w:r>
            <w:r w:rsidR="003404EE">
              <w:rPr>
                <w:iCs/>
                <w:sz w:val="16"/>
                <w:szCs w:val="16"/>
                <w:lang w:val="en-GB" w:eastAsia="en-GB"/>
              </w:rPr>
              <w:t xml:space="preserve"> </w:t>
            </w:r>
            <w:r w:rsidRPr="008C5999">
              <w:rPr>
                <w:iCs/>
                <w:sz w:val="16"/>
                <w:szCs w:val="16"/>
                <w:lang w:val="en-GB" w:eastAsia="en-GB"/>
              </w:rPr>
              <w:t>m</w:t>
            </w:r>
            <w:r w:rsidR="003404EE">
              <w:rPr>
                <w:iCs/>
                <w:sz w:val="16"/>
                <w:szCs w:val="16"/>
                <w:lang w:val="en-GB" w:eastAsia="en-GB"/>
              </w:rPr>
              <w:t xml:space="preserve">etric </w:t>
            </w:r>
            <w:r w:rsidRPr="008C5999">
              <w:rPr>
                <w:iCs/>
                <w:sz w:val="16"/>
                <w:szCs w:val="16"/>
                <w:lang w:val="en-GB" w:eastAsia="en-GB"/>
              </w:rPr>
              <w:t xml:space="preserve"> t</w:t>
            </w:r>
            <w:r w:rsidR="003404EE">
              <w:rPr>
                <w:iCs/>
                <w:sz w:val="16"/>
                <w:szCs w:val="16"/>
                <w:lang w:val="en-GB" w:eastAsia="en-GB"/>
              </w:rPr>
              <w:t xml:space="preserve">ons </w:t>
            </w:r>
            <w:r w:rsidRPr="008C5999">
              <w:rPr>
                <w:iCs/>
                <w:sz w:val="16"/>
                <w:szCs w:val="16"/>
                <w:lang w:val="en-GB" w:eastAsia="en-GB"/>
              </w:rPr>
              <w:t>CO</w:t>
            </w:r>
            <w:r w:rsidRPr="008C5999">
              <w:rPr>
                <w:iCs/>
                <w:sz w:val="16"/>
                <w:szCs w:val="16"/>
                <w:vertAlign w:val="subscript"/>
                <w:lang w:val="en-GB" w:eastAsia="en-GB"/>
              </w:rPr>
              <w:t>2</w:t>
            </w:r>
            <w:r w:rsidR="003404EE">
              <w:rPr>
                <w:iCs/>
                <w:sz w:val="16"/>
                <w:szCs w:val="16"/>
                <w:vertAlign w:val="subscript"/>
                <w:lang w:val="en-GB" w:eastAsia="en-GB"/>
              </w:rPr>
              <w:t xml:space="preserve"> </w:t>
            </w:r>
            <w:r w:rsidRPr="008C5999">
              <w:rPr>
                <w:iCs/>
                <w:sz w:val="16"/>
                <w:szCs w:val="16"/>
                <w:lang w:val="en-GB" w:eastAsia="en-GB"/>
              </w:rPr>
              <w:t>e</w:t>
            </w:r>
            <w:r w:rsidR="003404EE">
              <w:rPr>
                <w:iCs/>
                <w:sz w:val="16"/>
                <w:szCs w:val="16"/>
                <w:lang w:val="en-GB" w:eastAsia="en-GB"/>
              </w:rPr>
              <w:t>quivalent</w:t>
            </w:r>
            <w:r w:rsidRPr="008C5999">
              <w:rPr>
                <w:iCs/>
                <w:sz w:val="16"/>
                <w:szCs w:val="16"/>
                <w:lang w:val="en-GB" w:eastAsia="en-GB"/>
              </w:rPr>
              <w:t xml:space="preserve"> reduction</w:t>
            </w:r>
            <w:r w:rsidR="00106A26">
              <w:rPr>
                <w:iCs/>
                <w:sz w:val="16"/>
                <w:szCs w:val="16"/>
                <w:lang w:val="en-GB" w:eastAsia="en-GB"/>
              </w:rPr>
              <w:t xml:space="preserve"> (aggregate reductions from UNDP interventions)</w:t>
            </w:r>
          </w:p>
          <w:p w14:paraId="426B9DB1" w14:textId="6BBF70B7" w:rsidR="000E3032" w:rsidRPr="00DC4048" w:rsidRDefault="000E3032" w:rsidP="00F53D27">
            <w:pPr>
              <w:rPr>
                <w:iCs/>
                <w:color w:val="000000"/>
                <w:sz w:val="16"/>
                <w:szCs w:val="16"/>
                <w:lang w:val="en-GB" w:eastAsia="en-GB"/>
              </w:rPr>
            </w:pPr>
            <w:r w:rsidRPr="008C5999">
              <w:rPr>
                <w:b/>
                <w:iCs/>
                <w:color w:val="000000"/>
                <w:sz w:val="16"/>
                <w:szCs w:val="16"/>
                <w:lang w:val="en-GB" w:eastAsia="en-GB"/>
              </w:rPr>
              <w:t>Source:</w:t>
            </w:r>
            <w:r w:rsidR="00ED4F39">
              <w:rPr>
                <w:b/>
                <w:iCs/>
                <w:color w:val="000000"/>
                <w:sz w:val="16"/>
                <w:szCs w:val="16"/>
                <w:lang w:val="en-GB" w:eastAsia="en-GB"/>
              </w:rPr>
              <w:t xml:space="preserve"> </w:t>
            </w:r>
            <w:r w:rsidR="00106A26" w:rsidRPr="00DA12AE">
              <w:rPr>
                <w:iCs/>
                <w:color w:val="000000"/>
                <w:sz w:val="16"/>
                <w:szCs w:val="16"/>
                <w:lang w:val="en-GB" w:eastAsia="en-GB"/>
              </w:rPr>
              <w:t>Independent evaluation</w:t>
            </w:r>
            <w:r w:rsidR="00106A26">
              <w:rPr>
                <w:iCs/>
                <w:color w:val="000000"/>
                <w:sz w:val="16"/>
                <w:szCs w:val="16"/>
                <w:lang w:val="en-GB" w:eastAsia="en-GB"/>
              </w:rPr>
              <w:t>s</w:t>
            </w:r>
            <w:r w:rsidR="00106A26" w:rsidRPr="00DA12AE">
              <w:rPr>
                <w:iCs/>
                <w:color w:val="000000"/>
                <w:sz w:val="16"/>
                <w:szCs w:val="16"/>
                <w:lang w:val="en-GB" w:eastAsia="en-GB"/>
              </w:rPr>
              <w:t xml:space="preserve"> and project reports</w:t>
            </w:r>
            <w:r w:rsidR="00741806">
              <w:rPr>
                <w:iCs/>
                <w:color w:val="000000"/>
                <w:sz w:val="16"/>
                <w:szCs w:val="16"/>
                <w:lang w:val="en-GB" w:eastAsia="en-GB"/>
              </w:rPr>
              <w:t>.</w:t>
            </w:r>
          </w:p>
          <w:p w14:paraId="358D5FDA" w14:textId="77777777" w:rsidR="000E3032" w:rsidRDefault="000E3032" w:rsidP="00F53D27">
            <w:pPr>
              <w:rPr>
                <w:iCs/>
                <w:color w:val="000000"/>
                <w:sz w:val="16"/>
                <w:szCs w:val="16"/>
                <w:lang w:val="en-GB" w:eastAsia="en-GB"/>
              </w:rPr>
            </w:pPr>
          </w:p>
          <w:p w14:paraId="536C52EF" w14:textId="77777777" w:rsidR="000E3032" w:rsidRDefault="000E3032" w:rsidP="00F53D27">
            <w:pPr>
              <w:rPr>
                <w:b/>
                <w:iCs/>
                <w:color w:val="000000"/>
                <w:sz w:val="16"/>
                <w:szCs w:val="16"/>
                <w:lang w:val="en-GB" w:eastAsia="en-GB"/>
              </w:rPr>
            </w:pPr>
          </w:p>
          <w:p w14:paraId="011A170C" w14:textId="5D29BA9D" w:rsidR="00E30A31" w:rsidRDefault="000E3032" w:rsidP="00F53D27">
            <w:pPr>
              <w:rPr>
                <w:b/>
                <w:iCs/>
                <w:color w:val="000000"/>
                <w:sz w:val="16"/>
                <w:szCs w:val="16"/>
                <w:lang w:val="en-GB" w:eastAsia="en-GB"/>
              </w:rPr>
            </w:pPr>
            <w:r w:rsidRPr="00E30A31">
              <w:rPr>
                <w:b/>
                <w:iCs/>
                <w:color w:val="000000"/>
                <w:sz w:val="16"/>
                <w:szCs w:val="16"/>
                <w:lang w:val="en-GB" w:eastAsia="en-GB"/>
              </w:rPr>
              <w:t xml:space="preserve">2.2 </w:t>
            </w:r>
            <w:r w:rsidR="00E30A31" w:rsidRPr="00E30A31">
              <w:rPr>
                <w:b/>
                <w:bCs/>
                <w:color w:val="000000"/>
                <w:sz w:val="16"/>
                <w:szCs w:val="16"/>
              </w:rPr>
              <w:t xml:space="preserve">Adaptation and resilience of vulnerable communities to climate change and disasters increased through </w:t>
            </w:r>
            <w:r w:rsidR="00700FE5">
              <w:rPr>
                <w:b/>
                <w:bCs/>
                <w:color w:val="000000"/>
                <w:sz w:val="16"/>
                <w:szCs w:val="16"/>
              </w:rPr>
              <w:t xml:space="preserve">UNDP-assisted </w:t>
            </w:r>
            <w:r w:rsidR="00E30A31" w:rsidRPr="00E30A31">
              <w:rPr>
                <w:b/>
                <w:bCs/>
                <w:color w:val="000000"/>
                <w:sz w:val="16"/>
                <w:szCs w:val="16"/>
              </w:rPr>
              <w:t xml:space="preserve">scale up </w:t>
            </w:r>
            <w:r w:rsidR="00700FE5">
              <w:rPr>
                <w:b/>
                <w:bCs/>
                <w:color w:val="000000"/>
                <w:sz w:val="16"/>
                <w:szCs w:val="16"/>
              </w:rPr>
              <w:t xml:space="preserve">of </w:t>
            </w:r>
            <w:r w:rsidR="00E30A31" w:rsidRPr="00E30A31">
              <w:rPr>
                <w:b/>
                <w:bCs/>
                <w:color w:val="000000"/>
                <w:sz w:val="16"/>
                <w:szCs w:val="16"/>
              </w:rPr>
              <w:t>community actions</w:t>
            </w:r>
          </w:p>
          <w:p w14:paraId="60F2CA46" w14:textId="77777777" w:rsidR="00E30A31" w:rsidRPr="00901E03" w:rsidRDefault="00E30A31" w:rsidP="00F53D27">
            <w:pPr>
              <w:rPr>
                <w:b/>
                <w:iCs/>
                <w:color w:val="000000"/>
                <w:sz w:val="16"/>
                <w:szCs w:val="16"/>
                <w:lang w:val="en-GB" w:eastAsia="en-GB"/>
              </w:rPr>
            </w:pPr>
          </w:p>
          <w:p w14:paraId="5D46D1FF" w14:textId="3E4AE89F" w:rsidR="000E3032" w:rsidRDefault="003404EE" w:rsidP="00F53D27">
            <w:pPr>
              <w:rPr>
                <w:iCs/>
                <w:color w:val="000000"/>
                <w:sz w:val="16"/>
                <w:szCs w:val="16"/>
                <w:lang w:val="en-GB" w:eastAsia="en-GB"/>
              </w:rPr>
            </w:pPr>
            <w:r>
              <w:rPr>
                <w:iCs/>
                <w:color w:val="000000"/>
                <w:sz w:val="16"/>
                <w:szCs w:val="16"/>
                <w:lang w:val="en-GB" w:eastAsia="en-GB"/>
              </w:rPr>
              <w:t>Number</w:t>
            </w:r>
            <w:r w:rsidRPr="00E30A31">
              <w:rPr>
                <w:iCs/>
                <w:color w:val="000000"/>
                <w:sz w:val="16"/>
                <w:szCs w:val="16"/>
                <w:lang w:val="en-GB" w:eastAsia="en-GB"/>
              </w:rPr>
              <w:t xml:space="preserve"> </w:t>
            </w:r>
            <w:r w:rsidR="000E3032" w:rsidRPr="00E30A31">
              <w:rPr>
                <w:iCs/>
                <w:color w:val="000000"/>
                <w:sz w:val="16"/>
                <w:szCs w:val="16"/>
                <w:lang w:val="en-GB" w:eastAsia="en-GB"/>
              </w:rPr>
              <w:t>of poor</w:t>
            </w:r>
            <w:r w:rsidR="00700FE5">
              <w:rPr>
                <w:iCs/>
                <w:color w:val="000000"/>
                <w:sz w:val="16"/>
                <w:szCs w:val="16"/>
                <w:lang w:val="en-GB" w:eastAsia="en-GB"/>
              </w:rPr>
              <w:t>/</w:t>
            </w:r>
            <w:r w:rsidR="000E3032" w:rsidRPr="00E30A31">
              <w:rPr>
                <w:iCs/>
                <w:color w:val="000000"/>
                <w:sz w:val="16"/>
                <w:szCs w:val="16"/>
                <w:lang w:val="en-GB" w:eastAsia="en-GB"/>
              </w:rPr>
              <w:t xml:space="preserve">vulnerable </w:t>
            </w:r>
            <w:r w:rsidR="00741806">
              <w:rPr>
                <w:iCs/>
                <w:color w:val="000000"/>
                <w:sz w:val="16"/>
                <w:szCs w:val="16"/>
                <w:lang w:val="en-GB" w:eastAsia="en-GB"/>
              </w:rPr>
              <w:t xml:space="preserve">women and men </w:t>
            </w:r>
            <w:r w:rsidR="000E3032" w:rsidRPr="00E30A31">
              <w:rPr>
                <w:iCs/>
                <w:color w:val="000000"/>
                <w:sz w:val="16"/>
                <w:szCs w:val="16"/>
                <w:lang w:val="en-GB" w:eastAsia="en-GB"/>
              </w:rPr>
              <w:t>gaining access to enhanced climate-resilient housing and infrastructure</w:t>
            </w:r>
          </w:p>
          <w:p w14:paraId="00F2FE87" w14:textId="3406CB9B" w:rsidR="000E3032" w:rsidRPr="00835D7E" w:rsidRDefault="000E3032" w:rsidP="00F53D27">
            <w:pPr>
              <w:rPr>
                <w:iCs/>
                <w:color w:val="000000"/>
                <w:sz w:val="16"/>
                <w:szCs w:val="16"/>
                <w:lang w:val="en-GB" w:eastAsia="en-GB"/>
              </w:rPr>
            </w:pPr>
            <w:r w:rsidRPr="00FB5E3A">
              <w:rPr>
                <w:b/>
                <w:iCs/>
                <w:color w:val="000000"/>
                <w:sz w:val="16"/>
                <w:szCs w:val="16"/>
                <w:lang w:val="en-GB" w:eastAsia="en-GB"/>
              </w:rPr>
              <w:t>Baseline</w:t>
            </w:r>
            <w:r>
              <w:rPr>
                <w:b/>
                <w:iCs/>
                <w:color w:val="000000"/>
                <w:sz w:val="16"/>
                <w:szCs w:val="16"/>
                <w:lang w:val="en-GB" w:eastAsia="en-GB"/>
              </w:rPr>
              <w:t xml:space="preserve"> (2015</w:t>
            </w:r>
            <w:r w:rsidRPr="0097539C">
              <w:rPr>
                <w:b/>
                <w:iCs/>
                <w:color w:val="000000"/>
                <w:sz w:val="16"/>
                <w:szCs w:val="16"/>
                <w:lang w:val="en-GB" w:eastAsia="en-GB"/>
              </w:rPr>
              <w:t>)</w:t>
            </w:r>
            <w:r w:rsidRPr="000E39B4">
              <w:rPr>
                <w:b/>
                <w:iCs/>
                <w:color w:val="000000"/>
                <w:sz w:val="16"/>
                <w:szCs w:val="16"/>
                <w:lang w:val="en-GB" w:eastAsia="en-GB"/>
              </w:rPr>
              <w:t>:</w:t>
            </w:r>
            <w:r w:rsidR="00700FE5">
              <w:rPr>
                <w:b/>
                <w:iCs/>
                <w:color w:val="000000"/>
                <w:sz w:val="16"/>
                <w:szCs w:val="16"/>
                <w:lang w:val="en-GB" w:eastAsia="en-GB"/>
              </w:rPr>
              <w:t xml:space="preserve"> </w:t>
            </w:r>
            <w:r w:rsidR="00741806" w:rsidRPr="00741806">
              <w:rPr>
                <w:iCs/>
                <w:color w:val="000000"/>
                <w:sz w:val="16"/>
                <w:szCs w:val="16"/>
                <w:lang w:val="en-GB" w:eastAsia="en-GB"/>
              </w:rPr>
              <w:t>4</w:t>
            </w:r>
            <w:r w:rsidR="00741806">
              <w:rPr>
                <w:iCs/>
                <w:color w:val="000000"/>
                <w:sz w:val="16"/>
                <w:szCs w:val="16"/>
                <w:lang w:val="en-GB" w:eastAsia="en-GB"/>
              </w:rPr>
              <w:t>,</w:t>
            </w:r>
            <w:r w:rsidR="00741806" w:rsidRPr="00741806">
              <w:rPr>
                <w:iCs/>
                <w:color w:val="000000"/>
                <w:sz w:val="16"/>
                <w:szCs w:val="16"/>
                <w:lang w:val="en-GB" w:eastAsia="en-GB"/>
              </w:rPr>
              <w:t>080</w:t>
            </w:r>
            <w:r w:rsidR="003404EE">
              <w:rPr>
                <w:iCs/>
                <w:color w:val="000000"/>
                <w:sz w:val="16"/>
                <w:szCs w:val="16"/>
                <w:lang w:val="en-GB" w:eastAsia="en-GB"/>
              </w:rPr>
              <w:t xml:space="preserve"> women</w:t>
            </w:r>
            <w:r w:rsidR="00741806" w:rsidRPr="00741806">
              <w:rPr>
                <w:iCs/>
                <w:color w:val="000000"/>
                <w:sz w:val="16"/>
                <w:szCs w:val="16"/>
                <w:lang w:val="en-GB" w:eastAsia="en-GB"/>
              </w:rPr>
              <w:t>/3</w:t>
            </w:r>
            <w:r w:rsidR="00741806">
              <w:rPr>
                <w:iCs/>
                <w:color w:val="000000"/>
                <w:sz w:val="16"/>
                <w:szCs w:val="16"/>
                <w:lang w:val="en-GB" w:eastAsia="en-GB"/>
              </w:rPr>
              <w:t>,</w:t>
            </w:r>
            <w:r w:rsidR="00741806" w:rsidRPr="00741806">
              <w:rPr>
                <w:iCs/>
                <w:color w:val="000000"/>
                <w:sz w:val="16"/>
                <w:szCs w:val="16"/>
                <w:lang w:val="en-GB" w:eastAsia="en-GB"/>
              </w:rPr>
              <w:t>920</w:t>
            </w:r>
            <w:r w:rsidR="003404EE">
              <w:rPr>
                <w:iCs/>
                <w:color w:val="000000"/>
                <w:sz w:val="16"/>
                <w:szCs w:val="16"/>
                <w:lang w:val="en-GB" w:eastAsia="en-GB"/>
              </w:rPr>
              <w:t xml:space="preserve"> men</w:t>
            </w:r>
          </w:p>
          <w:p w14:paraId="051B412F" w14:textId="1C8B7825" w:rsidR="000E3032" w:rsidRPr="00573A94" w:rsidRDefault="000E3032" w:rsidP="00F53D27">
            <w:pPr>
              <w:rPr>
                <w:iCs/>
                <w:color w:val="000000"/>
                <w:sz w:val="16"/>
                <w:szCs w:val="16"/>
                <w:lang w:val="en-GB" w:eastAsia="en-GB"/>
              </w:rPr>
            </w:pPr>
            <w:r w:rsidRPr="00901E03">
              <w:rPr>
                <w:b/>
                <w:iCs/>
                <w:color w:val="000000"/>
                <w:sz w:val="16"/>
                <w:szCs w:val="16"/>
                <w:lang w:val="en-GB" w:eastAsia="en-GB"/>
              </w:rPr>
              <w:t>Target:</w:t>
            </w:r>
            <w:r w:rsidR="001F634D">
              <w:rPr>
                <w:b/>
                <w:iCs/>
                <w:color w:val="000000"/>
                <w:sz w:val="16"/>
                <w:szCs w:val="16"/>
                <w:lang w:val="en-GB" w:eastAsia="en-GB"/>
              </w:rPr>
              <w:t xml:space="preserve"> </w:t>
            </w:r>
            <w:r w:rsidR="00741806" w:rsidRPr="00741806">
              <w:rPr>
                <w:iCs/>
                <w:color w:val="000000"/>
                <w:sz w:val="16"/>
                <w:szCs w:val="16"/>
                <w:lang w:val="en-GB" w:eastAsia="en-GB"/>
              </w:rPr>
              <w:t>15</w:t>
            </w:r>
            <w:r w:rsidR="00741806">
              <w:rPr>
                <w:iCs/>
                <w:color w:val="000000"/>
                <w:sz w:val="16"/>
                <w:szCs w:val="16"/>
                <w:lang w:val="en-GB" w:eastAsia="en-GB"/>
              </w:rPr>
              <w:t>,</w:t>
            </w:r>
            <w:r w:rsidR="00741806" w:rsidRPr="00741806">
              <w:rPr>
                <w:iCs/>
                <w:color w:val="000000"/>
                <w:sz w:val="16"/>
                <w:szCs w:val="16"/>
                <w:lang w:val="en-GB" w:eastAsia="en-GB"/>
              </w:rPr>
              <w:t>300</w:t>
            </w:r>
            <w:r w:rsidR="003404EE">
              <w:rPr>
                <w:iCs/>
                <w:color w:val="000000"/>
                <w:sz w:val="16"/>
                <w:szCs w:val="16"/>
                <w:lang w:val="en-GB" w:eastAsia="en-GB"/>
              </w:rPr>
              <w:t xml:space="preserve"> women</w:t>
            </w:r>
            <w:r w:rsidR="00741806" w:rsidRPr="00741806">
              <w:rPr>
                <w:iCs/>
                <w:color w:val="000000"/>
                <w:sz w:val="16"/>
                <w:szCs w:val="16"/>
                <w:lang w:val="en-GB" w:eastAsia="en-GB"/>
              </w:rPr>
              <w:t>/14</w:t>
            </w:r>
            <w:r w:rsidR="00741806">
              <w:rPr>
                <w:iCs/>
                <w:color w:val="000000"/>
                <w:sz w:val="16"/>
                <w:szCs w:val="16"/>
                <w:lang w:val="en-GB" w:eastAsia="en-GB"/>
              </w:rPr>
              <w:t>,</w:t>
            </w:r>
            <w:r w:rsidR="003404EE" w:rsidRPr="00741806">
              <w:rPr>
                <w:iCs/>
                <w:color w:val="000000"/>
                <w:sz w:val="16"/>
                <w:szCs w:val="16"/>
                <w:lang w:val="en-GB" w:eastAsia="en-GB"/>
              </w:rPr>
              <w:t>700</w:t>
            </w:r>
            <w:r w:rsidR="003404EE">
              <w:rPr>
                <w:iCs/>
                <w:color w:val="000000"/>
                <w:sz w:val="16"/>
                <w:szCs w:val="16"/>
                <w:lang w:val="en-GB" w:eastAsia="en-GB"/>
              </w:rPr>
              <w:t xml:space="preserve"> men</w:t>
            </w:r>
            <w:r w:rsidR="003404EE">
              <w:rPr>
                <w:b/>
                <w:iCs/>
                <w:color w:val="000000"/>
                <w:sz w:val="16"/>
                <w:szCs w:val="16"/>
                <w:lang w:val="en-GB" w:eastAsia="en-GB"/>
              </w:rPr>
              <w:t xml:space="preserve"> </w:t>
            </w:r>
            <w:r w:rsidR="00700FE5">
              <w:rPr>
                <w:iCs/>
                <w:color w:val="000000"/>
                <w:sz w:val="16"/>
                <w:szCs w:val="16"/>
                <w:lang w:val="en-GB" w:eastAsia="en-GB"/>
              </w:rPr>
              <w:t xml:space="preserve">(aggregate from UNDP interventions in </w:t>
            </w:r>
            <w:r w:rsidR="0077361A">
              <w:rPr>
                <w:iCs/>
                <w:color w:val="000000"/>
                <w:sz w:val="16"/>
                <w:szCs w:val="16"/>
                <w:lang w:val="en-GB" w:eastAsia="en-GB"/>
              </w:rPr>
              <w:t>climate change adaptation</w:t>
            </w:r>
            <w:r w:rsidR="00741806">
              <w:rPr>
                <w:iCs/>
                <w:color w:val="000000"/>
                <w:sz w:val="16"/>
                <w:szCs w:val="16"/>
                <w:lang w:val="en-GB" w:eastAsia="en-GB"/>
              </w:rPr>
              <w:t>/</w:t>
            </w:r>
            <w:r w:rsidR="0077361A">
              <w:rPr>
                <w:iCs/>
                <w:color w:val="000000"/>
                <w:sz w:val="16"/>
                <w:szCs w:val="16"/>
                <w:lang w:val="en-GB" w:eastAsia="en-GB"/>
              </w:rPr>
              <w:t>disaster risk reduction</w:t>
            </w:r>
          </w:p>
          <w:p w14:paraId="01A06E23" w14:textId="365FF497" w:rsidR="000E3032" w:rsidRPr="00DC4048" w:rsidRDefault="000E3032" w:rsidP="00F53D27">
            <w:pPr>
              <w:rPr>
                <w:b/>
                <w:iCs/>
                <w:color w:val="000000"/>
                <w:sz w:val="16"/>
                <w:szCs w:val="16"/>
                <w:lang w:val="en-GB" w:eastAsia="en-GB"/>
              </w:rPr>
            </w:pPr>
            <w:r w:rsidRPr="00901E03">
              <w:rPr>
                <w:b/>
                <w:iCs/>
                <w:color w:val="000000"/>
                <w:sz w:val="16"/>
                <w:szCs w:val="16"/>
                <w:lang w:val="en-GB" w:eastAsia="en-GB"/>
              </w:rPr>
              <w:t>Source:</w:t>
            </w:r>
            <w:r w:rsidR="00ED4F39">
              <w:rPr>
                <w:b/>
                <w:iCs/>
                <w:color w:val="000000"/>
                <w:sz w:val="16"/>
                <w:szCs w:val="16"/>
                <w:lang w:val="en-GB" w:eastAsia="en-GB"/>
              </w:rPr>
              <w:t xml:space="preserve"> </w:t>
            </w:r>
            <w:r w:rsidR="00700FE5" w:rsidRPr="002B0701">
              <w:rPr>
                <w:iCs/>
                <w:color w:val="000000"/>
                <w:sz w:val="16"/>
                <w:szCs w:val="16"/>
                <w:lang w:val="en-GB" w:eastAsia="en-GB"/>
              </w:rPr>
              <w:t>Independent evaluation</w:t>
            </w:r>
            <w:r w:rsidR="00700FE5">
              <w:rPr>
                <w:iCs/>
                <w:color w:val="000000"/>
                <w:sz w:val="16"/>
                <w:szCs w:val="16"/>
                <w:lang w:val="en-GB" w:eastAsia="en-GB"/>
              </w:rPr>
              <w:t>s</w:t>
            </w:r>
            <w:r w:rsidR="00700FE5" w:rsidRPr="002B0701">
              <w:rPr>
                <w:iCs/>
                <w:color w:val="000000"/>
                <w:sz w:val="16"/>
                <w:szCs w:val="16"/>
                <w:lang w:val="en-GB" w:eastAsia="en-GB"/>
              </w:rPr>
              <w:t xml:space="preserve"> and project reports</w:t>
            </w:r>
            <w:r>
              <w:rPr>
                <w:iCs/>
                <w:color w:val="000000"/>
                <w:sz w:val="16"/>
                <w:szCs w:val="16"/>
                <w:lang w:val="en-GB"/>
              </w:rPr>
              <w:t>.</w:t>
            </w:r>
          </w:p>
          <w:p w14:paraId="02ADED53" w14:textId="77777777" w:rsidR="000E3032" w:rsidRDefault="000E3032" w:rsidP="00F53D27">
            <w:pPr>
              <w:rPr>
                <w:b/>
                <w:iCs/>
                <w:color w:val="000000"/>
                <w:sz w:val="16"/>
                <w:szCs w:val="16"/>
                <w:lang w:val="en-GB" w:eastAsia="en-GB"/>
              </w:rPr>
            </w:pPr>
          </w:p>
          <w:p w14:paraId="53401A75" w14:textId="11FAC611" w:rsidR="00700FE5" w:rsidRDefault="00700FE5" w:rsidP="00F53D27">
            <w:pPr>
              <w:rPr>
                <w:iCs/>
                <w:color w:val="000000"/>
                <w:sz w:val="16"/>
                <w:szCs w:val="16"/>
                <w:lang w:val="en-GB" w:eastAsia="en-GB"/>
              </w:rPr>
            </w:pPr>
            <w:r>
              <w:rPr>
                <w:iCs/>
                <w:color w:val="000000"/>
                <w:sz w:val="16"/>
                <w:szCs w:val="16"/>
                <w:lang w:val="en-GB" w:eastAsia="en-GB"/>
              </w:rPr>
              <w:t>E</w:t>
            </w:r>
            <w:r w:rsidRPr="00720849">
              <w:rPr>
                <w:iCs/>
                <w:color w:val="000000"/>
                <w:sz w:val="16"/>
                <w:szCs w:val="16"/>
                <w:lang w:val="en-GB" w:eastAsia="en-GB"/>
              </w:rPr>
              <w:t>xten</w:t>
            </w:r>
            <w:r>
              <w:rPr>
                <w:iCs/>
                <w:color w:val="000000"/>
                <w:sz w:val="16"/>
                <w:szCs w:val="16"/>
                <w:lang w:val="en-GB" w:eastAsia="en-GB"/>
              </w:rPr>
              <w:t>t</w:t>
            </w:r>
            <w:r w:rsidRPr="00720849">
              <w:rPr>
                <w:iCs/>
                <w:color w:val="000000"/>
                <w:sz w:val="16"/>
                <w:szCs w:val="16"/>
                <w:lang w:val="en-GB" w:eastAsia="en-GB"/>
              </w:rPr>
              <w:t xml:space="preserve"> to which </w:t>
            </w:r>
            <w:r>
              <w:rPr>
                <w:iCs/>
                <w:color w:val="000000"/>
                <w:sz w:val="16"/>
                <w:szCs w:val="16"/>
                <w:lang w:val="en-GB" w:eastAsia="en-GB"/>
              </w:rPr>
              <w:t xml:space="preserve">new policies and systems are in place at national and sub-national levels to support climate adaptation and risk reduction. </w:t>
            </w:r>
          </w:p>
          <w:p w14:paraId="5D43D6D0" w14:textId="77777777" w:rsidR="00700FE5" w:rsidRPr="00DD6C6E" w:rsidRDefault="00700FE5" w:rsidP="00F53D27">
            <w:pPr>
              <w:rPr>
                <w:iCs/>
                <w:color w:val="000000"/>
                <w:sz w:val="16"/>
                <w:szCs w:val="16"/>
                <w:lang w:val="en-GB" w:eastAsia="en-GB"/>
              </w:rPr>
            </w:pPr>
            <w:r w:rsidRPr="00FB5E3A">
              <w:rPr>
                <w:b/>
                <w:iCs/>
                <w:color w:val="000000"/>
                <w:sz w:val="16"/>
                <w:szCs w:val="16"/>
                <w:lang w:val="en-GB" w:eastAsia="en-GB"/>
              </w:rPr>
              <w:t>Baseline</w:t>
            </w:r>
            <w:r>
              <w:rPr>
                <w:b/>
                <w:iCs/>
                <w:color w:val="000000"/>
                <w:sz w:val="16"/>
                <w:szCs w:val="16"/>
                <w:lang w:val="en-GB" w:eastAsia="en-GB"/>
              </w:rPr>
              <w:t xml:space="preserve"> (2015</w:t>
            </w:r>
            <w:r w:rsidRPr="0097539C">
              <w:rPr>
                <w:b/>
                <w:iCs/>
                <w:color w:val="000000"/>
                <w:sz w:val="16"/>
                <w:szCs w:val="16"/>
                <w:lang w:val="en-GB" w:eastAsia="en-GB"/>
              </w:rPr>
              <w:t>)</w:t>
            </w:r>
            <w:r w:rsidRPr="000E39B4">
              <w:rPr>
                <w:b/>
                <w:iCs/>
                <w:color w:val="000000"/>
                <w:sz w:val="16"/>
                <w:szCs w:val="16"/>
                <w:lang w:val="en-GB" w:eastAsia="en-GB"/>
              </w:rPr>
              <w:t>:</w:t>
            </w:r>
            <w:r>
              <w:rPr>
                <w:b/>
                <w:iCs/>
                <w:color w:val="000000"/>
                <w:sz w:val="16"/>
                <w:szCs w:val="16"/>
                <w:lang w:val="en-GB" w:eastAsia="en-GB"/>
              </w:rPr>
              <w:t xml:space="preserve"> </w:t>
            </w:r>
            <w:r>
              <w:rPr>
                <w:iCs/>
                <w:color w:val="000000"/>
                <w:sz w:val="16"/>
                <w:szCs w:val="16"/>
                <w:lang w:val="en-GB" w:eastAsia="en-GB"/>
              </w:rPr>
              <w:t>1 (index from 0 to 5)</w:t>
            </w:r>
          </w:p>
          <w:p w14:paraId="0E94E160" w14:textId="77777777" w:rsidR="00700FE5" w:rsidRPr="003F3717" w:rsidRDefault="00700FE5" w:rsidP="00F53D27">
            <w:pPr>
              <w:rPr>
                <w:iCs/>
                <w:color w:val="000000"/>
                <w:sz w:val="16"/>
                <w:szCs w:val="16"/>
                <w:lang w:val="en-GB" w:eastAsia="en-GB"/>
              </w:rPr>
            </w:pPr>
            <w:r w:rsidRPr="00901E03">
              <w:rPr>
                <w:b/>
                <w:iCs/>
                <w:color w:val="000000"/>
                <w:sz w:val="16"/>
                <w:szCs w:val="16"/>
                <w:lang w:val="en-GB" w:eastAsia="en-GB"/>
              </w:rPr>
              <w:t>Target:</w:t>
            </w:r>
            <w:r>
              <w:rPr>
                <w:b/>
                <w:iCs/>
                <w:color w:val="000000"/>
                <w:sz w:val="16"/>
                <w:szCs w:val="16"/>
                <w:lang w:val="en-GB" w:eastAsia="en-GB"/>
              </w:rPr>
              <w:t xml:space="preserve"> </w:t>
            </w:r>
            <w:r>
              <w:rPr>
                <w:iCs/>
                <w:color w:val="000000"/>
                <w:sz w:val="16"/>
                <w:szCs w:val="16"/>
                <w:lang w:val="en-GB" w:eastAsia="en-GB"/>
              </w:rPr>
              <w:t>4 (out of 5)</w:t>
            </w:r>
          </w:p>
          <w:p w14:paraId="0B992A42" w14:textId="0096E45D" w:rsidR="00700FE5" w:rsidRDefault="00700FE5" w:rsidP="00F53D27">
            <w:pPr>
              <w:rPr>
                <w:b/>
                <w:iCs/>
                <w:color w:val="000000"/>
                <w:sz w:val="16"/>
                <w:szCs w:val="16"/>
                <w:lang w:val="en-GB" w:eastAsia="en-GB"/>
              </w:rPr>
            </w:pPr>
            <w:r w:rsidRPr="00901E03">
              <w:rPr>
                <w:b/>
                <w:iCs/>
                <w:color w:val="000000"/>
                <w:sz w:val="16"/>
                <w:szCs w:val="16"/>
                <w:lang w:val="en-GB" w:eastAsia="en-GB"/>
              </w:rPr>
              <w:lastRenderedPageBreak/>
              <w:t>Source:</w:t>
            </w:r>
            <w:r>
              <w:rPr>
                <w:b/>
                <w:iCs/>
                <w:color w:val="000000"/>
                <w:sz w:val="16"/>
                <w:szCs w:val="16"/>
                <w:lang w:val="en-GB" w:eastAsia="en-GB"/>
              </w:rPr>
              <w:t xml:space="preserve"> </w:t>
            </w:r>
            <w:r>
              <w:rPr>
                <w:iCs/>
                <w:color w:val="000000"/>
                <w:sz w:val="16"/>
                <w:szCs w:val="16"/>
                <w:lang w:val="en-GB" w:eastAsia="en-GB"/>
              </w:rPr>
              <w:t>Government policies</w:t>
            </w:r>
            <w:r w:rsidRPr="002B0701">
              <w:rPr>
                <w:iCs/>
                <w:color w:val="000000"/>
                <w:sz w:val="16"/>
                <w:szCs w:val="16"/>
                <w:lang w:val="en-GB" w:eastAsia="en-GB"/>
              </w:rPr>
              <w:t xml:space="preserve"> and project reports</w:t>
            </w:r>
            <w:r w:rsidRPr="008F5AE9">
              <w:rPr>
                <w:iCs/>
                <w:color w:val="000000"/>
                <w:sz w:val="16"/>
                <w:szCs w:val="16"/>
                <w:lang w:val="en-GB"/>
              </w:rPr>
              <w:t>.</w:t>
            </w:r>
          </w:p>
          <w:p w14:paraId="65762A9F" w14:textId="77777777" w:rsidR="000E3032" w:rsidRDefault="000E3032" w:rsidP="00F53D27">
            <w:pPr>
              <w:rPr>
                <w:b/>
                <w:iCs/>
                <w:color w:val="000000"/>
                <w:sz w:val="16"/>
                <w:szCs w:val="16"/>
                <w:lang w:val="en-GB" w:eastAsia="en-GB"/>
              </w:rPr>
            </w:pPr>
          </w:p>
          <w:p w14:paraId="014E02BE" w14:textId="61F5C17E" w:rsidR="00E30A31" w:rsidRDefault="000E3032" w:rsidP="00F53D27">
            <w:pPr>
              <w:rPr>
                <w:b/>
                <w:bCs/>
                <w:color w:val="000000"/>
                <w:sz w:val="16"/>
                <w:szCs w:val="16"/>
              </w:rPr>
            </w:pPr>
            <w:r w:rsidRPr="00E30A31">
              <w:rPr>
                <w:b/>
                <w:iCs/>
                <w:color w:val="000000"/>
                <w:sz w:val="16"/>
                <w:szCs w:val="16"/>
                <w:lang w:val="en-GB" w:eastAsia="en-GB"/>
              </w:rPr>
              <w:t xml:space="preserve">2.3 </w:t>
            </w:r>
            <w:r w:rsidR="00700FE5" w:rsidRPr="00E30A31">
              <w:rPr>
                <w:b/>
                <w:bCs/>
                <w:color w:val="000000"/>
                <w:sz w:val="16"/>
                <w:szCs w:val="16"/>
              </w:rPr>
              <w:t>Policies</w:t>
            </w:r>
            <w:r w:rsidR="00700FE5">
              <w:rPr>
                <w:b/>
                <w:bCs/>
                <w:color w:val="000000"/>
                <w:sz w:val="16"/>
                <w:szCs w:val="16"/>
              </w:rPr>
              <w:t>, systems and technologies in place to enable people to benefit from sustainable management of natural resources (forests, ecosystems)</w:t>
            </w:r>
            <w:r w:rsidR="00A47098">
              <w:rPr>
                <w:b/>
                <w:bCs/>
                <w:color w:val="000000"/>
                <w:sz w:val="16"/>
                <w:szCs w:val="16"/>
              </w:rPr>
              <w:t>,</w:t>
            </w:r>
            <w:r w:rsidR="00700FE5">
              <w:rPr>
                <w:b/>
                <w:bCs/>
                <w:color w:val="000000"/>
                <w:sz w:val="16"/>
                <w:szCs w:val="16"/>
              </w:rPr>
              <w:t xml:space="preserve"> and reduced environmental and health risks</w:t>
            </w:r>
          </w:p>
          <w:p w14:paraId="28CBE29B" w14:textId="77777777" w:rsidR="00E30A31" w:rsidRDefault="00E30A31" w:rsidP="00F53D27">
            <w:pPr>
              <w:rPr>
                <w:b/>
                <w:bCs/>
                <w:iCs/>
                <w:color w:val="000000"/>
                <w:sz w:val="16"/>
                <w:szCs w:val="16"/>
              </w:rPr>
            </w:pPr>
          </w:p>
          <w:p w14:paraId="30C114E6" w14:textId="532A25B4" w:rsidR="000E3032" w:rsidRDefault="003404EE" w:rsidP="00F53D27">
            <w:pPr>
              <w:rPr>
                <w:sz w:val="16"/>
                <w:szCs w:val="16"/>
                <w:lang w:eastAsia="en-GB"/>
              </w:rPr>
            </w:pPr>
            <w:r w:rsidRPr="003404EE">
              <w:rPr>
                <w:iCs/>
                <w:color w:val="000000"/>
                <w:sz w:val="16"/>
                <w:szCs w:val="16"/>
                <w:lang w:val="en-GB" w:eastAsia="en-GB"/>
              </w:rPr>
              <w:t>Number</w:t>
            </w:r>
            <w:r w:rsidR="000E3032">
              <w:rPr>
                <w:sz w:val="16"/>
                <w:szCs w:val="16"/>
                <w:lang w:eastAsia="en-GB"/>
              </w:rPr>
              <w:t xml:space="preserve"> of women and men benefiting</w:t>
            </w:r>
            <w:r w:rsidR="000E3032" w:rsidRPr="00291417">
              <w:rPr>
                <w:sz w:val="16"/>
                <w:szCs w:val="16"/>
                <w:lang w:eastAsia="en-GB"/>
              </w:rPr>
              <w:t xml:space="preserve"> from </w:t>
            </w:r>
            <w:r w:rsidR="00700FE5">
              <w:rPr>
                <w:sz w:val="16"/>
                <w:szCs w:val="16"/>
                <w:lang w:eastAsia="en-GB"/>
              </w:rPr>
              <w:t xml:space="preserve">UNDP-assisted sustainable </w:t>
            </w:r>
            <w:r w:rsidR="000E3032">
              <w:rPr>
                <w:sz w:val="16"/>
                <w:szCs w:val="16"/>
                <w:lang w:eastAsia="en-GB"/>
              </w:rPr>
              <w:t xml:space="preserve">management of natural resources, </w:t>
            </w:r>
            <w:r w:rsidR="00700FE5">
              <w:rPr>
                <w:sz w:val="16"/>
                <w:szCs w:val="16"/>
                <w:lang w:eastAsia="en-GB"/>
              </w:rPr>
              <w:t xml:space="preserve">forests, </w:t>
            </w:r>
            <w:r w:rsidR="000E3032">
              <w:rPr>
                <w:sz w:val="16"/>
                <w:szCs w:val="16"/>
                <w:lang w:eastAsia="en-GB"/>
              </w:rPr>
              <w:t>ecosystem services</w:t>
            </w:r>
            <w:r w:rsidR="00700FE5">
              <w:rPr>
                <w:sz w:val="16"/>
                <w:szCs w:val="16"/>
                <w:lang w:eastAsia="en-GB"/>
              </w:rPr>
              <w:t>,</w:t>
            </w:r>
            <w:r w:rsidR="000E3032">
              <w:rPr>
                <w:sz w:val="16"/>
                <w:szCs w:val="16"/>
                <w:lang w:eastAsia="en-GB"/>
              </w:rPr>
              <w:t xml:space="preserve"> and chemicals and waste</w:t>
            </w:r>
          </w:p>
          <w:p w14:paraId="7A4B908F" w14:textId="69F072F1" w:rsidR="000E3032" w:rsidRPr="00F550B1" w:rsidRDefault="000E3032" w:rsidP="00F53D27">
            <w:pPr>
              <w:rPr>
                <w:iCs/>
                <w:color w:val="000000"/>
                <w:sz w:val="16"/>
                <w:szCs w:val="16"/>
                <w:lang w:val="en-GB" w:eastAsia="en-GB"/>
              </w:rPr>
            </w:pPr>
            <w:r w:rsidRPr="00C63463">
              <w:rPr>
                <w:b/>
                <w:iCs/>
                <w:color w:val="000000"/>
                <w:sz w:val="16"/>
                <w:szCs w:val="16"/>
                <w:lang w:val="en-GB" w:eastAsia="en-GB"/>
              </w:rPr>
              <w:t>Baseline</w:t>
            </w:r>
            <w:r>
              <w:rPr>
                <w:b/>
                <w:iCs/>
                <w:color w:val="000000"/>
                <w:sz w:val="16"/>
                <w:szCs w:val="16"/>
                <w:lang w:val="en-GB" w:eastAsia="en-GB"/>
              </w:rPr>
              <w:t xml:space="preserve"> (2015)</w:t>
            </w:r>
            <w:r w:rsidRPr="00C63463">
              <w:rPr>
                <w:b/>
                <w:iCs/>
                <w:color w:val="000000"/>
                <w:sz w:val="16"/>
                <w:szCs w:val="16"/>
                <w:lang w:val="en-GB" w:eastAsia="en-GB"/>
              </w:rPr>
              <w:t>:</w:t>
            </w:r>
            <w:r w:rsidR="00700FE5">
              <w:rPr>
                <w:b/>
                <w:iCs/>
                <w:color w:val="000000"/>
                <w:sz w:val="16"/>
                <w:szCs w:val="16"/>
                <w:lang w:val="en-GB" w:eastAsia="en-GB"/>
              </w:rPr>
              <w:t xml:space="preserve"> </w:t>
            </w:r>
            <w:r>
              <w:rPr>
                <w:iCs/>
                <w:sz w:val="16"/>
                <w:szCs w:val="16"/>
                <w:lang w:val="en-GB" w:eastAsia="en-GB"/>
              </w:rPr>
              <w:t>23,764</w:t>
            </w:r>
            <w:r w:rsidR="003404EE">
              <w:rPr>
                <w:iCs/>
                <w:sz w:val="16"/>
                <w:szCs w:val="16"/>
                <w:lang w:val="en-GB" w:eastAsia="en-GB"/>
              </w:rPr>
              <w:t xml:space="preserve"> women</w:t>
            </w:r>
            <w:r w:rsidR="00741806">
              <w:rPr>
                <w:iCs/>
                <w:sz w:val="16"/>
                <w:szCs w:val="16"/>
                <w:lang w:val="en-GB" w:eastAsia="en-GB"/>
              </w:rPr>
              <w:t>/</w:t>
            </w:r>
            <w:r>
              <w:rPr>
                <w:sz w:val="16"/>
                <w:szCs w:val="16"/>
                <w:lang w:eastAsia="en-GB"/>
              </w:rPr>
              <w:t>23,008</w:t>
            </w:r>
            <w:r w:rsidR="003404EE">
              <w:rPr>
                <w:sz w:val="16"/>
                <w:szCs w:val="16"/>
                <w:lang w:eastAsia="en-GB"/>
              </w:rPr>
              <w:t xml:space="preserve"> men</w:t>
            </w:r>
          </w:p>
          <w:p w14:paraId="3FF5ADB5" w14:textId="66931D87" w:rsidR="000E3032" w:rsidRPr="0009398D" w:rsidRDefault="000E3032" w:rsidP="00F53D27">
            <w:pPr>
              <w:rPr>
                <w:color w:val="000000" w:themeColor="text1"/>
                <w:sz w:val="16"/>
                <w:szCs w:val="16"/>
                <w:lang w:eastAsia="en-GB"/>
              </w:rPr>
            </w:pPr>
            <w:r w:rsidRPr="00C63463">
              <w:rPr>
                <w:b/>
                <w:iCs/>
                <w:color w:val="000000"/>
                <w:sz w:val="16"/>
                <w:szCs w:val="16"/>
                <w:lang w:val="en-GB" w:eastAsia="en-GB"/>
              </w:rPr>
              <w:t>Target:</w:t>
            </w:r>
            <w:r w:rsidR="00A47098">
              <w:rPr>
                <w:b/>
                <w:iCs/>
                <w:color w:val="000000"/>
                <w:sz w:val="16"/>
                <w:szCs w:val="16"/>
                <w:lang w:val="en-GB" w:eastAsia="en-GB"/>
              </w:rPr>
              <w:t xml:space="preserve"> </w:t>
            </w:r>
            <w:r w:rsidR="00965E39">
              <w:rPr>
                <w:color w:val="000000" w:themeColor="text1"/>
                <w:sz w:val="16"/>
                <w:szCs w:val="16"/>
                <w:lang w:eastAsia="en-GB"/>
              </w:rPr>
              <w:t>862</w:t>
            </w:r>
            <w:r w:rsidRPr="00965E39">
              <w:rPr>
                <w:color w:val="000000" w:themeColor="text1"/>
                <w:sz w:val="16"/>
                <w:szCs w:val="16"/>
                <w:lang w:eastAsia="en-GB"/>
              </w:rPr>
              <w:t>,</w:t>
            </w:r>
            <w:r w:rsidR="003404EE" w:rsidRPr="00965E39">
              <w:rPr>
                <w:color w:val="000000" w:themeColor="text1"/>
                <w:sz w:val="16"/>
                <w:szCs w:val="16"/>
                <w:lang w:eastAsia="en-GB"/>
              </w:rPr>
              <w:t>000</w:t>
            </w:r>
            <w:r w:rsidR="003404EE">
              <w:rPr>
                <w:color w:val="000000" w:themeColor="text1"/>
                <w:sz w:val="16"/>
                <w:szCs w:val="16"/>
                <w:lang w:eastAsia="en-GB"/>
              </w:rPr>
              <w:t xml:space="preserve"> women</w:t>
            </w:r>
            <w:r w:rsidR="00741806">
              <w:rPr>
                <w:color w:val="000000" w:themeColor="text1"/>
                <w:sz w:val="16"/>
                <w:szCs w:val="16"/>
                <w:lang w:eastAsia="en-GB"/>
              </w:rPr>
              <w:t>/</w:t>
            </w:r>
            <w:r w:rsidR="00965E39">
              <w:rPr>
                <w:color w:val="000000" w:themeColor="text1"/>
                <w:sz w:val="16"/>
                <w:szCs w:val="16"/>
                <w:lang w:eastAsia="en-GB"/>
              </w:rPr>
              <w:t>697</w:t>
            </w:r>
            <w:r w:rsidRPr="00965E39">
              <w:rPr>
                <w:color w:val="000000" w:themeColor="text1"/>
                <w:sz w:val="16"/>
                <w:szCs w:val="16"/>
                <w:lang w:eastAsia="en-GB"/>
              </w:rPr>
              <w:t>,</w:t>
            </w:r>
            <w:r w:rsidR="003404EE" w:rsidRPr="00965E39">
              <w:rPr>
                <w:color w:val="000000" w:themeColor="text1"/>
                <w:sz w:val="16"/>
                <w:szCs w:val="16"/>
                <w:lang w:eastAsia="en-GB"/>
              </w:rPr>
              <w:t>000</w:t>
            </w:r>
            <w:r w:rsidR="003404EE">
              <w:rPr>
                <w:color w:val="000000" w:themeColor="text1"/>
                <w:sz w:val="16"/>
                <w:szCs w:val="16"/>
                <w:lang w:eastAsia="en-GB"/>
              </w:rPr>
              <w:t xml:space="preserve"> men </w:t>
            </w:r>
            <w:r w:rsidR="00700FE5">
              <w:rPr>
                <w:color w:val="000000" w:themeColor="text1"/>
                <w:sz w:val="16"/>
                <w:szCs w:val="16"/>
                <w:lang w:eastAsia="en-GB"/>
              </w:rPr>
              <w:t xml:space="preserve">(aggregate from UNDP interventions in biodiversity, environmental protection, </w:t>
            </w:r>
            <w:r w:rsidR="00413662">
              <w:rPr>
                <w:color w:val="000000" w:themeColor="text1"/>
                <w:sz w:val="16"/>
                <w:szCs w:val="16"/>
                <w:lang w:eastAsia="en-GB"/>
              </w:rPr>
              <w:t>p</w:t>
            </w:r>
            <w:r w:rsidR="00413662" w:rsidRPr="0009398D">
              <w:rPr>
                <w:color w:val="000000" w:themeColor="text1"/>
                <w:sz w:val="16"/>
                <w:szCs w:val="16"/>
                <w:lang w:eastAsia="en-GB"/>
              </w:rPr>
              <w:t xml:space="preserve">ersistent </w:t>
            </w:r>
            <w:r w:rsidR="00413662">
              <w:rPr>
                <w:color w:val="000000" w:themeColor="text1"/>
                <w:sz w:val="16"/>
                <w:szCs w:val="16"/>
                <w:lang w:eastAsia="en-GB"/>
              </w:rPr>
              <w:t>o</w:t>
            </w:r>
            <w:r w:rsidR="00413662" w:rsidRPr="0009398D">
              <w:rPr>
                <w:color w:val="000000" w:themeColor="text1"/>
                <w:sz w:val="16"/>
                <w:szCs w:val="16"/>
                <w:lang w:eastAsia="en-GB"/>
              </w:rPr>
              <w:t xml:space="preserve">rganic </w:t>
            </w:r>
            <w:r w:rsidR="00413662">
              <w:rPr>
                <w:color w:val="000000" w:themeColor="text1"/>
                <w:sz w:val="16"/>
                <w:szCs w:val="16"/>
                <w:lang w:eastAsia="en-GB"/>
              </w:rPr>
              <w:t>p</w:t>
            </w:r>
            <w:r w:rsidR="00413662" w:rsidRPr="0009398D">
              <w:rPr>
                <w:color w:val="000000" w:themeColor="text1"/>
                <w:sz w:val="16"/>
                <w:szCs w:val="16"/>
                <w:lang w:eastAsia="en-GB"/>
              </w:rPr>
              <w:t>ollutants </w:t>
            </w:r>
            <w:r w:rsidR="00413662">
              <w:rPr>
                <w:color w:val="000000" w:themeColor="text1"/>
                <w:sz w:val="16"/>
                <w:szCs w:val="16"/>
                <w:lang w:eastAsia="en-GB"/>
              </w:rPr>
              <w:t xml:space="preserve"> </w:t>
            </w:r>
            <w:r w:rsidR="00700FE5">
              <w:rPr>
                <w:color w:val="000000" w:themeColor="text1"/>
                <w:sz w:val="16"/>
                <w:szCs w:val="16"/>
                <w:lang w:eastAsia="en-GB"/>
              </w:rPr>
              <w:t>and REDD)</w:t>
            </w:r>
          </w:p>
          <w:p w14:paraId="0FE4496F" w14:textId="375AF158" w:rsidR="000E3032" w:rsidRPr="006F769D" w:rsidRDefault="000E3032" w:rsidP="00F53D27">
            <w:pPr>
              <w:rPr>
                <w:rFonts w:ascii="Calibri" w:hAnsi="Calibri"/>
                <w:b/>
                <w:bCs/>
                <w:iCs/>
                <w:color w:val="000000"/>
                <w:sz w:val="28"/>
                <w:szCs w:val="28"/>
                <w:lang w:val="en-GB"/>
              </w:rPr>
            </w:pPr>
            <w:r w:rsidRPr="00C63463">
              <w:rPr>
                <w:b/>
                <w:iCs/>
                <w:color w:val="000000"/>
                <w:sz w:val="16"/>
                <w:szCs w:val="16"/>
                <w:lang w:val="en-GB" w:eastAsia="en-GB"/>
              </w:rPr>
              <w:t>Source:</w:t>
            </w:r>
            <w:r w:rsidR="003548FD">
              <w:rPr>
                <w:b/>
                <w:iCs/>
                <w:color w:val="000000"/>
                <w:sz w:val="16"/>
                <w:szCs w:val="16"/>
                <w:lang w:val="en-GB" w:eastAsia="en-GB"/>
              </w:rPr>
              <w:t xml:space="preserve"> </w:t>
            </w:r>
            <w:r>
              <w:rPr>
                <w:sz w:val="16"/>
                <w:szCs w:val="16"/>
                <w:lang w:eastAsia="en-GB"/>
              </w:rPr>
              <w:t>N</w:t>
            </w:r>
            <w:r w:rsidRPr="00291417">
              <w:rPr>
                <w:sz w:val="16"/>
                <w:szCs w:val="16"/>
                <w:lang w:eastAsia="en-GB"/>
              </w:rPr>
              <w:t>ational reports to U</w:t>
            </w:r>
            <w:r w:rsidR="00413662">
              <w:rPr>
                <w:sz w:val="16"/>
                <w:szCs w:val="16"/>
                <w:lang w:eastAsia="en-GB"/>
              </w:rPr>
              <w:t xml:space="preserve">nited </w:t>
            </w:r>
            <w:r w:rsidRPr="00291417">
              <w:rPr>
                <w:sz w:val="16"/>
                <w:szCs w:val="16"/>
                <w:lang w:eastAsia="en-GB"/>
              </w:rPr>
              <w:t>N</w:t>
            </w:r>
            <w:r w:rsidR="00413662">
              <w:rPr>
                <w:sz w:val="16"/>
                <w:szCs w:val="16"/>
                <w:lang w:eastAsia="en-GB"/>
              </w:rPr>
              <w:t>ations</w:t>
            </w:r>
            <w:r w:rsidRPr="00291417">
              <w:rPr>
                <w:sz w:val="16"/>
                <w:szCs w:val="16"/>
                <w:lang w:eastAsia="en-GB"/>
              </w:rPr>
              <w:t xml:space="preserve"> </w:t>
            </w:r>
            <w:r>
              <w:rPr>
                <w:sz w:val="16"/>
                <w:szCs w:val="16"/>
                <w:lang w:eastAsia="en-GB"/>
              </w:rPr>
              <w:t>c</w:t>
            </w:r>
            <w:r w:rsidRPr="00291417">
              <w:rPr>
                <w:sz w:val="16"/>
                <w:szCs w:val="16"/>
                <w:lang w:eastAsia="en-GB"/>
              </w:rPr>
              <w:t>onventions</w:t>
            </w:r>
            <w:r>
              <w:rPr>
                <w:sz w:val="16"/>
                <w:szCs w:val="16"/>
                <w:lang w:eastAsia="en-GB"/>
              </w:rPr>
              <w:t xml:space="preserve">, </w:t>
            </w:r>
            <w:r w:rsidR="00294DB7">
              <w:rPr>
                <w:iCs/>
                <w:color w:val="000000"/>
                <w:sz w:val="16"/>
                <w:szCs w:val="16"/>
                <w:lang w:val="en-GB" w:eastAsia="en-GB"/>
              </w:rPr>
              <w:t>i</w:t>
            </w:r>
            <w:r w:rsidR="00294DB7" w:rsidRPr="002B0701">
              <w:rPr>
                <w:iCs/>
                <w:color w:val="000000"/>
                <w:sz w:val="16"/>
                <w:szCs w:val="16"/>
                <w:lang w:val="en-GB" w:eastAsia="en-GB"/>
              </w:rPr>
              <w:t>ndependent evaluation</w:t>
            </w:r>
            <w:r w:rsidR="00294DB7">
              <w:rPr>
                <w:iCs/>
                <w:color w:val="000000"/>
                <w:sz w:val="16"/>
                <w:szCs w:val="16"/>
                <w:lang w:val="en-GB" w:eastAsia="en-GB"/>
              </w:rPr>
              <w:t>s</w:t>
            </w:r>
            <w:r w:rsidR="00294DB7" w:rsidRPr="002B0701">
              <w:rPr>
                <w:iCs/>
                <w:color w:val="000000"/>
                <w:sz w:val="16"/>
                <w:szCs w:val="16"/>
                <w:lang w:val="en-GB" w:eastAsia="en-GB"/>
              </w:rPr>
              <w:t xml:space="preserve"> and project reports</w:t>
            </w:r>
            <w:r>
              <w:rPr>
                <w:iCs/>
                <w:color w:val="000000"/>
                <w:sz w:val="16"/>
                <w:szCs w:val="16"/>
                <w:lang w:val="en-GB"/>
              </w:rPr>
              <w:t>.</w:t>
            </w:r>
          </w:p>
        </w:tc>
        <w:tc>
          <w:tcPr>
            <w:tcW w:w="1067" w:type="pct"/>
            <w:tcBorders>
              <w:top w:val="single" w:sz="4" w:space="0" w:color="auto"/>
              <w:bottom w:val="single" w:sz="4" w:space="0" w:color="auto"/>
            </w:tcBorders>
          </w:tcPr>
          <w:p w14:paraId="64F4D400" w14:textId="67BD492E" w:rsidR="001B0D67" w:rsidRDefault="000E3032" w:rsidP="00F53D27">
            <w:pPr>
              <w:rPr>
                <w:sz w:val="16"/>
                <w:szCs w:val="16"/>
                <w:lang w:eastAsia="en-GB"/>
              </w:rPr>
            </w:pPr>
            <w:r w:rsidRPr="007255AE">
              <w:rPr>
                <w:sz w:val="16"/>
                <w:szCs w:val="16"/>
                <w:lang w:eastAsia="en-GB"/>
              </w:rPr>
              <w:lastRenderedPageBreak/>
              <w:t>Ministries of Planning and Investment</w:t>
            </w:r>
            <w:r w:rsidR="00B05F2D">
              <w:rPr>
                <w:sz w:val="16"/>
                <w:szCs w:val="16"/>
                <w:lang w:eastAsia="en-GB"/>
              </w:rPr>
              <w:t>;</w:t>
            </w:r>
            <w:r w:rsidR="00B05F2D" w:rsidRPr="007255AE">
              <w:rPr>
                <w:sz w:val="16"/>
                <w:szCs w:val="16"/>
                <w:lang w:eastAsia="en-GB"/>
              </w:rPr>
              <w:t xml:space="preserve"> </w:t>
            </w:r>
            <w:r w:rsidRPr="007255AE">
              <w:rPr>
                <w:sz w:val="16"/>
                <w:szCs w:val="16"/>
                <w:lang w:eastAsia="en-GB"/>
              </w:rPr>
              <w:t>Finance</w:t>
            </w:r>
            <w:r w:rsidR="00B05F2D">
              <w:rPr>
                <w:sz w:val="16"/>
                <w:szCs w:val="16"/>
                <w:lang w:eastAsia="en-GB"/>
              </w:rPr>
              <w:t>;</w:t>
            </w:r>
            <w:r w:rsidR="00B05F2D" w:rsidRPr="007255AE">
              <w:rPr>
                <w:sz w:val="16"/>
                <w:szCs w:val="16"/>
                <w:lang w:eastAsia="en-GB"/>
              </w:rPr>
              <w:t xml:space="preserve"> </w:t>
            </w:r>
            <w:r w:rsidRPr="007255AE">
              <w:rPr>
                <w:sz w:val="16"/>
                <w:szCs w:val="16"/>
                <w:lang w:eastAsia="en-GB"/>
              </w:rPr>
              <w:t>Transportation</w:t>
            </w:r>
            <w:r w:rsidR="00B05F2D">
              <w:rPr>
                <w:sz w:val="16"/>
                <w:szCs w:val="16"/>
                <w:lang w:eastAsia="en-GB"/>
              </w:rPr>
              <w:t>;</w:t>
            </w:r>
            <w:r w:rsidR="00B05F2D" w:rsidRPr="007255AE">
              <w:rPr>
                <w:sz w:val="16"/>
                <w:szCs w:val="16"/>
                <w:lang w:eastAsia="en-GB"/>
              </w:rPr>
              <w:t xml:space="preserve"> </w:t>
            </w:r>
            <w:r w:rsidRPr="007255AE">
              <w:rPr>
                <w:sz w:val="16"/>
                <w:szCs w:val="16"/>
                <w:lang w:eastAsia="en-GB"/>
              </w:rPr>
              <w:t>Natural Resources and Environment</w:t>
            </w:r>
            <w:r w:rsidR="00B05F2D">
              <w:rPr>
                <w:sz w:val="16"/>
                <w:szCs w:val="16"/>
                <w:lang w:eastAsia="en-GB"/>
              </w:rPr>
              <w:t>;</w:t>
            </w:r>
            <w:r w:rsidR="00B05F2D" w:rsidRPr="007255AE">
              <w:rPr>
                <w:sz w:val="16"/>
                <w:szCs w:val="16"/>
                <w:lang w:eastAsia="en-GB"/>
              </w:rPr>
              <w:t xml:space="preserve"> </w:t>
            </w:r>
            <w:r w:rsidRPr="007255AE">
              <w:rPr>
                <w:sz w:val="16"/>
                <w:szCs w:val="16"/>
                <w:lang w:eastAsia="en-GB"/>
              </w:rPr>
              <w:t>Agriculture and Rural Development</w:t>
            </w:r>
            <w:r w:rsidR="00B05F2D">
              <w:rPr>
                <w:sz w:val="16"/>
                <w:szCs w:val="16"/>
                <w:lang w:eastAsia="en-GB"/>
              </w:rPr>
              <w:t>;</w:t>
            </w:r>
            <w:r w:rsidR="00B05F2D" w:rsidRPr="007255AE">
              <w:rPr>
                <w:sz w:val="16"/>
                <w:szCs w:val="16"/>
                <w:lang w:eastAsia="en-GB"/>
              </w:rPr>
              <w:t xml:space="preserve"> </w:t>
            </w:r>
            <w:r w:rsidRPr="007255AE">
              <w:rPr>
                <w:sz w:val="16"/>
                <w:szCs w:val="16"/>
                <w:lang w:eastAsia="en-GB"/>
              </w:rPr>
              <w:t>Industry and Trade</w:t>
            </w:r>
            <w:r w:rsidR="00B05F2D">
              <w:rPr>
                <w:sz w:val="16"/>
                <w:szCs w:val="16"/>
                <w:lang w:eastAsia="en-GB"/>
              </w:rPr>
              <w:t>;</w:t>
            </w:r>
            <w:r w:rsidR="00B05F2D" w:rsidRPr="007255AE">
              <w:rPr>
                <w:sz w:val="16"/>
                <w:szCs w:val="16"/>
                <w:lang w:eastAsia="en-GB"/>
              </w:rPr>
              <w:t xml:space="preserve"> </w:t>
            </w:r>
            <w:r w:rsidRPr="007255AE">
              <w:rPr>
                <w:sz w:val="16"/>
                <w:szCs w:val="16"/>
                <w:lang w:eastAsia="en-GB"/>
              </w:rPr>
              <w:t>Construction</w:t>
            </w:r>
            <w:r w:rsidR="00B05F2D">
              <w:rPr>
                <w:sz w:val="16"/>
                <w:szCs w:val="16"/>
                <w:lang w:eastAsia="en-GB"/>
              </w:rPr>
              <w:t>; and</w:t>
            </w:r>
            <w:r w:rsidR="00B05F2D" w:rsidRPr="007255AE">
              <w:rPr>
                <w:sz w:val="16"/>
                <w:szCs w:val="16"/>
                <w:lang w:eastAsia="en-GB"/>
              </w:rPr>
              <w:t xml:space="preserve"> </w:t>
            </w:r>
            <w:r w:rsidRPr="007255AE">
              <w:rPr>
                <w:sz w:val="16"/>
                <w:szCs w:val="16"/>
                <w:lang w:eastAsia="en-GB"/>
              </w:rPr>
              <w:t xml:space="preserve">Science and Technology; </w:t>
            </w:r>
          </w:p>
          <w:p w14:paraId="0C6C9D80" w14:textId="77777777" w:rsidR="001B0D67" w:rsidRDefault="000E3032" w:rsidP="00F53D27">
            <w:pPr>
              <w:rPr>
                <w:sz w:val="16"/>
                <w:szCs w:val="16"/>
                <w:lang w:eastAsia="en-GB"/>
              </w:rPr>
            </w:pPr>
            <w:r w:rsidRPr="007255AE">
              <w:rPr>
                <w:sz w:val="16"/>
                <w:szCs w:val="16"/>
                <w:lang w:eastAsia="en-GB"/>
              </w:rPr>
              <w:t xml:space="preserve">National Assembly; </w:t>
            </w:r>
          </w:p>
          <w:p w14:paraId="43D09C57" w14:textId="77777777" w:rsidR="001B0D67" w:rsidRDefault="000E3032" w:rsidP="00F53D27">
            <w:pPr>
              <w:rPr>
                <w:sz w:val="16"/>
                <w:szCs w:val="16"/>
                <w:lang w:eastAsia="en-GB"/>
              </w:rPr>
            </w:pPr>
            <w:r w:rsidRPr="007255AE">
              <w:rPr>
                <w:sz w:val="16"/>
                <w:szCs w:val="16"/>
                <w:lang w:eastAsia="en-GB"/>
              </w:rPr>
              <w:t xml:space="preserve">select provincial and local authorities; research and academic institutions; </w:t>
            </w:r>
          </w:p>
          <w:p w14:paraId="7019E680" w14:textId="77777777" w:rsidR="001B0D67" w:rsidRDefault="0009398D" w:rsidP="00F53D27">
            <w:pPr>
              <w:rPr>
                <w:sz w:val="16"/>
                <w:szCs w:val="16"/>
                <w:lang w:eastAsia="en-GB"/>
              </w:rPr>
            </w:pPr>
            <w:r w:rsidRPr="007255AE">
              <w:rPr>
                <w:sz w:val="16"/>
                <w:szCs w:val="16"/>
                <w:lang w:eastAsia="en-GB"/>
              </w:rPr>
              <w:t>UN</w:t>
            </w:r>
            <w:r>
              <w:rPr>
                <w:sz w:val="16"/>
                <w:szCs w:val="16"/>
                <w:lang w:eastAsia="en-GB"/>
              </w:rPr>
              <w:t>-</w:t>
            </w:r>
            <w:r w:rsidRPr="007255AE">
              <w:rPr>
                <w:sz w:val="16"/>
                <w:szCs w:val="16"/>
                <w:lang w:eastAsia="en-GB"/>
              </w:rPr>
              <w:t>Women, UNESCO</w:t>
            </w:r>
            <w:r>
              <w:rPr>
                <w:sz w:val="16"/>
                <w:szCs w:val="16"/>
                <w:lang w:eastAsia="en-GB"/>
              </w:rPr>
              <w:t>,</w:t>
            </w:r>
            <w:r w:rsidRPr="007255AE">
              <w:rPr>
                <w:sz w:val="16"/>
                <w:szCs w:val="16"/>
                <w:lang w:eastAsia="en-GB"/>
              </w:rPr>
              <w:t xml:space="preserve"> </w:t>
            </w:r>
            <w:r w:rsidR="000E3032" w:rsidRPr="007255AE">
              <w:rPr>
                <w:sz w:val="16"/>
                <w:szCs w:val="16"/>
                <w:lang w:eastAsia="en-GB"/>
              </w:rPr>
              <w:t>FAO, UNEP, UNIDO,</w:t>
            </w:r>
            <w:r>
              <w:rPr>
                <w:sz w:val="16"/>
                <w:szCs w:val="16"/>
                <w:lang w:eastAsia="en-GB"/>
              </w:rPr>
              <w:t xml:space="preserve"> UNODC,</w:t>
            </w:r>
            <w:r w:rsidR="000E3032" w:rsidRPr="007255AE">
              <w:rPr>
                <w:sz w:val="16"/>
                <w:szCs w:val="16"/>
                <w:lang w:eastAsia="en-GB"/>
              </w:rPr>
              <w:t xml:space="preserve"> UN-Habitat and other U</w:t>
            </w:r>
            <w:r w:rsidR="00B05F2D">
              <w:rPr>
                <w:sz w:val="16"/>
                <w:szCs w:val="16"/>
                <w:lang w:eastAsia="en-GB"/>
              </w:rPr>
              <w:t xml:space="preserve">nited </w:t>
            </w:r>
            <w:r w:rsidR="000E3032" w:rsidRPr="007255AE">
              <w:rPr>
                <w:sz w:val="16"/>
                <w:szCs w:val="16"/>
                <w:lang w:eastAsia="en-GB"/>
              </w:rPr>
              <w:t>N</w:t>
            </w:r>
            <w:r w:rsidR="00B05F2D">
              <w:rPr>
                <w:sz w:val="16"/>
                <w:szCs w:val="16"/>
                <w:lang w:eastAsia="en-GB"/>
              </w:rPr>
              <w:t>ations</w:t>
            </w:r>
            <w:r w:rsidR="000E3032" w:rsidRPr="007255AE">
              <w:rPr>
                <w:sz w:val="16"/>
                <w:szCs w:val="16"/>
                <w:lang w:eastAsia="en-GB"/>
              </w:rPr>
              <w:t xml:space="preserve"> agencies; </w:t>
            </w:r>
          </w:p>
          <w:p w14:paraId="75CB056F" w14:textId="63AD5741" w:rsidR="001B0D67" w:rsidRDefault="00700FE5" w:rsidP="00F53D27">
            <w:pPr>
              <w:rPr>
                <w:sz w:val="16"/>
                <w:szCs w:val="16"/>
                <w:lang w:eastAsia="en-GB"/>
              </w:rPr>
            </w:pPr>
            <w:r>
              <w:rPr>
                <w:sz w:val="16"/>
                <w:szCs w:val="16"/>
                <w:lang w:eastAsia="en-GB"/>
              </w:rPr>
              <w:t>Viet</w:t>
            </w:r>
            <w:r w:rsidR="00FD3663">
              <w:rPr>
                <w:sz w:val="16"/>
                <w:szCs w:val="16"/>
                <w:lang w:eastAsia="en-GB"/>
              </w:rPr>
              <w:t xml:space="preserve"> N</w:t>
            </w:r>
            <w:r>
              <w:rPr>
                <w:sz w:val="16"/>
                <w:szCs w:val="16"/>
                <w:lang w:eastAsia="en-GB"/>
              </w:rPr>
              <w:t>am Chamber of Commerce and Industry, private sector</w:t>
            </w:r>
            <w:r w:rsidR="0009398D">
              <w:rPr>
                <w:sz w:val="16"/>
                <w:szCs w:val="16"/>
                <w:lang w:eastAsia="en-GB"/>
              </w:rPr>
              <w:t xml:space="preserve"> </w:t>
            </w:r>
            <w:r w:rsidR="0009398D" w:rsidRPr="007255AE">
              <w:rPr>
                <w:sz w:val="16"/>
                <w:szCs w:val="16"/>
                <w:lang w:eastAsia="en-GB"/>
              </w:rPr>
              <w:t>(national/international)</w:t>
            </w:r>
            <w:r w:rsidR="000E3032" w:rsidRPr="007255AE">
              <w:rPr>
                <w:sz w:val="16"/>
                <w:szCs w:val="16"/>
                <w:lang w:eastAsia="en-GB"/>
              </w:rPr>
              <w:t xml:space="preserve">; </w:t>
            </w:r>
          </w:p>
          <w:p w14:paraId="72E3CC6A" w14:textId="77777777" w:rsidR="001B0D67" w:rsidRDefault="000E3032" w:rsidP="00F53D27">
            <w:pPr>
              <w:rPr>
                <w:sz w:val="16"/>
                <w:szCs w:val="16"/>
                <w:lang w:eastAsia="en-GB"/>
              </w:rPr>
            </w:pPr>
            <w:r w:rsidRPr="007255AE">
              <w:rPr>
                <w:sz w:val="16"/>
                <w:szCs w:val="16"/>
                <w:lang w:eastAsia="en-GB"/>
              </w:rPr>
              <w:t xml:space="preserve">civil society and mass organizations; </w:t>
            </w:r>
          </w:p>
          <w:p w14:paraId="51D21EA8" w14:textId="5EF96485" w:rsidR="001B0D67" w:rsidRDefault="000E3032" w:rsidP="00F53D27">
            <w:pPr>
              <w:rPr>
                <w:sz w:val="16"/>
                <w:szCs w:val="16"/>
                <w:lang w:eastAsia="en-GB"/>
              </w:rPr>
            </w:pPr>
            <w:r w:rsidRPr="007255AE">
              <w:rPr>
                <w:sz w:val="16"/>
                <w:szCs w:val="16"/>
                <w:lang w:eastAsia="en-GB"/>
              </w:rPr>
              <w:t>G</w:t>
            </w:r>
            <w:r w:rsidR="00413662">
              <w:rPr>
                <w:sz w:val="16"/>
                <w:szCs w:val="16"/>
                <w:lang w:eastAsia="en-GB"/>
              </w:rPr>
              <w:t xml:space="preserve">lobal </w:t>
            </w:r>
            <w:r w:rsidRPr="007255AE">
              <w:rPr>
                <w:sz w:val="16"/>
                <w:szCs w:val="16"/>
                <w:lang w:eastAsia="en-GB"/>
              </w:rPr>
              <w:t>E</w:t>
            </w:r>
            <w:r w:rsidR="00413662">
              <w:rPr>
                <w:sz w:val="16"/>
                <w:szCs w:val="16"/>
                <w:lang w:eastAsia="en-GB"/>
              </w:rPr>
              <w:t xml:space="preserve">nvironment </w:t>
            </w:r>
            <w:r w:rsidRPr="007255AE">
              <w:rPr>
                <w:sz w:val="16"/>
                <w:szCs w:val="16"/>
                <w:lang w:eastAsia="en-GB"/>
              </w:rPr>
              <w:t>F</w:t>
            </w:r>
            <w:r w:rsidR="00413662">
              <w:rPr>
                <w:sz w:val="16"/>
                <w:szCs w:val="16"/>
                <w:lang w:eastAsia="en-GB"/>
              </w:rPr>
              <w:t>acility</w:t>
            </w:r>
            <w:r w:rsidRPr="007255AE">
              <w:rPr>
                <w:sz w:val="16"/>
                <w:szCs w:val="16"/>
                <w:lang w:eastAsia="en-GB"/>
              </w:rPr>
              <w:t>, G</w:t>
            </w:r>
            <w:r w:rsidR="00413662">
              <w:rPr>
                <w:sz w:val="16"/>
                <w:szCs w:val="16"/>
                <w:lang w:eastAsia="en-GB"/>
              </w:rPr>
              <w:t xml:space="preserve">reen </w:t>
            </w:r>
            <w:r w:rsidRPr="007255AE">
              <w:rPr>
                <w:sz w:val="16"/>
                <w:szCs w:val="16"/>
                <w:lang w:eastAsia="en-GB"/>
              </w:rPr>
              <w:t>C</w:t>
            </w:r>
            <w:r w:rsidR="00413662">
              <w:rPr>
                <w:sz w:val="16"/>
                <w:szCs w:val="16"/>
                <w:lang w:eastAsia="en-GB"/>
              </w:rPr>
              <w:t xml:space="preserve">limate </w:t>
            </w:r>
            <w:r w:rsidRPr="007255AE">
              <w:rPr>
                <w:sz w:val="16"/>
                <w:szCs w:val="16"/>
                <w:lang w:eastAsia="en-GB"/>
              </w:rPr>
              <w:t>F</w:t>
            </w:r>
            <w:r w:rsidR="00413662">
              <w:rPr>
                <w:sz w:val="16"/>
                <w:szCs w:val="16"/>
                <w:lang w:eastAsia="en-GB"/>
              </w:rPr>
              <w:t>und</w:t>
            </w:r>
            <w:r w:rsidRPr="007255AE">
              <w:rPr>
                <w:sz w:val="16"/>
                <w:szCs w:val="16"/>
                <w:lang w:eastAsia="en-GB"/>
              </w:rPr>
              <w:t xml:space="preserve"> and other vertical funds; </w:t>
            </w:r>
          </w:p>
          <w:p w14:paraId="43E1DACD" w14:textId="34E0B03E" w:rsidR="000E3032" w:rsidRPr="007255AE" w:rsidRDefault="0009398D" w:rsidP="00F53D27">
            <w:pPr>
              <w:rPr>
                <w:iCs/>
                <w:sz w:val="16"/>
                <w:szCs w:val="16"/>
                <w:lang w:val="en-GB"/>
              </w:rPr>
            </w:pPr>
            <w:r w:rsidRPr="007255AE">
              <w:rPr>
                <w:sz w:val="16"/>
                <w:szCs w:val="16"/>
                <w:lang w:eastAsia="en-GB"/>
              </w:rPr>
              <w:t>Asian Development Ban</w:t>
            </w:r>
            <w:r>
              <w:rPr>
                <w:sz w:val="16"/>
                <w:szCs w:val="16"/>
                <w:lang w:eastAsia="en-GB"/>
              </w:rPr>
              <w:t xml:space="preserve">k, </w:t>
            </w:r>
            <w:r w:rsidR="000E3032" w:rsidRPr="007255AE">
              <w:rPr>
                <w:sz w:val="16"/>
                <w:szCs w:val="16"/>
                <w:lang w:eastAsia="en-GB"/>
              </w:rPr>
              <w:t xml:space="preserve">European Union, World Bank, USAID, GIZ, </w:t>
            </w:r>
            <w:r w:rsidR="00413662">
              <w:rPr>
                <w:sz w:val="16"/>
                <w:szCs w:val="16"/>
                <w:lang w:eastAsia="en-GB"/>
              </w:rPr>
              <w:t xml:space="preserve">Governments of Australia, </w:t>
            </w:r>
            <w:r w:rsidR="000E3032" w:rsidRPr="007255AE">
              <w:rPr>
                <w:sz w:val="16"/>
                <w:szCs w:val="16"/>
                <w:lang w:eastAsia="en-GB"/>
              </w:rPr>
              <w:t>Canada</w:t>
            </w:r>
            <w:r>
              <w:rPr>
                <w:sz w:val="16"/>
                <w:szCs w:val="16"/>
                <w:lang w:eastAsia="en-GB"/>
              </w:rPr>
              <w:t>,</w:t>
            </w:r>
            <w:r w:rsidR="000E3032" w:rsidRPr="007255AE">
              <w:rPr>
                <w:sz w:val="16"/>
                <w:szCs w:val="16"/>
                <w:lang w:eastAsia="en-GB"/>
              </w:rPr>
              <w:t xml:space="preserve"> </w:t>
            </w:r>
            <w:r w:rsidRPr="007255AE">
              <w:rPr>
                <w:sz w:val="16"/>
                <w:szCs w:val="16"/>
                <w:lang w:eastAsia="en-GB"/>
              </w:rPr>
              <w:t xml:space="preserve">Germany </w:t>
            </w:r>
            <w:r w:rsidR="000E3032" w:rsidRPr="007255AE">
              <w:rPr>
                <w:sz w:val="16"/>
                <w:szCs w:val="16"/>
                <w:lang w:eastAsia="en-GB"/>
              </w:rPr>
              <w:t>and other development partners.</w:t>
            </w:r>
          </w:p>
          <w:p w14:paraId="4A93BC25" w14:textId="77777777" w:rsidR="000E3032" w:rsidRDefault="000E3032" w:rsidP="00F53D27">
            <w:pPr>
              <w:rPr>
                <w:iCs/>
                <w:sz w:val="16"/>
                <w:szCs w:val="16"/>
                <w:lang w:val="en-GB"/>
              </w:rPr>
            </w:pPr>
          </w:p>
          <w:p w14:paraId="12D17796" w14:textId="77777777" w:rsidR="00FD3663" w:rsidRPr="007255AE" w:rsidRDefault="00FD3663" w:rsidP="00F53D27">
            <w:pPr>
              <w:rPr>
                <w:iCs/>
                <w:sz w:val="16"/>
                <w:szCs w:val="16"/>
                <w:lang w:val="en-GB"/>
              </w:rPr>
            </w:pPr>
          </w:p>
          <w:p w14:paraId="20A5B0D5" w14:textId="6054543D" w:rsidR="000E3032" w:rsidRPr="007255AE" w:rsidRDefault="000E3032" w:rsidP="00F53D27">
            <w:pPr>
              <w:rPr>
                <w:iCs/>
                <w:sz w:val="16"/>
                <w:szCs w:val="16"/>
                <w:lang w:val="en-GB"/>
              </w:rPr>
            </w:pPr>
          </w:p>
          <w:p w14:paraId="0F7DA99B" w14:textId="77777777" w:rsidR="000E3032" w:rsidRDefault="000E3032" w:rsidP="00F53D27">
            <w:pPr>
              <w:rPr>
                <w:iCs/>
                <w:sz w:val="16"/>
                <w:szCs w:val="16"/>
                <w:lang w:val="en-GB"/>
              </w:rPr>
            </w:pPr>
          </w:p>
          <w:p w14:paraId="618C0AE6" w14:textId="77777777" w:rsidR="00A47098" w:rsidRDefault="00A47098" w:rsidP="00F53D27">
            <w:pPr>
              <w:rPr>
                <w:iCs/>
                <w:sz w:val="16"/>
                <w:szCs w:val="16"/>
                <w:lang w:val="en-GB"/>
              </w:rPr>
            </w:pPr>
          </w:p>
          <w:p w14:paraId="548AFC4F" w14:textId="77777777" w:rsidR="00A47098" w:rsidRDefault="00A47098" w:rsidP="00F53D27">
            <w:pPr>
              <w:rPr>
                <w:iCs/>
                <w:sz w:val="16"/>
                <w:szCs w:val="16"/>
                <w:lang w:val="en-GB"/>
              </w:rPr>
            </w:pPr>
          </w:p>
          <w:p w14:paraId="72FE4BF8" w14:textId="77777777" w:rsidR="00A47098" w:rsidRDefault="00A47098" w:rsidP="00F53D27">
            <w:pPr>
              <w:rPr>
                <w:iCs/>
                <w:sz w:val="16"/>
                <w:szCs w:val="16"/>
                <w:lang w:val="en-GB"/>
              </w:rPr>
            </w:pPr>
          </w:p>
          <w:p w14:paraId="4F2B8562" w14:textId="77777777" w:rsidR="0090123D" w:rsidRDefault="0090123D" w:rsidP="00F53D27">
            <w:pPr>
              <w:rPr>
                <w:sz w:val="16"/>
                <w:szCs w:val="16"/>
                <w:lang w:eastAsia="en-GB"/>
              </w:rPr>
            </w:pPr>
          </w:p>
          <w:p w14:paraId="53A8F21E" w14:textId="77777777" w:rsidR="0090123D" w:rsidRDefault="0090123D" w:rsidP="00F53D27">
            <w:pPr>
              <w:rPr>
                <w:sz w:val="16"/>
                <w:szCs w:val="16"/>
                <w:lang w:eastAsia="en-GB"/>
              </w:rPr>
            </w:pPr>
          </w:p>
          <w:p w14:paraId="3ACA2BF2" w14:textId="77777777" w:rsidR="00741806" w:rsidRDefault="00741806" w:rsidP="00F53D27">
            <w:pPr>
              <w:rPr>
                <w:sz w:val="16"/>
                <w:szCs w:val="16"/>
                <w:lang w:eastAsia="en-GB"/>
              </w:rPr>
            </w:pPr>
          </w:p>
          <w:p w14:paraId="5A50EBE4" w14:textId="77777777" w:rsidR="00385CBC" w:rsidRDefault="00385CBC" w:rsidP="00F53D27">
            <w:pPr>
              <w:rPr>
                <w:sz w:val="16"/>
                <w:szCs w:val="16"/>
                <w:lang w:eastAsia="en-GB"/>
              </w:rPr>
            </w:pPr>
          </w:p>
          <w:p w14:paraId="7904A838" w14:textId="77777777" w:rsidR="00741806" w:rsidRDefault="00741806" w:rsidP="00F53D27">
            <w:pPr>
              <w:rPr>
                <w:sz w:val="16"/>
                <w:szCs w:val="16"/>
                <w:lang w:eastAsia="en-GB"/>
              </w:rPr>
            </w:pPr>
          </w:p>
          <w:p w14:paraId="40DA6750" w14:textId="77777777" w:rsidR="00F475DE" w:rsidRDefault="00F475DE" w:rsidP="00F53D27">
            <w:pPr>
              <w:rPr>
                <w:sz w:val="16"/>
                <w:szCs w:val="16"/>
                <w:lang w:eastAsia="en-GB"/>
              </w:rPr>
            </w:pPr>
          </w:p>
          <w:p w14:paraId="567810CA" w14:textId="4CCF6E53" w:rsidR="000E3032" w:rsidRPr="006431EC" w:rsidRDefault="000E3032" w:rsidP="00F53D27">
            <w:pPr>
              <w:rPr>
                <w:iCs/>
                <w:sz w:val="16"/>
                <w:szCs w:val="16"/>
              </w:rPr>
            </w:pPr>
          </w:p>
        </w:tc>
        <w:tc>
          <w:tcPr>
            <w:tcW w:w="701" w:type="pct"/>
            <w:tcBorders>
              <w:top w:val="single" w:sz="4" w:space="0" w:color="auto"/>
              <w:bottom w:val="single" w:sz="4" w:space="0" w:color="auto"/>
              <w:right w:val="single" w:sz="4" w:space="0" w:color="auto"/>
            </w:tcBorders>
            <w:tcMar>
              <w:top w:w="15" w:type="dxa"/>
              <w:left w:w="108" w:type="dxa"/>
              <w:bottom w:w="0" w:type="dxa"/>
              <w:right w:w="108" w:type="dxa"/>
            </w:tcMar>
          </w:tcPr>
          <w:p w14:paraId="5728F644" w14:textId="5FEECEC6" w:rsidR="000E3032" w:rsidRDefault="000E3032" w:rsidP="00F53D27">
            <w:pPr>
              <w:rPr>
                <w:b/>
                <w:color w:val="000000"/>
                <w:sz w:val="16"/>
                <w:szCs w:val="16"/>
              </w:rPr>
            </w:pPr>
            <w:r w:rsidRPr="003C26C1">
              <w:rPr>
                <w:b/>
                <w:color w:val="000000"/>
                <w:sz w:val="16"/>
                <w:szCs w:val="16"/>
              </w:rPr>
              <w:lastRenderedPageBreak/>
              <w:t>Regular</w:t>
            </w:r>
            <w:r w:rsidR="00E35BD9">
              <w:rPr>
                <w:b/>
                <w:color w:val="000000"/>
                <w:sz w:val="16"/>
                <w:szCs w:val="16"/>
              </w:rPr>
              <w:t xml:space="preserve"> resources</w:t>
            </w:r>
            <w:r>
              <w:rPr>
                <w:b/>
                <w:color w:val="000000"/>
                <w:sz w:val="16"/>
                <w:szCs w:val="16"/>
              </w:rPr>
              <w:t>:</w:t>
            </w:r>
            <w:r w:rsidR="008A182E">
              <w:rPr>
                <w:b/>
                <w:color w:val="000000"/>
                <w:sz w:val="16"/>
                <w:szCs w:val="16"/>
              </w:rPr>
              <w:t xml:space="preserve"> </w:t>
            </w:r>
            <w:r w:rsidR="00410F3D">
              <w:rPr>
                <w:b/>
                <w:color w:val="000000"/>
                <w:sz w:val="16"/>
                <w:szCs w:val="16"/>
              </w:rPr>
              <w:t>$</w:t>
            </w:r>
            <w:r w:rsidR="00632267">
              <w:rPr>
                <w:b/>
                <w:color w:val="000000"/>
                <w:sz w:val="16"/>
                <w:szCs w:val="16"/>
              </w:rPr>
              <w:t>5</w:t>
            </w:r>
            <w:r w:rsidR="008A182E">
              <w:rPr>
                <w:b/>
                <w:color w:val="000000"/>
                <w:sz w:val="16"/>
                <w:szCs w:val="16"/>
              </w:rPr>
              <w:t>,</w:t>
            </w:r>
            <w:r w:rsidR="00632267">
              <w:rPr>
                <w:b/>
                <w:color w:val="000000"/>
                <w:sz w:val="16"/>
                <w:szCs w:val="16"/>
              </w:rPr>
              <w:t>560</w:t>
            </w:r>
            <w:r w:rsidR="008A182E">
              <w:rPr>
                <w:b/>
                <w:color w:val="000000"/>
                <w:sz w:val="16"/>
                <w:szCs w:val="16"/>
              </w:rPr>
              <w:t>,000</w:t>
            </w:r>
          </w:p>
          <w:p w14:paraId="597C6339" w14:textId="77777777" w:rsidR="000E3032" w:rsidRDefault="000E3032" w:rsidP="00F53D27">
            <w:pPr>
              <w:rPr>
                <w:b/>
                <w:color w:val="000000"/>
                <w:sz w:val="16"/>
                <w:szCs w:val="16"/>
              </w:rPr>
            </w:pPr>
          </w:p>
          <w:p w14:paraId="13F7575A" w14:textId="677F759E" w:rsidR="000E3032" w:rsidRPr="003C26C1" w:rsidRDefault="000E3032" w:rsidP="009E2BA8">
            <w:pPr>
              <w:rPr>
                <w:b/>
                <w:color w:val="000000"/>
                <w:sz w:val="16"/>
                <w:szCs w:val="16"/>
              </w:rPr>
            </w:pPr>
            <w:r w:rsidRPr="003C26C1">
              <w:rPr>
                <w:b/>
                <w:color w:val="000000"/>
                <w:sz w:val="16"/>
                <w:szCs w:val="16"/>
              </w:rPr>
              <w:t>Other</w:t>
            </w:r>
            <w:r w:rsidR="009E2BA8">
              <w:rPr>
                <w:b/>
                <w:color w:val="000000"/>
                <w:sz w:val="16"/>
                <w:szCs w:val="16"/>
              </w:rPr>
              <w:t xml:space="preserve"> resources</w:t>
            </w:r>
            <w:r>
              <w:rPr>
                <w:b/>
                <w:color w:val="000000"/>
                <w:sz w:val="16"/>
                <w:szCs w:val="16"/>
              </w:rPr>
              <w:t xml:space="preserve">: </w:t>
            </w:r>
            <w:r w:rsidR="00410F3D">
              <w:rPr>
                <w:b/>
                <w:color w:val="000000"/>
                <w:sz w:val="16"/>
                <w:szCs w:val="16"/>
              </w:rPr>
              <w:t>$</w:t>
            </w:r>
            <w:r>
              <w:rPr>
                <w:b/>
                <w:color w:val="000000"/>
                <w:sz w:val="16"/>
                <w:szCs w:val="16"/>
              </w:rPr>
              <w:t>65,000,000</w:t>
            </w:r>
          </w:p>
        </w:tc>
      </w:tr>
      <w:tr w:rsidR="007255AE" w:rsidRPr="003C26C1" w14:paraId="4539D9FB" w14:textId="77777777" w:rsidTr="006431EC">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BAE9FEC" w14:textId="6DC1B487" w:rsidR="007255AE" w:rsidRPr="0055354E" w:rsidRDefault="007255AE" w:rsidP="00413662">
            <w:pPr>
              <w:rPr>
                <w:sz w:val="16"/>
                <w:szCs w:val="16"/>
              </w:rPr>
            </w:pPr>
            <w:r w:rsidRPr="001114F6">
              <w:rPr>
                <w:b/>
                <w:bCs/>
                <w:sz w:val="16"/>
                <w:szCs w:val="16"/>
                <w:lang w:val="en-GB"/>
              </w:rPr>
              <w:t>SEDP 2016-2020</w:t>
            </w:r>
            <w:r w:rsidR="00413662">
              <w:rPr>
                <w:b/>
                <w:bCs/>
                <w:sz w:val="16"/>
                <w:szCs w:val="16"/>
                <w:lang w:val="en-GB"/>
              </w:rPr>
              <w:t xml:space="preserve"> Priority</w:t>
            </w:r>
            <w:r w:rsidRPr="0055354E">
              <w:rPr>
                <w:b/>
                <w:bCs/>
                <w:sz w:val="16"/>
                <w:szCs w:val="16"/>
                <w:lang w:val="en-GB"/>
              </w:rPr>
              <w:t xml:space="preserve"> </w:t>
            </w:r>
            <w:r w:rsidR="00B05F2D">
              <w:rPr>
                <w:b/>
                <w:bCs/>
                <w:sz w:val="16"/>
                <w:szCs w:val="16"/>
                <w:lang w:val="en-GB"/>
              </w:rPr>
              <w:t>8</w:t>
            </w:r>
            <w:r w:rsidR="00413662">
              <w:rPr>
                <w:b/>
                <w:bCs/>
                <w:sz w:val="16"/>
                <w:szCs w:val="16"/>
                <w:lang w:val="en-GB"/>
              </w:rPr>
              <w:t>:</w:t>
            </w:r>
            <w:r w:rsidR="00B05F2D">
              <w:rPr>
                <w:b/>
                <w:bCs/>
                <w:sz w:val="16"/>
                <w:szCs w:val="16"/>
                <w:lang w:val="en-GB"/>
              </w:rPr>
              <w:t xml:space="preserve"> </w:t>
            </w:r>
            <w:r w:rsidRPr="0055354E">
              <w:rPr>
                <w:b/>
                <w:bCs/>
                <w:sz w:val="16"/>
                <w:szCs w:val="16"/>
              </w:rPr>
              <w:t>Enhance the effectiveness and efficiency of state management activities and ensure the right to democracy of people in social development activities</w:t>
            </w:r>
          </w:p>
        </w:tc>
      </w:tr>
      <w:tr w:rsidR="007255AE" w:rsidRPr="003C26C1" w14:paraId="6F5FE2DA" w14:textId="77777777" w:rsidTr="006431EC">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76C4354" w14:textId="60693FAF" w:rsidR="002D70CA" w:rsidRPr="00A47098" w:rsidRDefault="00B05F2D" w:rsidP="00413662">
            <w:pPr>
              <w:rPr>
                <w:b/>
                <w:bCs/>
                <w:sz w:val="16"/>
                <w:szCs w:val="16"/>
              </w:rPr>
            </w:pPr>
            <w:r>
              <w:rPr>
                <w:b/>
                <w:bCs/>
                <w:sz w:val="16"/>
                <w:szCs w:val="16"/>
                <w:lang w:val="en-GB"/>
              </w:rPr>
              <w:t xml:space="preserve">ONE UNITED NATIONS </w:t>
            </w:r>
            <w:r w:rsidR="007255AE" w:rsidRPr="0055354E">
              <w:rPr>
                <w:b/>
                <w:bCs/>
                <w:sz w:val="16"/>
                <w:szCs w:val="16"/>
                <w:lang w:val="en-GB"/>
              </w:rPr>
              <w:t>STRATEGIC PLAN OUTCOME INVOLVING UNDP</w:t>
            </w:r>
            <w:r w:rsidR="00413662">
              <w:rPr>
                <w:b/>
                <w:bCs/>
                <w:sz w:val="16"/>
                <w:szCs w:val="16"/>
                <w:lang w:val="en-GB"/>
              </w:rPr>
              <w:t>:</w:t>
            </w:r>
            <w:r w:rsidR="007255AE" w:rsidRPr="0055354E">
              <w:rPr>
                <w:b/>
                <w:bCs/>
                <w:sz w:val="16"/>
                <w:szCs w:val="16"/>
                <w:lang w:val="en-GB"/>
              </w:rPr>
              <w:t xml:space="preserve"> 4.1</w:t>
            </w:r>
            <w:r w:rsidR="00413662">
              <w:rPr>
                <w:b/>
                <w:bCs/>
                <w:sz w:val="16"/>
                <w:szCs w:val="16"/>
                <w:lang w:val="en-GB"/>
              </w:rPr>
              <w:t xml:space="preserve">. </w:t>
            </w:r>
            <w:r w:rsidR="007255AE" w:rsidRPr="0055354E">
              <w:rPr>
                <w:b/>
                <w:bCs/>
                <w:sz w:val="16"/>
                <w:szCs w:val="16"/>
              </w:rPr>
              <w:t>By 2021</w:t>
            </w:r>
            <w:r w:rsidR="007255AE" w:rsidRPr="008D1D7E">
              <w:rPr>
                <w:b/>
                <w:bCs/>
                <w:sz w:val="16"/>
                <w:szCs w:val="16"/>
              </w:rPr>
              <w:t xml:space="preserve">, </w:t>
            </w:r>
            <w:r w:rsidR="0069670D" w:rsidRPr="008D1D7E">
              <w:rPr>
                <w:b/>
                <w:bCs/>
                <w:iCs/>
                <w:sz w:val="16"/>
                <w:szCs w:val="16"/>
                <w:lang w:val="en-GB"/>
              </w:rPr>
              <w:t xml:space="preserve">participatory and transparent </w:t>
            </w:r>
            <w:r w:rsidR="0069670D" w:rsidRPr="008D1D7E">
              <w:rPr>
                <w:b/>
                <w:bCs/>
                <w:iCs/>
                <w:sz w:val="16"/>
                <w:szCs w:val="16"/>
                <w:lang w:val="vi-VN"/>
              </w:rPr>
              <w:t xml:space="preserve">decision-making processes </w:t>
            </w:r>
            <w:r w:rsidR="0069670D" w:rsidRPr="008D1D7E">
              <w:rPr>
                <w:b/>
                <w:bCs/>
                <w:iCs/>
                <w:sz w:val="16"/>
                <w:szCs w:val="16"/>
                <w:lang w:val="en-GB"/>
              </w:rPr>
              <w:t xml:space="preserve">and accountable institutions </w:t>
            </w:r>
            <w:r w:rsidR="0069670D" w:rsidRPr="008D1D7E">
              <w:rPr>
                <w:b/>
                <w:bCs/>
                <w:iCs/>
                <w:sz w:val="16"/>
                <w:szCs w:val="16"/>
                <w:lang w:val="vi-VN"/>
              </w:rPr>
              <w:t>are strengthened</w:t>
            </w:r>
            <w:r w:rsidR="0069670D" w:rsidRPr="008D1D7E">
              <w:rPr>
                <w:b/>
                <w:bCs/>
                <w:iCs/>
                <w:sz w:val="16"/>
                <w:szCs w:val="16"/>
                <w:lang w:val="en-GB"/>
              </w:rPr>
              <w:t xml:space="preserve">, with </w:t>
            </w:r>
            <w:r w:rsidR="0069670D" w:rsidRPr="008D1D7E">
              <w:rPr>
                <w:b/>
                <w:bCs/>
                <w:iCs/>
                <w:sz w:val="16"/>
                <w:szCs w:val="16"/>
                <w:lang w:val="vi-VN"/>
              </w:rPr>
              <w:t>policie</w:t>
            </w:r>
            <w:r w:rsidR="0069670D" w:rsidRPr="008D1D7E">
              <w:rPr>
                <w:b/>
                <w:bCs/>
                <w:iCs/>
                <w:sz w:val="16"/>
                <w:szCs w:val="16"/>
                <w:lang w:val="en-GB"/>
              </w:rPr>
              <w:t xml:space="preserve">s and </w:t>
            </w:r>
            <w:r w:rsidR="0069670D" w:rsidRPr="008D1D7E">
              <w:rPr>
                <w:b/>
                <w:bCs/>
                <w:iCs/>
                <w:sz w:val="16"/>
                <w:szCs w:val="16"/>
                <w:lang w:val="vi-VN"/>
              </w:rPr>
              <w:t xml:space="preserve">implementation mechanisms that are </w:t>
            </w:r>
            <w:r w:rsidR="0069670D" w:rsidRPr="008D1D7E">
              <w:rPr>
                <w:b/>
                <w:bCs/>
                <w:iCs/>
                <w:sz w:val="16"/>
                <w:szCs w:val="16"/>
                <w:lang w:val="en-GB"/>
              </w:rPr>
              <w:t>responsive to all people,</w:t>
            </w:r>
            <w:r w:rsidR="0069670D" w:rsidRPr="008D1D7E">
              <w:rPr>
                <w:b/>
                <w:bCs/>
                <w:iCs/>
                <w:sz w:val="16"/>
                <w:szCs w:val="16"/>
                <w:lang w:val="vi-VN"/>
              </w:rPr>
              <w:t xml:space="preserve"> particularly </w:t>
            </w:r>
            <w:r w:rsidR="00C70FCF">
              <w:rPr>
                <w:b/>
                <w:bCs/>
                <w:iCs/>
                <w:sz w:val="16"/>
                <w:szCs w:val="16"/>
                <w:lang w:val="en-GB"/>
              </w:rPr>
              <w:t xml:space="preserve">vulnerable groups, </w:t>
            </w:r>
            <w:r w:rsidR="0069670D" w:rsidRPr="008D1D7E">
              <w:rPr>
                <w:b/>
                <w:bCs/>
                <w:iCs/>
                <w:sz w:val="16"/>
                <w:szCs w:val="16"/>
                <w:lang w:val="vi-VN"/>
              </w:rPr>
              <w:t xml:space="preserve">women, </w:t>
            </w:r>
            <w:r w:rsidR="00C70FCF">
              <w:rPr>
                <w:b/>
                <w:bCs/>
                <w:iCs/>
                <w:sz w:val="16"/>
                <w:szCs w:val="16"/>
                <w:lang w:val="en-GB"/>
              </w:rPr>
              <w:t>youth and children</w:t>
            </w:r>
            <w:r w:rsidR="00413662">
              <w:rPr>
                <w:b/>
                <w:bCs/>
                <w:iCs/>
                <w:sz w:val="16"/>
                <w:szCs w:val="16"/>
                <w:lang w:val="en-GB"/>
              </w:rPr>
              <w:t>.</w:t>
            </w:r>
            <w:r w:rsidR="00C70FCF">
              <w:rPr>
                <w:b/>
                <w:bCs/>
                <w:iCs/>
                <w:sz w:val="16"/>
                <w:szCs w:val="16"/>
                <w:lang w:val="en-GB"/>
              </w:rPr>
              <w:t xml:space="preserve"> </w:t>
            </w:r>
          </w:p>
        </w:tc>
      </w:tr>
      <w:tr w:rsidR="007255AE" w:rsidRPr="003C26C1" w14:paraId="190D1046" w14:textId="77777777" w:rsidTr="006431EC">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C8EB044" w14:textId="68F1C644" w:rsidR="007255AE" w:rsidRPr="0055354E" w:rsidRDefault="00B05F2D" w:rsidP="00B05F2D">
            <w:pPr>
              <w:rPr>
                <w:b/>
                <w:bCs/>
                <w:sz w:val="16"/>
                <w:szCs w:val="16"/>
                <w:lang w:val="en-GB"/>
              </w:rPr>
            </w:pPr>
            <w:r>
              <w:rPr>
                <w:b/>
                <w:bCs/>
                <w:sz w:val="16"/>
                <w:szCs w:val="16"/>
                <w:lang w:val="en-GB"/>
              </w:rPr>
              <w:t xml:space="preserve">UNDP </w:t>
            </w:r>
            <w:r w:rsidR="007255AE" w:rsidRPr="0055354E">
              <w:rPr>
                <w:b/>
                <w:bCs/>
                <w:sz w:val="16"/>
                <w:szCs w:val="16"/>
                <w:lang w:val="en-GB"/>
              </w:rPr>
              <w:t>STRATEGIC PLAN OUTCOME</w:t>
            </w:r>
            <w:r>
              <w:rPr>
                <w:b/>
                <w:bCs/>
                <w:sz w:val="16"/>
                <w:szCs w:val="16"/>
                <w:lang w:val="en-GB"/>
              </w:rPr>
              <w:t>:</w:t>
            </w:r>
            <w:r w:rsidR="007255AE" w:rsidRPr="0055354E">
              <w:rPr>
                <w:b/>
                <w:bCs/>
                <w:sz w:val="16"/>
                <w:szCs w:val="16"/>
                <w:lang w:val="en-GB"/>
              </w:rPr>
              <w:t xml:space="preserve"> 2</w:t>
            </w:r>
            <w:r>
              <w:rPr>
                <w:b/>
                <w:bCs/>
                <w:sz w:val="16"/>
                <w:szCs w:val="16"/>
                <w:lang w:val="en-GB"/>
              </w:rPr>
              <w:t>.</w:t>
            </w:r>
            <w:r w:rsidRPr="0055354E">
              <w:rPr>
                <w:b/>
                <w:bCs/>
                <w:sz w:val="16"/>
                <w:szCs w:val="16"/>
                <w:lang w:val="en-GB"/>
              </w:rPr>
              <w:t xml:space="preserve"> </w:t>
            </w:r>
            <w:r w:rsidR="007255AE" w:rsidRPr="0055354E">
              <w:rPr>
                <w:b/>
                <w:bCs/>
                <w:sz w:val="16"/>
                <w:szCs w:val="16"/>
              </w:rPr>
              <w:t>Citizen expectations for voice, development, the rule of law and accountability are met by stronger systems of democratic governance</w:t>
            </w:r>
            <w:r w:rsidR="00413662">
              <w:rPr>
                <w:b/>
                <w:bCs/>
                <w:sz w:val="16"/>
                <w:szCs w:val="16"/>
              </w:rPr>
              <w:t>.</w:t>
            </w:r>
            <w:bookmarkStart w:id="0" w:name="_GoBack"/>
            <w:bookmarkEnd w:id="0"/>
          </w:p>
        </w:tc>
      </w:tr>
      <w:tr w:rsidR="007255AE" w:rsidRPr="003C26C1" w14:paraId="0E5AE0A6" w14:textId="77777777" w:rsidTr="006431EC">
        <w:tc>
          <w:tcPr>
            <w:tcW w:w="1097" w:type="pct"/>
            <w:tcBorders>
              <w:top w:val="single" w:sz="4" w:space="0" w:color="auto"/>
              <w:left w:val="single" w:sz="4" w:space="0" w:color="auto"/>
              <w:bottom w:val="single" w:sz="4" w:space="0" w:color="auto"/>
            </w:tcBorders>
            <w:tcMar>
              <w:top w:w="72" w:type="dxa"/>
              <w:left w:w="144" w:type="dxa"/>
              <w:bottom w:w="72" w:type="dxa"/>
              <w:right w:w="144" w:type="dxa"/>
            </w:tcMar>
          </w:tcPr>
          <w:p w14:paraId="7BE6E1F4" w14:textId="55564F8E" w:rsidR="00823B0B" w:rsidRDefault="00823B0B" w:rsidP="00823B0B">
            <w:pPr>
              <w:rPr>
                <w:lang w:val="en-GB" w:eastAsia="en-GB"/>
              </w:rPr>
            </w:pPr>
            <w:r>
              <w:rPr>
                <w:b/>
                <w:bCs/>
                <w:sz w:val="16"/>
                <w:szCs w:val="16"/>
              </w:rPr>
              <w:t>5.5.1: Proportion of seats held by women in the National Assembly and local governments</w:t>
            </w:r>
          </w:p>
          <w:p w14:paraId="63774AEB" w14:textId="77777777" w:rsidR="00823B0B" w:rsidRDefault="00823B0B" w:rsidP="00823B0B">
            <w:r>
              <w:rPr>
                <w:sz w:val="16"/>
                <w:szCs w:val="16"/>
              </w:rPr>
              <w:t> </w:t>
            </w:r>
          </w:p>
          <w:p w14:paraId="72820E2E" w14:textId="77777777" w:rsidR="00823B0B" w:rsidRDefault="00823B0B" w:rsidP="00823B0B">
            <w:r>
              <w:rPr>
                <w:b/>
                <w:bCs/>
                <w:sz w:val="16"/>
                <w:szCs w:val="16"/>
              </w:rPr>
              <w:t>Baseline (2014)</w:t>
            </w:r>
            <w:r>
              <w:rPr>
                <w:sz w:val="16"/>
                <w:szCs w:val="16"/>
              </w:rPr>
              <w:t xml:space="preserve">: </w:t>
            </w:r>
            <w:r>
              <w:rPr>
                <w:sz w:val="16"/>
                <w:szCs w:val="16"/>
              </w:rPr>
              <w:br/>
              <w:t>National Assembly: 24.4%</w:t>
            </w:r>
          </w:p>
          <w:p w14:paraId="026701BC" w14:textId="77777777" w:rsidR="00823B0B" w:rsidRDefault="00823B0B" w:rsidP="00823B0B">
            <w:r>
              <w:rPr>
                <w:sz w:val="16"/>
                <w:szCs w:val="16"/>
              </w:rPr>
              <w:t xml:space="preserve">Provincial: 25.7% </w:t>
            </w:r>
          </w:p>
          <w:p w14:paraId="44BA4910" w14:textId="77777777" w:rsidR="00823B0B" w:rsidRDefault="00823B0B" w:rsidP="00823B0B">
            <w:r>
              <w:rPr>
                <w:sz w:val="16"/>
                <w:szCs w:val="16"/>
              </w:rPr>
              <w:t>District: 24.6%</w:t>
            </w:r>
          </w:p>
          <w:p w14:paraId="3991B465" w14:textId="77777777" w:rsidR="00823B0B" w:rsidRDefault="00823B0B" w:rsidP="00823B0B">
            <w:r>
              <w:rPr>
                <w:sz w:val="16"/>
                <w:szCs w:val="16"/>
              </w:rPr>
              <w:t>Commune: 27.7%</w:t>
            </w:r>
            <w:r>
              <w:rPr>
                <w:sz w:val="16"/>
                <w:szCs w:val="16"/>
                <w:highlight w:val="yellow"/>
              </w:rPr>
              <w:t xml:space="preserve"> </w:t>
            </w:r>
          </w:p>
          <w:p w14:paraId="2CD2F505" w14:textId="730D869A" w:rsidR="00823B0B" w:rsidRDefault="00823B0B" w:rsidP="00823B0B">
            <w:r>
              <w:rPr>
                <w:b/>
                <w:bCs/>
                <w:sz w:val="16"/>
                <w:szCs w:val="16"/>
              </w:rPr>
              <w:t> Target:</w:t>
            </w:r>
            <w:r>
              <w:rPr>
                <w:sz w:val="16"/>
                <w:szCs w:val="16"/>
              </w:rPr>
              <w:t xml:space="preserve"> 35% (at all levels)</w:t>
            </w:r>
            <w:r w:rsidR="00FE3CD6">
              <w:rPr>
                <w:sz w:val="16"/>
                <w:szCs w:val="16"/>
              </w:rPr>
              <w:t>.</w:t>
            </w:r>
          </w:p>
          <w:p w14:paraId="22C158E6" w14:textId="77777777" w:rsidR="001B41AD" w:rsidRDefault="001B41AD" w:rsidP="00666707">
            <w:pPr>
              <w:rPr>
                <w:b/>
                <w:bCs/>
                <w:sz w:val="16"/>
                <w:szCs w:val="16"/>
                <w:lang w:val="en-GB"/>
              </w:rPr>
            </w:pPr>
          </w:p>
          <w:p w14:paraId="6E7C30D1" w14:textId="77777777" w:rsidR="001B41AD" w:rsidRDefault="001B41AD" w:rsidP="00666707">
            <w:pPr>
              <w:rPr>
                <w:b/>
                <w:bCs/>
                <w:sz w:val="16"/>
                <w:szCs w:val="16"/>
                <w:lang w:val="en-GB"/>
              </w:rPr>
            </w:pPr>
          </w:p>
          <w:p w14:paraId="3BCA00C7" w14:textId="6B36EAE7" w:rsidR="00823B0B" w:rsidRDefault="00823B0B" w:rsidP="00823B0B">
            <w:pPr>
              <w:rPr>
                <w:lang w:val="en-GB" w:eastAsia="en-GB"/>
              </w:rPr>
            </w:pPr>
            <w:r>
              <w:rPr>
                <w:b/>
                <w:bCs/>
                <w:sz w:val="16"/>
                <w:szCs w:val="16"/>
              </w:rPr>
              <w:t>16.6.2: Percentage of the population satisfied with their last experience of public services</w:t>
            </w:r>
          </w:p>
          <w:p w14:paraId="5F58ECB1" w14:textId="6ED7D78E" w:rsidR="00823B0B" w:rsidRDefault="00823B0B" w:rsidP="00823B0B">
            <w:r>
              <w:rPr>
                <w:b/>
                <w:bCs/>
                <w:sz w:val="16"/>
                <w:szCs w:val="16"/>
              </w:rPr>
              <w:t>Baseline (2015)</w:t>
            </w:r>
            <w:r>
              <w:rPr>
                <w:sz w:val="16"/>
                <w:szCs w:val="16"/>
              </w:rPr>
              <w:t>: 74%</w:t>
            </w:r>
            <w:r w:rsidR="00335171">
              <w:rPr>
                <w:sz w:val="16"/>
                <w:szCs w:val="16"/>
              </w:rPr>
              <w:t xml:space="preserve"> (sampling of 10 localities in the Satisfaction Index of Public Administration Services, Ministry of Home Affairs)</w:t>
            </w:r>
          </w:p>
          <w:p w14:paraId="717D2042" w14:textId="77777777" w:rsidR="00823B0B" w:rsidRDefault="00823B0B" w:rsidP="00823B0B">
            <w:r>
              <w:rPr>
                <w:b/>
                <w:bCs/>
                <w:sz w:val="16"/>
                <w:szCs w:val="16"/>
              </w:rPr>
              <w:t> </w:t>
            </w:r>
          </w:p>
          <w:p w14:paraId="3B8BF910" w14:textId="57363E9B" w:rsidR="005935DB" w:rsidRPr="005935DB" w:rsidRDefault="00823B0B" w:rsidP="00AA3B29">
            <w:pPr>
              <w:rPr>
                <w:color w:val="FF0000"/>
                <w:lang w:val="en-GB"/>
              </w:rPr>
            </w:pPr>
            <w:r>
              <w:rPr>
                <w:b/>
                <w:bCs/>
                <w:sz w:val="16"/>
                <w:szCs w:val="16"/>
              </w:rPr>
              <w:t>Target:</w:t>
            </w:r>
            <w:r>
              <w:rPr>
                <w:sz w:val="16"/>
                <w:szCs w:val="16"/>
              </w:rPr>
              <w:t xml:space="preserve"> 80%</w:t>
            </w:r>
            <w:r w:rsidR="00FE3CD6">
              <w:rPr>
                <w:sz w:val="16"/>
                <w:szCs w:val="16"/>
              </w:rPr>
              <w:t>.</w:t>
            </w:r>
          </w:p>
        </w:tc>
        <w:tc>
          <w:tcPr>
            <w:tcW w:w="758" w:type="pct"/>
            <w:tcBorders>
              <w:top w:val="single" w:sz="4" w:space="0" w:color="auto"/>
              <w:bottom w:val="single" w:sz="4" w:space="0" w:color="auto"/>
            </w:tcBorders>
          </w:tcPr>
          <w:p w14:paraId="7C3F4DE8" w14:textId="760E091D" w:rsidR="00AA3B29" w:rsidRPr="0096113C" w:rsidRDefault="00823B0B" w:rsidP="00823B0B">
            <w:pPr>
              <w:pStyle w:val="ListParagraph"/>
              <w:numPr>
                <w:ilvl w:val="0"/>
                <w:numId w:val="18"/>
              </w:numPr>
              <w:ind w:left="153" w:hanging="153"/>
              <w:rPr>
                <w:bCs/>
                <w:i/>
                <w:sz w:val="16"/>
                <w:szCs w:val="16"/>
                <w:lang w:val="en-GB"/>
              </w:rPr>
            </w:pPr>
            <w:r w:rsidRPr="0096113C">
              <w:rPr>
                <w:sz w:val="16"/>
                <w:szCs w:val="16"/>
              </w:rPr>
              <w:t xml:space="preserve">Office of </w:t>
            </w:r>
            <w:r w:rsidR="00335171" w:rsidRPr="0096113C">
              <w:rPr>
                <w:sz w:val="16"/>
                <w:szCs w:val="16"/>
              </w:rPr>
              <w:t xml:space="preserve">the </w:t>
            </w:r>
            <w:r w:rsidRPr="0096113C">
              <w:rPr>
                <w:sz w:val="16"/>
                <w:szCs w:val="16"/>
              </w:rPr>
              <w:t xml:space="preserve">National Assembly </w:t>
            </w:r>
            <w:r w:rsidR="00335171" w:rsidRPr="0096113C">
              <w:rPr>
                <w:sz w:val="16"/>
                <w:szCs w:val="16"/>
              </w:rPr>
              <w:t xml:space="preserve">reports </w:t>
            </w:r>
            <w:r w:rsidRPr="0096113C">
              <w:rPr>
                <w:i/>
                <w:iCs/>
                <w:sz w:val="16"/>
                <w:szCs w:val="16"/>
              </w:rPr>
              <w:t>(annual)</w:t>
            </w:r>
            <w:r w:rsidRPr="0096113C">
              <w:rPr>
                <w:bCs/>
                <w:i/>
                <w:sz w:val="16"/>
                <w:szCs w:val="16"/>
                <w:lang w:val="en-GB"/>
              </w:rPr>
              <w:t xml:space="preserve"> </w:t>
            </w:r>
          </w:p>
          <w:p w14:paraId="239CC281" w14:textId="77777777" w:rsidR="00AA3B29" w:rsidRPr="0096113C" w:rsidRDefault="00AA3B29" w:rsidP="00AA3B29">
            <w:pPr>
              <w:pStyle w:val="ListParagraph"/>
              <w:ind w:left="153"/>
              <w:rPr>
                <w:bCs/>
                <w:i/>
                <w:sz w:val="16"/>
                <w:szCs w:val="16"/>
                <w:lang w:val="en-GB"/>
              </w:rPr>
            </w:pPr>
          </w:p>
          <w:p w14:paraId="4FDEA734" w14:textId="77777777" w:rsidR="00AA3B29" w:rsidRPr="0096113C" w:rsidRDefault="00AA3B29" w:rsidP="00AA3B29">
            <w:pPr>
              <w:pStyle w:val="ListParagraph"/>
              <w:ind w:left="153"/>
              <w:rPr>
                <w:bCs/>
                <w:i/>
                <w:sz w:val="16"/>
                <w:szCs w:val="16"/>
                <w:lang w:val="en-GB"/>
              </w:rPr>
            </w:pPr>
          </w:p>
          <w:p w14:paraId="2BC155A7" w14:textId="77777777" w:rsidR="00AA3B29" w:rsidRPr="0096113C" w:rsidRDefault="00AA3B29" w:rsidP="00AA3B29">
            <w:pPr>
              <w:pStyle w:val="ListParagraph"/>
              <w:ind w:left="153"/>
              <w:rPr>
                <w:bCs/>
                <w:i/>
                <w:sz w:val="16"/>
                <w:szCs w:val="16"/>
                <w:lang w:val="en-GB"/>
              </w:rPr>
            </w:pPr>
          </w:p>
          <w:p w14:paraId="32FFA064" w14:textId="77777777" w:rsidR="00AA3B29" w:rsidRPr="0096113C" w:rsidRDefault="00AA3B29" w:rsidP="00AA3B29">
            <w:pPr>
              <w:pStyle w:val="ListParagraph"/>
              <w:ind w:left="153"/>
              <w:rPr>
                <w:bCs/>
                <w:i/>
                <w:sz w:val="16"/>
                <w:szCs w:val="16"/>
                <w:lang w:val="en-GB"/>
              </w:rPr>
            </w:pPr>
          </w:p>
          <w:p w14:paraId="13B8E310" w14:textId="77777777" w:rsidR="00AA3B29" w:rsidRPr="0096113C" w:rsidRDefault="00AA3B29" w:rsidP="00AA3B29">
            <w:pPr>
              <w:pStyle w:val="ListParagraph"/>
              <w:ind w:left="153"/>
              <w:rPr>
                <w:bCs/>
                <w:i/>
                <w:sz w:val="16"/>
                <w:szCs w:val="16"/>
                <w:lang w:val="en-GB"/>
              </w:rPr>
            </w:pPr>
          </w:p>
          <w:p w14:paraId="36EBA246" w14:textId="77777777" w:rsidR="00AA3B29" w:rsidRPr="0096113C" w:rsidRDefault="00AA3B29" w:rsidP="00AA3B29">
            <w:pPr>
              <w:pStyle w:val="ListParagraph"/>
              <w:ind w:left="153"/>
              <w:rPr>
                <w:bCs/>
                <w:i/>
                <w:sz w:val="16"/>
                <w:szCs w:val="16"/>
                <w:lang w:val="en-GB"/>
              </w:rPr>
            </w:pPr>
          </w:p>
          <w:p w14:paraId="08BD1985" w14:textId="77777777" w:rsidR="00AA3B29" w:rsidRPr="0096113C" w:rsidRDefault="00AA3B29" w:rsidP="00AA3B29">
            <w:pPr>
              <w:pStyle w:val="ListParagraph"/>
              <w:ind w:left="153"/>
              <w:rPr>
                <w:bCs/>
                <w:i/>
                <w:sz w:val="16"/>
                <w:szCs w:val="16"/>
                <w:lang w:val="en-GB"/>
              </w:rPr>
            </w:pPr>
          </w:p>
          <w:p w14:paraId="340E8B4C" w14:textId="77777777" w:rsidR="00823B0B" w:rsidRPr="0096113C" w:rsidRDefault="00823B0B" w:rsidP="00AA3B29">
            <w:pPr>
              <w:pStyle w:val="ListParagraph"/>
              <w:ind w:left="153"/>
              <w:rPr>
                <w:bCs/>
                <w:i/>
                <w:sz w:val="16"/>
                <w:szCs w:val="16"/>
                <w:lang w:val="en-GB"/>
              </w:rPr>
            </w:pPr>
          </w:p>
          <w:p w14:paraId="2D02AB37" w14:textId="77777777" w:rsidR="00823B0B" w:rsidRPr="0096113C" w:rsidRDefault="00823B0B" w:rsidP="00AA3B29">
            <w:pPr>
              <w:pStyle w:val="ListParagraph"/>
              <w:ind w:left="153"/>
              <w:rPr>
                <w:bCs/>
                <w:i/>
                <w:sz w:val="16"/>
                <w:szCs w:val="16"/>
                <w:lang w:val="en-GB"/>
              </w:rPr>
            </w:pPr>
          </w:p>
          <w:p w14:paraId="5A6F3731" w14:textId="77777777" w:rsidR="00823B0B" w:rsidRPr="0096113C" w:rsidRDefault="00823B0B" w:rsidP="00AA3B29">
            <w:pPr>
              <w:pStyle w:val="ListParagraph"/>
              <w:ind w:left="153"/>
              <w:rPr>
                <w:bCs/>
                <w:i/>
                <w:sz w:val="16"/>
                <w:szCs w:val="16"/>
                <w:lang w:val="en-GB"/>
              </w:rPr>
            </w:pPr>
          </w:p>
          <w:p w14:paraId="51323D04" w14:textId="08C4C234" w:rsidR="004C66A1" w:rsidRPr="0096113C" w:rsidRDefault="00823B0B" w:rsidP="006431EC">
            <w:pPr>
              <w:pStyle w:val="ListParagraph"/>
              <w:numPr>
                <w:ilvl w:val="0"/>
                <w:numId w:val="18"/>
              </w:numPr>
              <w:ind w:left="153" w:hanging="153"/>
              <w:rPr>
                <w:bCs/>
                <w:sz w:val="16"/>
                <w:szCs w:val="16"/>
                <w:lang w:val="en-GB"/>
              </w:rPr>
            </w:pPr>
            <w:r w:rsidRPr="0096113C">
              <w:rPr>
                <w:iCs/>
                <w:sz w:val="16"/>
                <w:szCs w:val="16"/>
              </w:rPr>
              <w:t>Viet Nam</w:t>
            </w:r>
            <w:r w:rsidRPr="0096113C">
              <w:rPr>
                <w:sz w:val="16"/>
                <w:szCs w:val="16"/>
              </w:rPr>
              <w:t xml:space="preserve"> Provincial Governance and </w:t>
            </w:r>
            <w:r w:rsidRPr="0096113C">
              <w:rPr>
                <w:iCs/>
                <w:sz w:val="16"/>
                <w:szCs w:val="16"/>
              </w:rPr>
              <w:t>Public Administration Performance Index</w:t>
            </w:r>
            <w:r w:rsidRPr="0096113C">
              <w:rPr>
                <w:sz w:val="16"/>
                <w:szCs w:val="16"/>
              </w:rPr>
              <w:t xml:space="preserve"> (</w:t>
            </w:r>
            <w:r w:rsidRPr="0096113C">
              <w:rPr>
                <w:iCs/>
                <w:sz w:val="16"/>
                <w:szCs w:val="16"/>
              </w:rPr>
              <w:t>PAPI</w:t>
            </w:r>
            <w:r w:rsidRPr="0096113C">
              <w:rPr>
                <w:sz w:val="16"/>
                <w:szCs w:val="16"/>
              </w:rPr>
              <w:t>)</w:t>
            </w:r>
            <w:r w:rsidR="00335171" w:rsidRPr="0096113C">
              <w:rPr>
                <w:sz w:val="16"/>
                <w:szCs w:val="16"/>
              </w:rPr>
              <w:t xml:space="preserve"> produced by the Viet Nam Fatherland Front and UNDP</w:t>
            </w:r>
            <w:r w:rsidRPr="0096113C">
              <w:rPr>
                <w:sz w:val="16"/>
                <w:szCs w:val="16"/>
              </w:rPr>
              <w:t xml:space="preserve"> </w:t>
            </w:r>
            <w:r w:rsidR="00AA3B29" w:rsidRPr="0096113C">
              <w:rPr>
                <w:i/>
                <w:sz w:val="16"/>
                <w:szCs w:val="16"/>
              </w:rPr>
              <w:t>(</w:t>
            </w:r>
            <w:r w:rsidR="00335171" w:rsidRPr="0096113C">
              <w:rPr>
                <w:i/>
                <w:sz w:val="16"/>
                <w:szCs w:val="16"/>
              </w:rPr>
              <w:t xml:space="preserve">nationwide, </w:t>
            </w:r>
            <w:r w:rsidR="00AA3B29" w:rsidRPr="0096113C">
              <w:rPr>
                <w:i/>
                <w:sz w:val="16"/>
                <w:szCs w:val="16"/>
              </w:rPr>
              <w:t>annual)</w:t>
            </w:r>
          </w:p>
        </w:tc>
        <w:tc>
          <w:tcPr>
            <w:tcW w:w="1377" w:type="pct"/>
            <w:tcBorders>
              <w:top w:val="single" w:sz="4" w:space="0" w:color="auto"/>
              <w:bottom w:val="single" w:sz="4" w:space="0" w:color="auto"/>
            </w:tcBorders>
            <w:tcMar>
              <w:top w:w="72" w:type="dxa"/>
              <w:left w:w="144" w:type="dxa"/>
              <w:bottom w:w="72" w:type="dxa"/>
              <w:right w:w="144" w:type="dxa"/>
            </w:tcMar>
          </w:tcPr>
          <w:p w14:paraId="0F5BAA9B" w14:textId="77777777" w:rsidR="007255AE" w:rsidRPr="00E066B3" w:rsidRDefault="005634E2" w:rsidP="005634E2">
            <w:pPr>
              <w:rPr>
                <w:b/>
                <w:iCs/>
                <w:color w:val="000000"/>
                <w:sz w:val="16"/>
                <w:szCs w:val="16"/>
                <w:lang w:val="en-GB"/>
              </w:rPr>
            </w:pPr>
            <w:r>
              <w:rPr>
                <w:b/>
                <w:iCs/>
                <w:color w:val="000000"/>
                <w:sz w:val="16"/>
                <w:szCs w:val="16"/>
                <w:lang w:val="en-GB"/>
              </w:rPr>
              <w:t>4.</w:t>
            </w:r>
            <w:r w:rsidR="007255AE" w:rsidRPr="00E066B3">
              <w:rPr>
                <w:b/>
                <w:iCs/>
                <w:color w:val="000000"/>
                <w:sz w:val="16"/>
                <w:szCs w:val="16"/>
                <w:lang w:val="en-GB"/>
              </w:rPr>
              <w:t>1: Functions and capacity of the rule of law institutions supported, including to strengthen the protection of human rights and improve access to justice and redress</w:t>
            </w:r>
          </w:p>
          <w:p w14:paraId="4AACC237" w14:textId="77777777" w:rsidR="007255AE" w:rsidRPr="00E066B3" w:rsidRDefault="007255AE" w:rsidP="005634E2">
            <w:pPr>
              <w:rPr>
                <w:iCs/>
                <w:color w:val="000000"/>
                <w:sz w:val="16"/>
                <w:szCs w:val="16"/>
                <w:lang w:val="en-GB"/>
              </w:rPr>
            </w:pPr>
          </w:p>
          <w:p w14:paraId="60A3A3E0" w14:textId="537F464D" w:rsidR="007255AE" w:rsidRPr="00E066B3" w:rsidRDefault="00B05F2D" w:rsidP="005634E2">
            <w:pPr>
              <w:rPr>
                <w:iCs/>
                <w:color w:val="000000"/>
                <w:sz w:val="16"/>
                <w:szCs w:val="16"/>
                <w:lang w:val="en-GB"/>
              </w:rPr>
            </w:pPr>
            <w:r>
              <w:rPr>
                <w:iCs/>
                <w:color w:val="000000"/>
                <w:sz w:val="16"/>
                <w:szCs w:val="16"/>
                <w:lang w:val="en-GB"/>
              </w:rPr>
              <w:t xml:space="preserve">Number </w:t>
            </w:r>
            <w:r w:rsidR="007255AE">
              <w:rPr>
                <w:iCs/>
                <w:color w:val="000000"/>
                <w:sz w:val="16"/>
                <w:szCs w:val="16"/>
                <w:lang w:val="en-GB"/>
              </w:rPr>
              <w:t xml:space="preserve">of </w:t>
            </w:r>
            <w:r w:rsidR="00741806">
              <w:rPr>
                <w:iCs/>
                <w:color w:val="000000"/>
                <w:sz w:val="16"/>
                <w:szCs w:val="16"/>
                <w:lang w:val="en-GB"/>
              </w:rPr>
              <w:t xml:space="preserve">women and men </w:t>
            </w:r>
            <w:r w:rsidR="007255AE">
              <w:rPr>
                <w:iCs/>
                <w:color w:val="000000"/>
                <w:sz w:val="16"/>
                <w:szCs w:val="16"/>
                <w:lang w:val="en-GB"/>
              </w:rPr>
              <w:t>with access to legal aid services</w:t>
            </w:r>
          </w:p>
          <w:p w14:paraId="00D2B7CC" w14:textId="50A3B240" w:rsidR="007255AE" w:rsidRPr="0027502A" w:rsidRDefault="007255AE" w:rsidP="005634E2">
            <w:pPr>
              <w:rPr>
                <w:b/>
                <w:iCs/>
                <w:color w:val="000000"/>
                <w:sz w:val="16"/>
                <w:szCs w:val="16"/>
                <w:lang w:val="en-GB"/>
              </w:rPr>
            </w:pPr>
            <w:r w:rsidRPr="00E066B3">
              <w:rPr>
                <w:b/>
                <w:iCs/>
                <w:color w:val="000000"/>
                <w:sz w:val="16"/>
                <w:szCs w:val="16"/>
                <w:lang w:val="en-GB"/>
              </w:rPr>
              <w:t>Baseline (201</w:t>
            </w:r>
            <w:r>
              <w:rPr>
                <w:b/>
                <w:iCs/>
                <w:color w:val="000000"/>
                <w:sz w:val="16"/>
                <w:szCs w:val="16"/>
                <w:lang w:val="en-GB"/>
              </w:rPr>
              <w:t>5</w:t>
            </w:r>
            <w:r w:rsidRPr="00E066B3">
              <w:rPr>
                <w:b/>
                <w:iCs/>
                <w:color w:val="000000"/>
                <w:sz w:val="16"/>
                <w:szCs w:val="16"/>
                <w:lang w:val="en-GB"/>
              </w:rPr>
              <w:t>):</w:t>
            </w:r>
            <w:r w:rsidR="001F634D">
              <w:rPr>
                <w:b/>
                <w:iCs/>
                <w:color w:val="000000"/>
                <w:sz w:val="16"/>
                <w:szCs w:val="16"/>
                <w:lang w:val="en-GB"/>
              </w:rPr>
              <w:t xml:space="preserve"> </w:t>
            </w:r>
            <w:r>
              <w:rPr>
                <w:iCs/>
                <w:color w:val="000000"/>
                <w:sz w:val="16"/>
                <w:szCs w:val="16"/>
                <w:lang w:val="en-GB"/>
              </w:rPr>
              <w:t>57,695</w:t>
            </w:r>
            <w:r w:rsidR="00B05F2D">
              <w:rPr>
                <w:iCs/>
                <w:color w:val="000000"/>
                <w:sz w:val="16"/>
                <w:szCs w:val="16"/>
                <w:lang w:val="en-GB"/>
              </w:rPr>
              <w:t xml:space="preserve"> women/</w:t>
            </w:r>
            <w:r>
              <w:rPr>
                <w:iCs/>
                <w:color w:val="000000"/>
                <w:sz w:val="16"/>
                <w:szCs w:val="16"/>
                <w:lang w:val="en-GB"/>
              </w:rPr>
              <w:t>63,492</w:t>
            </w:r>
            <w:r w:rsidR="00B05F2D">
              <w:rPr>
                <w:iCs/>
                <w:color w:val="000000"/>
                <w:sz w:val="16"/>
                <w:szCs w:val="16"/>
                <w:lang w:val="en-GB"/>
              </w:rPr>
              <w:t xml:space="preserve"> men</w:t>
            </w:r>
          </w:p>
          <w:p w14:paraId="2EE1C468" w14:textId="43A86817" w:rsidR="007255AE" w:rsidRPr="0027502A" w:rsidRDefault="007255AE" w:rsidP="005634E2">
            <w:pPr>
              <w:rPr>
                <w:iCs/>
                <w:color w:val="000000"/>
                <w:sz w:val="16"/>
                <w:szCs w:val="16"/>
                <w:lang w:val="en-GB"/>
              </w:rPr>
            </w:pPr>
            <w:r w:rsidRPr="00E066B3">
              <w:rPr>
                <w:b/>
                <w:iCs/>
                <w:color w:val="000000"/>
                <w:sz w:val="16"/>
                <w:szCs w:val="16"/>
                <w:lang w:val="en-GB"/>
              </w:rPr>
              <w:t>Target:</w:t>
            </w:r>
            <w:r w:rsidR="001F634D">
              <w:rPr>
                <w:b/>
                <w:iCs/>
                <w:color w:val="000000"/>
                <w:sz w:val="16"/>
                <w:szCs w:val="16"/>
                <w:lang w:val="en-GB"/>
              </w:rPr>
              <w:t xml:space="preserve"> </w:t>
            </w:r>
            <w:r w:rsidR="005634E2">
              <w:rPr>
                <w:iCs/>
                <w:color w:val="000000" w:themeColor="text1"/>
                <w:sz w:val="16"/>
                <w:szCs w:val="16"/>
                <w:lang w:val="en-GB"/>
              </w:rPr>
              <w:t>135,000</w:t>
            </w:r>
            <w:r w:rsidR="00B05F2D">
              <w:rPr>
                <w:iCs/>
                <w:color w:val="000000" w:themeColor="text1"/>
                <w:sz w:val="16"/>
                <w:szCs w:val="16"/>
                <w:lang w:val="en-GB"/>
              </w:rPr>
              <w:t xml:space="preserve"> women</w:t>
            </w:r>
            <w:r w:rsidR="00741806">
              <w:rPr>
                <w:iCs/>
                <w:color w:val="000000" w:themeColor="text1"/>
                <w:sz w:val="16"/>
                <w:szCs w:val="16"/>
                <w:lang w:val="en-GB"/>
              </w:rPr>
              <w:t>/</w:t>
            </w:r>
            <w:r w:rsidR="005634E2">
              <w:rPr>
                <w:iCs/>
                <w:color w:val="000000" w:themeColor="text1"/>
                <w:sz w:val="16"/>
                <w:szCs w:val="16"/>
                <w:lang w:val="en-GB"/>
              </w:rPr>
              <w:t>13</w:t>
            </w:r>
            <w:r w:rsidR="00965E39">
              <w:rPr>
                <w:iCs/>
                <w:color w:val="000000" w:themeColor="text1"/>
                <w:sz w:val="16"/>
                <w:szCs w:val="16"/>
                <w:lang w:val="en-GB"/>
              </w:rPr>
              <w:t>5,000</w:t>
            </w:r>
            <w:r w:rsidR="00B05F2D">
              <w:rPr>
                <w:iCs/>
                <w:color w:val="000000" w:themeColor="text1"/>
                <w:sz w:val="16"/>
                <w:szCs w:val="16"/>
                <w:lang w:val="en-GB"/>
              </w:rPr>
              <w:t xml:space="preserve"> men</w:t>
            </w:r>
          </w:p>
          <w:p w14:paraId="2638A592" w14:textId="77777777" w:rsidR="007255AE" w:rsidRPr="0027502A" w:rsidRDefault="007255AE" w:rsidP="005634E2">
            <w:pPr>
              <w:rPr>
                <w:iCs/>
                <w:color w:val="000000"/>
                <w:sz w:val="16"/>
                <w:szCs w:val="16"/>
                <w:lang w:val="en-GB"/>
              </w:rPr>
            </w:pPr>
            <w:r w:rsidRPr="00E066B3">
              <w:rPr>
                <w:b/>
                <w:iCs/>
                <w:color w:val="000000"/>
                <w:sz w:val="16"/>
                <w:szCs w:val="16"/>
                <w:lang w:val="en-GB"/>
              </w:rPr>
              <w:t>Source:</w:t>
            </w:r>
            <w:r>
              <w:rPr>
                <w:iCs/>
                <w:color w:val="000000"/>
                <w:sz w:val="16"/>
                <w:szCs w:val="16"/>
                <w:lang w:val="en-GB"/>
              </w:rPr>
              <w:t xml:space="preserve"> Ministry of Justice, project reports</w:t>
            </w:r>
            <w:r w:rsidR="000E3032">
              <w:rPr>
                <w:iCs/>
                <w:color w:val="000000"/>
                <w:sz w:val="16"/>
                <w:szCs w:val="16"/>
                <w:lang w:val="en-GB"/>
              </w:rPr>
              <w:t>.</w:t>
            </w:r>
          </w:p>
          <w:p w14:paraId="6634A492" w14:textId="77777777" w:rsidR="007255AE" w:rsidRDefault="007255AE" w:rsidP="005634E2">
            <w:pPr>
              <w:rPr>
                <w:iCs/>
                <w:color w:val="000000"/>
                <w:sz w:val="16"/>
                <w:szCs w:val="16"/>
                <w:lang w:val="en-GB"/>
              </w:rPr>
            </w:pPr>
          </w:p>
          <w:p w14:paraId="0C9A6506" w14:textId="77777777" w:rsidR="007255AE" w:rsidRDefault="007255AE" w:rsidP="005634E2">
            <w:pPr>
              <w:rPr>
                <w:iCs/>
                <w:color w:val="000000"/>
                <w:sz w:val="16"/>
                <w:szCs w:val="16"/>
                <w:lang w:val="en-GB"/>
              </w:rPr>
            </w:pPr>
          </w:p>
          <w:p w14:paraId="30604329" w14:textId="77777777" w:rsidR="00586735" w:rsidRDefault="005634E2" w:rsidP="005634E2">
            <w:pPr>
              <w:rPr>
                <w:b/>
                <w:iCs/>
                <w:color w:val="000000"/>
                <w:sz w:val="16"/>
                <w:szCs w:val="16"/>
                <w:lang w:val="en-GB"/>
              </w:rPr>
            </w:pPr>
            <w:r>
              <w:rPr>
                <w:b/>
                <w:iCs/>
                <w:color w:val="000000"/>
                <w:sz w:val="16"/>
                <w:szCs w:val="16"/>
                <w:lang w:val="en-GB"/>
              </w:rPr>
              <w:t>4</w:t>
            </w:r>
            <w:r w:rsidR="007255AE" w:rsidRPr="008C19BF">
              <w:rPr>
                <w:b/>
                <w:iCs/>
                <w:color w:val="000000"/>
                <w:sz w:val="16"/>
                <w:szCs w:val="16"/>
                <w:lang w:val="en-GB"/>
              </w:rPr>
              <w:t xml:space="preserve">.2: </w:t>
            </w:r>
            <w:r w:rsidR="00586735" w:rsidRPr="00586735">
              <w:rPr>
                <w:b/>
                <w:iCs/>
                <w:color w:val="000000"/>
                <w:sz w:val="16"/>
                <w:szCs w:val="16"/>
                <w:lang w:val="en-GB"/>
              </w:rPr>
              <w:t>Increase in women’s participation in decision-making and representation in leadership positions</w:t>
            </w:r>
          </w:p>
          <w:p w14:paraId="77FD56DB" w14:textId="77777777" w:rsidR="00586735" w:rsidRDefault="00586735" w:rsidP="005634E2">
            <w:pPr>
              <w:rPr>
                <w:b/>
                <w:iCs/>
                <w:color w:val="000000"/>
                <w:sz w:val="16"/>
                <w:szCs w:val="16"/>
                <w:lang w:val="en-GB"/>
              </w:rPr>
            </w:pPr>
          </w:p>
          <w:p w14:paraId="4CF9FD07" w14:textId="600CB23C" w:rsidR="007255AE" w:rsidRDefault="00B05F2D" w:rsidP="005634E2">
            <w:pPr>
              <w:rPr>
                <w:iCs/>
                <w:color w:val="000000"/>
                <w:sz w:val="16"/>
                <w:szCs w:val="16"/>
                <w:lang w:val="en-GB"/>
              </w:rPr>
            </w:pPr>
            <w:r>
              <w:rPr>
                <w:iCs/>
                <w:color w:val="000000"/>
                <w:sz w:val="16"/>
                <w:szCs w:val="16"/>
                <w:lang w:val="en-GB"/>
              </w:rPr>
              <w:t xml:space="preserve">Number </w:t>
            </w:r>
            <w:r w:rsidR="007255AE">
              <w:rPr>
                <w:iCs/>
                <w:color w:val="000000"/>
                <w:sz w:val="16"/>
                <w:szCs w:val="16"/>
                <w:lang w:val="en-GB"/>
              </w:rPr>
              <w:t>of women benefiting from measures to support preparedness for leadership and decision-making roles</w:t>
            </w:r>
          </w:p>
          <w:p w14:paraId="2D6CDDEB" w14:textId="621E90C5" w:rsidR="007255AE" w:rsidRPr="0027502A" w:rsidRDefault="007255AE" w:rsidP="005634E2">
            <w:pPr>
              <w:rPr>
                <w:b/>
                <w:iCs/>
                <w:color w:val="000000"/>
                <w:sz w:val="16"/>
                <w:szCs w:val="16"/>
                <w:lang w:val="en-GB"/>
              </w:rPr>
            </w:pPr>
            <w:r w:rsidRPr="00E066B3">
              <w:rPr>
                <w:b/>
                <w:iCs/>
                <w:color w:val="000000"/>
                <w:sz w:val="16"/>
                <w:szCs w:val="16"/>
                <w:lang w:val="en-GB"/>
              </w:rPr>
              <w:t>Baseline (201</w:t>
            </w:r>
            <w:r>
              <w:rPr>
                <w:b/>
                <w:iCs/>
                <w:color w:val="000000"/>
                <w:sz w:val="16"/>
                <w:szCs w:val="16"/>
                <w:lang w:val="en-GB"/>
              </w:rPr>
              <w:t>5</w:t>
            </w:r>
            <w:r w:rsidRPr="00E066B3">
              <w:rPr>
                <w:b/>
                <w:iCs/>
                <w:color w:val="000000"/>
                <w:sz w:val="16"/>
                <w:szCs w:val="16"/>
                <w:lang w:val="en-GB"/>
              </w:rPr>
              <w:t>):</w:t>
            </w:r>
            <w:r>
              <w:rPr>
                <w:iCs/>
                <w:color w:val="000000"/>
                <w:sz w:val="16"/>
                <w:szCs w:val="16"/>
                <w:lang w:val="en-GB"/>
              </w:rPr>
              <w:t xml:space="preserve"> 6,700</w:t>
            </w:r>
          </w:p>
          <w:p w14:paraId="448A5B2F" w14:textId="49A4C1C3" w:rsidR="007255AE" w:rsidRPr="0027502A" w:rsidRDefault="007255AE" w:rsidP="005634E2">
            <w:pPr>
              <w:rPr>
                <w:iCs/>
                <w:color w:val="000000"/>
                <w:sz w:val="16"/>
                <w:szCs w:val="16"/>
                <w:lang w:val="en-GB"/>
              </w:rPr>
            </w:pPr>
            <w:r w:rsidRPr="00E066B3">
              <w:rPr>
                <w:b/>
                <w:iCs/>
                <w:color w:val="000000"/>
                <w:sz w:val="16"/>
                <w:szCs w:val="16"/>
                <w:lang w:val="en-GB"/>
              </w:rPr>
              <w:t>Target:</w:t>
            </w:r>
            <w:r w:rsidR="001F634D">
              <w:rPr>
                <w:b/>
                <w:iCs/>
                <w:color w:val="000000"/>
                <w:sz w:val="16"/>
                <w:szCs w:val="16"/>
                <w:lang w:val="en-GB"/>
              </w:rPr>
              <w:t xml:space="preserve"> </w:t>
            </w:r>
            <w:r w:rsidR="005634E2">
              <w:rPr>
                <w:iCs/>
                <w:color w:val="000000" w:themeColor="text1"/>
                <w:sz w:val="16"/>
                <w:szCs w:val="16"/>
                <w:lang w:val="en-GB"/>
              </w:rPr>
              <w:t>12</w:t>
            </w:r>
            <w:r w:rsidR="00297608">
              <w:rPr>
                <w:iCs/>
                <w:color w:val="000000" w:themeColor="text1"/>
                <w:sz w:val="16"/>
                <w:szCs w:val="16"/>
                <w:lang w:val="en-GB"/>
              </w:rPr>
              <w:t>,</w:t>
            </w:r>
            <w:r w:rsidR="005634E2">
              <w:rPr>
                <w:iCs/>
                <w:color w:val="000000" w:themeColor="text1"/>
                <w:sz w:val="16"/>
                <w:szCs w:val="16"/>
                <w:lang w:val="en-GB"/>
              </w:rPr>
              <w:t>7</w:t>
            </w:r>
            <w:r w:rsidR="00297608">
              <w:rPr>
                <w:iCs/>
                <w:color w:val="000000" w:themeColor="text1"/>
                <w:sz w:val="16"/>
                <w:szCs w:val="16"/>
                <w:lang w:val="en-GB"/>
              </w:rPr>
              <w:t>00</w:t>
            </w:r>
          </w:p>
          <w:p w14:paraId="0AD8F99D" w14:textId="77777777" w:rsidR="007255AE" w:rsidRDefault="007255AE" w:rsidP="005634E2">
            <w:pPr>
              <w:rPr>
                <w:iCs/>
                <w:color w:val="000000"/>
                <w:sz w:val="16"/>
                <w:szCs w:val="16"/>
                <w:lang w:val="en-GB"/>
              </w:rPr>
            </w:pPr>
            <w:r w:rsidRPr="00E066B3">
              <w:rPr>
                <w:b/>
                <w:iCs/>
                <w:color w:val="000000"/>
                <w:sz w:val="16"/>
                <w:szCs w:val="16"/>
                <w:lang w:val="en-GB"/>
              </w:rPr>
              <w:t>Source:</w:t>
            </w:r>
            <w:r>
              <w:rPr>
                <w:iCs/>
                <w:color w:val="000000"/>
                <w:sz w:val="16"/>
                <w:szCs w:val="16"/>
                <w:lang w:val="en-GB"/>
              </w:rPr>
              <w:t xml:space="preserve"> Project reports</w:t>
            </w:r>
            <w:r w:rsidR="000E3032">
              <w:rPr>
                <w:iCs/>
                <w:color w:val="000000"/>
                <w:sz w:val="16"/>
                <w:szCs w:val="16"/>
                <w:lang w:val="en-GB"/>
              </w:rPr>
              <w:t>.</w:t>
            </w:r>
          </w:p>
          <w:p w14:paraId="077E9E96" w14:textId="77777777" w:rsidR="007255AE" w:rsidRPr="004008D7" w:rsidRDefault="005634E2" w:rsidP="005634E2">
            <w:pPr>
              <w:rPr>
                <w:b/>
                <w:iCs/>
                <w:color w:val="000000"/>
                <w:sz w:val="16"/>
                <w:szCs w:val="16"/>
                <w:lang w:val="en-GB"/>
              </w:rPr>
            </w:pPr>
            <w:r>
              <w:rPr>
                <w:b/>
                <w:iCs/>
                <w:color w:val="000000"/>
                <w:sz w:val="16"/>
                <w:szCs w:val="16"/>
                <w:lang w:val="en-GB"/>
              </w:rPr>
              <w:lastRenderedPageBreak/>
              <w:t>4</w:t>
            </w:r>
            <w:r w:rsidR="007255AE" w:rsidRPr="004008D7">
              <w:rPr>
                <w:b/>
                <w:iCs/>
                <w:color w:val="000000"/>
                <w:sz w:val="16"/>
                <w:szCs w:val="16"/>
                <w:lang w:val="en-GB"/>
              </w:rPr>
              <w:t xml:space="preserve">.3: </w:t>
            </w:r>
            <w:r w:rsidR="007255AE">
              <w:rPr>
                <w:b/>
                <w:iCs/>
                <w:color w:val="000000"/>
                <w:sz w:val="16"/>
                <w:szCs w:val="16"/>
                <w:lang w:val="en-GB"/>
              </w:rPr>
              <w:t>Frameworks and dialogues processes strengthened for effective and transparent engagement of civil society in national development</w:t>
            </w:r>
          </w:p>
          <w:p w14:paraId="1F9686C8" w14:textId="77777777" w:rsidR="007255AE" w:rsidRDefault="007255AE" w:rsidP="005634E2">
            <w:pPr>
              <w:rPr>
                <w:iCs/>
                <w:color w:val="000000"/>
                <w:sz w:val="16"/>
                <w:szCs w:val="16"/>
                <w:lang w:val="en-GB"/>
              </w:rPr>
            </w:pPr>
          </w:p>
          <w:p w14:paraId="6CBD7986" w14:textId="2D9D64BE" w:rsidR="007255AE" w:rsidRDefault="007255AE" w:rsidP="005634E2">
            <w:pPr>
              <w:rPr>
                <w:iCs/>
                <w:color w:val="000000"/>
                <w:sz w:val="16"/>
                <w:szCs w:val="16"/>
                <w:lang w:val="en-GB"/>
              </w:rPr>
            </w:pPr>
            <w:r w:rsidRPr="004008D7">
              <w:rPr>
                <w:iCs/>
                <w:color w:val="000000"/>
                <w:sz w:val="16"/>
                <w:szCs w:val="16"/>
                <w:lang w:val="en-GB"/>
              </w:rPr>
              <w:t>Extent to which there is a strengthened environment for civic engagement, including legal/regulatory framework for civil society organizations to function in the public sphere and contribute to development, and effective mechanisms/platforms to engage civil society (with a focus on women</w:t>
            </w:r>
            <w:r>
              <w:rPr>
                <w:iCs/>
                <w:color w:val="000000"/>
                <w:sz w:val="16"/>
                <w:szCs w:val="16"/>
                <w:lang w:val="en-GB"/>
              </w:rPr>
              <w:t xml:space="preserve">, </w:t>
            </w:r>
            <w:r w:rsidRPr="004008D7">
              <w:rPr>
                <w:iCs/>
                <w:color w:val="000000"/>
                <w:sz w:val="16"/>
                <w:szCs w:val="16"/>
                <w:lang w:val="en-GB"/>
              </w:rPr>
              <w:t>youth</w:t>
            </w:r>
            <w:r>
              <w:rPr>
                <w:iCs/>
                <w:color w:val="000000"/>
                <w:sz w:val="16"/>
                <w:szCs w:val="16"/>
                <w:lang w:val="en-GB"/>
              </w:rPr>
              <w:t>,</w:t>
            </w:r>
            <w:r w:rsidR="00F32FFA">
              <w:rPr>
                <w:iCs/>
                <w:color w:val="000000"/>
                <w:sz w:val="16"/>
                <w:szCs w:val="16"/>
                <w:lang w:val="en-GB"/>
              </w:rPr>
              <w:t xml:space="preserve"> </w:t>
            </w:r>
            <w:r>
              <w:rPr>
                <w:iCs/>
                <w:color w:val="000000"/>
                <w:sz w:val="16"/>
                <w:szCs w:val="16"/>
                <w:lang w:val="en-GB"/>
              </w:rPr>
              <w:t>and vulnerable groups</w:t>
            </w:r>
            <w:r w:rsidRPr="004008D7">
              <w:rPr>
                <w:iCs/>
                <w:color w:val="000000"/>
                <w:sz w:val="16"/>
                <w:szCs w:val="16"/>
                <w:lang w:val="en-GB"/>
              </w:rPr>
              <w:t>)</w:t>
            </w:r>
          </w:p>
          <w:p w14:paraId="3BEC05D6" w14:textId="77777777" w:rsidR="007255AE" w:rsidRPr="0027502A" w:rsidRDefault="007255AE" w:rsidP="005634E2">
            <w:pPr>
              <w:rPr>
                <w:b/>
                <w:iCs/>
                <w:color w:val="000000"/>
                <w:sz w:val="16"/>
                <w:szCs w:val="16"/>
                <w:lang w:val="en-GB"/>
              </w:rPr>
            </w:pPr>
            <w:r w:rsidRPr="00E066B3">
              <w:rPr>
                <w:b/>
                <w:iCs/>
                <w:color w:val="000000"/>
                <w:sz w:val="16"/>
                <w:szCs w:val="16"/>
                <w:lang w:val="en-GB"/>
              </w:rPr>
              <w:t>Baseline (201</w:t>
            </w:r>
            <w:r>
              <w:rPr>
                <w:b/>
                <w:iCs/>
                <w:color w:val="000000"/>
                <w:sz w:val="16"/>
                <w:szCs w:val="16"/>
                <w:lang w:val="en-GB"/>
              </w:rPr>
              <w:t>5</w:t>
            </w:r>
            <w:r w:rsidRPr="00E066B3">
              <w:rPr>
                <w:b/>
                <w:iCs/>
                <w:color w:val="000000"/>
                <w:sz w:val="16"/>
                <w:szCs w:val="16"/>
                <w:lang w:val="en-GB"/>
              </w:rPr>
              <w:t>):</w:t>
            </w:r>
            <w:r>
              <w:rPr>
                <w:iCs/>
                <w:color w:val="000000"/>
                <w:sz w:val="16"/>
                <w:szCs w:val="16"/>
                <w:lang w:val="en-GB"/>
              </w:rPr>
              <w:t xml:space="preserve"> 1 (Inadequately)</w:t>
            </w:r>
          </w:p>
          <w:p w14:paraId="68A8BBD4" w14:textId="76485921" w:rsidR="007255AE" w:rsidRPr="0027502A" w:rsidRDefault="007255AE" w:rsidP="005634E2">
            <w:pPr>
              <w:rPr>
                <w:iCs/>
                <w:color w:val="000000"/>
                <w:sz w:val="16"/>
                <w:szCs w:val="16"/>
                <w:lang w:val="en-GB"/>
              </w:rPr>
            </w:pPr>
            <w:r w:rsidRPr="00E066B3">
              <w:rPr>
                <w:b/>
                <w:iCs/>
                <w:color w:val="000000"/>
                <w:sz w:val="16"/>
                <w:szCs w:val="16"/>
                <w:lang w:val="en-GB"/>
              </w:rPr>
              <w:t>Target:</w:t>
            </w:r>
            <w:r w:rsidRPr="00452E73">
              <w:rPr>
                <w:iCs/>
                <w:sz w:val="16"/>
                <w:szCs w:val="16"/>
                <w:lang w:val="en-GB"/>
              </w:rPr>
              <w:t xml:space="preserve"> </w:t>
            </w:r>
            <w:r w:rsidR="00951FE7">
              <w:rPr>
                <w:iCs/>
                <w:sz w:val="16"/>
                <w:szCs w:val="16"/>
                <w:lang w:val="en-GB"/>
              </w:rPr>
              <w:t>3</w:t>
            </w:r>
            <w:r w:rsidRPr="00452E73">
              <w:rPr>
                <w:iCs/>
                <w:sz w:val="16"/>
                <w:szCs w:val="16"/>
                <w:lang w:val="en-GB"/>
              </w:rPr>
              <w:t xml:space="preserve"> (</w:t>
            </w:r>
            <w:r w:rsidR="00951FE7">
              <w:rPr>
                <w:iCs/>
                <w:sz w:val="16"/>
                <w:szCs w:val="16"/>
                <w:lang w:val="en-GB"/>
              </w:rPr>
              <w:t>Partially</w:t>
            </w:r>
            <w:r w:rsidRPr="00452E73">
              <w:rPr>
                <w:iCs/>
                <w:sz w:val="16"/>
                <w:szCs w:val="16"/>
                <w:lang w:val="en-GB"/>
              </w:rPr>
              <w:t>)</w:t>
            </w:r>
          </w:p>
          <w:p w14:paraId="2C3AB318" w14:textId="0E9D9011" w:rsidR="007255AE" w:rsidRDefault="007255AE" w:rsidP="005634E2">
            <w:pPr>
              <w:rPr>
                <w:iCs/>
                <w:color w:val="000000"/>
                <w:sz w:val="16"/>
                <w:szCs w:val="16"/>
                <w:lang w:val="en-GB"/>
              </w:rPr>
            </w:pPr>
            <w:r w:rsidRPr="00E066B3">
              <w:rPr>
                <w:b/>
                <w:iCs/>
                <w:color w:val="000000"/>
                <w:sz w:val="16"/>
                <w:szCs w:val="16"/>
                <w:lang w:val="en-GB"/>
              </w:rPr>
              <w:t>Source:</w:t>
            </w:r>
            <w:r>
              <w:rPr>
                <w:iCs/>
                <w:color w:val="000000"/>
                <w:sz w:val="16"/>
                <w:szCs w:val="16"/>
                <w:lang w:val="en-GB"/>
              </w:rPr>
              <w:t xml:space="preserve"> </w:t>
            </w:r>
            <w:r w:rsidR="00B22D2B">
              <w:rPr>
                <w:iCs/>
                <w:color w:val="000000"/>
                <w:sz w:val="16"/>
                <w:szCs w:val="16"/>
                <w:lang w:val="en-GB"/>
              </w:rPr>
              <w:t>M&amp;E</w:t>
            </w:r>
            <w:r>
              <w:rPr>
                <w:iCs/>
                <w:color w:val="000000"/>
                <w:sz w:val="16"/>
                <w:szCs w:val="16"/>
                <w:lang w:val="en-GB"/>
              </w:rPr>
              <w:t xml:space="preserve"> data</w:t>
            </w:r>
            <w:r w:rsidR="00951FE7">
              <w:rPr>
                <w:iCs/>
                <w:color w:val="000000"/>
                <w:sz w:val="16"/>
                <w:szCs w:val="16"/>
                <w:lang w:val="en-GB"/>
              </w:rPr>
              <w:t xml:space="preserve">; </w:t>
            </w:r>
            <w:r w:rsidR="006D4AB3">
              <w:rPr>
                <w:iCs/>
                <w:color w:val="000000"/>
                <w:sz w:val="16"/>
                <w:szCs w:val="16"/>
                <w:lang w:val="en-GB"/>
              </w:rPr>
              <w:t xml:space="preserve">policy/legal </w:t>
            </w:r>
            <w:r w:rsidR="00951FE7">
              <w:rPr>
                <w:iCs/>
                <w:color w:val="000000"/>
                <w:sz w:val="16"/>
                <w:szCs w:val="16"/>
                <w:lang w:val="en-GB"/>
              </w:rPr>
              <w:t>reform monitoring.</w:t>
            </w:r>
          </w:p>
          <w:p w14:paraId="7EA1307B" w14:textId="77777777" w:rsidR="005634E2" w:rsidRPr="00E066B3" w:rsidRDefault="005634E2" w:rsidP="005634E2">
            <w:pPr>
              <w:rPr>
                <w:iCs/>
                <w:color w:val="000000"/>
                <w:sz w:val="16"/>
                <w:szCs w:val="16"/>
                <w:lang w:val="en-GB"/>
              </w:rPr>
            </w:pPr>
          </w:p>
          <w:p w14:paraId="08CDCDA8" w14:textId="77777777" w:rsidR="007255AE" w:rsidRPr="00216FC9" w:rsidRDefault="007255AE" w:rsidP="005634E2">
            <w:pPr>
              <w:rPr>
                <w:b/>
                <w:iCs/>
                <w:color w:val="000000"/>
                <w:sz w:val="16"/>
                <w:szCs w:val="16"/>
                <w:lang w:val="en-GB"/>
              </w:rPr>
            </w:pPr>
            <w:r w:rsidRPr="00216FC9">
              <w:rPr>
                <w:b/>
                <w:iCs/>
                <w:color w:val="000000"/>
                <w:sz w:val="16"/>
                <w:szCs w:val="16"/>
                <w:lang w:val="en-GB"/>
              </w:rPr>
              <w:t xml:space="preserve">4.4: </w:t>
            </w:r>
            <w:r>
              <w:rPr>
                <w:b/>
                <w:iCs/>
                <w:color w:val="000000"/>
                <w:sz w:val="16"/>
                <w:szCs w:val="16"/>
                <w:lang w:val="en-GB"/>
              </w:rPr>
              <w:t>Legal framework improved and accountability of institutions enhanced to address awareness, prevention and enforcement of anti-corruption measures across sectors and stakeholders</w:t>
            </w:r>
          </w:p>
          <w:p w14:paraId="5A5759F5" w14:textId="77777777" w:rsidR="007255AE" w:rsidRDefault="007255AE" w:rsidP="005634E2">
            <w:pPr>
              <w:rPr>
                <w:iCs/>
                <w:color w:val="000000"/>
                <w:sz w:val="16"/>
                <w:szCs w:val="16"/>
                <w:lang w:val="en-GB"/>
              </w:rPr>
            </w:pPr>
          </w:p>
          <w:p w14:paraId="6422E11F" w14:textId="6630C05D" w:rsidR="007255AE" w:rsidRPr="001D4B17" w:rsidRDefault="00F10B81" w:rsidP="005634E2">
            <w:pPr>
              <w:rPr>
                <w:iCs/>
                <w:color w:val="000000"/>
                <w:sz w:val="16"/>
                <w:szCs w:val="16"/>
                <w:lang w:val="en-GB"/>
              </w:rPr>
            </w:pPr>
            <w:r>
              <w:rPr>
                <w:iCs/>
                <w:color w:val="000000"/>
                <w:sz w:val="16"/>
                <w:szCs w:val="16"/>
                <w:lang w:val="en-GB"/>
              </w:rPr>
              <w:t xml:space="preserve">% of </w:t>
            </w:r>
            <w:r w:rsidR="007255AE">
              <w:rPr>
                <w:iCs/>
                <w:color w:val="000000"/>
                <w:sz w:val="16"/>
                <w:szCs w:val="16"/>
                <w:lang w:val="en-GB"/>
              </w:rPr>
              <w:t xml:space="preserve">deficiencies </w:t>
            </w:r>
            <w:r w:rsidR="007255AE" w:rsidRPr="001D4B17">
              <w:rPr>
                <w:iCs/>
                <w:color w:val="000000"/>
                <w:sz w:val="16"/>
                <w:szCs w:val="16"/>
                <w:lang w:val="en-GB"/>
              </w:rPr>
              <w:t>identified in U</w:t>
            </w:r>
            <w:r w:rsidR="00B05F2D">
              <w:rPr>
                <w:iCs/>
                <w:color w:val="000000"/>
                <w:sz w:val="16"/>
                <w:szCs w:val="16"/>
                <w:lang w:val="en-GB"/>
              </w:rPr>
              <w:t xml:space="preserve">nited </w:t>
            </w:r>
            <w:r w:rsidR="007255AE" w:rsidRPr="001D4B17">
              <w:rPr>
                <w:iCs/>
                <w:color w:val="000000"/>
                <w:sz w:val="16"/>
                <w:szCs w:val="16"/>
                <w:lang w:val="en-GB"/>
              </w:rPr>
              <w:t>N</w:t>
            </w:r>
            <w:r w:rsidR="00B05F2D">
              <w:rPr>
                <w:iCs/>
                <w:color w:val="000000"/>
                <w:sz w:val="16"/>
                <w:szCs w:val="16"/>
                <w:lang w:val="en-GB"/>
              </w:rPr>
              <w:t xml:space="preserve">ations </w:t>
            </w:r>
            <w:r w:rsidR="007255AE" w:rsidRPr="001D4B17">
              <w:rPr>
                <w:iCs/>
                <w:color w:val="000000"/>
                <w:sz w:val="16"/>
                <w:szCs w:val="16"/>
                <w:lang w:val="en-GB"/>
              </w:rPr>
              <w:t>C</w:t>
            </w:r>
            <w:r w:rsidR="00B05F2D">
              <w:rPr>
                <w:iCs/>
                <w:color w:val="000000"/>
                <w:sz w:val="16"/>
                <w:szCs w:val="16"/>
                <w:lang w:val="en-GB"/>
              </w:rPr>
              <w:t xml:space="preserve">onvention against </w:t>
            </w:r>
            <w:r w:rsidR="00B05F2D" w:rsidRPr="001D4B17">
              <w:rPr>
                <w:iCs/>
                <w:color w:val="000000"/>
                <w:sz w:val="16"/>
                <w:szCs w:val="16"/>
                <w:lang w:val="en-GB"/>
              </w:rPr>
              <w:t>C</w:t>
            </w:r>
            <w:r w:rsidR="00B05F2D">
              <w:rPr>
                <w:iCs/>
                <w:color w:val="000000"/>
                <w:sz w:val="16"/>
                <w:szCs w:val="16"/>
                <w:lang w:val="en-GB"/>
              </w:rPr>
              <w:t xml:space="preserve">orruption </w:t>
            </w:r>
            <w:r w:rsidR="00B05F2D" w:rsidRPr="001D4B17">
              <w:rPr>
                <w:iCs/>
                <w:color w:val="000000"/>
                <w:sz w:val="16"/>
                <w:szCs w:val="16"/>
                <w:lang w:val="en-GB"/>
              </w:rPr>
              <w:t xml:space="preserve"> </w:t>
            </w:r>
            <w:r w:rsidR="007255AE">
              <w:rPr>
                <w:iCs/>
                <w:color w:val="000000"/>
                <w:sz w:val="16"/>
                <w:szCs w:val="16"/>
                <w:lang w:val="en-GB"/>
              </w:rPr>
              <w:t>gap analysis</w:t>
            </w:r>
            <w:r>
              <w:rPr>
                <w:rStyle w:val="FootnoteReference"/>
                <w:iCs/>
                <w:color w:val="000000"/>
                <w:sz w:val="16"/>
                <w:szCs w:val="16"/>
                <w:lang w:val="en-GB"/>
              </w:rPr>
              <w:footnoteReference w:id="27"/>
            </w:r>
            <w:r>
              <w:rPr>
                <w:iCs/>
                <w:color w:val="000000"/>
                <w:sz w:val="16"/>
                <w:szCs w:val="16"/>
                <w:lang w:val="en-GB"/>
              </w:rPr>
              <w:t xml:space="preserve"> </w:t>
            </w:r>
            <w:r w:rsidR="007255AE">
              <w:rPr>
                <w:iCs/>
                <w:color w:val="000000"/>
                <w:sz w:val="16"/>
                <w:szCs w:val="16"/>
                <w:lang w:val="en-GB"/>
              </w:rPr>
              <w:t xml:space="preserve">are </w:t>
            </w:r>
            <w:r w:rsidR="007255AE" w:rsidRPr="001D4B17">
              <w:rPr>
                <w:iCs/>
                <w:color w:val="000000"/>
                <w:sz w:val="16"/>
                <w:szCs w:val="16"/>
                <w:lang w:val="en-GB"/>
              </w:rPr>
              <w:t>agreed to be addressed</w:t>
            </w:r>
            <w:r w:rsidR="007255AE">
              <w:rPr>
                <w:iCs/>
                <w:color w:val="000000"/>
                <w:sz w:val="16"/>
                <w:szCs w:val="16"/>
                <w:lang w:val="en-GB"/>
              </w:rPr>
              <w:t xml:space="preserve"> by Government</w:t>
            </w:r>
          </w:p>
          <w:p w14:paraId="2923494A" w14:textId="54B5AFC9" w:rsidR="007255AE" w:rsidRPr="0027502A" w:rsidRDefault="007255AE" w:rsidP="005634E2">
            <w:pPr>
              <w:rPr>
                <w:b/>
                <w:iCs/>
                <w:color w:val="000000"/>
                <w:sz w:val="16"/>
                <w:szCs w:val="16"/>
                <w:lang w:val="en-GB"/>
              </w:rPr>
            </w:pPr>
            <w:r w:rsidRPr="00E066B3">
              <w:rPr>
                <w:b/>
                <w:iCs/>
                <w:color w:val="000000"/>
                <w:sz w:val="16"/>
                <w:szCs w:val="16"/>
                <w:lang w:val="en-GB"/>
              </w:rPr>
              <w:t>Baseline (201</w:t>
            </w:r>
            <w:r>
              <w:rPr>
                <w:b/>
                <w:iCs/>
                <w:color w:val="000000"/>
                <w:sz w:val="16"/>
                <w:szCs w:val="16"/>
                <w:lang w:val="en-GB"/>
              </w:rPr>
              <w:t>5</w:t>
            </w:r>
            <w:r w:rsidRPr="00E066B3">
              <w:rPr>
                <w:b/>
                <w:iCs/>
                <w:color w:val="000000"/>
                <w:sz w:val="16"/>
                <w:szCs w:val="16"/>
                <w:lang w:val="en-GB"/>
              </w:rPr>
              <w:t>):</w:t>
            </w:r>
            <w:r w:rsidR="006D4AB3">
              <w:rPr>
                <w:b/>
                <w:iCs/>
                <w:color w:val="000000"/>
                <w:sz w:val="16"/>
                <w:szCs w:val="16"/>
                <w:lang w:val="en-GB"/>
              </w:rPr>
              <w:t xml:space="preserve"> </w:t>
            </w:r>
            <w:r w:rsidR="00F10B81">
              <w:rPr>
                <w:iCs/>
                <w:color w:val="000000"/>
                <w:sz w:val="16"/>
                <w:szCs w:val="16"/>
                <w:lang w:val="en-GB"/>
              </w:rPr>
              <w:t>0%</w:t>
            </w:r>
          </w:p>
          <w:p w14:paraId="49BF6C5B" w14:textId="358649F5" w:rsidR="00586735" w:rsidRPr="00586735" w:rsidRDefault="007255AE" w:rsidP="00586735">
            <w:pPr>
              <w:rPr>
                <w:iCs/>
                <w:sz w:val="16"/>
                <w:szCs w:val="16"/>
                <w:lang w:val="en-GB"/>
              </w:rPr>
            </w:pPr>
            <w:r w:rsidRPr="00E066B3">
              <w:rPr>
                <w:b/>
                <w:iCs/>
                <w:color w:val="000000"/>
                <w:sz w:val="16"/>
                <w:szCs w:val="16"/>
                <w:lang w:val="en-GB"/>
              </w:rPr>
              <w:t>Target:</w:t>
            </w:r>
            <w:r w:rsidR="00F32FFA">
              <w:rPr>
                <w:b/>
                <w:iCs/>
                <w:color w:val="000000"/>
                <w:sz w:val="16"/>
                <w:szCs w:val="16"/>
                <w:lang w:val="en-GB"/>
              </w:rPr>
              <w:t xml:space="preserve"> </w:t>
            </w:r>
            <w:r w:rsidR="00F10B81">
              <w:rPr>
                <w:sz w:val="16"/>
                <w:szCs w:val="16"/>
              </w:rPr>
              <w:t>More than 50% of identified gaps agreed to be addressed</w:t>
            </w:r>
            <w:r w:rsidR="00F10B81">
              <w:rPr>
                <w:iCs/>
                <w:sz w:val="16"/>
                <w:szCs w:val="16"/>
                <w:lang w:val="en-GB"/>
              </w:rPr>
              <w:t>.</w:t>
            </w:r>
          </w:p>
          <w:p w14:paraId="4FACBC0B" w14:textId="7C834ACD" w:rsidR="007255AE" w:rsidRDefault="007255AE" w:rsidP="005634E2">
            <w:pPr>
              <w:rPr>
                <w:iCs/>
                <w:color w:val="000000"/>
                <w:sz w:val="16"/>
                <w:szCs w:val="16"/>
                <w:lang w:val="en-GB"/>
              </w:rPr>
            </w:pPr>
            <w:r w:rsidRPr="00E066B3">
              <w:rPr>
                <w:b/>
                <w:iCs/>
                <w:color w:val="000000"/>
                <w:sz w:val="16"/>
                <w:szCs w:val="16"/>
                <w:lang w:val="en-GB"/>
              </w:rPr>
              <w:t>Source:</w:t>
            </w:r>
            <w:r>
              <w:rPr>
                <w:iCs/>
                <w:color w:val="000000"/>
                <w:sz w:val="16"/>
                <w:szCs w:val="16"/>
                <w:lang w:val="en-GB"/>
              </w:rPr>
              <w:t xml:space="preserve"> </w:t>
            </w:r>
            <w:r w:rsidR="00B05F2D">
              <w:rPr>
                <w:iCs/>
                <w:color w:val="000000"/>
                <w:sz w:val="16"/>
                <w:szCs w:val="16"/>
                <w:lang w:val="en-GB"/>
              </w:rPr>
              <w:t xml:space="preserve">Convention review report </w:t>
            </w:r>
            <w:r w:rsidR="00F10B81">
              <w:rPr>
                <w:iCs/>
                <w:color w:val="000000"/>
                <w:sz w:val="16"/>
                <w:szCs w:val="16"/>
                <w:lang w:val="en-GB"/>
              </w:rPr>
              <w:t>(Cycle 2)</w:t>
            </w:r>
            <w:r w:rsidR="000E3032">
              <w:rPr>
                <w:iCs/>
                <w:color w:val="000000"/>
                <w:sz w:val="16"/>
                <w:szCs w:val="16"/>
                <w:lang w:val="en-GB"/>
              </w:rPr>
              <w:t>.</w:t>
            </w:r>
          </w:p>
          <w:p w14:paraId="51692395" w14:textId="77777777" w:rsidR="00F10B81" w:rsidRPr="00E066B3" w:rsidRDefault="00F10B81" w:rsidP="005634E2">
            <w:pPr>
              <w:rPr>
                <w:iCs/>
                <w:color w:val="000000"/>
                <w:sz w:val="16"/>
                <w:szCs w:val="16"/>
                <w:lang w:val="en-GB"/>
              </w:rPr>
            </w:pPr>
          </w:p>
          <w:p w14:paraId="721AE6DD" w14:textId="5BFEC864" w:rsidR="007255AE" w:rsidRPr="009373A8" w:rsidRDefault="005634E2" w:rsidP="005634E2">
            <w:pPr>
              <w:rPr>
                <w:b/>
                <w:iCs/>
                <w:color w:val="000000"/>
                <w:sz w:val="16"/>
                <w:szCs w:val="16"/>
                <w:lang w:val="en-GB"/>
              </w:rPr>
            </w:pPr>
            <w:r>
              <w:rPr>
                <w:b/>
                <w:iCs/>
                <w:color w:val="000000"/>
                <w:sz w:val="16"/>
                <w:szCs w:val="16"/>
                <w:lang w:val="en-GB"/>
              </w:rPr>
              <w:t>4</w:t>
            </w:r>
            <w:r w:rsidR="007255AE" w:rsidRPr="009373A8">
              <w:rPr>
                <w:b/>
                <w:iCs/>
                <w:color w:val="000000"/>
                <w:sz w:val="16"/>
                <w:szCs w:val="16"/>
                <w:lang w:val="en-GB"/>
              </w:rPr>
              <w:t xml:space="preserve">.5: </w:t>
            </w:r>
            <w:r w:rsidR="007255AE">
              <w:rPr>
                <w:b/>
                <w:iCs/>
                <w:color w:val="000000"/>
                <w:sz w:val="16"/>
                <w:szCs w:val="16"/>
                <w:lang w:val="en-GB"/>
              </w:rPr>
              <w:t xml:space="preserve">National data collection, measurement and analytical systems in place to monitor progress on the </w:t>
            </w:r>
            <w:r w:rsidR="00B05F2D">
              <w:rPr>
                <w:b/>
                <w:iCs/>
                <w:color w:val="000000"/>
                <w:sz w:val="16"/>
                <w:szCs w:val="16"/>
                <w:lang w:val="en-GB"/>
              </w:rPr>
              <w:t xml:space="preserve">Sustainable Development Goals </w:t>
            </w:r>
            <w:r w:rsidR="007255AE">
              <w:rPr>
                <w:b/>
                <w:iCs/>
                <w:color w:val="000000"/>
                <w:sz w:val="16"/>
                <w:szCs w:val="16"/>
                <w:lang w:val="en-GB"/>
              </w:rPr>
              <w:t>and to inform plans, policies and budgets at national and subnational levels</w:t>
            </w:r>
          </w:p>
          <w:p w14:paraId="0D17B09D" w14:textId="77777777" w:rsidR="007255AE" w:rsidRDefault="007255AE" w:rsidP="005634E2">
            <w:pPr>
              <w:rPr>
                <w:iCs/>
                <w:color w:val="000000"/>
                <w:sz w:val="16"/>
                <w:szCs w:val="16"/>
                <w:lang w:val="en-GB"/>
              </w:rPr>
            </w:pPr>
          </w:p>
          <w:p w14:paraId="60DF221E" w14:textId="4608B53E" w:rsidR="007255AE" w:rsidRPr="004F1B18" w:rsidRDefault="007255AE" w:rsidP="005634E2">
            <w:pPr>
              <w:rPr>
                <w:iCs/>
                <w:color w:val="000000"/>
                <w:sz w:val="16"/>
                <w:szCs w:val="16"/>
                <w:lang w:val="en-GB"/>
              </w:rPr>
            </w:pPr>
            <w:r w:rsidRPr="004F1B18">
              <w:rPr>
                <w:iCs/>
                <w:color w:val="000000"/>
                <w:sz w:val="16"/>
                <w:szCs w:val="16"/>
                <w:lang w:val="en-GB"/>
              </w:rPr>
              <w:t xml:space="preserve">Extent to which disaggregated data is being used to monitor progress on national development goals aligned with </w:t>
            </w:r>
            <w:r w:rsidR="00B05F2D">
              <w:rPr>
                <w:iCs/>
                <w:color w:val="000000"/>
                <w:sz w:val="16"/>
                <w:szCs w:val="16"/>
                <w:lang w:val="en-GB"/>
              </w:rPr>
              <w:t>the Goals</w:t>
            </w:r>
          </w:p>
          <w:p w14:paraId="6B2CC3BE" w14:textId="7CEDBDD3" w:rsidR="007255AE" w:rsidRPr="0027502A" w:rsidRDefault="007255AE" w:rsidP="005634E2">
            <w:pPr>
              <w:rPr>
                <w:b/>
                <w:iCs/>
                <w:color w:val="000000"/>
                <w:sz w:val="16"/>
                <w:szCs w:val="16"/>
                <w:lang w:val="en-GB"/>
              </w:rPr>
            </w:pPr>
            <w:r w:rsidRPr="00E066B3">
              <w:rPr>
                <w:b/>
                <w:iCs/>
                <w:color w:val="000000"/>
                <w:sz w:val="16"/>
                <w:szCs w:val="16"/>
                <w:lang w:val="en-GB"/>
              </w:rPr>
              <w:t>Baseline (201</w:t>
            </w:r>
            <w:r>
              <w:rPr>
                <w:b/>
                <w:iCs/>
                <w:color w:val="000000"/>
                <w:sz w:val="16"/>
                <w:szCs w:val="16"/>
                <w:lang w:val="en-GB"/>
              </w:rPr>
              <w:t>5</w:t>
            </w:r>
            <w:r w:rsidRPr="00E066B3">
              <w:rPr>
                <w:b/>
                <w:iCs/>
                <w:color w:val="000000"/>
                <w:sz w:val="16"/>
                <w:szCs w:val="16"/>
                <w:lang w:val="en-GB"/>
              </w:rPr>
              <w:t>):</w:t>
            </w:r>
            <w:r>
              <w:rPr>
                <w:iCs/>
                <w:color w:val="000000"/>
                <w:sz w:val="16"/>
                <w:szCs w:val="16"/>
                <w:lang w:val="en-GB"/>
              </w:rPr>
              <w:t xml:space="preserve"> </w:t>
            </w:r>
            <w:r w:rsidR="006D73D9">
              <w:rPr>
                <w:iCs/>
                <w:color w:val="000000"/>
                <w:sz w:val="16"/>
                <w:szCs w:val="16"/>
                <w:lang w:val="en-GB"/>
              </w:rPr>
              <w:t xml:space="preserve">3 (Partially) </w:t>
            </w:r>
          </w:p>
          <w:p w14:paraId="2F5E50FA" w14:textId="47983A98" w:rsidR="007255AE" w:rsidRPr="0027502A" w:rsidRDefault="007255AE" w:rsidP="005634E2">
            <w:pPr>
              <w:rPr>
                <w:iCs/>
                <w:color w:val="000000"/>
                <w:sz w:val="16"/>
                <w:szCs w:val="16"/>
                <w:lang w:val="en-GB"/>
              </w:rPr>
            </w:pPr>
            <w:r w:rsidRPr="00E066B3">
              <w:rPr>
                <w:b/>
                <w:iCs/>
                <w:color w:val="000000"/>
                <w:sz w:val="16"/>
                <w:szCs w:val="16"/>
                <w:lang w:val="en-GB"/>
              </w:rPr>
              <w:t>Target:</w:t>
            </w:r>
            <w:r w:rsidR="00681B7D">
              <w:rPr>
                <w:b/>
                <w:iCs/>
                <w:color w:val="000000"/>
                <w:sz w:val="16"/>
                <w:szCs w:val="16"/>
                <w:lang w:val="en-GB"/>
              </w:rPr>
              <w:t xml:space="preserve"> </w:t>
            </w:r>
            <w:r w:rsidR="006D73D9" w:rsidRPr="006D73D9">
              <w:rPr>
                <w:iCs/>
                <w:color w:val="000000"/>
                <w:sz w:val="16"/>
                <w:szCs w:val="16"/>
                <w:lang w:val="en-GB"/>
              </w:rPr>
              <w:t>4 (Largely)</w:t>
            </w:r>
          </w:p>
          <w:p w14:paraId="74255F30" w14:textId="571DF3BF" w:rsidR="007255AE" w:rsidRPr="00E066B3" w:rsidRDefault="007255AE" w:rsidP="005634E2">
            <w:pPr>
              <w:rPr>
                <w:iCs/>
                <w:color w:val="000000"/>
                <w:sz w:val="16"/>
                <w:szCs w:val="16"/>
                <w:lang w:val="en-GB"/>
              </w:rPr>
            </w:pPr>
            <w:r w:rsidRPr="00E066B3">
              <w:rPr>
                <w:b/>
                <w:iCs/>
                <w:color w:val="000000"/>
                <w:sz w:val="16"/>
                <w:szCs w:val="16"/>
                <w:lang w:val="en-GB"/>
              </w:rPr>
              <w:t>Source:</w:t>
            </w:r>
            <w:r>
              <w:rPr>
                <w:iCs/>
                <w:color w:val="000000"/>
                <w:sz w:val="16"/>
                <w:szCs w:val="16"/>
                <w:lang w:val="en-GB"/>
              </w:rPr>
              <w:t xml:space="preserve"> G</w:t>
            </w:r>
            <w:r w:rsidR="00E35BD9">
              <w:rPr>
                <w:iCs/>
                <w:color w:val="000000"/>
                <w:sz w:val="16"/>
                <w:szCs w:val="16"/>
                <w:lang w:val="en-GB"/>
              </w:rPr>
              <w:t xml:space="preserve">eneral </w:t>
            </w:r>
            <w:r>
              <w:rPr>
                <w:iCs/>
                <w:color w:val="000000"/>
                <w:sz w:val="16"/>
                <w:szCs w:val="16"/>
                <w:lang w:val="en-GB"/>
              </w:rPr>
              <w:t>S</w:t>
            </w:r>
            <w:r w:rsidR="00E35BD9">
              <w:rPr>
                <w:iCs/>
                <w:color w:val="000000"/>
                <w:sz w:val="16"/>
                <w:szCs w:val="16"/>
                <w:lang w:val="en-GB"/>
              </w:rPr>
              <w:t xml:space="preserve">tatistics </w:t>
            </w:r>
            <w:r>
              <w:rPr>
                <w:iCs/>
                <w:color w:val="000000"/>
                <w:sz w:val="16"/>
                <w:szCs w:val="16"/>
                <w:lang w:val="en-GB"/>
              </w:rPr>
              <w:t>O</w:t>
            </w:r>
            <w:r w:rsidR="00E35BD9">
              <w:rPr>
                <w:iCs/>
                <w:color w:val="000000"/>
                <w:sz w:val="16"/>
                <w:szCs w:val="16"/>
                <w:lang w:val="en-GB"/>
              </w:rPr>
              <w:t xml:space="preserve">ffice </w:t>
            </w:r>
            <w:r>
              <w:rPr>
                <w:iCs/>
                <w:color w:val="000000"/>
                <w:sz w:val="16"/>
                <w:szCs w:val="16"/>
                <w:lang w:val="en-GB"/>
              </w:rPr>
              <w:t>reporting</w:t>
            </w:r>
            <w:r w:rsidR="000E3032">
              <w:rPr>
                <w:iCs/>
                <w:color w:val="000000"/>
                <w:sz w:val="16"/>
                <w:szCs w:val="16"/>
                <w:lang w:val="en-GB"/>
              </w:rPr>
              <w:t>.</w:t>
            </w:r>
          </w:p>
        </w:tc>
        <w:tc>
          <w:tcPr>
            <w:tcW w:w="1067" w:type="pct"/>
            <w:tcBorders>
              <w:top w:val="single" w:sz="4" w:space="0" w:color="auto"/>
              <w:bottom w:val="single" w:sz="4" w:space="0" w:color="auto"/>
            </w:tcBorders>
          </w:tcPr>
          <w:p w14:paraId="600CF5A2" w14:textId="77777777" w:rsidR="001B0D67" w:rsidRDefault="007255AE" w:rsidP="005634E2">
            <w:pPr>
              <w:rPr>
                <w:iCs/>
                <w:color w:val="000000"/>
                <w:sz w:val="16"/>
                <w:szCs w:val="16"/>
                <w:lang w:val="en-GB"/>
              </w:rPr>
            </w:pPr>
            <w:r>
              <w:rPr>
                <w:iCs/>
                <w:color w:val="000000"/>
                <w:sz w:val="16"/>
                <w:szCs w:val="16"/>
                <w:lang w:val="en-GB"/>
              </w:rPr>
              <w:lastRenderedPageBreak/>
              <w:t xml:space="preserve">Ministry of Justice at central and provincial levels; </w:t>
            </w:r>
          </w:p>
          <w:p w14:paraId="457BFAE8" w14:textId="77777777" w:rsidR="001B0D67" w:rsidRDefault="00A17C08" w:rsidP="005634E2">
            <w:pPr>
              <w:rPr>
                <w:iCs/>
                <w:color w:val="000000"/>
                <w:sz w:val="16"/>
                <w:szCs w:val="16"/>
                <w:lang w:val="en-GB"/>
              </w:rPr>
            </w:pPr>
            <w:r>
              <w:rPr>
                <w:iCs/>
                <w:color w:val="000000"/>
                <w:sz w:val="16"/>
                <w:szCs w:val="16"/>
                <w:lang w:val="en-GB"/>
              </w:rPr>
              <w:t xml:space="preserve">Ministry of Home Affairs; </w:t>
            </w:r>
          </w:p>
          <w:p w14:paraId="2756B6F9" w14:textId="2D96630D" w:rsidR="001B0D67" w:rsidRDefault="0046175C" w:rsidP="005634E2">
            <w:pPr>
              <w:rPr>
                <w:iCs/>
                <w:color w:val="000000"/>
                <w:sz w:val="16"/>
                <w:szCs w:val="16"/>
                <w:lang w:val="en-GB"/>
              </w:rPr>
            </w:pPr>
            <w:r>
              <w:rPr>
                <w:iCs/>
                <w:color w:val="000000"/>
                <w:sz w:val="16"/>
                <w:szCs w:val="16"/>
                <w:lang w:val="en-GB"/>
              </w:rPr>
              <w:t xml:space="preserve">Ministry of Planning and Investment; </w:t>
            </w:r>
            <w:r w:rsidR="00413662">
              <w:rPr>
                <w:iCs/>
                <w:color w:val="000000"/>
                <w:sz w:val="16"/>
                <w:szCs w:val="16"/>
                <w:lang w:val="en-GB"/>
              </w:rPr>
              <w:t>select ministries</w:t>
            </w:r>
            <w:r w:rsidR="00A17C08">
              <w:rPr>
                <w:iCs/>
                <w:color w:val="000000"/>
                <w:sz w:val="16"/>
                <w:szCs w:val="16"/>
                <w:lang w:val="en-GB"/>
              </w:rPr>
              <w:t xml:space="preserve">; </w:t>
            </w:r>
          </w:p>
          <w:p w14:paraId="1C06CB11" w14:textId="77777777" w:rsidR="001B0D67" w:rsidRDefault="00DB4D3D" w:rsidP="005634E2">
            <w:pPr>
              <w:rPr>
                <w:iCs/>
                <w:color w:val="000000"/>
                <w:sz w:val="16"/>
                <w:szCs w:val="16"/>
                <w:lang w:val="en-GB"/>
              </w:rPr>
            </w:pPr>
            <w:r>
              <w:rPr>
                <w:iCs/>
                <w:color w:val="000000"/>
                <w:sz w:val="16"/>
                <w:szCs w:val="16"/>
                <w:lang w:val="en-GB"/>
              </w:rPr>
              <w:t xml:space="preserve">Government Inspectorate; </w:t>
            </w:r>
          </w:p>
          <w:p w14:paraId="2D551D4F" w14:textId="77777777" w:rsidR="001B0D67" w:rsidRDefault="00DB4D3D" w:rsidP="005634E2">
            <w:pPr>
              <w:rPr>
                <w:iCs/>
                <w:color w:val="000000"/>
                <w:sz w:val="16"/>
                <w:szCs w:val="16"/>
                <w:lang w:val="en-GB"/>
              </w:rPr>
            </w:pPr>
            <w:r>
              <w:rPr>
                <w:iCs/>
                <w:color w:val="000000"/>
                <w:sz w:val="16"/>
                <w:szCs w:val="16"/>
                <w:lang w:val="en-GB"/>
              </w:rPr>
              <w:t xml:space="preserve">Central Commission for Internal Affairs; </w:t>
            </w:r>
          </w:p>
          <w:p w14:paraId="29742E7C" w14:textId="77777777" w:rsidR="001B0D67" w:rsidRDefault="0046175C" w:rsidP="005634E2">
            <w:pPr>
              <w:rPr>
                <w:iCs/>
                <w:color w:val="000000"/>
                <w:sz w:val="16"/>
                <w:szCs w:val="16"/>
                <w:lang w:val="en-GB"/>
              </w:rPr>
            </w:pPr>
            <w:r>
              <w:rPr>
                <w:iCs/>
                <w:color w:val="000000"/>
                <w:sz w:val="16"/>
                <w:szCs w:val="16"/>
                <w:lang w:val="en-GB"/>
              </w:rPr>
              <w:t xml:space="preserve">General Statistics Office; </w:t>
            </w:r>
          </w:p>
          <w:p w14:paraId="438670DD" w14:textId="77777777" w:rsidR="001B0D67" w:rsidRDefault="007255AE" w:rsidP="005634E2">
            <w:pPr>
              <w:rPr>
                <w:iCs/>
                <w:color w:val="000000"/>
                <w:sz w:val="16"/>
                <w:szCs w:val="16"/>
                <w:lang w:val="en-GB"/>
              </w:rPr>
            </w:pPr>
            <w:r>
              <w:rPr>
                <w:iCs/>
                <w:color w:val="000000"/>
                <w:sz w:val="16"/>
                <w:szCs w:val="16"/>
                <w:lang w:val="en-GB"/>
              </w:rPr>
              <w:t>National Assembly and People’s Councils;</w:t>
            </w:r>
          </w:p>
          <w:p w14:paraId="1E2601D6" w14:textId="331CD9A1" w:rsidR="001B0D67" w:rsidRDefault="007255AE" w:rsidP="005634E2">
            <w:pPr>
              <w:rPr>
                <w:iCs/>
                <w:color w:val="000000"/>
                <w:sz w:val="16"/>
                <w:szCs w:val="16"/>
                <w:lang w:val="en-GB"/>
              </w:rPr>
            </w:pPr>
            <w:r>
              <w:rPr>
                <w:iCs/>
                <w:color w:val="000000"/>
                <w:sz w:val="16"/>
                <w:szCs w:val="16"/>
                <w:lang w:val="en-GB"/>
              </w:rPr>
              <w:t xml:space="preserve">Supreme People’s Court; </w:t>
            </w:r>
          </w:p>
          <w:p w14:paraId="6AEE2106" w14:textId="77777777" w:rsidR="001B0D67" w:rsidRDefault="007255AE" w:rsidP="005634E2">
            <w:pPr>
              <w:rPr>
                <w:iCs/>
                <w:color w:val="000000"/>
                <w:sz w:val="16"/>
                <w:szCs w:val="16"/>
                <w:lang w:val="en-GB"/>
              </w:rPr>
            </w:pPr>
            <w:r>
              <w:rPr>
                <w:iCs/>
                <w:color w:val="000000"/>
                <w:sz w:val="16"/>
                <w:szCs w:val="16"/>
                <w:lang w:val="en-GB"/>
              </w:rPr>
              <w:t xml:space="preserve">Supreme People’s Procuracy; </w:t>
            </w:r>
          </w:p>
          <w:p w14:paraId="2F5524D4" w14:textId="77777777" w:rsidR="001B0D67" w:rsidRDefault="007255AE" w:rsidP="005634E2">
            <w:pPr>
              <w:rPr>
                <w:iCs/>
                <w:color w:val="000000"/>
                <w:sz w:val="16"/>
                <w:szCs w:val="16"/>
                <w:lang w:val="en-GB"/>
              </w:rPr>
            </w:pPr>
            <w:r>
              <w:rPr>
                <w:iCs/>
                <w:color w:val="000000"/>
                <w:sz w:val="16"/>
                <w:szCs w:val="16"/>
                <w:lang w:val="en-GB"/>
              </w:rPr>
              <w:t>Viet Nam Lawyers’ Association, Viet Nam Bar Federation</w:t>
            </w:r>
            <w:r w:rsidR="00A17C08">
              <w:rPr>
                <w:iCs/>
                <w:color w:val="000000"/>
                <w:sz w:val="16"/>
                <w:szCs w:val="16"/>
                <w:lang w:val="en-GB"/>
              </w:rPr>
              <w:t>,</w:t>
            </w:r>
            <w:r>
              <w:rPr>
                <w:iCs/>
                <w:color w:val="000000"/>
                <w:sz w:val="16"/>
                <w:szCs w:val="16"/>
                <w:lang w:val="en-GB"/>
              </w:rPr>
              <w:t xml:space="preserve"> </w:t>
            </w:r>
            <w:r w:rsidR="00A17C08">
              <w:rPr>
                <w:iCs/>
                <w:color w:val="000000"/>
                <w:sz w:val="16"/>
                <w:szCs w:val="16"/>
                <w:lang w:val="en-GB"/>
              </w:rPr>
              <w:t xml:space="preserve">Women’s Union, </w:t>
            </w:r>
            <w:r>
              <w:rPr>
                <w:iCs/>
                <w:color w:val="000000"/>
                <w:sz w:val="16"/>
                <w:szCs w:val="16"/>
                <w:lang w:val="en-GB"/>
              </w:rPr>
              <w:t>and other civil society legal aid providers</w:t>
            </w:r>
            <w:r w:rsidR="001B0D67">
              <w:rPr>
                <w:iCs/>
                <w:color w:val="000000"/>
                <w:sz w:val="16"/>
                <w:szCs w:val="16"/>
                <w:lang w:val="en-GB"/>
              </w:rPr>
              <w:t>;</w:t>
            </w:r>
          </w:p>
          <w:p w14:paraId="3C8D0982" w14:textId="77777777" w:rsidR="001B0D67" w:rsidRDefault="0046175C" w:rsidP="005634E2">
            <w:pPr>
              <w:rPr>
                <w:iCs/>
                <w:color w:val="000000"/>
                <w:sz w:val="16"/>
                <w:szCs w:val="16"/>
                <w:lang w:val="en-GB"/>
              </w:rPr>
            </w:pPr>
            <w:r>
              <w:rPr>
                <w:iCs/>
                <w:color w:val="000000"/>
                <w:sz w:val="16"/>
                <w:szCs w:val="16"/>
                <w:lang w:val="en-GB"/>
              </w:rPr>
              <w:t>Provincial People’s Committees;</w:t>
            </w:r>
          </w:p>
          <w:p w14:paraId="25685D5B" w14:textId="4761C624" w:rsidR="001B0D67" w:rsidRDefault="007255AE" w:rsidP="005634E2">
            <w:pPr>
              <w:rPr>
                <w:iCs/>
                <w:color w:val="000000"/>
                <w:sz w:val="16"/>
                <w:szCs w:val="16"/>
                <w:lang w:val="en-GB"/>
              </w:rPr>
            </w:pPr>
            <w:r>
              <w:rPr>
                <w:iCs/>
                <w:color w:val="000000"/>
                <w:sz w:val="16"/>
                <w:szCs w:val="16"/>
                <w:lang w:val="en-GB"/>
              </w:rPr>
              <w:t>academic institutions</w:t>
            </w:r>
            <w:r w:rsidR="004B3670">
              <w:rPr>
                <w:iCs/>
                <w:color w:val="000000"/>
                <w:sz w:val="16"/>
                <w:szCs w:val="16"/>
                <w:lang w:val="en-GB"/>
              </w:rPr>
              <w:t xml:space="preserve"> </w:t>
            </w:r>
            <w:r w:rsidR="00A17C08">
              <w:rPr>
                <w:iCs/>
                <w:color w:val="000000"/>
                <w:sz w:val="16"/>
                <w:szCs w:val="16"/>
                <w:lang w:val="en-GB"/>
              </w:rPr>
              <w:t xml:space="preserve">and think-tanks; civil society and mass organizations; </w:t>
            </w:r>
          </w:p>
          <w:p w14:paraId="2EAB52EE" w14:textId="77777777" w:rsidR="001B0D67" w:rsidRDefault="007255AE" w:rsidP="005634E2">
            <w:pPr>
              <w:rPr>
                <w:iCs/>
                <w:color w:val="000000"/>
                <w:sz w:val="16"/>
                <w:szCs w:val="16"/>
                <w:lang w:val="en-GB"/>
              </w:rPr>
            </w:pPr>
            <w:r>
              <w:rPr>
                <w:iCs/>
                <w:color w:val="000000"/>
                <w:sz w:val="16"/>
                <w:szCs w:val="16"/>
                <w:lang w:val="en-GB"/>
              </w:rPr>
              <w:t>UNICEF, UNODC</w:t>
            </w:r>
            <w:r w:rsidR="00A17C08">
              <w:rPr>
                <w:iCs/>
                <w:color w:val="000000"/>
                <w:sz w:val="16"/>
                <w:szCs w:val="16"/>
                <w:lang w:val="en-GB"/>
              </w:rPr>
              <w:t>,</w:t>
            </w:r>
            <w:r>
              <w:rPr>
                <w:iCs/>
                <w:color w:val="000000"/>
                <w:sz w:val="16"/>
                <w:szCs w:val="16"/>
                <w:lang w:val="en-GB"/>
              </w:rPr>
              <w:t xml:space="preserve"> </w:t>
            </w:r>
            <w:r w:rsidR="00A17C08">
              <w:rPr>
                <w:iCs/>
                <w:color w:val="000000"/>
                <w:sz w:val="16"/>
                <w:szCs w:val="16"/>
                <w:lang w:val="en-GB"/>
              </w:rPr>
              <w:t xml:space="preserve">UN-Women, UNFPA, ILO, </w:t>
            </w:r>
            <w:r>
              <w:rPr>
                <w:iCs/>
                <w:color w:val="000000"/>
                <w:sz w:val="16"/>
                <w:szCs w:val="16"/>
                <w:lang w:val="en-GB"/>
              </w:rPr>
              <w:t>and other U</w:t>
            </w:r>
            <w:r w:rsidR="00B05F2D">
              <w:rPr>
                <w:iCs/>
                <w:color w:val="000000"/>
                <w:sz w:val="16"/>
                <w:szCs w:val="16"/>
                <w:lang w:val="en-GB"/>
              </w:rPr>
              <w:t xml:space="preserve">nited </w:t>
            </w:r>
            <w:r>
              <w:rPr>
                <w:iCs/>
                <w:color w:val="000000"/>
                <w:sz w:val="16"/>
                <w:szCs w:val="16"/>
                <w:lang w:val="en-GB"/>
              </w:rPr>
              <w:t>N</w:t>
            </w:r>
            <w:r w:rsidR="00B05F2D">
              <w:rPr>
                <w:iCs/>
                <w:color w:val="000000"/>
                <w:sz w:val="16"/>
                <w:szCs w:val="16"/>
                <w:lang w:val="en-GB"/>
              </w:rPr>
              <w:t>ations</w:t>
            </w:r>
            <w:r>
              <w:rPr>
                <w:iCs/>
                <w:color w:val="000000"/>
                <w:sz w:val="16"/>
                <w:szCs w:val="16"/>
                <w:lang w:val="en-GB"/>
              </w:rPr>
              <w:t xml:space="preserve"> agencies;</w:t>
            </w:r>
          </w:p>
          <w:p w14:paraId="58C1A8A6" w14:textId="186D6246" w:rsidR="007255AE" w:rsidRDefault="00A17C08" w:rsidP="005634E2">
            <w:pPr>
              <w:rPr>
                <w:iCs/>
                <w:color w:val="000000"/>
                <w:sz w:val="16"/>
                <w:szCs w:val="16"/>
                <w:lang w:val="en-GB"/>
              </w:rPr>
            </w:pPr>
            <w:r>
              <w:rPr>
                <w:iCs/>
                <w:color w:val="000000"/>
                <w:sz w:val="16"/>
                <w:szCs w:val="16"/>
                <w:lang w:val="en-GB"/>
              </w:rPr>
              <w:t xml:space="preserve">USAID, </w:t>
            </w:r>
            <w:r w:rsidR="004B3670">
              <w:rPr>
                <w:iCs/>
                <w:color w:val="000000"/>
                <w:sz w:val="16"/>
                <w:szCs w:val="16"/>
                <w:lang w:val="en-GB"/>
              </w:rPr>
              <w:t xml:space="preserve">World Bank, </w:t>
            </w:r>
            <w:r w:rsidR="007255AE">
              <w:rPr>
                <w:iCs/>
                <w:color w:val="000000"/>
                <w:sz w:val="16"/>
                <w:szCs w:val="16"/>
                <w:lang w:val="en-GB"/>
              </w:rPr>
              <w:t>European Union</w:t>
            </w:r>
            <w:r>
              <w:rPr>
                <w:iCs/>
                <w:color w:val="000000"/>
                <w:sz w:val="16"/>
                <w:szCs w:val="16"/>
                <w:lang w:val="en-GB"/>
              </w:rPr>
              <w:t xml:space="preserve">, Government of Canada </w:t>
            </w:r>
            <w:r w:rsidR="007255AE">
              <w:rPr>
                <w:iCs/>
                <w:color w:val="000000"/>
                <w:sz w:val="16"/>
                <w:szCs w:val="16"/>
                <w:lang w:val="en-GB"/>
              </w:rPr>
              <w:t xml:space="preserve">and other development partners. </w:t>
            </w:r>
          </w:p>
          <w:p w14:paraId="186FDE05" w14:textId="77777777" w:rsidR="007255AE" w:rsidRDefault="007255AE" w:rsidP="005634E2">
            <w:pPr>
              <w:rPr>
                <w:iCs/>
                <w:color w:val="000000"/>
                <w:sz w:val="16"/>
                <w:szCs w:val="16"/>
                <w:lang w:val="en-GB"/>
              </w:rPr>
            </w:pPr>
          </w:p>
          <w:p w14:paraId="16A52702" w14:textId="77777777" w:rsidR="005634E2" w:rsidRDefault="005634E2" w:rsidP="005634E2">
            <w:pPr>
              <w:rPr>
                <w:iCs/>
                <w:color w:val="000000"/>
                <w:sz w:val="16"/>
                <w:szCs w:val="16"/>
                <w:lang w:val="en-GB"/>
              </w:rPr>
            </w:pPr>
          </w:p>
          <w:p w14:paraId="6D76781F" w14:textId="77777777" w:rsidR="00385CBC" w:rsidRDefault="00385CBC" w:rsidP="005634E2">
            <w:pPr>
              <w:rPr>
                <w:iCs/>
                <w:color w:val="000000"/>
                <w:sz w:val="16"/>
                <w:szCs w:val="16"/>
                <w:lang w:val="en-GB"/>
              </w:rPr>
            </w:pPr>
          </w:p>
          <w:p w14:paraId="58D62C40" w14:textId="317BD90C" w:rsidR="007255AE" w:rsidRDefault="007255AE" w:rsidP="005634E2">
            <w:pPr>
              <w:rPr>
                <w:iCs/>
                <w:color w:val="000000"/>
                <w:sz w:val="16"/>
                <w:szCs w:val="16"/>
                <w:lang w:val="en-GB"/>
              </w:rPr>
            </w:pPr>
          </w:p>
          <w:p w14:paraId="2B6C79C1" w14:textId="77777777" w:rsidR="007255AE" w:rsidRDefault="007255AE" w:rsidP="005634E2">
            <w:pPr>
              <w:rPr>
                <w:iCs/>
                <w:color w:val="000000"/>
                <w:sz w:val="16"/>
                <w:szCs w:val="16"/>
                <w:lang w:val="en-GB"/>
              </w:rPr>
            </w:pPr>
          </w:p>
          <w:p w14:paraId="7B87A72B" w14:textId="77777777" w:rsidR="005634E2" w:rsidRDefault="005634E2" w:rsidP="005634E2">
            <w:pPr>
              <w:rPr>
                <w:iCs/>
                <w:color w:val="000000"/>
                <w:sz w:val="16"/>
                <w:szCs w:val="16"/>
                <w:lang w:val="en-GB"/>
              </w:rPr>
            </w:pPr>
          </w:p>
          <w:p w14:paraId="0FDB4778" w14:textId="77777777" w:rsidR="007255AE" w:rsidRDefault="007255AE" w:rsidP="005634E2">
            <w:pPr>
              <w:rPr>
                <w:iCs/>
                <w:color w:val="000000"/>
                <w:sz w:val="16"/>
                <w:szCs w:val="16"/>
                <w:lang w:val="en-GB"/>
              </w:rPr>
            </w:pPr>
          </w:p>
          <w:p w14:paraId="4555FA27" w14:textId="77777777" w:rsidR="005634E2" w:rsidRDefault="005634E2" w:rsidP="005634E2">
            <w:pPr>
              <w:rPr>
                <w:iCs/>
                <w:color w:val="000000"/>
                <w:sz w:val="16"/>
                <w:szCs w:val="16"/>
                <w:lang w:val="en-GB"/>
              </w:rPr>
            </w:pPr>
          </w:p>
          <w:p w14:paraId="4B0C6B60" w14:textId="77777777" w:rsidR="0090123D" w:rsidRDefault="0090123D" w:rsidP="005634E2">
            <w:pPr>
              <w:rPr>
                <w:iCs/>
                <w:color w:val="000000"/>
                <w:sz w:val="16"/>
                <w:szCs w:val="16"/>
                <w:lang w:val="en-GB"/>
              </w:rPr>
            </w:pPr>
          </w:p>
          <w:p w14:paraId="3680259B" w14:textId="77777777" w:rsidR="0090123D" w:rsidRDefault="0090123D" w:rsidP="005634E2">
            <w:pPr>
              <w:rPr>
                <w:iCs/>
                <w:color w:val="000000"/>
                <w:sz w:val="16"/>
                <w:szCs w:val="16"/>
                <w:lang w:val="en-GB"/>
              </w:rPr>
            </w:pPr>
          </w:p>
          <w:p w14:paraId="2158E3F8" w14:textId="77777777" w:rsidR="007255AE" w:rsidRPr="0027502A" w:rsidRDefault="007255AE" w:rsidP="0046175C">
            <w:pPr>
              <w:rPr>
                <w:iCs/>
                <w:color w:val="000000"/>
                <w:sz w:val="16"/>
                <w:szCs w:val="16"/>
                <w:lang w:val="en-GB"/>
              </w:rPr>
            </w:pPr>
          </w:p>
        </w:tc>
        <w:tc>
          <w:tcPr>
            <w:tcW w:w="701" w:type="pct"/>
            <w:tcBorders>
              <w:top w:val="single" w:sz="4" w:space="0" w:color="auto"/>
              <w:bottom w:val="single" w:sz="4" w:space="0" w:color="auto"/>
              <w:right w:val="single" w:sz="4" w:space="0" w:color="auto"/>
            </w:tcBorders>
            <w:tcMar>
              <w:top w:w="15" w:type="dxa"/>
              <w:left w:w="108" w:type="dxa"/>
              <w:bottom w:w="0" w:type="dxa"/>
              <w:right w:w="108" w:type="dxa"/>
            </w:tcMar>
          </w:tcPr>
          <w:p w14:paraId="6A2E59D0" w14:textId="1FD019A0" w:rsidR="007255AE" w:rsidRDefault="007255AE" w:rsidP="00F92FCC">
            <w:pPr>
              <w:rPr>
                <w:b/>
                <w:color w:val="000000"/>
                <w:sz w:val="16"/>
                <w:szCs w:val="16"/>
              </w:rPr>
            </w:pPr>
            <w:r w:rsidRPr="003C26C1">
              <w:rPr>
                <w:b/>
                <w:color w:val="000000"/>
                <w:sz w:val="16"/>
                <w:szCs w:val="16"/>
              </w:rPr>
              <w:lastRenderedPageBreak/>
              <w:t>Regular</w:t>
            </w:r>
            <w:r w:rsidR="00E35BD9">
              <w:rPr>
                <w:b/>
                <w:color w:val="000000"/>
                <w:sz w:val="16"/>
                <w:szCs w:val="16"/>
              </w:rPr>
              <w:t xml:space="preserve"> resources</w:t>
            </w:r>
            <w:r w:rsidR="000E3032">
              <w:rPr>
                <w:b/>
                <w:color w:val="000000"/>
                <w:sz w:val="16"/>
                <w:szCs w:val="16"/>
              </w:rPr>
              <w:t>:</w:t>
            </w:r>
            <w:r w:rsidR="008A182E">
              <w:rPr>
                <w:b/>
                <w:color w:val="000000"/>
                <w:sz w:val="16"/>
                <w:szCs w:val="16"/>
              </w:rPr>
              <w:t xml:space="preserve"> </w:t>
            </w:r>
            <w:r w:rsidR="00410F3D">
              <w:rPr>
                <w:b/>
                <w:color w:val="000000"/>
                <w:sz w:val="16"/>
                <w:szCs w:val="16"/>
              </w:rPr>
              <w:t>$</w:t>
            </w:r>
            <w:r w:rsidR="00742892">
              <w:rPr>
                <w:b/>
                <w:color w:val="000000"/>
                <w:sz w:val="16"/>
                <w:szCs w:val="16"/>
              </w:rPr>
              <w:t>8</w:t>
            </w:r>
            <w:r w:rsidR="008A182E">
              <w:rPr>
                <w:b/>
                <w:color w:val="000000"/>
                <w:sz w:val="16"/>
                <w:szCs w:val="16"/>
              </w:rPr>
              <w:t>,</w:t>
            </w:r>
            <w:r w:rsidR="00742892">
              <w:rPr>
                <w:b/>
                <w:color w:val="000000"/>
                <w:sz w:val="16"/>
                <w:szCs w:val="16"/>
              </w:rPr>
              <w:t>341</w:t>
            </w:r>
            <w:r w:rsidR="008A182E">
              <w:rPr>
                <w:b/>
                <w:color w:val="000000"/>
                <w:sz w:val="16"/>
                <w:szCs w:val="16"/>
              </w:rPr>
              <w:t>,000</w:t>
            </w:r>
          </w:p>
          <w:p w14:paraId="0F386DA9" w14:textId="77777777" w:rsidR="00F30EAE" w:rsidRDefault="00F30EAE" w:rsidP="00F92FCC">
            <w:pPr>
              <w:rPr>
                <w:b/>
                <w:color w:val="000000"/>
                <w:sz w:val="16"/>
                <w:szCs w:val="16"/>
              </w:rPr>
            </w:pPr>
          </w:p>
          <w:p w14:paraId="02D3B1DB" w14:textId="0D73BFD5" w:rsidR="00F30EAE" w:rsidRPr="003C26C1" w:rsidRDefault="00F30EAE" w:rsidP="008A182E">
            <w:pPr>
              <w:rPr>
                <w:b/>
                <w:color w:val="000000"/>
                <w:sz w:val="16"/>
                <w:szCs w:val="16"/>
              </w:rPr>
            </w:pPr>
            <w:r>
              <w:rPr>
                <w:b/>
                <w:color w:val="000000"/>
                <w:sz w:val="16"/>
                <w:szCs w:val="16"/>
              </w:rPr>
              <w:t>Other</w:t>
            </w:r>
            <w:r w:rsidR="00E35BD9">
              <w:rPr>
                <w:b/>
                <w:color w:val="000000"/>
                <w:sz w:val="16"/>
                <w:szCs w:val="16"/>
              </w:rPr>
              <w:t xml:space="preserve"> resources</w:t>
            </w:r>
            <w:r w:rsidR="000E3032">
              <w:rPr>
                <w:b/>
                <w:color w:val="000000"/>
                <w:sz w:val="16"/>
                <w:szCs w:val="16"/>
              </w:rPr>
              <w:t xml:space="preserve">: </w:t>
            </w:r>
            <w:r w:rsidR="00410F3D">
              <w:rPr>
                <w:b/>
                <w:color w:val="000000"/>
                <w:sz w:val="16"/>
                <w:szCs w:val="16"/>
              </w:rPr>
              <w:t>$</w:t>
            </w:r>
            <w:r w:rsidR="000E3032">
              <w:rPr>
                <w:b/>
                <w:color w:val="000000"/>
                <w:sz w:val="16"/>
                <w:szCs w:val="16"/>
              </w:rPr>
              <w:t>1</w:t>
            </w:r>
            <w:r w:rsidR="008A182E">
              <w:rPr>
                <w:b/>
                <w:color w:val="000000"/>
                <w:sz w:val="16"/>
                <w:szCs w:val="16"/>
              </w:rPr>
              <w:t>5</w:t>
            </w:r>
            <w:r w:rsidR="000E3032">
              <w:rPr>
                <w:b/>
                <w:color w:val="000000"/>
                <w:sz w:val="16"/>
                <w:szCs w:val="16"/>
              </w:rPr>
              <w:t>,000,000</w:t>
            </w:r>
          </w:p>
        </w:tc>
      </w:tr>
    </w:tbl>
    <w:p w14:paraId="4F68FBB9" w14:textId="7072982D" w:rsidR="00C42EE0" w:rsidRPr="008A182E" w:rsidRDefault="00C42EE0" w:rsidP="007255AE">
      <w:pPr>
        <w:rPr>
          <w:sz w:val="16"/>
          <w:szCs w:val="16"/>
          <w:lang w:val="en-GB"/>
        </w:rPr>
      </w:pPr>
    </w:p>
    <w:p w14:paraId="7F362857" w14:textId="580E41C1" w:rsidR="008A182E" w:rsidRPr="003A7F2A" w:rsidRDefault="00047F68" w:rsidP="00047F68">
      <w:pPr>
        <w:jc w:val="center"/>
        <w:rPr>
          <w:b/>
          <w:sz w:val="18"/>
          <w:szCs w:val="16"/>
          <w:lang w:val="en-GB"/>
        </w:rPr>
      </w:pPr>
      <w:r>
        <w:rPr>
          <w:rFonts w:eastAsiaTheme="minorEastAsia"/>
          <w:bCs/>
          <w:noProof/>
          <w:sz w:val="18"/>
          <w:szCs w:val="18"/>
        </w:rPr>
        <w:drawing>
          <wp:inline distT="0" distB="0" distL="0" distR="0" wp14:anchorId="35FD7C6E" wp14:editId="589B5057">
            <wp:extent cx="944880" cy="304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44880" cy="30480"/>
                    </a:xfrm>
                    <a:prstGeom prst="rect">
                      <a:avLst/>
                    </a:prstGeom>
                    <a:noFill/>
                  </pic:spPr>
                </pic:pic>
              </a:graphicData>
            </a:graphic>
          </wp:inline>
        </w:drawing>
      </w:r>
    </w:p>
    <w:sectPr w:rsidR="008A182E" w:rsidRPr="003A7F2A" w:rsidSect="001B0D67">
      <w:headerReference w:type="even" r:id="rId26"/>
      <w:headerReference w:type="default" r:id="rId27"/>
      <w:headerReference w:type="first" r:id="rId28"/>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C96E1" w14:textId="77777777" w:rsidR="00E66F72" w:rsidRDefault="00E66F72" w:rsidP="00441061">
      <w:r>
        <w:separator/>
      </w:r>
    </w:p>
  </w:endnote>
  <w:endnote w:type="continuationSeparator" w:id="0">
    <w:p w14:paraId="1C93CF9C" w14:textId="77777777" w:rsidR="00E66F72" w:rsidRDefault="00E66F72" w:rsidP="00441061">
      <w:r>
        <w:continuationSeparator/>
      </w:r>
    </w:p>
  </w:endnote>
  <w:endnote w:type="continuationNotice" w:id="1">
    <w:p w14:paraId="579DF995" w14:textId="77777777" w:rsidR="00E66F72" w:rsidRDefault="00E66F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808D2" w14:textId="77777777" w:rsidR="0077361A" w:rsidRPr="005841A3" w:rsidRDefault="0077361A">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w:t>
    </w:r>
    <w:r w:rsidRPr="005841A3">
      <w:rPr>
        <w:b/>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F35FD" w14:textId="77777777" w:rsidR="0077361A" w:rsidRPr="005841A3" w:rsidRDefault="0077361A">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9</w:t>
    </w:r>
    <w:r w:rsidRPr="005841A3">
      <w:rPr>
        <w:b/>
        <w:sz w:val="17"/>
        <w:szCs w:val="17"/>
      </w:rPr>
      <w:fldChar w:fldCharType="end"/>
    </w:r>
  </w:p>
  <w:p w14:paraId="6747251E" w14:textId="77777777" w:rsidR="0077361A" w:rsidRDefault="0077361A" w:rsidP="005841A3">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47C3E" w14:textId="77777777" w:rsidR="0077361A" w:rsidRPr="005841A3" w:rsidRDefault="0077361A">
    <w:pPr>
      <w:pStyle w:val="Footer"/>
      <w:rPr>
        <w:b/>
        <w:sz w:val="17"/>
        <w:szCs w:val="17"/>
      </w:rPr>
    </w:pPr>
    <w:r>
      <w:fldChar w:fldCharType="begin"/>
    </w:r>
    <w:r>
      <w:instrText xml:space="preserve"> PAGE   \* MERGEFORMAT </w:instrText>
    </w:r>
    <w:r>
      <w:fldChar w:fldCharType="separate"/>
    </w:r>
    <w:r w:rsidR="00A338EC" w:rsidRPr="00A338EC">
      <w:rPr>
        <w:b/>
        <w:noProof/>
        <w:sz w:val="17"/>
        <w:szCs w:val="17"/>
      </w:rPr>
      <w:t>2</w:t>
    </w:r>
    <w:r>
      <w:rPr>
        <w:b/>
        <w:noProof/>
        <w:sz w:val="17"/>
        <w:szCs w:val="17"/>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30AD1" w14:textId="46B949A8" w:rsidR="0077361A" w:rsidRPr="002B17A4" w:rsidRDefault="0077361A" w:rsidP="0050286D">
    <w:pPr>
      <w:pStyle w:val="Footer"/>
      <w:jc w:val="right"/>
      <w:rPr>
        <w:b/>
        <w:sz w:val="17"/>
        <w:szCs w:val="17"/>
      </w:rPr>
    </w:pPr>
    <w:r>
      <w:fldChar w:fldCharType="begin"/>
    </w:r>
    <w:r>
      <w:instrText xml:space="preserve"> PAGE   \* MERGEFORMAT </w:instrText>
    </w:r>
    <w:r>
      <w:fldChar w:fldCharType="separate"/>
    </w:r>
    <w:r w:rsidR="00A338EC" w:rsidRPr="00A338EC">
      <w:rPr>
        <w:b/>
        <w:noProof/>
        <w:sz w:val="17"/>
        <w:szCs w:val="17"/>
      </w:rPr>
      <w:t>3</w:t>
    </w:r>
    <w:r>
      <w:rPr>
        <w:b/>
        <w:noProof/>
        <w:sz w:val="17"/>
        <w:szCs w:val="17"/>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7"/>
        <w:szCs w:val="17"/>
      </w:rPr>
      <w:id w:val="387080221"/>
      <w:docPartObj>
        <w:docPartGallery w:val="Page Numbers (Bottom of Page)"/>
        <w:docPartUnique/>
      </w:docPartObj>
    </w:sdtPr>
    <w:sdtEndPr>
      <w:rPr>
        <w:noProof/>
      </w:rPr>
    </w:sdtEndPr>
    <w:sdtContent>
      <w:p w14:paraId="27B32D2A" w14:textId="7B124329" w:rsidR="0077361A" w:rsidRPr="00047F68" w:rsidRDefault="0077361A" w:rsidP="0050286D">
        <w:pPr>
          <w:pStyle w:val="Footer"/>
          <w:rPr>
            <w:b/>
            <w:sz w:val="17"/>
            <w:szCs w:val="17"/>
          </w:rPr>
        </w:pPr>
        <w:r w:rsidRPr="00047F68">
          <w:rPr>
            <w:b/>
            <w:sz w:val="17"/>
            <w:szCs w:val="17"/>
          </w:rPr>
          <w:fldChar w:fldCharType="begin"/>
        </w:r>
        <w:r w:rsidRPr="00047F68">
          <w:rPr>
            <w:b/>
            <w:sz w:val="17"/>
            <w:szCs w:val="17"/>
          </w:rPr>
          <w:instrText xml:space="preserve"> PAGE   \* MERGEFORMAT </w:instrText>
        </w:r>
        <w:r w:rsidRPr="00047F68">
          <w:rPr>
            <w:b/>
            <w:sz w:val="17"/>
            <w:szCs w:val="17"/>
          </w:rPr>
          <w:fldChar w:fldCharType="separate"/>
        </w:r>
        <w:r>
          <w:rPr>
            <w:b/>
            <w:noProof/>
            <w:sz w:val="17"/>
            <w:szCs w:val="17"/>
          </w:rPr>
          <w:t>2</w:t>
        </w:r>
        <w:r w:rsidRPr="00047F68">
          <w:rPr>
            <w:b/>
            <w:noProof/>
            <w:sz w:val="17"/>
            <w:szCs w:val="17"/>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C5D03" w14:textId="77777777" w:rsidR="00E66F72" w:rsidRDefault="00E66F72" w:rsidP="00441061">
      <w:r>
        <w:separator/>
      </w:r>
    </w:p>
  </w:footnote>
  <w:footnote w:type="continuationSeparator" w:id="0">
    <w:p w14:paraId="7E1A9032" w14:textId="77777777" w:rsidR="00E66F72" w:rsidRDefault="00E66F72" w:rsidP="00441061">
      <w:r>
        <w:continuationSeparator/>
      </w:r>
    </w:p>
  </w:footnote>
  <w:footnote w:type="continuationNotice" w:id="1">
    <w:p w14:paraId="0CD5ED9B" w14:textId="77777777" w:rsidR="00E66F72" w:rsidRDefault="00E66F72"/>
  </w:footnote>
  <w:footnote w:id="2">
    <w:p w14:paraId="0DEEFC10" w14:textId="0C061146" w:rsidR="0077361A" w:rsidRPr="00821FE6" w:rsidRDefault="0077361A">
      <w:pPr>
        <w:pStyle w:val="FootnoteText"/>
        <w:rPr>
          <w:rFonts w:ascii="Times New Roman" w:hAnsi="Times New Roman"/>
          <w:sz w:val="14"/>
          <w:szCs w:val="14"/>
        </w:rPr>
      </w:pPr>
      <w:r w:rsidRPr="00821FE6">
        <w:rPr>
          <w:rStyle w:val="FootnoteReference"/>
          <w:rFonts w:ascii="Times New Roman" w:hAnsi="Times New Roman"/>
          <w:sz w:val="14"/>
          <w:szCs w:val="14"/>
        </w:rPr>
        <w:footnoteRef/>
      </w:r>
      <w:r w:rsidR="007A1203">
        <w:rPr>
          <w:rFonts w:ascii="Times New Roman" w:hAnsi="Times New Roman"/>
          <w:sz w:val="14"/>
          <w:szCs w:val="14"/>
        </w:rPr>
        <w:t xml:space="preserve"> </w:t>
      </w:r>
      <w:r w:rsidRPr="00821FE6">
        <w:rPr>
          <w:rFonts w:ascii="Times New Roman" w:hAnsi="Times New Roman"/>
          <w:sz w:val="14"/>
          <w:szCs w:val="14"/>
        </w:rPr>
        <w:t>GDP at c</w:t>
      </w:r>
      <w:r w:rsidRPr="002B2431">
        <w:rPr>
          <w:rFonts w:ascii="Times New Roman" w:hAnsi="Times New Roman"/>
          <w:sz w:val="14"/>
          <w:szCs w:val="14"/>
        </w:rPr>
        <w:t xml:space="preserve">urrent prices from </w:t>
      </w:r>
      <w:r>
        <w:rPr>
          <w:rFonts w:ascii="Times New Roman" w:hAnsi="Times New Roman"/>
          <w:sz w:val="14"/>
          <w:szCs w:val="14"/>
        </w:rPr>
        <w:t>'</w:t>
      </w:r>
      <w:r w:rsidRPr="002B2431">
        <w:rPr>
          <w:rFonts w:ascii="Times New Roman" w:hAnsi="Times New Roman"/>
          <w:sz w:val="14"/>
          <w:szCs w:val="14"/>
        </w:rPr>
        <w:t>Socio-Economic Situati</w:t>
      </w:r>
      <w:r>
        <w:rPr>
          <w:rFonts w:ascii="Times New Roman" w:hAnsi="Times New Roman"/>
          <w:sz w:val="14"/>
          <w:szCs w:val="14"/>
        </w:rPr>
        <w:t>on in 2015', General Statistics</w:t>
      </w:r>
      <w:r w:rsidRPr="002B2431">
        <w:rPr>
          <w:rFonts w:ascii="Times New Roman" w:hAnsi="Times New Roman"/>
          <w:sz w:val="14"/>
          <w:szCs w:val="14"/>
        </w:rPr>
        <w:t xml:space="preserve"> Office</w:t>
      </w:r>
      <w:r>
        <w:rPr>
          <w:rFonts w:ascii="Times New Roman" w:hAnsi="Times New Roman"/>
          <w:sz w:val="14"/>
          <w:szCs w:val="14"/>
        </w:rPr>
        <w:t>,</w:t>
      </w:r>
      <w:r w:rsidRPr="002B2431">
        <w:rPr>
          <w:rFonts w:ascii="Times New Roman" w:hAnsi="Times New Roman"/>
          <w:sz w:val="14"/>
          <w:szCs w:val="14"/>
        </w:rPr>
        <w:t xml:space="preserve"> </w:t>
      </w:r>
      <w:r>
        <w:rPr>
          <w:rFonts w:ascii="Times New Roman" w:hAnsi="Times New Roman"/>
          <w:sz w:val="14"/>
          <w:szCs w:val="14"/>
        </w:rPr>
        <w:t>2015.</w:t>
      </w:r>
    </w:p>
  </w:footnote>
  <w:footnote w:id="3">
    <w:p w14:paraId="2448A597" w14:textId="5FD156EF" w:rsidR="0077361A" w:rsidRPr="00056684" w:rsidRDefault="0077361A">
      <w:pPr>
        <w:pStyle w:val="FootnoteText"/>
        <w:rPr>
          <w:rFonts w:ascii="Times New Roman" w:hAnsi="Times New Roman"/>
          <w:sz w:val="14"/>
          <w:szCs w:val="14"/>
        </w:rPr>
      </w:pPr>
      <w:r w:rsidRPr="002B2431">
        <w:rPr>
          <w:rFonts w:ascii="Times New Roman" w:hAnsi="Times New Roman"/>
          <w:sz w:val="14"/>
          <w:szCs w:val="14"/>
          <w:vertAlign w:val="superscript"/>
        </w:rPr>
        <w:footnoteRef/>
      </w:r>
      <w:r w:rsidR="007A1203">
        <w:rPr>
          <w:rFonts w:ascii="Times New Roman" w:hAnsi="Times New Roman"/>
          <w:sz w:val="14"/>
          <w:szCs w:val="14"/>
        </w:rPr>
        <w:t xml:space="preserve"> </w:t>
      </w:r>
      <w:r>
        <w:rPr>
          <w:rFonts w:ascii="Times New Roman" w:hAnsi="Times New Roman"/>
          <w:sz w:val="14"/>
          <w:szCs w:val="14"/>
        </w:rPr>
        <w:t xml:space="preserve">UNDP, </w:t>
      </w:r>
      <w:r w:rsidRPr="002B2431">
        <w:rPr>
          <w:rFonts w:ascii="Times New Roman" w:hAnsi="Times New Roman"/>
          <w:sz w:val="14"/>
          <w:szCs w:val="14"/>
        </w:rPr>
        <w:t>Human Development Report 2015</w:t>
      </w:r>
      <w:r>
        <w:rPr>
          <w:rFonts w:ascii="Times New Roman" w:hAnsi="Times New Roman"/>
          <w:sz w:val="14"/>
          <w:szCs w:val="14"/>
        </w:rPr>
        <w:t>.</w:t>
      </w:r>
    </w:p>
  </w:footnote>
  <w:footnote w:id="4">
    <w:p w14:paraId="1205590A" w14:textId="7D010AFA" w:rsidR="0077361A" w:rsidRPr="00554289" w:rsidRDefault="0077361A" w:rsidP="00554289">
      <w:pPr>
        <w:pStyle w:val="FootnoteText"/>
        <w:rPr>
          <w:lang w:val="en-GB"/>
        </w:rPr>
      </w:pPr>
      <w:r w:rsidRPr="00430988">
        <w:rPr>
          <w:rFonts w:ascii="Times New Roman" w:hAnsi="Times New Roman"/>
          <w:sz w:val="14"/>
          <w:szCs w:val="14"/>
          <w:vertAlign w:val="superscript"/>
        </w:rPr>
        <w:footnoteRef/>
      </w:r>
      <w:r w:rsidR="007A1203">
        <w:rPr>
          <w:rFonts w:ascii="Times New Roman" w:hAnsi="Times New Roman"/>
          <w:sz w:val="14"/>
          <w:szCs w:val="14"/>
        </w:rPr>
        <w:t xml:space="preserve"> </w:t>
      </w:r>
      <w:r>
        <w:rPr>
          <w:rFonts w:ascii="Times New Roman" w:hAnsi="Times New Roman"/>
          <w:sz w:val="14"/>
          <w:szCs w:val="14"/>
        </w:rPr>
        <w:t>Viet Nam Household and Living Standards Survey (VHLSS), General Statistics Office, 2015.</w:t>
      </w:r>
    </w:p>
  </w:footnote>
  <w:footnote w:id="5">
    <w:p w14:paraId="72359D89" w14:textId="2C0F1833" w:rsidR="0077361A" w:rsidRPr="00430988" w:rsidRDefault="0077361A">
      <w:pPr>
        <w:pStyle w:val="FootnoteText"/>
        <w:rPr>
          <w:lang w:val="en-GB"/>
        </w:rPr>
      </w:pPr>
      <w:r w:rsidRPr="00430988">
        <w:rPr>
          <w:rFonts w:ascii="Times New Roman" w:hAnsi="Times New Roman"/>
          <w:sz w:val="14"/>
          <w:szCs w:val="14"/>
          <w:vertAlign w:val="superscript"/>
        </w:rPr>
        <w:footnoteRef/>
      </w:r>
      <w:r w:rsidR="007A1203">
        <w:rPr>
          <w:rFonts w:ascii="Times New Roman" w:hAnsi="Times New Roman"/>
          <w:sz w:val="14"/>
          <w:szCs w:val="14"/>
        </w:rPr>
        <w:t xml:space="preserve"> </w:t>
      </w:r>
      <w:r>
        <w:rPr>
          <w:rFonts w:ascii="Times New Roman" w:hAnsi="Times New Roman"/>
          <w:sz w:val="14"/>
          <w:szCs w:val="14"/>
        </w:rPr>
        <w:t>Socio-Economic Situation in 2015, General Statistics Office 2015.</w:t>
      </w:r>
    </w:p>
  </w:footnote>
  <w:footnote w:id="6">
    <w:p w14:paraId="0DE986DC" w14:textId="5A202E46" w:rsidR="0077361A" w:rsidRPr="00222C44" w:rsidRDefault="0077361A">
      <w:pPr>
        <w:pStyle w:val="FootnoteText"/>
        <w:rPr>
          <w:lang w:val="en-GB"/>
        </w:rPr>
      </w:pPr>
      <w:r w:rsidRPr="00222C44">
        <w:rPr>
          <w:rFonts w:ascii="Times New Roman" w:hAnsi="Times New Roman"/>
          <w:sz w:val="14"/>
          <w:szCs w:val="14"/>
          <w:vertAlign w:val="superscript"/>
        </w:rPr>
        <w:footnoteRef/>
      </w:r>
      <w:r w:rsidR="007A1203">
        <w:rPr>
          <w:rFonts w:ascii="Times New Roman" w:hAnsi="Times New Roman"/>
          <w:sz w:val="14"/>
          <w:szCs w:val="14"/>
        </w:rPr>
        <w:t xml:space="preserve"> </w:t>
      </w:r>
      <w:r w:rsidRPr="007E6E52">
        <w:rPr>
          <w:rFonts w:ascii="Times New Roman" w:hAnsi="Times New Roman"/>
          <w:sz w:val="14"/>
          <w:szCs w:val="14"/>
        </w:rPr>
        <w:t xml:space="preserve">Viet Nam </w:t>
      </w:r>
      <w:r>
        <w:rPr>
          <w:rFonts w:ascii="Times New Roman" w:hAnsi="Times New Roman"/>
          <w:sz w:val="14"/>
          <w:szCs w:val="14"/>
        </w:rPr>
        <w:t>National Human Development Report 2015.</w:t>
      </w:r>
    </w:p>
  </w:footnote>
  <w:footnote w:id="7">
    <w:p w14:paraId="00FC4D18" w14:textId="1F9C13CA" w:rsidR="0077361A" w:rsidRPr="00A674DD" w:rsidRDefault="0077361A">
      <w:pPr>
        <w:pStyle w:val="FootnoteText"/>
        <w:rPr>
          <w:lang w:val="en-GB"/>
        </w:rPr>
      </w:pPr>
      <w:r w:rsidRPr="00A674DD">
        <w:rPr>
          <w:rFonts w:ascii="Times New Roman" w:hAnsi="Times New Roman"/>
          <w:sz w:val="14"/>
          <w:szCs w:val="14"/>
          <w:vertAlign w:val="superscript"/>
        </w:rPr>
        <w:footnoteRef/>
      </w:r>
      <w:r w:rsidR="007A1203">
        <w:rPr>
          <w:rFonts w:ascii="Times New Roman" w:hAnsi="Times New Roman"/>
          <w:sz w:val="14"/>
          <w:szCs w:val="14"/>
        </w:rPr>
        <w:t xml:space="preserve"> </w:t>
      </w:r>
      <w:r w:rsidRPr="00A674DD">
        <w:rPr>
          <w:rFonts w:ascii="Times New Roman" w:hAnsi="Times New Roman"/>
          <w:sz w:val="14"/>
          <w:szCs w:val="14"/>
        </w:rPr>
        <w:t>Gini coefficient of 35.6</w:t>
      </w:r>
      <w:r>
        <w:rPr>
          <w:rFonts w:ascii="Times New Roman" w:hAnsi="Times New Roman"/>
          <w:sz w:val="14"/>
          <w:szCs w:val="14"/>
        </w:rPr>
        <w:t xml:space="preserve"> (2012).</w:t>
      </w:r>
    </w:p>
  </w:footnote>
  <w:footnote w:id="8">
    <w:p w14:paraId="6A26462B" w14:textId="41AFF67D" w:rsidR="0077361A" w:rsidRPr="007E6E52" w:rsidRDefault="0077361A">
      <w:pPr>
        <w:pStyle w:val="FootnoteText"/>
        <w:rPr>
          <w:rFonts w:ascii="Times New Roman" w:hAnsi="Times New Roman"/>
          <w:sz w:val="14"/>
          <w:szCs w:val="14"/>
        </w:rPr>
      </w:pPr>
      <w:r w:rsidRPr="007E6E52">
        <w:rPr>
          <w:rStyle w:val="FootnoteReference"/>
          <w:rFonts w:ascii="Times New Roman" w:hAnsi="Times New Roman"/>
          <w:sz w:val="14"/>
          <w:szCs w:val="14"/>
        </w:rPr>
        <w:footnoteRef/>
      </w:r>
      <w:r w:rsidR="007A1203">
        <w:rPr>
          <w:rFonts w:ascii="Times New Roman" w:hAnsi="Times New Roman"/>
          <w:sz w:val="14"/>
          <w:szCs w:val="14"/>
        </w:rPr>
        <w:t xml:space="preserve"> </w:t>
      </w:r>
      <w:r>
        <w:rPr>
          <w:rFonts w:ascii="Times New Roman" w:hAnsi="Times New Roman"/>
          <w:sz w:val="14"/>
          <w:szCs w:val="14"/>
        </w:rPr>
        <w:t xml:space="preserve">Based on </w:t>
      </w:r>
      <w:r w:rsidRPr="007E6E52">
        <w:rPr>
          <w:rFonts w:ascii="Times New Roman" w:hAnsi="Times New Roman"/>
          <w:sz w:val="14"/>
          <w:szCs w:val="14"/>
        </w:rPr>
        <w:t xml:space="preserve">the latest survey to include disaggregated data </w:t>
      </w:r>
      <w:r>
        <w:rPr>
          <w:rFonts w:ascii="Times New Roman" w:hAnsi="Times New Roman"/>
          <w:sz w:val="14"/>
          <w:szCs w:val="14"/>
        </w:rPr>
        <w:t>(VHLSS 2012),</w:t>
      </w:r>
      <w:r w:rsidRPr="007E6E52">
        <w:rPr>
          <w:rFonts w:ascii="Times New Roman" w:hAnsi="Times New Roman"/>
          <w:sz w:val="14"/>
          <w:szCs w:val="14"/>
        </w:rPr>
        <w:t xml:space="preserve"> national headcount of 11.1</w:t>
      </w:r>
      <w:r>
        <w:rPr>
          <w:rFonts w:ascii="Times New Roman" w:hAnsi="Times New Roman"/>
          <w:sz w:val="14"/>
          <w:szCs w:val="14"/>
        </w:rPr>
        <w:t xml:space="preserve"> per cent</w:t>
      </w:r>
      <w:r w:rsidRPr="007E6E52">
        <w:rPr>
          <w:rFonts w:ascii="Times New Roman" w:hAnsi="Times New Roman"/>
          <w:sz w:val="14"/>
          <w:szCs w:val="14"/>
        </w:rPr>
        <w:t xml:space="preserve"> and </w:t>
      </w:r>
      <w:r w:rsidRPr="0077361A">
        <w:rPr>
          <w:rFonts w:ascii="Times New Roman" w:hAnsi="Times New Roman"/>
          <w:sz w:val="14"/>
          <w:szCs w:val="14"/>
        </w:rPr>
        <w:t>ethnic minorities</w:t>
      </w:r>
      <w:r w:rsidRPr="007E6E52">
        <w:rPr>
          <w:rFonts w:ascii="Times New Roman" w:hAnsi="Times New Roman"/>
          <w:sz w:val="14"/>
          <w:szCs w:val="14"/>
        </w:rPr>
        <w:t xml:space="preserve"> headcount of 34.6</w:t>
      </w:r>
      <w:r>
        <w:rPr>
          <w:rFonts w:ascii="Times New Roman" w:hAnsi="Times New Roman"/>
          <w:sz w:val="14"/>
          <w:szCs w:val="14"/>
        </w:rPr>
        <w:t xml:space="preserve"> per cent. Based on VHLSS 2014, the poverty headcount was 7.1 per cent (disaggregated data not available). Source for both sets of data: General Statistics Office.</w:t>
      </w:r>
    </w:p>
  </w:footnote>
  <w:footnote w:id="9">
    <w:p w14:paraId="595EBF28" w14:textId="168FE58A" w:rsidR="0077361A" w:rsidRPr="007E6E52" w:rsidRDefault="0077361A">
      <w:pPr>
        <w:pStyle w:val="FootnoteText"/>
        <w:rPr>
          <w:rFonts w:ascii="Times New Roman" w:hAnsi="Times New Roman"/>
          <w:sz w:val="14"/>
          <w:szCs w:val="14"/>
        </w:rPr>
      </w:pPr>
      <w:r w:rsidRPr="007E6E52">
        <w:rPr>
          <w:rStyle w:val="FootnoteReference"/>
          <w:rFonts w:ascii="Times New Roman" w:hAnsi="Times New Roman"/>
          <w:sz w:val="14"/>
          <w:szCs w:val="14"/>
        </w:rPr>
        <w:footnoteRef/>
      </w:r>
      <w:r w:rsidR="007A1203">
        <w:rPr>
          <w:rFonts w:ascii="Times New Roman" w:hAnsi="Times New Roman"/>
          <w:sz w:val="14"/>
          <w:szCs w:val="14"/>
        </w:rPr>
        <w:t xml:space="preserve"> </w:t>
      </w:r>
      <w:r w:rsidRPr="007E6E52">
        <w:rPr>
          <w:rFonts w:ascii="Times New Roman" w:hAnsi="Times New Roman"/>
          <w:sz w:val="14"/>
          <w:szCs w:val="14"/>
        </w:rPr>
        <w:t xml:space="preserve">Viet Nam </w:t>
      </w:r>
      <w:r>
        <w:rPr>
          <w:rFonts w:ascii="Times New Roman" w:hAnsi="Times New Roman"/>
          <w:sz w:val="14"/>
          <w:szCs w:val="14"/>
        </w:rPr>
        <w:t>National Human Development Report 2015</w:t>
      </w:r>
    </w:p>
  </w:footnote>
  <w:footnote w:id="10">
    <w:p w14:paraId="22D8372D" w14:textId="2965A797" w:rsidR="0077361A" w:rsidRPr="00164FD8" w:rsidRDefault="0077361A">
      <w:pPr>
        <w:pStyle w:val="FootnoteText"/>
        <w:rPr>
          <w:rFonts w:ascii="Times New Roman" w:hAnsi="Times New Roman"/>
          <w:sz w:val="14"/>
          <w:szCs w:val="14"/>
        </w:rPr>
      </w:pPr>
      <w:r w:rsidRPr="00164FD8">
        <w:rPr>
          <w:rStyle w:val="FootnoteReference"/>
          <w:rFonts w:ascii="Times New Roman" w:hAnsi="Times New Roman"/>
          <w:sz w:val="14"/>
          <w:szCs w:val="14"/>
        </w:rPr>
        <w:footnoteRef/>
      </w:r>
      <w:r w:rsidR="007A1203">
        <w:rPr>
          <w:rFonts w:ascii="Times New Roman" w:hAnsi="Times New Roman"/>
          <w:sz w:val="14"/>
          <w:szCs w:val="14"/>
        </w:rPr>
        <w:t xml:space="preserve"> </w:t>
      </w:r>
      <w:r w:rsidRPr="00164FD8">
        <w:rPr>
          <w:rFonts w:ascii="Times New Roman" w:hAnsi="Times New Roman"/>
          <w:sz w:val="14"/>
          <w:szCs w:val="14"/>
        </w:rPr>
        <w:t>Ibid</w:t>
      </w:r>
      <w:r>
        <w:rPr>
          <w:rFonts w:ascii="Times New Roman" w:hAnsi="Times New Roman"/>
          <w:sz w:val="14"/>
          <w:szCs w:val="14"/>
        </w:rPr>
        <w:t>.</w:t>
      </w:r>
    </w:p>
  </w:footnote>
  <w:footnote w:id="11">
    <w:p w14:paraId="5BC9846D" w14:textId="3BDB1822" w:rsidR="0077361A" w:rsidRDefault="0077361A">
      <w:pPr>
        <w:pStyle w:val="FootnoteText"/>
      </w:pPr>
      <w:r w:rsidRPr="007E6E52">
        <w:rPr>
          <w:rStyle w:val="FootnoteReference"/>
          <w:rFonts w:ascii="Times New Roman" w:hAnsi="Times New Roman"/>
          <w:sz w:val="14"/>
          <w:szCs w:val="14"/>
        </w:rPr>
        <w:footnoteRef/>
      </w:r>
      <w:r w:rsidR="007A1203">
        <w:rPr>
          <w:rFonts w:ascii="Times New Roman" w:hAnsi="Times New Roman"/>
          <w:sz w:val="14"/>
          <w:szCs w:val="14"/>
        </w:rPr>
        <w:t xml:space="preserve"> </w:t>
      </w:r>
      <w:r>
        <w:rPr>
          <w:rFonts w:ascii="Times New Roman" w:hAnsi="Times New Roman"/>
          <w:sz w:val="14"/>
          <w:szCs w:val="14"/>
        </w:rPr>
        <w:t xml:space="preserve">UN-Women, </w:t>
      </w:r>
      <w:r w:rsidRPr="007E6E52">
        <w:rPr>
          <w:rFonts w:ascii="Times New Roman" w:hAnsi="Times New Roman"/>
          <w:sz w:val="14"/>
          <w:szCs w:val="14"/>
        </w:rPr>
        <w:t xml:space="preserve">Report </w:t>
      </w:r>
      <w:r>
        <w:rPr>
          <w:rFonts w:ascii="Times New Roman" w:hAnsi="Times New Roman"/>
          <w:sz w:val="14"/>
          <w:szCs w:val="14"/>
        </w:rPr>
        <w:t>on Gender Equality and</w:t>
      </w:r>
      <w:r w:rsidRPr="007E6E52">
        <w:rPr>
          <w:rFonts w:ascii="Times New Roman" w:hAnsi="Times New Roman"/>
          <w:sz w:val="14"/>
          <w:szCs w:val="14"/>
        </w:rPr>
        <w:t xml:space="preserve"> Inclusive Growt</w:t>
      </w:r>
      <w:r>
        <w:rPr>
          <w:rFonts w:ascii="Times New Roman" w:hAnsi="Times New Roman"/>
          <w:sz w:val="14"/>
          <w:szCs w:val="14"/>
        </w:rPr>
        <w:t xml:space="preserve">h, </w:t>
      </w:r>
      <w:r w:rsidRPr="007E6E52">
        <w:rPr>
          <w:rFonts w:ascii="Times New Roman" w:hAnsi="Times New Roman"/>
          <w:sz w:val="14"/>
          <w:szCs w:val="14"/>
        </w:rPr>
        <w:t>2016</w:t>
      </w:r>
      <w:r>
        <w:rPr>
          <w:rFonts w:ascii="Times New Roman" w:hAnsi="Times New Roman"/>
          <w:sz w:val="14"/>
          <w:szCs w:val="14"/>
        </w:rPr>
        <w:t>.</w:t>
      </w:r>
    </w:p>
  </w:footnote>
  <w:footnote w:id="12">
    <w:p w14:paraId="5CEA2396" w14:textId="5F39A6BE" w:rsidR="0077361A" w:rsidRPr="002706B4" w:rsidRDefault="0077361A">
      <w:pPr>
        <w:pStyle w:val="FootnoteText"/>
        <w:rPr>
          <w:lang w:val="en-GB"/>
        </w:rPr>
      </w:pPr>
      <w:r w:rsidRPr="002706B4">
        <w:rPr>
          <w:rStyle w:val="FootnoteReference"/>
          <w:rFonts w:ascii="Times New Roman" w:hAnsi="Times New Roman"/>
          <w:sz w:val="14"/>
          <w:szCs w:val="14"/>
        </w:rPr>
        <w:footnoteRef/>
      </w:r>
      <w:r w:rsidR="007A1203">
        <w:rPr>
          <w:rFonts w:ascii="Times New Roman" w:hAnsi="Times New Roman"/>
          <w:sz w:val="14"/>
          <w:szCs w:val="14"/>
        </w:rPr>
        <w:t xml:space="preserve"> </w:t>
      </w:r>
      <w:r w:rsidRPr="007E6E52">
        <w:rPr>
          <w:rFonts w:ascii="Times New Roman" w:hAnsi="Times New Roman"/>
          <w:sz w:val="14"/>
          <w:szCs w:val="14"/>
        </w:rPr>
        <w:t xml:space="preserve">Viet Nam </w:t>
      </w:r>
      <w:r>
        <w:rPr>
          <w:rFonts w:ascii="Times New Roman" w:hAnsi="Times New Roman"/>
          <w:sz w:val="14"/>
          <w:szCs w:val="14"/>
        </w:rPr>
        <w:t>National Human Development Report 2015.</w:t>
      </w:r>
    </w:p>
  </w:footnote>
  <w:footnote w:id="13">
    <w:p w14:paraId="1D64111A" w14:textId="17416051" w:rsidR="0077361A" w:rsidRPr="001114F6" w:rsidRDefault="0077361A">
      <w:pPr>
        <w:pStyle w:val="FootnoteText"/>
        <w:rPr>
          <w:rFonts w:ascii="Times New Roman" w:hAnsi="Times New Roman"/>
          <w:sz w:val="14"/>
          <w:szCs w:val="14"/>
        </w:rPr>
      </w:pPr>
      <w:r w:rsidRPr="002706B4">
        <w:rPr>
          <w:rStyle w:val="FootnoteReference"/>
          <w:rFonts w:ascii="Times New Roman" w:hAnsi="Times New Roman"/>
          <w:sz w:val="14"/>
          <w:szCs w:val="14"/>
        </w:rPr>
        <w:footnoteRef/>
      </w:r>
      <w:r w:rsidR="007A1203">
        <w:rPr>
          <w:rFonts w:ascii="Times New Roman" w:hAnsi="Times New Roman"/>
          <w:sz w:val="14"/>
          <w:szCs w:val="14"/>
        </w:rPr>
        <w:t xml:space="preserve"> </w:t>
      </w:r>
      <w:r>
        <w:rPr>
          <w:rFonts w:ascii="Times New Roman" w:hAnsi="Times New Roman"/>
          <w:sz w:val="14"/>
          <w:szCs w:val="14"/>
        </w:rPr>
        <w:t>Ibid.</w:t>
      </w:r>
    </w:p>
  </w:footnote>
  <w:footnote w:id="14">
    <w:p w14:paraId="22F0E398" w14:textId="4218CDD4" w:rsidR="0077361A" w:rsidRPr="00905C80" w:rsidRDefault="0077361A" w:rsidP="00D35C1B">
      <w:pPr>
        <w:pStyle w:val="FootnoteText"/>
        <w:rPr>
          <w:lang w:val="en-CA"/>
        </w:rPr>
      </w:pPr>
      <w:r w:rsidRPr="00102024">
        <w:rPr>
          <w:rStyle w:val="FootnoteReference"/>
          <w:rFonts w:ascii="Times New Roman" w:hAnsi="Times New Roman"/>
          <w:sz w:val="14"/>
          <w:szCs w:val="14"/>
        </w:rPr>
        <w:footnoteRef/>
      </w:r>
      <w:r w:rsidR="007A1203">
        <w:rPr>
          <w:rFonts w:ascii="Times New Roman" w:hAnsi="Times New Roman"/>
          <w:sz w:val="14"/>
          <w:szCs w:val="14"/>
          <w:lang w:val="en-CA"/>
        </w:rPr>
        <w:t xml:space="preserve"> </w:t>
      </w:r>
      <w:r>
        <w:rPr>
          <w:rFonts w:ascii="Times New Roman" w:hAnsi="Times New Roman"/>
          <w:sz w:val="14"/>
          <w:szCs w:val="14"/>
          <w:lang w:val="en-CA"/>
        </w:rPr>
        <w:t>Viet Nam Special Report on Managing the Risks of Extreme Events and Disasters to Advance Climate Change Adaptation, Viet Nam Ministry of Environment and Natural Resources and UNDP, 2015.</w:t>
      </w:r>
    </w:p>
  </w:footnote>
  <w:footnote w:id="15">
    <w:p w14:paraId="0E580D32" w14:textId="36CCE64F" w:rsidR="0077361A" w:rsidRPr="00905C80" w:rsidRDefault="0077361A" w:rsidP="00D35C1B">
      <w:pPr>
        <w:pStyle w:val="FootnoteText"/>
        <w:rPr>
          <w:lang w:val="en-CA"/>
        </w:rPr>
      </w:pPr>
      <w:r w:rsidRPr="00102024">
        <w:rPr>
          <w:rStyle w:val="FootnoteReference"/>
          <w:rFonts w:ascii="Times New Roman" w:hAnsi="Times New Roman"/>
          <w:sz w:val="14"/>
          <w:szCs w:val="14"/>
        </w:rPr>
        <w:footnoteRef/>
      </w:r>
      <w:r w:rsidR="007A1203">
        <w:rPr>
          <w:rFonts w:ascii="Times New Roman" w:hAnsi="Times New Roman"/>
          <w:sz w:val="14"/>
          <w:szCs w:val="14"/>
          <w:lang w:val="en-CA"/>
        </w:rPr>
        <w:t xml:space="preserve"> </w:t>
      </w:r>
      <w:r>
        <w:rPr>
          <w:rFonts w:ascii="Times New Roman" w:hAnsi="Times New Roman"/>
          <w:sz w:val="14"/>
          <w:szCs w:val="14"/>
          <w:lang w:val="en-CA"/>
        </w:rPr>
        <w:t>Viet Nam’s i</w:t>
      </w:r>
      <w:r w:rsidRPr="00E215B1">
        <w:rPr>
          <w:rFonts w:ascii="Times New Roman" w:hAnsi="Times New Roman"/>
          <w:sz w:val="14"/>
          <w:szCs w:val="14"/>
          <w:lang w:val="en-CA"/>
        </w:rPr>
        <w:t xml:space="preserve">ntended </w:t>
      </w:r>
      <w:r>
        <w:rPr>
          <w:rFonts w:ascii="Times New Roman" w:hAnsi="Times New Roman"/>
          <w:sz w:val="14"/>
          <w:szCs w:val="14"/>
          <w:lang w:val="en-CA"/>
        </w:rPr>
        <w:t>n</w:t>
      </w:r>
      <w:r w:rsidRPr="00E215B1">
        <w:rPr>
          <w:rFonts w:ascii="Times New Roman" w:hAnsi="Times New Roman"/>
          <w:sz w:val="14"/>
          <w:szCs w:val="14"/>
          <w:lang w:val="en-CA"/>
        </w:rPr>
        <w:t xml:space="preserve">ationally </w:t>
      </w:r>
      <w:r>
        <w:rPr>
          <w:rFonts w:ascii="Times New Roman" w:hAnsi="Times New Roman"/>
          <w:sz w:val="14"/>
          <w:szCs w:val="14"/>
          <w:lang w:val="en-CA"/>
        </w:rPr>
        <w:t>d</w:t>
      </w:r>
      <w:r w:rsidRPr="00E215B1">
        <w:rPr>
          <w:rFonts w:ascii="Times New Roman" w:hAnsi="Times New Roman"/>
          <w:sz w:val="14"/>
          <w:szCs w:val="14"/>
          <w:lang w:val="en-CA"/>
        </w:rPr>
        <w:t xml:space="preserve">etermined </w:t>
      </w:r>
      <w:r>
        <w:rPr>
          <w:rFonts w:ascii="Times New Roman" w:hAnsi="Times New Roman"/>
          <w:sz w:val="14"/>
          <w:szCs w:val="14"/>
          <w:lang w:val="en-CA"/>
        </w:rPr>
        <w:t>c</w:t>
      </w:r>
      <w:r w:rsidRPr="00E215B1">
        <w:rPr>
          <w:rFonts w:ascii="Times New Roman" w:hAnsi="Times New Roman"/>
          <w:sz w:val="14"/>
          <w:szCs w:val="14"/>
          <w:lang w:val="en-CA"/>
        </w:rPr>
        <w:t>ontribution</w:t>
      </w:r>
      <w:r>
        <w:rPr>
          <w:rFonts w:ascii="Times New Roman" w:hAnsi="Times New Roman"/>
          <w:sz w:val="14"/>
          <w:szCs w:val="14"/>
          <w:lang w:val="en-CA"/>
        </w:rPr>
        <w:t>,</w:t>
      </w:r>
      <w:r w:rsidRPr="00E215B1">
        <w:rPr>
          <w:rFonts w:ascii="Times New Roman" w:hAnsi="Times New Roman"/>
          <w:sz w:val="14"/>
          <w:szCs w:val="14"/>
          <w:lang w:val="en-CA"/>
        </w:rPr>
        <w:t xml:space="preserve"> submitted to the </w:t>
      </w:r>
      <w:r>
        <w:rPr>
          <w:rFonts w:ascii="Times New Roman" w:hAnsi="Times New Roman"/>
          <w:sz w:val="14"/>
          <w:szCs w:val="14"/>
          <w:lang w:val="en-CA"/>
        </w:rPr>
        <w:t>s</w:t>
      </w:r>
      <w:r w:rsidRPr="00E215B1">
        <w:rPr>
          <w:rFonts w:ascii="Times New Roman" w:hAnsi="Times New Roman"/>
          <w:sz w:val="14"/>
          <w:szCs w:val="14"/>
          <w:lang w:val="en-CA"/>
        </w:rPr>
        <w:t>ecretariat of the United Nations Framework Convention on Climate Change, 2015</w:t>
      </w:r>
      <w:r w:rsidR="007A1203">
        <w:rPr>
          <w:rFonts w:ascii="Times New Roman" w:hAnsi="Times New Roman"/>
          <w:sz w:val="14"/>
          <w:szCs w:val="14"/>
          <w:lang w:val="en-CA"/>
        </w:rPr>
        <w:t>.</w:t>
      </w:r>
    </w:p>
  </w:footnote>
  <w:footnote w:id="16">
    <w:p w14:paraId="62FEFBDF" w14:textId="7D62AD4E" w:rsidR="0077361A" w:rsidRPr="00347230" w:rsidRDefault="0077361A" w:rsidP="00F710DF">
      <w:pPr>
        <w:pStyle w:val="FootnoteText"/>
        <w:rPr>
          <w:lang w:val="en-CA"/>
        </w:rPr>
      </w:pPr>
      <w:r w:rsidRPr="00102024">
        <w:rPr>
          <w:rStyle w:val="FootnoteReference"/>
          <w:rFonts w:ascii="Times New Roman" w:hAnsi="Times New Roman"/>
          <w:sz w:val="14"/>
          <w:szCs w:val="14"/>
        </w:rPr>
        <w:footnoteRef/>
      </w:r>
      <w:r w:rsidR="007A1203">
        <w:rPr>
          <w:rFonts w:ascii="Times New Roman" w:hAnsi="Times New Roman"/>
          <w:sz w:val="14"/>
          <w:szCs w:val="14"/>
        </w:rPr>
        <w:t xml:space="preserve"> </w:t>
      </w:r>
      <w:r>
        <w:rPr>
          <w:rFonts w:ascii="Times New Roman" w:hAnsi="Times New Roman"/>
          <w:sz w:val="14"/>
          <w:szCs w:val="14"/>
        </w:rPr>
        <w:t xml:space="preserve">Factsheet: Women and Natural Disasters in Viet Nam, </w:t>
      </w:r>
      <w:r w:rsidR="007A1203">
        <w:rPr>
          <w:rFonts w:ascii="Times New Roman" w:hAnsi="Times New Roman"/>
          <w:sz w:val="14"/>
          <w:szCs w:val="14"/>
        </w:rPr>
        <w:t>UN-</w:t>
      </w:r>
      <w:r>
        <w:rPr>
          <w:rFonts w:ascii="Times New Roman" w:hAnsi="Times New Roman"/>
          <w:sz w:val="14"/>
          <w:szCs w:val="14"/>
        </w:rPr>
        <w:t xml:space="preserve">Women </w:t>
      </w:r>
      <w:r w:rsidRPr="00347230">
        <w:rPr>
          <w:rFonts w:ascii="Times New Roman" w:hAnsi="Times New Roman"/>
          <w:sz w:val="14"/>
          <w:szCs w:val="14"/>
        </w:rPr>
        <w:t>2011, and</w:t>
      </w:r>
      <w:r>
        <w:rPr>
          <w:rFonts w:ascii="Times New Roman" w:hAnsi="Times New Roman"/>
          <w:sz w:val="14"/>
          <w:szCs w:val="14"/>
        </w:rPr>
        <w:t xml:space="preserve"> Gender, Climate Change and Disaster Risk Reduction in Viet Nam, Oxfam and U</w:t>
      </w:r>
      <w:r w:rsidR="007A1203">
        <w:rPr>
          <w:rFonts w:ascii="Times New Roman" w:hAnsi="Times New Roman"/>
          <w:sz w:val="14"/>
          <w:szCs w:val="14"/>
        </w:rPr>
        <w:t xml:space="preserve">nited </w:t>
      </w:r>
      <w:r>
        <w:rPr>
          <w:rFonts w:ascii="Times New Roman" w:hAnsi="Times New Roman"/>
          <w:sz w:val="14"/>
          <w:szCs w:val="14"/>
        </w:rPr>
        <w:t>N</w:t>
      </w:r>
      <w:r w:rsidR="007A1203">
        <w:rPr>
          <w:rFonts w:ascii="Times New Roman" w:hAnsi="Times New Roman"/>
          <w:sz w:val="14"/>
          <w:szCs w:val="14"/>
        </w:rPr>
        <w:t>ations</w:t>
      </w:r>
      <w:r>
        <w:rPr>
          <w:rFonts w:ascii="Times New Roman" w:hAnsi="Times New Roman"/>
          <w:sz w:val="14"/>
          <w:szCs w:val="14"/>
        </w:rPr>
        <w:t xml:space="preserve"> Viet Nam</w:t>
      </w:r>
      <w:r w:rsidR="007A1203">
        <w:rPr>
          <w:rFonts w:ascii="Times New Roman" w:hAnsi="Times New Roman"/>
          <w:sz w:val="14"/>
          <w:szCs w:val="14"/>
        </w:rPr>
        <w:t>,</w:t>
      </w:r>
      <w:r>
        <w:rPr>
          <w:rFonts w:ascii="Times New Roman" w:hAnsi="Times New Roman"/>
          <w:sz w:val="14"/>
          <w:szCs w:val="14"/>
        </w:rPr>
        <w:t xml:space="preserve"> 2012</w:t>
      </w:r>
      <w:r w:rsidR="007A1203">
        <w:rPr>
          <w:rFonts w:ascii="Times New Roman" w:hAnsi="Times New Roman"/>
          <w:sz w:val="14"/>
          <w:szCs w:val="14"/>
        </w:rPr>
        <w:t>.</w:t>
      </w:r>
    </w:p>
  </w:footnote>
  <w:footnote w:id="17">
    <w:p w14:paraId="6B118981" w14:textId="440F3B53" w:rsidR="0077361A" w:rsidRPr="005743E1" w:rsidRDefault="0077361A">
      <w:pPr>
        <w:pStyle w:val="FootnoteText"/>
        <w:rPr>
          <w:lang w:val="en-GB"/>
        </w:rPr>
      </w:pPr>
      <w:r w:rsidRPr="003D0586">
        <w:rPr>
          <w:rStyle w:val="FootnoteReference"/>
          <w:rFonts w:ascii="Times New Roman" w:hAnsi="Times New Roman"/>
          <w:sz w:val="14"/>
          <w:szCs w:val="14"/>
        </w:rPr>
        <w:footnoteRef/>
      </w:r>
      <w:r w:rsidR="007A1203">
        <w:rPr>
          <w:rFonts w:ascii="Times New Roman" w:hAnsi="Times New Roman"/>
          <w:sz w:val="14"/>
          <w:szCs w:val="14"/>
        </w:rPr>
        <w:t xml:space="preserve"> </w:t>
      </w:r>
      <w:r w:rsidRPr="003D0586">
        <w:rPr>
          <w:rFonts w:ascii="Times New Roman" w:hAnsi="Times New Roman"/>
          <w:sz w:val="14"/>
          <w:szCs w:val="14"/>
        </w:rPr>
        <w:t>Viet Nam Biennial Update Report to the United Nations Framework Convention on Climate Change the United Nations Framework Convention on Climate Change, 2014</w:t>
      </w:r>
      <w:r w:rsidR="007A1203">
        <w:rPr>
          <w:rFonts w:ascii="Times New Roman" w:hAnsi="Times New Roman"/>
          <w:sz w:val="14"/>
          <w:szCs w:val="14"/>
        </w:rPr>
        <w:t>.</w:t>
      </w:r>
    </w:p>
  </w:footnote>
  <w:footnote w:id="18">
    <w:p w14:paraId="1AD4FE7F" w14:textId="6CBA0133" w:rsidR="0077361A" w:rsidRDefault="0077361A" w:rsidP="000F772C">
      <w:pPr>
        <w:pStyle w:val="FootnoteText"/>
      </w:pPr>
      <w:r w:rsidRPr="00102024">
        <w:rPr>
          <w:rStyle w:val="FootnoteReference"/>
          <w:rFonts w:ascii="Times New Roman" w:hAnsi="Times New Roman"/>
          <w:sz w:val="14"/>
          <w:szCs w:val="14"/>
        </w:rPr>
        <w:footnoteRef/>
      </w:r>
      <w:r w:rsidR="007A1203">
        <w:rPr>
          <w:rFonts w:ascii="Times New Roman" w:hAnsi="Times New Roman"/>
          <w:sz w:val="14"/>
          <w:szCs w:val="14"/>
          <w:lang w:val="en-CA"/>
        </w:rPr>
        <w:t xml:space="preserve"> </w:t>
      </w:r>
      <w:r w:rsidRPr="00C05F30">
        <w:rPr>
          <w:rFonts w:ascii="Times New Roman" w:hAnsi="Times New Roman"/>
          <w:sz w:val="14"/>
          <w:szCs w:val="14"/>
          <w:lang w:val="en-CA"/>
        </w:rPr>
        <w:t>The National Gender Equality Strategy set targets of 30</w:t>
      </w:r>
      <w:r>
        <w:rPr>
          <w:rFonts w:ascii="Times New Roman" w:hAnsi="Times New Roman"/>
          <w:sz w:val="14"/>
          <w:szCs w:val="14"/>
          <w:lang w:val="en-CA"/>
        </w:rPr>
        <w:t xml:space="preserve"> per cent</w:t>
      </w:r>
      <w:r w:rsidRPr="00C05F30">
        <w:rPr>
          <w:rFonts w:ascii="Times New Roman" w:hAnsi="Times New Roman"/>
          <w:sz w:val="14"/>
          <w:szCs w:val="14"/>
          <w:lang w:val="en-CA"/>
        </w:rPr>
        <w:t xml:space="preserve"> for 2011 and 35</w:t>
      </w:r>
      <w:r>
        <w:rPr>
          <w:rFonts w:ascii="Times New Roman" w:hAnsi="Times New Roman"/>
          <w:sz w:val="14"/>
          <w:szCs w:val="14"/>
          <w:lang w:val="en-CA"/>
        </w:rPr>
        <w:t xml:space="preserve"> per cent</w:t>
      </w:r>
      <w:r w:rsidRPr="00C05F30">
        <w:rPr>
          <w:rFonts w:ascii="Times New Roman" w:hAnsi="Times New Roman"/>
          <w:sz w:val="14"/>
          <w:szCs w:val="14"/>
          <w:lang w:val="en-CA"/>
        </w:rPr>
        <w:t xml:space="preserve"> by 2016</w:t>
      </w:r>
      <w:r>
        <w:rPr>
          <w:rFonts w:ascii="Times New Roman" w:hAnsi="Times New Roman"/>
          <w:sz w:val="14"/>
          <w:szCs w:val="14"/>
          <w:lang w:val="en-CA"/>
        </w:rPr>
        <w:t>.</w:t>
      </w:r>
    </w:p>
  </w:footnote>
  <w:footnote w:id="19">
    <w:p w14:paraId="7DDE3953" w14:textId="697409BA" w:rsidR="0077361A" w:rsidRDefault="0077361A" w:rsidP="000F772C">
      <w:pPr>
        <w:pStyle w:val="FootnoteText"/>
      </w:pPr>
      <w:r w:rsidRPr="00102024">
        <w:rPr>
          <w:rStyle w:val="FootnoteReference"/>
          <w:rFonts w:ascii="Times New Roman" w:hAnsi="Times New Roman"/>
          <w:sz w:val="14"/>
          <w:szCs w:val="14"/>
        </w:rPr>
        <w:footnoteRef/>
      </w:r>
      <w:r w:rsidR="004D17C8">
        <w:rPr>
          <w:rFonts w:ascii="Times New Roman" w:hAnsi="Times New Roman"/>
          <w:sz w:val="14"/>
          <w:szCs w:val="14"/>
          <w:lang w:val="en-CA"/>
        </w:rPr>
        <w:t xml:space="preserve"> </w:t>
      </w:r>
      <w:r w:rsidRPr="001A4C9D">
        <w:rPr>
          <w:rFonts w:ascii="Times New Roman" w:hAnsi="Times New Roman"/>
          <w:sz w:val="14"/>
          <w:szCs w:val="14"/>
          <w:lang w:val="en-CA"/>
        </w:rPr>
        <w:t>Viet Nam Provincial Governance and Public Administration Performance Index (PAPI)</w:t>
      </w:r>
      <w:r>
        <w:rPr>
          <w:rFonts w:ascii="Times New Roman" w:hAnsi="Times New Roman"/>
          <w:sz w:val="14"/>
          <w:szCs w:val="14"/>
          <w:lang w:val="en-CA"/>
        </w:rPr>
        <w:t>, UNDP, 2014.</w:t>
      </w:r>
    </w:p>
  </w:footnote>
  <w:footnote w:id="20">
    <w:p w14:paraId="514A255B" w14:textId="23A601DC" w:rsidR="0077361A" w:rsidRDefault="0077361A" w:rsidP="000F772C">
      <w:pPr>
        <w:pStyle w:val="FootnoteText"/>
      </w:pPr>
      <w:r w:rsidRPr="00102024">
        <w:rPr>
          <w:rStyle w:val="FootnoteReference"/>
          <w:rFonts w:ascii="Times New Roman" w:hAnsi="Times New Roman"/>
          <w:sz w:val="14"/>
          <w:szCs w:val="14"/>
        </w:rPr>
        <w:footnoteRef/>
      </w:r>
      <w:r w:rsidR="004D17C8">
        <w:rPr>
          <w:rFonts w:ascii="Times New Roman" w:hAnsi="Times New Roman"/>
          <w:sz w:val="14"/>
          <w:szCs w:val="14"/>
          <w:lang w:val="en-CA"/>
        </w:rPr>
        <w:t xml:space="preserve"> </w:t>
      </w:r>
      <w:r>
        <w:rPr>
          <w:rFonts w:ascii="Times New Roman" w:hAnsi="Times New Roman"/>
          <w:sz w:val="14"/>
          <w:szCs w:val="14"/>
          <w:lang w:val="en-CA"/>
        </w:rPr>
        <w:t xml:space="preserve">Corruption Perception Index 2015, Transparency International </w:t>
      </w:r>
      <w:r w:rsidRPr="00F93E33">
        <w:rPr>
          <w:rFonts w:ascii="Times New Roman" w:hAnsi="Times New Roman"/>
          <w:sz w:val="14"/>
          <w:szCs w:val="14"/>
          <w:lang w:val="en-CA"/>
        </w:rPr>
        <w:t>2015</w:t>
      </w:r>
      <w:r>
        <w:rPr>
          <w:rFonts w:ascii="Times New Roman" w:hAnsi="Times New Roman"/>
          <w:sz w:val="14"/>
          <w:szCs w:val="14"/>
          <w:lang w:val="en-CA"/>
        </w:rPr>
        <w:t>.</w:t>
      </w:r>
    </w:p>
  </w:footnote>
  <w:footnote w:id="21">
    <w:p w14:paraId="105F2007" w14:textId="4E3B6E14" w:rsidR="0077361A" w:rsidRPr="00B3654D" w:rsidRDefault="0077361A">
      <w:pPr>
        <w:pStyle w:val="FootnoteText"/>
        <w:rPr>
          <w:lang w:val="en-GB"/>
        </w:rPr>
      </w:pPr>
      <w:r w:rsidRPr="00267E72">
        <w:rPr>
          <w:rStyle w:val="FootnoteReference"/>
          <w:rFonts w:ascii="Times New Roman" w:hAnsi="Times New Roman"/>
          <w:sz w:val="14"/>
          <w:szCs w:val="14"/>
        </w:rPr>
        <w:footnoteRef/>
      </w:r>
      <w:r w:rsidRPr="00267E72">
        <w:rPr>
          <w:rStyle w:val="FootnoteReference"/>
          <w:rFonts w:ascii="Times New Roman" w:hAnsi="Times New Roman"/>
          <w:sz w:val="14"/>
          <w:szCs w:val="14"/>
        </w:rPr>
        <w:t xml:space="preserve"> </w:t>
      </w:r>
      <w:r>
        <w:rPr>
          <w:rFonts w:ascii="Times New Roman" w:hAnsi="Times New Roman"/>
          <w:sz w:val="14"/>
          <w:szCs w:val="14"/>
        </w:rPr>
        <w:t>Primarily represented by political, social, professional and mass organizations in Viet Nam.</w:t>
      </w:r>
    </w:p>
  </w:footnote>
  <w:footnote w:id="22">
    <w:p w14:paraId="7CD1AFC5" w14:textId="72739128" w:rsidR="0077361A" w:rsidRPr="004473B7" w:rsidRDefault="0077361A" w:rsidP="006F59E9">
      <w:pPr>
        <w:pStyle w:val="FootnoteText"/>
        <w:rPr>
          <w:lang w:val="en-GB"/>
        </w:rPr>
      </w:pPr>
      <w:r w:rsidRPr="004473B7">
        <w:rPr>
          <w:rStyle w:val="FootnoteReference"/>
          <w:rFonts w:ascii="Times New Roman" w:hAnsi="Times New Roman"/>
          <w:sz w:val="14"/>
          <w:szCs w:val="14"/>
        </w:rPr>
        <w:footnoteRef/>
      </w:r>
      <w:r w:rsidR="004D17C8">
        <w:rPr>
          <w:rFonts w:ascii="Times New Roman" w:hAnsi="Times New Roman"/>
          <w:sz w:val="14"/>
          <w:szCs w:val="14"/>
          <w:lang w:val="en-CA"/>
        </w:rPr>
        <w:t xml:space="preserve"> </w:t>
      </w:r>
      <w:r w:rsidRPr="004473B7">
        <w:rPr>
          <w:rFonts w:ascii="Times New Roman" w:hAnsi="Times New Roman"/>
          <w:sz w:val="14"/>
          <w:szCs w:val="14"/>
          <w:lang w:val="en-CA"/>
        </w:rPr>
        <w:t xml:space="preserve">UNDP </w:t>
      </w:r>
      <w:r>
        <w:rPr>
          <w:rFonts w:ascii="Times New Roman" w:hAnsi="Times New Roman"/>
          <w:sz w:val="14"/>
          <w:szCs w:val="14"/>
          <w:lang w:val="en-CA"/>
        </w:rPr>
        <w:t xml:space="preserve">Viet Nam </w:t>
      </w:r>
      <w:r w:rsidR="004D17C8">
        <w:rPr>
          <w:rFonts w:ascii="Times New Roman" w:hAnsi="Times New Roman"/>
          <w:sz w:val="14"/>
          <w:szCs w:val="14"/>
          <w:lang w:val="en-CA"/>
        </w:rPr>
        <w:t>a</w:t>
      </w:r>
      <w:r w:rsidR="004D17C8" w:rsidRPr="004473B7">
        <w:rPr>
          <w:rFonts w:ascii="Times New Roman" w:hAnsi="Times New Roman"/>
          <w:sz w:val="14"/>
          <w:szCs w:val="14"/>
          <w:lang w:val="en-CA"/>
        </w:rPr>
        <w:t xml:space="preserve">ssessment </w:t>
      </w:r>
      <w:r w:rsidRPr="004473B7">
        <w:rPr>
          <w:rFonts w:ascii="Times New Roman" w:hAnsi="Times New Roman"/>
          <w:sz w:val="14"/>
          <w:szCs w:val="14"/>
          <w:lang w:val="en-CA"/>
        </w:rPr>
        <w:t xml:space="preserve">of </w:t>
      </w:r>
      <w:r w:rsidR="004D17C8">
        <w:rPr>
          <w:rFonts w:ascii="Times New Roman" w:hAnsi="Times New Roman"/>
          <w:sz w:val="14"/>
          <w:szCs w:val="14"/>
          <w:lang w:val="en-CA"/>
        </w:rPr>
        <w:t>d</w:t>
      </w:r>
      <w:r w:rsidR="004D17C8" w:rsidRPr="004473B7">
        <w:rPr>
          <w:rFonts w:ascii="Times New Roman" w:hAnsi="Times New Roman"/>
          <w:sz w:val="14"/>
          <w:szCs w:val="14"/>
          <w:lang w:val="en-CA"/>
        </w:rPr>
        <w:t xml:space="preserve">evelopment </w:t>
      </w:r>
      <w:r w:rsidR="00413662">
        <w:rPr>
          <w:rFonts w:ascii="Times New Roman" w:hAnsi="Times New Roman"/>
          <w:sz w:val="14"/>
          <w:szCs w:val="14"/>
          <w:lang w:val="en-CA"/>
        </w:rPr>
        <w:t>r</w:t>
      </w:r>
      <w:r w:rsidR="00413662" w:rsidRPr="004473B7">
        <w:rPr>
          <w:rFonts w:ascii="Times New Roman" w:hAnsi="Times New Roman"/>
          <w:sz w:val="14"/>
          <w:szCs w:val="14"/>
          <w:lang w:val="en-CA"/>
        </w:rPr>
        <w:t>esults</w:t>
      </w:r>
      <w:r w:rsidR="004D17C8">
        <w:rPr>
          <w:rFonts w:ascii="Times New Roman" w:hAnsi="Times New Roman"/>
          <w:sz w:val="14"/>
          <w:szCs w:val="14"/>
          <w:lang w:val="en-CA"/>
        </w:rPr>
        <w:t xml:space="preserve"> </w:t>
      </w:r>
      <w:r>
        <w:rPr>
          <w:rFonts w:ascii="Times New Roman" w:hAnsi="Times New Roman"/>
          <w:sz w:val="14"/>
          <w:szCs w:val="14"/>
          <w:lang w:val="en-CA"/>
        </w:rPr>
        <w:t>2015.</w:t>
      </w:r>
    </w:p>
  </w:footnote>
  <w:footnote w:id="23">
    <w:p w14:paraId="0C87F032" w14:textId="29D6981B" w:rsidR="0077361A" w:rsidRPr="00664A6E" w:rsidRDefault="0077361A">
      <w:pPr>
        <w:pStyle w:val="FootnoteText"/>
        <w:rPr>
          <w:rFonts w:ascii="Times New Roman" w:hAnsi="Times New Roman"/>
          <w:sz w:val="14"/>
          <w:szCs w:val="14"/>
        </w:rPr>
      </w:pPr>
      <w:r w:rsidRPr="00664A6E">
        <w:rPr>
          <w:rStyle w:val="FootnoteReference"/>
          <w:rFonts w:ascii="Times New Roman" w:hAnsi="Times New Roman"/>
          <w:sz w:val="14"/>
          <w:szCs w:val="14"/>
        </w:rPr>
        <w:footnoteRef/>
      </w:r>
      <w:r>
        <w:rPr>
          <w:rFonts w:ascii="Times New Roman" w:hAnsi="Times New Roman"/>
          <w:sz w:val="14"/>
          <w:szCs w:val="14"/>
        </w:rPr>
        <w:t xml:space="preserve"> Viet Nam </w:t>
      </w:r>
      <w:r w:rsidRPr="00664A6E">
        <w:rPr>
          <w:rFonts w:ascii="Times New Roman" w:hAnsi="Times New Roman"/>
          <w:sz w:val="14"/>
          <w:szCs w:val="14"/>
        </w:rPr>
        <w:t>C</w:t>
      </w:r>
      <w:r>
        <w:rPr>
          <w:rFonts w:ascii="Times New Roman" w:hAnsi="Times New Roman"/>
          <w:sz w:val="14"/>
          <w:szCs w:val="14"/>
        </w:rPr>
        <w:t>ommon Country Assessment 2015.</w:t>
      </w:r>
    </w:p>
  </w:footnote>
  <w:footnote w:id="24">
    <w:p w14:paraId="668E72A5" w14:textId="2293590F" w:rsidR="0077361A" w:rsidRPr="00180505" w:rsidRDefault="0077361A">
      <w:pPr>
        <w:pStyle w:val="FootnoteText"/>
        <w:rPr>
          <w:lang w:val="en-GB"/>
        </w:rPr>
      </w:pPr>
      <w:r w:rsidRPr="00180505">
        <w:rPr>
          <w:rStyle w:val="FootnoteReference"/>
          <w:rFonts w:ascii="Times New Roman" w:hAnsi="Times New Roman"/>
          <w:sz w:val="14"/>
          <w:szCs w:val="14"/>
        </w:rPr>
        <w:footnoteRef/>
      </w:r>
      <w:r w:rsidRPr="00180505">
        <w:rPr>
          <w:rStyle w:val="FootnoteReference"/>
          <w:rFonts w:ascii="Times New Roman" w:hAnsi="Times New Roman"/>
          <w:sz w:val="14"/>
          <w:szCs w:val="14"/>
        </w:rPr>
        <w:t xml:space="preserve"> </w:t>
      </w:r>
      <w:r w:rsidRPr="00180505">
        <w:rPr>
          <w:rFonts w:ascii="Times New Roman" w:hAnsi="Times New Roman"/>
          <w:sz w:val="14"/>
          <w:szCs w:val="14"/>
        </w:rPr>
        <w:t xml:space="preserve">Report of the Inter-Agency and Expert Group on </w:t>
      </w:r>
      <w:r>
        <w:rPr>
          <w:rFonts w:ascii="Times New Roman" w:hAnsi="Times New Roman"/>
          <w:sz w:val="14"/>
          <w:szCs w:val="14"/>
        </w:rPr>
        <w:t xml:space="preserve">Sustainable Development Goal </w:t>
      </w:r>
      <w:r w:rsidRPr="00180505">
        <w:rPr>
          <w:rFonts w:ascii="Times New Roman" w:hAnsi="Times New Roman"/>
          <w:sz w:val="14"/>
          <w:szCs w:val="14"/>
        </w:rPr>
        <w:t>Indicators</w:t>
      </w:r>
      <w:r>
        <w:rPr>
          <w:rFonts w:ascii="Times New Roman" w:hAnsi="Times New Roman"/>
          <w:sz w:val="14"/>
          <w:szCs w:val="14"/>
        </w:rPr>
        <w:t xml:space="preserve"> (</w:t>
      </w:r>
      <w:r w:rsidRPr="00180505">
        <w:rPr>
          <w:rFonts w:ascii="Times New Roman" w:hAnsi="Times New Roman"/>
          <w:sz w:val="14"/>
          <w:szCs w:val="14"/>
        </w:rPr>
        <w:t>E/CN.3/2016/2/Rev.1</w:t>
      </w:r>
      <w:r>
        <w:rPr>
          <w:rFonts w:ascii="Times New Roman" w:hAnsi="Times New Roman"/>
          <w:sz w:val="14"/>
          <w:szCs w:val="14"/>
        </w:rPr>
        <w:t>).</w:t>
      </w:r>
    </w:p>
  </w:footnote>
  <w:footnote w:id="25">
    <w:p w14:paraId="562C034D" w14:textId="4D2A5D16" w:rsidR="0077361A" w:rsidRPr="003404EE" w:rsidRDefault="0077361A">
      <w:pPr>
        <w:pStyle w:val="FootnoteText"/>
        <w:rPr>
          <w:rFonts w:ascii="Times New Roman" w:hAnsi="Times New Roman"/>
          <w:sz w:val="14"/>
          <w:szCs w:val="14"/>
        </w:rPr>
      </w:pPr>
      <w:r w:rsidRPr="003404EE">
        <w:rPr>
          <w:rStyle w:val="FootnoteReference"/>
          <w:rFonts w:ascii="Times New Roman" w:hAnsi="Times New Roman"/>
          <w:sz w:val="14"/>
          <w:szCs w:val="14"/>
        </w:rPr>
        <w:footnoteRef/>
      </w:r>
      <w:r w:rsidRPr="003404EE">
        <w:rPr>
          <w:rFonts w:ascii="Times New Roman" w:hAnsi="Times New Roman"/>
          <w:sz w:val="14"/>
          <w:szCs w:val="14"/>
        </w:rPr>
        <w:t xml:space="preserve"> Indicators correlate to Sustainable Development Goal indicators and are numbered accordingly.</w:t>
      </w:r>
    </w:p>
  </w:footnote>
  <w:footnote w:id="26">
    <w:p w14:paraId="6BFA759D" w14:textId="28961AA7" w:rsidR="0077361A" w:rsidRPr="00D731E2" w:rsidRDefault="0077361A">
      <w:pPr>
        <w:pStyle w:val="FootnoteText"/>
        <w:rPr>
          <w:lang w:val="en-GB"/>
        </w:rPr>
      </w:pPr>
      <w:r w:rsidRPr="0022458B">
        <w:rPr>
          <w:rStyle w:val="FootnoteReference"/>
          <w:rFonts w:ascii="Times New Roman" w:hAnsi="Times New Roman"/>
          <w:sz w:val="14"/>
          <w:szCs w:val="14"/>
        </w:rPr>
        <w:footnoteRef/>
      </w:r>
      <w:r w:rsidRPr="0022458B">
        <w:rPr>
          <w:rFonts w:ascii="Times New Roman" w:hAnsi="Times New Roman"/>
          <w:sz w:val="14"/>
          <w:szCs w:val="14"/>
        </w:rPr>
        <w:t xml:space="preserve"> As per the final draft of the </w:t>
      </w:r>
      <w:r>
        <w:rPr>
          <w:rFonts w:ascii="Times New Roman" w:hAnsi="Times New Roman"/>
          <w:sz w:val="14"/>
          <w:szCs w:val="14"/>
        </w:rPr>
        <w:t xml:space="preserve">One </w:t>
      </w:r>
      <w:r w:rsidRPr="0022458B">
        <w:rPr>
          <w:rFonts w:ascii="Times New Roman" w:hAnsi="Times New Roman"/>
          <w:sz w:val="14"/>
          <w:szCs w:val="14"/>
        </w:rPr>
        <w:t>U</w:t>
      </w:r>
      <w:r>
        <w:rPr>
          <w:rFonts w:ascii="Times New Roman" w:hAnsi="Times New Roman"/>
          <w:sz w:val="14"/>
          <w:szCs w:val="14"/>
        </w:rPr>
        <w:t xml:space="preserve">nited </w:t>
      </w:r>
      <w:r w:rsidRPr="0022458B">
        <w:rPr>
          <w:rFonts w:ascii="Times New Roman" w:hAnsi="Times New Roman"/>
          <w:sz w:val="14"/>
          <w:szCs w:val="14"/>
        </w:rPr>
        <w:t>N</w:t>
      </w:r>
      <w:r>
        <w:rPr>
          <w:rFonts w:ascii="Times New Roman" w:hAnsi="Times New Roman"/>
          <w:sz w:val="14"/>
          <w:szCs w:val="14"/>
        </w:rPr>
        <w:t>ations</w:t>
      </w:r>
      <w:r w:rsidRPr="0022458B">
        <w:rPr>
          <w:rFonts w:ascii="Times New Roman" w:hAnsi="Times New Roman"/>
          <w:sz w:val="14"/>
          <w:szCs w:val="14"/>
        </w:rPr>
        <w:t xml:space="preserve"> Strategic Plan measurement framework.</w:t>
      </w:r>
    </w:p>
  </w:footnote>
  <w:footnote w:id="27">
    <w:p w14:paraId="045A09BC" w14:textId="21894027" w:rsidR="0077361A" w:rsidRPr="00F10B81" w:rsidRDefault="0077361A">
      <w:pPr>
        <w:pStyle w:val="FootnoteText"/>
        <w:rPr>
          <w:lang w:val="en-GB"/>
        </w:rPr>
      </w:pPr>
      <w:r w:rsidRPr="00D731E2">
        <w:rPr>
          <w:rStyle w:val="FootnoteReference"/>
          <w:rFonts w:ascii="Times New Roman" w:hAnsi="Times New Roman"/>
          <w:sz w:val="14"/>
          <w:szCs w:val="14"/>
        </w:rPr>
        <w:footnoteRef/>
      </w:r>
      <w:r>
        <w:rPr>
          <w:rFonts w:ascii="Times New Roman" w:hAnsi="Times New Roman"/>
          <w:sz w:val="14"/>
          <w:szCs w:val="14"/>
        </w:rPr>
        <w:t>Cycle 2 gap analysis, chapters II and V, to be undertaken in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77361A" w:rsidRPr="00870FE7" w14:paraId="45E1562B" w14:textId="77777777" w:rsidTr="001B4A23">
      <w:trPr>
        <w:trHeight w:hRule="exact" w:val="864"/>
      </w:trPr>
      <w:tc>
        <w:tcPr>
          <w:tcW w:w="4838" w:type="dxa"/>
          <w:shd w:val="clear" w:color="auto" w:fill="auto"/>
          <w:vAlign w:val="bottom"/>
        </w:tcPr>
        <w:p w14:paraId="3564D576" w14:textId="77777777" w:rsidR="0077361A" w:rsidRPr="00870FE7" w:rsidRDefault="0077361A" w:rsidP="001B4A23">
          <w:pPr>
            <w:tabs>
              <w:tab w:val="center" w:pos="4320"/>
              <w:tab w:val="right" w:pos="8640"/>
            </w:tabs>
            <w:spacing w:after="80"/>
            <w:rPr>
              <w:b/>
              <w:noProof/>
              <w:sz w:val="17"/>
            </w:rPr>
          </w:pPr>
          <w:r w:rsidRPr="00870FE7">
            <w:rPr>
              <w:b/>
              <w:noProof/>
              <w:sz w:val="17"/>
            </w:rPr>
            <w:t>DP/DCP/SYC/3</w:t>
          </w:r>
        </w:p>
      </w:tc>
      <w:tc>
        <w:tcPr>
          <w:tcW w:w="5033" w:type="dxa"/>
          <w:shd w:val="clear" w:color="auto" w:fill="auto"/>
          <w:vAlign w:val="bottom"/>
        </w:tcPr>
        <w:p w14:paraId="785DE9DA" w14:textId="77777777" w:rsidR="0077361A" w:rsidRPr="00870FE7" w:rsidRDefault="0077361A" w:rsidP="001B4A23">
          <w:pPr>
            <w:tabs>
              <w:tab w:val="center" w:pos="4320"/>
              <w:tab w:val="right" w:pos="8640"/>
            </w:tabs>
            <w:jc w:val="right"/>
            <w:rPr>
              <w:noProof/>
              <w:sz w:val="17"/>
            </w:rPr>
          </w:pPr>
        </w:p>
      </w:tc>
    </w:tr>
  </w:tbl>
  <w:p w14:paraId="70B380C4" w14:textId="77777777" w:rsidR="0077361A" w:rsidRDefault="007736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4522"/>
    </w:tblGrid>
    <w:tr w:rsidR="0077361A" w:rsidRPr="00123AF2" w14:paraId="34A13F03" w14:textId="77777777" w:rsidTr="001B4A23">
      <w:trPr>
        <w:trHeight w:hRule="exact" w:val="864"/>
      </w:trPr>
      <w:tc>
        <w:tcPr>
          <w:tcW w:w="4838" w:type="dxa"/>
          <w:tcBorders>
            <w:bottom w:val="single" w:sz="4" w:space="0" w:color="auto"/>
          </w:tcBorders>
          <w:vAlign w:val="bottom"/>
        </w:tcPr>
        <w:p w14:paraId="44699D5B" w14:textId="4EB6D97F" w:rsidR="0077361A" w:rsidRPr="00123AF2" w:rsidRDefault="0077361A" w:rsidP="002B17A4">
          <w:pPr>
            <w:widowControl w:val="0"/>
            <w:tabs>
              <w:tab w:val="center" w:pos="4320"/>
              <w:tab w:val="right" w:pos="8640"/>
            </w:tabs>
            <w:spacing w:after="80"/>
            <w:rPr>
              <w:b/>
              <w:sz w:val="17"/>
              <w:szCs w:val="17"/>
            </w:rPr>
          </w:pPr>
        </w:p>
      </w:tc>
      <w:tc>
        <w:tcPr>
          <w:tcW w:w="4522" w:type="dxa"/>
          <w:tcBorders>
            <w:bottom w:val="single" w:sz="4" w:space="0" w:color="auto"/>
          </w:tcBorders>
          <w:vAlign w:val="bottom"/>
        </w:tcPr>
        <w:p w14:paraId="22C68321" w14:textId="57C2A97D" w:rsidR="0077361A" w:rsidRPr="00123AF2" w:rsidRDefault="0077361A" w:rsidP="001B4A23">
          <w:pPr>
            <w:widowControl w:val="0"/>
            <w:tabs>
              <w:tab w:val="center" w:pos="4320"/>
              <w:tab w:val="right" w:pos="8640"/>
            </w:tabs>
            <w:jc w:val="right"/>
            <w:rPr>
              <w:sz w:val="17"/>
              <w:szCs w:val="17"/>
            </w:rPr>
          </w:pPr>
          <w:r w:rsidRPr="00123AF2">
            <w:rPr>
              <w:b/>
              <w:sz w:val="17"/>
              <w:szCs w:val="17"/>
            </w:rPr>
            <w:t>DP/DCP/</w:t>
          </w:r>
          <w:r>
            <w:rPr>
              <w:b/>
              <w:sz w:val="17"/>
              <w:szCs w:val="17"/>
            </w:rPr>
            <w:t>VNM</w:t>
          </w:r>
          <w:r w:rsidRPr="00123AF2">
            <w:rPr>
              <w:b/>
              <w:sz w:val="17"/>
              <w:szCs w:val="17"/>
            </w:rPr>
            <w:t>/</w:t>
          </w:r>
          <w:r>
            <w:rPr>
              <w:b/>
              <w:sz w:val="17"/>
              <w:szCs w:val="17"/>
            </w:rPr>
            <w:t>2</w:t>
          </w:r>
        </w:p>
      </w:tc>
    </w:tr>
  </w:tbl>
  <w:p w14:paraId="28FB2E82" w14:textId="77777777" w:rsidR="0077361A" w:rsidRPr="00916E69" w:rsidRDefault="007736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77361A" w:rsidRPr="00A226B9" w14:paraId="68C904A0" w14:textId="77777777" w:rsidTr="001B4A23">
      <w:trPr>
        <w:trHeight w:hRule="exact" w:val="864"/>
      </w:trPr>
      <w:tc>
        <w:tcPr>
          <w:tcW w:w="1267" w:type="dxa"/>
          <w:tcBorders>
            <w:bottom w:val="single" w:sz="4" w:space="0" w:color="auto"/>
          </w:tcBorders>
          <w:shd w:val="clear" w:color="auto" w:fill="auto"/>
          <w:vAlign w:val="bottom"/>
        </w:tcPr>
        <w:p w14:paraId="3D2E9843" w14:textId="77777777" w:rsidR="0077361A" w:rsidRPr="00A226B9" w:rsidRDefault="0077361A" w:rsidP="001B4A23">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3F9414D6" w14:textId="77777777" w:rsidR="0077361A" w:rsidRPr="00A226B9" w:rsidRDefault="0077361A" w:rsidP="001B4A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A226B9">
            <w:rPr>
              <w:spacing w:val="2"/>
              <w:w w:val="96"/>
              <w:kern w:val="14"/>
              <w:sz w:val="28"/>
              <w:lang w:val="en-GB"/>
            </w:rPr>
            <w:t>United Nations</w:t>
          </w:r>
        </w:p>
      </w:tc>
      <w:tc>
        <w:tcPr>
          <w:tcW w:w="245" w:type="dxa"/>
          <w:tcBorders>
            <w:bottom w:val="single" w:sz="4" w:space="0" w:color="auto"/>
          </w:tcBorders>
          <w:shd w:val="clear" w:color="auto" w:fill="auto"/>
          <w:vAlign w:val="bottom"/>
        </w:tcPr>
        <w:p w14:paraId="2EF02F0F" w14:textId="77777777" w:rsidR="0077361A" w:rsidRPr="00A226B9" w:rsidRDefault="0077361A" w:rsidP="001B4A23">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4F4A19B5" w14:textId="0D10E6EC" w:rsidR="0077361A" w:rsidRPr="00A226B9" w:rsidRDefault="0077361A" w:rsidP="00F27C2D">
          <w:pPr>
            <w:suppressAutoHyphens/>
            <w:spacing w:after="80"/>
            <w:jc w:val="right"/>
            <w:rPr>
              <w:spacing w:val="4"/>
              <w:w w:val="103"/>
              <w:kern w:val="14"/>
              <w:position w:val="-4"/>
              <w:lang w:val="en-GB"/>
            </w:rPr>
          </w:pPr>
          <w:r w:rsidRPr="00A226B9">
            <w:rPr>
              <w:spacing w:val="4"/>
              <w:w w:val="103"/>
              <w:kern w:val="14"/>
              <w:position w:val="-4"/>
              <w:sz w:val="40"/>
              <w:lang w:val="en-GB"/>
            </w:rPr>
            <w:t>DP</w:t>
          </w:r>
          <w:r w:rsidRPr="00A226B9">
            <w:rPr>
              <w:spacing w:val="4"/>
              <w:w w:val="103"/>
              <w:kern w:val="14"/>
              <w:position w:val="-4"/>
              <w:lang w:val="en-GB"/>
            </w:rPr>
            <w:t>/DCP/</w:t>
          </w:r>
          <w:r>
            <w:rPr>
              <w:spacing w:val="4"/>
              <w:w w:val="103"/>
              <w:kern w:val="14"/>
              <w:position w:val="-4"/>
              <w:lang w:val="en-GB"/>
            </w:rPr>
            <w:t>VNM</w:t>
          </w:r>
          <w:r w:rsidRPr="00A226B9">
            <w:rPr>
              <w:spacing w:val="4"/>
              <w:w w:val="103"/>
              <w:kern w:val="14"/>
              <w:position w:val="-4"/>
              <w:lang w:val="en-GB"/>
            </w:rPr>
            <w:t>/</w:t>
          </w:r>
          <w:r>
            <w:rPr>
              <w:spacing w:val="4"/>
              <w:w w:val="103"/>
              <w:kern w:val="14"/>
              <w:position w:val="-4"/>
              <w:lang w:val="en-GB"/>
            </w:rPr>
            <w:t>2</w:t>
          </w:r>
        </w:p>
      </w:tc>
    </w:tr>
    <w:tr w:rsidR="0077361A" w:rsidRPr="00A226B9" w14:paraId="00B66EE3" w14:textId="77777777" w:rsidTr="001B4A23">
      <w:trPr>
        <w:gridAfter w:val="1"/>
        <w:wAfter w:w="28" w:type="dxa"/>
        <w:trHeight w:hRule="exact" w:val="2880"/>
      </w:trPr>
      <w:tc>
        <w:tcPr>
          <w:tcW w:w="1267" w:type="dxa"/>
          <w:tcBorders>
            <w:top w:val="single" w:sz="4" w:space="0" w:color="auto"/>
            <w:bottom w:val="single" w:sz="12" w:space="0" w:color="auto"/>
          </w:tcBorders>
          <w:shd w:val="clear" w:color="auto" w:fill="auto"/>
        </w:tcPr>
        <w:p w14:paraId="02C36018" w14:textId="77777777" w:rsidR="0077361A" w:rsidRPr="00A226B9" w:rsidRDefault="0077361A" w:rsidP="001B4A23">
          <w:pPr>
            <w:tabs>
              <w:tab w:val="center" w:pos="4320"/>
              <w:tab w:val="right" w:pos="8640"/>
            </w:tabs>
            <w:spacing w:before="109"/>
            <w:rPr>
              <w:noProof/>
              <w:sz w:val="17"/>
            </w:rPr>
          </w:pPr>
          <w:r w:rsidRPr="00A226B9">
            <w:rPr>
              <w:noProof/>
              <w:sz w:val="17"/>
            </w:rPr>
            <w:t xml:space="preserve"> </w:t>
          </w:r>
          <w:r w:rsidRPr="00A226B9">
            <w:rPr>
              <w:noProof/>
              <w:sz w:val="17"/>
            </w:rPr>
            <w:drawing>
              <wp:inline distT="0" distB="0" distL="0" distR="0" wp14:anchorId="6DC20633" wp14:editId="4774D0DB">
                <wp:extent cx="702945" cy="592455"/>
                <wp:effectExtent l="0" t="0" r="1905" b="0"/>
                <wp:docPr id="2"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1C4A36C3" w14:textId="77777777" w:rsidR="0077361A" w:rsidRPr="00A226B9" w:rsidRDefault="0077361A" w:rsidP="001B4A23">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6623999A" w14:textId="77777777" w:rsidR="0077361A" w:rsidRPr="00A226B9" w:rsidRDefault="0077361A" w:rsidP="001B4A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z w:val="34"/>
            </w:rPr>
          </w:pPr>
          <w:r w:rsidRPr="00A226B9">
            <w:rPr>
              <w:b/>
              <w:sz w:val="34"/>
            </w:rPr>
            <w:t>Executive Board of the</w:t>
          </w:r>
          <w:r w:rsidRPr="00A226B9">
            <w:rPr>
              <w:b/>
              <w:sz w:val="34"/>
            </w:rPr>
            <w:br/>
            <w:t>United Nations Development</w:t>
          </w:r>
          <w:r w:rsidRPr="00A226B9">
            <w:rPr>
              <w:b/>
              <w:sz w:val="34"/>
            </w:rPr>
            <w:br/>
            <w:t xml:space="preserve">Programme, the United Nations Population Fund and the </w:t>
          </w:r>
        </w:p>
        <w:p w14:paraId="7EC893B7" w14:textId="77777777" w:rsidR="0077361A" w:rsidRPr="00A226B9" w:rsidRDefault="0077361A" w:rsidP="001B4A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z w:val="34"/>
            </w:rPr>
          </w:pPr>
          <w:r w:rsidRPr="00A226B9">
            <w:rPr>
              <w:b/>
              <w:sz w:val="34"/>
            </w:rPr>
            <w:t xml:space="preserve">United Nations Office for </w:t>
          </w:r>
        </w:p>
        <w:p w14:paraId="6FD7CD76" w14:textId="77777777" w:rsidR="0077361A" w:rsidRPr="00A226B9" w:rsidRDefault="0077361A" w:rsidP="001B4A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pacing w:val="-4"/>
              <w:w w:val="98"/>
              <w:kern w:val="14"/>
              <w:sz w:val="34"/>
              <w:lang w:val="en-GB"/>
            </w:rPr>
          </w:pPr>
          <w:r w:rsidRPr="00A226B9">
            <w:rPr>
              <w:b/>
              <w:sz w:val="34"/>
            </w:rPr>
            <w:t>Project Services</w:t>
          </w:r>
        </w:p>
      </w:tc>
      <w:tc>
        <w:tcPr>
          <w:tcW w:w="245" w:type="dxa"/>
          <w:tcBorders>
            <w:top w:val="single" w:sz="4" w:space="0" w:color="auto"/>
            <w:bottom w:val="single" w:sz="12" w:space="0" w:color="auto"/>
          </w:tcBorders>
          <w:shd w:val="clear" w:color="auto" w:fill="auto"/>
        </w:tcPr>
        <w:p w14:paraId="44F21CFB" w14:textId="77777777" w:rsidR="0077361A" w:rsidRPr="00A226B9" w:rsidRDefault="0077361A" w:rsidP="001B4A23">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174E9F6E" w14:textId="77777777" w:rsidR="0077361A" w:rsidRPr="00A226B9" w:rsidRDefault="0077361A" w:rsidP="001B4A23">
          <w:pPr>
            <w:suppressAutoHyphens/>
            <w:spacing w:before="240" w:line="240" w:lineRule="exact"/>
            <w:rPr>
              <w:spacing w:val="4"/>
              <w:w w:val="103"/>
              <w:kern w:val="14"/>
              <w:lang w:val="en-GB"/>
            </w:rPr>
          </w:pPr>
          <w:r w:rsidRPr="00A226B9">
            <w:rPr>
              <w:spacing w:val="4"/>
              <w:w w:val="103"/>
              <w:kern w:val="14"/>
              <w:lang w:val="en-GB"/>
            </w:rPr>
            <w:t>Distr.: General</w:t>
          </w:r>
        </w:p>
        <w:p w14:paraId="3E46F50F" w14:textId="5C77AF18" w:rsidR="0077361A" w:rsidRPr="00A226B9" w:rsidRDefault="0077361A" w:rsidP="001B4A23">
          <w:pPr>
            <w:suppressAutoHyphens/>
            <w:spacing w:line="240" w:lineRule="exact"/>
            <w:rPr>
              <w:spacing w:val="4"/>
              <w:w w:val="103"/>
              <w:kern w:val="14"/>
              <w:lang w:val="en-GB"/>
            </w:rPr>
          </w:pPr>
          <w:r>
            <w:rPr>
              <w:spacing w:val="4"/>
              <w:w w:val="103"/>
              <w:kern w:val="14"/>
              <w:lang w:val="en-GB"/>
            </w:rPr>
            <w:t>13 June</w:t>
          </w:r>
          <w:r w:rsidRPr="00A226B9">
            <w:rPr>
              <w:spacing w:val="4"/>
              <w:w w:val="103"/>
              <w:kern w:val="14"/>
              <w:lang w:val="en-GB"/>
            </w:rPr>
            <w:t xml:space="preserve"> 2016</w:t>
          </w:r>
        </w:p>
        <w:p w14:paraId="43341FD5" w14:textId="77777777" w:rsidR="0077361A" w:rsidRPr="00A226B9" w:rsidRDefault="0077361A" w:rsidP="001B4A23">
          <w:pPr>
            <w:suppressAutoHyphens/>
            <w:spacing w:line="240" w:lineRule="exact"/>
            <w:rPr>
              <w:spacing w:val="4"/>
              <w:w w:val="103"/>
              <w:kern w:val="14"/>
              <w:lang w:val="en-GB"/>
            </w:rPr>
          </w:pPr>
        </w:p>
        <w:p w14:paraId="41B610FC" w14:textId="77777777" w:rsidR="0077361A" w:rsidRPr="00A226B9" w:rsidRDefault="0077361A" w:rsidP="001B4A23">
          <w:pPr>
            <w:suppressAutoHyphens/>
            <w:spacing w:line="240" w:lineRule="exact"/>
            <w:rPr>
              <w:spacing w:val="4"/>
              <w:w w:val="103"/>
              <w:kern w:val="14"/>
              <w:lang w:val="en-GB"/>
            </w:rPr>
          </w:pPr>
          <w:r w:rsidRPr="00A226B9">
            <w:rPr>
              <w:spacing w:val="4"/>
              <w:w w:val="103"/>
              <w:kern w:val="14"/>
              <w:lang w:val="en-GB"/>
            </w:rPr>
            <w:t>Original: English</w:t>
          </w:r>
        </w:p>
      </w:tc>
    </w:tr>
  </w:tbl>
  <w:p w14:paraId="71C8BE0C" w14:textId="77777777" w:rsidR="0077361A" w:rsidRPr="00870FE7" w:rsidRDefault="0077361A">
    <w:pPr>
      <w:pStyle w:val="Header"/>
      <w:rPr>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77361A" w:rsidRPr="00E1121E" w14:paraId="2552B37F" w14:textId="77777777" w:rsidTr="00D82035">
      <w:trPr>
        <w:trHeight w:hRule="exact" w:val="864"/>
      </w:trPr>
      <w:tc>
        <w:tcPr>
          <w:tcW w:w="4838" w:type="dxa"/>
          <w:tcBorders>
            <w:bottom w:val="single" w:sz="4" w:space="0" w:color="auto"/>
          </w:tcBorders>
          <w:vAlign w:val="bottom"/>
        </w:tcPr>
        <w:p w14:paraId="45444066" w14:textId="7D9EDA9E" w:rsidR="0077361A" w:rsidRPr="00E1121E" w:rsidRDefault="0077361A" w:rsidP="0093794F">
          <w:pPr>
            <w:widowControl w:val="0"/>
            <w:tabs>
              <w:tab w:val="center" w:pos="4320"/>
              <w:tab w:val="right" w:pos="8640"/>
            </w:tabs>
            <w:spacing w:after="80"/>
            <w:rPr>
              <w:b/>
              <w:sz w:val="17"/>
              <w:szCs w:val="17"/>
            </w:rPr>
          </w:pPr>
          <w:r>
            <w:rPr>
              <w:b/>
              <w:sz w:val="17"/>
              <w:szCs w:val="17"/>
            </w:rPr>
            <w:t>DP/DCP/VNM/2</w:t>
          </w:r>
        </w:p>
      </w:tc>
      <w:tc>
        <w:tcPr>
          <w:tcW w:w="5047" w:type="dxa"/>
          <w:tcBorders>
            <w:bottom w:val="single" w:sz="4" w:space="0" w:color="auto"/>
          </w:tcBorders>
          <w:vAlign w:val="bottom"/>
        </w:tcPr>
        <w:p w14:paraId="666755C7" w14:textId="5235E79E" w:rsidR="0077361A" w:rsidRPr="00E1121E" w:rsidRDefault="0077361A" w:rsidP="007D3E53">
          <w:pPr>
            <w:widowControl w:val="0"/>
            <w:tabs>
              <w:tab w:val="center" w:pos="4320"/>
              <w:tab w:val="right" w:pos="8640"/>
            </w:tabs>
            <w:rPr>
              <w:sz w:val="17"/>
              <w:szCs w:val="17"/>
            </w:rPr>
          </w:pPr>
        </w:p>
      </w:tc>
    </w:tr>
  </w:tbl>
  <w:p w14:paraId="70BCE0CE" w14:textId="77777777" w:rsidR="0077361A" w:rsidRDefault="0077361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77361A" w:rsidRPr="00A226B9" w14:paraId="0B4DDEF1" w14:textId="77777777" w:rsidTr="001B4A23">
      <w:trPr>
        <w:trHeight w:hRule="exact" w:val="864"/>
      </w:trPr>
      <w:tc>
        <w:tcPr>
          <w:tcW w:w="1267" w:type="dxa"/>
          <w:tcBorders>
            <w:bottom w:val="single" w:sz="4" w:space="0" w:color="auto"/>
          </w:tcBorders>
          <w:shd w:val="clear" w:color="auto" w:fill="auto"/>
          <w:vAlign w:val="bottom"/>
        </w:tcPr>
        <w:p w14:paraId="12C0D23A" w14:textId="77777777" w:rsidR="0077361A" w:rsidRPr="00A226B9" w:rsidRDefault="0077361A" w:rsidP="00460D77">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0A4DAD34" w14:textId="77777777" w:rsidR="0077361A" w:rsidRPr="00A226B9" w:rsidRDefault="0077361A" w:rsidP="00460D7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A226B9">
            <w:rPr>
              <w:spacing w:val="2"/>
              <w:w w:val="96"/>
              <w:kern w:val="14"/>
              <w:sz w:val="28"/>
              <w:lang w:val="en-GB"/>
            </w:rPr>
            <w:t>United Nations</w:t>
          </w:r>
        </w:p>
      </w:tc>
      <w:tc>
        <w:tcPr>
          <w:tcW w:w="245" w:type="dxa"/>
          <w:tcBorders>
            <w:bottom w:val="single" w:sz="4" w:space="0" w:color="auto"/>
          </w:tcBorders>
          <w:shd w:val="clear" w:color="auto" w:fill="auto"/>
          <w:vAlign w:val="bottom"/>
        </w:tcPr>
        <w:p w14:paraId="60FA505C" w14:textId="77777777" w:rsidR="0077361A" w:rsidRPr="00A226B9" w:rsidRDefault="0077361A" w:rsidP="00460D77">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7DE9BEE9" w14:textId="2FD2608B" w:rsidR="0077361A" w:rsidRPr="00A226B9" w:rsidRDefault="0077361A" w:rsidP="00460D77">
          <w:pPr>
            <w:suppressAutoHyphens/>
            <w:spacing w:after="80"/>
            <w:jc w:val="right"/>
            <w:rPr>
              <w:spacing w:val="4"/>
              <w:w w:val="103"/>
              <w:kern w:val="14"/>
              <w:position w:val="-4"/>
              <w:lang w:val="en-GB"/>
            </w:rPr>
          </w:pPr>
          <w:r w:rsidRPr="00A226B9">
            <w:rPr>
              <w:spacing w:val="4"/>
              <w:w w:val="103"/>
              <w:kern w:val="14"/>
              <w:position w:val="-4"/>
              <w:sz w:val="40"/>
              <w:lang w:val="en-GB"/>
            </w:rPr>
            <w:t>DP</w:t>
          </w:r>
          <w:r w:rsidRPr="00A226B9">
            <w:rPr>
              <w:spacing w:val="4"/>
              <w:w w:val="103"/>
              <w:kern w:val="14"/>
              <w:position w:val="-4"/>
              <w:lang w:val="en-GB"/>
            </w:rPr>
            <w:t>/DCP/</w:t>
          </w:r>
          <w:r>
            <w:rPr>
              <w:spacing w:val="4"/>
              <w:w w:val="103"/>
              <w:kern w:val="14"/>
              <w:position w:val="-4"/>
              <w:lang w:val="en-GB"/>
            </w:rPr>
            <w:t>VNM</w:t>
          </w:r>
          <w:r w:rsidRPr="00A226B9">
            <w:rPr>
              <w:spacing w:val="4"/>
              <w:w w:val="103"/>
              <w:kern w:val="14"/>
              <w:position w:val="-4"/>
              <w:lang w:val="en-GB"/>
            </w:rPr>
            <w:t>/</w:t>
          </w:r>
          <w:r>
            <w:rPr>
              <w:spacing w:val="4"/>
              <w:w w:val="103"/>
              <w:kern w:val="14"/>
              <w:position w:val="-4"/>
              <w:lang w:val="en-GB"/>
            </w:rPr>
            <w:t>2</w:t>
          </w:r>
        </w:p>
      </w:tc>
    </w:tr>
    <w:tr w:rsidR="0077361A" w:rsidRPr="00A226B9" w14:paraId="459882E3" w14:textId="77777777" w:rsidTr="001B4A23">
      <w:trPr>
        <w:gridAfter w:val="1"/>
        <w:wAfter w:w="28" w:type="dxa"/>
        <w:trHeight w:hRule="exact" w:val="2880"/>
      </w:trPr>
      <w:tc>
        <w:tcPr>
          <w:tcW w:w="1267" w:type="dxa"/>
          <w:tcBorders>
            <w:top w:val="single" w:sz="4" w:space="0" w:color="auto"/>
            <w:bottom w:val="single" w:sz="12" w:space="0" w:color="auto"/>
          </w:tcBorders>
          <w:shd w:val="clear" w:color="auto" w:fill="auto"/>
        </w:tcPr>
        <w:p w14:paraId="456E856A" w14:textId="77777777" w:rsidR="0077361A" w:rsidRPr="00A226B9" w:rsidRDefault="0077361A" w:rsidP="00460D77">
          <w:pPr>
            <w:tabs>
              <w:tab w:val="center" w:pos="4320"/>
              <w:tab w:val="right" w:pos="8640"/>
            </w:tabs>
            <w:spacing w:before="109"/>
            <w:rPr>
              <w:noProof/>
              <w:sz w:val="17"/>
            </w:rPr>
          </w:pPr>
          <w:r w:rsidRPr="00A226B9">
            <w:rPr>
              <w:noProof/>
              <w:sz w:val="17"/>
            </w:rPr>
            <w:t xml:space="preserve"> </w:t>
          </w:r>
          <w:r w:rsidRPr="00A226B9">
            <w:rPr>
              <w:noProof/>
              <w:sz w:val="17"/>
            </w:rPr>
            <w:drawing>
              <wp:inline distT="0" distB="0" distL="0" distR="0" wp14:anchorId="06E21949" wp14:editId="2AF0AF55">
                <wp:extent cx="702945" cy="592455"/>
                <wp:effectExtent l="0" t="0" r="1905" b="0"/>
                <wp:docPr id="5" name="Picture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3C010063" w14:textId="77777777" w:rsidR="0077361A" w:rsidRPr="00A226B9" w:rsidRDefault="0077361A" w:rsidP="00460D77">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0D789761" w14:textId="77777777" w:rsidR="0077361A" w:rsidRPr="00A226B9" w:rsidRDefault="0077361A" w:rsidP="00460D7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z w:val="34"/>
            </w:rPr>
          </w:pPr>
          <w:r w:rsidRPr="00A226B9">
            <w:rPr>
              <w:b/>
              <w:sz w:val="34"/>
            </w:rPr>
            <w:t>Executive Board of the</w:t>
          </w:r>
          <w:r w:rsidRPr="00A226B9">
            <w:rPr>
              <w:b/>
              <w:sz w:val="34"/>
            </w:rPr>
            <w:br/>
            <w:t>United Nations Development</w:t>
          </w:r>
          <w:r w:rsidRPr="00A226B9">
            <w:rPr>
              <w:b/>
              <w:sz w:val="34"/>
            </w:rPr>
            <w:br/>
            <w:t xml:space="preserve">Programme, the United Nations Population Fund and the </w:t>
          </w:r>
        </w:p>
        <w:p w14:paraId="66542DAA" w14:textId="77777777" w:rsidR="0077361A" w:rsidRPr="00A226B9" w:rsidRDefault="0077361A" w:rsidP="00460D7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z w:val="34"/>
            </w:rPr>
          </w:pPr>
          <w:r w:rsidRPr="00A226B9">
            <w:rPr>
              <w:b/>
              <w:sz w:val="34"/>
            </w:rPr>
            <w:t xml:space="preserve">United Nations Office for </w:t>
          </w:r>
        </w:p>
        <w:p w14:paraId="4668D342" w14:textId="77777777" w:rsidR="0077361A" w:rsidRPr="00A226B9" w:rsidRDefault="0077361A" w:rsidP="00460D7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pacing w:val="-4"/>
              <w:w w:val="98"/>
              <w:kern w:val="14"/>
              <w:sz w:val="34"/>
              <w:lang w:val="en-GB"/>
            </w:rPr>
          </w:pPr>
          <w:r w:rsidRPr="00A226B9">
            <w:rPr>
              <w:b/>
              <w:sz w:val="34"/>
            </w:rPr>
            <w:t>Project Services</w:t>
          </w:r>
        </w:p>
      </w:tc>
      <w:tc>
        <w:tcPr>
          <w:tcW w:w="245" w:type="dxa"/>
          <w:tcBorders>
            <w:top w:val="single" w:sz="4" w:space="0" w:color="auto"/>
            <w:bottom w:val="single" w:sz="12" w:space="0" w:color="auto"/>
          </w:tcBorders>
          <w:shd w:val="clear" w:color="auto" w:fill="auto"/>
        </w:tcPr>
        <w:p w14:paraId="3E7D7886" w14:textId="77777777" w:rsidR="0077361A" w:rsidRPr="00A226B9" w:rsidRDefault="0077361A" w:rsidP="00460D77">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6E857595" w14:textId="77777777" w:rsidR="0077361A" w:rsidRPr="00A226B9" w:rsidRDefault="0077361A" w:rsidP="00460D77">
          <w:pPr>
            <w:suppressAutoHyphens/>
            <w:spacing w:before="240" w:line="240" w:lineRule="exact"/>
            <w:rPr>
              <w:spacing w:val="4"/>
              <w:w w:val="103"/>
              <w:kern w:val="14"/>
              <w:lang w:val="en-GB"/>
            </w:rPr>
          </w:pPr>
          <w:r w:rsidRPr="00A226B9">
            <w:rPr>
              <w:spacing w:val="4"/>
              <w:w w:val="103"/>
              <w:kern w:val="14"/>
              <w:lang w:val="en-GB"/>
            </w:rPr>
            <w:t>Distr.: General</w:t>
          </w:r>
        </w:p>
        <w:p w14:paraId="10FCCB38" w14:textId="696DB83C" w:rsidR="0077361A" w:rsidRPr="00A226B9" w:rsidRDefault="0077361A" w:rsidP="00460D77">
          <w:pPr>
            <w:suppressAutoHyphens/>
            <w:spacing w:line="240" w:lineRule="exact"/>
            <w:rPr>
              <w:spacing w:val="4"/>
              <w:w w:val="103"/>
              <w:kern w:val="14"/>
              <w:lang w:val="en-GB"/>
            </w:rPr>
          </w:pPr>
          <w:r>
            <w:rPr>
              <w:spacing w:val="4"/>
              <w:w w:val="103"/>
              <w:kern w:val="14"/>
              <w:lang w:val="en-GB"/>
            </w:rPr>
            <w:t>13 June</w:t>
          </w:r>
          <w:r w:rsidRPr="00A226B9">
            <w:rPr>
              <w:spacing w:val="4"/>
              <w:w w:val="103"/>
              <w:kern w:val="14"/>
              <w:lang w:val="en-GB"/>
            </w:rPr>
            <w:t xml:space="preserve"> 2016</w:t>
          </w:r>
        </w:p>
        <w:p w14:paraId="4D0CE102" w14:textId="77777777" w:rsidR="0077361A" w:rsidRPr="00A226B9" w:rsidRDefault="0077361A" w:rsidP="00460D77">
          <w:pPr>
            <w:suppressAutoHyphens/>
            <w:spacing w:line="240" w:lineRule="exact"/>
            <w:rPr>
              <w:spacing w:val="4"/>
              <w:w w:val="103"/>
              <w:kern w:val="14"/>
              <w:lang w:val="en-GB"/>
            </w:rPr>
          </w:pPr>
        </w:p>
        <w:p w14:paraId="0220F660" w14:textId="77777777" w:rsidR="0077361A" w:rsidRPr="00A226B9" w:rsidRDefault="0077361A" w:rsidP="00460D77">
          <w:pPr>
            <w:suppressAutoHyphens/>
            <w:spacing w:line="240" w:lineRule="exact"/>
            <w:rPr>
              <w:spacing w:val="4"/>
              <w:w w:val="103"/>
              <w:kern w:val="14"/>
              <w:lang w:val="en-GB"/>
            </w:rPr>
          </w:pPr>
          <w:r w:rsidRPr="00A226B9">
            <w:rPr>
              <w:spacing w:val="4"/>
              <w:w w:val="103"/>
              <w:kern w:val="14"/>
              <w:lang w:val="en-GB"/>
            </w:rPr>
            <w:t>Original: English</w:t>
          </w:r>
        </w:p>
      </w:tc>
    </w:tr>
  </w:tbl>
  <w:p w14:paraId="2212DD60" w14:textId="77777777" w:rsidR="0077361A" w:rsidRDefault="0077361A">
    <w:pPr>
      <w:pStyle w:val="Header"/>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77361A" w:rsidRPr="00870FE7" w14:paraId="79DFFBB4" w14:textId="77777777" w:rsidTr="001B4A23">
      <w:trPr>
        <w:trHeight w:hRule="exact" w:val="864"/>
      </w:trPr>
      <w:tc>
        <w:tcPr>
          <w:tcW w:w="4838" w:type="dxa"/>
          <w:shd w:val="clear" w:color="auto" w:fill="auto"/>
          <w:vAlign w:val="bottom"/>
        </w:tcPr>
        <w:p w14:paraId="17FD3968" w14:textId="01FB7DE4" w:rsidR="0077361A" w:rsidRPr="00870FE7" w:rsidRDefault="0077361A" w:rsidP="0050286D">
          <w:pPr>
            <w:tabs>
              <w:tab w:val="center" w:pos="4320"/>
              <w:tab w:val="right" w:pos="8640"/>
            </w:tabs>
            <w:spacing w:after="80"/>
            <w:rPr>
              <w:b/>
              <w:noProof/>
              <w:sz w:val="17"/>
            </w:rPr>
          </w:pPr>
          <w:r w:rsidRPr="00870FE7">
            <w:rPr>
              <w:b/>
              <w:noProof/>
              <w:sz w:val="17"/>
            </w:rPr>
            <w:t>DP/DCP/</w:t>
          </w:r>
          <w:r>
            <w:rPr>
              <w:b/>
              <w:noProof/>
              <w:sz w:val="17"/>
            </w:rPr>
            <w:t>MNG/2</w:t>
          </w:r>
        </w:p>
      </w:tc>
      <w:tc>
        <w:tcPr>
          <w:tcW w:w="5033" w:type="dxa"/>
          <w:shd w:val="clear" w:color="auto" w:fill="auto"/>
          <w:vAlign w:val="bottom"/>
        </w:tcPr>
        <w:p w14:paraId="689010C3" w14:textId="77777777" w:rsidR="0077361A" w:rsidRPr="00870FE7" w:rsidRDefault="0077361A" w:rsidP="0050286D">
          <w:pPr>
            <w:tabs>
              <w:tab w:val="center" w:pos="4320"/>
              <w:tab w:val="right" w:pos="8640"/>
            </w:tabs>
            <w:jc w:val="right"/>
            <w:rPr>
              <w:b/>
              <w:noProof/>
              <w:sz w:val="17"/>
            </w:rPr>
          </w:pPr>
        </w:p>
      </w:tc>
    </w:tr>
  </w:tbl>
  <w:p w14:paraId="14C57598" w14:textId="77777777" w:rsidR="0077361A" w:rsidRPr="00047F68" w:rsidRDefault="0077361A">
    <w:pPr>
      <w:pStyle w:val="Header"/>
      <w:rPr>
        <w:b/>
        <w:sz w:val="17"/>
        <w:szCs w:val="17"/>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C9B6F" w14:textId="6F70A46E" w:rsidR="0077361A" w:rsidRDefault="0077361A">
    <w:pPr>
      <w:pStyle w:val="Header"/>
    </w:pPr>
    <w:r>
      <w:rPr>
        <w:noProof/>
      </w:rPr>
      <mc:AlternateContent>
        <mc:Choice Requires="wps">
          <w:drawing>
            <wp:anchor distT="0" distB="0" distL="114300" distR="114300" simplePos="0" relativeHeight="251661824" behindDoc="0" locked="0" layoutInCell="0" allowOverlap="1" wp14:anchorId="6AB07114" wp14:editId="4994E060">
              <wp:simplePos x="0" y="0"/>
              <wp:positionH relativeFrom="column">
                <wp:posOffset>-73025</wp:posOffset>
              </wp:positionH>
              <wp:positionV relativeFrom="paragraph">
                <wp:posOffset>-302895</wp:posOffset>
              </wp:positionV>
              <wp:extent cx="8464550" cy="640080"/>
              <wp:effectExtent l="0" t="0" r="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77361A" w:rsidRPr="005841A3" w14:paraId="001BA383" w14:textId="77777777">
                            <w:trPr>
                              <w:trHeight w:hRule="exact" w:val="864"/>
                            </w:trPr>
                            <w:tc>
                              <w:tcPr>
                                <w:tcW w:w="4838" w:type="dxa"/>
                                <w:tcBorders>
                                  <w:bottom w:val="single" w:sz="4" w:space="0" w:color="auto"/>
                                </w:tcBorders>
                                <w:vAlign w:val="bottom"/>
                              </w:tcPr>
                              <w:p w14:paraId="60067FE8" w14:textId="52CF4CF8" w:rsidR="0077361A" w:rsidRPr="007C6F85" w:rsidRDefault="0077361A" w:rsidP="005841A3">
                                <w:pPr>
                                  <w:pStyle w:val="Header"/>
                                  <w:spacing w:after="80"/>
                                  <w:rPr>
                                    <w:rFonts w:ascii="Times New Roman" w:hAnsi="Times New Roman"/>
                                    <w:b/>
                                    <w:sz w:val="17"/>
                                    <w:szCs w:val="17"/>
                                  </w:rPr>
                                </w:pPr>
                                <w:r w:rsidRPr="007C6F85">
                                  <w:rPr>
                                    <w:rFonts w:ascii="Times New Roman" w:hAnsi="Times New Roman"/>
                                    <w:b/>
                                    <w:sz w:val="17"/>
                                    <w:szCs w:val="17"/>
                                  </w:rPr>
                                  <w:t>DP/DCP/</w:t>
                                </w:r>
                                <w:r>
                                  <w:rPr>
                                    <w:rFonts w:ascii="Times New Roman" w:hAnsi="Times New Roman"/>
                                    <w:b/>
                                    <w:sz w:val="17"/>
                                    <w:szCs w:val="17"/>
                                  </w:rPr>
                                  <w:t>VNM/2</w:t>
                                </w:r>
                              </w:p>
                            </w:tc>
                            <w:tc>
                              <w:tcPr>
                                <w:tcW w:w="8276" w:type="dxa"/>
                                <w:tcBorders>
                                  <w:bottom w:val="single" w:sz="4" w:space="0" w:color="auto"/>
                                </w:tcBorders>
                                <w:vAlign w:val="bottom"/>
                              </w:tcPr>
                              <w:p w14:paraId="7465CAA2" w14:textId="77777777" w:rsidR="0077361A" w:rsidRPr="007C6F85" w:rsidRDefault="0077361A">
                                <w:pPr>
                                  <w:pStyle w:val="Header"/>
                                  <w:rPr>
                                    <w:rFonts w:ascii="Times New Roman" w:hAnsi="Times New Roman"/>
                                    <w:sz w:val="17"/>
                                    <w:szCs w:val="17"/>
                                  </w:rPr>
                                </w:pPr>
                              </w:p>
                            </w:tc>
                          </w:tr>
                        </w:tbl>
                        <w:p w14:paraId="3F5C9967" w14:textId="77777777" w:rsidR="0077361A" w:rsidRDefault="0077361A"/>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AB07114" id="_x0000_t202" coordsize="21600,21600" o:spt="202" path="m,l,21600r21600,l21600,xe">
              <v:stroke joinstyle="miter"/>
              <v:path gradientshapeok="t" o:connecttype="rect"/>
            </v:shapetype>
            <v:shape id="Text Box 4" o:spid="_x0000_s1026" type="#_x0000_t202" style="position:absolute;margin-left:-5.75pt;margin-top:-23.85pt;width:666.5pt;height:5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77361A" w:rsidRPr="005841A3" w14:paraId="001BA383" w14:textId="77777777">
                      <w:trPr>
                        <w:trHeight w:hRule="exact" w:val="864"/>
                      </w:trPr>
                      <w:tc>
                        <w:tcPr>
                          <w:tcW w:w="4838" w:type="dxa"/>
                          <w:tcBorders>
                            <w:bottom w:val="single" w:sz="4" w:space="0" w:color="auto"/>
                          </w:tcBorders>
                          <w:vAlign w:val="bottom"/>
                        </w:tcPr>
                        <w:p w14:paraId="60067FE8" w14:textId="52CF4CF8" w:rsidR="0077361A" w:rsidRPr="007C6F85" w:rsidRDefault="0077361A" w:rsidP="005841A3">
                          <w:pPr>
                            <w:pStyle w:val="Header"/>
                            <w:spacing w:after="80"/>
                            <w:rPr>
                              <w:rFonts w:ascii="Times New Roman" w:hAnsi="Times New Roman"/>
                              <w:b/>
                              <w:sz w:val="17"/>
                              <w:szCs w:val="17"/>
                            </w:rPr>
                          </w:pPr>
                          <w:r w:rsidRPr="007C6F85">
                            <w:rPr>
                              <w:rFonts w:ascii="Times New Roman" w:hAnsi="Times New Roman"/>
                              <w:b/>
                              <w:sz w:val="17"/>
                              <w:szCs w:val="17"/>
                            </w:rPr>
                            <w:t>DP/DCP/</w:t>
                          </w:r>
                          <w:r>
                            <w:rPr>
                              <w:rFonts w:ascii="Times New Roman" w:hAnsi="Times New Roman"/>
                              <w:b/>
                              <w:sz w:val="17"/>
                              <w:szCs w:val="17"/>
                            </w:rPr>
                            <w:t>VNM/2</w:t>
                          </w:r>
                        </w:p>
                      </w:tc>
                      <w:tc>
                        <w:tcPr>
                          <w:tcW w:w="8276" w:type="dxa"/>
                          <w:tcBorders>
                            <w:bottom w:val="single" w:sz="4" w:space="0" w:color="auto"/>
                          </w:tcBorders>
                          <w:vAlign w:val="bottom"/>
                        </w:tcPr>
                        <w:p w14:paraId="7465CAA2" w14:textId="77777777" w:rsidR="0077361A" w:rsidRPr="007C6F85" w:rsidRDefault="0077361A">
                          <w:pPr>
                            <w:pStyle w:val="Header"/>
                            <w:rPr>
                              <w:rFonts w:ascii="Times New Roman" w:hAnsi="Times New Roman"/>
                              <w:sz w:val="17"/>
                              <w:szCs w:val="17"/>
                            </w:rPr>
                          </w:pPr>
                        </w:p>
                      </w:tc>
                    </w:tr>
                  </w:tbl>
                  <w:p w14:paraId="3F5C9967" w14:textId="77777777" w:rsidR="0077361A" w:rsidRDefault="0077361A"/>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130"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292"/>
    </w:tblGrid>
    <w:tr w:rsidR="0077361A" w:rsidRPr="00870FE7" w14:paraId="1E586B65" w14:textId="77777777" w:rsidTr="001B4A23">
      <w:trPr>
        <w:trHeight w:hRule="exact" w:val="864"/>
      </w:trPr>
      <w:tc>
        <w:tcPr>
          <w:tcW w:w="4838" w:type="dxa"/>
          <w:shd w:val="clear" w:color="auto" w:fill="auto"/>
          <w:vAlign w:val="bottom"/>
        </w:tcPr>
        <w:p w14:paraId="7F081CCF" w14:textId="77777777" w:rsidR="0077361A" w:rsidRPr="00870FE7" w:rsidRDefault="0077361A" w:rsidP="00047F68">
          <w:pPr>
            <w:tabs>
              <w:tab w:val="center" w:pos="4320"/>
              <w:tab w:val="right" w:pos="8640"/>
            </w:tabs>
            <w:spacing w:after="80"/>
            <w:jc w:val="right"/>
            <w:rPr>
              <w:b/>
              <w:noProof/>
              <w:sz w:val="17"/>
            </w:rPr>
          </w:pPr>
        </w:p>
      </w:tc>
      <w:tc>
        <w:tcPr>
          <w:tcW w:w="8292" w:type="dxa"/>
          <w:shd w:val="clear" w:color="auto" w:fill="auto"/>
          <w:vAlign w:val="bottom"/>
        </w:tcPr>
        <w:p w14:paraId="75462077" w14:textId="54155E4B" w:rsidR="0077361A" w:rsidRPr="00870FE7" w:rsidRDefault="0077361A" w:rsidP="00047F68">
          <w:pPr>
            <w:tabs>
              <w:tab w:val="center" w:pos="4320"/>
              <w:tab w:val="right" w:pos="8640"/>
            </w:tabs>
            <w:jc w:val="right"/>
            <w:rPr>
              <w:b/>
              <w:noProof/>
              <w:sz w:val="17"/>
            </w:rPr>
          </w:pPr>
          <w:r w:rsidRPr="00870FE7">
            <w:rPr>
              <w:b/>
              <w:noProof/>
              <w:sz w:val="17"/>
            </w:rPr>
            <w:t>DP/DCP/</w:t>
          </w:r>
          <w:r>
            <w:rPr>
              <w:b/>
              <w:noProof/>
              <w:sz w:val="17"/>
            </w:rPr>
            <w:t>VNM</w:t>
          </w:r>
          <w:r w:rsidRPr="00870FE7">
            <w:rPr>
              <w:b/>
              <w:noProof/>
              <w:sz w:val="17"/>
            </w:rPr>
            <w:t>/</w:t>
          </w:r>
          <w:r>
            <w:rPr>
              <w:b/>
              <w:noProof/>
              <w:sz w:val="17"/>
            </w:rPr>
            <w:t>2</w:t>
          </w:r>
        </w:p>
      </w:tc>
    </w:tr>
  </w:tbl>
  <w:p w14:paraId="0C6EF721" w14:textId="77777777" w:rsidR="0077361A" w:rsidRPr="006338F7" w:rsidRDefault="0077361A" w:rsidP="006338F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44494" w14:textId="77777777" w:rsidR="0077361A" w:rsidRDefault="007736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948CB"/>
    <w:multiLevelType w:val="hybridMultilevel"/>
    <w:tmpl w:val="D66A4DB0"/>
    <w:lvl w:ilvl="0" w:tplc="D5687768">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D2224D"/>
    <w:multiLevelType w:val="hybridMultilevel"/>
    <w:tmpl w:val="1FDA6C10"/>
    <w:lvl w:ilvl="0" w:tplc="04090001">
      <w:start w:val="1"/>
      <w:numFmt w:val="bullet"/>
      <w:lvlText w:val=""/>
      <w:lvlJc w:val="left"/>
      <w:pPr>
        <w:ind w:left="2707" w:hanging="360"/>
      </w:pPr>
      <w:rPr>
        <w:rFonts w:ascii="Symbol" w:hAnsi="Symbol" w:hint="default"/>
      </w:rPr>
    </w:lvl>
    <w:lvl w:ilvl="1" w:tplc="04090003">
      <w:start w:val="1"/>
      <w:numFmt w:val="bullet"/>
      <w:lvlText w:val="o"/>
      <w:lvlJc w:val="left"/>
      <w:pPr>
        <w:ind w:left="3427" w:hanging="360"/>
      </w:pPr>
      <w:rPr>
        <w:rFonts w:ascii="Courier New" w:hAnsi="Courier New" w:cs="Courier New" w:hint="default"/>
      </w:rPr>
    </w:lvl>
    <w:lvl w:ilvl="2" w:tplc="04090005">
      <w:start w:val="1"/>
      <w:numFmt w:val="bullet"/>
      <w:lvlText w:val=""/>
      <w:lvlJc w:val="left"/>
      <w:pPr>
        <w:ind w:left="4147" w:hanging="360"/>
      </w:pPr>
      <w:rPr>
        <w:rFonts w:ascii="Wingdings" w:hAnsi="Wingdings" w:hint="default"/>
      </w:rPr>
    </w:lvl>
    <w:lvl w:ilvl="3" w:tplc="04090001">
      <w:start w:val="1"/>
      <w:numFmt w:val="bullet"/>
      <w:lvlText w:val=""/>
      <w:lvlJc w:val="left"/>
      <w:pPr>
        <w:ind w:left="4867" w:hanging="360"/>
      </w:pPr>
      <w:rPr>
        <w:rFonts w:ascii="Symbol" w:hAnsi="Symbol" w:hint="default"/>
      </w:rPr>
    </w:lvl>
    <w:lvl w:ilvl="4" w:tplc="04090003">
      <w:start w:val="1"/>
      <w:numFmt w:val="bullet"/>
      <w:lvlText w:val="o"/>
      <w:lvlJc w:val="left"/>
      <w:pPr>
        <w:ind w:left="5587" w:hanging="360"/>
      </w:pPr>
      <w:rPr>
        <w:rFonts w:ascii="Courier New" w:hAnsi="Courier New" w:cs="Courier New" w:hint="default"/>
      </w:rPr>
    </w:lvl>
    <w:lvl w:ilvl="5" w:tplc="04090005">
      <w:start w:val="1"/>
      <w:numFmt w:val="bullet"/>
      <w:lvlText w:val=""/>
      <w:lvlJc w:val="left"/>
      <w:pPr>
        <w:ind w:left="6307" w:hanging="360"/>
      </w:pPr>
      <w:rPr>
        <w:rFonts w:ascii="Wingdings" w:hAnsi="Wingdings" w:hint="default"/>
      </w:rPr>
    </w:lvl>
    <w:lvl w:ilvl="6" w:tplc="04090001">
      <w:start w:val="1"/>
      <w:numFmt w:val="bullet"/>
      <w:lvlText w:val=""/>
      <w:lvlJc w:val="left"/>
      <w:pPr>
        <w:ind w:left="7027" w:hanging="360"/>
      </w:pPr>
      <w:rPr>
        <w:rFonts w:ascii="Symbol" w:hAnsi="Symbol" w:hint="default"/>
      </w:rPr>
    </w:lvl>
    <w:lvl w:ilvl="7" w:tplc="04090003">
      <w:start w:val="1"/>
      <w:numFmt w:val="bullet"/>
      <w:lvlText w:val="o"/>
      <w:lvlJc w:val="left"/>
      <w:pPr>
        <w:ind w:left="7747" w:hanging="360"/>
      </w:pPr>
      <w:rPr>
        <w:rFonts w:ascii="Courier New" w:hAnsi="Courier New" w:cs="Courier New" w:hint="default"/>
      </w:rPr>
    </w:lvl>
    <w:lvl w:ilvl="8" w:tplc="04090005">
      <w:start w:val="1"/>
      <w:numFmt w:val="bullet"/>
      <w:lvlText w:val=""/>
      <w:lvlJc w:val="left"/>
      <w:pPr>
        <w:ind w:left="8467" w:hanging="360"/>
      </w:pPr>
      <w:rPr>
        <w:rFonts w:ascii="Wingdings" w:hAnsi="Wingdings" w:hint="default"/>
      </w:rPr>
    </w:lvl>
  </w:abstractNum>
  <w:abstractNum w:abstractNumId="2" w15:restartNumberingAfterBreak="0">
    <w:nsid w:val="0C5E267A"/>
    <w:multiLevelType w:val="hybridMultilevel"/>
    <w:tmpl w:val="92B8324A"/>
    <w:lvl w:ilvl="0" w:tplc="BA8C2FFC">
      <w:start w:val="1"/>
      <w:numFmt w:val="bullet"/>
      <w:lvlText w:val="•"/>
      <w:lvlJc w:val="left"/>
      <w:pPr>
        <w:tabs>
          <w:tab w:val="num" w:pos="720"/>
        </w:tabs>
        <w:ind w:left="720" w:hanging="360"/>
      </w:pPr>
      <w:rPr>
        <w:rFonts w:ascii="Times New Roman" w:hAnsi="Times New Roman" w:hint="default"/>
      </w:rPr>
    </w:lvl>
    <w:lvl w:ilvl="1" w:tplc="200AA548" w:tentative="1">
      <w:start w:val="1"/>
      <w:numFmt w:val="bullet"/>
      <w:lvlText w:val="•"/>
      <w:lvlJc w:val="left"/>
      <w:pPr>
        <w:tabs>
          <w:tab w:val="num" w:pos="1440"/>
        </w:tabs>
        <w:ind w:left="1440" w:hanging="360"/>
      </w:pPr>
      <w:rPr>
        <w:rFonts w:ascii="Times New Roman" w:hAnsi="Times New Roman" w:hint="default"/>
      </w:rPr>
    </w:lvl>
    <w:lvl w:ilvl="2" w:tplc="49B620F6" w:tentative="1">
      <w:start w:val="1"/>
      <w:numFmt w:val="bullet"/>
      <w:lvlText w:val="•"/>
      <w:lvlJc w:val="left"/>
      <w:pPr>
        <w:tabs>
          <w:tab w:val="num" w:pos="2160"/>
        </w:tabs>
        <w:ind w:left="2160" w:hanging="360"/>
      </w:pPr>
      <w:rPr>
        <w:rFonts w:ascii="Times New Roman" w:hAnsi="Times New Roman" w:hint="default"/>
      </w:rPr>
    </w:lvl>
    <w:lvl w:ilvl="3" w:tplc="C14293CC" w:tentative="1">
      <w:start w:val="1"/>
      <w:numFmt w:val="bullet"/>
      <w:lvlText w:val="•"/>
      <w:lvlJc w:val="left"/>
      <w:pPr>
        <w:tabs>
          <w:tab w:val="num" w:pos="2880"/>
        </w:tabs>
        <w:ind w:left="2880" w:hanging="360"/>
      </w:pPr>
      <w:rPr>
        <w:rFonts w:ascii="Times New Roman" w:hAnsi="Times New Roman" w:hint="default"/>
      </w:rPr>
    </w:lvl>
    <w:lvl w:ilvl="4" w:tplc="73E48DFE" w:tentative="1">
      <w:start w:val="1"/>
      <w:numFmt w:val="bullet"/>
      <w:lvlText w:val="•"/>
      <w:lvlJc w:val="left"/>
      <w:pPr>
        <w:tabs>
          <w:tab w:val="num" w:pos="3600"/>
        </w:tabs>
        <w:ind w:left="3600" w:hanging="360"/>
      </w:pPr>
      <w:rPr>
        <w:rFonts w:ascii="Times New Roman" w:hAnsi="Times New Roman" w:hint="default"/>
      </w:rPr>
    </w:lvl>
    <w:lvl w:ilvl="5" w:tplc="ACCA5C3E" w:tentative="1">
      <w:start w:val="1"/>
      <w:numFmt w:val="bullet"/>
      <w:lvlText w:val="•"/>
      <w:lvlJc w:val="left"/>
      <w:pPr>
        <w:tabs>
          <w:tab w:val="num" w:pos="4320"/>
        </w:tabs>
        <w:ind w:left="4320" w:hanging="360"/>
      </w:pPr>
      <w:rPr>
        <w:rFonts w:ascii="Times New Roman" w:hAnsi="Times New Roman" w:hint="default"/>
      </w:rPr>
    </w:lvl>
    <w:lvl w:ilvl="6" w:tplc="0A3288FA" w:tentative="1">
      <w:start w:val="1"/>
      <w:numFmt w:val="bullet"/>
      <w:lvlText w:val="•"/>
      <w:lvlJc w:val="left"/>
      <w:pPr>
        <w:tabs>
          <w:tab w:val="num" w:pos="5040"/>
        </w:tabs>
        <w:ind w:left="5040" w:hanging="360"/>
      </w:pPr>
      <w:rPr>
        <w:rFonts w:ascii="Times New Roman" w:hAnsi="Times New Roman" w:hint="default"/>
      </w:rPr>
    </w:lvl>
    <w:lvl w:ilvl="7" w:tplc="416659A8" w:tentative="1">
      <w:start w:val="1"/>
      <w:numFmt w:val="bullet"/>
      <w:lvlText w:val="•"/>
      <w:lvlJc w:val="left"/>
      <w:pPr>
        <w:tabs>
          <w:tab w:val="num" w:pos="5760"/>
        </w:tabs>
        <w:ind w:left="5760" w:hanging="360"/>
      </w:pPr>
      <w:rPr>
        <w:rFonts w:ascii="Times New Roman" w:hAnsi="Times New Roman" w:hint="default"/>
      </w:rPr>
    </w:lvl>
    <w:lvl w:ilvl="8" w:tplc="FC40C64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394B5B"/>
    <w:multiLevelType w:val="hybridMultilevel"/>
    <w:tmpl w:val="63204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013FC"/>
    <w:multiLevelType w:val="hybridMultilevel"/>
    <w:tmpl w:val="BCF45EFA"/>
    <w:lvl w:ilvl="0" w:tplc="59D4A7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41916"/>
    <w:multiLevelType w:val="hybridMultilevel"/>
    <w:tmpl w:val="79B48F30"/>
    <w:lvl w:ilvl="0" w:tplc="EEFE1798">
      <w:start w:val="1"/>
      <w:numFmt w:val="bullet"/>
      <w:lvlText w:val="-"/>
      <w:lvlJc w:val="left"/>
      <w:pPr>
        <w:ind w:left="720" w:hanging="360"/>
      </w:pPr>
      <w:rPr>
        <w:rFonts w:ascii="Arial" w:eastAsiaTheme="minorHAnsi" w:hAnsi="Arial" w:cs="Aria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6" w15:restartNumberingAfterBreak="0">
    <w:nsid w:val="1E125166"/>
    <w:multiLevelType w:val="hybridMultilevel"/>
    <w:tmpl w:val="D66A4DB0"/>
    <w:lvl w:ilvl="0" w:tplc="D5687768">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0341061"/>
    <w:multiLevelType w:val="hybridMultilevel"/>
    <w:tmpl w:val="67E4313E"/>
    <w:lvl w:ilvl="0" w:tplc="84263FF2">
      <w:start w:val="1"/>
      <w:numFmt w:val="decimal"/>
      <w:lvlText w:val="%1."/>
      <w:lvlJc w:val="left"/>
      <w:pPr>
        <w:ind w:left="720" w:hanging="360"/>
      </w:pPr>
      <w:rPr>
        <w:rFonts w:ascii="Times New Roman" w:hAnsi="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D28C0"/>
    <w:multiLevelType w:val="hybridMultilevel"/>
    <w:tmpl w:val="77F69D00"/>
    <w:lvl w:ilvl="0" w:tplc="A23E9834">
      <w:start w:val="1"/>
      <w:numFmt w:val="upperRoman"/>
      <w:lvlText w:val="%1."/>
      <w:lvlJc w:val="left"/>
      <w:pPr>
        <w:ind w:left="1440" w:hanging="72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8C400A"/>
    <w:multiLevelType w:val="hybridMultilevel"/>
    <w:tmpl w:val="D66A4DB0"/>
    <w:lvl w:ilvl="0" w:tplc="D5687768">
      <w:start w:val="1"/>
      <w:numFmt w:val="decimal"/>
      <w:lvlText w:val="%1."/>
      <w:lvlJc w:val="left"/>
      <w:pPr>
        <w:ind w:left="1987" w:hanging="360"/>
      </w:pPr>
      <w:rPr>
        <w:b w:val="0"/>
      </w:rPr>
    </w:lvl>
    <w:lvl w:ilvl="1" w:tplc="04090001">
      <w:start w:val="1"/>
      <w:numFmt w:val="bullet"/>
      <w:lvlText w:val=""/>
      <w:lvlJc w:val="left"/>
      <w:pPr>
        <w:ind w:left="2707" w:hanging="360"/>
      </w:pPr>
      <w:rPr>
        <w:rFonts w:ascii="Symbol" w:hAnsi="Symbol" w:hint="default"/>
      </w:rPr>
    </w:lvl>
    <w:lvl w:ilvl="2" w:tplc="0409001B">
      <w:start w:val="1"/>
      <w:numFmt w:val="lowerRoman"/>
      <w:lvlText w:val="%3."/>
      <w:lvlJc w:val="right"/>
      <w:pPr>
        <w:ind w:left="3427" w:hanging="180"/>
      </w:pPr>
    </w:lvl>
    <w:lvl w:ilvl="3" w:tplc="0409000F">
      <w:start w:val="1"/>
      <w:numFmt w:val="decimal"/>
      <w:lvlText w:val="%4."/>
      <w:lvlJc w:val="left"/>
      <w:pPr>
        <w:ind w:left="4147" w:hanging="360"/>
      </w:pPr>
    </w:lvl>
    <w:lvl w:ilvl="4" w:tplc="04090019">
      <w:start w:val="1"/>
      <w:numFmt w:val="lowerLetter"/>
      <w:lvlText w:val="%5."/>
      <w:lvlJc w:val="left"/>
      <w:pPr>
        <w:ind w:left="4867" w:hanging="360"/>
      </w:pPr>
    </w:lvl>
    <w:lvl w:ilvl="5" w:tplc="0409001B">
      <w:start w:val="1"/>
      <w:numFmt w:val="lowerRoman"/>
      <w:lvlText w:val="%6."/>
      <w:lvlJc w:val="right"/>
      <w:pPr>
        <w:ind w:left="5587" w:hanging="180"/>
      </w:pPr>
    </w:lvl>
    <w:lvl w:ilvl="6" w:tplc="0409000F">
      <w:start w:val="1"/>
      <w:numFmt w:val="decimal"/>
      <w:lvlText w:val="%7."/>
      <w:lvlJc w:val="left"/>
      <w:pPr>
        <w:ind w:left="6307" w:hanging="360"/>
      </w:pPr>
    </w:lvl>
    <w:lvl w:ilvl="7" w:tplc="04090019">
      <w:start w:val="1"/>
      <w:numFmt w:val="lowerLetter"/>
      <w:lvlText w:val="%8."/>
      <w:lvlJc w:val="left"/>
      <w:pPr>
        <w:ind w:left="7027" w:hanging="360"/>
      </w:pPr>
    </w:lvl>
    <w:lvl w:ilvl="8" w:tplc="0409001B">
      <w:start w:val="1"/>
      <w:numFmt w:val="lowerRoman"/>
      <w:lvlText w:val="%9."/>
      <w:lvlJc w:val="right"/>
      <w:pPr>
        <w:ind w:left="7747" w:hanging="180"/>
      </w:pPr>
    </w:lvl>
  </w:abstractNum>
  <w:abstractNum w:abstractNumId="10"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1F4D21"/>
    <w:multiLevelType w:val="hybridMultilevel"/>
    <w:tmpl w:val="4818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B0783"/>
    <w:multiLevelType w:val="hybridMultilevel"/>
    <w:tmpl w:val="D66A4DB0"/>
    <w:lvl w:ilvl="0" w:tplc="D5687768">
      <w:start w:val="1"/>
      <w:numFmt w:val="decimal"/>
      <w:lvlText w:val="%1."/>
      <w:lvlJc w:val="left"/>
      <w:pPr>
        <w:ind w:left="1987" w:hanging="360"/>
      </w:pPr>
      <w:rPr>
        <w:b w:val="0"/>
      </w:rPr>
    </w:lvl>
    <w:lvl w:ilvl="1" w:tplc="04090001">
      <w:start w:val="1"/>
      <w:numFmt w:val="bullet"/>
      <w:lvlText w:val=""/>
      <w:lvlJc w:val="left"/>
      <w:pPr>
        <w:ind w:left="2707" w:hanging="360"/>
      </w:pPr>
      <w:rPr>
        <w:rFonts w:ascii="Symbol" w:hAnsi="Symbol" w:hint="default"/>
      </w:rPr>
    </w:lvl>
    <w:lvl w:ilvl="2" w:tplc="0409001B">
      <w:start w:val="1"/>
      <w:numFmt w:val="lowerRoman"/>
      <w:lvlText w:val="%3."/>
      <w:lvlJc w:val="right"/>
      <w:pPr>
        <w:ind w:left="3427" w:hanging="180"/>
      </w:pPr>
    </w:lvl>
    <w:lvl w:ilvl="3" w:tplc="0409000F">
      <w:start w:val="1"/>
      <w:numFmt w:val="decimal"/>
      <w:lvlText w:val="%4."/>
      <w:lvlJc w:val="left"/>
      <w:pPr>
        <w:ind w:left="4147" w:hanging="360"/>
      </w:pPr>
    </w:lvl>
    <w:lvl w:ilvl="4" w:tplc="04090019">
      <w:start w:val="1"/>
      <w:numFmt w:val="lowerLetter"/>
      <w:lvlText w:val="%5."/>
      <w:lvlJc w:val="left"/>
      <w:pPr>
        <w:ind w:left="4867" w:hanging="360"/>
      </w:pPr>
    </w:lvl>
    <w:lvl w:ilvl="5" w:tplc="0409001B">
      <w:start w:val="1"/>
      <w:numFmt w:val="lowerRoman"/>
      <w:lvlText w:val="%6."/>
      <w:lvlJc w:val="right"/>
      <w:pPr>
        <w:ind w:left="5587" w:hanging="180"/>
      </w:pPr>
    </w:lvl>
    <w:lvl w:ilvl="6" w:tplc="0409000F">
      <w:start w:val="1"/>
      <w:numFmt w:val="decimal"/>
      <w:lvlText w:val="%7."/>
      <w:lvlJc w:val="left"/>
      <w:pPr>
        <w:ind w:left="6307" w:hanging="360"/>
      </w:pPr>
    </w:lvl>
    <w:lvl w:ilvl="7" w:tplc="04090019">
      <w:start w:val="1"/>
      <w:numFmt w:val="lowerLetter"/>
      <w:lvlText w:val="%8."/>
      <w:lvlJc w:val="left"/>
      <w:pPr>
        <w:ind w:left="7027" w:hanging="360"/>
      </w:pPr>
    </w:lvl>
    <w:lvl w:ilvl="8" w:tplc="0409001B">
      <w:start w:val="1"/>
      <w:numFmt w:val="lowerRoman"/>
      <w:lvlText w:val="%9."/>
      <w:lvlJc w:val="right"/>
      <w:pPr>
        <w:ind w:left="7747" w:hanging="180"/>
      </w:pPr>
    </w:lvl>
  </w:abstractNum>
  <w:abstractNum w:abstractNumId="13" w15:restartNumberingAfterBreak="0">
    <w:nsid w:val="35B055A2"/>
    <w:multiLevelType w:val="hybridMultilevel"/>
    <w:tmpl w:val="EDE2B910"/>
    <w:lvl w:ilvl="0" w:tplc="463CE5E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9059C9"/>
    <w:multiLevelType w:val="hybridMultilevel"/>
    <w:tmpl w:val="7AA0E95A"/>
    <w:lvl w:ilvl="0" w:tplc="08090001">
      <w:start w:val="1"/>
      <w:numFmt w:val="bullet"/>
      <w:lvlText w:val=""/>
      <w:lvlJc w:val="left"/>
      <w:pPr>
        <w:ind w:left="1987" w:hanging="360"/>
      </w:pPr>
      <w:rPr>
        <w:rFonts w:ascii="Symbol" w:hAnsi="Symbol" w:hint="default"/>
        <w:b w:val="0"/>
      </w:rPr>
    </w:lvl>
    <w:lvl w:ilvl="1" w:tplc="04090001">
      <w:start w:val="1"/>
      <w:numFmt w:val="bullet"/>
      <w:lvlText w:val=""/>
      <w:lvlJc w:val="left"/>
      <w:pPr>
        <w:ind w:left="2707" w:hanging="360"/>
      </w:pPr>
      <w:rPr>
        <w:rFonts w:ascii="Symbol" w:hAnsi="Symbol" w:hint="default"/>
      </w:rPr>
    </w:lvl>
    <w:lvl w:ilvl="2" w:tplc="0409001B">
      <w:start w:val="1"/>
      <w:numFmt w:val="lowerRoman"/>
      <w:lvlText w:val="%3."/>
      <w:lvlJc w:val="right"/>
      <w:pPr>
        <w:ind w:left="3427" w:hanging="180"/>
      </w:pPr>
    </w:lvl>
    <w:lvl w:ilvl="3" w:tplc="0409000F">
      <w:start w:val="1"/>
      <w:numFmt w:val="decimal"/>
      <w:lvlText w:val="%4."/>
      <w:lvlJc w:val="left"/>
      <w:pPr>
        <w:ind w:left="4147" w:hanging="360"/>
      </w:pPr>
    </w:lvl>
    <w:lvl w:ilvl="4" w:tplc="04090019">
      <w:start w:val="1"/>
      <w:numFmt w:val="lowerLetter"/>
      <w:lvlText w:val="%5."/>
      <w:lvlJc w:val="left"/>
      <w:pPr>
        <w:ind w:left="4867" w:hanging="360"/>
      </w:pPr>
    </w:lvl>
    <w:lvl w:ilvl="5" w:tplc="0409001B">
      <w:start w:val="1"/>
      <w:numFmt w:val="lowerRoman"/>
      <w:lvlText w:val="%6."/>
      <w:lvlJc w:val="right"/>
      <w:pPr>
        <w:ind w:left="5587" w:hanging="180"/>
      </w:pPr>
    </w:lvl>
    <w:lvl w:ilvl="6" w:tplc="0409000F">
      <w:start w:val="1"/>
      <w:numFmt w:val="decimal"/>
      <w:lvlText w:val="%7."/>
      <w:lvlJc w:val="left"/>
      <w:pPr>
        <w:ind w:left="6307" w:hanging="360"/>
      </w:pPr>
    </w:lvl>
    <w:lvl w:ilvl="7" w:tplc="04090019">
      <w:start w:val="1"/>
      <w:numFmt w:val="lowerLetter"/>
      <w:lvlText w:val="%8."/>
      <w:lvlJc w:val="left"/>
      <w:pPr>
        <w:ind w:left="7027" w:hanging="360"/>
      </w:pPr>
    </w:lvl>
    <w:lvl w:ilvl="8" w:tplc="0409001B">
      <w:start w:val="1"/>
      <w:numFmt w:val="lowerRoman"/>
      <w:lvlText w:val="%9."/>
      <w:lvlJc w:val="right"/>
      <w:pPr>
        <w:ind w:left="7747" w:hanging="180"/>
      </w:pPr>
    </w:lvl>
  </w:abstractNum>
  <w:abstractNum w:abstractNumId="15"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8B33C63"/>
    <w:multiLevelType w:val="hybridMultilevel"/>
    <w:tmpl w:val="86D03E4A"/>
    <w:lvl w:ilvl="0" w:tplc="D0F6F020">
      <w:start w:val="2"/>
      <w:numFmt w:val="bullet"/>
      <w:lvlText w:val="-"/>
      <w:lvlJc w:val="left"/>
      <w:pPr>
        <w:ind w:left="720" w:hanging="360"/>
      </w:pPr>
      <w:rPr>
        <w:rFonts w:ascii="Times New Roman" w:eastAsia="Times New Roma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712DC2"/>
    <w:multiLevelType w:val="hybridMultilevel"/>
    <w:tmpl w:val="67E4313E"/>
    <w:lvl w:ilvl="0" w:tplc="84263FF2">
      <w:start w:val="1"/>
      <w:numFmt w:val="decimal"/>
      <w:lvlText w:val="%1."/>
      <w:lvlJc w:val="left"/>
      <w:pPr>
        <w:ind w:left="720" w:hanging="360"/>
      </w:pPr>
      <w:rPr>
        <w:rFonts w:ascii="Times New Roman" w:hAnsi="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7F00AA"/>
    <w:multiLevelType w:val="hybridMultilevel"/>
    <w:tmpl w:val="D66A4DB0"/>
    <w:lvl w:ilvl="0" w:tplc="D5687768">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9AF3049"/>
    <w:multiLevelType w:val="hybridMultilevel"/>
    <w:tmpl w:val="9F285E6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1" w15:restartNumberingAfterBreak="0">
    <w:nsid w:val="6AC71C13"/>
    <w:multiLevelType w:val="hybridMultilevel"/>
    <w:tmpl w:val="AE2A2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E953AA"/>
    <w:multiLevelType w:val="hybridMultilevel"/>
    <w:tmpl w:val="8A787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990931"/>
    <w:multiLevelType w:val="hybridMultilevel"/>
    <w:tmpl w:val="C0C27286"/>
    <w:lvl w:ilvl="0" w:tplc="5F08525C">
      <w:start w:val="1"/>
      <w:numFmt w:val="lowerLetter"/>
      <w:lvlText w:val="(%1)"/>
      <w:lvlJc w:val="left"/>
      <w:pPr>
        <w:ind w:left="1224" w:hanging="360"/>
      </w:pPr>
      <w:rPr>
        <w:rFonts w:hint="default"/>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24" w15:restartNumberingAfterBreak="0">
    <w:nsid w:val="78A64E7E"/>
    <w:multiLevelType w:val="hybridMultilevel"/>
    <w:tmpl w:val="D66A4DB0"/>
    <w:lvl w:ilvl="0" w:tplc="D5687768">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5"/>
  </w:num>
  <w:num w:numId="2">
    <w:abstractNumId w:val="18"/>
  </w:num>
  <w:num w:numId="3">
    <w:abstractNumId w:val="13"/>
  </w:num>
  <w:num w:numId="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4"/>
  </w:num>
  <w:num w:numId="7">
    <w:abstractNumId w:val="6"/>
  </w:num>
  <w:num w:numId="8">
    <w:abstractNumId w:val="20"/>
  </w:num>
  <w:num w:numId="9">
    <w:abstractNumId w:val="10"/>
  </w:num>
  <w:num w:numId="10">
    <w:abstractNumId w:val="19"/>
  </w:num>
  <w:num w:numId="11">
    <w:abstractNumId w:val="9"/>
  </w:num>
  <w:num w:numId="12">
    <w:abstractNumId w:val="14"/>
  </w:num>
  <w:num w:numId="13">
    <w:abstractNumId w:val="0"/>
  </w:num>
  <w:num w:numId="14">
    <w:abstractNumId w:val="16"/>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7"/>
  </w:num>
  <w:num w:numId="19">
    <w:abstractNumId w:val="5"/>
  </w:num>
  <w:num w:numId="20">
    <w:abstractNumId w:val="2"/>
  </w:num>
  <w:num w:numId="21">
    <w:abstractNumId w:val="21"/>
  </w:num>
  <w:num w:numId="22">
    <w:abstractNumId w:val="22"/>
  </w:num>
  <w:num w:numId="23">
    <w:abstractNumId w:val="11"/>
  </w:num>
  <w:num w:numId="24">
    <w:abstractNumId w:val="3"/>
  </w:num>
  <w:num w:numId="25">
    <w:abstractNumId w:val="4"/>
  </w:num>
  <w:num w:numId="2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B"/>
    <w:rsid w:val="000010B5"/>
    <w:rsid w:val="000027D2"/>
    <w:rsid w:val="0000347A"/>
    <w:rsid w:val="00004F04"/>
    <w:rsid w:val="00005B73"/>
    <w:rsid w:val="00005E26"/>
    <w:rsid w:val="00007BBB"/>
    <w:rsid w:val="00010423"/>
    <w:rsid w:val="00010C5D"/>
    <w:rsid w:val="00010DD4"/>
    <w:rsid w:val="0001199C"/>
    <w:rsid w:val="00011A5D"/>
    <w:rsid w:val="00012C2D"/>
    <w:rsid w:val="00013719"/>
    <w:rsid w:val="0001415D"/>
    <w:rsid w:val="000143E4"/>
    <w:rsid w:val="00014773"/>
    <w:rsid w:val="0001585A"/>
    <w:rsid w:val="00015EF6"/>
    <w:rsid w:val="00015FDE"/>
    <w:rsid w:val="00016217"/>
    <w:rsid w:val="00016861"/>
    <w:rsid w:val="000170C4"/>
    <w:rsid w:val="0001794A"/>
    <w:rsid w:val="000200CF"/>
    <w:rsid w:val="000205F1"/>
    <w:rsid w:val="000217C7"/>
    <w:rsid w:val="00022047"/>
    <w:rsid w:val="000230A6"/>
    <w:rsid w:val="0002318D"/>
    <w:rsid w:val="0002403A"/>
    <w:rsid w:val="00024F84"/>
    <w:rsid w:val="000250F7"/>
    <w:rsid w:val="00025C1D"/>
    <w:rsid w:val="00025DA9"/>
    <w:rsid w:val="00025F8C"/>
    <w:rsid w:val="00026020"/>
    <w:rsid w:val="000274B9"/>
    <w:rsid w:val="0002758B"/>
    <w:rsid w:val="000276A0"/>
    <w:rsid w:val="00027AC7"/>
    <w:rsid w:val="00027B9A"/>
    <w:rsid w:val="000301CD"/>
    <w:rsid w:val="00032862"/>
    <w:rsid w:val="000330DB"/>
    <w:rsid w:val="0003429F"/>
    <w:rsid w:val="0003562A"/>
    <w:rsid w:val="00036095"/>
    <w:rsid w:val="00036AF4"/>
    <w:rsid w:val="00037E9C"/>
    <w:rsid w:val="00037F97"/>
    <w:rsid w:val="00040D26"/>
    <w:rsid w:val="00040D5F"/>
    <w:rsid w:val="00041C10"/>
    <w:rsid w:val="000424F3"/>
    <w:rsid w:val="00043804"/>
    <w:rsid w:val="000441A1"/>
    <w:rsid w:val="00047F68"/>
    <w:rsid w:val="00050869"/>
    <w:rsid w:val="000511AB"/>
    <w:rsid w:val="000536B2"/>
    <w:rsid w:val="00055E96"/>
    <w:rsid w:val="000561C1"/>
    <w:rsid w:val="00056204"/>
    <w:rsid w:val="00056684"/>
    <w:rsid w:val="000570D1"/>
    <w:rsid w:val="000571A9"/>
    <w:rsid w:val="0005775E"/>
    <w:rsid w:val="00060290"/>
    <w:rsid w:val="00060DC1"/>
    <w:rsid w:val="00062471"/>
    <w:rsid w:val="000624EE"/>
    <w:rsid w:val="0006343D"/>
    <w:rsid w:val="00063E24"/>
    <w:rsid w:val="00063F33"/>
    <w:rsid w:val="000643C7"/>
    <w:rsid w:val="00064785"/>
    <w:rsid w:val="000653E7"/>
    <w:rsid w:val="00067298"/>
    <w:rsid w:val="00072229"/>
    <w:rsid w:val="00073CF1"/>
    <w:rsid w:val="0007405F"/>
    <w:rsid w:val="00074BAE"/>
    <w:rsid w:val="00074BD0"/>
    <w:rsid w:val="00074D9A"/>
    <w:rsid w:val="00074DB9"/>
    <w:rsid w:val="000753C4"/>
    <w:rsid w:val="00075DF0"/>
    <w:rsid w:val="000762CA"/>
    <w:rsid w:val="0008025A"/>
    <w:rsid w:val="000802B1"/>
    <w:rsid w:val="000803A4"/>
    <w:rsid w:val="0008100A"/>
    <w:rsid w:val="0008339E"/>
    <w:rsid w:val="00090AD1"/>
    <w:rsid w:val="00090F4F"/>
    <w:rsid w:val="00090FD2"/>
    <w:rsid w:val="00091476"/>
    <w:rsid w:val="00092879"/>
    <w:rsid w:val="0009398D"/>
    <w:rsid w:val="00094E87"/>
    <w:rsid w:val="000961B7"/>
    <w:rsid w:val="000966A0"/>
    <w:rsid w:val="00097FB2"/>
    <w:rsid w:val="000A02C9"/>
    <w:rsid w:val="000A0DFA"/>
    <w:rsid w:val="000A151D"/>
    <w:rsid w:val="000A1DF2"/>
    <w:rsid w:val="000A24C5"/>
    <w:rsid w:val="000A3A87"/>
    <w:rsid w:val="000A3F7F"/>
    <w:rsid w:val="000A561C"/>
    <w:rsid w:val="000A58AF"/>
    <w:rsid w:val="000A6B8A"/>
    <w:rsid w:val="000A6FB4"/>
    <w:rsid w:val="000A741D"/>
    <w:rsid w:val="000A7D68"/>
    <w:rsid w:val="000B1627"/>
    <w:rsid w:val="000B22D6"/>
    <w:rsid w:val="000B35AD"/>
    <w:rsid w:val="000B3649"/>
    <w:rsid w:val="000B3A13"/>
    <w:rsid w:val="000B4BB2"/>
    <w:rsid w:val="000B6D5C"/>
    <w:rsid w:val="000B72D3"/>
    <w:rsid w:val="000B72F0"/>
    <w:rsid w:val="000B7BA1"/>
    <w:rsid w:val="000C2935"/>
    <w:rsid w:val="000C5002"/>
    <w:rsid w:val="000C563F"/>
    <w:rsid w:val="000C5882"/>
    <w:rsid w:val="000C5BDC"/>
    <w:rsid w:val="000C62D3"/>
    <w:rsid w:val="000C6415"/>
    <w:rsid w:val="000C6EE8"/>
    <w:rsid w:val="000C76B0"/>
    <w:rsid w:val="000C7BBE"/>
    <w:rsid w:val="000D07BC"/>
    <w:rsid w:val="000D0DF9"/>
    <w:rsid w:val="000D1BDD"/>
    <w:rsid w:val="000D2475"/>
    <w:rsid w:val="000D2E8E"/>
    <w:rsid w:val="000D3614"/>
    <w:rsid w:val="000D3ABB"/>
    <w:rsid w:val="000D3CDF"/>
    <w:rsid w:val="000D442C"/>
    <w:rsid w:val="000D4473"/>
    <w:rsid w:val="000D4B07"/>
    <w:rsid w:val="000D4DC4"/>
    <w:rsid w:val="000D4EF4"/>
    <w:rsid w:val="000D514E"/>
    <w:rsid w:val="000D6933"/>
    <w:rsid w:val="000D6FA0"/>
    <w:rsid w:val="000D73AF"/>
    <w:rsid w:val="000D76CC"/>
    <w:rsid w:val="000D79CB"/>
    <w:rsid w:val="000E3032"/>
    <w:rsid w:val="000E39B4"/>
    <w:rsid w:val="000E3E2E"/>
    <w:rsid w:val="000E45CC"/>
    <w:rsid w:val="000E4ACB"/>
    <w:rsid w:val="000E612D"/>
    <w:rsid w:val="000E745A"/>
    <w:rsid w:val="000E7E9E"/>
    <w:rsid w:val="000F0044"/>
    <w:rsid w:val="000F23BA"/>
    <w:rsid w:val="000F2689"/>
    <w:rsid w:val="000F2FA6"/>
    <w:rsid w:val="000F703B"/>
    <w:rsid w:val="000F772C"/>
    <w:rsid w:val="001003E0"/>
    <w:rsid w:val="00100471"/>
    <w:rsid w:val="00102024"/>
    <w:rsid w:val="00103075"/>
    <w:rsid w:val="00104879"/>
    <w:rsid w:val="00104B44"/>
    <w:rsid w:val="0010684C"/>
    <w:rsid w:val="00106A26"/>
    <w:rsid w:val="00106EF8"/>
    <w:rsid w:val="001101A2"/>
    <w:rsid w:val="001108A9"/>
    <w:rsid w:val="00111489"/>
    <w:rsid w:val="001114F6"/>
    <w:rsid w:val="00111797"/>
    <w:rsid w:val="00111B19"/>
    <w:rsid w:val="00112EAD"/>
    <w:rsid w:val="001138F0"/>
    <w:rsid w:val="00114510"/>
    <w:rsid w:val="00114A64"/>
    <w:rsid w:val="00115ECE"/>
    <w:rsid w:val="00115F59"/>
    <w:rsid w:val="00116C1A"/>
    <w:rsid w:val="00120B38"/>
    <w:rsid w:val="00121F3E"/>
    <w:rsid w:val="0012229E"/>
    <w:rsid w:val="00123849"/>
    <w:rsid w:val="00123A5E"/>
    <w:rsid w:val="00123AB0"/>
    <w:rsid w:val="00125010"/>
    <w:rsid w:val="00125266"/>
    <w:rsid w:val="00125B82"/>
    <w:rsid w:val="001268E5"/>
    <w:rsid w:val="001305E6"/>
    <w:rsid w:val="0013144A"/>
    <w:rsid w:val="001314CD"/>
    <w:rsid w:val="0013218C"/>
    <w:rsid w:val="0013239A"/>
    <w:rsid w:val="0013503C"/>
    <w:rsid w:val="00135F99"/>
    <w:rsid w:val="0013761A"/>
    <w:rsid w:val="0013784A"/>
    <w:rsid w:val="00137FC3"/>
    <w:rsid w:val="0014078B"/>
    <w:rsid w:val="00141454"/>
    <w:rsid w:val="0014300C"/>
    <w:rsid w:val="001434F0"/>
    <w:rsid w:val="00143CF3"/>
    <w:rsid w:val="0014423A"/>
    <w:rsid w:val="00144297"/>
    <w:rsid w:val="001451CB"/>
    <w:rsid w:val="00145A0F"/>
    <w:rsid w:val="0014601F"/>
    <w:rsid w:val="001463CE"/>
    <w:rsid w:val="001464FC"/>
    <w:rsid w:val="00147042"/>
    <w:rsid w:val="001471A7"/>
    <w:rsid w:val="00150548"/>
    <w:rsid w:val="001506F6"/>
    <w:rsid w:val="00152B5B"/>
    <w:rsid w:val="00154032"/>
    <w:rsid w:val="0015415B"/>
    <w:rsid w:val="00154283"/>
    <w:rsid w:val="001547D3"/>
    <w:rsid w:val="00154E96"/>
    <w:rsid w:val="001559BD"/>
    <w:rsid w:val="00155D24"/>
    <w:rsid w:val="00157F79"/>
    <w:rsid w:val="00163E84"/>
    <w:rsid w:val="00164FD8"/>
    <w:rsid w:val="00165242"/>
    <w:rsid w:val="0016583A"/>
    <w:rsid w:val="00165853"/>
    <w:rsid w:val="001668AA"/>
    <w:rsid w:val="001668CC"/>
    <w:rsid w:val="001675B1"/>
    <w:rsid w:val="0016789D"/>
    <w:rsid w:val="00167C87"/>
    <w:rsid w:val="0017017D"/>
    <w:rsid w:val="0017208F"/>
    <w:rsid w:val="00172EE3"/>
    <w:rsid w:val="001730F2"/>
    <w:rsid w:val="00174969"/>
    <w:rsid w:val="00174EB1"/>
    <w:rsid w:val="00176199"/>
    <w:rsid w:val="00177E7E"/>
    <w:rsid w:val="00180505"/>
    <w:rsid w:val="0018356F"/>
    <w:rsid w:val="00184537"/>
    <w:rsid w:val="00185751"/>
    <w:rsid w:val="001876C5"/>
    <w:rsid w:val="00187D68"/>
    <w:rsid w:val="00187E8F"/>
    <w:rsid w:val="00190155"/>
    <w:rsid w:val="0019048D"/>
    <w:rsid w:val="001906B5"/>
    <w:rsid w:val="0019123F"/>
    <w:rsid w:val="001920BD"/>
    <w:rsid w:val="00192288"/>
    <w:rsid w:val="0019235B"/>
    <w:rsid w:val="001926DC"/>
    <w:rsid w:val="001929BC"/>
    <w:rsid w:val="00192FD1"/>
    <w:rsid w:val="00193D39"/>
    <w:rsid w:val="00193E7C"/>
    <w:rsid w:val="00194163"/>
    <w:rsid w:val="00194FEB"/>
    <w:rsid w:val="001951C1"/>
    <w:rsid w:val="0019554E"/>
    <w:rsid w:val="00195807"/>
    <w:rsid w:val="001970A4"/>
    <w:rsid w:val="00197AD1"/>
    <w:rsid w:val="00197C4D"/>
    <w:rsid w:val="001A0D11"/>
    <w:rsid w:val="001A2029"/>
    <w:rsid w:val="001A24C9"/>
    <w:rsid w:val="001A2B81"/>
    <w:rsid w:val="001A35B8"/>
    <w:rsid w:val="001A3A47"/>
    <w:rsid w:val="001A4C9D"/>
    <w:rsid w:val="001A59F7"/>
    <w:rsid w:val="001A7D75"/>
    <w:rsid w:val="001B0020"/>
    <w:rsid w:val="001B0D67"/>
    <w:rsid w:val="001B2003"/>
    <w:rsid w:val="001B3F20"/>
    <w:rsid w:val="001B3F87"/>
    <w:rsid w:val="001B4026"/>
    <w:rsid w:val="001B41AD"/>
    <w:rsid w:val="001B444A"/>
    <w:rsid w:val="001B4A23"/>
    <w:rsid w:val="001B598C"/>
    <w:rsid w:val="001B76A6"/>
    <w:rsid w:val="001C006F"/>
    <w:rsid w:val="001C07F8"/>
    <w:rsid w:val="001C2F3C"/>
    <w:rsid w:val="001C2F59"/>
    <w:rsid w:val="001C3209"/>
    <w:rsid w:val="001C45A9"/>
    <w:rsid w:val="001C4B1C"/>
    <w:rsid w:val="001C4EFC"/>
    <w:rsid w:val="001C666C"/>
    <w:rsid w:val="001C66ED"/>
    <w:rsid w:val="001C6766"/>
    <w:rsid w:val="001C6C08"/>
    <w:rsid w:val="001C757C"/>
    <w:rsid w:val="001D2056"/>
    <w:rsid w:val="001D42D1"/>
    <w:rsid w:val="001D56D7"/>
    <w:rsid w:val="001D6066"/>
    <w:rsid w:val="001D64E5"/>
    <w:rsid w:val="001D6EB8"/>
    <w:rsid w:val="001E03BC"/>
    <w:rsid w:val="001E05EC"/>
    <w:rsid w:val="001E19D7"/>
    <w:rsid w:val="001E263E"/>
    <w:rsid w:val="001E2A88"/>
    <w:rsid w:val="001E3664"/>
    <w:rsid w:val="001E38F5"/>
    <w:rsid w:val="001E4809"/>
    <w:rsid w:val="001E4F4F"/>
    <w:rsid w:val="001E50BD"/>
    <w:rsid w:val="001E6342"/>
    <w:rsid w:val="001E6DAB"/>
    <w:rsid w:val="001F00A0"/>
    <w:rsid w:val="001F0918"/>
    <w:rsid w:val="001F103C"/>
    <w:rsid w:val="001F106D"/>
    <w:rsid w:val="001F12C9"/>
    <w:rsid w:val="001F1F2C"/>
    <w:rsid w:val="001F27F4"/>
    <w:rsid w:val="001F3203"/>
    <w:rsid w:val="001F3B1D"/>
    <w:rsid w:val="001F3DC0"/>
    <w:rsid w:val="001F4C5A"/>
    <w:rsid w:val="001F57A2"/>
    <w:rsid w:val="001F621B"/>
    <w:rsid w:val="001F634D"/>
    <w:rsid w:val="001F6425"/>
    <w:rsid w:val="001F6772"/>
    <w:rsid w:val="001F7300"/>
    <w:rsid w:val="001F7421"/>
    <w:rsid w:val="001F78DF"/>
    <w:rsid w:val="00200195"/>
    <w:rsid w:val="00200AE1"/>
    <w:rsid w:val="00200B5F"/>
    <w:rsid w:val="00201EEF"/>
    <w:rsid w:val="002028AD"/>
    <w:rsid w:val="002047C8"/>
    <w:rsid w:val="002052B3"/>
    <w:rsid w:val="002058F9"/>
    <w:rsid w:val="00205BE3"/>
    <w:rsid w:val="0020619E"/>
    <w:rsid w:val="00206FD5"/>
    <w:rsid w:val="00207152"/>
    <w:rsid w:val="00210AFF"/>
    <w:rsid w:val="00211EAA"/>
    <w:rsid w:val="00212B1F"/>
    <w:rsid w:val="00212B6D"/>
    <w:rsid w:val="00212F8A"/>
    <w:rsid w:val="00213D7C"/>
    <w:rsid w:val="00213FFE"/>
    <w:rsid w:val="00214513"/>
    <w:rsid w:val="0021505D"/>
    <w:rsid w:val="002155B7"/>
    <w:rsid w:val="00215AD6"/>
    <w:rsid w:val="00216992"/>
    <w:rsid w:val="00217124"/>
    <w:rsid w:val="0021766A"/>
    <w:rsid w:val="00220395"/>
    <w:rsid w:val="00221B05"/>
    <w:rsid w:val="002221B6"/>
    <w:rsid w:val="002225D3"/>
    <w:rsid w:val="00222A35"/>
    <w:rsid w:val="00222C44"/>
    <w:rsid w:val="00222FA9"/>
    <w:rsid w:val="0022301D"/>
    <w:rsid w:val="0022458B"/>
    <w:rsid w:val="00224B2C"/>
    <w:rsid w:val="00227E55"/>
    <w:rsid w:val="00230860"/>
    <w:rsid w:val="00232AA0"/>
    <w:rsid w:val="00234153"/>
    <w:rsid w:val="00234CDF"/>
    <w:rsid w:val="00236B91"/>
    <w:rsid w:val="002370E1"/>
    <w:rsid w:val="00237448"/>
    <w:rsid w:val="002424C0"/>
    <w:rsid w:val="00242CAA"/>
    <w:rsid w:val="002438F1"/>
    <w:rsid w:val="002439EB"/>
    <w:rsid w:val="002441EB"/>
    <w:rsid w:val="002447A2"/>
    <w:rsid w:val="00244FEA"/>
    <w:rsid w:val="00245054"/>
    <w:rsid w:val="00245D74"/>
    <w:rsid w:val="00246ABC"/>
    <w:rsid w:val="00246B4E"/>
    <w:rsid w:val="00246DDF"/>
    <w:rsid w:val="0025059E"/>
    <w:rsid w:val="00251574"/>
    <w:rsid w:val="00251A1A"/>
    <w:rsid w:val="00252FFF"/>
    <w:rsid w:val="0025369A"/>
    <w:rsid w:val="002538D6"/>
    <w:rsid w:val="00253F9D"/>
    <w:rsid w:val="00254203"/>
    <w:rsid w:val="002563B7"/>
    <w:rsid w:val="00256500"/>
    <w:rsid w:val="002573CC"/>
    <w:rsid w:val="0025790B"/>
    <w:rsid w:val="00257D72"/>
    <w:rsid w:val="0026053F"/>
    <w:rsid w:val="00260E75"/>
    <w:rsid w:val="00260FAA"/>
    <w:rsid w:val="00261D82"/>
    <w:rsid w:val="00262338"/>
    <w:rsid w:val="00263547"/>
    <w:rsid w:val="002636FA"/>
    <w:rsid w:val="00263938"/>
    <w:rsid w:val="00263C58"/>
    <w:rsid w:val="00263F2A"/>
    <w:rsid w:val="002646D7"/>
    <w:rsid w:val="0026606B"/>
    <w:rsid w:val="002668D4"/>
    <w:rsid w:val="002669ED"/>
    <w:rsid w:val="002671D7"/>
    <w:rsid w:val="002677F7"/>
    <w:rsid w:val="0027019E"/>
    <w:rsid w:val="002706B4"/>
    <w:rsid w:val="00270FDC"/>
    <w:rsid w:val="0027234E"/>
    <w:rsid w:val="0027259C"/>
    <w:rsid w:val="0027292C"/>
    <w:rsid w:val="00273543"/>
    <w:rsid w:val="002744CC"/>
    <w:rsid w:val="00274C82"/>
    <w:rsid w:val="0027654D"/>
    <w:rsid w:val="00276713"/>
    <w:rsid w:val="00276E51"/>
    <w:rsid w:val="002810DF"/>
    <w:rsid w:val="002812AB"/>
    <w:rsid w:val="00281496"/>
    <w:rsid w:val="002816D8"/>
    <w:rsid w:val="00281FD9"/>
    <w:rsid w:val="00282256"/>
    <w:rsid w:val="002822BB"/>
    <w:rsid w:val="002827BF"/>
    <w:rsid w:val="002827EA"/>
    <w:rsid w:val="00282A8C"/>
    <w:rsid w:val="00282FFF"/>
    <w:rsid w:val="00283628"/>
    <w:rsid w:val="002854EE"/>
    <w:rsid w:val="0028565C"/>
    <w:rsid w:val="00286164"/>
    <w:rsid w:val="002875DE"/>
    <w:rsid w:val="00287E07"/>
    <w:rsid w:val="00290C98"/>
    <w:rsid w:val="00290EB3"/>
    <w:rsid w:val="00291331"/>
    <w:rsid w:val="00291A81"/>
    <w:rsid w:val="00292846"/>
    <w:rsid w:val="00292A90"/>
    <w:rsid w:val="00293015"/>
    <w:rsid w:val="002931FD"/>
    <w:rsid w:val="00293261"/>
    <w:rsid w:val="00294B09"/>
    <w:rsid w:val="00294DB7"/>
    <w:rsid w:val="002968C7"/>
    <w:rsid w:val="002971D6"/>
    <w:rsid w:val="00297227"/>
    <w:rsid w:val="00297608"/>
    <w:rsid w:val="002A0D56"/>
    <w:rsid w:val="002A2F08"/>
    <w:rsid w:val="002A302E"/>
    <w:rsid w:val="002A3641"/>
    <w:rsid w:val="002A376E"/>
    <w:rsid w:val="002A3911"/>
    <w:rsid w:val="002A495F"/>
    <w:rsid w:val="002A5795"/>
    <w:rsid w:val="002A623A"/>
    <w:rsid w:val="002A706F"/>
    <w:rsid w:val="002A70EA"/>
    <w:rsid w:val="002A7363"/>
    <w:rsid w:val="002A7F43"/>
    <w:rsid w:val="002B02DF"/>
    <w:rsid w:val="002B17A4"/>
    <w:rsid w:val="002B2431"/>
    <w:rsid w:val="002B2FEF"/>
    <w:rsid w:val="002B365E"/>
    <w:rsid w:val="002B489A"/>
    <w:rsid w:val="002B4BD4"/>
    <w:rsid w:val="002B5D1C"/>
    <w:rsid w:val="002B6245"/>
    <w:rsid w:val="002B6341"/>
    <w:rsid w:val="002B7079"/>
    <w:rsid w:val="002C0526"/>
    <w:rsid w:val="002C08D8"/>
    <w:rsid w:val="002C27A8"/>
    <w:rsid w:val="002C2F8A"/>
    <w:rsid w:val="002C3086"/>
    <w:rsid w:val="002C31D7"/>
    <w:rsid w:val="002C333E"/>
    <w:rsid w:val="002C36C8"/>
    <w:rsid w:val="002C3FDF"/>
    <w:rsid w:val="002C51A0"/>
    <w:rsid w:val="002C57F7"/>
    <w:rsid w:val="002C6504"/>
    <w:rsid w:val="002C6F5F"/>
    <w:rsid w:val="002D0584"/>
    <w:rsid w:val="002D1C12"/>
    <w:rsid w:val="002D2048"/>
    <w:rsid w:val="002D2E2A"/>
    <w:rsid w:val="002D302D"/>
    <w:rsid w:val="002D5064"/>
    <w:rsid w:val="002D51FD"/>
    <w:rsid w:val="002D5295"/>
    <w:rsid w:val="002D529F"/>
    <w:rsid w:val="002D52BF"/>
    <w:rsid w:val="002D68FA"/>
    <w:rsid w:val="002D70CA"/>
    <w:rsid w:val="002D7ECA"/>
    <w:rsid w:val="002E0141"/>
    <w:rsid w:val="002E0B5D"/>
    <w:rsid w:val="002E1495"/>
    <w:rsid w:val="002E1DEA"/>
    <w:rsid w:val="002E2900"/>
    <w:rsid w:val="002E2A61"/>
    <w:rsid w:val="002E3C0D"/>
    <w:rsid w:val="002E43EC"/>
    <w:rsid w:val="002E5B3C"/>
    <w:rsid w:val="002E6B2C"/>
    <w:rsid w:val="002E79BE"/>
    <w:rsid w:val="002E7A79"/>
    <w:rsid w:val="002E7A7A"/>
    <w:rsid w:val="002F05E5"/>
    <w:rsid w:val="002F1D8B"/>
    <w:rsid w:val="002F216A"/>
    <w:rsid w:val="002F2C6E"/>
    <w:rsid w:val="002F3C88"/>
    <w:rsid w:val="002F4067"/>
    <w:rsid w:val="002F512A"/>
    <w:rsid w:val="002F647E"/>
    <w:rsid w:val="002F70CA"/>
    <w:rsid w:val="002F7339"/>
    <w:rsid w:val="002F7461"/>
    <w:rsid w:val="00300EF2"/>
    <w:rsid w:val="003025E2"/>
    <w:rsid w:val="00303041"/>
    <w:rsid w:val="0030335B"/>
    <w:rsid w:val="003042C4"/>
    <w:rsid w:val="003045EF"/>
    <w:rsid w:val="00304790"/>
    <w:rsid w:val="003059A5"/>
    <w:rsid w:val="00306771"/>
    <w:rsid w:val="00306D24"/>
    <w:rsid w:val="00307712"/>
    <w:rsid w:val="00310429"/>
    <w:rsid w:val="00310B96"/>
    <w:rsid w:val="00311D82"/>
    <w:rsid w:val="00311E44"/>
    <w:rsid w:val="0031228A"/>
    <w:rsid w:val="0031404A"/>
    <w:rsid w:val="00314B7C"/>
    <w:rsid w:val="00314E49"/>
    <w:rsid w:val="00315445"/>
    <w:rsid w:val="00317183"/>
    <w:rsid w:val="003204AE"/>
    <w:rsid w:val="003208EF"/>
    <w:rsid w:val="00321858"/>
    <w:rsid w:val="00322392"/>
    <w:rsid w:val="00323488"/>
    <w:rsid w:val="00324846"/>
    <w:rsid w:val="00324ABD"/>
    <w:rsid w:val="00324D9B"/>
    <w:rsid w:val="00325403"/>
    <w:rsid w:val="0032560A"/>
    <w:rsid w:val="00325C30"/>
    <w:rsid w:val="00326301"/>
    <w:rsid w:val="003272A6"/>
    <w:rsid w:val="003273CB"/>
    <w:rsid w:val="0033125E"/>
    <w:rsid w:val="003321F4"/>
    <w:rsid w:val="00335171"/>
    <w:rsid w:val="00336913"/>
    <w:rsid w:val="00336C7E"/>
    <w:rsid w:val="0033718C"/>
    <w:rsid w:val="00337407"/>
    <w:rsid w:val="003404EE"/>
    <w:rsid w:val="00340E02"/>
    <w:rsid w:val="00340E35"/>
    <w:rsid w:val="003424A4"/>
    <w:rsid w:val="00342A07"/>
    <w:rsid w:val="00343E6E"/>
    <w:rsid w:val="003443D9"/>
    <w:rsid w:val="003447E4"/>
    <w:rsid w:val="003450C8"/>
    <w:rsid w:val="00345B75"/>
    <w:rsid w:val="0034782B"/>
    <w:rsid w:val="00347854"/>
    <w:rsid w:val="00350231"/>
    <w:rsid w:val="003514C5"/>
    <w:rsid w:val="00351E5C"/>
    <w:rsid w:val="00352EEE"/>
    <w:rsid w:val="003548FD"/>
    <w:rsid w:val="0035580F"/>
    <w:rsid w:val="00355BD5"/>
    <w:rsid w:val="00355CE2"/>
    <w:rsid w:val="00356AFF"/>
    <w:rsid w:val="003573E2"/>
    <w:rsid w:val="00357CB4"/>
    <w:rsid w:val="003604EE"/>
    <w:rsid w:val="00361B3C"/>
    <w:rsid w:val="003621B2"/>
    <w:rsid w:val="0036286B"/>
    <w:rsid w:val="00363371"/>
    <w:rsid w:val="00363940"/>
    <w:rsid w:val="00364989"/>
    <w:rsid w:val="003664C0"/>
    <w:rsid w:val="00366FFF"/>
    <w:rsid w:val="00367364"/>
    <w:rsid w:val="003677DE"/>
    <w:rsid w:val="003679DD"/>
    <w:rsid w:val="00367E04"/>
    <w:rsid w:val="0037049C"/>
    <w:rsid w:val="003717CF"/>
    <w:rsid w:val="00373D24"/>
    <w:rsid w:val="00375BEB"/>
    <w:rsid w:val="003761F2"/>
    <w:rsid w:val="00376A05"/>
    <w:rsid w:val="00377189"/>
    <w:rsid w:val="003774FE"/>
    <w:rsid w:val="003802A2"/>
    <w:rsid w:val="003820A8"/>
    <w:rsid w:val="003838DB"/>
    <w:rsid w:val="0038455D"/>
    <w:rsid w:val="003845D8"/>
    <w:rsid w:val="00384F30"/>
    <w:rsid w:val="00385CBC"/>
    <w:rsid w:val="00386B9B"/>
    <w:rsid w:val="00387FA5"/>
    <w:rsid w:val="00390E30"/>
    <w:rsid w:val="00391803"/>
    <w:rsid w:val="00392A07"/>
    <w:rsid w:val="00393ABE"/>
    <w:rsid w:val="0039458D"/>
    <w:rsid w:val="00394D61"/>
    <w:rsid w:val="00395C31"/>
    <w:rsid w:val="003A1F5A"/>
    <w:rsid w:val="003A2A6E"/>
    <w:rsid w:val="003A2ECE"/>
    <w:rsid w:val="003A4252"/>
    <w:rsid w:val="003A4C9E"/>
    <w:rsid w:val="003A539A"/>
    <w:rsid w:val="003A6132"/>
    <w:rsid w:val="003A62A4"/>
    <w:rsid w:val="003A6529"/>
    <w:rsid w:val="003A6E29"/>
    <w:rsid w:val="003A725C"/>
    <w:rsid w:val="003A7476"/>
    <w:rsid w:val="003A7D86"/>
    <w:rsid w:val="003A7F2A"/>
    <w:rsid w:val="003B0AA1"/>
    <w:rsid w:val="003B0CC3"/>
    <w:rsid w:val="003B0DA6"/>
    <w:rsid w:val="003B1DDD"/>
    <w:rsid w:val="003B20F2"/>
    <w:rsid w:val="003B243D"/>
    <w:rsid w:val="003B304F"/>
    <w:rsid w:val="003B3728"/>
    <w:rsid w:val="003B3856"/>
    <w:rsid w:val="003B4440"/>
    <w:rsid w:val="003B46FA"/>
    <w:rsid w:val="003B4A6C"/>
    <w:rsid w:val="003B5D18"/>
    <w:rsid w:val="003B645E"/>
    <w:rsid w:val="003B67CD"/>
    <w:rsid w:val="003B709E"/>
    <w:rsid w:val="003B795D"/>
    <w:rsid w:val="003B7A4D"/>
    <w:rsid w:val="003B7B9A"/>
    <w:rsid w:val="003B7EB7"/>
    <w:rsid w:val="003C14C4"/>
    <w:rsid w:val="003C26A6"/>
    <w:rsid w:val="003C26C1"/>
    <w:rsid w:val="003C40DA"/>
    <w:rsid w:val="003C591C"/>
    <w:rsid w:val="003C5C11"/>
    <w:rsid w:val="003C6545"/>
    <w:rsid w:val="003C6A5A"/>
    <w:rsid w:val="003C6AAD"/>
    <w:rsid w:val="003D0586"/>
    <w:rsid w:val="003D1D4D"/>
    <w:rsid w:val="003D37DD"/>
    <w:rsid w:val="003D45DF"/>
    <w:rsid w:val="003D47C6"/>
    <w:rsid w:val="003D5861"/>
    <w:rsid w:val="003D69FB"/>
    <w:rsid w:val="003D6D54"/>
    <w:rsid w:val="003D7177"/>
    <w:rsid w:val="003D7E38"/>
    <w:rsid w:val="003D7EAC"/>
    <w:rsid w:val="003D7ED1"/>
    <w:rsid w:val="003E0B88"/>
    <w:rsid w:val="003E0FC2"/>
    <w:rsid w:val="003E2594"/>
    <w:rsid w:val="003E379A"/>
    <w:rsid w:val="003E392C"/>
    <w:rsid w:val="003E52B0"/>
    <w:rsid w:val="003E64DC"/>
    <w:rsid w:val="003E7A43"/>
    <w:rsid w:val="003F0B58"/>
    <w:rsid w:val="003F0D40"/>
    <w:rsid w:val="003F1E03"/>
    <w:rsid w:val="003F2236"/>
    <w:rsid w:val="003F27B7"/>
    <w:rsid w:val="003F3CE7"/>
    <w:rsid w:val="003F4051"/>
    <w:rsid w:val="003F4125"/>
    <w:rsid w:val="003F5812"/>
    <w:rsid w:val="003F697E"/>
    <w:rsid w:val="00400CBA"/>
    <w:rsid w:val="00400E4A"/>
    <w:rsid w:val="004023B9"/>
    <w:rsid w:val="00402E9A"/>
    <w:rsid w:val="00403FA8"/>
    <w:rsid w:val="00404040"/>
    <w:rsid w:val="00404213"/>
    <w:rsid w:val="004048AC"/>
    <w:rsid w:val="00404B8E"/>
    <w:rsid w:val="00405288"/>
    <w:rsid w:val="004057BD"/>
    <w:rsid w:val="004068C2"/>
    <w:rsid w:val="00410F3D"/>
    <w:rsid w:val="004125C0"/>
    <w:rsid w:val="0041296F"/>
    <w:rsid w:val="004131C3"/>
    <w:rsid w:val="00413662"/>
    <w:rsid w:val="0041515D"/>
    <w:rsid w:val="0041521B"/>
    <w:rsid w:val="00415E7F"/>
    <w:rsid w:val="00417284"/>
    <w:rsid w:val="00420288"/>
    <w:rsid w:val="00420CAD"/>
    <w:rsid w:val="00420FCC"/>
    <w:rsid w:val="00421C78"/>
    <w:rsid w:val="004224CE"/>
    <w:rsid w:val="004226B6"/>
    <w:rsid w:val="004240D0"/>
    <w:rsid w:val="00424A78"/>
    <w:rsid w:val="004254DB"/>
    <w:rsid w:val="00427EEA"/>
    <w:rsid w:val="00430988"/>
    <w:rsid w:val="00431836"/>
    <w:rsid w:val="004321E6"/>
    <w:rsid w:val="0043278E"/>
    <w:rsid w:val="0043384D"/>
    <w:rsid w:val="004341BA"/>
    <w:rsid w:val="004341E6"/>
    <w:rsid w:val="004353A4"/>
    <w:rsid w:val="00435830"/>
    <w:rsid w:val="004360AC"/>
    <w:rsid w:val="00436B83"/>
    <w:rsid w:val="00441061"/>
    <w:rsid w:val="00441CA7"/>
    <w:rsid w:val="00444046"/>
    <w:rsid w:val="004447A3"/>
    <w:rsid w:val="004461AD"/>
    <w:rsid w:val="004461E1"/>
    <w:rsid w:val="004473B7"/>
    <w:rsid w:val="0045027A"/>
    <w:rsid w:val="00450C70"/>
    <w:rsid w:val="004513C1"/>
    <w:rsid w:val="004526E9"/>
    <w:rsid w:val="004530E4"/>
    <w:rsid w:val="004532FB"/>
    <w:rsid w:val="00453344"/>
    <w:rsid w:val="00453878"/>
    <w:rsid w:val="00453B11"/>
    <w:rsid w:val="00453EC7"/>
    <w:rsid w:val="00454170"/>
    <w:rsid w:val="00454E76"/>
    <w:rsid w:val="00457080"/>
    <w:rsid w:val="00460891"/>
    <w:rsid w:val="00460B9E"/>
    <w:rsid w:val="00460D77"/>
    <w:rsid w:val="0046175C"/>
    <w:rsid w:val="00461D43"/>
    <w:rsid w:val="0046323D"/>
    <w:rsid w:val="0046452E"/>
    <w:rsid w:val="004648AF"/>
    <w:rsid w:val="00464FB2"/>
    <w:rsid w:val="004650EF"/>
    <w:rsid w:val="004665F2"/>
    <w:rsid w:val="0046745E"/>
    <w:rsid w:val="00467B89"/>
    <w:rsid w:val="00470A61"/>
    <w:rsid w:val="00470CBC"/>
    <w:rsid w:val="004736BE"/>
    <w:rsid w:val="004737CA"/>
    <w:rsid w:val="0047530E"/>
    <w:rsid w:val="0047556D"/>
    <w:rsid w:val="00475789"/>
    <w:rsid w:val="00475BC7"/>
    <w:rsid w:val="00476170"/>
    <w:rsid w:val="004773C0"/>
    <w:rsid w:val="00477D40"/>
    <w:rsid w:val="00481E0E"/>
    <w:rsid w:val="004820B0"/>
    <w:rsid w:val="00482E2F"/>
    <w:rsid w:val="00485259"/>
    <w:rsid w:val="004856DA"/>
    <w:rsid w:val="004859B4"/>
    <w:rsid w:val="00486000"/>
    <w:rsid w:val="00486ACD"/>
    <w:rsid w:val="004907D0"/>
    <w:rsid w:val="004917C2"/>
    <w:rsid w:val="0049262B"/>
    <w:rsid w:val="00492C65"/>
    <w:rsid w:val="0049403F"/>
    <w:rsid w:val="00494323"/>
    <w:rsid w:val="00494349"/>
    <w:rsid w:val="00494485"/>
    <w:rsid w:val="00494635"/>
    <w:rsid w:val="00494F61"/>
    <w:rsid w:val="004958A1"/>
    <w:rsid w:val="004958C0"/>
    <w:rsid w:val="004960D5"/>
    <w:rsid w:val="00496FBF"/>
    <w:rsid w:val="004A0360"/>
    <w:rsid w:val="004A08FD"/>
    <w:rsid w:val="004A0F27"/>
    <w:rsid w:val="004A0F37"/>
    <w:rsid w:val="004A0F68"/>
    <w:rsid w:val="004A16AB"/>
    <w:rsid w:val="004A1FBE"/>
    <w:rsid w:val="004A2F03"/>
    <w:rsid w:val="004A3608"/>
    <w:rsid w:val="004A3D05"/>
    <w:rsid w:val="004A4FBD"/>
    <w:rsid w:val="004A5E6D"/>
    <w:rsid w:val="004A7810"/>
    <w:rsid w:val="004A7E93"/>
    <w:rsid w:val="004B2EBA"/>
    <w:rsid w:val="004B3670"/>
    <w:rsid w:val="004B3CFB"/>
    <w:rsid w:val="004B3FB8"/>
    <w:rsid w:val="004B4309"/>
    <w:rsid w:val="004B5643"/>
    <w:rsid w:val="004B57F2"/>
    <w:rsid w:val="004B58AC"/>
    <w:rsid w:val="004B5D6B"/>
    <w:rsid w:val="004B76F8"/>
    <w:rsid w:val="004C0360"/>
    <w:rsid w:val="004C0989"/>
    <w:rsid w:val="004C0C1A"/>
    <w:rsid w:val="004C1D0B"/>
    <w:rsid w:val="004C1FA6"/>
    <w:rsid w:val="004C5CFD"/>
    <w:rsid w:val="004C66A1"/>
    <w:rsid w:val="004D1069"/>
    <w:rsid w:val="004D12C0"/>
    <w:rsid w:val="004D17C8"/>
    <w:rsid w:val="004D3713"/>
    <w:rsid w:val="004D4195"/>
    <w:rsid w:val="004D5E77"/>
    <w:rsid w:val="004D691D"/>
    <w:rsid w:val="004D698C"/>
    <w:rsid w:val="004D7E99"/>
    <w:rsid w:val="004E058D"/>
    <w:rsid w:val="004E12ED"/>
    <w:rsid w:val="004E13DB"/>
    <w:rsid w:val="004E1F45"/>
    <w:rsid w:val="004E2088"/>
    <w:rsid w:val="004E2BDB"/>
    <w:rsid w:val="004E2C4E"/>
    <w:rsid w:val="004E40C4"/>
    <w:rsid w:val="004E7BE9"/>
    <w:rsid w:val="004F1438"/>
    <w:rsid w:val="004F19FB"/>
    <w:rsid w:val="004F24CB"/>
    <w:rsid w:val="004F2600"/>
    <w:rsid w:val="004F3DCF"/>
    <w:rsid w:val="004F50AF"/>
    <w:rsid w:val="004F58BF"/>
    <w:rsid w:val="004F6442"/>
    <w:rsid w:val="004F65C5"/>
    <w:rsid w:val="004F681D"/>
    <w:rsid w:val="004F6B37"/>
    <w:rsid w:val="004F759D"/>
    <w:rsid w:val="005009B0"/>
    <w:rsid w:val="00502857"/>
    <w:rsid w:val="0050286D"/>
    <w:rsid w:val="005030D8"/>
    <w:rsid w:val="00503DE7"/>
    <w:rsid w:val="005044A9"/>
    <w:rsid w:val="005044AD"/>
    <w:rsid w:val="00504E60"/>
    <w:rsid w:val="00505994"/>
    <w:rsid w:val="00505FD4"/>
    <w:rsid w:val="00506E25"/>
    <w:rsid w:val="005100D2"/>
    <w:rsid w:val="0051074E"/>
    <w:rsid w:val="00510FA3"/>
    <w:rsid w:val="0051132C"/>
    <w:rsid w:val="00511DFC"/>
    <w:rsid w:val="00512DD4"/>
    <w:rsid w:val="005131D4"/>
    <w:rsid w:val="00513483"/>
    <w:rsid w:val="00513B24"/>
    <w:rsid w:val="00514388"/>
    <w:rsid w:val="00514A55"/>
    <w:rsid w:val="00514CD1"/>
    <w:rsid w:val="00514EF5"/>
    <w:rsid w:val="005162A5"/>
    <w:rsid w:val="005163D4"/>
    <w:rsid w:val="00516E37"/>
    <w:rsid w:val="0051782D"/>
    <w:rsid w:val="0052087E"/>
    <w:rsid w:val="0052315E"/>
    <w:rsid w:val="00526208"/>
    <w:rsid w:val="0052665F"/>
    <w:rsid w:val="00527B95"/>
    <w:rsid w:val="00530B94"/>
    <w:rsid w:val="00530ED3"/>
    <w:rsid w:val="00531CF1"/>
    <w:rsid w:val="005331D8"/>
    <w:rsid w:val="0053438E"/>
    <w:rsid w:val="005355EE"/>
    <w:rsid w:val="00535B16"/>
    <w:rsid w:val="005366D0"/>
    <w:rsid w:val="00537E27"/>
    <w:rsid w:val="005401B9"/>
    <w:rsid w:val="00540B4D"/>
    <w:rsid w:val="00540FFA"/>
    <w:rsid w:val="00542930"/>
    <w:rsid w:val="00543417"/>
    <w:rsid w:val="005435B3"/>
    <w:rsid w:val="00543AAE"/>
    <w:rsid w:val="00544EC4"/>
    <w:rsid w:val="00544F00"/>
    <w:rsid w:val="005450E9"/>
    <w:rsid w:val="0054609A"/>
    <w:rsid w:val="005460B3"/>
    <w:rsid w:val="005476C3"/>
    <w:rsid w:val="00547C06"/>
    <w:rsid w:val="00550678"/>
    <w:rsid w:val="00550849"/>
    <w:rsid w:val="00551967"/>
    <w:rsid w:val="005531F3"/>
    <w:rsid w:val="00553671"/>
    <w:rsid w:val="00554289"/>
    <w:rsid w:val="00554BF3"/>
    <w:rsid w:val="0055535C"/>
    <w:rsid w:val="00555AB1"/>
    <w:rsid w:val="00555ADC"/>
    <w:rsid w:val="0055616F"/>
    <w:rsid w:val="0055655F"/>
    <w:rsid w:val="0055657D"/>
    <w:rsid w:val="005575FC"/>
    <w:rsid w:val="00557898"/>
    <w:rsid w:val="00560166"/>
    <w:rsid w:val="00560876"/>
    <w:rsid w:val="00560D0D"/>
    <w:rsid w:val="005634E2"/>
    <w:rsid w:val="00565FB1"/>
    <w:rsid w:val="005662FB"/>
    <w:rsid w:val="00567781"/>
    <w:rsid w:val="00567ECC"/>
    <w:rsid w:val="00570302"/>
    <w:rsid w:val="005709F3"/>
    <w:rsid w:val="00571062"/>
    <w:rsid w:val="005713B1"/>
    <w:rsid w:val="0057151E"/>
    <w:rsid w:val="005717FE"/>
    <w:rsid w:val="0057268A"/>
    <w:rsid w:val="005726EA"/>
    <w:rsid w:val="00572FDD"/>
    <w:rsid w:val="00573751"/>
    <w:rsid w:val="00573A94"/>
    <w:rsid w:val="0057405B"/>
    <w:rsid w:val="005743E1"/>
    <w:rsid w:val="00574F89"/>
    <w:rsid w:val="00576FFD"/>
    <w:rsid w:val="005778D7"/>
    <w:rsid w:val="005779A9"/>
    <w:rsid w:val="00580D6E"/>
    <w:rsid w:val="005817A0"/>
    <w:rsid w:val="00583090"/>
    <w:rsid w:val="005835F4"/>
    <w:rsid w:val="00583EFE"/>
    <w:rsid w:val="005841A3"/>
    <w:rsid w:val="00585694"/>
    <w:rsid w:val="00585821"/>
    <w:rsid w:val="00586735"/>
    <w:rsid w:val="0059035D"/>
    <w:rsid w:val="00590EAE"/>
    <w:rsid w:val="0059112A"/>
    <w:rsid w:val="00591390"/>
    <w:rsid w:val="005916D3"/>
    <w:rsid w:val="0059253A"/>
    <w:rsid w:val="00592EF2"/>
    <w:rsid w:val="00593216"/>
    <w:rsid w:val="005935DB"/>
    <w:rsid w:val="00593DC6"/>
    <w:rsid w:val="00594BC3"/>
    <w:rsid w:val="00594CA0"/>
    <w:rsid w:val="005958A6"/>
    <w:rsid w:val="00596129"/>
    <w:rsid w:val="00596C8A"/>
    <w:rsid w:val="00596CA7"/>
    <w:rsid w:val="00596D60"/>
    <w:rsid w:val="00596DC8"/>
    <w:rsid w:val="00596E16"/>
    <w:rsid w:val="005A16A3"/>
    <w:rsid w:val="005A1985"/>
    <w:rsid w:val="005A1C48"/>
    <w:rsid w:val="005A2258"/>
    <w:rsid w:val="005A253A"/>
    <w:rsid w:val="005A2FD8"/>
    <w:rsid w:val="005A324A"/>
    <w:rsid w:val="005A351D"/>
    <w:rsid w:val="005A40BF"/>
    <w:rsid w:val="005A5255"/>
    <w:rsid w:val="005A5705"/>
    <w:rsid w:val="005A5FAF"/>
    <w:rsid w:val="005A610B"/>
    <w:rsid w:val="005A611B"/>
    <w:rsid w:val="005A72F4"/>
    <w:rsid w:val="005A7F4D"/>
    <w:rsid w:val="005B0735"/>
    <w:rsid w:val="005B186C"/>
    <w:rsid w:val="005B3365"/>
    <w:rsid w:val="005B352F"/>
    <w:rsid w:val="005B3A0A"/>
    <w:rsid w:val="005B408D"/>
    <w:rsid w:val="005B4421"/>
    <w:rsid w:val="005B4699"/>
    <w:rsid w:val="005B5EF2"/>
    <w:rsid w:val="005B7929"/>
    <w:rsid w:val="005C18F0"/>
    <w:rsid w:val="005C1F24"/>
    <w:rsid w:val="005C25D1"/>
    <w:rsid w:val="005C3127"/>
    <w:rsid w:val="005C35A9"/>
    <w:rsid w:val="005C464B"/>
    <w:rsid w:val="005C74A0"/>
    <w:rsid w:val="005C7E5C"/>
    <w:rsid w:val="005D052C"/>
    <w:rsid w:val="005D16FE"/>
    <w:rsid w:val="005D4084"/>
    <w:rsid w:val="005D4777"/>
    <w:rsid w:val="005D4C2B"/>
    <w:rsid w:val="005D5381"/>
    <w:rsid w:val="005D5A3C"/>
    <w:rsid w:val="005E00CC"/>
    <w:rsid w:val="005E04CC"/>
    <w:rsid w:val="005E149F"/>
    <w:rsid w:val="005E2375"/>
    <w:rsid w:val="005E2702"/>
    <w:rsid w:val="005E279D"/>
    <w:rsid w:val="005E2A6C"/>
    <w:rsid w:val="005E2E3E"/>
    <w:rsid w:val="005E48BE"/>
    <w:rsid w:val="005E7953"/>
    <w:rsid w:val="005E7E82"/>
    <w:rsid w:val="005F05DD"/>
    <w:rsid w:val="005F30CA"/>
    <w:rsid w:val="005F4CEF"/>
    <w:rsid w:val="005F6BDB"/>
    <w:rsid w:val="005F6C28"/>
    <w:rsid w:val="005F7A3B"/>
    <w:rsid w:val="005F7AB6"/>
    <w:rsid w:val="005F7E3C"/>
    <w:rsid w:val="00600FA8"/>
    <w:rsid w:val="00603955"/>
    <w:rsid w:val="00603DD9"/>
    <w:rsid w:val="00603EF6"/>
    <w:rsid w:val="006055C4"/>
    <w:rsid w:val="006063DA"/>
    <w:rsid w:val="006064D9"/>
    <w:rsid w:val="00606CE3"/>
    <w:rsid w:val="0061106C"/>
    <w:rsid w:val="00611AA9"/>
    <w:rsid w:val="00611DD3"/>
    <w:rsid w:val="00611EF0"/>
    <w:rsid w:val="00611F67"/>
    <w:rsid w:val="00612219"/>
    <w:rsid w:val="00612750"/>
    <w:rsid w:val="00612E04"/>
    <w:rsid w:val="00612FB7"/>
    <w:rsid w:val="00616F0D"/>
    <w:rsid w:val="006173A4"/>
    <w:rsid w:val="00617C44"/>
    <w:rsid w:val="0062088B"/>
    <w:rsid w:val="00621552"/>
    <w:rsid w:val="00621CAB"/>
    <w:rsid w:val="00622CE4"/>
    <w:rsid w:val="00622D3D"/>
    <w:rsid w:val="006234A7"/>
    <w:rsid w:val="0062353D"/>
    <w:rsid w:val="00623589"/>
    <w:rsid w:val="00624B71"/>
    <w:rsid w:val="00624FE5"/>
    <w:rsid w:val="00625917"/>
    <w:rsid w:val="006260A9"/>
    <w:rsid w:val="00626A85"/>
    <w:rsid w:val="00627072"/>
    <w:rsid w:val="006276ED"/>
    <w:rsid w:val="0062789F"/>
    <w:rsid w:val="00627967"/>
    <w:rsid w:val="006301BE"/>
    <w:rsid w:val="00630603"/>
    <w:rsid w:val="0063096E"/>
    <w:rsid w:val="00630BD3"/>
    <w:rsid w:val="00630C41"/>
    <w:rsid w:val="00632267"/>
    <w:rsid w:val="006331AE"/>
    <w:rsid w:val="00633349"/>
    <w:rsid w:val="006338F7"/>
    <w:rsid w:val="00633D61"/>
    <w:rsid w:val="0063402B"/>
    <w:rsid w:val="006350E0"/>
    <w:rsid w:val="00636113"/>
    <w:rsid w:val="00636570"/>
    <w:rsid w:val="00636C45"/>
    <w:rsid w:val="00637901"/>
    <w:rsid w:val="00637E1B"/>
    <w:rsid w:val="006402DF"/>
    <w:rsid w:val="006403A1"/>
    <w:rsid w:val="00640EFB"/>
    <w:rsid w:val="0064164B"/>
    <w:rsid w:val="00641697"/>
    <w:rsid w:val="00641A50"/>
    <w:rsid w:val="00642C01"/>
    <w:rsid w:val="00642F1A"/>
    <w:rsid w:val="006431EC"/>
    <w:rsid w:val="00643309"/>
    <w:rsid w:val="00643C8F"/>
    <w:rsid w:val="006443EE"/>
    <w:rsid w:val="00644468"/>
    <w:rsid w:val="00645F5E"/>
    <w:rsid w:val="00646C56"/>
    <w:rsid w:val="00647B1E"/>
    <w:rsid w:val="00647B22"/>
    <w:rsid w:val="00647C55"/>
    <w:rsid w:val="0065008B"/>
    <w:rsid w:val="00650260"/>
    <w:rsid w:val="00653A3B"/>
    <w:rsid w:val="00653FD9"/>
    <w:rsid w:val="00654222"/>
    <w:rsid w:val="00654D42"/>
    <w:rsid w:val="006562AC"/>
    <w:rsid w:val="00656328"/>
    <w:rsid w:val="00657CCE"/>
    <w:rsid w:val="00660279"/>
    <w:rsid w:val="00661874"/>
    <w:rsid w:val="006622B9"/>
    <w:rsid w:val="00662490"/>
    <w:rsid w:val="00662E1E"/>
    <w:rsid w:val="0066313A"/>
    <w:rsid w:val="0066371E"/>
    <w:rsid w:val="00664355"/>
    <w:rsid w:val="00664A6E"/>
    <w:rsid w:val="00664A7D"/>
    <w:rsid w:val="006650EC"/>
    <w:rsid w:val="00665797"/>
    <w:rsid w:val="006658F7"/>
    <w:rsid w:val="0066607E"/>
    <w:rsid w:val="00666259"/>
    <w:rsid w:val="00666707"/>
    <w:rsid w:val="00667E21"/>
    <w:rsid w:val="00670737"/>
    <w:rsid w:val="00670C6F"/>
    <w:rsid w:val="00670D3E"/>
    <w:rsid w:val="006713AA"/>
    <w:rsid w:val="006715FA"/>
    <w:rsid w:val="006724AD"/>
    <w:rsid w:val="006726A5"/>
    <w:rsid w:val="0067279F"/>
    <w:rsid w:val="00672BAB"/>
    <w:rsid w:val="00672D79"/>
    <w:rsid w:val="0067314A"/>
    <w:rsid w:val="00673344"/>
    <w:rsid w:val="00673D1E"/>
    <w:rsid w:val="00674B1D"/>
    <w:rsid w:val="00676D17"/>
    <w:rsid w:val="00677474"/>
    <w:rsid w:val="006779CF"/>
    <w:rsid w:val="00677A8F"/>
    <w:rsid w:val="00677F8A"/>
    <w:rsid w:val="00681B7D"/>
    <w:rsid w:val="006821E3"/>
    <w:rsid w:val="00682BBB"/>
    <w:rsid w:val="00683AD6"/>
    <w:rsid w:val="006842AE"/>
    <w:rsid w:val="00684378"/>
    <w:rsid w:val="00684DD5"/>
    <w:rsid w:val="0069097D"/>
    <w:rsid w:val="00691855"/>
    <w:rsid w:val="006922E8"/>
    <w:rsid w:val="00693A76"/>
    <w:rsid w:val="00695B02"/>
    <w:rsid w:val="0069670D"/>
    <w:rsid w:val="0069799F"/>
    <w:rsid w:val="006A114B"/>
    <w:rsid w:val="006A1154"/>
    <w:rsid w:val="006A1D2C"/>
    <w:rsid w:val="006A2392"/>
    <w:rsid w:val="006A2EE7"/>
    <w:rsid w:val="006A4A41"/>
    <w:rsid w:val="006A5773"/>
    <w:rsid w:val="006A5804"/>
    <w:rsid w:val="006A58F0"/>
    <w:rsid w:val="006A7058"/>
    <w:rsid w:val="006A78CE"/>
    <w:rsid w:val="006B0372"/>
    <w:rsid w:val="006B0764"/>
    <w:rsid w:val="006B149C"/>
    <w:rsid w:val="006B2C4E"/>
    <w:rsid w:val="006B2F44"/>
    <w:rsid w:val="006B3183"/>
    <w:rsid w:val="006B3B90"/>
    <w:rsid w:val="006B4467"/>
    <w:rsid w:val="006B58CC"/>
    <w:rsid w:val="006B59E3"/>
    <w:rsid w:val="006B6C46"/>
    <w:rsid w:val="006B6E47"/>
    <w:rsid w:val="006B6E78"/>
    <w:rsid w:val="006B759D"/>
    <w:rsid w:val="006B7EEF"/>
    <w:rsid w:val="006C0039"/>
    <w:rsid w:val="006C1927"/>
    <w:rsid w:val="006C2585"/>
    <w:rsid w:val="006C3BBA"/>
    <w:rsid w:val="006C4008"/>
    <w:rsid w:val="006C562A"/>
    <w:rsid w:val="006C5931"/>
    <w:rsid w:val="006C620B"/>
    <w:rsid w:val="006C73EF"/>
    <w:rsid w:val="006C79C8"/>
    <w:rsid w:val="006D1411"/>
    <w:rsid w:val="006D155F"/>
    <w:rsid w:val="006D16BC"/>
    <w:rsid w:val="006D1723"/>
    <w:rsid w:val="006D1B00"/>
    <w:rsid w:val="006D1CCB"/>
    <w:rsid w:val="006D3892"/>
    <w:rsid w:val="006D3A1D"/>
    <w:rsid w:val="006D4AB3"/>
    <w:rsid w:val="006D4F8F"/>
    <w:rsid w:val="006D5446"/>
    <w:rsid w:val="006D5D3F"/>
    <w:rsid w:val="006D60ED"/>
    <w:rsid w:val="006D73D9"/>
    <w:rsid w:val="006E1166"/>
    <w:rsid w:val="006E249E"/>
    <w:rsid w:val="006E37A0"/>
    <w:rsid w:val="006E5572"/>
    <w:rsid w:val="006E596E"/>
    <w:rsid w:val="006E7589"/>
    <w:rsid w:val="006E7854"/>
    <w:rsid w:val="006F033F"/>
    <w:rsid w:val="006F0779"/>
    <w:rsid w:val="006F0BBC"/>
    <w:rsid w:val="006F0E06"/>
    <w:rsid w:val="006F1272"/>
    <w:rsid w:val="006F24D8"/>
    <w:rsid w:val="006F2CF6"/>
    <w:rsid w:val="006F33B8"/>
    <w:rsid w:val="006F4C9C"/>
    <w:rsid w:val="006F521F"/>
    <w:rsid w:val="006F55C6"/>
    <w:rsid w:val="006F59E9"/>
    <w:rsid w:val="006F640F"/>
    <w:rsid w:val="006F762A"/>
    <w:rsid w:val="006F769D"/>
    <w:rsid w:val="00700FE5"/>
    <w:rsid w:val="00701A52"/>
    <w:rsid w:val="00701B6B"/>
    <w:rsid w:val="00703113"/>
    <w:rsid w:val="00703499"/>
    <w:rsid w:val="0070384F"/>
    <w:rsid w:val="00703A9E"/>
    <w:rsid w:val="00703D6D"/>
    <w:rsid w:val="00704152"/>
    <w:rsid w:val="00704FB5"/>
    <w:rsid w:val="00706B71"/>
    <w:rsid w:val="007075F8"/>
    <w:rsid w:val="00707D71"/>
    <w:rsid w:val="00710A83"/>
    <w:rsid w:val="007112FB"/>
    <w:rsid w:val="0071154B"/>
    <w:rsid w:val="00712A09"/>
    <w:rsid w:val="00712EE5"/>
    <w:rsid w:val="0071343E"/>
    <w:rsid w:val="00713493"/>
    <w:rsid w:val="00713494"/>
    <w:rsid w:val="007135B9"/>
    <w:rsid w:val="00714031"/>
    <w:rsid w:val="0071466D"/>
    <w:rsid w:val="0071466E"/>
    <w:rsid w:val="00714A6C"/>
    <w:rsid w:val="00714CD3"/>
    <w:rsid w:val="007154E8"/>
    <w:rsid w:val="007173F3"/>
    <w:rsid w:val="007206A8"/>
    <w:rsid w:val="0072116D"/>
    <w:rsid w:val="007211D7"/>
    <w:rsid w:val="00721975"/>
    <w:rsid w:val="0072226F"/>
    <w:rsid w:val="007235A7"/>
    <w:rsid w:val="007235DD"/>
    <w:rsid w:val="007255AE"/>
    <w:rsid w:val="00725B78"/>
    <w:rsid w:val="00726664"/>
    <w:rsid w:val="00727082"/>
    <w:rsid w:val="007278FA"/>
    <w:rsid w:val="00730CDC"/>
    <w:rsid w:val="0073159D"/>
    <w:rsid w:val="0073233C"/>
    <w:rsid w:val="00732D0C"/>
    <w:rsid w:val="007338AA"/>
    <w:rsid w:val="00733EAD"/>
    <w:rsid w:val="00734103"/>
    <w:rsid w:val="00734F54"/>
    <w:rsid w:val="007351A6"/>
    <w:rsid w:val="007352D2"/>
    <w:rsid w:val="00735529"/>
    <w:rsid w:val="00736752"/>
    <w:rsid w:val="00737149"/>
    <w:rsid w:val="007372CB"/>
    <w:rsid w:val="00737C04"/>
    <w:rsid w:val="007410D7"/>
    <w:rsid w:val="00741806"/>
    <w:rsid w:val="00741AC5"/>
    <w:rsid w:val="00742014"/>
    <w:rsid w:val="00742892"/>
    <w:rsid w:val="00742C81"/>
    <w:rsid w:val="00744110"/>
    <w:rsid w:val="00744595"/>
    <w:rsid w:val="007459D1"/>
    <w:rsid w:val="007466C0"/>
    <w:rsid w:val="007466D2"/>
    <w:rsid w:val="0074688D"/>
    <w:rsid w:val="007473D4"/>
    <w:rsid w:val="00747A52"/>
    <w:rsid w:val="00750796"/>
    <w:rsid w:val="00750E41"/>
    <w:rsid w:val="00750F1E"/>
    <w:rsid w:val="00751C12"/>
    <w:rsid w:val="007522BE"/>
    <w:rsid w:val="00752691"/>
    <w:rsid w:val="007528F2"/>
    <w:rsid w:val="00753CE0"/>
    <w:rsid w:val="007541EE"/>
    <w:rsid w:val="007542E8"/>
    <w:rsid w:val="00755699"/>
    <w:rsid w:val="00755ADD"/>
    <w:rsid w:val="00757429"/>
    <w:rsid w:val="00760A9B"/>
    <w:rsid w:val="00763700"/>
    <w:rsid w:val="00763780"/>
    <w:rsid w:val="0076427C"/>
    <w:rsid w:val="007650E0"/>
    <w:rsid w:val="00765217"/>
    <w:rsid w:val="007659AA"/>
    <w:rsid w:val="00765CE9"/>
    <w:rsid w:val="007670D9"/>
    <w:rsid w:val="007673C3"/>
    <w:rsid w:val="00770F58"/>
    <w:rsid w:val="007712B0"/>
    <w:rsid w:val="00771CB5"/>
    <w:rsid w:val="00771E7F"/>
    <w:rsid w:val="007723A4"/>
    <w:rsid w:val="0077266C"/>
    <w:rsid w:val="00772802"/>
    <w:rsid w:val="00773568"/>
    <w:rsid w:val="007735EE"/>
    <w:rsid w:val="0077361A"/>
    <w:rsid w:val="00774E4C"/>
    <w:rsid w:val="00775066"/>
    <w:rsid w:val="00776406"/>
    <w:rsid w:val="00777E67"/>
    <w:rsid w:val="0078005A"/>
    <w:rsid w:val="00781B6F"/>
    <w:rsid w:val="00781F9C"/>
    <w:rsid w:val="00782503"/>
    <w:rsid w:val="00782DFD"/>
    <w:rsid w:val="00784424"/>
    <w:rsid w:val="00784460"/>
    <w:rsid w:val="00785474"/>
    <w:rsid w:val="00786079"/>
    <w:rsid w:val="007866A0"/>
    <w:rsid w:val="007872B3"/>
    <w:rsid w:val="007878A5"/>
    <w:rsid w:val="00787B99"/>
    <w:rsid w:val="00787DDF"/>
    <w:rsid w:val="00791CEA"/>
    <w:rsid w:val="00792124"/>
    <w:rsid w:val="00792704"/>
    <w:rsid w:val="007932D9"/>
    <w:rsid w:val="0079393D"/>
    <w:rsid w:val="00793BE1"/>
    <w:rsid w:val="0079421C"/>
    <w:rsid w:val="00794269"/>
    <w:rsid w:val="0079526D"/>
    <w:rsid w:val="00795A2C"/>
    <w:rsid w:val="00796B6E"/>
    <w:rsid w:val="00796E0C"/>
    <w:rsid w:val="00797390"/>
    <w:rsid w:val="007A05B6"/>
    <w:rsid w:val="007A1203"/>
    <w:rsid w:val="007A1A01"/>
    <w:rsid w:val="007A1C0A"/>
    <w:rsid w:val="007A1C59"/>
    <w:rsid w:val="007A2265"/>
    <w:rsid w:val="007A3329"/>
    <w:rsid w:val="007A3FB0"/>
    <w:rsid w:val="007A43BA"/>
    <w:rsid w:val="007A5366"/>
    <w:rsid w:val="007A5B41"/>
    <w:rsid w:val="007A6560"/>
    <w:rsid w:val="007A770D"/>
    <w:rsid w:val="007B10C9"/>
    <w:rsid w:val="007B1D20"/>
    <w:rsid w:val="007B4839"/>
    <w:rsid w:val="007B5792"/>
    <w:rsid w:val="007C0A63"/>
    <w:rsid w:val="007C0DBF"/>
    <w:rsid w:val="007C1227"/>
    <w:rsid w:val="007C23E8"/>
    <w:rsid w:val="007C2E8F"/>
    <w:rsid w:val="007C31E2"/>
    <w:rsid w:val="007C38A2"/>
    <w:rsid w:val="007C517B"/>
    <w:rsid w:val="007C5A1A"/>
    <w:rsid w:val="007C5CE1"/>
    <w:rsid w:val="007C5DFC"/>
    <w:rsid w:val="007C663F"/>
    <w:rsid w:val="007C66BB"/>
    <w:rsid w:val="007C6F85"/>
    <w:rsid w:val="007D0569"/>
    <w:rsid w:val="007D1081"/>
    <w:rsid w:val="007D16B1"/>
    <w:rsid w:val="007D19E4"/>
    <w:rsid w:val="007D3047"/>
    <w:rsid w:val="007D3E0F"/>
    <w:rsid w:val="007D3E53"/>
    <w:rsid w:val="007D7400"/>
    <w:rsid w:val="007D7761"/>
    <w:rsid w:val="007D79FF"/>
    <w:rsid w:val="007D7BBD"/>
    <w:rsid w:val="007E02A7"/>
    <w:rsid w:val="007E136C"/>
    <w:rsid w:val="007E1819"/>
    <w:rsid w:val="007E1EE3"/>
    <w:rsid w:val="007E1FC4"/>
    <w:rsid w:val="007E455D"/>
    <w:rsid w:val="007E468A"/>
    <w:rsid w:val="007E51A5"/>
    <w:rsid w:val="007E5ADA"/>
    <w:rsid w:val="007E6B19"/>
    <w:rsid w:val="007E6E52"/>
    <w:rsid w:val="007E75A4"/>
    <w:rsid w:val="007E7B87"/>
    <w:rsid w:val="007E7F4C"/>
    <w:rsid w:val="007F023E"/>
    <w:rsid w:val="007F1CFD"/>
    <w:rsid w:val="007F3018"/>
    <w:rsid w:val="007F33B9"/>
    <w:rsid w:val="007F3D20"/>
    <w:rsid w:val="007F4FE0"/>
    <w:rsid w:val="007F5503"/>
    <w:rsid w:val="007F5FB5"/>
    <w:rsid w:val="007F7A24"/>
    <w:rsid w:val="00801B17"/>
    <w:rsid w:val="00805177"/>
    <w:rsid w:val="008060C3"/>
    <w:rsid w:val="008063A1"/>
    <w:rsid w:val="00806A43"/>
    <w:rsid w:val="00807C6E"/>
    <w:rsid w:val="00807F00"/>
    <w:rsid w:val="00810011"/>
    <w:rsid w:val="00811DD2"/>
    <w:rsid w:val="008126EF"/>
    <w:rsid w:val="008132BF"/>
    <w:rsid w:val="008134BD"/>
    <w:rsid w:val="00814656"/>
    <w:rsid w:val="00815883"/>
    <w:rsid w:val="008208B1"/>
    <w:rsid w:val="00820E45"/>
    <w:rsid w:val="008210B2"/>
    <w:rsid w:val="008212C2"/>
    <w:rsid w:val="00821E2C"/>
    <w:rsid w:val="00821FE6"/>
    <w:rsid w:val="00822835"/>
    <w:rsid w:val="00823B0B"/>
    <w:rsid w:val="00825359"/>
    <w:rsid w:val="00826758"/>
    <w:rsid w:val="00827C29"/>
    <w:rsid w:val="00827D7E"/>
    <w:rsid w:val="00830102"/>
    <w:rsid w:val="0083047A"/>
    <w:rsid w:val="008305F8"/>
    <w:rsid w:val="00831C6D"/>
    <w:rsid w:val="008333BE"/>
    <w:rsid w:val="008353A3"/>
    <w:rsid w:val="008353E0"/>
    <w:rsid w:val="00835D7E"/>
    <w:rsid w:val="008365F0"/>
    <w:rsid w:val="00837792"/>
    <w:rsid w:val="00840C5F"/>
    <w:rsid w:val="00841534"/>
    <w:rsid w:val="00841C16"/>
    <w:rsid w:val="00841CB8"/>
    <w:rsid w:val="00842760"/>
    <w:rsid w:val="00842AF1"/>
    <w:rsid w:val="00843265"/>
    <w:rsid w:val="00844EF1"/>
    <w:rsid w:val="00845037"/>
    <w:rsid w:val="008462F1"/>
    <w:rsid w:val="00850FDE"/>
    <w:rsid w:val="0085245F"/>
    <w:rsid w:val="00852876"/>
    <w:rsid w:val="00852E40"/>
    <w:rsid w:val="00853D61"/>
    <w:rsid w:val="008543F5"/>
    <w:rsid w:val="00855004"/>
    <w:rsid w:val="00855333"/>
    <w:rsid w:val="008572C4"/>
    <w:rsid w:val="0085733E"/>
    <w:rsid w:val="0085753E"/>
    <w:rsid w:val="0085756D"/>
    <w:rsid w:val="00857F20"/>
    <w:rsid w:val="008604A8"/>
    <w:rsid w:val="008605FB"/>
    <w:rsid w:val="00861AFA"/>
    <w:rsid w:val="00863C61"/>
    <w:rsid w:val="00864F70"/>
    <w:rsid w:val="00865522"/>
    <w:rsid w:val="00865603"/>
    <w:rsid w:val="00865A80"/>
    <w:rsid w:val="00865ADF"/>
    <w:rsid w:val="0086644C"/>
    <w:rsid w:val="008666B5"/>
    <w:rsid w:val="0086678A"/>
    <w:rsid w:val="00867A51"/>
    <w:rsid w:val="008703B3"/>
    <w:rsid w:val="00870B73"/>
    <w:rsid w:val="00870BE9"/>
    <w:rsid w:val="008735A2"/>
    <w:rsid w:val="00874900"/>
    <w:rsid w:val="00874A02"/>
    <w:rsid w:val="0087613C"/>
    <w:rsid w:val="00876985"/>
    <w:rsid w:val="0088197A"/>
    <w:rsid w:val="00881DD8"/>
    <w:rsid w:val="00881FB7"/>
    <w:rsid w:val="00882275"/>
    <w:rsid w:val="00882745"/>
    <w:rsid w:val="00883738"/>
    <w:rsid w:val="00883780"/>
    <w:rsid w:val="00883865"/>
    <w:rsid w:val="00883B99"/>
    <w:rsid w:val="00884BF0"/>
    <w:rsid w:val="00884E23"/>
    <w:rsid w:val="00885066"/>
    <w:rsid w:val="00885355"/>
    <w:rsid w:val="00885F85"/>
    <w:rsid w:val="00886398"/>
    <w:rsid w:val="0088665E"/>
    <w:rsid w:val="008868AB"/>
    <w:rsid w:val="00886EF6"/>
    <w:rsid w:val="00887B53"/>
    <w:rsid w:val="00890576"/>
    <w:rsid w:val="0089106A"/>
    <w:rsid w:val="008911C9"/>
    <w:rsid w:val="008923C8"/>
    <w:rsid w:val="008924B6"/>
    <w:rsid w:val="00893260"/>
    <w:rsid w:val="008932A8"/>
    <w:rsid w:val="00893756"/>
    <w:rsid w:val="00893BB0"/>
    <w:rsid w:val="00893EF4"/>
    <w:rsid w:val="00894A9E"/>
    <w:rsid w:val="008950F6"/>
    <w:rsid w:val="00896815"/>
    <w:rsid w:val="008969DA"/>
    <w:rsid w:val="00896D35"/>
    <w:rsid w:val="00897F12"/>
    <w:rsid w:val="008A0489"/>
    <w:rsid w:val="008A0744"/>
    <w:rsid w:val="008A084E"/>
    <w:rsid w:val="008A091E"/>
    <w:rsid w:val="008A0A6E"/>
    <w:rsid w:val="008A0D0F"/>
    <w:rsid w:val="008A182E"/>
    <w:rsid w:val="008A2DA5"/>
    <w:rsid w:val="008A2FB3"/>
    <w:rsid w:val="008A398B"/>
    <w:rsid w:val="008A3EF6"/>
    <w:rsid w:val="008A42B1"/>
    <w:rsid w:val="008A526F"/>
    <w:rsid w:val="008A5601"/>
    <w:rsid w:val="008A59AD"/>
    <w:rsid w:val="008B0EEB"/>
    <w:rsid w:val="008B2BE4"/>
    <w:rsid w:val="008B3F62"/>
    <w:rsid w:val="008B431D"/>
    <w:rsid w:val="008B4C87"/>
    <w:rsid w:val="008B51FD"/>
    <w:rsid w:val="008B7681"/>
    <w:rsid w:val="008C1107"/>
    <w:rsid w:val="008C15A0"/>
    <w:rsid w:val="008C1939"/>
    <w:rsid w:val="008C2EBE"/>
    <w:rsid w:val="008C3396"/>
    <w:rsid w:val="008C435A"/>
    <w:rsid w:val="008C4596"/>
    <w:rsid w:val="008C4B3C"/>
    <w:rsid w:val="008C4B47"/>
    <w:rsid w:val="008C5999"/>
    <w:rsid w:val="008C621C"/>
    <w:rsid w:val="008C697C"/>
    <w:rsid w:val="008C75E5"/>
    <w:rsid w:val="008C75ED"/>
    <w:rsid w:val="008C7649"/>
    <w:rsid w:val="008C79FC"/>
    <w:rsid w:val="008D0E7C"/>
    <w:rsid w:val="008D1D7E"/>
    <w:rsid w:val="008D4241"/>
    <w:rsid w:val="008D4435"/>
    <w:rsid w:val="008D7F00"/>
    <w:rsid w:val="008E0991"/>
    <w:rsid w:val="008E1FBA"/>
    <w:rsid w:val="008E338E"/>
    <w:rsid w:val="008E390F"/>
    <w:rsid w:val="008E3A58"/>
    <w:rsid w:val="008E3C5F"/>
    <w:rsid w:val="008E3D20"/>
    <w:rsid w:val="008E57FE"/>
    <w:rsid w:val="008E7565"/>
    <w:rsid w:val="008E7937"/>
    <w:rsid w:val="008F086C"/>
    <w:rsid w:val="008F0E62"/>
    <w:rsid w:val="008F203F"/>
    <w:rsid w:val="008F2665"/>
    <w:rsid w:val="008F460E"/>
    <w:rsid w:val="008F5DE6"/>
    <w:rsid w:val="008F6376"/>
    <w:rsid w:val="008F6AB6"/>
    <w:rsid w:val="008F6C0F"/>
    <w:rsid w:val="008F6C69"/>
    <w:rsid w:val="008F7604"/>
    <w:rsid w:val="0090041F"/>
    <w:rsid w:val="00900781"/>
    <w:rsid w:val="0090123D"/>
    <w:rsid w:val="009018C1"/>
    <w:rsid w:val="009019FB"/>
    <w:rsid w:val="00901AA7"/>
    <w:rsid w:val="00901E03"/>
    <w:rsid w:val="00904D5B"/>
    <w:rsid w:val="00904E25"/>
    <w:rsid w:val="00905B05"/>
    <w:rsid w:val="00906B94"/>
    <w:rsid w:val="00906DB3"/>
    <w:rsid w:val="0090753C"/>
    <w:rsid w:val="009077F6"/>
    <w:rsid w:val="00910D30"/>
    <w:rsid w:val="00911B66"/>
    <w:rsid w:val="00911D40"/>
    <w:rsid w:val="00912A7E"/>
    <w:rsid w:val="00915330"/>
    <w:rsid w:val="00915851"/>
    <w:rsid w:val="00915D87"/>
    <w:rsid w:val="00916E69"/>
    <w:rsid w:val="009170AC"/>
    <w:rsid w:val="00917525"/>
    <w:rsid w:val="0091777D"/>
    <w:rsid w:val="00917F2B"/>
    <w:rsid w:val="0092057D"/>
    <w:rsid w:val="0092078E"/>
    <w:rsid w:val="009218DE"/>
    <w:rsid w:val="009224C0"/>
    <w:rsid w:val="00922D00"/>
    <w:rsid w:val="00923752"/>
    <w:rsid w:val="00923AD6"/>
    <w:rsid w:val="00923F17"/>
    <w:rsid w:val="00924A4B"/>
    <w:rsid w:val="009266DA"/>
    <w:rsid w:val="009267D5"/>
    <w:rsid w:val="00927074"/>
    <w:rsid w:val="009306D8"/>
    <w:rsid w:val="00930BD5"/>
    <w:rsid w:val="00930DE8"/>
    <w:rsid w:val="009311D3"/>
    <w:rsid w:val="0093171C"/>
    <w:rsid w:val="009318DD"/>
    <w:rsid w:val="009320C4"/>
    <w:rsid w:val="0093215C"/>
    <w:rsid w:val="00934228"/>
    <w:rsid w:val="00935413"/>
    <w:rsid w:val="00935AFD"/>
    <w:rsid w:val="00935F5D"/>
    <w:rsid w:val="009368E0"/>
    <w:rsid w:val="0093736C"/>
    <w:rsid w:val="00937385"/>
    <w:rsid w:val="009377C0"/>
    <w:rsid w:val="0093794F"/>
    <w:rsid w:val="0094260B"/>
    <w:rsid w:val="00942661"/>
    <w:rsid w:val="00942CBA"/>
    <w:rsid w:val="00943598"/>
    <w:rsid w:val="00943A03"/>
    <w:rsid w:val="00944695"/>
    <w:rsid w:val="00944F62"/>
    <w:rsid w:val="009452FE"/>
    <w:rsid w:val="00945307"/>
    <w:rsid w:val="0094558D"/>
    <w:rsid w:val="00946677"/>
    <w:rsid w:val="00946FCE"/>
    <w:rsid w:val="0094702D"/>
    <w:rsid w:val="009515BC"/>
    <w:rsid w:val="00951FE7"/>
    <w:rsid w:val="00952A38"/>
    <w:rsid w:val="00953ED0"/>
    <w:rsid w:val="0095492E"/>
    <w:rsid w:val="00955F7D"/>
    <w:rsid w:val="00956652"/>
    <w:rsid w:val="009567D4"/>
    <w:rsid w:val="00956B24"/>
    <w:rsid w:val="0095747A"/>
    <w:rsid w:val="00960CBD"/>
    <w:rsid w:val="0096113C"/>
    <w:rsid w:val="009618F7"/>
    <w:rsid w:val="00961D29"/>
    <w:rsid w:val="00961DF7"/>
    <w:rsid w:val="0096242F"/>
    <w:rsid w:val="00962E3B"/>
    <w:rsid w:val="00962FF5"/>
    <w:rsid w:val="009637C9"/>
    <w:rsid w:val="00964073"/>
    <w:rsid w:val="009640F4"/>
    <w:rsid w:val="00964A4E"/>
    <w:rsid w:val="009655A8"/>
    <w:rsid w:val="009655AE"/>
    <w:rsid w:val="00965B02"/>
    <w:rsid w:val="00965B3C"/>
    <w:rsid w:val="00965C07"/>
    <w:rsid w:val="00965D2D"/>
    <w:rsid w:val="00965DAF"/>
    <w:rsid w:val="00965E39"/>
    <w:rsid w:val="009661BD"/>
    <w:rsid w:val="009704C2"/>
    <w:rsid w:val="00970D4F"/>
    <w:rsid w:val="00970E0D"/>
    <w:rsid w:val="009717E5"/>
    <w:rsid w:val="00971847"/>
    <w:rsid w:val="00972964"/>
    <w:rsid w:val="00973A3F"/>
    <w:rsid w:val="0097539C"/>
    <w:rsid w:val="00975FFC"/>
    <w:rsid w:val="0097695C"/>
    <w:rsid w:val="0097762F"/>
    <w:rsid w:val="00977842"/>
    <w:rsid w:val="009816B8"/>
    <w:rsid w:val="00982C1E"/>
    <w:rsid w:val="009839ED"/>
    <w:rsid w:val="00983B45"/>
    <w:rsid w:val="009857BC"/>
    <w:rsid w:val="009863B6"/>
    <w:rsid w:val="00986C7A"/>
    <w:rsid w:val="0098766F"/>
    <w:rsid w:val="00987A58"/>
    <w:rsid w:val="00990BC3"/>
    <w:rsid w:val="0099140B"/>
    <w:rsid w:val="00992914"/>
    <w:rsid w:val="00993912"/>
    <w:rsid w:val="00994050"/>
    <w:rsid w:val="0099409B"/>
    <w:rsid w:val="00994264"/>
    <w:rsid w:val="00994B2B"/>
    <w:rsid w:val="00995580"/>
    <w:rsid w:val="009962CF"/>
    <w:rsid w:val="009969D6"/>
    <w:rsid w:val="00996E75"/>
    <w:rsid w:val="009977C3"/>
    <w:rsid w:val="009A0714"/>
    <w:rsid w:val="009A146C"/>
    <w:rsid w:val="009A224B"/>
    <w:rsid w:val="009A335D"/>
    <w:rsid w:val="009A3AFE"/>
    <w:rsid w:val="009A5DB1"/>
    <w:rsid w:val="009A68A4"/>
    <w:rsid w:val="009A6CBE"/>
    <w:rsid w:val="009A73E6"/>
    <w:rsid w:val="009A7C5A"/>
    <w:rsid w:val="009A7E51"/>
    <w:rsid w:val="009B17CC"/>
    <w:rsid w:val="009B21B9"/>
    <w:rsid w:val="009B226C"/>
    <w:rsid w:val="009B4223"/>
    <w:rsid w:val="009B4CD0"/>
    <w:rsid w:val="009B4DA7"/>
    <w:rsid w:val="009B5584"/>
    <w:rsid w:val="009B5B6E"/>
    <w:rsid w:val="009C0F7B"/>
    <w:rsid w:val="009C21C6"/>
    <w:rsid w:val="009C383B"/>
    <w:rsid w:val="009C3A80"/>
    <w:rsid w:val="009C5238"/>
    <w:rsid w:val="009C64A0"/>
    <w:rsid w:val="009D12B4"/>
    <w:rsid w:val="009D1E70"/>
    <w:rsid w:val="009D2135"/>
    <w:rsid w:val="009D2FA7"/>
    <w:rsid w:val="009D3DFC"/>
    <w:rsid w:val="009D4851"/>
    <w:rsid w:val="009D4CAE"/>
    <w:rsid w:val="009D55F9"/>
    <w:rsid w:val="009D5A11"/>
    <w:rsid w:val="009D6B8B"/>
    <w:rsid w:val="009D7760"/>
    <w:rsid w:val="009E16E6"/>
    <w:rsid w:val="009E2953"/>
    <w:rsid w:val="009E2B66"/>
    <w:rsid w:val="009E2BA8"/>
    <w:rsid w:val="009E30CE"/>
    <w:rsid w:val="009E446A"/>
    <w:rsid w:val="009E4DB2"/>
    <w:rsid w:val="009E574A"/>
    <w:rsid w:val="009E7A86"/>
    <w:rsid w:val="009F04C3"/>
    <w:rsid w:val="009F0760"/>
    <w:rsid w:val="009F115B"/>
    <w:rsid w:val="009F1755"/>
    <w:rsid w:val="009F1C84"/>
    <w:rsid w:val="009F1F40"/>
    <w:rsid w:val="009F2F77"/>
    <w:rsid w:val="009F4860"/>
    <w:rsid w:val="009F517E"/>
    <w:rsid w:val="009F53D7"/>
    <w:rsid w:val="009F765C"/>
    <w:rsid w:val="009F7C64"/>
    <w:rsid w:val="00A00057"/>
    <w:rsid w:val="00A00485"/>
    <w:rsid w:val="00A005FE"/>
    <w:rsid w:val="00A0142D"/>
    <w:rsid w:val="00A01A5F"/>
    <w:rsid w:val="00A01CC9"/>
    <w:rsid w:val="00A02C96"/>
    <w:rsid w:val="00A02E65"/>
    <w:rsid w:val="00A030B2"/>
    <w:rsid w:val="00A0325B"/>
    <w:rsid w:val="00A0340A"/>
    <w:rsid w:val="00A0440C"/>
    <w:rsid w:val="00A0496D"/>
    <w:rsid w:val="00A0585F"/>
    <w:rsid w:val="00A0694A"/>
    <w:rsid w:val="00A07049"/>
    <w:rsid w:val="00A10198"/>
    <w:rsid w:val="00A102C1"/>
    <w:rsid w:val="00A102D4"/>
    <w:rsid w:val="00A10362"/>
    <w:rsid w:val="00A10A30"/>
    <w:rsid w:val="00A1137C"/>
    <w:rsid w:val="00A113A2"/>
    <w:rsid w:val="00A113D7"/>
    <w:rsid w:val="00A11F0F"/>
    <w:rsid w:val="00A16126"/>
    <w:rsid w:val="00A16AB2"/>
    <w:rsid w:val="00A17856"/>
    <w:rsid w:val="00A17C08"/>
    <w:rsid w:val="00A17F5B"/>
    <w:rsid w:val="00A20ED2"/>
    <w:rsid w:val="00A24133"/>
    <w:rsid w:val="00A257B5"/>
    <w:rsid w:val="00A262BF"/>
    <w:rsid w:val="00A26393"/>
    <w:rsid w:val="00A269B8"/>
    <w:rsid w:val="00A27809"/>
    <w:rsid w:val="00A30CD8"/>
    <w:rsid w:val="00A317B0"/>
    <w:rsid w:val="00A338EC"/>
    <w:rsid w:val="00A339C7"/>
    <w:rsid w:val="00A34535"/>
    <w:rsid w:val="00A34591"/>
    <w:rsid w:val="00A34E44"/>
    <w:rsid w:val="00A3640F"/>
    <w:rsid w:val="00A40CE2"/>
    <w:rsid w:val="00A43967"/>
    <w:rsid w:val="00A46539"/>
    <w:rsid w:val="00A47046"/>
    <w:rsid w:val="00A47098"/>
    <w:rsid w:val="00A47176"/>
    <w:rsid w:val="00A475C5"/>
    <w:rsid w:val="00A4768C"/>
    <w:rsid w:val="00A50A68"/>
    <w:rsid w:val="00A50D3B"/>
    <w:rsid w:val="00A50E06"/>
    <w:rsid w:val="00A518AA"/>
    <w:rsid w:val="00A52726"/>
    <w:rsid w:val="00A54ADF"/>
    <w:rsid w:val="00A54DEA"/>
    <w:rsid w:val="00A551F1"/>
    <w:rsid w:val="00A56348"/>
    <w:rsid w:val="00A56F23"/>
    <w:rsid w:val="00A5703F"/>
    <w:rsid w:val="00A57170"/>
    <w:rsid w:val="00A57AE1"/>
    <w:rsid w:val="00A57D39"/>
    <w:rsid w:val="00A615B9"/>
    <w:rsid w:val="00A6316B"/>
    <w:rsid w:val="00A64C3E"/>
    <w:rsid w:val="00A64DF2"/>
    <w:rsid w:val="00A64EFE"/>
    <w:rsid w:val="00A65316"/>
    <w:rsid w:val="00A66817"/>
    <w:rsid w:val="00A67252"/>
    <w:rsid w:val="00A674DD"/>
    <w:rsid w:val="00A674FF"/>
    <w:rsid w:val="00A67BC6"/>
    <w:rsid w:val="00A70F69"/>
    <w:rsid w:val="00A70FFE"/>
    <w:rsid w:val="00A72611"/>
    <w:rsid w:val="00A72C1E"/>
    <w:rsid w:val="00A73ABB"/>
    <w:rsid w:val="00A767F7"/>
    <w:rsid w:val="00A76D2C"/>
    <w:rsid w:val="00A77746"/>
    <w:rsid w:val="00A806AA"/>
    <w:rsid w:val="00A82E32"/>
    <w:rsid w:val="00A8333B"/>
    <w:rsid w:val="00A83BF6"/>
    <w:rsid w:val="00A8509D"/>
    <w:rsid w:val="00A86D92"/>
    <w:rsid w:val="00A87F31"/>
    <w:rsid w:val="00A90AAC"/>
    <w:rsid w:val="00A90D27"/>
    <w:rsid w:val="00A9103B"/>
    <w:rsid w:val="00A91284"/>
    <w:rsid w:val="00A91785"/>
    <w:rsid w:val="00A91811"/>
    <w:rsid w:val="00A918A7"/>
    <w:rsid w:val="00A92871"/>
    <w:rsid w:val="00A955EB"/>
    <w:rsid w:val="00A95E23"/>
    <w:rsid w:val="00A9743B"/>
    <w:rsid w:val="00A97BC3"/>
    <w:rsid w:val="00AA0266"/>
    <w:rsid w:val="00AA12A2"/>
    <w:rsid w:val="00AA1F49"/>
    <w:rsid w:val="00AA2EDC"/>
    <w:rsid w:val="00AA3A2E"/>
    <w:rsid w:val="00AA3B29"/>
    <w:rsid w:val="00AA4099"/>
    <w:rsid w:val="00AA417A"/>
    <w:rsid w:val="00AA4217"/>
    <w:rsid w:val="00AA6220"/>
    <w:rsid w:val="00AA6913"/>
    <w:rsid w:val="00AB004F"/>
    <w:rsid w:val="00AB0EC9"/>
    <w:rsid w:val="00AB1243"/>
    <w:rsid w:val="00AB2190"/>
    <w:rsid w:val="00AB39EB"/>
    <w:rsid w:val="00AB3F27"/>
    <w:rsid w:val="00AB3FD9"/>
    <w:rsid w:val="00AB55E0"/>
    <w:rsid w:val="00AB6349"/>
    <w:rsid w:val="00AB720E"/>
    <w:rsid w:val="00AB7A45"/>
    <w:rsid w:val="00AB7A5A"/>
    <w:rsid w:val="00AB7DE7"/>
    <w:rsid w:val="00AC1B49"/>
    <w:rsid w:val="00AC1BE7"/>
    <w:rsid w:val="00AC275F"/>
    <w:rsid w:val="00AC50A4"/>
    <w:rsid w:val="00AC5521"/>
    <w:rsid w:val="00AC5A95"/>
    <w:rsid w:val="00AC6074"/>
    <w:rsid w:val="00AC6471"/>
    <w:rsid w:val="00AC6ACE"/>
    <w:rsid w:val="00AC6AFF"/>
    <w:rsid w:val="00AC6E50"/>
    <w:rsid w:val="00AD1751"/>
    <w:rsid w:val="00AD1AC1"/>
    <w:rsid w:val="00AD1ED9"/>
    <w:rsid w:val="00AD2B6E"/>
    <w:rsid w:val="00AD3443"/>
    <w:rsid w:val="00AD45C8"/>
    <w:rsid w:val="00AD4B3C"/>
    <w:rsid w:val="00AD4C61"/>
    <w:rsid w:val="00AD68A5"/>
    <w:rsid w:val="00AE185D"/>
    <w:rsid w:val="00AE1BFE"/>
    <w:rsid w:val="00AE2412"/>
    <w:rsid w:val="00AE3842"/>
    <w:rsid w:val="00AE3C5F"/>
    <w:rsid w:val="00AE3D83"/>
    <w:rsid w:val="00AE4374"/>
    <w:rsid w:val="00AE485C"/>
    <w:rsid w:val="00AE4F2A"/>
    <w:rsid w:val="00AE789C"/>
    <w:rsid w:val="00AE7D4F"/>
    <w:rsid w:val="00AE7FE4"/>
    <w:rsid w:val="00AF0500"/>
    <w:rsid w:val="00AF17D3"/>
    <w:rsid w:val="00AF1843"/>
    <w:rsid w:val="00AF1A31"/>
    <w:rsid w:val="00AF1D77"/>
    <w:rsid w:val="00AF3387"/>
    <w:rsid w:val="00AF38BA"/>
    <w:rsid w:val="00AF4A90"/>
    <w:rsid w:val="00AF4F67"/>
    <w:rsid w:val="00AF5811"/>
    <w:rsid w:val="00AF6509"/>
    <w:rsid w:val="00B002DB"/>
    <w:rsid w:val="00B00BBE"/>
    <w:rsid w:val="00B02845"/>
    <w:rsid w:val="00B03BEC"/>
    <w:rsid w:val="00B0456E"/>
    <w:rsid w:val="00B05F2D"/>
    <w:rsid w:val="00B05FE7"/>
    <w:rsid w:val="00B064E2"/>
    <w:rsid w:val="00B06A05"/>
    <w:rsid w:val="00B06BF6"/>
    <w:rsid w:val="00B06F7F"/>
    <w:rsid w:val="00B07268"/>
    <w:rsid w:val="00B07533"/>
    <w:rsid w:val="00B0791B"/>
    <w:rsid w:val="00B07CF3"/>
    <w:rsid w:val="00B100F0"/>
    <w:rsid w:val="00B106FA"/>
    <w:rsid w:val="00B11670"/>
    <w:rsid w:val="00B11A6B"/>
    <w:rsid w:val="00B12151"/>
    <w:rsid w:val="00B12793"/>
    <w:rsid w:val="00B13403"/>
    <w:rsid w:val="00B13C27"/>
    <w:rsid w:val="00B1402E"/>
    <w:rsid w:val="00B14310"/>
    <w:rsid w:val="00B14865"/>
    <w:rsid w:val="00B15D4B"/>
    <w:rsid w:val="00B21D50"/>
    <w:rsid w:val="00B22C6A"/>
    <w:rsid w:val="00B22D2B"/>
    <w:rsid w:val="00B22F9B"/>
    <w:rsid w:val="00B23747"/>
    <w:rsid w:val="00B24090"/>
    <w:rsid w:val="00B257D9"/>
    <w:rsid w:val="00B257E3"/>
    <w:rsid w:val="00B25F59"/>
    <w:rsid w:val="00B260C7"/>
    <w:rsid w:val="00B27494"/>
    <w:rsid w:val="00B279B9"/>
    <w:rsid w:val="00B30F0B"/>
    <w:rsid w:val="00B33C4B"/>
    <w:rsid w:val="00B34705"/>
    <w:rsid w:val="00B34AFB"/>
    <w:rsid w:val="00B34D77"/>
    <w:rsid w:val="00B34F48"/>
    <w:rsid w:val="00B350CD"/>
    <w:rsid w:val="00B35E11"/>
    <w:rsid w:val="00B360F1"/>
    <w:rsid w:val="00B3654D"/>
    <w:rsid w:val="00B408CA"/>
    <w:rsid w:val="00B44F0B"/>
    <w:rsid w:val="00B45A35"/>
    <w:rsid w:val="00B479BF"/>
    <w:rsid w:val="00B47D32"/>
    <w:rsid w:val="00B50044"/>
    <w:rsid w:val="00B50BE9"/>
    <w:rsid w:val="00B51BA0"/>
    <w:rsid w:val="00B51DCB"/>
    <w:rsid w:val="00B5286A"/>
    <w:rsid w:val="00B535BD"/>
    <w:rsid w:val="00B53701"/>
    <w:rsid w:val="00B55983"/>
    <w:rsid w:val="00B56A26"/>
    <w:rsid w:val="00B6110A"/>
    <w:rsid w:val="00B6176A"/>
    <w:rsid w:val="00B61BF3"/>
    <w:rsid w:val="00B6301A"/>
    <w:rsid w:val="00B64CAD"/>
    <w:rsid w:val="00B64D06"/>
    <w:rsid w:val="00B64EB6"/>
    <w:rsid w:val="00B66751"/>
    <w:rsid w:val="00B67AA6"/>
    <w:rsid w:val="00B67B6A"/>
    <w:rsid w:val="00B7066C"/>
    <w:rsid w:val="00B7084D"/>
    <w:rsid w:val="00B70B09"/>
    <w:rsid w:val="00B713CB"/>
    <w:rsid w:val="00B716C5"/>
    <w:rsid w:val="00B717D8"/>
    <w:rsid w:val="00B72DF3"/>
    <w:rsid w:val="00B73007"/>
    <w:rsid w:val="00B73F75"/>
    <w:rsid w:val="00B74146"/>
    <w:rsid w:val="00B76F6C"/>
    <w:rsid w:val="00B771D4"/>
    <w:rsid w:val="00B77A15"/>
    <w:rsid w:val="00B805BB"/>
    <w:rsid w:val="00B8080B"/>
    <w:rsid w:val="00B811EF"/>
    <w:rsid w:val="00B8166D"/>
    <w:rsid w:val="00B8234D"/>
    <w:rsid w:val="00B833AF"/>
    <w:rsid w:val="00B83820"/>
    <w:rsid w:val="00B86EF1"/>
    <w:rsid w:val="00B875BE"/>
    <w:rsid w:val="00B87ABA"/>
    <w:rsid w:val="00B90674"/>
    <w:rsid w:val="00B924CB"/>
    <w:rsid w:val="00B934E3"/>
    <w:rsid w:val="00B94323"/>
    <w:rsid w:val="00B95BA6"/>
    <w:rsid w:val="00B961B7"/>
    <w:rsid w:val="00B963D4"/>
    <w:rsid w:val="00B96E12"/>
    <w:rsid w:val="00B9758E"/>
    <w:rsid w:val="00B9772B"/>
    <w:rsid w:val="00B97A9A"/>
    <w:rsid w:val="00BA0370"/>
    <w:rsid w:val="00BA29B0"/>
    <w:rsid w:val="00BA2BCD"/>
    <w:rsid w:val="00BA2DEF"/>
    <w:rsid w:val="00BA40A5"/>
    <w:rsid w:val="00BA42FB"/>
    <w:rsid w:val="00BA4768"/>
    <w:rsid w:val="00BA516F"/>
    <w:rsid w:val="00BA628C"/>
    <w:rsid w:val="00BA6C00"/>
    <w:rsid w:val="00BA7059"/>
    <w:rsid w:val="00BB0051"/>
    <w:rsid w:val="00BB02C6"/>
    <w:rsid w:val="00BB03CC"/>
    <w:rsid w:val="00BB1082"/>
    <w:rsid w:val="00BB132B"/>
    <w:rsid w:val="00BB2127"/>
    <w:rsid w:val="00BB2D44"/>
    <w:rsid w:val="00BB2DE6"/>
    <w:rsid w:val="00BB3805"/>
    <w:rsid w:val="00BB506D"/>
    <w:rsid w:val="00BB52A5"/>
    <w:rsid w:val="00BB5CAE"/>
    <w:rsid w:val="00BB6740"/>
    <w:rsid w:val="00BB7EA1"/>
    <w:rsid w:val="00BB7F81"/>
    <w:rsid w:val="00BC02A4"/>
    <w:rsid w:val="00BC12DB"/>
    <w:rsid w:val="00BC1B44"/>
    <w:rsid w:val="00BC269B"/>
    <w:rsid w:val="00BC27D2"/>
    <w:rsid w:val="00BC5811"/>
    <w:rsid w:val="00BC5F4C"/>
    <w:rsid w:val="00BC6D7A"/>
    <w:rsid w:val="00BC7094"/>
    <w:rsid w:val="00BD1D57"/>
    <w:rsid w:val="00BD35E1"/>
    <w:rsid w:val="00BD3831"/>
    <w:rsid w:val="00BD3EA5"/>
    <w:rsid w:val="00BD47F7"/>
    <w:rsid w:val="00BD54FC"/>
    <w:rsid w:val="00BD63C3"/>
    <w:rsid w:val="00BD76A4"/>
    <w:rsid w:val="00BE120B"/>
    <w:rsid w:val="00BE1572"/>
    <w:rsid w:val="00BE1C8A"/>
    <w:rsid w:val="00BE21B8"/>
    <w:rsid w:val="00BE35C0"/>
    <w:rsid w:val="00BE3788"/>
    <w:rsid w:val="00BE392B"/>
    <w:rsid w:val="00BE450E"/>
    <w:rsid w:val="00BE477E"/>
    <w:rsid w:val="00BE4857"/>
    <w:rsid w:val="00BE5157"/>
    <w:rsid w:val="00BE528B"/>
    <w:rsid w:val="00BE5847"/>
    <w:rsid w:val="00BE5BE0"/>
    <w:rsid w:val="00BE6A6E"/>
    <w:rsid w:val="00BE70E8"/>
    <w:rsid w:val="00BE7F4F"/>
    <w:rsid w:val="00BF0E76"/>
    <w:rsid w:val="00BF19DC"/>
    <w:rsid w:val="00BF1A90"/>
    <w:rsid w:val="00BF1D19"/>
    <w:rsid w:val="00BF2850"/>
    <w:rsid w:val="00BF2B3E"/>
    <w:rsid w:val="00BF2DAF"/>
    <w:rsid w:val="00BF4E1B"/>
    <w:rsid w:val="00BF5C0D"/>
    <w:rsid w:val="00BF63F7"/>
    <w:rsid w:val="00BF70B7"/>
    <w:rsid w:val="00BF7E44"/>
    <w:rsid w:val="00C00E98"/>
    <w:rsid w:val="00C016C7"/>
    <w:rsid w:val="00C02468"/>
    <w:rsid w:val="00C0289F"/>
    <w:rsid w:val="00C033B1"/>
    <w:rsid w:val="00C039D2"/>
    <w:rsid w:val="00C03BBA"/>
    <w:rsid w:val="00C0480F"/>
    <w:rsid w:val="00C05526"/>
    <w:rsid w:val="00C05D08"/>
    <w:rsid w:val="00C05F30"/>
    <w:rsid w:val="00C0627B"/>
    <w:rsid w:val="00C06ED8"/>
    <w:rsid w:val="00C10056"/>
    <w:rsid w:val="00C1043C"/>
    <w:rsid w:val="00C112EF"/>
    <w:rsid w:val="00C12A51"/>
    <w:rsid w:val="00C13F63"/>
    <w:rsid w:val="00C14BB9"/>
    <w:rsid w:val="00C15565"/>
    <w:rsid w:val="00C1591E"/>
    <w:rsid w:val="00C167AF"/>
    <w:rsid w:val="00C16EBD"/>
    <w:rsid w:val="00C17547"/>
    <w:rsid w:val="00C179BE"/>
    <w:rsid w:val="00C17D4B"/>
    <w:rsid w:val="00C200C6"/>
    <w:rsid w:val="00C20D36"/>
    <w:rsid w:val="00C21038"/>
    <w:rsid w:val="00C2173C"/>
    <w:rsid w:val="00C22703"/>
    <w:rsid w:val="00C2396B"/>
    <w:rsid w:val="00C25FD1"/>
    <w:rsid w:val="00C26DF1"/>
    <w:rsid w:val="00C2761F"/>
    <w:rsid w:val="00C2785F"/>
    <w:rsid w:val="00C3046B"/>
    <w:rsid w:val="00C30BA6"/>
    <w:rsid w:val="00C31467"/>
    <w:rsid w:val="00C328DA"/>
    <w:rsid w:val="00C34CCB"/>
    <w:rsid w:val="00C34CEC"/>
    <w:rsid w:val="00C34D57"/>
    <w:rsid w:val="00C34DB0"/>
    <w:rsid w:val="00C36696"/>
    <w:rsid w:val="00C36720"/>
    <w:rsid w:val="00C371DB"/>
    <w:rsid w:val="00C37518"/>
    <w:rsid w:val="00C37F00"/>
    <w:rsid w:val="00C41863"/>
    <w:rsid w:val="00C421C9"/>
    <w:rsid w:val="00C42A3A"/>
    <w:rsid w:val="00C42EE0"/>
    <w:rsid w:val="00C448C2"/>
    <w:rsid w:val="00C4517F"/>
    <w:rsid w:val="00C45232"/>
    <w:rsid w:val="00C4551E"/>
    <w:rsid w:val="00C45A6B"/>
    <w:rsid w:val="00C465DD"/>
    <w:rsid w:val="00C46E94"/>
    <w:rsid w:val="00C475CF"/>
    <w:rsid w:val="00C51371"/>
    <w:rsid w:val="00C52152"/>
    <w:rsid w:val="00C52BA5"/>
    <w:rsid w:val="00C52D34"/>
    <w:rsid w:val="00C52EF5"/>
    <w:rsid w:val="00C53323"/>
    <w:rsid w:val="00C540AD"/>
    <w:rsid w:val="00C54D8C"/>
    <w:rsid w:val="00C54FF7"/>
    <w:rsid w:val="00C57719"/>
    <w:rsid w:val="00C60B24"/>
    <w:rsid w:val="00C622E1"/>
    <w:rsid w:val="00C63463"/>
    <w:rsid w:val="00C64426"/>
    <w:rsid w:val="00C64D83"/>
    <w:rsid w:val="00C65C35"/>
    <w:rsid w:val="00C66CEF"/>
    <w:rsid w:val="00C670FE"/>
    <w:rsid w:val="00C67395"/>
    <w:rsid w:val="00C70134"/>
    <w:rsid w:val="00C701B2"/>
    <w:rsid w:val="00C70784"/>
    <w:rsid w:val="00C70FCF"/>
    <w:rsid w:val="00C71E3C"/>
    <w:rsid w:val="00C72002"/>
    <w:rsid w:val="00C722F8"/>
    <w:rsid w:val="00C72413"/>
    <w:rsid w:val="00C74881"/>
    <w:rsid w:val="00C75492"/>
    <w:rsid w:val="00C76436"/>
    <w:rsid w:val="00C77C78"/>
    <w:rsid w:val="00C8146C"/>
    <w:rsid w:val="00C82741"/>
    <w:rsid w:val="00C846DD"/>
    <w:rsid w:val="00C84BED"/>
    <w:rsid w:val="00C85CA6"/>
    <w:rsid w:val="00C861C1"/>
    <w:rsid w:val="00C90117"/>
    <w:rsid w:val="00C90B07"/>
    <w:rsid w:val="00C9147E"/>
    <w:rsid w:val="00C91B26"/>
    <w:rsid w:val="00C925ED"/>
    <w:rsid w:val="00C92EE9"/>
    <w:rsid w:val="00C9339F"/>
    <w:rsid w:val="00C945D2"/>
    <w:rsid w:val="00C946CB"/>
    <w:rsid w:val="00C9483E"/>
    <w:rsid w:val="00C94B8F"/>
    <w:rsid w:val="00C94D33"/>
    <w:rsid w:val="00C965D6"/>
    <w:rsid w:val="00C96A10"/>
    <w:rsid w:val="00C9753B"/>
    <w:rsid w:val="00C97883"/>
    <w:rsid w:val="00CA0793"/>
    <w:rsid w:val="00CA0B9F"/>
    <w:rsid w:val="00CA142C"/>
    <w:rsid w:val="00CA1828"/>
    <w:rsid w:val="00CA19CD"/>
    <w:rsid w:val="00CA21C5"/>
    <w:rsid w:val="00CA2652"/>
    <w:rsid w:val="00CA2719"/>
    <w:rsid w:val="00CA3AA2"/>
    <w:rsid w:val="00CA4A62"/>
    <w:rsid w:val="00CA54C1"/>
    <w:rsid w:val="00CA597B"/>
    <w:rsid w:val="00CA659E"/>
    <w:rsid w:val="00CA7142"/>
    <w:rsid w:val="00CA7751"/>
    <w:rsid w:val="00CB096F"/>
    <w:rsid w:val="00CB09D6"/>
    <w:rsid w:val="00CB23DD"/>
    <w:rsid w:val="00CB2757"/>
    <w:rsid w:val="00CB2FE7"/>
    <w:rsid w:val="00CB3B57"/>
    <w:rsid w:val="00CB42A9"/>
    <w:rsid w:val="00CB42AE"/>
    <w:rsid w:val="00CB58B0"/>
    <w:rsid w:val="00CB6768"/>
    <w:rsid w:val="00CB680F"/>
    <w:rsid w:val="00CB72E7"/>
    <w:rsid w:val="00CB77E3"/>
    <w:rsid w:val="00CB7E59"/>
    <w:rsid w:val="00CC0E46"/>
    <w:rsid w:val="00CC1577"/>
    <w:rsid w:val="00CC17DB"/>
    <w:rsid w:val="00CC1E84"/>
    <w:rsid w:val="00CC2EFF"/>
    <w:rsid w:val="00CC2F01"/>
    <w:rsid w:val="00CC326C"/>
    <w:rsid w:val="00CC390F"/>
    <w:rsid w:val="00CC6429"/>
    <w:rsid w:val="00CC6453"/>
    <w:rsid w:val="00CC6A5E"/>
    <w:rsid w:val="00CC6D54"/>
    <w:rsid w:val="00CC770A"/>
    <w:rsid w:val="00CD0BF2"/>
    <w:rsid w:val="00CD14ED"/>
    <w:rsid w:val="00CD22CE"/>
    <w:rsid w:val="00CD2D8A"/>
    <w:rsid w:val="00CD31EA"/>
    <w:rsid w:val="00CD4AF7"/>
    <w:rsid w:val="00CD558E"/>
    <w:rsid w:val="00CD692F"/>
    <w:rsid w:val="00CE0392"/>
    <w:rsid w:val="00CE0F3C"/>
    <w:rsid w:val="00CE18E1"/>
    <w:rsid w:val="00CE2348"/>
    <w:rsid w:val="00CE3ABD"/>
    <w:rsid w:val="00CE4690"/>
    <w:rsid w:val="00CE46EF"/>
    <w:rsid w:val="00CE5481"/>
    <w:rsid w:val="00CE5866"/>
    <w:rsid w:val="00CE61E6"/>
    <w:rsid w:val="00CE6FB9"/>
    <w:rsid w:val="00CE7CA5"/>
    <w:rsid w:val="00CF0045"/>
    <w:rsid w:val="00CF0149"/>
    <w:rsid w:val="00CF0462"/>
    <w:rsid w:val="00CF0F8B"/>
    <w:rsid w:val="00CF1FB7"/>
    <w:rsid w:val="00CF20E7"/>
    <w:rsid w:val="00CF2763"/>
    <w:rsid w:val="00CF6005"/>
    <w:rsid w:val="00CF7194"/>
    <w:rsid w:val="00CF7C90"/>
    <w:rsid w:val="00CF7EA0"/>
    <w:rsid w:val="00D00600"/>
    <w:rsid w:val="00D011E8"/>
    <w:rsid w:val="00D020BB"/>
    <w:rsid w:val="00D0260D"/>
    <w:rsid w:val="00D02961"/>
    <w:rsid w:val="00D0329F"/>
    <w:rsid w:val="00D038AB"/>
    <w:rsid w:val="00D04C40"/>
    <w:rsid w:val="00D05D4F"/>
    <w:rsid w:val="00D06299"/>
    <w:rsid w:val="00D06F9E"/>
    <w:rsid w:val="00D1045D"/>
    <w:rsid w:val="00D108BD"/>
    <w:rsid w:val="00D118E6"/>
    <w:rsid w:val="00D120F2"/>
    <w:rsid w:val="00D12B00"/>
    <w:rsid w:val="00D133AA"/>
    <w:rsid w:val="00D13B0B"/>
    <w:rsid w:val="00D13CCF"/>
    <w:rsid w:val="00D14CF7"/>
    <w:rsid w:val="00D15E67"/>
    <w:rsid w:val="00D1601A"/>
    <w:rsid w:val="00D17763"/>
    <w:rsid w:val="00D17AC1"/>
    <w:rsid w:val="00D17FE7"/>
    <w:rsid w:val="00D20ABB"/>
    <w:rsid w:val="00D2118F"/>
    <w:rsid w:val="00D2328C"/>
    <w:rsid w:val="00D237E8"/>
    <w:rsid w:val="00D24AEE"/>
    <w:rsid w:val="00D261FB"/>
    <w:rsid w:val="00D269A5"/>
    <w:rsid w:val="00D26F04"/>
    <w:rsid w:val="00D2793C"/>
    <w:rsid w:val="00D27E61"/>
    <w:rsid w:val="00D27F9D"/>
    <w:rsid w:val="00D3073E"/>
    <w:rsid w:val="00D30D3B"/>
    <w:rsid w:val="00D31676"/>
    <w:rsid w:val="00D316C8"/>
    <w:rsid w:val="00D31DAD"/>
    <w:rsid w:val="00D337D5"/>
    <w:rsid w:val="00D33A93"/>
    <w:rsid w:val="00D341FF"/>
    <w:rsid w:val="00D34788"/>
    <w:rsid w:val="00D34817"/>
    <w:rsid w:val="00D35C1B"/>
    <w:rsid w:val="00D365BB"/>
    <w:rsid w:val="00D36A0D"/>
    <w:rsid w:val="00D370EE"/>
    <w:rsid w:val="00D371EF"/>
    <w:rsid w:val="00D37357"/>
    <w:rsid w:val="00D3795A"/>
    <w:rsid w:val="00D37AB5"/>
    <w:rsid w:val="00D40C74"/>
    <w:rsid w:val="00D4173C"/>
    <w:rsid w:val="00D43282"/>
    <w:rsid w:val="00D43517"/>
    <w:rsid w:val="00D43EA4"/>
    <w:rsid w:val="00D44416"/>
    <w:rsid w:val="00D44508"/>
    <w:rsid w:val="00D467B7"/>
    <w:rsid w:val="00D4738F"/>
    <w:rsid w:val="00D47810"/>
    <w:rsid w:val="00D5128E"/>
    <w:rsid w:val="00D512B6"/>
    <w:rsid w:val="00D51752"/>
    <w:rsid w:val="00D51CB9"/>
    <w:rsid w:val="00D524EE"/>
    <w:rsid w:val="00D52FD0"/>
    <w:rsid w:val="00D53017"/>
    <w:rsid w:val="00D53E5E"/>
    <w:rsid w:val="00D53F14"/>
    <w:rsid w:val="00D5421B"/>
    <w:rsid w:val="00D542F9"/>
    <w:rsid w:val="00D54385"/>
    <w:rsid w:val="00D54C26"/>
    <w:rsid w:val="00D54EB1"/>
    <w:rsid w:val="00D55615"/>
    <w:rsid w:val="00D55E06"/>
    <w:rsid w:val="00D575B8"/>
    <w:rsid w:val="00D60283"/>
    <w:rsid w:val="00D60EB5"/>
    <w:rsid w:val="00D6127C"/>
    <w:rsid w:val="00D6259C"/>
    <w:rsid w:val="00D62949"/>
    <w:rsid w:val="00D62ED7"/>
    <w:rsid w:val="00D62F60"/>
    <w:rsid w:val="00D636EB"/>
    <w:rsid w:val="00D63A27"/>
    <w:rsid w:val="00D63B91"/>
    <w:rsid w:val="00D63BC9"/>
    <w:rsid w:val="00D64A4A"/>
    <w:rsid w:val="00D656B0"/>
    <w:rsid w:val="00D66116"/>
    <w:rsid w:val="00D6679C"/>
    <w:rsid w:val="00D70236"/>
    <w:rsid w:val="00D71306"/>
    <w:rsid w:val="00D71B08"/>
    <w:rsid w:val="00D72D6E"/>
    <w:rsid w:val="00D72EF5"/>
    <w:rsid w:val="00D730A7"/>
    <w:rsid w:val="00D731E2"/>
    <w:rsid w:val="00D73902"/>
    <w:rsid w:val="00D73EE6"/>
    <w:rsid w:val="00D742D2"/>
    <w:rsid w:val="00D744DC"/>
    <w:rsid w:val="00D75324"/>
    <w:rsid w:val="00D7559A"/>
    <w:rsid w:val="00D75748"/>
    <w:rsid w:val="00D75940"/>
    <w:rsid w:val="00D75AC8"/>
    <w:rsid w:val="00D75CF7"/>
    <w:rsid w:val="00D75F59"/>
    <w:rsid w:val="00D76C92"/>
    <w:rsid w:val="00D76ECA"/>
    <w:rsid w:val="00D776C3"/>
    <w:rsid w:val="00D77FDA"/>
    <w:rsid w:val="00D80153"/>
    <w:rsid w:val="00D814D8"/>
    <w:rsid w:val="00D81AC7"/>
    <w:rsid w:val="00D82035"/>
    <w:rsid w:val="00D84812"/>
    <w:rsid w:val="00D8495C"/>
    <w:rsid w:val="00D86737"/>
    <w:rsid w:val="00D8696A"/>
    <w:rsid w:val="00D86BA5"/>
    <w:rsid w:val="00D87815"/>
    <w:rsid w:val="00D9153B"/>
    <w:rsid w:val="00D91611"/>
    <w:rsid w:val="00D9197B"/>
    <w:rsid w:val="00D9357F"/>
    <w:rsid w:val="00D93C94"/>
    <w:rsid w:val="00D95903"/>
    <w:rsid w:val="00D95D78"/>
    <w:rsid w:val="00D95E6F"/>
    <w:rsid w:val="00D961CD"/>
    <w:rsid w:val="00DA0810"/>
    <w:rsid w:val="00DA118D"/>
    <w:rsid w:val="00DA1705"/>
    <w:rsid w:val="00DA1E92"/>
    <w:rsid w:val="00DA2C4F"/>
    <w:rsid w:val="00DA323B"/>
    <w:rsid w:val="00DA3FCE"/>
    <w:rsid w:val="00DA53E7"/>
    <w:rsid w:val="00DA56C5"/>
    <w:rsid w:val="00DA770E"/>
    <w:rsid w:val="00DB02DF"/>
    <w:rsid w:val="00DB229F"/>
    <w:rsid w:val="00DB2431"/>
    <w:rsid w:val="00DB3C47"/>
    <w:rsid w:val="00DB4203"/>
    <w:rsid w:val="00DB42D9"/>
    <w:rsid w:val="00DB4D3D"/>
    <w:rsid w:val="00DB7080"/>
    <w:rsid w:val="00DB7CA1"/>
    <w:rsid w:val="00DB7E1E"/>
    <w:rsid w:val="00DC25DA"/>
    <w:rsid w:val="00DC2B86"/>
    <w:rsid w:val="00DC4048"/>
    <w:rsid w:val="00DC5149"/>
    <w:rsid w:val="00DC7222"/>
    <w:rsid w:val="00DC7794"/>
    <w:rsid w:val="00DD0A8C"/>
    <w:rsid w:val="00DD0CD3"/>
    <w:rsid w:val="00DD19B7"/>
    <w:rsid w:val="00DD1B88"/>
    <w:rsid w:val="00DD1F47"/>
    <w:rsid w:val="00DD2986"/>
    <w:rsid w:val="00DD3C08"/>
    <w:rsid w:val="00DD45DE"/>
    <w:rsid w:val="00DD584D"/>
    <w:rsid w:val="00DD5A40"/>
    <w:rsid w:val="00DD6A79"/>
    <w:rsid w:val="00DD7557"/>
    <w:rsid w:val="00DD7CE1"/>
    <w:rsid w:val="00DE0476"/>
    <w:rsid w:val="00DE1C5E"/>
    <w:rsid w:val="00DE2824"/>
    <w:rsid w:val="00DE2AAC"/>
    <w:rsid w:val="00DE529A"/>
    <w:rsid w:val="00DE702B"/>
    <w:rsid w:val="00DE7070"/>
    <w:rsid w:val="00DE764F"/>
    <w:rsid w:val="00DE7674"/>
    <w:rsid w:val="00DE77A1"/>
    <w:rsid w:val="00DF1125"/>
    <w:rsid w:val="00DF1AA8"/>
    <w:rsid w:val="00DF27AC"/>
    <w:rsid w:val="00DF28E7"/>
    <w:rsid w:val="00DF3883"/>
    <w:rsid w:val="00DF399A"/>
    <w:rsid w:val="00DF55D3"/>
    <w:rsid w:val="00DF6195"/>
    <w:rsid w:val="00DF626F"/>
    <w:rsid w:val="00DF6280"/>
    <w:rsid w:val="00DF6A57"/>
    <w:rsid w:val="00DF7B14"/>
    <w:rsid w:val="00DF7DF3"/>
    <w:rsid w:val="00E00009"/>
    <w:rsid w:val="00E00507"/>
    <w:rsid w:val="00E01EF4"/>
    <w:rsid w:val="00E01F9A"/>
    <w:rsid w:val="00E02CF2"/>
    <w:rsid w:val="00E03385"/>
    <w:rsid w:val="00E044A8"/>
    <w:rsid w:val="00E04939"/>
    <w:rsid w:val="00E04947"/>
    <w:rsid w:val="00E04A3D"/>
    <w:rsid w:val="00E04C30"/>
    <w:rsid w:val="00E050BF"/>
    <w:rsid w:val="00E051CF"/>
    <w:rsid w:val="00E069F7"/>
    <w:rsid w:val="00E06C35"/>
    <w:rsid w:val="00E06E7C"/>
    <w:rsid w:val="00E0710D"/>
    <w:rsid w:val="00E072A7"/>
    <w:rsid w:val="00E07F71"/>
    <w:rsid w:val="00E1046D"/>
    <w:rsid w:val="00E10B27"/>
    <w:rsid w:val="00E114D8"/>
    <w:rsid w:val="00E11E24"/>
    <w:rsid w:val="00E12811"/>
    <w:rsid w:val="00E1347F"/>
    <w:rsid w:val="00E146C6"/>
    <w:rsid w:val="00E14E59"/>
    <w:rsid w:val="00E1621B"/>
    <w:rsid w:val="00E168D3"/>
    <w:rsid w:val="00E16F0A"/>
    <w:rsid w:val="00E2092E"/>
    <w:rsid w:val="00E20A78"/>
    <w:rsid w:val="00E21114"/>
    <w:rsid w:val="00E2187F"/>
    <w:rsid w:val="00E21915"/>
    <w:rsid w:val="00E22B84"/>
    <w:rsid w:val="00E22F67"/>
    <w:rsid w:val="00E2534C"/>
    <w:rsid w:val="00E25E1D"/>
    <w:rsid w:val="00E26045"/>
    <w:rsid w:val="00E26BDB"/>
    <w:rsid w:val="00E270BB"/>
    <w:rsid w:val="00E27304"/>
    <w:rsid w:val="00E30A31"/>
    <w:rsid w:val="00E316A4"/>
    <w:rsid w:val="00E3196C"/>
    <w:rsid w:val="00E3284A"/>
    <w:rsid w:val="00E337F5"/>
    <w:rsid w:val="00E339E4"/>
    <w:rsid w:val="00E34AA4"/>
    <w:rsid w:val="00E34EBC"/>
    <w:rsid w:val="00E35BD9"/>
    <w:rsid w:val="00E35E6F"/>
    <w:rsid w:val="00E36A94"/>
    <w:rsid w:val="00E36CAB"/>
    <w:rsid w:val="00E36FAE"/>
    <w:rsid w:val="00E37211"/>
    <w:rsid w:val="00E37464"/>
    <w:rsid w:val="00E37848"/>
    <w:rsid w:val="00E4034D"/>
    <w:rsid w:val="00E404B3"/>
    <w:rsid w:val="00E41EE7"/>
    <w:rsid w:val="00E42035"/>
    <w:rsid w:val="00E42084"/>
    <w:rsid w:val="00E4258C"/>
    <w:rsid w:val="00E43142"/>
    <w:rsid w:val="00E44218"/>
    <w:rsid w:val="00E4436E"/>
    <w:rsid w:val="00E44D16"/>
    <w:rsid w:val="00E47A97"/>
    <w:rsid w:val="00E47C80"/>
    <w:rsid w:val="00E502DB"/>
    <w:rsid w:val="00E5074B"/>
    <w:rsid w:val="00E50E6E"/>
    <w:rsid w:val="00E528F1"/>
    <w:rsid w:val="00E52FF4"/>
    <w:rsid w:val="00E53010"/>
    <w:rsid w:val="00E533A0"/>
    <w:rsid w:val="00E55808"/>
    <w:rsid w:val="00E559EA"/>
    <w:rsid w:val="00E5639C"/>
    <w:rsid w:val="00E5696D"/>
    <w:rsid w:val="00E56E45"/>
    <w:rsid w:val="00E57D14"/>
    <w:rsid w:val="00E57F63"/>
    <w:rsid w:val="00E6161C"/>
    <w:rsid w:val="00E62DEC"/>
    <w:rsid w:val="00E63233"/>
    <w:rsid w:val="00E651BE"/>
    <w:rsid w:val="00E65C62"/>
    <w:rsid w:val="00E65F8A"/>
    <w:rsid w:val="00E66ECB"/>
    <w:rsid w:val="00E66F72"/>
    <w:rsid w:val="00E672BE"/>
    <w:rsid w:val="00E67486"/>
    <w:rsid w:val="00E7102C"/>
    <w:rsid w:val="00E727CE"/>
    <w:rsid w:val="00E7308E"/>
    <w:rsid w:val="00E749E1"/>
    <w:rsid w:val="00E74A17"/>
    <w:rsid w:val="00E7579E"/>
    <w:rsid w:val="00E75A5D"/>
    <w:rsid w:val="00E75D3A"/>
    <w:rsid w:val="00E76A17"/>
    <w:rsid w:val="00E76E3A"/>
    <w:rsid w:val="00E77FF2"/>
    <w:rsid w:val="00E8007A"/>
    <w:rsid w:val="00E80578"/>
    <w:rsid w:val="00E80B43"/>
    <w:rsid w:val="00E8152D"/>
    <w:rsid w:val="00E833CB"/>
    <w:rsid w:val="00E83995"/>
    <w:rsid w:val="00E83BD3"/>
    <w:rsid w:val="00E83CBA"/>
    <w:rsid w:val="00E83D2E"/>
    <w:rsid w:val="00E83FB2"/>
    <w:rsid w:val="00E841B7"/>
    <w:rsid w:val="00E84C8B"/>
    <w:rsid w:val="00E8500A"/>
    <w:rsid w:val="00E85995"/>
    <w:rsid w:val="00E90615"/>
    <w:rsid w:val="00E91FE0"/>
    <w:rsid w:val="00E9287A"/>
    <w:rsid w:val="00E93059"/>
    <w:rsid w:val="00E936D3"/>
    <w:rsid w:val="00E93749"/>
    <w:rsid w:val="00E94BE8"/>
    <w:rsid w:val="00E95AC2"/>
    <w:rsid w:val="00E95BCC"/>
    <w:rsid w:val="00E97167"/>
    <w:rsid w:val="00E97881"/>
    <w:rsid w:val="00E97B45"/>
    <w:rsid w:val="00E97DBB"/>
    <w:rsid w:val="00EA0169"/>
    <w:rsid w:val="00EA26A5"/>
    <w:rsid w:val="00EA3781"/>
    <w:rsid w:val="00EA5023"/>
    <w:rsid w:val="00EA50F4"/>
    <w:rsid w:val="00EA52C8"/>
    <w:rsid w:val="00EA7061"/>
    <w:rsid w:val="00EB13FE"/>
    <w:rsid w:val="00EB1652"/>
    <w:rsid w:val="00EB183A"/>
    <w:rsid w:val="00EB2087"/>
    <w:rsid w:val="00EB254B"/>
    <w:rsid w:val="00EB3859"/>
    <w:rsid w:val="00EB39F1"/>
    <w:rsid w:val="00EB472E"/>
    <w:rsid w:val="00EB5434"/>
    <w:rsid w:val="00EB5D6C"/>
    <w:rsid w:val="00EB6A9B"/>
    <w:rsid w:val="00EB76D6"/>
    <w:rsid w:val="00EB7709"/>
    <w:rsid w:val="00EB78E0"/>
    <w:rsid w:val="00EB7E51"/>
    <w:rsid w:val="00EC0178"/>
    <w:rsid w:val="00EC049F"/>
    <w:rsid w:val="00EC0650"/>
    <w:rsid w:val="00EC2F4F"/>
    <w:rsid w:val="00EC2FDA"/>
    <w:rsid w:val="00EC3289"/>
    <w:rsid w:val="00EC3A84"/>
    <w:rsid w:val="00EC41AF"/>
    <w:rsid w:val="00EC6404"/>
    <w:rsid w:val="00EC7095"/>
    <w:rsid w:val="00EC7C34"/>
    <w:rsid w:val="00ED024E"/>
    <w:rsid w:val="00ED0696"/>
    <w:rsid w:val="00ED0C60"/>
    <w:rsid w:val="00ED194C"/>
    <w:rsid w:val="00ED1D88"/>
    <w:rsid w:val="00ED2C26"/>
    <w:rsid w:val="00ED3686"/>
    <w:rsid w:val="00ED3898"/>
    <w:rsid w:val="00ED3922"/>
    <w:rsid w:val="00ED4A1C"/>
    <w:rsid w:val="00ED4F39"/>
    <w:rsid w:val="00ED54EB"/>
    <w:rsid w:val="00ED556D"/>
    <w:rsid w:val="00ED5C00"/>
    <w:rsid w:val="00ED5EC2"/>
    <w:rsid w:val="00ED70C5"/>
    <w:rsid w:val="00EE0858"/>
    <w:rsid w:val="00EE0DF2"/>
    <w:rsid w:val="00EE11E4"/>
    <w:rsid w:val="00EE208D"/>
    <w:rsid w:val="00EE21DD"/>
    <w:rsid w:val="00EE56DF"/>
    <w:rsid w:val="00EF1415"/>
    <w:rsid w:val="00EF1A24"/>
    <w:rsid w:val="00EF1BF1"/>
    <w:rsid w:val="00EF4B99"/>
    <w:rsid w:val="00EF4CF6"/>
    <w:rsid w:val="00EF60BB"/>
    <w:rsid w:val="00EF71E1"/>
    <w:rsid w:val="00EF7B38"/>
    <w:rsid w:val="00EF7B88"/>
    <w:rsid w:val="00EF7DD8"/>
    <w:rsid w:val="00F01BD5"/>
    <w:rsid w:val="00F0264E"/>
    <w:rsid w:val="00F05991"/>
    <w:rsid w:val="00F05D82"/>
    <w:rsid w:val="00F05EAF"/>
    <w:rsid w:val="00F0631D"/>
    <w:rsid w:val="00F06D7C"/>
    <w:rsid w:val="00F1049D"/>
    <w:rsid w:val="00F10B81"/>
    <w:rsid w:val="00F10C6E"/>
    <w:rsid w:val="00F119F0"/>
    <w:rsid w:val="00F12FFA"/>
    <w:rsid w:val="00F147FD"/>
    <w:rsid w:val="00F15FC1"/>
    <w:rsid w:val="00F17762"/>
    <w:rsid w:val="00F17F62"/>
    <w:rsid w:val="00F2113F"/>
    <w:rsid w:val="00F215EB"/>
    <w:rsid w:val="00F22793"/>
    <w:rsid w:val="00F22867"/>
    <w:rsid w:val="00F2293E"/>
    <w:rsid w:val="00F22CF2"/>
    <w:rsid w:val="00F23035"/>
    <w:rsid w:val="00F23BAE"/>
    <w:rsid w:val="00F23C5A"/>
    <w:rsid w:val="00F23E91"/>
    <w:rsid w:val="00F25757"/>
    <w:rsid w:val="00F277D4"/>
    <w:rsid w:val="00F27C2D"/>
    <w:rsid w:val="00F30870"/>
    <w:rsid w:val="00F30EAE"/>
    <w:rsid w:val="00F31104"/>
    <w:rsid w:val="00F31A0A"/>
    <w:rsid w:val="00F31CB3"/>
    <w:rsid w:val="00F3259A"/>
    <w:rsid w:val="00F32FFA"/>
    <w:rsid w:val="00F33737"/>
    <w:rsid w:val="00F34E93"/>
    <w:rsid w:val="00F350FA"/>
    <w:rsid w:val="00F353B2"/>
    <w:rsid w:val="00F37A30"/>
    <w:rsid w:val="00F37AB1"/>
    <w:rsid w:val="00F40D54"/>
    <w:rsid w:val="00F412D8"/>
    <w:rsid w:val="00F437D3"/>
    <w:rsid w:val="00F44239"/>
    <w:rsid w:val="00F4474B"/>
    <w:rsid w:val="00F448A1"/>
    <w:rsid w:val="00F44969"/>
    <w:rsid w:val="00F45927"/>
    <w:rsid w:val="00F45967"/>
    <w:rsid w:val="00F46AE9"/>
    <w:rsid w:val="00F475DE"/>
    <w:rsid w:val="00F50A3B"/>
    <w:rsid w:val="00F513E5"/>
    <w:rsid w:val="00F5219B"/>
    <w:rsid w:val="00F522F0"/>
    <w:rsid w:val="00F53138"/>
    <w:rsid w:val="00F534C0"/>
    <w:rsid w:val="00F53D27"/>
    <w:rsid w:val="00F53FBF"/>
    <w:rsid w:val="00F5479F"/>
    <w:rsid w:val="00F54930"/>
    <w:rsid w:val="00F549B1"/>
    <w:rsid w:val="00F54D8C"/>
    <w:rsid w:val="00F550B1"/>
    <w:rsid w:val="00F5523B"/>
    <w:rsid w:val="00F55F6F"/>
    <w:rsid w:val="00F55FE2"/>
    <w:rsid w:val="00F56D00"/>
    <w:rsid w:val="00F60352"/>
    <w:rsid w:val="00F608E7"/>
    <w:rsid w:val="00F60ACB"/>
    <w:rsid w:val="00F623B6"/>
    <w:rsid w:val="00F6260E"/>
    <w:rsid w:val="00F6280F"/>
    <w:rsid w:val="00F62819"/>
    <w:rsid w:val="00F6394B"/>
    <w:rsid w:val="00F63F32"/>
    <w:rsid w:val="00F64F94"/>
    <w:rsid w:val="00F675A9"/>
    <w:rsid w:val="00F708D9"/>
    <w:rsid w:val="00F710DF"/>
    <w:rsid w:val="00F7127B"/>
    <w:rsid w:val="00F720FB"/>
    <w:rsid w:val="00F72D5F"/>
    <w:rsid w:val="00F7404D"/>
    <w:rsid w:val="00F745FB"/>
    <w:rsid w:val="00F7496B"/>
    <w:rsid w:val="00F74B18"/>
    <w:rsid w:val="00F75A4D"/>
    <w:rsid w:val="00F76330"/>
    <w:rsid w:val="00F76C2C"/>
    <w:rsid w:val="00F8000B"/>
    <w:rsid w:val="00F80602"/>
    <w:rsid w:val="00F81150"/>
    <w:rsid w:val="00F81376"/>
    <w:rsid w:val="00F83D66"/>
    <w:rsid w:val="00F84A09"/>
    <w:rsid w:val="00F84C20"/>
    <w:rsid w:val="00F85BA2"/>
    <w:rsid w:val="00F8605D"/>
    <w:rsid w:val="00F86302"/>
    <w:rsid w:val="00F864B2"/>
    <w:rsid w:val="00F86B3E"/>
    <w:rsid w:val="00F90912"/>
    <w:rsid w:val="00F92112"/>
    <w:rsid w:val="00F9230A"/>
    <w:rsid w:val="00F92366"/>
    <w:rsid w:val="00F92753"/>
    <w:rsid w:val="00F92FCC"/>
    <w:rsid w:val="00F93E33"/>
    <w:rsid w:val="00F9540F"/>
    <w:rsid w:val="00F9598E"/>
    <w:rsid w:val="00F95AD4"/>
    <w:rsid w:val="00F96B32"/>
    <w:rsid w:val="00F96C6F"/>
    <w:rsid w:val="00F9735A"/>
    <w:rsid w:val="00FA0BEA"/>
    <w:rsid w:val="00FA399F"/>
    <w:rsid w:val="00FA3B9A"/>
    <w:rsid w:val="00FA42F4"/>
    <w:rsid w:val="00FA617E"/>
    <w:rsid w:val="00FA65A7"/>
    <w:rsid w:val="00FA6803"/>
    <w:rsid w:val="00FB0638"/>
    <w:rsid w:val="00FB0730"/>
    <w:rsid w:val="00FB0BC1"/>
    <w:rsid w:val="00FB0E8E"/>
    <w:rsid w:val="00FB14A0"/>
    <w:rsid w:val="00FB2204"/>
    <w:rsid w:val="00FB24C0"/>
    <w:rsid w:val="00FB2585"/>
    <w:rsid w:val="00FB273D"/>
    <w:rsid w:val="00FB28E2"/>
    <w:rsid w:val="00FB4E4A"/>
    <w:rsid w:val="00FB5E3A"/>
    <w:rsid w:val="00FB6D3A"/>
    <w:rsid w:val="00FB6E67"/>
    <w:rsid w:val="00FB7924"/>
    <w:rsid w:val="00FB7F35"/>
    <w:rsid w:val="00FC11D6"/>
    <w:rsid w:val="00FC1ADF"/>
    <w:rsid w:val="00FC23ED"/>
    <w:rsid w:val="00FC2A2D"/>
    <w:rsid w:val="00FC4655"/>
    <w:rsid w:val="00FC48DD"/>
    <w:rsid w:val="00FC4D33"/>
    <w:rsid w:val="00FC569E"/>
    <w:rsid w:val="00FC67E5"/>
    <w:rsid w:val="00FC6BFF"/>
    <w:rsid w:val="00FC7563"/>
    <w:rsid w:val="00FC7E75"/>
    <w:rsid w:val="00FD01BC"/>
    <w:rsid w:val="00FD04EB"/>
    <w:rsid w:val="00FD1036"/>
    <w:rsid w:val="00FD131D"/>
    <w:rsid w:val="00FD2781"/>
    <w:rsid w:val="00FD3663"/>
    <w:rsid w:val="00FD3ED8"/>
    <w:rsid w:val="00FD45A5"/>
    <w:rsid w:val="00FD5177"/>
    <w:rsid w:val="00FD5B4C"/>
    <w:rsid w:val="00FE1BE9"/>
    <w:rsid w:val="00FE35E1"/>
    <w:rsid w:val="00FE3AC0"/>
    <w:rsid w:val="00FE3CD6"/>
    <w:rsid w:val="00FE5BCF"/>
    <w:rsid w:val="00FE6571"/>
    <w:rsid w:val="00FE6D86"/>
    <w:rsid w:val="00FE7883"/>
    <w:rsid w:val="00FF0884"/>
    <w:rsid w:val="00FF0A7E"/>
    <w:rsid w:val="00FF0DA7"/>
    <w:rsid w:val="00FF246D"/>
    <w:rsid w:val="00FF3276"/>
    <w:rsid w:val="00FF5918"/>
    <w:rsid w:val="00FF5B26"/>
    <w:rsid w:val="00FF6ADD"/>
    <w:rsid w:val="00FF6F65"/>
    <w:rsid w:val="00FF703D"/>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A82AA6B"/>
  <w15:docId w15:val="{F19BCDBE-C9A6-4080-84BF-77CC9988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rPr>
  </w:style>
  <w:style w:type="paragraph" w:styleId="Heading2">
    <w:name w:val="heading 2"/>
    <w:basedOn w:val="Normal"/>
    <w:next w:val="Normal"/>
    <w:link w:val="Heading2Char"/>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rPr>
  </w:style>
  <w:style w:type="paragraph" w:styleId="FootnoteText">
    <w:name w:val="footnote text"/>
    <w:aliases w:val="Lábjegyzet-szöveg, Tegn1, Tegn1 Char, Char Char Char,Footnote Text Char1 Char,Footnote Text Char2 Char Char,Footnote Text Char Char2 Char Char,Footnote Text Char1 Char Char Char,Footnote Text Char Char Char Char Char,ft,Podrozdział,Char,fn"/>
    <w:basedOn w:val="Normal"/>
    <w:link w:val="FootnoteTextChar"/>
    <w:uiPriority w:val="99"/>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link w:val="Char2"/>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Bullets,List Paragraph1,List Paragraph (numbered (a)),Akapit z listą BS,WB Para"/>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Lábjegyzet-szöveg Char, Tegn1 Char1, Tegn1 Char Char, Char Char Char Char,Footnote Text Char1 Char Char,Footnote Text Char2 Char Char Char,Footnote Text Char Char2 Char Char Char,Footnote Text Char1 Char Char Char Char,ft Char,fn Char"/>
    <w:basedOn w:val="DefaultParagraphFont"/>
    <w:link w:val="FootnoteText"/>
    <w:uiPriority w:val="99"/>
    <w:rsid w:val="00D6679C"/>
    <w:rPr>
      <w:rFonts w:ascii="Courier" w:hAnsi="Courier"/>
      <w:lang w:val="en-US" w:eastAsia="en-US"/>
    </w:rPr>
  </w:style>
  <w:style w:type="paragraph" w:styleId="NoSpacing">
    <w:name w:val="No Spacing"/>
    <w:link w:val="NoSpacingChar"/>
    <w:uiPriority w:val="1"/>
    <w:qFormat/>
    <w:rsid w:val="005C7E5C"/>
    <w:rPr>
      <w:rFonts w:asciiTheme="minorHAnsi" w:eastAsiaTheme="minorEastAsia" w:hAnsiTheme="minorHAnsi" w:cstheme="minorBidi"/>
      <w:sz w:val="22"/>
      <w:szCs w:val="22"/>
      <w:lang w:val="en-US" w:eastAsia="en-US"/>
    </w:rPr>
  </w:style>
  <w:style w:type="paragraph" w:customStyle="1" w:styleId="Char2">
    <w:name w:val="Char2"/>
    <w:basedOn w:val="Normal"/>
    <w:link w:val="FootnoteReference"/>
    <w:uiPriority w:val="99"/>
    <w:rsid w:val="005C7E5C"/>
    <w:pPr>
      <w:spacing w:after="160" w:line="240" w:lineRule="exact"/>
    </w:pPr>
    <w:rPr>
      <w:vertAlign w:val="superscript"/>
      <w:lang w:val="en-GB" w:eastAsia="en-GB"/>
    </w:rPr>
  </w:style>
  <w:style w:type="paragraph" w:customStyle="1" w:styleId="Default">
    <w:name w:val="Default"/>
    <w:rsid w:val="005C7E5C"/>
    <w:pPr>
      <w:autoSpaceDE w:val="0"/>
      <w:autoSpaceDN w:val="0"/>
      <w:adjustRightInd w:val="0"/>
    </w:pPr>
    <w:rPr>
      <w:rFonts w:ascii="Calibri" w:eastAsiaTheme="minorEastAsia" w:hAnsi="Calibri" w:cs="Calibri"/>
      <w:color w:val="000000"/>
      <w:sz w:val="24"/>
      <w:szCs w:val="24"/>
      <w:lang w:val="en-US" w:eastAsia="en-US"/>
    </w:rPr>
  </w:style>
  <w:style w:type="character" w:customStyle="1" w:styleId="ListParagraphChar">
    <w:name w:val="List Paragraph Char"/>
    <w:aliases w:val="Bullets Char,List Paragraph1 Char,List Paragraph (numbered (a)) Char,Akapit z listą BS Char,WB Para Char"/>
    <w:basedOn w:val="DefaultParagraphFont"/>
    <w:link w:val="ListParagraph"/>
    <w:uiPriority w:val="34"/>
    <w:rsid w:val="005C7E5C"/>
    <w:rPr>
      <w:lang w:val="en-US" w:eastAsia="en-US"/>
    </w:rPr>
  </w:style>
  <w:style w:type="table" w:styleId="TableGrid">
    <w:name w:val="Table Grid"/>
    <w:basedOn w:val="TableNormal"/>
    <w:uiPriority w:val="59"/>
    <w:rsid w:val="000301CD"/>
    <w:rPr>
      <w:rFonts w:asciiTheme="minorHAnsi" w:eastAsiaTheme="minorEastAsia" w:hAnsiTheme="minorHAnsi" w:cstheme="minorBid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locked/>
    <w:rsid w:val="00693A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93A76"/>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NoSpacingChar">
    <w:name w:val="No Spacing Char"/>
    <w:basedOn w:val="DefaultParagraphFont"/>
    <w:link w:val="NoSpacing"/>
    <w:uiPriority w:val="99"/>
    <w:locked/>
    <w:rsid w:val="00A102D4"/>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325C30"/>
    <w:rPr>
      <w:color w:val="800080" w:themeColor="followedHyperlink"/>
      <w:u w:val="single"/>
    </w:rPr>
  </w:style>
  <w:style w:type="character" w:customStyle="1" w:styleId="Heading2Char">
    <w:name w:val="Heading 2 Char"/>
    <w:basedOn w:val="DefaultParagraphFont"/>
    <w:link w:val="Heading2"/>
    <w:rsid w:val="00CA21C5"/>
    <w:rPr>
      <w:rFonts w:ascii="Arial" w:hAnsi="Arial"/>
      <w:b/>
      <w:sz w:val="28"/>
      <w:lang w:val="en-US" w:eastAsia="en-US"/>
    </w:rPr>
  </w:style>
  <w:style w:type="paragraph" w:styleId="EndnoteText">
    <w:name w:val="endnote text"/>
    <w:basedOn w:val="Normal"/>
    <w:link w:val="EndnoteTextChar"/>
    <w:uiPriority w:val="99"/>
    <w:unhideWhenUsed/>
    <w:rsid w:val="00395C31"/>
    <w:rPr>
      <w:rFonts w:eastAsia="SimSun"/>
    </w:rPr>
  </w:style>
  <w:style w:type="character" w:customStyle="1" w:styleId="EndnoteTextChar">
    <w:name w:val="Endnote Text Char"/>
    <w:basedOn w:val="DefaultParagraphFont"/>
    <w:link w:val="EndnoteText"/>
    <w:uiPriority w:val="99"/>
    <w:rsid w:val="00395C31"/>
    <w:rPr>
      <w:rFonts w:eastAsia="SimSun"/>
      <w:lang w:val="en-US" w:eastAsia="en-US"/>
    </w:rPr>
  </w:style>
  <w:style w:type="character" w:styleId="EndnoteReference">
    <w:name w:val="endnote reference"/>
    <w:uiPriority w:val="99"/>
    <w:unhideWhenUsed/>
    <w:rsid w:val="00395C31"/>
    <w:rPr>
      <w:vertAlign w:val="superscript"/>
    </w:rPr>
  </w:style>
  <w:style w:type="paragraph" w:styleId="PlainText">
    <w:name w:val="Plain Text"/>
    <w:basedOn w:val="Normal"/>
    <w:link w:val="PlainTextChar"/>
    <w:uiPriority w:val="99"/>
    <w:unhideWhenUsed/>
    <w:rsid w:val="00395C31"/>
    <w:rPr>
      <w:rFonts w:ascii="Calibri" w:eastAsiaTheme="minorEastAsia" w:hAnsi="Calibri" w:cs="Consolas"/>
      <w:sz w:val="22"/>
      <w:szCs w:val="21"/>
      <w:lang w:eastAsia="zh-CN"/>
    </w:rPr>
  </w:style>
  <w:style w:type="character" w:customStyle="1" w:styleId="PlainTextChar">
    <w:name w:val="Plain Text Char"/>
    <w:basedOn w:val="DefaultParagraphFont"/>
    <w:link w:val="PlainText"/>
    <w:uiPriority w:val="99"/>
    <w:rsid w:val="00395C31"/>
    <w:rPr>
      <w:rFonts w:ascii="Calibri" w:eastAsiaTheme="minorEastAsia" w:hAnsi="Calibri" w:cs="Consolas"/>
      <w:sz w:val="22"/>
      <w:szCs w:val="21"/>
      <w:lang w:val="en-US" w:eastAsia="zh-CN"/>
    </w:rPr>
  </w:style>
  <w:style w:type="paragraph" w:styleId="NormalWeb">
    <w:name w:val="Normal (Web)"/>
    <w:basedOn w:val="Normal"/>
    <w:uiPriority w:val="99"/>
    <w:semiHidden/>
    <w:unhideWhenUsed/>
    <w:rsid w:val="002A0D56"/>
    <w:rPr>
      <w:rFonts w:eastAsiaTheme="minorEastAsia"/>
      <w:sz w:val="24"/>
      <w:szCs w:val="24"/>
      <w:lang w:eastAsia="zh-CN"/>
    </w:rPr>
  </w:style>
  <w:style w:type="character" w:customStyle="1" w:styleId="st1">
    <w:name w:val="st1"/>
    <w:basedOn w:val="DefaultParagraphFont"/>
    <w:rsid w:val="002A0D56"/>
  </w:style>
  <w:style w:type="paragraph" w:styleId="Revision">
    <w:name w:val="Revision"/>
    <w:hidden/>
    <w:uiPriority w:val="99"/>
    <w:semiHidden/>
    <w:rsid w:val="00477D40"/>
    <w:rPr>
      <w:lang w:val="en-US" w:eastAsia="en-US"/>
    </w:rPr>
  </w:style>
  <w:style w:type="paragraph" w:customStyle="1" w:styleId="level2">
    <w:name w:val="_level2"/>
    <w:rsid w:val="001C4B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pPr>
    <w:rPr>
      <w:sz w:val="24"/>
      <w:szCs w:val="24"/>
      <w:lang w:val="en-US" w:eastAsia="en-US"/>
    </w:rPr>
  </w:style>
  <w:style w:type="character" w:customStyle="1" w:styleId="formatdata">
    <w:name w:val="format_data"/>
    <w:basedOn w:val="DefaultParagraphFont"/>
    <w:rsid w:val="00F86B3E"/>
  </w:style>
  <w:style w:type="character" w:customStyle="1" w:styleId="st">
    <w:name w:val="st"/>
    <w:basedOn w:val="DefaultParagraphFont"/>
    <w:rsid w:val="00823B0B"/>
  </w:style>
  <w:style w:type="character" w:styleId="Emphasis">
    <w:name w:val="Emphasis"/>
    <w:basedOn w:val="DefaultParagraphFont"/>
    <w:uiPriority w:val="20"/>
    <w:qFormat/>
    <w:locked/>
    <w:rsid w:val="00823B0B"/>
    <w:rPr>
      <w:i/>
      <w:iCs/>
    </w:rPr>
  </w:style>
  <w:style w:type="character" w:customStyle="1" w:styleId="apple-converted-space">
    <w:name w:val="apple-converted-space"/>
    <w:basedOn w:val="DefaultParagraphFont"/>
    <w:rsid w:val="00093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67927126">
      <w:bodyDiv w:val="1"/>
      <w:marLeft w:val="0"/>
      <w:marRight w:val="0"/>
      <w:marTop w:val="0"/>
      <w:marBottom w:val="0"/>
      <w:divBdr>
        <w:top w:val="none" w:sz="0" w:space="0" w:color="auto"/>
        <w:left w:val="none" w:sz="0" w:space="0" w:color="auto"/>
        <w:bottom w:val="none" w:sz="0" w:space="0" w:color="auto"/>
        <w:right w:val="none" w:sz="0" w:space="0" w:color="auto"/>
      </w:divBdr>
    </w:div>
    <w:div w:id="126550135">
      <w:bodyDiv w:val="1"/>
      <w:marLeft w:val="0"/>
      <w:marRight w:val="0"/>
      <w:marTop w:val="0"/>
      <w:marBottom w:val="0"/>
      <w:divBdr>
        <w:top w:val="none" w:sz="0" w:space="0" w:color="auto"/>
        <w:left w:val="none" w:sz="0" w:space="0" w:color="auto"/>
        <w:bottom w:val="none" w:sz="0" w:space="0" w:color="auto"/>
        <w:right w:val="none" w:sz="0" w:space="0" w:color="auto"/>
      </w:divBdr>
      <w:divsChild>
        <w:div w:id="909118145">
          <w:marLeft w:val="547"/>
          <w:marRight w:val="0"/>
          <w:marTop w:val="0"/>
          <w:marBottom w:val="0"/>
          <w:divBdr>
            <w:top w:val="none" w:sz="0" w:space="0" w:color="auto"/>
            <w:left w:val="none" w:sz="0" w:space="0" w:color="auto"/>
            <w:bottom w:val="none" w:sz="0" w:space="0" w:color="auto"/>
            <w:right w:val="none" w:sz="0" w:space="0" w:color="auto"/>
          </w:divBdr>
        </w:div>
      </w:divsChild>
    </w:div>
    <w:div w:id="173957636">
      <w:bodyDiv w:val="1"/>
      <w:marLeft w:val="0"/>
      <w:marRight w:val="0"/>
      <w:marTop w:val="0"/>
      <w:marBottom w:val="0"/>
      <w:divBdr>
        <w:top w:val="none" w:sz="0" w:space="0" w:color="auto"/>
        <w:left w:val="none" w:sz="0" w:space="0" w:color="auto"/>
        <w:bottom w:val="none" w:sz="0" w:space="0" w:color="auto"/>
        <w:right w:val="none" w:sz="0" w:space="0" w:color="auto"/>
      </w:divBdr>
    </w:div>
    <w:div w:id="242422886">
      <w:bodyDiv w:val="1"/>
      <w:marLeft w:val="0"/>
      <w:marRight w:val="0"/>
      <w:marTop w:val="0"/>
      <w:marBottom w:val="0"/>
      <w:divBdr>
        <w:top w:val="none" w:sz="0" w:space="0" w:color="auto"/>
        <w:left w:val="none" w:sz="0" w:space="0" w:color="auto"/>
        <w:bottom w:val="none" w:sz="0" w:space="0" w:color="auto"/>
        <w:right w:val="none" w:sz="0" w:space="0" w:color="auto"/>
      </w:divBdr>
    </w:div>
    <w:div w:id="301354752">
      <w:bodyDiv w:val="1"/>
      <w:marLeft w:val="0"/>
      <w:marRight w:val="0"/>
      <w:marTop w:val="0"/>
      <w:marBottom w:val="0"/>
      <w:divBdr>
        <w:top w:val="none" w:sz="0" w:space="0" w:color="auto"/>
        <w:left w:val="none" w:sz="0" w:space="0" w:color="auto"/>
        <w:bottom w:val="none" w:sz="0" w:space="0" w:color="auto"/>
        <w:right w:val="none" w:sz="0" w:space="0" w:color="auto"/>
      </w:divBdr>
    </w:div>
    <w:div w:id="354431803">
      <w:bodyDiv w:val="1"/>
      <w:marLeft w:val="0"/>
      <w:marRight w:val="0"/>
      <w:marTop w:val="0"/>
      <w:marBottom w:val="0"/>
      <w:divBdr>
        <w:top w:val="none" w:sz="0" w:space="0" w:color="auto"/>
        <w:left w:val="none" w:sz="0" w:space="0" w:color="auto"/>
        <w:bottom w:val="none" w:sz="0" w:space="0" w:color="auto"/>
        <w:right w:val="none" w:sz="0" w:space="0" w:color="auto"/>
      </w:divBdr>
    </w:div>
    <w:div w:id="360864833">
      <w:bodyDiv w:val="1"/>
      <w:marLeft w:val="0"/>
      <w:marRight w:val="0"/>
      <w:marTop w:val="0"/>
      <w:marBottom w:val="0"/>
      <w:divBdr>
        <w:top w:val="none" w:sz="0" w:space="0" w:color="auto"/>
        <w:left w:val="none" w:sz="0" w:space="0" w:color="auto"/>
        <w:bottom w:val="none" w:sz="0" w:space="0" w:color="auto"/>
        <w:right w:val="none" w:sz="0" w:space="0" w:color="auto"/>
      </w:divBdr>
    </w:div>
    <w:div w:id="414061554">
      <w:bodyDiv w:val="1"/>
      <w:marLeft w:val="0"/>
      <w:marRight w:val="0"/>
      <w:marTop w:val="0"/>
      <w:marBottom w:val="0"/>
      <w:divBdr>
        <w:top w:val="none" w:sz="0" w:space="0" w:color="auto"/>
        <w:left w:val="none" w:sz="0" w:space="0" w:color="auto"/>
        <w:bottom w:val="none" w:sz="0" w:space="0" w:color="auto"/>
        <w:right w:val="none" w:sz="0" w:space="0" w:color="auto"/>
      </w:divBdr>
    </w:div>
    <w:div w:id="431819619">
      <w:bodyDiv w:val="1"/>
      <w:marLeft w:val="0"/>
      <w:marRight w:val="0"/>
      <w:marTop w:val="0"/>
      <w:marBottom w:val="0"/>
      <w:divBdr>
        <w:top w:val="none" w:sz="0" w:space="0" w:color="auto"/>
        <w:left w:val="none" w:sz="0" w:space="0" w:color="auto"/>
        <w:bottom w:val="none" w:sz="0" w:space="0" w:color="auto"/>
        <w:right w:val="none" w:sz="0" w:space="0" w:color="auto"/>
      </w:divBdr>
    </w:div>
    <w:div w:id="437681106">
      <w:bodyDiv w:val="1"/>
      <w:marLeft w:val="0"/>
      <w:marRight w:val="0"/>
      <w:marTop w:val="0"/>
      <w:marBottom w:val="0"/>
      <w:divBdr>
        <w:top w:val="none" w:sz="0" w:space="0" w:color="auto"/>
        <w:left w:val="none" w:sz="0" w:space="0" w:color="auto"/>
        <w:bottom w:val="none" w:sz="0" w:space="0" w:color="auto"/>
        <w:right w:val="none" w:sz="0" w:space="0" w:color="auto"/>
      </w:divBdr>
    </w:div>
    <w:div w:id="484517161">
      <w:bodyDiv w:val="1"/>
      <w:marLeft w:val="0"/>
      <w:marRight w:val="0"/>
      <w:marTop w:val="0"/>
      <w:marBottom w:val="0"/>
      <w:divBdr>
        <w:top w:val="none" w:sz="0" w:space="0" w:color="auto"/>
        <w:left w:val="none" w:sz="0" w:space="0" w:color="auto"/>
        <w:bottom w:val="none" w:sz="0" w:space="0" w:color="auto"/>
        <w:right w:val="none" w:sz="0" w:space="0" w:color="auto"/>
      </w:divBdr>
    </w:div>
    <w:div w:id="547380968">
      <w:bodyDiv w:val="1"/>
      <w:marLeft w:val="0"/>
      <w:marRight w:val="0"/>
      <w:marTop w:val="0"/>
      <w:marBottom w:val="0"/>
      <w:divBdr>
        <w:top w:val="none" w:sz="0" w:space="0" w:color="auto"/>
        <w:left w:val="none" w:sz="0" w:space="0" w:color="auto"/>
        <w:bottom w:val="none" w:sz="0" w:space="0" w:color="auto"/>
        <w:right w:val="none" w:sz="0" w:space="0" w:color="auto"/>
      </w:divBdr>
    </w:div>
    <w:div w:id="576943923">
      <w:bodyDiv w:val="1"/>
      <w:marLeft w:val="0"/>
      <w:marRight w:val="0"/>
      <w:marTop w:val="0"/>
      <w:marBottom w:val="0"/>
      <w:divBdr>
        <w:top w:val="none" w:sz="0" w:space="0" w:color="auto"/>
        <w:left w:val="none" w:sz="0" w:space="0" w:color="auto"/>
        <w:bottom w:val="none" w:sz="0" w:space="0" w:color="auto"/>
        <w:right w:val="none" w:sz="0" w:space="0" w:color="auto"/>
      </w:divBdr>
    </w:div>
    <w:div w:id="694430308">
      <w:bodyDiv w:val="1"/>
      <w:marLeft w:val="0"/>
      <w:marRight w:val="0"/>
      <w:marTop w:val="0"/>
      <w:marBottom w:val="0"/>
      <w:divBdr>
        <w:top w:val="none" w:sz="0" w:space="0" w:color="auto"/>
        <w:left w:val="none" w:sz="0" w:space="0" w:color="auto"/>
        <w:bottom w:val="none" w:sz="0" w:space="0" w:color="auto"/>
        <w:right w:val="none" w:sz="0" w:space="0" w:color="auto"/>
      </w:divBdr>
    </w:div>
    <w:div w:id="718364503">
      <w:bodyDiv w:val="1"/>
      <w:marLeft w:val="0"/>
      <w:marRight w:val="0"/>
      <w:marTop w:val="0"/>
      <w:marBottom w:val="0"/>
      <w:divBdr>
        <w:top w:val="none" w:sz="0" w:space="0" w:color="auto"/>
        <w:left w:val="none" w:sz="0" w:space="0" w:color="auto"/>
        <w:bottom w:val="none" w:sz="0" w:space="0" w:color="auto"/>
        <w:right w:val="none" w:sz="0" w:space="0" w:color="auto"/>
      </w:divBdr>
    </w:div>
    <w:div w:id="835800169">
      <w:bodyDiv w:val="1"/>
      <w:marLeft w:val="0"/>
      <w:marRight w:val="0"/>
      <w:marTop w:val="0"/>
      <w:marBottom w:val="0"/>
      <w:divBdr>
        <w:top w:val="none" w:sz="0" w:space="0" w:color="auto"/>
        <w:left w:val="none" w:sz="0" w:space="0" w:color="auto"/>
        <w:bottom w:val="none" w:sz="0" w:space="0" w:color="auto"/>
        <w:right w:val="none" w:sz="0" w:space="0" w:color="auto"/>
      </w:divBdr>
    </w:div>
    <w:div w:id="878123561">
      <w:bodyDiv w:val="1"/>
      <w:marLeft w:val="0"/>
      <w:marRight w:val="0"/>
      <w:marTop w:val="0"/>
      <w:marBottom w:val="0"/>
      <w:divBdr>
        <w:top w:val="none" w:sz="0" w:space="0" w:color="auto"/>
        <w:left w:val="none" w:sz="0" w:space="0" w:color="auto"/>
        <w:bottom w:val="none" w:sz="0" w:space="0" w:color="auto"/>
        <w:right w:val="none" w:sz="0" w:space="0" w:color="auto"/>
      </w:divBdr>
    </w:div>
    <w:div w:id="881406870">
      <w:bodyDiv w:val="1"/>
      <w:marLeft w:val="0"/>
      <w:marRight w:val="0"/>
      <w:marTop w:val="0"/>
      <w:marBottom w:val="0"/>
      <w:divBdr>
        <w:top w:val="none" w:sz="0" w:space="0" w:color="auto"/>
        <w:left w:val="none" w:sz="0" w:space="0" w:color="auto"/>
        <w:bottom w:val="none" w:sz="0" w:space="0" w:color="auto"/>
        <w:right w:val="none" w:sz="0" w:space="0" w:color="auto"/>
      </w:divBdr>
    </w:div>
    <w:div w:id="910390445">
      <w:bodyDiv w:val="1"/>
      <w:marLeft w:val="0"/>
      <w:marRight w:val="0"/>
      <w:marTop w:val="0"/>
      <w:marBottom w:val="0"/>
      <w:divBdr>
        <w:top w:val="none" w:sz="0" w:space="0" w:color="auto"/>
        <w:left w:val="none" w:sz="0" w:space="0" w:color="auto"/>
        <w:bottom w:val="none" w:sz="0" w:space="0" w:color="auto"/>
        <w:right w:val="none" w:sz="0" w:space="0" w:color="auto"/>
      </w:divBdr>
    </w:div>
    <w:div w:id="963267230">
      <w:bodyDiv w:val="1"/>
      <w:marLeft w:val="0"/>
      <w:marRight w:val="0"/>
      <w:marTop w:val="0"/>
      <w:marBottom w:val="0"/>
      <w:divBdr>
        <w:top w:val="none" w:sz="0" w:space="0" w:color="auto"/>
        <w:left w:val="none" w:sz="0" w:space="0" w:color="auto"/>
        <w:bottom w:val="none" w:sz="0" w:space="0" w:color="auto"/>
        <w:right w:val="none" w:sz="0" w:space="0" w:color="auto"/>
      </w:divBdr>
    </w:div>
    <w:div w:id="978729116">
      <w:bodyDiv w:val="1"/>
      <w:marLeft w:val="0"/>
      <w:marRight w:val="0"/>
      <w:marTop w:val="0"/>
      <w:marBottom w:val="0"/>
      <w:divBdr>
        <w:top w:val="none" w:sz="0" w:space="0" w:color="auto"/>
        <w:left w:val="none" w:sz="0" w:space="0" w:color="auto"/>
        <w:bottom w:val="none" w:sz="0" w:space="0" w:color="auto"/>
        <w:right w:val="none" w:sz="0" w:space="0" w:color="auto"/>
      </w:divBdr>
    </w:div>
    <w:div w:id="986664733">
      <w:bodyDiv w:val="1"/>
      <w:marLeft w:val="0"/>
      <w:marRight w:val="0"/>
      <w:marTop w:val="0"/>
      <w:marBottom w:val="0"/>
      <w:divBdr>
        <w:top w:val="none" w:sz="0" w:space="0" w:color="auto"/>
        <w:left w:val="none" w:sz="0" w:space="0" w:color="auto"/>
        <w:bottom w:val="none" w:sz="0" w:space="0" w:color="auto"/>
        <w:right w:val="none" w:sz="0" w:space="0" w:color="auto"/>
      </w:divBdr>
    </w:div>
    <w:div w:id="1020277610">
      <w:bodyDiv w:val="1"/>
      <w:marLeft w:val="0"/>
      <w:marRight w:val="0"/>
      <w:marTop w:val="0"/>
      <w:marBottom w:val="0"/>
      <w:divBdr>
        <w:top w:val="none" w:sz="0" w:space="0" w:color="auto"/>
        <w:left w:val="none" w:sz="0" w:space="0" w:color="auto"/>
        <w:bottom w:val="none" w:sz="0" w:space="0" w:color="auto"/>
        <w:right w:val="none" w:sz="0" w:space="0" w:color="auto"/>
      </w:divBdr>
    </w:div>
    <w:div w:id="1104110325">
      <w:bodyDiv w:val="1"/>
      <w:marLeft w:val="0"/>
      <w:marRight w:val="0"/>
      <w:marTop w:val="0"/>
      <w:marBottom w:val="0"/>
      <w:divBdr>
        <w:top w:val="none" w:sz="0" w:space="0" w:color="auto"/>
        <w:left w:val="none" w:sz="0" w:space="0" w:color="auto"/>
        <w:bottom w:val="none" w:sz="0" w:space="0" w:color="auto"/>
        <w:right w:val="none" w:sz="0" w:space="0" w:color="auto"/>
      </w:divBdr>
    </w:div>
    <w:div w:id="1152332931">
      <w:bodyDiv w:val="1"/>
      <w:marLeft w:val="0"/>
      <w:marRight w:val="0"/>
      <w:marTop w:val="0"/>
      <w:marBottom w:val="0"/>
      <w:divBdr>
        <w:top w:val="none" w:sz="0" w:space="0" w:color="auto"/>
        <w:left w:val="none" w:sz="0" w:space="0" w:color="auto"/>
        <w:bottom w:val="none" w:sz="0" w:space="0" w:color="auto"/>
        <w:right w:val="none" w:sz="0" w:space="0" w:color="auto"/>
      </w:divBdr>
    </w:div>
    <w:div w:id="1161432549">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281493448">
      <w:bodyDiv w:val="1"/>
      <w:marLeft w:val="0"/>
      <w:marRight w:val="0"/>
      <w:marTop w:val="0"/>
      <w:marBottom w:val="0"/>
      <w:divBdr>
        <w:top w:val="none" w:sz="0" w:space="0" w:color="auto"/>
        <w:left w:val="none" w:sz="0" w:space="0" w:color="auto"/>
        <w:bottom w:val="none" w:sz="0" w:space="0" w:color="auto"/>
        <w:right w:val="none" w:sz="0" w:space="0" w:color="auto"/>
      </w:divBdr>
      <w:divsChild>
        <w:div w:id="175385418">
          <w:marLeft w:val="0"/>
          <w:marRight w:val="0"/>
          <w:marTop w:val="0"/>
          <w:marBottom w:val="0"/>
          <w:divBdr>
            <w:top w:val="none" w:sz="0" w:space="0" w:color="auto"/>
            <w:left w:val="none" w:sz="0" w:space="0" w:color="auto"/>
            <w:bottom w:val="none" w:sz="0" w:space="0" w:color="auto"/>
            <w:right w:val="none" w:sz="0" w:space="0" w:color="auto"/>
          </w:divBdr>
        </w:div>
        <w:div w:id="1228420699">
          <w:marLeft w:val="0"/>
          <w:marRight w:val="0"/>
          <w:marTop w:val="0"/>
          <w:marBottom w:val="0"/>
          <w:divBdr>
            <w:top w:val="none" w:sz="0" w:space="0" w:color="auto"/>
            <w:left w:val="none" w:sz="0" w:space="0" w:color="auto"/>
            <w:bottom w:val="none" w:sz="0" w:space="0" w:color="auto"/>
            <w:right w:val="none" w:sz="0" w:space="0" w:color="auto"/>
          </w:divBdr>
        </w:div>
        <w:div w:id="1275557790">
          <w:marLeft w:val="0"/>
          <w:marRight w:val="0"/>
          <w:marTop w:val="0"/>
          <w:marBottom w:val="0"/>
          <w:divBdr>
            <w:top w:val="none" w:sz="0" w:space="0" w:color="auto"/>
            <w:left w:val="none" w:sz="0" w:space="0" w:color="auto"/>
            <w:bottom w:val="none" w:sz="0" w:space="0" w:color="auto"/>
            <w:right w:val="none" w:sz="0" w:space="0" w:color="auto"/>
          </w:divBdr>
        </w:div>
        <w:div w:id="263805601">
          <w:marLeft w:val="0"/>
          <w:marRight w:val="0"/>
          <w:marTop w:val="0"/>
          <w:marBottom w:val="0"/>
          <w:divBdr>
            <w:top w:val="none" w:sz="0" w:space="0" w:color="auto"/>
            <w:left w:val="none" w:sz="0" w:space="0" w:color="auto"/>
            <w:bottom w:val="none" w:sz="0" w:space="0" w:color="auto"/>
            <w:right w:val="none" w:sz="0" w:space="0" w:color="auto"/>
          </w:divBdr>
        </w:div>
        <w:div w:id="37168418">
          <w:marLeft w:val="0"/>
          <w:marRight w:val="0"/>
          <w:marTop w:val="0"/>
          <w:marBottom w:val="0"/>
          <w:divBdr>
            <w:top w:val="none" w:sz="0" w:space="0" w:color="auto"/>
            <w:left w:val="none" w:sz="0" w:space="0" w:color="auto"/>
            <w:bottom w:val="none" w:sz="0" w:space="0" w:color="auto"/>
            <w:right w:val="none" w:sz="0" w:space="0" w:color="auto"/>
          </w:divBdr>
        </w:div>
        <w:div w:id="437140442">
          <w:marLeft w:val="0"/>
          <w:marRight w:val="0"/>
          <w:marTop w:val="0"/>
          <w:marBottom w:val="0"/>
          <w:divBdr>
            <w:top w:val="none" w:sz="0" w:space="0" w:color="auto"/>
            <w:left w:val="none" w:sz="0" w:space="0" w:color="auto"/>
            <w:bottom w:val="none" w:sz="0" w:space="0" w:color="auto"/>
            <w:right w:val="none" w:sz="0" w:space="0" w:color="auto"/>
          </w:divBdr>
        </w:div>
        <w:div w:id="1062102798">
          <w:marLeft w:val="0"/>
          <w:marRight w:val="0"/>
          <w:marTop w:val="0"/>
          <w:marBottom w:val="0"/>
          <w:divBdr>
            <w:top w:val="none" w:sz="0" w:space="0" w:color="auto"/>
            <w:left w:val="none" w:sz="0" w:space="0" w:color="auto"/>
            <w:bottom w:val="none" w:sz="0" w:space="0" w:color="auto"/>
            <w:right w:val="none" w:sz="0" w:space="0" w:color="auto"/>
          </w:divBdr>
        </w:div>
        <w:div w:id="442190473">
          <w:marLeft w:val="0"/>
          <w:marRight w:val="0"/>
          <w:marTop w:val="0"/>
          <w:marBottom w:val="0"/>
          <w:divBdr>
            <w:top w:val="none" w:sz="0" w:space="0" w:color="auto"/>
            <w:left w:val="none" w:sz="0" w:space="0" w:color="auto"/>
            <w:bottom w:val="none" w:sz="0" w:space="0" w:color="auto"/>
            <w:right w:val="none" w:sz="0" w:space="0" w:color="auto"/>
          </w:divBdr>
        </w:div>
        <w:div w:id="108015792">
          <w:marLeft w:val="0"/>
          <w:marRight w:val="0"/>
          <w:marTop w:val="0"/>
          <w:marBottom w:val="0"/>
          <w:divBdr>
            <w:top w:val="none" w:sz="0" w:space="0" w:color="auto"/>
            <w:left w:val="none" w:sz="0" w:space="0" w:color="auto"/>
            <w:bottom w:val="none" w:sz="0" w:space="0" w:color="auto"/>
            <w:right w:val="none" w:sz="0" w:space="0" w:color="auto"/>
          </w:divBdr>
        </w:div>
        <w:div w:id="1414201514">
          <w:marLeft w:val="0"/>
          <w:marRight w:val="0"/>
          <w:marTop w:val="0"/>
          <w:marBottom w:val="0"/>
          <w:divBdr>
            <w:top w:val="none" w:sz="0" w:space="0" w:color="auto"/>
            <w:left w:val="none" w:sz="0" w:space="0" w:color="auto"/>
            <w:bottom w:val="none" w:sz="0" w:space="0" w:color="auto"/>
            <w:right w:val="none" w:sz="0" w:space="0" w:color="auto"/>
          </w:divBdr>
        </w:div>
        <w:div w:id="33431069">
          <w:marLeft w:val="0"/>
          <w:marRight w:val="0"/>
          <w:marTop w:val="0"/>
          <w:marBottom w:val="0"/>
          <w:divBdr>
            <w:top w:val="none" w:sz="0" w:space="0" w:color="auto"/>
            <w:left w:val="none" w:sz="0" w:space="0" w:color="auto"/>
            <w:bottom w:val="none" w:sz="0" w:space="0" w:color="auto"/>
            <w:right w:val="none" w:sz="0" w:space="0" w:color="auto"/>
          </w:divBdr>
        </w:div>
        <w:div w:id="1504274182">
          <w:marLeft w:val="0"/>
          <w:marRight w:val="0"/>
          <w:marTop w:val="0"/>
          <w:marBottom w:val="0"/>
          <w:divBdr>
            <w:top w:val="none" w:sz="0" w:space="0" w:color="auto"/>
            <w:left w:val="none" w:sz="0" w:space="0" w:color="auto"/>
            <w:bottom w:val="none" w:sz="0" w:space="0" w:color="auto"/>
            <w:right w:val="none" w:sz="0" w:space="0" w:color="auto"/>
          </w:divBdr>
        </w:div>
        <w:div w:id="2099478067">
          <w:marLeft w:val="0"/>
          <w:marRight w:val="0"/>
          <w:marTop w:val="0"/>
          <w:marBottom w:val="0"/>
          <w:divBdr>
            <w:top w:val="none" w:sz="0" w:space="0" w:color="auto"/>
            <w:left w:val="none" w:sz="0" w:space="0" w:color="auto"/>
            <w:bottom w:val="none" w:sz="0" w:space="0" w:color="auto"/>
            <w:right w:val="none" w:sz="0" w:space="0" w:color="auto"/>
          </w:divBdr>
        </w:div>
        <w:div w:id="548029241">
          <w:marLeft w:val="0"/>
          <w:marRight w:val="0"/>
          <w:marTop w:val="0"/>
          <w:marBottom w:val="0"/>
          <w:divBdr>
            <w:top w:val="none" w:sz="0" w:space="0" w:color="auto"/>
            <w:left w:val="none" w:sz="0" w:space="0" w:color="auto"/>
            <w:bottom w:val="none" w:sz="0" w:space="0" w:color="auto"/>
            <w:right w:val="none" w:sz="0" w:space="0" w:color="auto"/>
          </w:divBdr>
        </w:div>
        <w:div w:id="211431548">
          <w:marLeft w:val="0"/>
          <w:marRight w:val="0"/>
          <w:marTop w:val="0"/>
          <w:marBottom w:val="0"/>
          <w:divBdr>
            <w:top w:val="none" w:sz="0" w:space="0" w:color="auto"/>
            <w:left w:val="none" w:sz="0" w:space="0" w:color="auto"/>
            <w:bottom w:val="none" w:sz="0" w:space="0" w:color="auto"/>
            <w:right w:val="none" w:sz="0" w:space="0" w:color="auto"/>
          </w:divBdr>
        </w:div>
        <w:div w:id="483283298">
          <w:marLeft w:val="0"/>
          <w:marRight w:val="0"/>
          <w:marTop w:val="0"/>
          <w:marBottom w:val="0"/>
          <w:divBdr>
            <w:top w:val="none" w:sz="0" w:space="0" w:color="auto"/>
            <w:left w:val="none" w:sz="0" w:space="0" w:color="auto"/>
            <w:bottom w:val="none" w:sz="0" w:space="0" w:color="auto"/>
            <w:right w:val="none" w:sz="0" w:space="0" w:color="auto"/>
          </w:divBdr>
        </w:div>
        <w:div w:id="962616385">
          <w:marLeft w:val="0"/>
          <w:marRight w:val="0"/>
          <w:marTop w:val="0"/>
          <w:marBottom w:val="0"/>
          <w:divBdr>
            <w:top w:val="none" w:sz="0" w:space="0" w:color="auto"/>
            <w:left w:val="none" w:sz="0" w:space="0" w:color="auto"/>
            <w:bottom w:val="none" w:sz="0" w:space="0" w:color="auto"/>
            <w:right w:val="none" w:sz="0" w:space="0" w:color="auto"/>
          </w:divBdr>
        </w:div>
        <w:div w:id="1611744405">
          <w:marLeft w:val="0"/>
          <w:marRight w:val="0"/>
          <w:marTop w:val="0"/>
          <w:marBottom w:val="0"/>
          <w:divBdr>
            <w:top w:val="none" w:sz="0" w:space="0" w:color="auto"/>
            <w:left w:val="none" w:sz="0" w:space="0" w:color="auto"/>
            <w:bottom w:val="none" w:sz="0" w:space="0" w:color="auto"/>
            <w:right w:val="none" w:sz="0" w:space="0" w:color="auto"/>
          </w:divBdr>
        </w:div>
        <w:div w:id="506749963">
          <w:marLeft w:val="0"/>
          <w:marRight w:val="0"/>
          <w:marTop w:val="0"/>
          <w:marBottom w:val="0"/>
          <w:divBdr>
            <w:top w:val="none" w:sz="0" w:space="0" w:color="auto"/>
            <w:left w:val="none" w:sz="0" w:space="0" w:color="auto"/>
            <w:bottom w:val="none" w:sz="0" w:space="0" w:color="auto"/>
            <w:right w:val="none" w:sz="0" w:space="0" w:color="auto"/>
          </w:divBdr>
        </w:div>
        <w:div w:id="399137786">
          <w:marLeft w:val="0"/>
          <w:marRight w:val="0"/>
          <w:marTop w:val="0"/>
          <w:marBottom w:val="0"/>
          <w:divBdr>
            <w:top w:val="none" w:sz="0" w:space="0" w:color="auto"/>
            <w:left w:val="none" w:sz="0" w:space="0" w:color="auto"/>
            <w:bottom w:val="none" w:sz="0" w:space="0" w:color="auto"/>
            <w:right w:val="none" w:sz="0" w:space="0" w:color="auto"/>
          </w:divBdr>
        </w:div>
        <w:div w:id="471025837">
          <w:marLeft w:val="0"/>
          <w:marRight w:val="0"/>
          <w:marTop w:val="0"/>
          <w:marBottom w:val="0"/>
          <w:divBdr>
            <w:top w:val="none" w:sz="0" w:space="0" w:color="auto"/>
            <w:left w:val="none" w:sz="0" w:space="0" w:color="auto"/>
            <w:bottom w:val="none" w:sz="0" w:space="0" w:color="auto"/>
            <w:right w:val="none" w:sz="0" w:space="0" w:color="auto"/>
          </w:divBdr>
        </w:div>
        <w:div w:id="1079013380">
          <w:marLeft w:val="0"/>
          <w:marRight w:val="0"/>
          <w:marTop w:val="0"/>
          <w:marBottom w:val="0"/>
          <w:divBdr>
            <w:top w:val="none" w:sz="0" w:space="0" w:color="auto"/>
            <w:left w:val="none" w:sz="0" w:space="0" w:color="auto"/>
            <w:bottom w:val="none" w:sz="0" w:space="0" w:color="auto"/>
            <w:right w:val="none" w:sz="0" w:space="0" w:color="auto"/>
          </w:divBdr>
        </w:div>
        <w:div w:id="40717624">
          <w:marLeft w:val="0"/>
          <w:marRight w:val="0"/>
          <w:marTop w:val="0"/>
          <w:marBottom w:val="0"/>
          <w:divBdr>
            <w:top w:val="none" w:sz="0" w:space="0" w:color="auto"/>
            <w:left w:val="none" w:sz="0" w:space="0" w:color="auto"/>
            <w:bottom w:val="none" w:sz="0" w:space="0" w:color="auto"/>
            <w:right w:val="none" w:sz="0" w:space="0" w:color="auto"/>
          </w:divBdr>
        </w:div>
        <w:div w:id="232089915">
          <w:marLeft w:val="0"/>
          <w:marRight w:val="0"/>
          <w:marTop w:val="0"/>
          <w:marBottom w:val="0"/>
          <w:divBdr>
            <w:top w:val="none" w:sz="0" w:space="0" w:color="auto"/>
            <w:left w:val="none" w:sz="0" w:space="0" w:color="auto"/>
            <w:bottom w:val="none" w:sz="0" w:space="0" w:color="auto"/>
            <w:right w:val="none" w:sz="0" w:space="0" w:color="auto"/>
          </w:divBdr>
        </w:div>
        <w:div w:id="834682446">
          <w:marLeft w:val="0"/>
          <w:marRight w:val="0"/>
          <w:marTop w:val="0"/>
          <w:marBottom w:val="0"/>
          <w:divBdr>
            <w:top w:val="none" w:sz="0" w:space="0" w:color="auto"/>
            <w:left w:val="none" w:sz="0" w:space="0" w:color="auto"/>
            <w:bottom w:val="none" w:sz="0" w:space="0" w:color="auto"/>
            <w:right w:val="none" w:sz="0" w:space="0" w:color="auto"/>
          </w:divBdr>
        </w:div>
        <w:div w:id="1544174969">
          <w:marLeft w:val="0"/>
          <w:marRight w:val="0"/>
          <w:marTop w:val="0"/>
          <w:marBottom w:val="0"/>
          <w:divBdr>
            <w:top w:val="none" w:sz="0" w:space="0" w:color="auto"/>
            <w:left w:val="none" w:sz="0" w:space="0" w:color="auto"/>
            <w:bottom w:val="none" w:sz="0" w:space="0" w:color="auto"/>
            <w:right w:val="none" w:sz="0" w:space="0" w:color="auto"/>
          </w:divBdr>
        </w:div>
        <w:div w:id="1781291780">
          <w:marLeft w:val="0"/>
          <w:marRight w:val="0"/>
          <w:marTop w:val="0"/>
          <w:marBottom w:val="0"/>
          <w:divBdr>
            <w:top w:val="none" w:sz="0" w:space="0" w:color="auto"/>
            <w:left w:val="none" w:sz="0" w:space="0" w:color="auto"/>
            <w:bottom w:val="none" w:sz="0" w:space="0" w:color="auto"/>
            <w:right w:val="none" w:sz="0" w:space="0" w:color="auto"/>
          </w:divBdr>
        </w:div>
        <w:div w:id="1449812798">
          <w:marLeft w:val="0"/>
          <w:marRight w:val="0"/>
          <w:marTop w:val="0"/>
          <w:marBottom w:val="0"/>
          <w:divBdr>
            <w:top w:val="none" w:sz="0" w:space="0" w:color="auto"/>
            <w:left w:val="none" w:sz="0" w:space="0" w:color="auto"/>
            <w:bottom w:val="none" w:sz="0" w:space="0" w:color="auto"/>
            <w:right w:val="none" w:sz="0" w:space="0" w:color="auto"/>
          </w:divBdr>
        </w:div>
        <w:div w:id="1896813762">
          <w:marLeft w:val="0"/>
          <w:marRight w:val="0"/>
          <w:marTop w:val="0"/>
          <w:marBottom w:val="0"/>
          <w:divBdr>
            <w:top w:val="none" w:sz="0" w:space="0" w:color="auto"/>
            <w:left w:val="none" w:sz="0" w:space="0" w:color="auto"/>
            <w:bottom w:val="none" w:sz="0" w:space="0" w:color="auto"/>
            <w:right w:val="none" w:sz="0" w:space="0" w:color="auto"/>
          </w:divBdr>
        </w:div>
        <w:div w:id="1555383613">
          <w:marLeft w:val="0"/>
          <w:marRight w:val="0"/>
          <w:marTop w:val="0"/>
          <w:marBottom w:val="0"/>
          <w:divBdr>
            <w:top w:val="none" w:sz="0" w:space="0" w:color="auto"/>
            <w:left w:val="none" w:sz="0" w:space="0" w:color="auto"/>
            <w:bottom w:val="none" w:sz="0" w:space="0" w:color="auto"/>
            <w:right w:val="none" w:sz="0" w:space="0" w:color="auto"/>
          </w:divBdr>
        </w:div>
        <w:div w:id="1537886694">
          <w:marLeft w:val="0"/>
          <w:marRight w:val="0"/>
          <w:marTop w:val="0"/>
          <w:marBottom w:val="0"/>
          <w:divBdr>
            <w:top w:val="none" w:sz="0" w:space="0" w:color="auto"/>
            <w:left w:val="none" w:sz="0" w:space="0" w:color="auto"/>
            <w:bottom w:val="none" w:sz="0" w:space="0" w:color="auto"/>
            <w:right w:val="none" w:sz="0" w:space="0" w:color="auto"/>
          </w:divBdr>
        </w:div>
        <w:div w:id="737702696">
          <w:marLeft w:val="0"/>
          <w:marRight w:val="0"/>
          <w:marTop w:val="0"/>
          <w:marBottom w:val="0"/>
          <w:divBdr>
            <w:top w:val="none" w:sz="0" w:space="0" w:color="auto"/>
            <w:left w:val="none" w:sz="0" w:space="0" w:color="auto"/>
            <w:bottom w:val="none" w:sz="0" w:space="0" w:color="auto"/>
            <w:right w:val="none" w:sz="0" w:space="0" w:color="auto"/>
          </w:divBdr>
        </w:div>
        <w:div w:id="1828746357">
          <w:marLeft w:val="0"/>
          <w:marRight w:val="0"/>
          <w:marTop w:val="0"/>
          <w:marBottom w:val="0"/>
          <w:divBdr>
            <w:top w:val="none" w:sz="0" w:space="0" w:color="auto"/>
            <w:left w:val="none" w:sz="0" w:space="0" w:color="auto"/>
            <w:bottom w:val="none" w:sz="0" w:space="0" w:color="auto"/>
            <w:right w:val="none" w:sz="0" w:space="0" w:color="auto"/>
          </w:divBdr>
        </w:div>
        <w:div w:id="1539194782">
          <w:marLeft w:val="0"/>
          <w:marRight w:val="0"/>
          <w:marTop w:val="0"/>
          <w:marBottom w:val="0"/>
          <w:divBdr>
            <w:top w:val="none" w:sz="0" w:space="0" w:color="auto"/>
            <w:left w:val="none" w:sz="0" w:space="0" w:color="auto"/>
            <w:bottom w:val="none" w:sz="0" w:space="0" w:color="auto"/>
            <w:right w:val="none" w:sz="0" w:space="0" w:color="auto"/>
          </w:divBdr>
        </w:div>
        <w:div w:id="815951844">
          <w:marLeft w:val="0"/>
          <w:marRight w:val="0"/>
          <w:marTop w:val="0"/>
          <w:marBottom w:val="0"/>
          <w:divBdr>
            <w:top w:val="none" w:sz="0" w:space="0" w:color="auto"/>
            <w:left w:val="none" w:sz="0" w:space="0" w:color="auto"/>
            <w:bottom w:val="none" w:sz="0" w:space="0" w:color="auto"/>
            <w:right w:val="none" w:sz="0" w:space="0" w:color="auto"/>
          </w:divBdr>
        </w:div>
        <w:div w:id="895433149">
          <w:marLeft w:val="0"/>
          <w:marRight w:val="0"/>
          <w:marTop w:val="0"/>
          <w:marBottom w:val="0"/>
          <w:divBdr>
            <w:top w:val="none" w:sz="0" w:space="0" w:color="auto"/>
            <w:left w:val="none" w:sz="0" w:space="0" w:color="auto"/>
            <w:bottom w:val="none" w:sz="0" w:space="0" w:color="auto"/>
            <w:right w:val="none" w:sz="0" w:space="0" w:color="auto"/>
          </w:divBdr>
        </w:div>
        <w:div w:id="798569665">
          <w:marLeft w:val="0"/>
          <w:marRight w:val="0"/>
          <w:marTop w:val="0"/>
          <w:marBottom w:val="0"/>
          <w:divBdr>
            <w:top w:val="none" w:sz="0" w:space="0" w:color="auto"/>
            <w:left w:val="none" w:sz="0" w:space="0" w:color="auto"/>
            <w:bottom w:val="none" w:sz="0" w:space="0" w:color="auto"/>
            <w:right w:val="none" w:sz="0" w:space="0" w:color="auto"/>
          </w:divBdr>
        </w:div>
        <w:div w:id="1507742221">
          <w:marLeft w:val="0"/>
          <w:marRight w:val="0"/>
          <w:marTop w:val="0"/>
          <w:marBottom w:val="0"/>
          <w:divBdr>
            <w:top w:val="none" w:sz="0" w:space="0" w:color="auto"/>
            <w:left w:val="none" w:sz="0" w:space="0" w:color="auto"/>
            <w:bottom w:val="none" w:sz="0" w:space="0" w:color="auto"/>
            <w:right w:val="none" w:sz="0" w:space="0" w:color="auto"/>
          </w:divBdr>
        </w:div>
        <w:div w:id="1391877450">
          <w:marLeft w:val="0"/>
          <w:marRight w:val="0"/>
          <w:marTop w:val="0"/>
          <w:marBottom w:val="0"/>
          <w:divBdr>
            <w:top w:val="none" w:sz="0" w:space="0" w:color="auto"/>
            <w:left w:val="none" w:sz="0" w:space="0" w:color="auto"/>
            <w:bottom w:val="none" w:sz="0" w:space="0" w:color="auto"/>
            <w:right w:val="none" w:sz="0" w:space="0" w:color="auto"/>
          </w:divBdr>
        </w:div>
        <w:div w:id="207881436">
          <w:marLeft w:val="0"/>
          <w:marRight w:val="0"/>
          <w:marTop w:val="0"/>
          <w:marBottom w:val="0"/>
          <w:divBdr>
            <w:top w:val="none" w:sz="0" w:space="0" w:color="auto"/>
            <w:left w:val="none" w:sz="0" w:space="0" w:color="auto"/>
            <w:bottom w:val="none" w:sz="0" w:space="0" w:color="auto"/>
            <w:right w:val="none" w:sz="0" w:space="0" w:color="auto"/>
          </w:divBdr>
        </w:div>
        <w:div w:id="2089575717">
          <w:marLeft w:val="0"/>
          <w:marRight w:val="0"/>
          <w:marTop w:val="0"/>
          <w:marBottom w:val="0"/>
          <w:divBdr>
            <w:top w:val="none" w:sz="0" w:space="0" w:color="auto"/>
            <w:left w:val="none" w:sz="0" w:space="0" w:color="auto"/>
            <w:bottom w:val="none" w:sz="0" w:space="0" w:color="auto"/>
            <w:right w:val="none" w:sz="0" w:space="0" w:color="auto"/>
          </w:divBdr>
        </w:div>
        <w:div w:id="1721633352">
          <w:marLeft w:val="0"/>
          <w:marRight w:val="0"/>
          <w:marTop w:val="0"/>
          <w:marBottom w:val="0"/>
          <w:divBdr>
            <w:top w:val="none" w:sz="0" w:space="0" w:color="auto"/>
            <w:left w:val="none" w:sz="0" w:space="0" w:color="auto"/>
            <w:bottom w:val="none" w:sz="0" w:space="0" w:color="auto"/>
            <w:right w:val="none" w:sz="0" w:space="0" w:color="auto"/>
          </w:divBdr>
        </w:div>
        <w:div w:id="106125242">
          <w:marLeft w:val="0"/>
          <w:marRight w:val="0"/>
          <w:marTop w:val="0"/>
          <w:marBottom w:val="0"/>
          <w:divBdr>
            <w:top w:val="none" w:sz="0" w:space="0" w:color="auto"/>
            <w:left w:val="none" w:sz="0" w:space="0" w:color="auto"/>
            <w:bottom w:val="none" w:sz="0" w:space="0" w:color="auto"/>
            <w:right w:val="none" w:sz="0" w:space="0" w:color="auto"/>
          </w:divBdr>
        </w:div>
        <w:div w:id="243413321">
          <w:marLeft w:val="0"/>
          <w:marRight w:val="0"/>
          <w:marTop w:val="0"/>
          <w:marBottom w:val="0"/>
          <w:divBdr>
            <w:top w:val="none" w:sz="0" w:space="0" w:color="auto"/>
            <w:left w:val="none" w:sz="0" w:space="0" w:color="auto"/>
            <w:bottom w:val="none" w:sz="0" w:space="0" w:color="auto"/>
            <w:right w:val="none" w:sz="0" w:space="0" w:color="auto"/>
          </w:divBdr>
        </w:div>
        <w:div w:id="1276792637">
          <w:marLeft w:val="0"/>
          <w:marRight w:val="0"/>
          <w:marTop w:val="0"/>
          <w:marBottom w:val="0"/>
          <w:divBdr>
            <w:top w:val="none" w:sz="0" w:space="0" w:color="auto"/>
            <w:left w:val="none" w:sz="0" w:space="0" w:color="auto"/>
            <w:bottom w:val="none" w:sz="0" w:space="0" w:color="auto"/>
            <w:right w:val="none" w:sz="0" w:space="0" w:color="auto"/>
          </w:divBdr>
        </w:div>
        <w:div w:id="1727560697">
          <w:marLeft w:val="0"/>
          <w:marRight w:val="0"/>
          <w:marTop w:val="0"/>
          <w:marBottom w:val="0"/>
          <w:divBdr>
            <w:top w:val="none" w:sz="0" w:space="0" w:color="auto"/>
            <w:left w:val="none" w:sz="0" w:space="0" w:color="auto"/>
            <w:bottom w:val="none" w:sz="0" w:space="0" w:color="auto"/>
            <w:right w:val="none" w:sz="0" w:space="0" w:color="auto"/>
          </w:divBdr>
        </w:div>
        <w:div w:id="1049919289">
          <w:marLeft w:val="0"/>
          <w:marRight w:val="0"/>
          <w:marTop w:val="0"/>
          <w:marBottom w:val="0"/>
          <w:divBdr>
            <w:top w:val="none" w:sz="0" w:space="0" w:color="auto"/>
            <w:left w:val="none" w:sz="0" w:space="0" w:color="auto"/>
            <w:bottom w:val="none" w:sz="0" w:space="0" w:color="auto"/>
            <w:right w:val="none" w:sz="0" w:space="0" w:color="auto"/>
          </w:divBdr>
        </w:div>
      </w:divsChild>
    </w:div>
    <w:div w:id="1360282189">
      <w:bodyDiv w:val="1"/>
      <w:marLeft w:val="0"/>
      <w:marRight w:val="0"/>
      <w:marTop w:val="0"/>
      <w:marBottom w:val="0"/>
      <w:divBdr>
        <w:top w:val="none" w:sz="0" w:space="0" w:color="auto"/>
        <w:left w:val="none" w:sz="0" w:space="0" w:color="auto"/>
        <w:bottom w:val="none" w:sz="0" w:space="0" w:color="auto"/>
        <w:right w:val="none" w:sz="0" w:space="0" w:color="auto"/>
      </w:divBdr>
    </w:div>
    <w:div w:id="1381977386">
      <w:bodyDiv w:val="1"/>
      <w:marLeft w:val="0"/>
      <w:marRight w:val="0"/>
      <w:marTop w:val="0"/>
      <w:marBottom w:val="0"/>
      <w:divBdr>
        <w:top w:val="none" w:sz="0" w:space="0" w:color="auto"/>
        <w:left w:val="none" w:sz="0" w:space="0" w:color="auto"/>
        <w:bottom w:val="none" w:sz="0" w:space="0" w:color="auto"/>
        <w:right w:val="none" w:sz="0" w:space="0" w:color="auto"/>
      </w:divBdr>
    </w:div>
    <w:div w:id="1432583706">
      <w:bodyDiv w:val="1"/>
      <w:marLeft w:val="0"/>
      <w:marRight w:val="0"/>
      <w:marTop w:val="0"/>
      <w:marBottom w:val="0"/>
      <w:divBdr>
        <w:top w:val="none" w:sz="0" w:space="0" w:color="auto"/>
        <w:left w:val="none" w:sz="0" w:space="0" w:color="auto"/>
        <w:bottom w:val="none" w:sz="0" w:space="0" w:color="auto"/>
        <w:right w:val="none" w:sz="0" w:space="0" w:color="auto"/>
      </w:divBdr>
    </w:div>
    <w:div w:id="1487745203">
      <w:bodyDiv w:val="1"/>
      <w:marLeft w:val="0"/>
      <w:marRight w:val="0"/>
      <w:marTop w:val="0"/>
      <w:marBottom w:val="0"/>
      <w:divBdr>
        <w:top w:val="none" w:sz="0" w:space="0" w:color="auto"/>
        <w:left w:val="none" w:sz="0" w:space="0" w:color="auto"/>
        <w:bottom w:val="none" w:sz="0" w:space="0" w:color="auto"/>
        <w:right w:val="none" w:sz="0" w:space="0" w:color="auto"/>
      </w:divBdr>
    </w:div>
    <w:div w:id="1504129396">
      <w:bodyDiv w:val="1"/>
      <w:marLeft w:val="0"/>
      <w:marRight w:val="0"/>
      <w:marTop w:val="0"/>
      <w:marBottom w:val="0"/>
      <w:divBdr>
        <w:top w:val="none" w:sz="0" w:space="0" w:color="auto"/>
        <w:left w:val="none" w:sz="0" w:space="0" w:color="auto"/>
        <w:bottom w:val="none" w:sz="0" w:space="0" w:color="auto"/>
        <w:right w:val="none" w:sz="0" w:space="0" w:color="auto"/>
      </w:divBdr>
    </w:div>
    <w:div w:id="1573662792">
      <w:bodyDiv w:val="1"/>
      <w:marLeft w:val="0"/>
      <w:marRight w:val="0"/>
      <w:marTop w:val="0"/>
      <w:marBottom w:val="0"/>
      <w:divBdr>
        <w:top w:val="none" w:sz="0" w:space="0" w:color="auto"/>
        <w:left w:val="none" w:sz="0" w:space="0" w:color="auto"/>
        <w:bottom w:val="none" w:sz="0" w:space="0" w:color="auto"/>
        <w:right w:val="none" w:sz="0" w:space="0" w:color="auto"/>
      </w:divBdr>
    </w:div>
    <w:div w:id="1629626277">
      <w:bodyDiv w:val="1"/>
      <w:marLeft w:val="0"/>
      <w:marRight w:val="0"/>
      <w:marTop w:val="0"/>
      <w:marBottom w:val="0"/>
      <w:divBdr>
        <w:top w:val="none" w:sz="0" w:space="0" w:color="auto"/>
        <w:left w:val="none" w:sz="0" w:space="0" w:color="auto"/>
        <w:bottom w:val="none" w:sz="0" w:space="0" w:color="auto"/>
        <w:right w:val="none" w:sz="0" w:space="0" w:color="auto"/>
      </w:divBdr>
    </w:div>
    <w:div w:id="1710841614">
      <w:bodyDiv w:val="1"/>
      <w:marLeft w:val="0"/>
      <w:marRight w:val="0"/>
      <w:marTop w:val="0"/>
      <w:marBottom w:val="0"/>
      <w:divBdr>
        <w:top w:val="none" w:sz="0" w:space="0" w:color="auto"/>
        <w:left w:val="none" w:sz="0" w:space="0" w:color="auto"/>
        <w:bottom w:val="none" w:sz="0" w:space="0" w:color="auto"/>
        <w:right w:val="none" w:sz="0" w:space="0" w:color="auto"/>
      </w:divBdr>
    </w:div>
    <w:div w:id="1749228299">
      <w:bodyDiv w:val="1"/>
      <w:marLeft w:val="0"/>
      <w:marRight w:val="0"/>
      <w:marTop w:val="0"/>
      <w:marBottom w:val="0"/>
      <w:divBdr>
        <w:top w:val="none" w:sz="0" w:space="0" w:color="auto"/>
        <w:left w:val="none" w:sz="0" w:space="0" w:color="auto"/>
        <w:bottom w:val="none" w:sz="0" w:space="0" w:color="auto"/>
        <w:right w:val="none" w:sz="0" w:space="0" w:color="auto"/>
      </w:divBdr>
    </w:div>
    <w:div w:id="1777555126">
      <w:bodyDiv w:val="1"/>
      <w:marLeft w:val="0"/>
      <w:marRight w:val="0"/>
      <w:marTop w:val="0"/>
      <w:marBottom w:val="0"/>
      <w:divBdr>
        <w:top w:val="none" w:sz="0" w:space="0" w:color="auto"/>
        <w:left w:val="none" w:sz="0" w:space="0" w:color="auto"/>
        <w:bottom w:val="none" w:sz="0" w:space="0" w:color="auto"/>
        <w:right w:val="none" w:sz="0" w:space="0" w:color="auto"/>
      </w:divBdr>
    </w:div>
    <w:div w:id="1978997517">
      <w:bodyDiv w:val="1"/>
      <w:marLeft w:val="0"/>
      <w:marRight w:val="0"/>
      <w:marTop w:val="0"/>
      <w:marBottom w:val="0"/>
      <w:divBdr>
        <w:top w:val="none" w:sz="0" w:space="0" w:color="auto"/>
        <w:left w:val="none" w:sz="0" w:space="0" w:color="auto"/>
        <w:bottom w:val="none" w:sz="0" w:space="0" w:color="auto"/>
        <w:right w:val="none" w:sz="0" w:space="0" w:color="auto"/>
      </w:divBdr>
    </w:div>
    <w:div w:id="213281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www.undp.org/content/undp/en/home/operations/accountability/programme_and_operationspoliciesandprocedures.html"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info.undp.org/global/popp/rma/Pages/internal-control-framework.aspx" TargetMode="External"/><Relationship Id="rId27" Type="http://schemas.openxmlformats.org/officeDocument/2006/relationships/header" Target="header8.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e492fd8e14e3aed3a793ca7813f398b8">
  <xsd:schema xmlns:xsd="http://www.w3.org/2001/XMLSchema" xmlns:xs="http://www.w3.org/2001/XMLSchema" xmlns:p="http://schemas.microsoft.com/office/2006/metadata/properties" xmlns:ns2="5ebeba3d-fd60-4dcb-8548-a9fd3c51d9ff" targetNamespace="http://schemas.microsoft.com/office/2006/metadata/properties" ma:root="true" ma:fieldsID="98f07ae1c2d7656ffd86fd1786707b1b"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UNITOFFICE-440-132</_dlc_DocId>
    <_dlc_DocIdUrl xmlns="5ebeba3d-fd60-4dcb-8548-a9fd3c51d9ff">
      <Url>https://intranet.undp.org/unit/office/exo/sp2014/SP201417/_layouts/DocIdRedir.aspx?ID=UNITOFFICE-440-132</Url>
      <Description>UNITOFFICE-440-132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2.xml><?xml version="1.0" encoding="utf-8"?>
<ds:datastoreItem xmlns:ds="http://schemas.openxmlformats.org/officeDocument/2006/customXml" ds:itemID="{976110BA-0F6E-47A2-90E3-9C708177C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625C90-2827-49F4-8BE7-A485F8CCE6CA}">
  <ds:schemaRefs>
    <ds:schemaRef ds:uri="http://schemas.microsoft.com/sharepoint/events"/>
  </ds:schemaRefs>
</ds:datastoreItem>
</file>

<file path=customXml/itemProps4.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5.xml><?xml version="1.0" encoding="utf-8"?>
<ds:datastoreItem xmlns:ds="http://schemas.openxmlformats.org/officeDocument/2006/customXml" ds:itemID="{5EA87B76-5260-4C0C-8C38-F9A46B8F7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5617</Words>
  <Characters>35389</Characters>
  <Application>Microsoft Office Word</Application>
  <DocSecurity>0</DocSecurity>
  <Lines>863</Lines>
  <Paragraphs>410</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40596</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2</cp:revision>
  <cp:lastPrinted>2015-05-08T12:43:00Z</cp:lastPrinted>
  <dcterms:created xsi:type="dcterms:W3CDTF">2016-06-01T15:57:00Z</dcterms:created>
  <dcterms:modified xsi:type="dcterms:W3CDTF">2016-06-01T15:57:00Z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3fc9bbe4-ca43-4869-92da-0d167ed62c16</vt:lpwstr>
  </property>
</Properties>
</file>