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F7D6" w14:textId="32DA72DA" w:rsidR="005C6168" w:rsidRPr="00BC4F55" w:rsidRDefault="00D864E5">
      <w:pPr>
        <w:pStyle w:val="Heading3"/>
        <w:jc w:val="left"/>
        <w:rPr>
          <w:rFonts w:asciiTheme="minorHAnsi" w:hAnsiTheme="minorHAnsi"/>
          <w:lang w:val="en-GB"/>
        </w:rPr>
      </w:pPr>
      <w:r w:rsidRPr="00BC4F55">
        <w:rPr>
          <w:rFonts w:asciiTheme="minorHAnsi" w:hAnsiTheme="minorHAnsi"/>
          <w:lang w:val="en-GB"/>
        </w:rPr>
        <w:t>Country:</w:t>
      </w:r>
      <w:r w:rsidRPr="00BC4F55">
        <w:rPr>
          <w:rFonts w:asciiTheme="minorHAnsi" w:hAnsiTheme="minorHAnsi"/>
          <w:lang w:val="en-GB"/>
        </w:rPr>
        <w:tab/>
      </w:r>
      <w:r w:rsidRPr="00BC4F55">
        <w:rPr>
          <w:rFonts w:asciiTheme="minorHAnsi" w:hAnsiTheme="minorHAnsi"/>
          <w:lang w:val="en-GB"/>
        </w:rPr>
        <w:tab/>
        <w:t xml:space="preserve">  MONTEMEGRO </w:t>
      </w:r>
    </w:p>
    <w:p w14:paraId="2869F7D8" w14:textId="77777777" w:rsidR="005C6168" w:rsidRPr="00BC4F55" w:rsidRDefault="00BC38E0" w:rsidP="00D864E5">
      <w:pPr>
        <w:pStyle w:val="Heading3"/>
        <w:ind w:firstLine="720"/>
        <w:rPr>
          <w:rFonts w:asciiTheme="minorHAnsi" w:hAnsiTheme="minorHAnsi"/>
          <w:b/>
          <w:bCs w:val="0"/>
          <w:lang w:val="en-GB"/>
        </w:rPr>
      </w:pPr>
      <w:r w:rsidRPr="00BC4F55">
        <w:rPr>
          <w:rFonts w:asciiTheme="minorHAnsi" w:hAnsiTheme="minorHAnsi"/>
          <w:b/>
          <w:bCs w:val="0"/>
          <w:lang w:val="en-GB"/>
        </w:rPr>
        <w:t>COUNTRY PROGRAMME</w:t>
      </w:r>
      <w:r w:rsidR="00B32ADA" w:rsidRPr="00BC4F55">
        <w:rPr>
          <w:rFonts w:asciiTheme="minorHAnsi" w:hAnsiTheme="minorHAnsi"/>
          <w:b/>
          <w:bCs w:val="0"/>
          <w:lang w:val="en-GB"/>
        </w:rPr>
        <w:t xml:space="preserve"> PERFORMANCE SUMMARY</w:t>
      </w:r>
      <w:r w:rsidR="001F3524" w:rsidRPr="00BC4F55">
        <w:rPr>
          <w:rStyle w:val="FootnoteReference"/>
          <w:rFonts w:asciiTheme="minorHAnsi" w:hAnsiTheme="minorHAnsi"/>
          <w:b/>
          <w:bCs w:val="0"/>
          <w:lang w:val="en-GB"/>
        </w:rPr>
        <w:footnoteReference w:id="1"/>
      </w:r>
    </w:p>
    <w:p w14:paraId="2869F7D9" w14:textId="77777777" w:rsidR="005C6168" w:rsidRPr="00BC4F55" w:rsidRDefault="005C6168">
      <w:pPr>
        <w:pStyle w:val="Heading3"/>
        <w:rPr>
          <w:rFonts w:asciiTheme="minorHAnsi" w:hAnsiTheme="minorHAnsi"/>
          <w:b/>
          <w:lang w:val="en-GB"/>
        </w:rPr>
      </w:pPr>
    </w:p>
    <w:p w14:paraId="2869F7DA" w14:textId="0174F46F" w:rsidR="005C6168" w:rsidRPr="00BC4F55" w:rsidRDefault="00D864E5">
      <w:pPr>
        <w:pStyle w:val="Heading3"/>
        <w:jc w:val="left"/>
        <w:rPr>
          <w:rFonts w:asciiTheme="minorHAnsi" w:hAnsiTheme="minorHAnsi"/>
          <w:lang w:val="en-GB"/>
        </w:rPr>
      </w:pPr>
      <w:r w:rsidRPr="00BC4F55">
        <w:rPr>
          <w:rFonts w:asciiTheme="minorHAnsi" w:hAnsiTheme="minorHAnsi"/>
          <w:lang w:val="en-GB"/>
        </w:rPr>
        <w:t xml:space="preserve">Reporting period: </w:t>
      </w:r>
      <w:r w:rsidRPr="00BC4F55">
        <w:rPr>
          <w:rFonts w:asciiTheme="minorHAnsi" w:hAnsiTheme="minorHAnsi"/>
          <w:lang w:val="en-GB"/>
        </w:rPr>
        <w:tab/>
        <w:t xml:space="preserve">  2012-2016</w:t>
      </w:r>
    </w:p>
    <w:p w14:paraId="2869F7DB" w14:textId="77777777" w:rsidR="005C6168" w:rsidRPr="00BC4F55" w:rsidRDefault="005C6168">
      <w:pPr>
        <w:pStyle w:val="Heading3"/>
        <w:rPr>
          <w:rFonts w:asciiTheme="minorHAnsi" w:hAnsiTheme="minorHAnsi"/>
          <w:lang w:val="en-GB"/>
        </w:rPr>
      </w:pPr>
    </w:p>
    <w:p w14:paraId="2869F7DC" w14:textId="77777777" w:rsidR="005C6168" w:rsidRPr="00BC4F55" w:rsidRDefault="005C6168">
      <w:pPr>
        <w:rPr>
          <w:rFonts w:asciiTheme="minorHAnsi" w:hAnsiTheme="minorHAnsi"/>
          <w:lang w:val="en-GB"/>
        </w:rPr>
      </w:pPr>
    </w:p>
    <w:p w14:paraId="2869F7DD" w14:textId="2AA6EB40" w:rsidR="005C6168" w:rsidRPr="00BC4F55" w:rsidRDefault="005C6168">
      <w:pPr>
        <w:pStyle w:val="Heading3"/>
        <w:rPr>
          <w:rFonts w:asciiTheme="minorHAnsi" w:hAnsiTheme="minorHAnsi"/>
          <w:b/>
          <w:bCs w:val="0"/>
          <w:lang w:val="en-GB"/>
        </w:rPr>
      </w:pPr>
      <w:r w:rsidRPr="00BC4F55">
        <w:rPr>
          <w:rFonts w:asciiTheme="minorHAnsi" w:hAnsiTheme="minorHAnsi"/>
          <w:b/>
          <w:bCs w:val="0"/>
          <w:lang w:val="en-GB"/>
        </w:rPr>
        <w:t xml:space="preserve">I.  </w:t>
      </w:r>
      <w:r w:rsidR="0064746F" w:rsidRPr="00BC4F55">
        <w:rPr>
          <w:rFonts w:asciiTheme="minorHAnsi" w:hAnsiTheme="minorHAnsi"/>
          <w:b/>
          <w:bCs w:val="0"/>
          <w:lang w:val="en-GB"/>
        </w:rPr>
        <w:t>EXECUTIVE SUMMARY</w:t>
      </w:r>
      <w:bookmarkStart w:id="0" w:name="_GoBack"/>
      <w:bookmarkEnd w:id="0"/>
    </w:p>
    <w:p w14:paraId="31889D1A" w14:textId="77777777" w:rsidR="00B537E3" w:rsidRDefault="00B537E3" w:rsidP="00012EE5">
      <w:pPr>
        <w:widowControl/>
        <w:jc w:val="both"/>
        <w:rPr>
          <w:rFonts w:ascii="Calibri" w:eastAsia="Calibri" w:hAnsi="Calibri" w:cs="Calibri"/>
          <w:sz w:val="20"/>
          <w:lang w:val="en-GB"/>
        </w:rPr>
      </w:pPr>
    </w:p>
    <w:p w14:paraId="4B9EAA44" w14:textId="3204A884" w:rsidR="00537723" w:rsidRPr="00BC4F55" w:rsidRDefault="00F171ED" w:rsidP="00012EE5">
      <w:pPr>
        <w:widowControl/>
        <w:jc w:val="both"/>
        <w:rPr>
          <w:rFonts w:ascii="Calibri" w:eastAsia="Calibri" w:hAnsi="Calibri" w:cs="Arial"/>
          <w:iCs/>
          <w:color w:val="000000"/>
          <w:sz w:val="20"/>
          <w:lang w:val="en-GB"/>
        </w:rPr>
      </w:pPr>
      <w:r w:rsidRPr="00BC4F55">
        <w:rPr>
          <w:rFonts w:ascii="Calibri" w:eastAsia="Calibri" w:hAnsi="Calibri" w:cs="Calibri"/>
          <w:sz w:val="20"/>
          <w:lang w:val="en-GB"/>
        </w:rPr>
        <w:t>T</w:t>
      </w:r>
      <w:r w:rsidR="00D864E5" w:rsidRPr="00BC4F55">
        <w:rPr>
          <w:rFonts w:ascii="Calibri" w:eastAsia="Calibri" w:hAnsi="Calibri" w:cs="Calibri"/>
          <w:sz w:val="20"/>
          <w:lang w:val="en-GB"/>
        </w:rPr>
        <w:t xml:space="preserve">he UNDP Country Programme Document (CPD) for 2012-2016 </w:t>
      </w:r>
      <w:r w:rsidRPr="00BC4F55">
        <w:rPr>
          <w:rFonts w:ascii="Calibri" w:eastAsia="Calibri" w:hAnsi="Calibri" w:cs="Calibri"/>
          <w:sz w:val="20"/>
          <w:lang w:val="en-GB"/>
        </w:rPr>
        <w:t>committed to outcomes in three</w:t>
      </w:r>
      <w:r w:rsidR="00D864E5" w:rsidRPr="00BC4F55">
        <w:rPr>
          <w:rFonts w:ascii="Calibri" w:eastAsia="Calibri" w:hAnsi="Calibri" w:cs="Calibri"/>
          <w:sz w:val="20"/>
          <w:lang w:val="en-GB"/>
        </w:rPr>
        <w:t xml:space="preserve"> distinct </w:t>
      </w:r>
      <w:r w:rsidR="00B24584" w:rsidRPr="00BC4F55">
        <w:rPr>
          <w:rFonts w:ascii="Calibri" w:eastAsia="Calibri" w:hAnsi="Calibri" w:cs="Calibri"/>
          <w:sz w:val="20"/>
          <w:lang w:val="en-GB"/>
        </w:rPr>
        <w:t xml:space="preserve">but interrelated </w:t>
      </w:r>
      <w:r w:rsidR="00D864E5" w:rsidRPr="00BC4F55">
        <w:rPr>
          <w:rFonts w:ascii="Calibri" w:eastAsia="Calibri" w:hAnsi="Calibri" w:cs="Calibri"/>
          <w:sz w:val="20"/>
          <w:lang w:val="en-GB"/>
        </w:rPr>
        <w:t>area</w:t>
      </w:r>
      <w:r w:rsidR="00537723" w:rsidRPr="00BC4F55">
        <w:rPr>
          <w:rFonts w:ascii="Calibri" w:eastAsia="Calibri" w:hAnsi="Calibri" w:cs="Calibri"/>
          <w:sz w:val="20"/>
          <w:lang w:val="en-GB"/>
        </w:rPr>
        <w:t xml:space="preserve">s of </w:t>
      </w:r>
      <w:r w:rsidR="00D864E5" w:rsidRPr="00BC4F55">
        <w:rPr>
          <w:rFonts w:ascii="Calibri" w:eastAsia="Calibri" w:hAnsi="Calibri" w:cs="Calibri"/>
          <w:sz w:val="20"/>
          <w:lang w:val="en-GB"/>
        </w:rPr>
        <w:t>Social Inclusion, Democratic Governance and Energy and Environment</w:t>
      </w:r>
      <w:r w:rsidR="00BC4F55" w:rsidRPr="00BC4F55">
        <w:rPr>
          <w:rFonts w:ascii="Calibri" w:eastAsia="Calibri" w:hAnsi="Calibri" w:cs="Calibri"/>
          <w:sz w:val="20"/>
          <w:lang w:val="en-GB"/>
        </w:rPr>
        <w:t>,</w:t>
      </w:r>
      <w:r w:rsidR="00537723" w:rsidRPr="00BC4F55">
        <w:rPr>
          <w:rFonts w:ascii="Calibri" w:eastAsia="Calibri" w:hAnsi="Calibri" w:cs="Calibri"/>
          <w:sz w:val="20"/>
          <w:lang w:val="en-GB"/>
        </w:rPr>
        <w:t xml:space="preserve"> closely aligned with the overall Integrated UN Programme. An external </w:t>
      </w:r>
      <w:r w:rsidR="00012EE5" w:rsidRPr="00BC4F55">
        <w:rPr>
          <w:rFonts w:ascii="Calibri" w:eastAsia="Calibri" w:hAnsi="Calibri" w:cs="Arial"/>
          <w:color w:val="000000"/>
          <w:sz w:val="20"/>
          <w:lang w:val="en-GB"/>
        </w:rPr>
        <w:t xml:space="preserve">Outcome evaluation </w:t>
      </w:r>
      <w:r w:rsidR="00537723" w:rsidRPr="00BC4F55">
        <w:rPr>
          <w:rFonts w:ascii="Calibri" w:eastAsia="Calibri" w:hAnsi="Calibri" w:cs="Arial"/>
          <w:color w:val="000000"/>
          <w:sz w:val="20"/>
          <w:lang w:val="en-GB"/>
        </w:rPr>
        <w:t xml:space="preserve">of the </w:t>
      </w:r>
      <w:r w:rsidR="00537723" w:rsidRPr="00BC4F55">
        <w:rPr>
          <w:rFonts w:ascii="Calibri" w:eastAsia="Calibri" w:hAnsi="Calibri" w:cs="Arial"/>
          <w:iCs/>
          <w:color w:val="000000"/>
          <w:sz w:val="20"/>
          <w:lang w:val="en-GB"/>
        </w:rPr>
        <w:t>Country Programme undertaken in 2015 noted that it wa</w:t>
      </w:r>
      <w:r w:rsidR="00462107" w:rsidRPr="00BC4F55">
        <w:rPr>
          <w:rFonts w:ascii="Calibri" w:eastAsia="Calibri" w:hAnsi="Calibri" w:cs="Arial"/>
          <w:iCs/>
          <w:color w:val="000000"/>
          <w:sz w:val="20"/>
          <w:lang w:val="en-GB"/>
        </w:rPr>
        <w:t>s</w:t>
      </w:r>
      <w:r w:rsidR="00BC4F55" w:rsidRPr="00BC4F55">
        <w:rPr>
          <w:rFonts w:ascii="Calibri" w:eastAsia="Calibri" w:hAnsi="Calibri" w:cs="Arial"/>
          <w:iCs/>
          <w:color w:val="000000"/>
          <w:sz w:val="20"/>
          <w:lang w:val="en-GB"/>
        </w:rPr>
        <w:t>:</w:t>
      </w:r>
      <w:r w:rsidR="00462107" w:rsidRPr="00BC4F55">
        <w:rPr>
          <w:rFonts w:ascii="Calibri" w:eastAsia="Calibri" w:hAnsi="Calibri" w:cs="Arial"/>
          <w:iCs/>
          <w:color w:val="000000"/>
          <w:sz w:val="20"/>
          <w:lang w:val="en-GB"/>
        </w:rPr>
        <w:t xml:space="preserve"> </w:t>
      </w:r>
    </w:p>
    <w:p w14:paraId="11F65291" w14:textId="3BDE6769" w:rsidR="000770FE" w:rsidRDefault="00537723" w:rsidP="00F30758">
      <w:pPr>
        <w:widowControl/>
        <w:ind w:left="720"/>
        <w:jc w:val="both"/>
        <w:rPr>
          <w:rStyle w:val="Emphasis"/>
          <w:rFonts w:asciiTheme="minorHAnsi" w:eastAsia="Calibri" w:hAnsiTheme="minorHAnsi"/>
          <w:sz w:val="20"/>
          <w:lang w:val="en-GB"/>
        </w:rPr>
      </w:pPr>
      <w:r w:rsidRPr="00BC4F55">
        <w:rPr>
          <w:rStyle w:val="Emphasis"/>
          <w:rFonts w:asciiTheme="minorHAnsi" w:eastAsia="Calibri" w:hAnsiTheme="minorHAnsi"/>
          <w:sz w:val="20"/>
          <w:lang w:val="en-GB"/>
        </w:rPr>
        <w:t>“</w:t>
      </w:r>
      <w:r w:rsidR="00462107" w:rsidRPr="00BC4F55">
        <w:rPr>
          <w:rStyle w:val="Emphasis"/>
          <w:rFonts w:asciiTheme="minorHAnsi" w:eastAsia="Calibri" w:hAnsiTheme="minorHAnsi"/>
          <w:sz w:val="20"/>
          <w:lang w:val="en-GB"/>
        </w:rPr>
        <w:t>very</w:t>
      </w:r>
      <w:r w:rsidR="00D864E5" w:rsidRPr="00BC4F55">
        <w:rPr>
          <w:rStyle w:val="Emphasis"/>
          <w:rFonts w:asciiTheme="minorHAnsi" w:eastAsia="Calibri" w:hAnsiTheme="minorHAnsi"/>
          <w:sz w:val="20"/>
          <w:lang w:val="en-GB"/>
        </w:rPr>
        <w:t xml:space="preserve"> relevant to the national context, </w:t>
      </w:r>
      <w:r w:rsidR="00BC4F55" w:rsidRPr="00BC4F55">
        <w:rPr>
          <w:rStyle w:val="Emphasis"/>
          <w:rFonts w:asciiTheme="minorHAnsi" w:eastAsia="Calibri" w:hAnsiTheme="minorHAnsi"/>
          <w:sz w:val="20"/>
          <w:lang w:val="en-GB"/>
        </w:rPr>
        <w:t>[</w:t>
      </w:r>
      <w:r w:rsidRPr="00BC4F55">
        <w:rPr>
          <w:rStyle w:val="Emphasis"/>
          <w:rFonts w:asciiTheme="minorHAnsi" w:eastAsia="Calibri" w:hAnsiTheme="minorHAnsi"/>
          <w:sz w:val="20"/>
          <w:lang w:val="en-GB"/>
        </w:rPr>
        <w:t>…</w:t>
      </w:r>
      <w:r w:rsidR="00BC4F55" w:rsidRPr="00BC4F55">
        <w:rPr>
          <w:rStyle w:val="Emphasis"/>
          <w:rFonts w:asciiTheme="minorHAnsi" w:eastAsia="Calibri" w:hAnsiTheme="minorHAnsi"/>
          <w:sz w:val="20"/>
          <w:lang w:val="en-GB"/>
        </w:rPr>
        <w:t>]</w:t>
      </w:r>
      <w:r w:rsidRPr="00BC4F55">
        <w:rPr>
          <w:rStyle w:val="Emphasis"/>
          <w:rFonts w:asciiTheme="minorHAnsi" w:eastAsia="Calibri" w:hAnsiTheme="minorHAnsi"/>
          <w:sz w:val="20"/>
          <w:lang w:val="en-GB"/>
        </w:rPr>
        <w:t xml:space="preserve"> </w:t>
      </w:r>
      <w:r w:rsidR="00D864E5" w:rsidRPr="00BC4F55">
        <w:rPr>
          <w:rStyle w:val="Emphasis"/>
          <w:rFonts w:asciiTheme="minorHAnsi" w:eastAsia="Calibri" w:hAnsiTheme="minorHAnsi"/>
          <w:sz w:val="20"/>
          <w:lang w:val="en-GB"/>
        </w:rPr>
        <w:t xml:space="preserve">The Country Programme responds to </w:t>
      </w:r>
      <w:r w:rsidR="00BC4F55" w:rsidRPr="00BC4F55">
        <w:rPr>
          <w:rStyle w:val="Emphasis"/>
          <w:rFonts w:asciiTheme="minorHAnsi" w:eastAsia="Calibri" w:hAnsiTheme="minorHAnsi"/>
          <w:sz w:val="20"/>
          <w:lang w:val="en-GB"/>
        </w:rPr>
        <w:t xml:space="preserve">the </w:t>
      </w:r>
      <w:r w:rsidR="00D864E5" w:rsidRPr="00BC4F55">
        <w:rPr>
          <w:rStyle w:val="Emphasis"/>
          <w:rFonts w:asciiTheme="minorHAnsi" w:eastAsia="Calibri" w:hAnsiTheme="minorHAnsi"/>
          <w:sz w:val="20"/>
          <w:lang w:val="en-GB"/>
        </w:rPr>
        <w:t xml:space="preserve">issues, which key importance has been emphasized in the national strategic documents as priorities of the reforms in the three area of the rule of law, social inclusion and the environment. It is consistent with the needs of women, men, girls and boys in the country. </w:t>
      </w:r>
      <w:r w:rsidR="00012EE5" w:rsidRPr="00BC4F55">
        <w:rPr>
          <w:rStyle w:val="Emphasis"/>
          <w:rFonts w:asciiTheme="minorHAnsi" w:eastAsia="Calibri" w:hAnsiTheme="minorHAnsi"/>
          <w:sz w:val="20"/>
          <w:lang w:val="en-GB"/>
        </w:rPr>
        <w:t>The CO has implemented</w:t>
      </w:r>
      <w:r w:rsidRPr="00BC4F55">
        <w:rPr>
          <w:rStyle w:val="Emphasis"/>
          <w:rFonts w:asciiTheme="minorHAnsi" w:eastAsia="Calibri" w:hAnsiTheme="minorHAnsi"/>
          <w:sz w:val="20"/>
          <w:lang w:val="en-GB"/>
        </w:rPr>
        <w:t xml:space="preserve"> all outcomes of the CPD </w:t>
      </w:r>
      <w:r w:rsidR="00BC4F55" w:rsidRPr="00BC4F55">
        <w:rPr>
          <w:rStyle w:val="Emphasis"/>
          <w:rFonts w:asciiTheme="minorHAnsi" w:eastAsia="Calibri" w:hAnsiTheme="minorHAnsi"/>
          <w:sz w:val="20"/>
          <w:lang w:val="en-GB"/>
        </w:rPr>
        <w:t>[</w:t>
      </w:r>
      <w:r w:rsidRPr="00BC4F55">
        <w:rPr>
          <w:rStyle w:val="Emphasis"/>
          <w:rFonts w:asciiTheme="minorHAnsi" w:eastAsia="Calibri" w:hAnsiTheme="minorHAnsi"/>
          <w:sz w:val="20"/>
          <w:lang w:val="en-GB"/>
        </w:rPr>
        <w:t>…</w:t>
      </w:r>
      <w:r w:rsidR="00BC4F55" w:rsidRPr="00BC4F55">
        <w:rPr>
          <w:rStyle w:val="Emphasis"/>
          <w:rFonts w:asciiTheme="minorHAnsi" w:eastAsia="Calibri" w:hAnsiTheme="minorHAnsi"/>
          <w:sz w:val="20"/>
          <w:lang w:val="en-GB"/>
        </w:rPr>
        <w:t>]</w:t>
      </w:r>
      <w:r w:rsidRPr="00BC4F55">
        <w:rPr>
          <w:rStyle w:val="Emphasis"/>
          <w:rFonts w:asciiTheme="minorHAnsi" w:eastAsia="Calibri" w:hAnsiTheme="minorHAnsi"/>
          <w:sz w:val="20"/>
          <w:lang w:val="en-GB"/>
        </w:rPr>
        <w:t xml:space="preserve"> </w:t>
      </w:r>
      <w:r w:rsidR="00012EE5" w:rsidRPr="00BC4F55">
        <w:rPr>
          <w:rStyle w:val="Emphasis"/>
          <w:rFonts w:asciiTheme="minorHAnsi" w:eastAsia="Calibri" w:hAnsiTheme="minorHAnsi"/>
          <w:sz w:val="20"/>
          <w:lang w:val="en-GB"/>
        </w:rPr>
        <w:t>and at times exceeding most of the targets. It has broadly met its overall resource mobilization target in both regular and non-core resources. The CPD period was characterized by repeated challenges in the political environment and declining donor resources.</w:t>
      </w:r>
    </w:p>
    <w:p w14:paraId="09A6797E" w14:textId="31CA3EBF" w:rsidR="00537723" w:rsidRPr="00BC4F55" w:rsidRDefault="00012EE5" w:rsidP="00F30758">
      <w:pPr>
        <w:widowControl/>
        <w:ind w:left="720"/>
        <w:jc w:val="both"/>
        <w:rPr>
          <w:rStyle w:val="Emphasis"/>
          <w:rFonts w:asciiTheme="minorHAnsi" w:eastAsia="Calibri" w:hAnsiTheme="minorHAnsi"/>
          <w:sz w:val="20"/>
          <w:lang w:val="en-GB"/>
        </w:rPr>
      </w:pPr>
      <w:r w:rsidRPr="00BC4F55">
        <w:rPr>
          <w:rStyle w:val="Emphasis"/>
          <w:rFonts w:asciiTheme="minorHAnsi" w:eastAsia="Calibri" w:hAnsiTheme="minorHAnsi"/>
          <w:sz w:val="20"/>
          <w:lang w:val="en-GB"/>
        </w:rPr>
        <w:t xml:space="preserve"> </w:t>
      </w:r>
    </w:p>
    <w:p w14:paraId="2869F7E6" w14:textId="5E32039B" w:rsidR="00E770DC" w:rsidRPr="00BC4F55" w:rsidRDefault="00537723" w:rsidP="00F30758">
      <w:pPr>
        <w:widowControl/>
        <w:ind w:left="720"/>
        <w:jc w:val="both"/>
        <w:rPr>
          <w:rFonts w:asciiTheme="minorHAnsi" w:eastAsia="Calibri" w:hAnsiTheme="minorHAnsi" w:cs="Arial"/>
          <w:color w:val="000000"/>
          <w:sz w:val="20"/>
          <w:lang w:val="en-GB"/>
        </w:rPr>
      </w:pPr>
      <w:r w:rsidRPr="00BC4F55">
        <w:rPr>
          <w:rStyle w:val="Emphasis"/>
          <w:rFonts w:asciiTheme="minorHAnsi" w:eastAsia="Calibri" w:hAnsiTheme="minorHAnsi"/>
          <w:sz w:val="20"/>
          <w:lang w:val="en-GB"/>
        </w:rPr>
        <w:t>U</w:t>
      </w:r>
      <w:r w:rsidR="00D864E5" w:rsidRPr="00BC4F55">
        <w:rPr>
          <w:rStyle w:val="Emphasis"/>
          <w:rFonts w:asciiTheme="minorHAnsi" w:eastAsia="Calibri" w:hAnsiTheme="minorHAnsi"/>
          <w:sz w:val="20"/>
          <w:lang w:val="en-GB"/>
        </w:rPr>
        <w:t>NDP addresses Montenegro’s developmental challenges, especially those related to vulnerable groups and regional disparities where a solution can be found in the national context. The objectives of the UNDP Programme are also consistent with the country’s international and regional commitments, including on human rights (i.e. core human rights treaties), and other global priorities (i.e. sustainable development, environment, etc.)</w:t>
      </w:r>
      <w:r w:rsidR="00BC4F55">
        <w:rPr>
          <w:rStyle w:val="Emphasis"/>
          <w:rFonts w:asciiTheme="minorHAnsi" w:eastAsia="Calibri" w:hAnsiTheme="minorHAnsi"/>
          <w:sz w:val="20"/>
          <w:lang w:val="en-GB"/>
        </w:rPr>
        <w:t>.</w:t>
      </w:r>
      <w:r w:rsidR="00B24584" w:rsidRPr="00BC4F55">
        <w:rPr>
          <w:rStyle w:val="Emphasis"/>
          <w:rFonts w:asciiTheme="minorHAnsi" w:eastAsia="Calibri" w:hAnsiTheme="minorHAnsi"/>
          <w:sz w:val="20"/>
          <w:lang w:val="en-GB"/>
        </w:rPr>
        <w:t>”</w:t>
      </w:r>
    </w:p>
    <w:p w14:paraId="770D02EB" w14:textId="13424534" w:rsidR="00BC4F55" w:rsidRDefault="00537723" w:rsidP="00012EE5">
      <w:pPr>
        <w:widowControl/>
        <w:jc w:val="both"/>
        <w:rPr>
          <w:rFonts w:ascii="Calibri" w:eastAsia="Calibri" w:hAnsi="Calibri" w:cs="Arial"/>
          <w:color w:val="000000"/>
          <w:sz w:val="20"/>
          <w:lang w:val="en-GB"/>
        </w:rPr>
      </w:pPr>
      <w:r w:rsidRPr="00BC4F55">
        <w:rPr>
          <w:rFonts w:ascii="Calibri" w:eastAsia="Calibri" w:hAnsi="Calibri" w:cs="Arial"/>
          <w:color w:val="000000"/>
          <w:sz w:val="20"/>
          <w:lang w:val="en-GB"/>
        </w:rPr>
        <w:t xml:space="preserve">The key achievements in the area of </w:t>
      </w:r>
      <w:r w:rsidRPr="00BC4F55">
        <w:rPr>
          <w:rFonts w:ascii="Calibri" w:eastAsia="Calibri" w:hAnsi="Calibri" w:cs="Arial"/>
          <w:b/>
          <w:color w:val="000000"/>
          <w:sz w:val="20"/>
          <w:lang w:val="en-GB"/>
        </w:rPr>
        <w:t xml:space="preserve">Democratic Governance </w:t>
      </w:r>
      <w:r w:rsidRPr="00BC4F55">
        <w:rPr>
          <w:rFonts w:ascii="Calibri" w:eastAsia="Calibri" w:hAnsi="Calibri" w:cs="Arial"/>
          <w:color w:val="000000"/>
          <w:sz w:val="20"/>
          <w:lang w:val="en-GB"/>
        </w:rPr>
        <w:t>include support in</w:t>
      </w:r>
      <w:r w:rsidR="00012EE5" w:rsidRPr="00BC4F55">
        <w:rPr>
          <w:rFonts w:ascii="Calibri" w:eastAsia="Calibri" w:hAnsi="Calibri" w:cs="Arial"/>
          <w:color w:val="000000"/>
          <w:sz w:val="20"/>
          <w:lang w:val="en-GB"/>
        </w:rPr>
        <w:t xml:space="preserve"> development of </w:t>
      </w:r>
      <w:r w:rsidRPr="00BC4F55">
        <w:rPr>
          <w:rFonts w:ascii="Calibri" w:eastAsia="Calibri" w:hAnsi="Calibri" w:cs="Arial"/>
          <w:color w:val="000000"/>
          <w:sz w:val="20"/>
          <w:lang w:val="en-GB"/>
        </w:rPr>
        <w:t xml:space="preserve">the </w:t>
      </w:r>
      <w:r w:rsidR="00012EE5" w:rsidRPr="00BC4F55">
        <w:rPr>
          <w:rFonts w:ascii="Calibri" w:eastAsia="Calibri" w:hAnsi="Calibri" w:cs="Arial"/>
          <w:color w:val="000000"/>
          <w:sz w:val="20"/>
          <w:lang w:val="en-GB"/>
        </w:rPr>
        <w:t xml:space="preserve">national strategic and legislative framework </w:t>
      </w:r>
      <w:r w:rsidRPr="00BC4F55">
        <w:rPr>
          <w:rFonts w:ascii="Calibri" w:eastAsia="Calibri" w:hAnsi="Calibri" w:cs="Arial"/>
          <w:color w:val="000000"/>
          <w:sz w:val="20"/>
          <w:lang w:val="en-GB"/>
        </w:rPr>
        <w:t xml:space="preserve">for </w:t>
      </w:r>
      <w:r w:rsidR="00012EE5" w:rsidRPr="00BC4F55">
        <w:rPr>
          <w:rFonts w:ascii="Calibri" w:eastAsia="Calibri" w:hAnsi="Calibri" w:cs="Arial"/>
          <w:color w:val="000000"/>
          <w:sz w:val="20"/>
          <w:lang w:val="en-GB"/>
        </w:rPr>
        <w:t>ac</w:t>
      </w:r>
      <w:r w:rsidRPr="00BC4F55">
        <w:rPr>
          <w:rFonts w:ascii="Calibri" w:eastAsia="Calibri" w:hAnsi="Calibri" w:cs="Arial"/>
          <w:color w:val="000000"/>
          <w:sz w:val="20"/>
          <w:lang w:val="en-GB"/>
        </w:rPr>
        <w:t>cession negotiations through the</w:t>
      </w:r>
      <w:r w:rsidR="00012EE5" w:rsidRPr="00BC4F55">
        <w:rPr>
          <w:rFonts w:ascii="Calibri" w:eastAsia="Calibri" w:hAnsi="Calibri" w:cs="Arial"/>
          <w:color w:val="000000"/>
          <w:sz w:val="20"/>
          <w:lang w:val="en-GB"/>
        </w:rPr>
        <w:t xml:space="preserve"> flagship </w:t>
      </w:r>
      <w:r w:rsidR="00012EE5" w:rsidRPr="00BC4F55">
        <w:rPr>
          <w:rFonts w:ascii="Calibri" w:eastAsia="Calibri" w:hAnsi="Calibri" w:cs="Arial"/>
          <w:i/>
          <w:color w:val="000000"/>
          <w:sz w:val="20"/>
          <w:lang w:val="en-GB"/>
        </w:rPr>
        <w:t xml:space="preserve">Capacity Development </w:t>
      </w:r>
      <w:r w:rsidR="00C45984" w:rsidRPr="00BC4F55">
        <w:rPr>
          <w:rFonts w:ascii="Calibri" w:eastAsia="Calibri" w:hAnsi="Calibri" w:cs="Arial"/>
          <w:i/>
          <w:color w:val="000000"/>
          <w:sz w:val="20"/>
          <w:lang w:val="en-GB"/>
        </w:rPr>
        <w:t>Programme</w:t>
      </w:r>
      <w:r w:rsidR="00C45984" w:rsidRPr="00BC4F55">
        <w:rPr>
          <w:rFonts w:ascii="Calibri" w:eastAsia="Calibri" w:hAnsi="Calibri" w:cs="Arial"/>
          <w:color w:val="000000"/>
          <w:sz w:val="20"/>
          <w:lang w:val="en-GB"/>
        </w:rPr>
        <w:t xml:space="preserve">, </w:t>
      </w:r>
      <w:r w:rsidRPr="00BC4F55">
        <w:rPr>
          <w:rFonts w:ascii="Calibri" w:eastAsia="Calibri" w:hAnsi="Calibri" w:cs="Arial"/>
          <w:color w:val="000000"/>
          <w:sz w:val="20"/>
          <w:lang w:val="en-GB"/>
        </w:rPr>
        <w:t>as recognised in</w:t>
      </w:r>
      <w:r w:rsidR="00C45984" w:rsidRPr="00BC4F55">
        <w:rPr>
          <w:rFonts w:ascii="Calibri" w:eastAsia="Calibri" w:hAnsi="Calibri" w:cs="Arial"/>
          <w:color w:val="000000"/>
          <w:sz w:val="20"/>
          <w:lang w:val="en-GB"/>
        </w:rPr>
        <w:t xml:space="preserve"> EU Progress Report</w:t>
      </w:r>
      <w:r w:rsidRPr="00BC4F55">
        <w:rPr>
          <w:rFonts w:ascii="Calibri" w:eastAsia="Calibri" w:hAnsi="Calibri" w:cs="Arial"/>
          <w:color w:val="000000"/>
          <w:sz w:val="20"/>
          <w:lang w:val="en-GB"/>
        </w:rPr>
        <w:t>, 2015</w:t>
      </w:r>
      <w:r w:rsidR="00D00653" w:rsidRPr="00BC4F55">
        <w:rPr>
          <w:rFonts w:ascii="Calibri" w:eastAsia="Calibri" w:hAnsi="Calibri" w:cs="Arial"/>
          <w:color w:val="000000"/>
          <w:sz w:val="20"/>
          <w:lang w:val="en-GB"/>
        </w:rPr>
        <w:t xml:space="preserve">; </w:t>
      </w:r>
      <w:r w:rsidRPr="00BC4F55">
        <w:rPr>
          <w:rFonts w:ascii="Calibri" w:hAnsi="Calibri" w:cs="Arial"/>
          <w:sz w:val="20"/>
          <w:lang w:val="en-GB"/>
        </w:rPr>
        <w:t xml:space="preserve">Technical </w:t>
      </w:r>
      <w:r w:rsidR="00D00653" w:rsidRPr="00BC4F55">
        <w:rPr>
          <w:rFonts w:ascii="Calibri" w:hAnsi="Calibri" w:cs="Arial"/>
          <w:sz w:val="20"/>
          <w:lang w:val="en-GB"/>
        </w:rPr>
        <w:t>support in</w:t>
      </w:r>
      <w:r w:rsidR="00012EE5" w:rsidRPr="00BC4F55">
        <w:rPr>
          <w:rFonts w:ascii="Calibri" w:hAnsi="Calibri" w:cs="Arial"/>
          <w:sz w:val="20"/>
          <w:lang w:val="en-GB"/>
        </w:rPr>
        <w:t xml:space="preserve"> </w:t>
      </w:r>
      <w:r w:rsidR="00BC4F55">
        <w:rPr>
          <w:rFonts w:ascii="Calibri" w:hAnsi="Calibri" w:cs="Arial"/>
          <w:sz w:val="20"/>
          <w:lang w:val="en-GB"/>
        </w:rPr>
        <w:t xml:space="preserve">the area of </w:t>
      </w:r>
      <w:r w:rsidR="00012EE5" w:rsidRPr="00BC4F55">
        <w:rPr>
          <w:rFonts w:ascii="Calibri" w:hAnsi="Calibri" w:cs="Arial"/>
          <w:sz w:val="20"/>
          <w:lang w:val="en-GB"/>
        </w:rPr>
        <w:t>Rule of Law and Human Rights to align frameworks</w:t>
      </w:r>
      <w:r w:rsidR="00D00653" w:rsidRPr="00BC4F55">
        <w:rPr>
          <w:rFonts w:ascii="Calibri" w:hAnsi="Calibri" w:cs="Arial"/>
          <w:sz w:val="20"/>
          <w:lang w:val="en-GB"/>
        </w:rPr>
        <w:t xml:space="preserve">, develop </w:t>
      </w:r>
      <w:r w:rsidR="00012EE5" w:rsidRPr="00BC4F55">
        <w:rPr>
          <w:rFonts w:ascii="Calibri" w:hAnsi="Calibri" w:cs="Arial"/>
          <w:sz w:val="20"/>
          <w:lang w:val="en-GB"/>
        </w:rPr>
        <w:t>Reform Strategy 2014-2018 and</w:t>
      </w:r>
      <w:r w:rsidR="00BC4F55">
        <w:rPr>
          <w:rFonts w:ascii="Calibri" w:hAnsi="Calibri" w:cs="Arial"/>
          <w:sz w:val="20"/>
          <w:lang w:val="en-GB"/>
        </w:rPr>
        <w:t xml:space="preserve"> an accompanying</w:t>
      </w:r>
      <w:r w:rsidR="00012EE5" w:rsidRPr="00BC4F55">
        <w:rPr>
          <w:rFonts w:ascii="Calibri" w:hAnsi="Calibri" w:cs="Arial"/>
          <w:sz w:val="20"/>
          <w:lang w:val="en-GB"/>
        </w:rPr>
        <w:t xml:space="preserve"> </w:t>
      </w:r>
      <w:r w:rsidR="00BC4F55">
        <w:rPr>
          <w:rFonts w:ascii="Calibri" w:hAnsi="Calibri" w:cs="Arial"/>
          <w:sz w:val="20"/>
          <w:lang w:val="en-GB"/>
        </w:rPr>
        <w:t>A</w:t>
      </w:r>
      <w:r w:rsidR="00012EE5" w:rsidRPr="00BC4F55">
        <w:rPr>
          <w:rFonts w:ascii="Calibri" w:hAnsi="Calibri" w:cs="Arial"/>
          <w:sz w:val="20"/>
          <w:lang w:val="en-GB"/>
        </w:rPr>
        <w:t xml:space="preserve">ction </w:t>
      </w:r>
      <w:r w:rsidR="00BC4F55">
        <w:rPr>
          <w:rFonts w:ascii="Calibri" w:hAnsi="Calibri" w:cs="Arial"/>
          <w:sz w:val="20"/>
          <w:lang w:val="en-GB"/>
        </w:rPr>
        <w:t>P</w:t>
      </w:r>
      <w:r w:rsidR="00012EE5" w:rsidRPr="00BC4F55">
        <w:rPr>
          <w:rFonts w:ascii="Calibri" w:hAnsi="Calibri" w:cs="Arial"/>
          <w:sz w:val="20"/>
          <w:lang w:val="en-GB"/>
        </w:rPr>
        <w:t>lan</w:t>
      </w:r>
      <w:r w:rsidR="00D00653" w:rsidRPr="00BC4F55">
        <w:rPr>
          <w:rFonts w:ascii="Calibri" w:hAnsi="Calibri" w:cs="Arial"/>
          <w:sz w:val="20"/>
          <w:lang w:val="en-GB"/>
        </w:rPr>
        <w:t xml:space="preserve">, support </w:t>
      </w:r>
      <w:r w:rsidR="00BC4F55">
        <w:rPr>
          <w:rFonts w:ascii="Calibri" w:hAnsi="Calibri" w:cs="Arial"/>
          <w:sz w:val="20"/>
          <w:lang w:val="en-GB"/>
        </w:rPr>
        <w:t xml:space="preserve">in </w:t>
      </w:r>
      <w:r w:rsidR="00D00653" w:rsidRPr="00BC4F55">
        <w:rPr>
          <w:rFonts w:ascii="Calibri" w:hAnsi="Calibri" w:cs="Arial"/>
          <w:sz w:val="20"/>
          <w:lang w:val="en-GB"/>
        </w:rPr>
        <w:t>int</w:t>
      </w:r>
      <w:r w:rsidR="000426EF" w:rsidRPr="00BC4F55">
        <w:rPr>
          <w:rFonts w:ascii="Calibri" w:hAnsi="Calibri" w:cs="Arial"/>
          <w:sz w:val="20"/>
          <w:lang w:val="en-GB"/>
        </w:rPr>
        <w:t>roduction of legal aid and anti-</w:t>
      </w:r>
      <w:r w:rsidR="00D00653" w:rsidRPr="00BC4F55">
        <w:rPr>
          <w:rFonts w:ascii="Calibri" w:hAnsi="Calibri" w:cs="Arial"/>
          <w:sz w:val="20"/>
          <w:lang w:val="en-GB"/>
        </w:rPr>
        <w:t>corruption measures; d</w:t>
      </w:r>
      <w:r w:rsidRPr="00BC4F55">
        <w:rPr>
          <w:rFonts w:ascii="Calibri" w:hAnsi="Calibri" w:cs="Arial"/>
          <w:sz w:val="20"/>
          <w:lang w:val="en-GB"/>
        </w:rPr>
        <w:t xml:space="preserve">evelopment of </w:t>
      </w:r>
      <w:r w:rsidR="00BC4F55">
        <w:rPr>
          <w:rFonts w:ascii="Calibri" w:eastAsia="Calibri" w:hAnsi="Calibri" w:cs="Arial"/>
          <w:color w:val="000000"/>
          <w:sz w:val="20"/>
          <w:lang w:val="en-GB"/>
        </w:rPr>
        <w:t>i</w:t>
      </w:r>
      <w:r w:rsidRPr="00BC4F55">
        <w:rPr>
          <w:rFonts w:ascii="Calibri" w:eastAsia="Calibri" w:hAnsi="Calibri" w:cs="Arial"/>
          <w:color w:val="000000"/>
          <w:sz w:val="20"/>
          <w:lang w:val="en-GB"/>
        </w:rPr>
        <w:t>nnovative ideas and use</w:t>
      </w:r>
      <w:r w:rsidR="00012EE5" w:rsidRPr="00BC4F55">
        <w:rPr>
          <w:rFonts w:ascii="Calibri" w:eastAsia="Calibri" w:hAnsi="Calibri" w:cs="Arial"/>
          <w:color w:val="000000"/>
          <w:sz w:val="20"/>
          <w:lang w:val="en-GB"/>
        </w:rPr>
        <w:t xml:space="preserve"> of new technologies </w:t>
      </w:r>
      <w:r w:rsidR="00D00653" w:rsidRPr="00BC4F55">
        <w:rPr>
          <w:rFonts w:ascii="Calibri" w:eastAsia="Calibri" w:hAnsi="Calibri" w:cs="Arial"/>
          <w:color w:val="000000"/>
          <w:sz w:val="20"/>
          <w:lang w:val="en-GB"/>
        </w:rPr>
        <w:t xml:space="preserve">to increase </w:t>
      </w:r>
      <w:r w:rsidR="00EE5548" w:rsidRPr="00BC4F55">
        <w:rPr>
          <w:rFonts w:ascii="Calibri" w:eastAsia="Calibri" w:hAnsi="Calibri" w:cs="Arial"/>
          <w:color w:val="000000"/>
          <w:sz w:val="20"/>
          <w:lang w:val="en-GB"/>
        </w:rPr>
        <w:t>citizens’</w:t>
      </w:r>
      <w:r w:rsidR="00D00653" w:rsidRPr="00BC4F55">
        <w:rPr>
          <w:rFonts w:ascii="Calibri" w:eastAsia="Calibri" w:hAnsi="Calibri" w:cs="Arial"/>
          <w:color w:val="000000"/>
          <w:sz w:val="20"/>
          <w:lang w:val="en-GB"/>
        </w:rPr>
        <w:t xml:space="preserve"> participation </w:t>
      </w:r>
      <w:r w:rsidR="00BC4F55">
        <w:rPr>
          <w:rFonts w:ascii="Calibri" w:eastAsia="Calibri" w:hAnsi="Calibri" w:cs="Arial"/>
          <w:color w:val="000000"/>
          <w:sz w:val="20"/>
          <w:lang w:val="en-GB"/>
        </w:rPr>
        <w:t>through</w:t>
      </w:r>
      <w:r w:rsidR="00BC4F55" w:rsidRPr="00BC4F55">
        <w:rPr>
          <w:rFonts w:ascii="Calibri" w:eastAsia="Calibri" w:hAnsi="Calibri" w:cs="Arial"/>
          <w:color w:val="000000"/>
          <w:sz w:val="20"/>
          <w:lang w:val="en-GB"/>
        </w:rPr>
        <w:t xml:space="preserve"> </w:t>
      </w:r>
      <w:r w:rsidR="00D00653" w:rsidRPr="00BC4F55">
        <w:rPr>
          <w:rFonts w:ascii="Calibri" w:eastAsia="Calibri" w:hAnsi="Calibri" w:cs="Arial"/>
          <w:color w:val="000000"/>
          <w:sz w:val="20"/>
          <w:lang w:val="en-GB"/>
        </w:rPr>
        <w:t xml:space="preserve">programmes such as “Be Responsible” </w:t>
      </w:r>
      <w:r w:rsidR="009658C8" w:rsidRPr="00BC4F55">
        <w:rPr>
          <w:rFonts w:ascii="Calibri" w:eastAsia="Calibri" w:hAnsi="Calibri" w:cs="Arial"/>
          <w:color w:val="000000"/>
          <w:sz w:val="20"/>
          <w:lang w:val="en-GB"/>
        </w:rPr>
        <w:t>and “Open Ideas” as well as strategic, legal and partnership initiatives focused on local economic development.</w:t>
      </w:r>
    </w:p>
    <w:p w14:paraId="77C5543C" w14:textId="300100CE" w:rsidR="009658C8" w:rsidRDefault="009658C8" w:rsidP="00B537E3">
      <w:pPr>
        <w:widowControl/>
        <w:jc w:val="both"/>
        <w:rPr>
          <w:rFonts w:ascii="Calibri" w:eastAsia="Calibri" w:hAnsi="Calibri" w:cs="Arial"/>
          <w:color w:val="000000"/>
          <w:sz w:val="20"/>
          <w:lang w:val="en-GB"/>
        </w:rPr>
      </w:pPr>
      <w:r w:rsidRPr="00BC4F55">
        <w:rPr>
          <w:rFonts w:ascii="Calibri" w:eastAsia="Calibri" w:hAnsi="Calibri" w:cs="Arial"/>
          <w:color w:val="000000"/>
          <w:sz w:val="20"/>
          <w:lang w:val="en-GB"/>
        </w:rPr>
        <w:t xml:space="preserve"> </w:t>
      </w:r>
      <w:r w:rsidR="00012EE5" w:rsidRPr="00BC4F55">
        <w:rPr>
          <w:rFonts w:ascii="Calibri" w:eastAsia="Calibri" w:hAnsi="Calibri" w:cs="Arial"/>
          <w:color w:val="000000"/>
          <w:sz w:val="20"/>
          <w:lang w:val="en-GB"/>
        </w:rPr>
        <w:t xml:space="preserve">In the area of </w:t>
      </w:r>
      <w:r w:rsidR="00012EE5" w:rsidRPr="00BC4F55">
        <w:rPr>
          <w:rFonts w:ascii="Calibri" w:eastAsia="Calibri" w:hAnsi="Calibri" w:cs="Arial"/>
          <w:b/>
          <w:color w:val="000000"/>
          <w:sz w:val="20"/>
          <w:lang w:val="en-GB"/>
        </w:rPr>
        <w:t>Social Inclusion</w:t>
      </w:r>
      <w:r w:rsidR="00B24584" w:rsidRPr="00BC4F55">
        <w:rPr>
          <w:rFonts w:ascii="Calibri" w:eastAsia="Calibri" w:hAnsi="Calibri" w:cs="Arial"/>
          <w:color w:val="000000"/>
          <w:sz w:val="20"/>
          <w:lang w:val="en-GB"/>
        </w:rPr>
        <w:t>,</w:t>
      </w:r>
      <w:r w:rsidR="00012EE5" w:rsidRPr="00BC4F55">
        <w:rPr>
          <w:rFonts w:ascii="Calibri" w:eastAsia="Calibri" w:hAnsi="Calibri" w:cs="Arial"/>
          <w:color w:val="000000"/>
          <w:sz w:val="20"/>
          <w:lang w:val="en-GB"/>
        </w:rPr>
        <w:t xml:space="preserve"> </w:t>
      </w:r>
      <w:r w:rsidR="00B24584" w:rsidRPr="00BC4F55">
        <w:rPr>
          <w:rFonts w:ascii="Calibri" w:eastAsia="Calibri" w:hAnsi="Calibri" w:cs="Arial"/>
          <w:color w:val="000000"/>
          <w:sz w:val="20"/>
          <w:lang w:val="en-GB"/>
        </w:rPr>
        <w:t xml:space="preserve">a </w:t>
      </w:r>
      <w:r w:rsidR="00012EE5" w:rsidRPr="00BC4F55">
        <w:rPr>
          <w:rFonts w:ascii="Calibri" w:eastAsia="Calibri" w:hAnsi="Calibri" w:cs="Arial"/>
          <w:color w:val="000000"/>
          <w:sz w:val="20"/>
          <w:lang w:val="en-GB"/>
        </w:rPr>
        <w:t>comprehensive</w:t>
      </w:r>
      <w:r w:rsidR="00D00653" w:rsidRPr="00BC4F55">
        <w:rPr>
          <w:rFonts w:ascii="Calibri" w:eastAsia="Calibri" w:hAnsi="Calibri" w:cs="Arial"/>
          <w:color w:val="000000"/>
          <w:sz w:val="20"/>
          <w:lang w:val="en-GB"/>
        </w:rPr>
        <w:t xml:space="preserve"> </w:t>
      </w:r>
      <w:r w:rsidR="00BC4F55">
        <w:rPr>
          <w:rFonts w:ascii="Calibri" w:eastAsia="Calibri" w:hAnsi="Calibri" w:cs="Arial"/>
          <w:color w:val="000000"/>
          <w:sz w:val="20"/>
          <w:lang w:val="en-GB"/>
        </w:rPr>
        <w:t>S</w:t>
      </w:r>
      <w:r w:rsidR="00D00653" w:rsidRPr="00BC4F55">
        <w:rPr>
          <w:rFonts w:ascii="Calibri" w:eastAsia="Calibri" w:hAnsi="Calibri" w:cs="Arial"/>
          <w:color w:val="000000"/>
          <w:sz w:val="20"/>
          <w:lang w:val="en-GB"/>
        </w:rPr>
        <w:t xml:space="preserve">ocial </w:t>
      </w:r>
      <w:r w:rsidR="00BC4F55">
        <w:rPr>
          <w:rFonts w:ascii="Calibri" w:eastAsia="Calibri" w:hAnsi="Calibri" w:cs="Arial"/>
          <w:color w:val="000000"/>
          <w:sz w:val="20"/>
          <w:lang w:val="en-GB"/>
        </w:rPr>
        <w:t>W</w:t>
      </w:r>
      <w:r w:rsidR="00D00653" w:rsidRPr="00BC4F55">
        <w:rPr>
          <w:rFonts w:ascii="Calibri" w:eastAsia="Calibri" w:hAnsi="Calibri" w:cs="Arial"/>
          <w:color w:val="000000"/>
          <w:sz w:val="20"/>
          <w:lang w:val="en-GB"/>
        </w:rPr>
        <w:t>elfare</w:t>
      </w:r>
      <w:r w:rsidR="00012EE5" w:rsidRPr="00BC4F55">
        <w:rPr>
          <w:rFonts w:ascii="Calibri" w:eastAsia="Calibri" w:hAnsi="Calibri" w:cs="Arial"/>
          <w:color w:val="000000"/>
          <w:sz w:val="20"/>
          <w:lang w:val="en-GB"/>
        </w:rPr>
        <w:t xml:space="preserve"> </w:t>
      </w:r>
      <w:r w:rsidR="00BC4F55">
        <w:rPr>
          <w:rFonts w:ascii="Calibri" w:eastAsia="Calibri" w:hAnsi="Calibri" w:cs="Arial"/>
          <w:color w:val="000000"/>
          <w:sz w:val="20"/>
          <w:lang w:val="en-GB"/>
        </w:rPr>
        <w:t>R</w:t>
      </w:r>
      <w:r w:rsidR="00012EE5" w:rsidRPr="00BC4F55">
        <w:rPr>
          <w:rFonts w:ascii="Calibri" w:eastAsia="Calibri" w:hAnsi="Calibri" w:cs="Arial"/>
          <w:color w:val="000000"/>
          <w:sz w:val="20"/>
          <w:lang w:val="en-GB"/>
        </w:rPr>
        <w:t>eform programme was implemented including</w:t>
      </w:r>
      <w:r w:rsidRPr="00BC4F55">
        <w:rPr>
          <w:rFonts w:ascii="Calibri" w:eastAsia="Calibri" w:hAnsi="Calibri" w:cs="Arial"/>
          <w:color w:val="000000"/>
          <w:sz w:val="20"/>
          <w:lang w:val="en-GB"/>
        </w:rPr>
        <w:t xml:space="preserve"> new legal and normative</w:t>
      </w:r>
      <w:r w:rsidR="00D00653" w:rsidRPr="00BC4F55">
        <w:rPr>
          <w:rFonts w:ascii="Calibri" w:eastAsia="Calibri" w:hAnsi="Calibri" w:cs="Arial"/>
          <w:color w:val="000000"/>
          <w:sz w:val="20"/>
          <w:lang w:val="en-GB"/>
        </w:rPr>
        <w:t xml:space="preserve"> </w:t>
      </w:r>
      <w:r w:rsidR="00012EE5" w:rsidRPr="00BC4F55">
        <w:rPr>
          <w:rFonts w:ascii="Calibri" w:eastAsia="Calibri" w:hAnsi="Calibri" w:cs="Arial"/>
          <w:color w:val="000000"/>
          <w:sz w:val="20"/>
          <w:lang w:val="en-GB"/>
        </w:rPr>
        <w:t>framework</w:t>
      </w:r>
      <w:r w:rsidR="00CF1AC9" w:rsidRPr="00BC4F55">
        <w:rPr>
          <w:rFonts w:ascii="Calibri" w:eastAsia="Calibri" w:hAnsi="Calibri" w:cs="Arial"/>
          <w:color w:val="000000"/>
          <w:sz w:val="20"/>
          <w:lang w:val="en-GB"/>
        </w:rPr>
        <w:t>;</w:t>
      </w:r>
      <w:r w:rsidR="00D00653" w:rsidRPr="00BC4F55">
        <w:rPr>
          <w:rFonts w:ascii="Calibri" w:eastAsia="Calibri" w:hAnsi="Calibri" w:cs="Arial"/>
          <w:color w:val="000000"/>
          <w:sz w:val="20"/>
          <w:lang w:val="en-GB"/>
        </w:rPr>
        <w:t xml:space="preserve"> </w:t>
      </w:r>
      <w:r w:rsidRPr="00BC4F55">
        <w:rPr>
          <w:rFonts w:ascii="Calibri" w:eastAsia="Calibri" w:hAnsi="Calibri" w:cs="Arial"/>
          <w:color w:val="000000"/>
          <w:sz w:val="20"/>
          <w:lang w:val="en-GB"/>
        </w:rPr>
        <w:t xml:space="preserve">provision of innovate community based social services and social inclusion plans. </w:t>
      </w:r>
      <w:r w:rsidR="00462107" w:rsidRPr="00BC4F55">
        <w:rPr>
          <w:rFonts w:ascii="Calibri" w:eastAsia="Calibri" w:hAnsi="Calibri" w:cs="Arial"/>
          <w:color w:val="000000"/>
          <w:sz w:val="20"/>
          <w:lang w:val="en-GB"/>
        </w:rPr>
        <w:t xml:space="preserve">Social </w:t>
      </w:r>
      <w:r w:rsidR="00EE5548" w:rsidRPr="00BC4F55">
        <w:rPr>
          <w:rFonts w:ascii="Calibri" w:eastAsia="Calibri" w:hAnsi="Calibri" w:cs="Arial"/>
          <w:color w:val="000000"/>
          <w:sz w:val="20"/>
          <w:lang w:val="en-GB"/>
        </w:rPr>
        <w:t>system</w:t>
      </w:r>
      <w:r w:rsidR="00462107" w:rsidRPr="00BC4F55">
        <w:rPr>
          <w:rFonts w:ascii="Calibri" w:eastAsia="Calibri" w:hAnsi="Calibri" w:cs="Arial"/>
          <w:color w:val="000000"/>
          <w:sz w:val="20"/>
          <w:lang w:val="en-GB"/>
        </w:rPr>
        <w:t xml:space="preserve"> </w:t>
      </w:r>
      <w:r w:rsidRPr="00BC4F55">
        <w:rPr>
          <w:rFonts w:ascii="Calibri" w:eastAsia="Calibri" w:hAnsi="Calibri" w:cs="Arial"/>
          <w:color w:val="000000"/>
          <w:sz w:val="20"/>
          <w:lang w:val="en-GB"/>
        </w:rPr>
        <w:t xml:space="preserve">reform </w:t>
      </w:r>
      <w:r w:rsidR="00462107" w:rsidRPr="00BC4F55">
        <w:rPr>
          <w:rFonts w:ascii="Calibri" w:eastAsia="Calibri" w:hAnsi="Calibri" w:cs="Arial"/>
          <w:color w:val="000000"/>
          <w:sz w:val="20"/>
          <w:lang w:val="en-GB"/>
        </w:rPr>
        <w:t xml:space="preserve">was </w:t>
      </w:r>
      <w:r w:rsidRPr="00BC4F55">
        <w:rPr>
          <w:rFonts w:ascii="Calibri" w:eastAsia="Calibri" w:hAnsi="Calibri" w:cs="Arial"/>
          <w:color w:val="000000"/>
          <w:sz w:val="20"/>
          <w:lang w:val="en-GB"/>
        </w:rPr>
        <w:t xml:space="preserve">underpinned by development of the </w:t>
      </w:r>
      <w:r w:rsidR="00EE5548" w:rsidRPr="00BC4F55">
        <w:rPr>
          <w:rFonts w:ascii="Calibri" w:eastAsia="Calibri" w:hAnsi="Calibri" w:cs="Arial"/>
          <w:color w:val="000000"/>
          <w:sz w:val="20"/>
          <w:lang w:val="en-GB"/>
        </w:rPr>
        <w:t>Integrated</w:t>
      </w:r>
      <w:r w:rsidR="00462107" w:rsidRPr="00BC4F55">
        <w:rPr>
          <w:rFonts w:ascii="Calibri" w:eastAsia="Calibri" w:hAnsi="Calibri" w:cs="Arial"/>
          <w:color w:val="000000"/>
          <w:sz w:val="20"/>
          <w:lang w:val="en-GB"/>
        </w:rPr>
        <w:t xml:space="preserve"> </w:t>
      </w:r>
      <w:r w:rsidR="00CF1AC9" w:rsidRPr="00BC4F55">
        <w:rPr>
          <w:rFonts w:ascii="Calibri" w:eastAsia="Calibri" w:hAnsi="Calibri" w:cs="Arial"/>
          <w:color w:val="000000"/>
          <w:sz w:val="20"/>
          <w:lang w:val="en-GB"/>
        </w:rPr>
        <w:t xml:space="preserve">Social Welfare </w:t>
      </w:r>
      <w:r w:rsidR="00EE5548" w:rsidRPr="00BC4F55">
        <w:rPr>
          <w:rFonts w:ascii="Calibri" w:eastAsia="Calibri" w:hAnsi="Calibri" w:cs="Arial"/>
          <w:color w:val="000000"/>
          <w:sz w:val="20"/>
          <w:lang w:val="en-GB"/>
        </w:rPr>
        <w:t>Information S</w:t>
      </w:r>
      <w:r w:rsidR="00462107" w:rsidRPr="00BC4F55">
        <w:rPr>
          <w:rFonts w:ascii="Calibri" w:eastAsia="Calibri" w:hAnsi="Calibri" w:cs="Arial"/>
          <w:color w:val="000000"/>
          <w:sz w:val="20"/>
          <w:lang w:val="en-GB"/>
        </w:rPr>
        <w:t>ystem</w:t>
      </w:r>
      <w:r w:rsidR="000770FE">
        <w:rPr>
          <w:rFonts w:ascii="Calibri" w:eastAsia="Calibri" w:hAnsi="Calibri" w:cs="Arial"/>
          <w:color w:val="000000"/>
          <w:sz w:val="20"/>
          <w:lang w:val="en-GB"/>
        </w:rPr>
        <w:t>,</w:t>
      </w:r>
      <w:r w:rsidR="00462107" w:rsidRPr="00BC4F55">
        <w:rPr>
          <w:rFonts w:ascii="Calibri" w:eastAsia="Calibri" w:hAnsi="Calibri" w:cs="Arial"/>
          <w:color w:val="000000"/>
          <w:sz w:val="20"/>
          <w:lang w:val="en-GB"/>
        </w:rPr>
        <w:t xml:space="preserve"> enabling 70mil euro </w:t>
      </w:r>
      <w:r w:rsidR="00EE5548" w:rsidRPr="00BC4F55">
        <w:rPr>
          <w:rFonts w:ascii="Calibri" w:eastAsia="Calibri" w:hAnsi="Calibri" w:cs="Arial"/>
          <w:color w:val="000000"/>
          <w:sz w:val="20"/>
          <w:lang w:val="en-GB"/>
        </w:rPr>
        <w:t>of cash transfers</w:t>
      </w:r>
      <w:r w:rsidR="00462107" w:rsidRPr="00BC4F55">
        <w:rPr>
          <w:rFonts w:ascii="Calibri" w:eastAsia="Calibri" w:hAnsi="Calibri" w:cs="Arial"/>
          <w:color w:val="000000"/>
          <w:sz w:val="20"/>
          <w:lang w:val="en-GB"/>
        </w:rPr>
        <w:t xml:space="preserve">, with improved efficiency, targeting and reduction of exclusion/inclusion errors. </w:t>
      </w:r>
      <w:r w:rsidRPr="00BC4F55">
        <w:rPr>
          <w:rFonts w:ascii="Calibri" w:eastAsia="Calibri" w:hAnsi="Calibri" w:cs="Arial"/>
          <w:color w:val="000000"/>
          <w:sz w:val="20"/>
          <w:lang w:val="en-GB"/>
        </w:rPr>
        <w:t xml:space="preserve">Transformational results on </w:t>
      </w:r>
      <w:r w:rsidR="00462107" w:rsidRPr="00BC4F55">
        <w:rPr>
          <w:rFonts w:ascii="Calibri" w:eastAsia="Calibri" w:hAnsi="Calibri" w:cs="Arial"/>
          <w:color w:val="000000"/>
          <w:sz w:val="20"/>
          <w:lang w:val="en-GB"/>
        </w:rPr>
        <w:t xml:space="preserve">gender equality </w:t>
      </w:r>
      <w:r w:rsidRPr="00BC4F55">
        <w:rPr>
          <w:rFonts w:ascii="Calibri" w:eastAsia="Calibri" w:hAnsi="Calibri" w:cs="Arial"/>
          <w:color w:val="000000"/>
          <w:sz w:val="20"/>
          <w:lang w:val="en-GB"/>
        </w:rPr>
        <w:t xml:space="preserve">were pursued in </w:t>
      </w:r>
      <w:r w:rsidR="000770FE">
        <w:rPr>
          <w:rFonts w:ascii="Calibri" w:eastAsia="Calibri" w:hAnsi="Calibri" w:cs="Arial"/>
          <w:color w:val="000000"/>
          <w:sz w:val="20"/>
          <w:lang w:val="en-GB"/>
        </w:rPr>
        <w:t xml:space="preserve">the </w:t>
      </w:r>
      <w:r w:rsidRPr="00BC4F55">
        <w:rPr>
          <w:rFonts w:ascii="Calibri" w:eastAsia="Calibri" w:hAnsi="Calibri" w:cs="Arial"/>
          <w:color w:val="000000"/>
          <w:sz w:val="20"/>
          <w:lang w:val="en-GB"/>
        </w:rPr>
        <w:t>area of</w:t>
      </w:r>
      <w:r w:rsidR="00462107" w:rsidRPr="00BC4F55">
        <w:rPr>
          <w:rFonts w:ascii="Calibri" w:eastAsia="Calibri" w:hAnsi="Calibri" w:cs="Arial"/>
          <w:color w:val="000000"/>
          <w:sz w:val="20"/>
          <w:lang w:val="en-GB"/>
        </w:rPr>
        <w:t xml:space="preserve"> political participation</w:t>
      </w:r>
      <w:r w:rsidR="00CF1AC9" w:rsidRPr="00BC4F55">
        <w:rPr>
          <w:rFonts w:ascii="Calibri" w:eastAsia="Calibri" w:hAnsi="Calibri" w:cs="Arial"/>
          <w:color w:val="000000"/>
          <w:sz w:val="20"/>
          <w:lang w:val="en-GB"/>
        </w:rPr>
        <w:t>;</w:t>
      </w:r>
      <w:r w:rsidR="00EE5548" w:rsidRPr="00BC4F55">
        <w:rPr>
          <w:rFonts w:ascii="Calibri" w:eastAsia="Calibri" w:hAnsi="Calibri" w:cs="Arial"/>
          <w:color w:val="000000"/>
          <w:sz w:val="20"/>
          <w:lang w:val="en-GB"/>
        </w:rPr>
        <w:t xml:space="preserve"> </w:t>
      </w:r>
      <w:r w:rsidR="00462107" w:rsidRPr="00BC4F55">
        <w:rPr>
          <w:rFonts w:ascii="Calibri" w:eastAsia="Calibri" w:hAnsi="Calibri" w:cs="Arial"/>
          <w:color w:val="000000"/>
          <w:sz w:val="20"/>
          <w:lang w:val="en-GB"/>
        </w:rPr>
        <w:t>economic empowerment and</w:t>
      </w:r>
      <w:r w:rsidRPr="00BC4F55">
        <w:rPr>
          <w:rFonts w:ascii="Calibri" w:eastAsia="Calibri" w:hAnsi="Calibri" w:cs="Arial"/>
          <w:color w:val="000000"/>
          <w:sz w:val="20"/>
          <w:lang w:val="en-GB"/>
        </w:rPr>
        <w:t xml:space="preserve"> </w:t>
      </w:r>
      <w:r w:rsidR="00462107" w:rsidRPr="00BC4F55">
        <w:rPr>
          <w:rFonts w:ascii="Calibri" w:eastAsia="Calibri" w:hAnsi="Calibri" w:cs="Arial"/>
          <w:color w:val="000000"/>
          <w:sz w:val="20"/>
          <w:lang w:val="en-GB"/>
        </w:rPr>
        <w:t>fight against domestic violence.</w:t>
      </w:r>
      <w:r w:rsidR="00EE5548" w:rsidRPr="00BC4F55">
        <w:rPr>
          <w:rFonts w:ascii="Calibri" w:eastAsia="Calibri" w:hAnsi="Calibri" w:cs="Arial"/>
          <w:color w:val="000000"/>
          <w:sz w:val="20"/>
          <w:lang w:val="en-GB"/>
        </w:rPr>
        <w:t xml:space="preserve"> The CO was </w:t>
      </w:r>
      <w:r w:rsidR="00462107" w:rsidRPr="00BC4F55">
        <w:rPr>
          <w:rFonts w:ascii="Calibri" w:eastAsia="Calibri" w:hAnsi="Calibri" w:cs="Arial"/>
          <w:color w:val="000000"/>
          <w:sz w:val="20"/>
          <w:lang w:val="en-GB"/>
        </w:rPr>
        <w:t>awa</w:t>
      </w:r>
      <w:r w:rsidR="00EE5548" w:rsidRPr="00BC4F55">
        <w:rPr>
          <w:rFonts w:ascii="Calibri" w:eastAsia="Calibri" w:hAnsi="Calibri" w:cs="Arial"/>
          <w:color w:val="000000"/>
          <w:sz w:val="20"/>
          <w:lang w:val="en-GB"/>
        </w:rPr>
        <w:t>r</w:t>
      </w:r>
      <w:r w:rsidR="00462107" w:rsidRPr="00BC4F55">
        <w:rPr>
          <w:rFonts w:ascii="Calibri" w:eastAsia="Calibri" w:hAnsi="Calibri" w:cs="Arial"/>
          <w:color w:val="000000"/>
          <w:sz w:val="20"/>
          <w:lang w:val="en-GB"/>
        </w:rPr>
        <w:t>ded Gold Gender Seal in 2015</w:t>
      </w:r>
      <w:r w:rsidR="00EE5548" w:rsidRPr="00BC4F55">
        <w:rPr>
          <w:rFonts w:ascii="Calibri" w:eastAsia="Calibri" w:hAnsi="Calibri" w:cs="Arial"/>
          <w:color w:val="000000"/>
          <w:sz w:val="20"/>
          <w:lang w:val="en-GB"/>
        </w:rPr>
        <w:t xml:space="preserve"> </w:t>
      </w:r>
      <w:r w:rsidR="00462107" w:rsidRPr="00BC4F55">
        <w:rPr>
          <w:rFonts w:ascii="Calibri" w:eastAsia="Calibri" w:hAnsi="Calibri" w:cs="Arial"/>
          <w:color w:val="000000"/>
          <w:sz w:val="20"/>
          <w:lang w:val="en-GB"/>
        </w:rPr>
        <w:t xml:space="preserve">among </w:t>
      </w:r>
      <w:r w:rsidR="00EE5548" w:rsidRPr="00BC4F55">
        <w:rPr>
          <w:rFonts w:ascii="Calibri" w:eastAsia="Calibri" w:hAnsi="Calibri" w:cs="Arial"/>
          <w:color w:val="000000"/>
          <w:sz w:val="20"/>
          <w:lang w:val="en-GB"/>
        </w:rPr>
        <w:t>other</w:t>
      </w:r>
      <w:r w:rsidR="00CF1AC9" w:rsidRPr="00BC4F55">
        <w:rPr>
          <w:rFonts w:ascii="Calibri" w:eastAsia="Calibri" w:hAnsi="Calibri" w:cs="Arial"/>
          <w:color w:val="000000"/>
          <w:sz w:val="20"/>
          <w:lang w:val="en-GB"/>
        </w:rPr>
        <w:t xml:space="preserve"> reasons,</w:t>
      </w:r>
      <w:r w:rsidRPr="00BC4F55">
        <w:rPr>
          <w:rFonts w:ascii="Calibri" w:eastAsia="Calibri" w:hAnsi="Calibri" w:cs="Arial"/>
          <w:color w:val="000000"/>
          <w:sz w:val="20"/>
          <w:lang w:val="en-GB"/>
        </w:rPr>
        <w:t xml:space="preserve"> because:</w:t>
      </w:r>
    </w:p>
    <w:p w14:paraId="005E27E6" w14:textId="5B5FF50A" w:rsidR="00D00653" w:rsidRDefault="009658C8" w:rsidP="009658C8">
      <w:pPr>
        <w:pStyle w:val="BodyText"/>
        <w:ind w:left="720"/>
        <w:jc w:val="both"/>
        <w:rPr>
          <w:rFonts w:ascii="Calibri" w:eastAsia="Calibri" w:hAnsi="Calibri" w:cs="Arial"/>
          <w:i/>
          <w:color w:val="000000"/>
          <w:sz w:val="20"/>
          <w:lang w:val="en-GB"/>
        </w:rPr>
      </w:pPr>
      <w:r w:rsidRPr="00BC4F55">
        <w:rPr>
          <w:rFonts w:ascii="Calibri" w:eastAsia="Calibri" w:hAnsi="Calibri" w:cs="Arial"/>
          <w:color w:val="000000"/>
          <w:sz w:val="20"/>
          <w:lang w:val="en-GB"/>
        </w:rPr>
        <w:t>“</w:t>
      </w:r>
      <w:r w:rsidR="00462107" w:rsidRPr="00BC4F55">
        <w:rPr>
          <w:rFonts w:ascii="Calibri" w:eastAsia="Calibri" w:hAnsi="Calibri" w:cs="Arial"/>
          <w:i/>
          <w:color w:val="000000"/>
          <w:sz w:val="20"/>
          <w:lang w:val="en-GB"/>
        </w:rPr>
        <w:t>UNDP</w:t>
      </w:r>
      <w:r w:rsidR="00EE5548" w:rsidRPr="00BC4F55">
        <w:rPr>
          <w:rFonts w:ascii="Calibri" w:eastAsia="Calibri" w:hAnsi="Calibri" w:cs="Arial"/>
          <w:i/>
          <w:color w:val="000000"/>
          <w:sz w:val="20"/>
          <w:lang w:val="en-GB"/>
        </w:rPr>
        <w:t xml:space="preserve"> is</w:t>
      </w:r>
      <w:r w:rsidR="00462107" w:rsidRPr="00BC4F55">
        <w:rPr>
          <w:rFonts w:ascii="Calibri" w:eastAsia="Calibri" w:hAnsi="Calibri" w:cs="Arial"/>
          <w:i/>
          <w:color w:val="000000"/>
          <w:sz w:val="20"/>
          <w:lang w:val="en-GB"/>
        </w:rPr>
        <w:t xml:space="preserve"> identified as lead player on gender by all partners and plays strategic role as bridge between state and CSOs. UN System partners acknowledge and appreciate UNDP's leadership on gender mainstreaming</w:t>
      </w:r>
      <w:r w:rsidR="000770FE">
        <w:rPr>
          <w:rFonts w:ascii="Calibri" w:eastAsia="Calibri" w:hAnsi="Calibri" w:cs="Arial"/>
          <w:i/>
          <w:color w:val="000000"/>
          <w:sz w:val="20"/>
          <w:lang w:val="en-GB"/>
        </w:rPr>
        <w:t>,</w:t>
      </w:r>
      <w:r w:rsidR="00462107" w:rsidRPr="00BC4F55">
        <w:rPr>
          <w:rFonts w:ascii="Calibri" w:eastAsia="Calibri" w:hAnsi="Calibri" w:cs="Arial"/>
          <w:i/>
          <w:color w:val="000000"/>
          <w:sz w:val="20"/>
          <w:lang w:val="en-GB"/>
        </w:rPr>
        <w:t xml:space="preserve"> while Government counterparts look to UNDP for guidance on gender elements of EU accession process. In terms of results, all partners gave credit to UNDP for bringing gend</w:t>
      </w:r>
      <w:r w:rsidR="00EE5548" w:rsidRPr="00BC4F55">
        <w:rPr>
          <w:rFonts w:ascii="Calibri" w:eastAsia="Calibri" w:hAnsi="Calibri" w:cs="Arial"/>
          <w:i/>
          <w:color w:val="000000"/>
          <w:sz w:val="20"/>
          <w:lang w:val="en-GB"/>
        </w:rPr>
        <w:t>er issues into national agendas</w:t>
      </w:r>
      <w:r w:rsidR="000770FE">
        <w:rPr>
          <w:rFonts w:ascii="Calibri" w:eastAsia="Calibri" w:hAnsi="Calibri" w:cs="Arial"/>
          <w:i/>
          <w:color w:val="000000"/>
          <w:sz w:val="20"/>
          <w:lang w:val="en-GB"/>
        </w:rPr>
        <w:t>.</w:t>
      </w:r>
      <w:r w:rsidR="00CF1AC9" w:rsidRPr="00BC4F55">
        <w:rPr>
          <w:rFonts w:ascii="Calibri" w:eastAsia="Calibri" w:hAnsi="Calibri" w:cs="Arial"/>
          <w:i/>
          <w:color w:val="000000"/>
          <w:sz w:val="20"/>
          <w:lang w:val="en-GB"/>
        </w:rPr>
        <w:t>”</w:t>
      </w:r>
    </w:p>
    <w:p w14:paraId="2869F7E9" w14:textId="208D0105" w:rsidR="0037523B" w:rsidRPr="00BC4F55" w:rsidRDefault="00462107" w:rsidP="000426EF">
      <w:pPr>
        <w:pStyle w:val="BodyText"/>
        <w:jc w:val="both"/>
        <w:rPr>
          <w:rFonts w:ascii="Times New Roman" w:hAnsi="Times New Roman"/>
          <w:b/>
          <w:sz w:val="24"/>
          <w:lang w:val="en-GB"/>
        </w:rPr>
      </w:pPr>
      <w:r w:rsidRPr="00BC4F55">
        <w:rPr>
          <w:rFonts w:ascii="Calibri" w:eastAsia="Calibri" w:hAnsi="Calibri" w:cs="Arial"/>
          <w:color w:val="000000"/>
          <w:sz w:val="20"/>
          <w:lang w:val="en-GB"/>
        </w:rPr>
        <w:t xml:space="preserve"> In the </w:t>
      </w:r>
      <w:r w:rsidR="00CF1AC9" w:rsidRPr="00BC4F55">
        <w:rPr>
          <w:rFonts w:ascii="Calibri" w:eastAsia="Calibri" w:hAnsi="Calibri" w:cs="Arial"/>
          <w:color w:val="000000"/>
          <w:sz w:val="20"/>
          <w:lang w:val="en-GB"/>
        </w:rPr>
        <w:t xml:space="preserve">area </w:t>
      </w:r>
      <w:r w:rsidRPr="00BC4F55">
        <w:rPr>
          <w:rFonts w:ascii="Calibri" w:eastAsia="Calibri" w:hAnsi="Calibri" w:cs="Arial"/>
          <w:color w:val="000000"/>
          <w:sz w:val="20"/>
          <w:lang w:val="en-GB"/>
        </w:rPr>
        <w:t xml:space="preserve">of </w:t>
      </w:r>
      <w:r w:rsidR="00CF1AC9" w:rsidRPr="00BC4F55">
        <w:rPr>
          <w:rFonts w:ascii="Calibri" w:eastAsia="Calibri" w:hAnsi="Calibri" w:cs="Arial"/>
          <w:b/>
          <w:color w:val="000000"/>
          <w:sz w:val="20"/>
          <w:lang w:val="en-GB"/>
        </w:rPr>
        <w:t xml:space="preserve">Economy </w:t>
      </w:r>
      <w:r w:rsidRPr="00BC4F55">
        <w:rPr>
          <w:rFonts w:ascii="Calibri" w:eastAsia="Calibri" w:hAnsi="Calibri" w:cs="Arial"/>
          <w:b/>
          <w:color w:val="000000"/>
          <w:sz w:val="20"/>
          <w:lang w:val="en-GB"/>
        </w:rPr>
        <w:t xml:space="preserve">and </w:t>
      </w:r>
      <w:r w:rsidR="00CF1AC9" w:rsidRPr="00BC4F55">
        <w:rPr>
          <w:rFonts w:ascii="Calibri" w:eastAsia="Calibri" w:hAnsi="Calibri" w:cs="Arial"/>
          <w:b/>
          <w:color w:val="000000"/>
          <w:sz w:val="20"/>
          <w:lang w:val="en-GB"/>
        </w:rPr>
        <w:t>Environment</w:t>
      </w:r>
      <w:r w:rsidR="00CF1AC9" w:rsidRPr="00BC4F55">
        <w:rPr>
          <w:rFonts w:ascii="Calibri" w:eastAsia="Calibri" w:hAnsi="Calibri" w:cs="Arial"/>
          <w:color w:val="000000"/>
          <w:sz w:val="20"/>
          <w:lang w:val="en-GB"/>
        </w:rPr>
        <w:t xml:space="preserve">, </w:t>
      </w:r>
      <w:r w:rsidRPr="00BC4F55">
        <w:rPr>
          <w:rFonts w:ascii="Calibri" w:eastAsia="Calibri" w:hAnsi="Calibri" w:cs="Arial"/>
          <w:color w:val="000000"/>
          <w:sz w:val="20"/>
          <w:lang w:val="en-GB"/>
        </w:rPr>
        <w:t xml:space="preserve">the key </w:t>
      </w:r>
      <w:r w:rsidR="00EE5548" w:rsidRPr="00BC4F55">
        <w:rPr>
          <w:rFonts w:ascii="Calibri" w:eastAsia="Calibri" w:hAnsi="Calibri" w:cs="Arial"/>
          <w:color w:val="000000"/>
          <w:sz w:val="20"/>
          <w:lang w:val="en-GB"/>
        </w:rPr>
        <w:t>achievements</w:t>
      </w:r>
      <w:r w:rsidR="009658C8" w:rsidRPr="00BC4F55">
        <w:rPr>
          <w:rFonts w:ascii="Calibri" w:eastAsia="Calibri" w:hAnsi="Calibri" w:cs="Arial"/>
          <w:color w:val="000000"/>
          <w:sz w:val="20"/>
          <w:lang w:val="en-GB"/>
        </w:rPr>
        <w:t xml:space="preserve"> are </w:t>
      </w:r>
      <w:r w:rsidR="000770FE">
        <w:rPr>
          <w:rFonts w:ascii="Calibri" w:eastAsia="Calibri" w:hAnsi="Calibri" w:cs="Arial"/>
          <w:color w:val="000000"/>
          <w:sz w:val="20"/>
          <w:lang w:val="en-GB"/>
        </w:rPr>
        <w:t>related to the</w:t>
      </w:r>
      <w:r w:rsidR="000770FE" w:rsidRPr="00BC4F55">
        <w:rPr>
          <w:rFonts w:ascii="Calibri" w:eastAsia="Calibri" w:hAnsi="Calibri" w:cs="Arial"/>
          <w:color w:val="000000"/>
          <w:sz w:val="20"/>
          <w:lang w:val="en-GB"/>
        </w:rPr>
        <w:t xml:space="preserve"> </w:t>
      </w:r>
      <w:r w:rsidR="009658C8" w:rsidRPr="00BC4F55">
        <w:rPr>
          <w:rFonts w:ascii="Calibri" w:eastAsia="Calibri" w:hAnsi="Calibri" w:cs="Arial"/>
          <w:color w:val="000000"/>
          <w:sz w:val="20"/>
          <w:lang w:val="en-GB"/>
        </w:rPr>
        <w:t xml:space="preserve">establishment of the Centre for Sustainable Development – </w:t>
      </w:r>
      <w:r w:rsidR="000770FE">
        <w:rPr>
          <w:rFonts w:ascii="Calibri" w:eastAsia="Calibri" w:hAnsi="Calibri" w:cs="Arial"/>
          <w:color w:val="000000"/>
          <w:sz w:val="20"/>
          <w:lang w:val="en-GB"/>
        </w:rPr>
        <w:t xml:space="preserve">a </w:t>
      </w:r>
      <w:r w:rsidR="009658C8" w:rsidRPr="00BC4F55">
        <w:rPr>
          <w:rFonts w:ascii="Calibri" w:eastAsia="Calibri" w:hAnsi="Calibri" w:cs="Arial"/>
          <w:color w:val="000000"/>
          <w:sz w:val="20"/>
          <w:lang w:val="en-GB"/>
        </w:rPr>
        <w:t>joint programme of UNDP and the Government of Montenegro</w:t>
      </w:r>
      <w:r w:rsidR="000770FE">
        <w:rPr>
          <w:rFonts w:ascii="Calibri" w:eastAsia="Calibri" w:hAnsi="Calibri" w:cs="Arial"/>
          <w:color w:val="000000"/>
          <w:sz w:val="20"/>
          <w:lang w:val="en-GB"/>
        </w:rPr>
        <w:t>,</w:t>
      </w:r>
      <w:r w:rsidR="009658C8" w:rsidRPr="00BC4F55">
        <w:rPr>
          <w:rFonts w:ascii="Calibri" w:eastAsia="Calibri" w:hAnsi="Calibri" w:cs="Arial"/>
          <w:color w:val="000000"/>
          <w:sz w:val="20"/>
          <w:lang w:val="en-GB"/>
        </w:rPr>
        <w:t xml:space="preserve"> focusing on </w:t>
      </w:r>
      <w:r w:rsidR="009658C8" w:rsidRPr="00BC4F55">
        <w:rPr>
          <w:rFonts w:asciiTheme="minorHAnsi" w:hAnsiTheme="minorHAnsi"/>
          <w:sz w:val="20"/>
          <w:lang w:val="en-GB"/>
        </w:rPr>
        <w:t>areas: of (i) sustainable tourism; (ii) sustainable energy (iii) resource and ecosystem management, and (iv) resilience to climate change and environmental security</w:t>
      </w:r>
      <w:r w:rsidR="000770FE">
        <w:rPr>
          <w:rFonts w:asciiTheme="minorHAnsi" w:hAnsiTheme="minorHAnsi"/>
          <w:sz w:val="20"/>
          <w:lang w:val="en-GB"/>
        </w:rPr>
        <w:t>.</w:t>
      </w:r>
      <w:r w:rsidR="009658C8" w:rsidRPr="00BC4F55">
        <w:rPr>
          <w:rFonts w:asciiTheme="minorHAnsi" w:hAnsiTheme="minorHAnsi"/>
          <w:sz w:val="20"/>
          <w:lang w:val="en-GB"/>
        </w:rPr>
        <w:t xml:space="preserve"> </w:t>
      </w:r>
      <w:r w:rsidR="000770FE">
        <w:rPr>
          <w:rFonts w:asciiTheme="minorHAnsi" w:hAnsiTheme="minorHAnsi"/>
          <w:sz w:val="20"/>
          <w:lang w:val="en-GB"/>
        </w:rPr>
        <w:t>T</w:t>
      </w:r>
      <w:r w:rsidR="009658C8" w:rsidRPr="00BC4F55">
        <w:rPr>
          <w:rFonts w:asciiTheme="minorHAnsi" w:hAnsiTheme="minorHAnsi"/>
          <w:sz w:val="20"/>
          <w:lang w:val="en-GB"/>
        </w:rPr>
        <w:t xml:space="preserve">angible results </w:t>
      </w:r>
      <w:r w:rsidR="000770FE">
        <w:rPr>
          <w:rFonts w:asciiTheme="minorHAnsi" w:hAnsiTheme="minorHAnsi"/>
          <w:sz w:val="20"/>
          <w:lang w:val="en-GB"/>
        </w:rPr>
        <w:t xml:space="preserve">were </w:t>
      </w:r>
      <w:r w:rsidR="009658C8" w:rsidRPr="00BC4F55">
        <w:rPr>
          <w:rFonts w:asciiTheme="minorHAnsi" w:hAnsiTheme="minorHAnsi"/>
          <w:sz w:val="20"/>
          <w:lang w:val="en-GB"/>
        </w:rPr>
        <w:t>achieved in</w:t>
      </w:r>
      <w:r w:rsidR="00EE5548" w:rsidRPr="00BC4F55">
        <w:rPr>
          <w:rFonts w:ascii="Calibri" w:eastAsia="Calibri" w:hAnsi="Calibri" w:cs="Arial"/>
          <w:color w:val="000000"/>
          <w:sz w:val="20"/>
          <w:lang w:val="en-GB"/>
        </w:rPr>
        <w:t xml:space="preserve"> expanding </w:t>
      </w:r>
      <w:r w:rsidRPr="00BC4F55">
        <w:rPr>
          <w:rFonts w:ascii="Calibri" w:eastAsia="Calibri" w:hAnsi="Calibri" w:cs="Arial"/>
          <w:color w:val="000000"/>
          <w:sz w:val="20"/>
          <w:lang w:val="en-GB"/>
        </w:rPr>
        <w:t>nationally protected area</w:t>
      </w:r>
      <w:r w:rsidR="00C45984" w:rsidRPr="00BC4F55">
        <w:rPr>
          <w:rFonts w:ascii="Calibri" w:eastAsia="Calibri" w:hAnsi="Calibri" w:cs="Arial"/>
          <w:color w:val="000000"/>
          <w:sz w:val="20"/>
          <w:lang w:val="en-GB"/>
        </w:rPr>
        <w:t xml:space="preserve"> from 9,04% to 12,79%, </w:t>
      </w:r>
      <w:r w:rsidR="000770FE">
        <w:rPr>
          <w:rFonts w:ascii="Calibri" w:eastAsia="Calibri" w:hAnsi="Calibri" w:cs="Arial"/>
          <w:color w:val="000000"/>
          <w:sz w:val="20"/>
          <w:lang w:val="en-GB"/>
        </w:rPr>
        <w:t xml:space="preserve">provision of </w:t>
      </w:r>
      <w:r w:rsidRPr="00BC4F55">
        <w:rPr>
          <w:rFonts w:ascii="Calibri" w:eastAsia="Calibri" w:hAnsi="Calibri" w:cs="Arial"/>
          <w:color w:val="000000"/>
          <w:sz w:val="20"/>
          <w:lang w:val="en-GB"/>
        </w:rPr>
        <w:t xml:space="preserve">support in </w:t>
      </w:r>
      <w:r w:rsidR="000770FE">
        <w:rPr>
          <w:rFonts w:ascii="Calibri" w:eastAsia="Calibri" w:hAnsi="Calibri" w:cs="Arial"/>
          <w:color w:val="000000"/>
          <w:sz w:val="20"/>
          <w:lang w:val="en-GB"/>
        </w:rPr>
        <w:t xml:space="preserve">the </w:t>
      </w:r>
      <w:r w:rsidRPr="00BC4F55">
        <w:rPr>
          <w:rFonts w:ascii="Calibri" w:eastAsia="Calibri" w:hAnsi="Calibri" w:cs="Arial"/>
          <w:color w:val="000000"/>
          <w:sz w:val="20"/>
          <w:lang w:val="en-GB"/>
        </w:rPr>
        <w:t xml:space="preserve">development of key </w:t>
      </w:r>
      <w:r w:rsidR="00EE5548" w:rsidRPr="00BC4F55">
        <w:rPr>
          <w:rFonts w:ascii="Calibri" w:eastAsia="Calibri" w:hAnsi="Calibri" w:cs="Arial"/>
          <w:color w:val="000000"/>
          <w:sz w:val="20"/>
          <w:lang w:val="en-GB"/>
        </w:rPr>
        <w:t>national</w:t>
      </w:r>
      <w:r w:rsidR="00C45984" w:rsidRPr="00BC4F55">
        <w:rPr>
          <w:rFonts w:ascii="Calibri" w:eastAsia="Calibri" w:hAnsi="Calibri" w:cs="Arial"/>
          <w:color w:val="000000"/>
          <w:sz w:val="20"/>
          <w:lang w:val="en-GB"/>
        </w:rPr>
        <w:t xml:space="preserve"> strategic document </w:t>
      </w:r>
      <w:r w:rsidRPr="00BC4F55">
        <w:rPr>
          <w:rFonts w:ascii="Calibri" w:eastAsia="Calibri" w:hAnsi="Calibri" w:cs="Arial"/>
          <w:color w:val="000000"/>
          <w:sz w:val="20"/>
          <w:lang w:val="en-GB"/>
        </w:rPr>
        <w:t xml:space="preserve">– </w:t>
      </w:r>
      <w:r w:rsidR="00C45984" w:rsidRPr="00BC4F55">
        <w:rPr>
          <w:rFonts w:ascii="Calibri" w:eastAsia="Calibri" w:hAnsi="Calibri" w:cs="Arial"/>
          <w:color w:val="000000"/>
          <w:sz w:val="20"/>
          <w:lang w:val="en-GB"/>
        </w:rPr>
        <w:t>N</w:t>
      </w:r>
      <w:r w:rsidRPr="00BC4F55">
        <w:rPr>
          <w:rFonts w:ascii="Calibri" w:eastAsia="Calibri" w:hAnsi="Calibri" w:cs="Arial"/>
          <w:color w:val="000000"/>
          <w:sz w:val="20"/>
          <w:lang w:val="en-GB"/>
        </w:rPr>
        <w:t xml:space="preserve">ational </w:t>
      </w:r>
      <w:r w:rsidR="00EE5548" w:rsidRPr="00BC4F55">
        <w:rPr>
          <w:rFonts w:ascii="Calibri" w:eastAsia="Calibri" w:hAnsi="Calibri" w:cs="Arial"/>
          <w:color w:val="000000"/>
          <w:sz w:val="20"/>
          <w:lang w:val="en-GB"/>
        </w:rPr>
        <w:t>Strategy</w:t>
      </w:r>
      <w:r w:rsidRPr="00BC4F55">
        <w:rPr>
          <w:rFonts w:ascii="Calibri" w:eastAsia="Calibri" w:hAnsi="Calibri" w:cs="Arial"/>
          <w:color w:val="000000"/>
          <w:sz w:val="20"/>
          <w:lang w:val="en-GB"/>
        </w:rPr>
        <w:t xml:space="preserve"> for </w:t>
      </w:r>
      <w:r w:rsidR="00EE5548" w:rsidRPr="00BC4F55">
        <w:rPr>
          <w:rFonts w:ascii="Calibri" w:eastAsia="Calibri" w:hAnsi="Calibri" w:cs="Arial"/>
          <w:color w:val="000000"/>
          <w:sz w:val="20"/>
          <w:lang w:val="en-GB"/>
        </w:rPr>
        <w:t>Sustainable</w:t>
      </w:r>
      <w:r w:rsidRPr="00BC4F55">
        <w:rPr>
          <w:rFonts w:ascii="Calibri" w:eastAsia="Calibri" w:hAnsi="Calibri" w:cs="Arial"/>
          <w:color w:val="000000"/>
          <w:sz w:val="20"/>
          <w:lang w:val="en-GB"/>
        </w:rPr>
        <w:t xml:space="preserve"> </w:t>
      </w:r>
      <w:r w:rsidR="00EE5548" w:rsidRPr="00BC4F55">
        <w:rPr>
          <w:rFonts w:ascii="Calibri" w:eastAsia="Calibri" w:hAnsi="Calibri" w:cs="Arial"/>
          <w:color w:val="000000"/>
          <w:sz w:val="20"/>
          <w:lang w:val="en-GB"/>
        </w:rPr>
        <w:t>Development</w:t>
      </w:r>
      <w:r w:rsidRPr="00BC4F55">
        <w:rPr>
          <w:rFonts w:ascii="Calibri" w:eastAsia="Calibri" w:hAnsi="Calibri" w:cs="Arial"/>
          <w:color w:val="000000"/>
          <w:sz w:val="20"/>
          <w:lang w:val="en-GB"/>
        </w:rPr>
        <w:t xml:space="preserve"> 2015-2030, and </w:t>
      </w:r>
      <w:r w:rsidR="00DC236B" w:rsidRPr="00BC4F55">
        <w:rPr>
          <w:rFonts w:ascii="Calibri" w:eastAsia="Calibri" w:hAnsi="Calibri" w:cs="Arial"/>
          <w:color w:val="000000"/>
          <w:sz w:val="20"/>
          <w:lang w:val="en-GB"/>
        </w:rPr>
        <w:t xml:space="preserve">supporting </w:t>
      </w:r>
      <w:r w:rsidR="000770FE">
        <w:rPr>
          <w:rFonts w:ascii="Calibri" w:eastAsia="Calibri" w:hAnsi="Calibri" w:cs="Arial"/>
          <w:color w:val="000000"/>
          <w:sz w:val="20"/>
          <w:lang w:val="en-GB"/>
        </w:rPr>
        <w:t>the G</w:t>
      </w:r>
      <w:r w:rsidR="00DC236B" w:rsidRPr="00BC4F55">
        <w:rPr>
          <w:rFonts w:ascii="Calibri" w:eastAsia="Calibri" w:hAnsi="Calibri" w:cs="Arial"/>
          <w:color w:val="000000"/>
          <w:sz w:val="20"/>
          <w:lang w:val="en-GB"/>
        </w:rPr>
        <w:t xml:space="preserve">overnment in compliance and report on a wide range of environmental conventions and protocols, most notably in 2015 Paris Agreement. </w:t>
      </w:r>
    </w:p>
    <w:p w14:paraId="2869F7F7" w14:textId="77777777" w:rsidR="0037523B" w:rsidRPr="00BC4F55" w:rsidRDefault="0037523B" w:rsidP="00975566">
      <w:pPr>
        <w:pStyle w:val="BodyText2"/>
        <w:jc w:val="center"/>
        <w:rPr>
          <w:rFonts w:ascii="Times New Roman" w:hAnsi="Times New Roman"/>
          <w:b/>
          <w:sz w:val="24"/>
          <w:lang w:val="en-GB"/>
        </w:rPr>
        <w:sectPr w:rsidR="0037523B" w:rsidRPr="00BC4F55">
          <w:footerReference w:type="default" r:id="rId13"/>
          <w:endnotePr>
            <w:numFmt w:val="decimal"/>
          </w:endnotePr>
          <w:pgSz w:w="11907" w:h="16840" w:code="9"/>
          <w:pgMar w:top="1440" w:right="1440" w:bottom="1440" w:left="1440" w:header="720" w:footer="720" w:gutter="0"/>
          <w:cols w:space="720"/>
        </w:sectPr>
      </w:pPr>
    </w:p>
    <w:p w14:paraId="2869F7F8" w14:textId="77777777" w:rsidR="00975566" w:rsidRPr="00BC4F55" w:rsidRDefault="006900FE" w:rsidP="008440D9">
      <w:pPr>
        <w:pStyle w:val="Heading3"/>
        <w:jc w:val="left"/>
        <w:rPr>
          <w:rFonts w:asciiTheme="minorHAnsi" w:hAnsiTheme="minorHAnsi"/>
          <w:b/>
          <w:lang w:val="en-GB"/>
        </w:rPr>
      </w:pPr>
      <w:r w:rsidRPr="00BC4F55">
        <w:rPr>
          <w:rFonts w:asciiTheme="minorHAnsi" w:hAnsiTheme="minorHAnsi"/>
          <w:b/>
          <w:lang w:val="en-GB"/>
        </w:rPr>
        <w:lastRenderedPageBreak/>
        <w:t>II</w:t>
      </w:r>
      <w:r w:rsidR="0081403B" w:rsidRPr="00BC4F55">
        <w:rPr>
          <w:rFonts w:asciiTheme="minorHAnsi" w:hAnsiTheme="minorHAnsi"/>
          <w:b/>
          <w:lang w:val="en-GB"/>
        </w:rPr>
        <w:t xml:space="preserve">: </w:t>
      </w:r>
      <w:r w:rsidR="000C09B4" w:rsidRPr="00BC4F55">
        <w:rPr>
          <w:rFonts w:asciiTheme="minorHAnsi" w:hAnsiTheme="minorHAnsi"/>
          <w:b/>
          <w:lang w:val="en-GB"/>
        </w:rPr>
        <w:t xml:space="preserve">Country Programme Performance </w:t>
      </w:r>
      <w:r w:rsidR="00975566" w:rsidRPr="00BC4F55">
        <w:rPr>
          <w:rFonts w:asciiTheme="minorHAnsi" w:hAnsiTheme="minorHAnsi"/>
          <w:b/>
          <w:lang w:val="en-GB"/>
        </w:rPr>
        <w:t>Summary</w:t>
      </w:r>
    </w:p>
    <w:p w14:paraId="2869F7F9" w14:textId="77777777" w:rsidR="00DC7354" w:rsidRPr="00BC4F55" w:rsidRDefault="00DC7354" w:rsidP="00975566">
      <w:pPr>
        <w:pStyle w:val="BodyText2"/>
        <w:jc w:val="center"/>
        <w:rPr>
          <w:rFonts w:ascii="Times New Roman" w:hAnsi="Times New Roman"/>
          <w:b/>
          <w:sz w:val="24"/>
          <w:lang w:val="en-G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363"/>
        <w:gridCol w:w="4037"/>
        <w:gridCol w:w="5490"/>
      </w:tblGrid>
      <w:tr w:rsidR="00CB647D" w:rsidRPr="00BC4F55" w14:paraId="2869F7FC" w14:textId="77777777" w:rsidTr="00213F95">
        <w:tc>
          <w:tcPr>
            <w:tcW w:w="3150" w:type="dxa"/>
            <w:gridSpan w:val="2"/>
            <w:tcBorders>
              <w:right w:val="nil"/>
            </w:tcBorders>
            <w:shd w:val="clear" w:color="auto" w:fill="FFC000"/>
          </w:tcPr>
          <w:p w14:paraId="2869F7FA" w14:textId="77777777" w:rsidR="00CB647D" w:rsidRPr="00BC4F55" w:rsidRDefault="00CB647D">
            <w:pPr>
              <w:pStyle w:val="BodyText2"/>
              <w:rPr>
                <w:rFonts w:asciiTheme="minorHAnsi" w:hAnsiTheme="minorHAnsi"/>
                <w:b/>
                <w:sz w:val="24"/>
                <w:lang w:val="en-GB"/>
              </w:rPr>
            </w:pPr>
            <w:r w:rsidRPr="00BC4F55">
              <w:rPr>
                <w:rFonts w:asciiTheme="minorHAnsi" w:hAnsiTheme="minorHAnsi"/>
                <w:b/>
                <w:lang w:val="en-GB"/>
              </w:rPr>
              <w:t>Country information</w:t>
            </w:r>
          </w:p>
        </w:tc>
        <w:tc>
          <w:tcPr>
            <w:tcW w:w="10890" w:type="dxa"/>
            <w:gridSpan w:val="3"/>
            <w:tcBorders>
              <w:left w:val="nil"/>
            </w:tcBorders>
            <w:shd w:val="clear" w:color="auto" w:fill="FFC000"/>
          </w:tcPr>
          <w:p w14:paraId="2869F7FB" w14:textId="77777777" w:rsidR="00CB647D" w:rsidRPr="00BC4F55" w:rsidRDefault="00CB647D">
            <w:pPr>
              <w:pStyle w:val="BodyText2"/>
              <w:rPr>
                <w:rFonts w:asciiTheme="minorHAnsi" w:hAnsiTheme="minorHAnsi"/>
                <w:b/>
                <w:sz w:val="24"/>
                <w:lang w:val="en-GB"/>
              </w:rPr>
            </w:pPr>
          </w:p>
        </w:tc>
      </w:tr>
      <w:tr w:rsidR="009B76A1" w:rsidRPr="00BC4F55" w14:paraId="2869F7FE" w14:textId="77777777" w:rsidTr="00213F95">
        <w:tc>
          <w:tcPr>
            <w:tcW w:w="14040" w:type="dxa"/>
            <w:gridSpan w:val="5"/>
          </w:tcPr>
          <w:p w14:paraId="2869F7FD" w14:textId="39A5789F" w:rsidR="009B76A1" w:rsidRPr="00BC4F55" w:rsidRDefault="009B76A1">
            <w:pPr>
              <w:pStyle w:val="BodyText2"/>
              <w:rPr>
                <w:rFonts w:asciiTheme="minorHAnsi" w:hAnsiTheme="minorHAnsi"/>
                <w:b/>
                <w:sz w:val="24"/>
                <w:lang w:val="en-GB"/>
              </w:rPr>
            </w:pPr>
            <w:r w:rsidRPr="00BC4F55">
              <w:rPr>
                <w:rFonts w:asciiTheme="minorHAnsi" w:hAnsiTheme="minorHAnsi"/>
                <w:b/>
                <w:lang w:val="en-GB"/>
              </w:rPr>
              <w:t>Country name:</w:t>
            </w:r>
            <w:r w:rsidR="006844A6" w:rsidRPr="00BC4F55">
              <w:rPr>
                <w:rFonts w:asciiTheme="minorHAnsi" w:hAnsiTheme="minorHAnsi"/>
                <w:b/>
                <w:lang w:val="en-GB"/>
              </w:rPr>
              <w:t xml:space="preserve"> Montenegro</w:t>
            </w:r>
          </w:p>
        </w:tc>
      </w:tr>
      <w:tr w:rsidR="009B76A1" w:rsidRPr="00BC4F55" w14:paraId="2869F800" w14:textId="77777777" w:rsidTr="00213F95">
        <w:tc>
          <w:tcPr>
            <w:tcW w:w="14040" w:type="dxa"/>
            <w:gridSpan w:val="5"/>
          </w:tcPr>
          <w:p w14:paraId="2869F7FF" w14:textId="1C114933" w:rsidR="009B76A1" w:rsidRPr="00BC4F55" w:rsidRDefault="009B76A1">
            <w:pPr>
              <w:pStyle w:val="BodyText2"/>
              <w:rPr>
                <w:rFonts w:asciiTheme="minorHAnsi" w:hAnsiTheme="minorHAnsi"/>
                <w:b/>
                <w:lang w:val="en-GB"/>
              </w:rPr>
            </w:pPr>
            <w:r w:rsidRPr="00BC4F55">
              <w:rPr>
                <w:rFonts w:asciiTheme="minorHAnsi" w:hAnsiTheme="minorHAnsi"/>
                <w:b/>
                <w:lang w:val="en-GB"/>
              </w:rPr>
              <w:t>Current country programme period:</w:t>
            </w:r>
            <w:r w:rsidR="006844A6" w:rsidRPr="00BC4F55">
              <w:rPr>
                <w:rFonts w:asciiTheme="minorHAnsi" w:hAnsiTheme="minorHAnsi"/>
                <w:b/>
                <w:lang w:val="en-GB"/>
              </w:rPr>
              <w:t xml:space="preserve"> 2012 -2016</w:t>
            </w:r>
          </w:p>
        </w:tc>
      </w:tr>
      <w:tr w:rsidR="003B037A" w:rsidRPr="00BC4F55" w14:paraId="2869F805" w14:textId="77777777" w:rsidTr="00ED7235">
        <w:tc>
          <w:tcPr>
            <w:tcW w:w="3150" w:type="dxa"/>
            <w:gridSpan w:val="2"/>
          </w:tcPr>
          <w:p w14:paraId="2869F801" w14:textId="77777777" w:rsidR="003B037A" w:rsidRPr="00BC4F55" w:rsidRDefault="003B037A">
            <w:pPr>
              <w:pStyle w:val="BodyText2"/>
              <w:rPr>
                <w:rFonts w:asciiTheme="minorHAnsi" w:hAnsiTheme="minorHAnsi"/>
                <w:b/>
                <w:sz w:val="24"/>
                <w:lang w:val="en-GB"/>
              </w:rPr>
            </w:pPr>
            <w:r w:rsidRPr="00BC4F55">
              <w:rPr>
                <w:rFonts w:asciiTheme="minorHAnsi" w:hAnsiTheme="minorHAnsi"/>
                <w:b/>
                <w:sz w:val="24"/>
                <w:lang w:val="en-GB"/>
              </w:rPr>
              <w:t>Outcome</w:t>
            </w:r>
            <w:r w:rsidR="00700521" w:rsidRPr="00BC4F55">
              <w:rPr>
                <w:rFonts w:asciiTheme="minorHAnsi" w:hAnsiTheme="minorHAnsi"/>
                <w:b/>
                <w:sz w:val="24"/>
                <w:lang w:val="en-GB"/>
              </w:rPr>
              <w:t>s</w:t>
            </w:r>
          </w:p>
        </w:tc>
        <w:tc>
          <w:tcPr>
            <w:tcW w:w="1363" w:type="dxa"/>
            <w:shd w:val="clear" w:color="auto" w:fill="auto"/>
          </w:tcPr>
          <w:p w14:paraId="2869F802" w14:textId="77777777" w:rsidR="003B037A" w:rsidRPr="00BC4F55" w:rsidRDefault="003B037A">
            <w:pPr>
              <w:pStyle w:val="BodyText2"/>
              <w:rPr>
                <w:rFonts w:asciiTheme="minorHAnsi" w:hAnsiTheme="minorHAnsi"/>
                <w:b/>
                <w:sz w:val="22"/>
                <w:lang w:val="en-GB"/>
              </w:rPr>
            </w:pPr>
            <w:r w:rsidRPr="00BC4F55">
              <w:rPr>
                <w:rFonts w:asciiTheme="minorHAnsi" w:hAnsiTheme="minorHAnsi"/>
                <w:b/>
                <w:sz w:val="22"/>
                <w:lang w:val="en-GB"/>
              </w:rPr>
              <w:t>Total Expenditure</w:t>
            </w:r>
          </w:p>
        </w:tc>
        <w:tc>
          <w:tcPr>
            <w:tcW w:w="4037" w:type="dxa"/>
            <w:tcBorders>
              <w:left w:val="single" w:sz="4" w:space="0" w:color="auto"/>
            </w:tcBorders>
          </w:tcPr>
          <w:p w14:paraId="2869F803" w14:textId="77777777" w:rsidR="003B037A" w:rsidRPr="00BC4F55" w:rsidRDefault="003B037A">
            <w:pPr>
              <w:pStyle w:val="BodyText2"/>
              <w:rPr>
                <w:rFonts w:asciiTheme="minorHAnsi" w:hAnsiTheme="minorHAnsi"/>
                <w:b/>
                <w:sz w:val="22"/>
                <w:lang w:val="en-GB"/>
              </w:rPr>
            </w:pPr>
            <w:r w:rsidRPr="00BC4F55">
              <w:rPr>
                <w:rFonts w:asciiTheme="minorHAnsi" w:hAnsiTheme="minorHAnsi"/>
                <w:b/>
                <w:sz w:val="22"/>
                <w:lang w:val="en-GB"/>
              </w:rPr>
              <w:t>Key Indicators of outcome (1-4 per outcome)</w:t>
            </w:r>
          </w:p>
        </w:tc>
        <w:tc>
          <w:tcPr>
            <w:tcW w:w="5490" w:type="dxa"/>
          </w:tcPr>
          <w:p w14:paraId="2869F804" w14:textId="77777777" w:rsidR="003B037A" w:rsidRPr="00BC4F55" w:rsidRDefault="003B037A">
            <w:pPr>
              <w:pStyle w:val="BodyText2"/>
              <w:rPr>
                <w:rFonts w:asciiTheme="minorHAnsi" w:hAnsiTheme="minorHAnsi"/>
                <w:b/>
                <w:sz w:val="22"/>
                <w:lang w:val="en-GB"/>
              </w:rPr>
            </w:pPr>
            <w:r w:rsidRPr="00BC4F55">
              <w:rPr>
                <w:rFonts w:asciiTheme="minorHAnsi" w:hAnsiTheme="minorHAnsi"/>
                <w:b/>
                <w:sz w:val="22"/>
                <w:lang w:val="en-GB"/>
              </w:rPr>
              <w:t>Progress made against key indicators</w:t>
            </w:r>
          </w:p>
        </w:tc>
      </w:tr>
      <w:tr w:rsidR="000823AC" w:rsidRPr="00BC4F55" w14:paraId="2869F80E" w14:textId="77777777" w:rsidTr="00ED7235">
        <w:tc>
          <w:tcPr>
            <w:tcW w:w="3150" w:type="dxa"/>
            <w:gridSpan w:val="2"/>
            <w:tcBorders>
              <w:bottom w:val="single" w:sz="4" w:space="0" w:color="auto"/>
            </w:tcBorders>
            <w:shd w:val="clear" w:color="auto" w:fill="95B3D7" w:themeFill="accent1" w:themeFillTint="99"/>
          </w:tcPr>
          <w:p w14:paraId="2869F806" w14:textId="277D57BD" w:rsidR="003B037A" w:rsidRPr="00BC4F55" w:rsidRDefault="007A341C" w:rsidP="00A53317">
            <w:pPr>
              <w:pStyle w:val="BodyText2"/>
              <w:rPr>
                <w:rFonts w:asciiTheme="minorHAnsi" w:hAnsiTheme="minorHAnsi"/>
                <w:b/>
                <w:lang w:val="en-GB"/>
              </w:rPr>
            </w:pPr>
            <w:r w:rsidRPr="00BC4F55">
              <w:rPr>
                <w:rFonts w:asciiTheme="minorHAnsi" w:hAnsiTheme="minorHAnsi"/>
                <w:b/>
                <w:lang w:val="en-GB"/>
              </w:rPr>
              <w:t xml:space="preserve">1. </w:t>
            </w:r>
            <w:r w:rsidR="00A53317" w:rsidRPr="00BC4F55">
              <w:rPr>
                <w:rFonts w:asciiTheme="minorHAnsi" w:hAnsiTheme="minorHAnsi"/>
                <w:b/>
                <w:lang w:val="en-GB"/>
              </w:rPr>
              <w:t xml:space="preserve">Montenegrin </w:t>
            </w:r>
            <w:r w:rsidRPr="00BC4F55">
              <w:rPr>
                <w:rFonts w:asciiTheme="minorHAnsi" w:hAnsiTheme="minorHAnsi"/>
                <w:b/>
                <w:lang w:val="en-GB"/>
              </w:rPr>
              <w:t xml:space="preserve">society is progressively free of social exclusion and enjoys a quality of life that allows all individuals and communities to develop their full potential. </w:t>
            </w:r>
          </w:p>
        </w:tc>
        <w:tc>
          <w:tcPr>
            <w:tcW w:w="1363" w:type="dxa"/>
            <w:tcBorders>
              <w:bottom w:val="single" w:sz="4" w:space="0" w:color="auto"/>
            </w:tcBorders>
            <w:shd w:val="clear" w:color="auto" w:fill="auto"/>
          </w:tcPr>
          <w:p w14:paraId="2869F807" w14:textId="604394B1" w:rsidR="003B037A" w:rsidRPr="00BC4F55" w:rsidRDefault="00BA2252">
            <w:pPr>
              <w:pStyle w:val="BodyText2"/>
              <w:rPr>
                <w:rFonts w:asciiTheme="minorHAnsi" w:hAnsiTheme="minorHAnsi"/>
                <w:lang w:val="en-GB"/>
              </w:rPr>
            </w:pPr>
            <w:r w:rsidRPr="00BC4F55">
              <w:rPr>
                <w:rFonts w:asciiTheme="minorHAnsi" w:hAnsiTheme="minorHAnsi"/>
                <w:lang w:val="en-GB"/>
              </w:rPr>
              <w:t>$10,714</w:t>
            </w:r>
          </w:p>
        </w:tc>
        <w:tc>
          <w:tcPr>
            <w:tcW w:w="4037" w:type="dxa"/>
            <w:tcBorders>
              <w:left w:val="single" w:sz="4" w:space="0" w:color="auto"/>
              <w:bottom w:val="single" w:sz="4" w:space="0" w:color="auto"/>
            </w:tcBorders>
          </w:tcPr>
          <w:p w14:paraId="228E9300" w14:textId="54903EB9" w:rsidR="007A341C" w:rsidRPr="00BC4F55" w:rsidRDefault="007A341C" w:rsidP="007A341C">
            <w:pPr>
              <w:pStyle w:val="BodyText2"/>
              <w:numPr>
                <w:ilvl w:val="0"/>
                <w:numId w:val="13"/>
              </w:numPr>
              <w:rPr>
                <w:rFonts w:asciiTheme="minorHAnsi" w:hAnsiTheme="minorHAnsi"/>
                <w:i/>
                <w:lang w:val="en-GB"/>
              </w:rPr>
            </w:pPr>
            <w:r w:rsidRPr="00BC4F55">
              <w:rPr>
                <w:rFonts w:asciiTheme="minorHAnsi" w:hAnsiTheme="minorHAnsi"/>
                <w:i/>
                <w:lang w:val="en-GB"/>
              </w:rPr>
              <w:t xml:space="preserve">Gini Coefficient (2008: 0.253);  </w:t>
            </w:r>
          </w:p>
          <w:p w14:paraId="663064AD" w14:textId="77777777" w:rsidR="007A341C" w:rsidRPr="00BC4F55" w:rsidRDefault="007A341C" w:rsidP="007A341C">
            <w:pPr>
              <w:pStyle w:val="BodyText2"/>
              <w:numPr>
                <w:ilvl w:val="0"/>
                <w:numId w:val="13"/>
              </w:numPr>
              <w:rPr>
                <w:rFonts w:asciiTheme="minorHAnsi" w:hAnsiTheme="minorHAnsi"/>
                <w:i/>
                <w:lang w:val="en-GB"/>
              </w:rPr>
            </w:pPr>
            <w:r w:rsidRPr="00BC4F55">
              <w:rPr>
                <w:rFonts w:asciiTheme="minorHAnsi" w:hAnsiTheme="minorHAnsi"/>
                <w:i/>
                <w:lang w:val="en-GB"/>
              </w:rPr>
              <w:t xml:space="preserve">Human Development Index rating (2010: 0.769, ranked 49th); </w:t>
            </w:r>
          </w:p>
          <w:p w14:paraId="3C50A56F" w14:textId="50FBFC51" w:rsidR="007A341C" w:rsidRPr="00BC4F55" w:rsidRDefault="007A341C" w:rsidP="007A341C">
            <w:pPr>
              <w:pStyle w:val="BodyText2"/>
              <w:numPr>
                <w:ilvl w:val="0"/>
                <w:numId w:val="13"/>
              </w:numPr>
              <w:rPr>
                <w:rFonts w:asciiTheme="minorHAnsi" w:hAnsiTheme="minorHAnsi"/>
                <w:i/>
                <w:lang w:val="en-GB"/>
              </w:rPr>
            </w:pPr>
            <w:r w:rsidRPr="00BC4F55">
              <w:rPr>
                <w:rFonts w:asciiTheme="minorHAnsi" w:hAnsiTheme="minorHAnsi"/>
                <w:i/>
                <w:lang w:val="en-GB"/>
              </w:rPr>
              <w:t xml:space="preserve"> Unemployment rate</w:t>
            </w:r>
            <w:r w:rsidR="00E72438" w:rsidRPr="00BC4F55">
              <w:rPr>
                <w:rFonts w:asciiTheme="minorHAnsi" w:hAnsiTheme="minorHAnsi"/>
                <w:i/>
                <w:lang w:val="en-GB"/>
              </w:rPr>
              <w:t xml:space="preserve"> </w:t>
            </w:r>
            <w:r w:rsidRPr="00BC4F55">
              <w:rPr>
                <w:rFonts w:asciiTheme="minorHAnsi" w:hAnsiTheme="minorHAnsi"/>
                <w:i/>
                <w:lang w:val="en-GB"/>
              </w:rPr>
              <w:t xml:space="preserve">(2010: 19.2% /MONSTAT (Montenegro Statistical Office)); </w:t>
            </w:r>
          </w:p>
          <w:p w14:paraId="2869F80A" w14:textId="7CE76811" w:rsidR="003B037A" w:rsidRPr="00BC4F55" w:rsidRDefault="007A341C" w:rsidP="007A341C">
            <w:pPr>
              <w:pStyle w:val="BodyText2"/>
              <w:numPr>
                <w:ilvl w:val="0"/>
                <w:numId w:val="13"/>
              </w:numPr>
              <w:rPr>
                <w:rFonts w:asciiTheme="minorHAnsi" w:hAnsiTheme="minorHAnsi"/>
                <w:i/>
                <w:lang w:val="en-GB"/>
              </w:rPr>
            </w:pPr>
            <w:r w:rsidRPr="00BC4F55">
              <w:rPr>
                <w:rFonts w:asciiTheme="minorHAnsi" w:hAnsiTheme="minorHAnsi"/>
                <w:i/>
                <w:lang w:val="en-GB"/>
              </w:rPr>
              <w:t>Gender empowerment measure (2010: 0.478)</w:t>
            </w:r>
          </w:p>
        </w:tc>
        <w:tc>
          <w:tcPr>
            <w:tcW w:w="5490" w:type="dxa"/>
            <w:tcBorders>
              <w:bottom w:val="single" w:sz="4" w:space="0" w:color="auto"/>
            </w:tcBorders>
            <w:shd w:val="clear" w:color="auto" w:fill="auto"/>
          </w:tcPr>
          <w:p w14:paraId="212742BF" w14:textId="5A59670C" w:rsidR="007A341C" w:rsidRPr="00BC4F55" w:rsidRDefault="007A341C" w:rsidP="00ED7235">
            <w:pPr>
              <w:pStyle w:val="BodyText2"/>
              <w:numPr>
                <w:ilvl w:val="0"/>
                <w:numId w:val="22"/>
              </w:numPr>
              <w:rPr>
                <w:rFonts w:asciiTheme="minorHAnsi" w:hAnsiTheme="minorHAnsi"/>
                <w:i/>
                <w:lang w:val="en-GB"/>
              </w:rPr>
            </w:pPr>
            <w:r w:rsidRPr="00BC4F55">
              <w:rPr>
                <w:rFonts w:asciiTheme="minorHAnsi" w:hAnsiTheme="minorHAnsi"/>
                <w:i/>
                <w:lang w:val="en-GB"/>
              </w:rPr>
              <w:t>Gi</w:t>
            </w:r>
            <w:r w:rsidR="00F30758" w:rsidRPr="00BC4F55">
              <w:rPr>
                <w:rFonts w:asciiTheme="minorHAnsi" w:hAnsiTheme="minorHAnsi"/>
                <w:i/>
                <w:lang w:val="en-GB"/>
              </w:rPr>
              <w:t>ni Coefficient as a measure of inequality</w:t>
            </w:r>
            <w:r w:rsidR="001A2BA2" w:rsidRPr="00BC4F55">
              <w:rPr>
                <w:rFonts w:asciiTheme="minorHAnsi" w:hAnsiTheme="minorHAnsi"/>
                <w:i/>
                <w:lang w:val="en-GB"/>
              </w:rPr>
              <w:t xml:space="preserve"> </w:t>
            </w:r>
            <w:r w:rsidR="00F30758" w:rsidRPr="00BC4F55">
              <w:rPr>
                <w:rFonts w:asciiTheme="minorHAnsi" w:hAnsiTheme="minorHAnsi"/>
                <w:i/>
                <w:lang w:val="en-GB"/>
              </w:rPr>
              <w:t xml:space="preserve">rose from 2008 base of </w:t>
            </w:r>
            <w:r w:rsidR="000426EF" w:rsidRPr="00BC4F55">
              <w:rPr>
                <w:rFonts w:asciiTheme="minorHAnsi" w:hAnsiTheme="minorHAnsi"/>
                <w:i/>
                <w:lang w:val="en-GB"/>
              </w:rPr>
              <w:t>0.253 to</w:t>
            </w:r>
            <w:r w:rsidR="001A2BA2" w:rsidRPr="00BC4F55">
              <w:rPr>
                <w:rFonts w:asciiTheme="minorHAnsi" w:hAnsiTheme="minorHAnsi"/>
                <w:i/>
                <w:lang w:val="en-GB"/>
              </w:rPr>
              <w:t xml:space="preserve"> 0.264 in</w:t>
            </w:r>
            <w:r w:rsidR="00F30758" w:rsidRPr="00BC4F55">
              <w:rPr>
                <w:rFonts w:asciiTheme="minorHAnsi" w:hAnsiTheme="minorHAnsi"/>
                <w:i/>
                <w:lang w:val="en-GB"/>
              </w:rPr>
              <w:t xml:space="preserve"> 2010</w:t>
            </w:r>
            <w:r w:rsidR="000770FE">
              <w:rPr>
                <w:rFonts w:asciiTheme="minorHAnsi" w:hAnsiTheme="minorHAnsi"/>
                <w:i/>
                <w:lang w:val="en-GB"/>
              </w:rPr>
              <w:t>,</w:t>
            </w:r>
            <w:r w:rsidR="00F30758" w:rsidRPr="00BC4F55">
              <w:rPr>
                <w:rFonts w:asciiTheme="minorHAnsi" w:hAnsiTheme="minorHAnsi"/>
                <w:i/>
                <w:lang w:val="en-GB"/>
              </w:rPr>
              <w:t xml:space="preserve"> reaching 0.265 in 2012 </w:t>
            </w:r>
            <w:r w:rsidR="000770FE">
              <w:rPr>
                <w:rFonts w:asciiTheme="minorHAnsi" w:hAnsiTheme="minorHAnsi"/>
                <w:i/>
                <w:lang w:val="en-GB"/>
              </w:rPr>
              <w:t xml:space="preserve">and </w:t>
            </w:r>
            <w:r w:rsidR="00F30758" w:rsidRPr="00BC4F55">
              <w:rPr>
                <w:rFonts w:asciiTheme="minorHAnsi" w:hAnsiTheme="minorHAnsi"/>
                <w:i/>
                <w:lang w:val="en-GB"/>
              </w:rPr>
              <w:t>then</w:t>
            </w:r>
            <w:r w:rsidR="001A2BA2" w:rsidRPr="00BC4F55">
              <w:rPr>
                <w:rFonts w:asciiTheme="minorHAnsi" w:hAnsiTheme="minorHAnsi"/>
                <w:i/>
                <w:lang w:val="en-GB"/>
              </w:rPr>
              <w:t xml:space="preserve"> dropping</w:t>
            </w:r>
            <w:r w:rsidR="00F30758" w:rsidRPr="00BC4F55">
              <w:rPr>
                <w:rFonts w:asciiTheme="minorHAnsi" w:hAnsiTheme="minorHAnsi"/>
                <w:i/>
                <w:lang w:val="en-GB"/>
              </w:rPr>
              <w:t xml:space="preserve"> back</w:t>
            </w:r>
            <w:r w:rsidR="001A2BA2" w:rsidRPr="00BC4F55">
              <w:rPr>
                <w:rFonts w:asciiTheme="minorHAnsi" w:hAnsiTheme="minorHAnsi"/>
                <w:i/>
                <w:lang w:val="en-GB"/>
              </w:rPr>
              <w:t xml:space="preserve"> to 0.263 in 20</w:t>
            </w:r>
            <w:r w:rsidR="00F30758" w:rsidRPr="00BC4F55">
              <w:rPr>
                <w:rFonts w:asciiTheme="minorHAnsi" w:hAnsiTheme="minorHAnsi"/>
                <w:i/>
                <w:lang w:val="en-GB"/>
              </w:rPr>
              <w:t xml:space="preserve">13. Data for 2015 </w:t>
            </w:r>
            <w:r w:rsidR="000770FE">
              <w:rPr>
                <w:rFonts w:asciiTheme="minorHAnsi" w:hAnsiTheme="minorHAnsi"/>
                <w:i/>
                <w:lang w:val="en-GB"/>
              </w:rPr>
              <w:t xml:space="preserve">are </w:t>
            </w:r>
            <w:r w:rsidR="00F30758" w:rsidRPr="00BC4F55">
              <w:rPr>
                <w:rFonts w:asciiTheme="minorHAnsi" w:hAnsiTheme="minorHAnsi"/>
                <w:i/>
                <w:lang w:val="en-GB"/>
              </w:rPr>
              <w:t>not available.</w:t>
            </w:r>
          </w:p>
          <w:p w14:paraId="3B2A8E2C" w14:textId="49AB924C" w:rsidR="001A2BA2" w:rsidRPr="00BC4F55" w:rsidRDefault="007A341C" w:rsidP="00ED7235">
            <w:pPr>
              <w:pStyle w:val="BodyText2"/>
              <w:numPr>
                <w:ilvl w:val="0"/>
                <w:numId w:val="22"/>
              </w:numPr>
              <w:rPr>
                <w:rFonts w:asciiTheme="minorHAnsi" w:hAnsiTheme="minorHAnsi"/>
                <w:i/>
                <w:lang w:val="en-GB"/>
              </w:rPr>
            </w:pPr>
            <w:r w:rsidRPr="00BC4F55">
              <w:rPr>
                <w:rFonts w:asciiTheme="minorHAnsi" w:hAnsiTheme="minorHAnsi"/>
                <w:i/>
                <w:lang w:val="en-GB"/>
              </w:rPr>
              <w:t>Huma</w:t>
            </w:r>
            <w:r w:rsidR="00F30758" w:rsidRPr="00BC4F55">
              <w:rPr>
                <w:rFonts w:asciiTheme="minorHAnsi" w:hAnsiTheme="minorHAnsi"/>
                <w:i/>
                <w:lang w:val="en-GB"/>
              </w:rPr>
              <w:t xml:space="preserve">n Development Index value has risen to </w:t>
            </w:r>
            <w:r w:rsidR="001A2BA2" w:rsidRPr="00BC4F55">
              <w:rPr>
                <w:rFonts w:asciiTheme="minorHAnsi" w:hAnsiTheme="minorHAnsi"/>
                <w:i/>
                <w:lang w:val="en-GB"/>
              </w:rPr>
              <w:t>0.802</w:t>
            </w:r>
            <w:r w:rsidR="00F30758" w:rsidRPr="00BC4F55">
              <w:rPr>
                <w:rFonts w:asciiTheme="minorHAnsi" w:hAnsiTheme="minorHAnsi"/>
                <w:i/>
                <w:lang w:val="en-GB"/>
              </w:rPr>
              <w:t xml:space="preserve"> in 2014 putting </w:t>
            </w:r>
            <w:r w:rsidR="001A2BA2" w:rsidRPr="00BC4F55">
              <w:rPr>
                <w:rFonts w:asciiTheme="minorHAnsi" w:hAnsiTheme="minorHAnsi"/>
                <w:i/>
                <w:lang w:val="en-GB"/>
              </w:rPr>
              <w:t>M</w:t>
            </w:r>
            <w:r w:rsidR="001A2BA2" w:rsidRPr="00BC4F55">
              <w:rPr>
                <w:rFonts w:asciiTheme="minorHAnsi" w:hAnsiTheme="minorHAnsi"/>
                <w:lang w:val="en-GB"/>
              </w:rPr>
              <w:t xml:space="preserve">ontenegro </w:t>
            </w:r>
            <w:r w:rsidR="00506ECF" w:rsidRPr="00BC4F55">
              <w:rPr>
                <w:rFonts w:asciiTheme="minorHAnsi" w:hAnsiTheme="minorHAnsi"/>
                <w:lang w:val="en-GB"/>
              </w:rPr>
              <w:t xml:space="preserve">in </w:t>
            </w:r>
            <w:r w:rsidR="000770FE">
              <w:rPr>
                <w:rFonts w:asciiTheme="minorHAnsi" w:hAnsiTheme="minorHAnsi"/>
                <w:lang w:val="en-GB"/>
              </w:rPr>
              <w:t xml:space="preserve">the category of countries with </w:t>
            </w:r>
            <w:r w:rsidR="001A2BA2" w:rsidRPr="00BC4F55">
              <w:rPr>
                <w:rFonts w:asciiTheme="minorHAnsi" w:hAnsiTheme="minorHAnsi"/>
                <w:lang w:val="en-GB"/>
              </w:rPr>
              <w:t>very high human development</w:t>
            </w:r>
            <w:r w:rsidR="00506ECF" w:rsidRPr="00BC4F55">
              <w:rPr>
                <w:rFonts w:asciiTheme="minorHAnsi" w:hAnsiTheme="minorHAnsi"/>
                <w:lang w:val="en-GB"/>
              </w:rPr>
              <w:t xml:space="preserve">. Ranking </w:t>
            </w:r>
            <w:r w:rsidR="000426EF" w:rsidRPr="00BC4F55">
              <w:rPr>
                <w:rFonts w:asciiTheme="minorHAnsi" w:hAnsiTheme="minorHAnsi"/>
                <w:lang w:val="en-GB"/>
              </w:rPr>
              <w:t xml:space="preserve">positioning </w:t>
            </w:r>
            <w:r w:rsidR="000770FE">
              <w:rPr>
                <w:rFonts w:asciiTheme="minorHAnsi" w:hAnsiTheme="minorHAnsi"/>
                <w:lang w:val="en-GB"/>
              </w:rPr>
              <w:t>(</w:t>
            </w:r>
            <w:r w:rsidR="000426EF" w:rsidRPr="00BC4F55">
              <w:rPr>
                <w:rFonts w:asciiTheme="minorHAnsi" w:hAnsiTheme="minorHAnsi"/>
                <w:lang w:val="en-GB"/>
              </w:rPr>
              <w:t>a</w:t>
            </w:r>
            <w:r w:rsidR="000770FE">
              <w:rPr>
                <w:rFonts w:asciiTheme="minorHAnsi" w:hAnsiTheme="minorHAnsi"/>
                <w:lang w:val="en-GB"/>
              </w:rPr>
              <w:t>s</w:t>
            </w:r>
            <w:r w:rsidR="001A2BA2" w:rsidRPr="00BC4F55">
              <w:rPr>
                <w:rFonts w:asciiTheme="minorHAnsi" w:hAnsiTheme="minorHAnsi"/>
                <w:lang w:val="en-GB"/>
              </w:rPr>
              <w:t xml:space="preserve"> 49</w:t>
            </w:r>
            <w:r w:rsidR="000770FE" w:rsidRPr="00B537E3">
              <w:rPr>
                <w:rFonts w:asciiTheme="minorHAnsi" w:hAnsiTheme="minorHAnsi"/>
                <w:vertAlign w:val="superscript"/>
                <w:lang w:val="en-GB"/>
              </w:rPr>
              <w:t>th</w:t>
            </w:r>
            <w:r w:rsidR="000770FE">
              <w:rPr>
                <w:rFonts w:asciiTheme="minorHAnsi" w:hAnsiTheme="minorHAnsi"/>
                <w:lang w:val="en-GB"/>
              </w:rPr>
              <w:t xml:space="preserve"> </w:t>
            </w:r>
            <w:r w:rsidR="001A2BA2" w:rsidRPr="00BC4F55">
              <w:rPr>
                <w:rFonts w:asciiTheme="minorHAnsi" w:hAnsiTheme="minorHAnsi"/>
                <w:lang w:val="en-GB"/>
              </w:rPr>
              <w:t>out of 188 countries and territories</w:t>
            </w:r>
            <w:r w:rsidR="000770FE">
              <w:rPr>
                <w:rFonts w:asciiTheme="minorHAnsi" w:hAnsiTheme="minorHAnsi"/>
                <w:lang w:val="en-GB"/>
              </w:rPr>
              <w:t>)</w:t>
            </w:r>
            <w:r w:rsidR="00506ECF" w:rsidRPr="00BC4F55">
              <w:rPr>
                <w:rFonts w:asciiTheme="minorHAnsi" w:hAnsiTheme="minorHAnsi"/>
                <w:lang w:val="en-GB"/>
              </w:rPr>
              <w:t xml:space="preserve"> has not changed.</w:t>
            </w:r>
          </w:p>
          <w:p w14:paraId="12B5807A" w14:textId="77777777" w:rsidR="00ED7235" w:rsidRPr="00BC4F55" w:rsidRDefault="007A341C" w:rsidP="00ED7235">
            <w:pPr>
              <w:pStyle w:val="BodyText2"/>
              <w:numPr>
                <w:ilvl w:val="0"/>
                <w:numId w:val="22"/>
              </w:numPr>
              <w:rPr>
                <w:rFonts w:asciiTheme="minorHAnsi" w:hAnsiTheme="minorHAnsi"/>
                <w:i/>
                <w:lang w:val="en-GB"/>
              </w:rPr>
            </w:pPr>
            <w:r w:rsidRPr="00BC4F55">
              <w:rPr>
                <w:rFonts w:asciiTheme="minorHAnsi" w:hAnsiTheme="minorHAnsi"/>
                <w:i/>
                <w:lang w:val="en-GB"/>
              </w:rPr>
              <w:t xml:space="preserve"> Unemployment rate</w:t>
            </w:r>
            <w:r w:rsidR="00E72438" w:rsidRPr="00BC4F55">
              <w:rPr>
                <w:rFonts w:asciiTheme="minorHAnsi" w:hAnsiTheme="minorHAnsi"/>
                <w:i/>
                <w:lang w:val="en-GB"/>
              </w:rPr>
              <w:t xml:space="preserve"> </w:t>
            </w:r>
            <w:r w:rsidR="00506ECF" w:rsidRPr="00BC4F55">
              <w:rPr>
                <w:rFonts w:asciiTheme="minorHAnsi" w:hAnsiTheme="minorHAnsi"/>
                <w:i/>
                <w:lang w:val="en-GB"/>
              </w:rPr>
              <w:t xml:space="preserve">dropped in </w:t>
            </w:r>
            <w:r w:rsidRPr="00BC4F55">
              <w:rPr>
                <w:rFonts w:asciiTheme="minorHAnsi" w:hAnsiTheme="minorHAnsi"/>
                <w:i/>
                <w:lang w:val="en-GB"/>
              </w:rPr>
              <w:t>201</w:t>
            </w:r>
            <w:r w:rsidR="00DC2867" w:rsidRPr="00BC4F55">
              <w:rPr>
                <w:rFonts w:asciiTheme="minorHAnsi" w:hAnsiTheme="minorHAnsi"/>
                <w:i/>
                <w:lang w:val="en-GB"/>
              </w:rPr>
              <w:t>5: 16.5</w:t>
            </w:r>
            <w:r w:rsidRPr="00BC4F55">
              <w:rPr>
                <w:rFonts w:asciiTheme="minorHAnsi" w:hAnsiTheme="minorHAnsi"/>
                <w:i/>
                <w:lang w:val="en-GB"/>
              </w:rPr>
              <w:t>% /MONSTAT (Montenegro Statistical Office)</w:t>
            </w:r>
            <w:r w:rsidR="00DC2867" w:rsidRPr="00BC4F55">
              <w:rPr>
                <w:rFonts w:asciiTheme="minorHAnsi" w:hAnsiTheme="minorHAnsi"/>
                <w:i/>
                <w:lang w:val="en-GB"/>
              </w:rPr>
              <w:t xml:space="preserve">. </w:t>
            </w:r>
            <w:r w:rsidRPr="00BC4F55">
              <w:rPr>
                <w:rFonts w:asciiTheme="minorHAnsi" w:hAnsiTheme="minorHAnsi"/>
                <w:i/>
                <w:lang w:val="en-GB"/>
              </w:rPr>
              <w:t xml:space="preserve"> </w:t>
            </w:r>
          </w:p>
          <w:p w14:paraId="2869F80D" w14:textId="6E3243C5" w:rsidR="00EF3D88" w:rsidRPr="00BC4F55" w:rsidRDefault="007A341C" w:rsidP="00ED7235">
            <w:pPr>
              <w:pStyle w:val="BodyText2"/>
              <w:numPr>
                <w:ilvl w:val="0"/>
                <w:numId w:val="22"/>
              </w:numPr>
              <w:rPr>
                <w:rFonts w:asciiTheme="minorHAnsi" w:hAnsiTheme="minorHAnsi"/>
                <w:i/>
                <w:lang w:val="en-GB"/>
              </w:rPr>
            </w:pPr>
            <w:r w:rsidRPr="00BC4F55">
              <w:rPr>
                <w:rFonts w:asciiTheme="minorHAnsi" w:hAnsiTheme="minorHAnsi"/>
                <w:i/>
                <w:lang w:val="en-GB"/>
              </w:rPr>
              <w:t xml:space="preserve">Gender </w:t>
            </w:r>
            <w:r w:rsidR="001A2BA2" w:rsidRPr="00BC4F55">
              <w:rPr>
                <w:rFonts w:asciiTheme="minorHAnsi" w:hAnsiTheme="minorHAnsi"/>
                <w:i/>
                <w:lang w:val="en-GB"/>
              </w:rPr>
              <w:t>empowerment measure</w:t>
            </w:r>
            <w:r w:rsidR="00506ECF" w:rsidRPr="00BC4F55">
              <w:rPr>
                <w:rFonts w:asciiTheme="minorHAnsi" w:hAnsiTheme="minorHAnsi"/>
                <w:i/>
                <w:lang w:val="en-GB"/>
              </w:rPr>
              <w:t xml:space="preserve"> – progress is not </w:t>
            </w:r>
            <w:r w:rsidR="000426EF" w:rsidRPr="00BC4F55">
              <w:rPr>
                <w:rFonts w:asciiTheme="minorHAnsi" w:hAnsiTheme="minorHAnsi"/>
                <w:i/>
                <w:lang w:val="en-GB"/>
              </w:rPr>
              <w:t>measurable as</w:t>
            </w:r>
            <w:r w:rsidR="001A2BA2" w:rsidRPr="00BC4F55">
              <w:rPr>
                <w:rFonts w:asciiTheme="minorHAnsi" w:hAnsiTheme="minorHAnsi"/>
                <w:i/>
                <w:lang w:val="en-GB"/>
              </w:rPr>
              <w:t xml:space="preserve"> GEM was replaced by other HD gender related measurements</w:t>
            </w:r>
            <w:r w:rsidR="00506ECF" w:rsidRPr="00BC4F55">
              <w:rPr>
                <w:rFonts w:asciiTheme="minorHAnsi" w:hAnsiTheme="minorHAnsi"/>
                <w:i/>
                <w:lang w:val="en-GB"/>
              </w:rPr>
              <w:t>.</w:t>
            </w:r>
            <w:r w:rsidR="000770FE">
              <w:rPr>
                <w:rFonts w:asciiTheme="minorHAnsi" w:hAnsiTheme="minorHAnsi"/>
                <w:i/>
                <w:lang w:val="en-GB"/>
              </w:rPr>
              <w:t xml:space="preserve"> </w:t>
            </w:r>
            <w:r w:rsidR="006B7AAA" w:rsidRPr="00BC4F55">
              <w:rPr>
                <w:rFonts w:asciiTheme="minorHAnsi" w:hAnsiTheme="minorHAnsi"/>
                <w:i/>
                <w:lang w:val="en-GB"/>
              </w:rPr>
              <w:t>Gender Inequality Index (GII) - Montenegro has a GII value of 0.171, ranking it 37</w:t>
            </w:r>
            <w:r w:rsidR="00E72438" w:rsidRPr="00BC4F55">
              <w:rPr>
                <w:rFonts w:asciiTheme="minorHAnsi" w:hAnsiTheme="minorHAnsi"/>
                <w:i/>
                <w:vertAlign w:val="superscript"/>
                <w:lang w:val="en-GB"/>
              </w:rPr>
              <w:t>th</w:t>
            </w:r>
            <w:r w:rsidR="00E72438" w:rsidRPr="00BC4F55">
              <w:rPr>
                <w:rFonts w:asciiTheme="minorHAnsi" w:hAnsiTheme="minorHAnsi"/>
                <w:i/>
                <w:lang w:val="en-GB"/>
              </w:rPr>
              <w:t xml:space="preserve"> </w:t>
            </w:r>
            <w:r w:rsidR="006B7AAA" w:rsidRPr="00BC4F55">
              <w:rPr>
                <w:rFonts w:asciiTheme="minorHAnsi" w:hAnsiTheme="minorHAnsi"/>
                <w:i/>
                <w:lang w:val="en-GB"/>
              </w:rPr>
              <w:t>out of 155 countries in the 2014 index</w:t>
            </w:r>
            <w:r w:rsidR="000770FE">
              <w:rPr>
                <w:rFonts w:asciiTheme="minorHAnsi" w:hAnsiTheme="minorHAnsi"/>
                <w:i/>
                <w:lang w:val="en-GB"/>
              </w:rPr>
              <w:t>.</w:t>
            </w:r>
          </w:p>
        </w:tc>
      </w:tr>
      <w:tr w:rsidR="00530FDE" w:rsidRPr="00BC4F55" w14:paraId="2869F818" w14:textId="77777777" w:rsidTr="00213F95">
        <w:tc>
          <w:tcPr>
            <w:tcW w:w="14040" w:type="dxa"/>
            <w:gridSpan w:val="5"/>
          </w:tcPr>
          <w:p w14:paraId="179182A1" w14:textId="77777777" w:rsidR="00606154" w:rsidRDefault="00606154" w:rsidP="00EE1D60">
            <w:pPr>
              <w:pStyle w:val="BodyText2"/>
              <w:rPr>
                <w:rFonts w:asciiTheme="minorHAnsi" w:hAnsiTheme="minorHAnsi"/>
                <w:b/>
                <w:lang w:val="en-GB"/>
              </w:rPr>
            </w:pPr>
          </w:p>
          <w:p w14:paraId="2869F80F" w14:textId="47979C56" w:rsidR="00843006" w:rsidRPr="00BC4F55" w:rsidRDefault="00837C4B" w:rsidP="00EE1D60">
            <w:pPr>
              <w:pStyle w:val="BodyText2"/>
              <w:rPr>
                <w:rFonts w:asciiTheme="minorHAnsi" w:hAnsiTheme="minorHAnsi"/>
                <w:b/>
                <w:lang w:val="en-GB"/>
              </w:rPr>
            </w:pPr>
            <w:r w:rsidRPr="00BC4F55">
              <w:rPr>
                <w:rFonts w:asciiTheme="minorHAnsi" w:hAnsiTheme="minorHAnsi"/>
                <w:b/>
                <w:lang w:val="en-GB"/>
              </w:rPr>
              <w:t>UNDP Contribution:</w:t>
            </w:r>
          </w:p>
          <w:p w14:paraId="2869F812" w14:textId="77777777" w:rsidR="00B00E5C" w:rsidRDefault="00B00E5C" w:rsidP="00EE1D60">
            <w:pPr>
              <w:pStyle w:val="BodyText2"/>
              <w:rPr>
                <w:rFonts w:asciiTheme="minorHAnsi" w:hAnsiTheme="minorHAnsi"/>
                <w:b/>
                <w:lang w:val="en-GB"/>
              </w:rPr>
            </w:pPr>
            <w:r w:rsidRPr="00BC4F55">
              <w:rPr>
                <w:rFonts w:asciiTheme="minorHAnsi" w:hAnsiTheme="minorHAnsi"/>
                <w:b/>
                <w:u w:val="single"/>
                <w:lang w:val="en-GB"/>
              </w:rPr>
              <w:t>CP Outputs</w:t>
            </w:r>
            <w:r w:rsidR="00845340" w:rsidRPr="00BC4F55">
              <w:rPr>
                <w:rFonts w:asciiTheme="minorHAnsi" w:hAnsiTheme="minorHAnsi"/>
                <w:b/>
                <w:lang w:val="en-GB"/>
              </w:rPr>
              <w:t>:</w:t>
            </w:r>
          </w:p>
          <w:p w14:paraId="55F44896" w14:textId="77777777" w:rsidR="00606154" w:rsidRPr="00BC4F55" w:rsidRDefault="00606154" w:rsidP="00EE1D60">
            <w:pPr>
              <w:pStyle w:val="BodyText2"/>
              <w:rPr>
                <w:rFonts w:asciiTheme="minorHAnsi" w:hAnsiTheme="minorHAnsi"/>
                <w:b/>
                <w:lang w:val="en-GB"/>
              </w:rPr>
            </w:pPr>
          </w:p>
          <w:p w14:paraId="59F0C462" w14:textId="23D6984C" w:rsidR="006D4C75" w:rsidRPr="00BC4F55" w:rsidRDefault="006D4C75" w:rsidP="00EE1D60">
            <w:pPr>
              <w:pStyle w:val="BodyText2"/>
              <w:rPr>
                <w:rFonts w:asciiTheme="minorHAnsi" w:hAnsiTheme="minorHAnsi"/>
                <w:lang w:val="en-GB"/>
              </w:rPr>
            </w:pPr>
            <w:r w:rsidRPr="00BC4F55">
              <w:rPr>
                <w:rFonts w:asciiTheme="minorHAnsi" w:hAnsiTheme="minorHAnsi"/>
                <w:lang w:val="en-GB"/>
              </w:rPr>
              <w:t xml:space="preserve">The UNDP CP identified five </w:t>
            </w:r>
            <w:r w:rsidR="00842737" w:rsidRPr="00BC4F55">
              <w:rPr>
                <w:rFonts w:asciiTheme="minorHAnsi" w:hAnsiTheme="minorHAnsi"/>
                <w:lang w:val="en-GB"/>
              </w:rPr>
              <w:t xml:space="preserve"> outputs to support the Government in achieving this outcome: </w:t>
            </w:r>
          </w:p>
          <w:p w14:paraId="65F398C6" w14:textId="7A0FD440" w:rsidR="006D4C75" w:rsidRPr="00BC4F55" w:rsidRDefault="006D4C75" w:rsidP="006D4C75">
            <w:pPr>
              <w:pStyle w:val="BodyText2"/>
              <w:rPr>
                <w:rFonts w:asciiTheme="minorHAnsi" w:hAnsiTheme="minorHAnsi"/>
                <w:lang w:val="en-GB"/>
              </w:rPr>
            </w:pPr>
            <w:r w:rsidRPr="00BC4F55">
              <w:rPr>
                <w:rFonts w:asciiTheme="minorHAnsi" w:hAnsiTheme="minorHAnsi"/>
                <w:lang w:val="en-GB"/>
              </w:rPr>
              <w:t>1.1: Protection of victims of violence</w:t>
            </w:r>
            <w:r w:rsidR="00E72438" w:rsidRPr="00BC4F55">
              <w:rPr>
                <w:rFonts w:asciiTheme="minorHAnsi" w:hAnsiTheme="minorHAnsi"/>
                <w:lang w:val="en-GB"/>
              </w:rPr>
              <w:t xml:space="preserve"> in the family</w:t>
            </w:r>
            <w:r w:rsidRPr="00BC4F55">
              <w:rPr>
                <w:rFonts w:asciiTheme="minorHAnsi" w:hAnsiTheme="minorHAnsi"/>
                <w:lang w:val="en-GB"/>
              </w:rPr>
              <w:t xml:space="preserve"> enhanced through a strengthened </w:t>
            </w:r>
            <w:r w:rsidR="002D394D">
              <w:rPr>
                <w:rFonts w:asciiTheme="minorHAnsi" w:hAnsiTheme="minorHAnsi"/>
                <w:lang w:val="en-GB"/>
              </w:rPr>
              <w:t xml:space="preserve">response </w:t>
            </w:r>
            <w:r w:rsidRPr="00BC4F55">
              <w:rPr>
                <w:rFonts w:asciiTheme="minorHAnsi" w:hAnsiTheme="minorHAnsi"/>
                <w:lang w:val="en-GB"/>
              </w:rPr>
              <w:t>system; sustainable measures to combat domestic violence introduced</w:t>
            </w:r>
            <w:r w:rsidR="002D394D">
              <w:rPr>
                <w:rFonts w:asciiTheme="minorHAnsi" w:hAnsiTheme="minorHAnsi"/>
                <w:lang w:val="en-GB"/>
              </w:rPr>
              <w:t>;</w:t>
            </w:r>
          </w:p>
          <w:p w14:paraId="31839036" w14:textId="4C4E9EAC" w:rsidR="006D4C75" w:rsidRPr="00BC4F55" w:rsidRDefault="006D4C75" w:rsidP="006D4C75">
            <w:pPr>
              <w:pStyle w:val="BodyText2"/>
              <w:rPr>
                <w:rFonts w:asciiTheme="minorHAnsi" w:hAnsiTheme="minorHAnsi"/>
                <w:lang w:val="en-GB"/>
              </w:rPr>
            </w:pPr>
            <w:r w:rsidRPr="00BC4F55">
              <w:rPr>
                <w:rFonts w:asciiTheme="minorHAnsi" w:hAnsiTheme="minorHAnsi"/>
                <w:lang w:val="en-GB"/>
              </w:rPr>
              <w:t xml:space="preserve">1.2: Increased availability of disaggregated socio-economic data and analysis through National Human Development Reports and support to </w:t>
            </w:r>
            <w:r w:rsidR="002D394D">
              <w:rPr>
                <w:rFonts w:asciiTheme="minorHAnsi" w:hAnsiTheme="minorHAnsi"/>
                <w:lang w:val="en-GB"/>
              </w:rPr>
              <w:t xml:space="preserve">the </w:t>
            </w:r>
            <w:r w:rsidRPr="00BC4F55">
              <w:rPr>
                <w:rFonts w:asciiTheme="minorHAnsi" w:hAnsiTheme="minorHAnsi"/>
                <w:lang w:val="en-GB"/>
              </w:rPr>
              <w:t xml:space="preserve">National </w:t>
            </w:r>
            <w:r w:rsidR="002D394D">
              <w:rPr>
                <w:rFonts w:asciiTheme="minorHAnsi" w:hAnsiTheme="minorHAnsi"/>
                <w:lang w:val="en-GB"/>
              </w:rPr>
              <w:t>R</w:t>
            </w:r>
            <w:r w:rsidR="002D394D" w:rsidRPr="00BC4F55">
              <w:rPr>
                <w:rFonts w:asciiTheme="minorHAnsi" w:hAnsiTheme="minorHAnsi"/>
                <w:lang w:val="en-GB"/>
              </w:rPr>
              <w:t xml:space="preserve">eports </w:t>
            </w:r>
            <w:r w:rsidR="002D394D">
              <w:rPr>
                <w:rFonts w:asciiTheme="minorHAnsi" w:hAnsiTheme="minorHAnsi"/>
                <w:lang w:val="en-GB"/>
              </w:rPr>
              <w:t xml:space="preserve">on implementation of the </w:t>
            </w:r>
            <w:r w:rsidRPr="00BC4F55">
              <w:rPr>
                <w:rFonts w:asciiTheme="minorHAnsi" w:hAnsiTheme="minorHAnsi"/>
                <w:lang w:val="en-GB"/>
              </w:rPr>
              <w:t>Millennium Development Goals</w:t>
            </w:r>
            <w:r w:rsidR="002D394D">
              <w:rPr>
                <w:rFonts w:asciiTheme="minorHAnsi" w:hAnsiTheme="minorHAnsi"/>
                <w:lang w:val="en-GB"/>
              </w:rPr>
              <w:t>;</w:t>
            </w:r>
          </w:p>
          <w:p w14:paraId="2A61AD52" w14:textId="4C4D3B1E" w:rsidR="006D4C75" w:rsidRPr="00BC4F55" w:rsidRDefault="006D4C75" w:rsidP="006D4C75">
            <w:pPr>
              <w:pStyle w:val="BodyText2"/>
              <w:rPr>
                <w:rFonts w:asciiTheme="minorHAnsi" w:hAnsiTheme="minorHAnsi"/>
                <w:lang w:val="en-GB"/>
              </w:rPr>
            </w:pPr>
            <w:r w:rsidRPr="00BC4F55">
              <w:rPr>
                <w:rFonts w:asciiTheme="minorHAnsi" w:hAnsiTheme="minorHAnsi"/>
                <w:lang w:val="en-GB"/>
              </w:rPr>
              <w:t xml:space="preserve">1.3: Support to NGOs and authorities to issue documentation to Roma and displaced persons to increase access to </w:t>
            </w:r>
            <w:r w:rsidR="00EE349E">
              <w:rPr>
                <w:rFonts w:asciiTheme="minorHAnsi" w:hAnsiTheme="minorHAnsi"/>
                <w:lang w:val="en-GB"/>
              </w:rPr>
              <w:t xml:space="preserve">social welfare and health </w:t>
            </w:r>
            <w:r w:rsidRPr="00BC4F55">
              <w:rPr>
                <w:rFonts w:asciiTheme="minorHAnsi" w:hAnsiTheme="minorHAnsi"/>
                <w:lang w:val="en-GB"/>
              </w:rPr>
              <w:t>services</w:t>
            </w:r>
            <w:r w:rsidR="002D394D">
              <w:rPr>
                <w:rFonts w:asciiTheme="minorHAnsi" w:hAnsiTheme="minorHAnsi"/>
                <w:lang w:val="en-GB"/>
              </w:rPr>
              <w:t>;</w:t>
            </w:r>
          </w:p>
          <w:p w14:paraId="750007CF" w14:textId="0F92611C" w:rsidR="006D4C75" w:rsidRPr="00BC4F55" w:rsidRDefault="006D4C75" w:rsidP="006D4C75">
            <w:pPr>
              <w:pStyle w:val="BodyText2"/>
              <w:rPr>
                <w:rFonts w:asciiTheme="minorHAnsi" w:hAnsiTheme="minorHAnsi"/>
                <w:lang w:val="en-GB"/>
              </w:rPr>
            </w:pPr>
            <w:r w:rsidRPr="00BC4F55">
              <w:rPr>
                <w:rFonts w:asciiTheme="minorHAnsi" w:hAnsiTheme="minorHAnsi"/>
                <w:lang w:val="en-GB"/>
              </w:rPr>
              <w:t xml:space="preserve">1.4: Support to </w:t>
            </w:r>
            <w:r w:rsidR="002D394D">
              <w:rPr>
                <w:rFonts w:asciiTheme="minorHAnsi" w:hAnsiTheme="minorHAnsi"/>
                <w:lang w:val="en-GB"/>
              </w:rPr>
              <w:t xml:space="preserve">the </w:t>
            </w:r>
            <w:r w:rsidRPr="00BC4F55">
              <w:rPr>
                <w:rFonts w:asciiTheme="minorHAnsi" w:hAnsiTheme="minorHAnsi"/>
                <w:lang w:val="en-GB"/>
              </w:rPr>
              <w:t xml:space="preserve">Department of Gender Equality for implementation of </w:t>
            </w:r>
            <w:r w:rsidR="002D394D">
              <w:rPr>
                <w:rFonts w:asciiTheme="minorHAnsi" w:hAnsiTheme="minorHAnsi"/>
                <w:lang w:val="en-GB"/>
              </w:rPr>
              <w:t xml:space="preserve">the </w:t>
            </w:r>
            <w:r w:rsidRPr="00BC4F55">
              <w:rPr>
                <w:rFonts w:asciiTheme="minorHAnsi" w:hAnsiTheme="minorHAnsi"/>
                <w:lang w:val="en-GB"/>
              </w:rPr>
              <w:t>National Action Plan on Gender</w:t>
            </w:r>
            <w:r w:rsidR="002D394D">
              <w:rPr>
                <w:rFonts w:asciiTheme="minorHAnsi" w:hAnsiTheme="minorHAnsi"/>
                <w:lang w:val="en-GB"/>
              </w:rPr>
              <w:t>;</w:t>
            </w:r>
          </w:p>
          <w:p w14:paraId="2869F813" w14:textId="38233184" w:rsidR="00B00E5C" w:rsidRPr="00BC4F55" w:rsidRDefault="006D4C75" w:rsidP="006D4C75">
            <w:pPr>
              <w:pStyle w:val="BodyText2"/>
              <w:rPr>
                <w:rFonts w:asciiTheme="minorHAnsi" w:hAnsiTheme="minorHAnsi"/>
                <w:lang w:val="en-GB"/>
              </w:rPr>
            </w:pPr>
            <w:r w:rsidRPr="00BC4F55">
              <w:rPr>
                <w:rFonts w:asciiTheme="minorHAnsi" w:hAnsiTheme="minorHAnsi"/>
                <w:lang w:val="en-GB"/>
              </w:rPr>
              <w:t xml:space="preserve">1.5: Regional disparities reduced through innovative employment strategies and active labour schemes implemented through a decentralized </w:t>
            </w:r>
            <w:r w:rsidR="002D394D">
              <w:rPr>
                <w:rFonts w:asciiTheme="minorHAnsi" w:hAnsiTheme="minorHAnsi"/>
                <w:lang w:val="en-GB"/>
              </w:rPr>
              <w:t>S</w:t>
            </w:r>
            <w:r w:rsidRPr="00BC4F55">
              <w:rPr>
                <w:rFonts w:asciiTheme="minorHAnsi" w:hAnsiTheme="minorHAnsi"/>
                <w:lang w:val="en-GB"/>
              </w:rPr>
              <w:t xml:space="preserve">ocial </w:t>
            </w:r>
            <w:r w:rsidR="002D394D">
              <w:rPr>
                <w:rFonts w:asciiTheme="minorHAnsi" w:hAnsiTheme="minorHAnsi"/>
                <w:lang w:val="en-GB"/>
              </w:rPr>
              <w:t>W</w:t>
            </w:r>
            <w:r w:rsidRPr="00BC4F55">
              <w:rPr>
                <w:rFonts w:asciiTheme="minorHAnsi" w:hAnsiTheme="minorHAnsi"/>
                <w:lang w:val="en-GB"/>
              </w:rPr>
              <w:t xml:space="preserve">elfare </w:t>
            </w:r>
            <w:r w:rsidR="002D394D">
              <w:rPr>
                <w:rFonts w:asciiTheme="minorHAnsi" w:hAnsiTheme="minorHAnsi"/>
                <w:lang w:val="en-GB"/>
              </w:rPr>
              <w:t>S</w:t>
            </w:r>
            <w:r w:rsidRPr="00BC4F55">
              <w:rPr>
                <w:rFonts w:asciiTheme="minorHAnsi" w:hAnsiTheme="minorHAnsi"/>
                <w:lang w:val="en-GB"/>
              </w:rPr>
              <w:t>ystem</w:t>
            </w:r>
            <w:r w:rsidR="002D394D">
              <w:rPr>
                <w:rFonts w:asciiTheme="minorHAnsi" w:hAnsiTheme="minorHAnsi"/>
                <w:lang w:val="en-GB"/>
              </w:rPr>
              <w:t>.</w:t>
            </w:r>
          </w:p>
          <w:p w14:paraId="1F789269" w14:textId="77777777" w:rsidR="00606154" w:rsidRDefault="00606154" w:rsidP="00EE1D60">
            <w:pPr>
              <w:pStyle w:val="BodyText2"/>
              <w:rPr>
                <w:rFonts w:asciiTheme="minorHAnsi" w:hAnsiTheme="minorHAnsi"/>
                <w:lang w:val="en-GB"/>
              </w:rPr>
            </w:pPr>
          </w:p>
          <w:p w14:paraId="2869F815" w14:textId="77777777" w:rsidR="00B00E5C" w:rsidRPr="00BC4F55" w:rsidRDefault="00B00E5C" w:rsidP="00C72C5F">
            <w:pPr>
              <w:pStyle w:val="BodyText2"/>
              <w:jc w:val="both"/>
              <w:rPr>
                <w:rFonts w:asciiTheme="minorHAnsi" w:hAnsiTheme="minorHAnsi"/>
                <w:b/>
                <w:lang w:val="en-GB"/>
              </w:rPr>
            </w:pPr>
            <w:r w:rsidRPr="00BC4F55">
              <w:rPr>
                <w:rFonts w:asciiTheme="minorHAnsi" w:hAnsiTheme="minorHAnsi"/>
                <w:b/>
                <w:u w:val="single"/>
                <w:lang w:val="en-GB"/>
              </w:rPr>
              <w:lastRenderedPageBreak/>
              <w:t>Progress and Achievements</w:t>
            </w:r>
            <w:r w:rsidR="00845340" w:rsidRPr="00BC4F55">
              <w:rPr>
                <w:rFonts w:asciiTheme="minorHAnsi" w:hAnsiTheme="minorHAnsi"/>
                <w:b/>
                <w:lang w:val="en-GB"/>
              </w:rPr>
              <w:t>:</w:t>
            </w:r>
          </w:p>
          <w:p w14:paraId="67C914D8" w14:textId="392F716A" w:rsidR="00EB4FA1" w:rsidRPr="00BC4F55" w:rsidRDefault="002D394D" w:rsidP="00C72C5F">
            <w:pPr>
              <w:pStyle w:val="BodyText2"/>
              <w:jc w:val="both"/>
              <w:rPr>
                <w:rFonts w:asciiTheme="minorHAnsi" w:hAnsiTheme="minorHAnsi"/>
                <w:lang w:val="en-GB"/>
              </w:rPr>
            </w:pPr>
            <w:r>
              <w:rPr>
                <w:rFonts w:asciiTheme="minorHAnsi" w:hAnsiTheme="minorHAnsi"/>
                <w:lang w:val="en-GB"/>
              </w:rPr>
              <w:t>Throughout</w:t>
            </w:r>
            <w:r w:rsidRPr="00BC4F55">
              <w:rPr>
                <w:rFonts w:asciiTheme="minorHAnsi" w:hAnsiTheme="minorHAnsi"/>
                <w:lang w:val="en-GB"/>
              </w:rPr>
              <w:t xml:space="preserve"> </w:t>
            </w:r>
            <w:r w:rsidR="006D4C75" w:rsidRPr="00BC4F55">
              <w:rPr>
                <w:rFonts w:asciiTheme="minorHAnsi" w:hAnsiTheme="minorHAnsi"/>
                <w:lang w:val="en-GB"/>
              </w:rPr>
              <w:t xml:space="preserve">the 2012-2016 cycle, </w:t>
            </w:r>
            <w:r w:rsidR="00506ECF" w:rsidRPr="00BC4F55">
              <w:rPr>
                <w:rFonts w:asciiTheme="minorHAnsi" w:hAnsiTheme="minorHAnsi"/>
                <w:lang w:val="en-GB"/>
              </w:rPr>
              <w:t xml:space="preserve">in Social Inclusion, </w:t>
            </w:r>
            <w:r w:rsidR="006D4C75" w:rsidRPr="00BC4F55">
              <w:rPr>
                <w:rFonts w:asciiTheme="minorHAnsi" w:hAnsiTheme="minorHAnsi"/>
                <w:lang w:val="en-GB"/>
              </w:rPr>
              <w:t xml:space="preserve">UNDP mainly focused on supporting </w:t>
            </w:r>
            <w:r w:rsidR="00E72438" w:rsidRPr="00BC4F55">
              <w:rPr>
                <w:rFonts w:asciiTheme="minorHAnsi" w:hAnsiTheme="minorHAnsi"/>
                <w:lang w:val="en-GB"/>
              </w:rPr>
              <w:t xml:space="preserve">the </w:t>
            </w:r>
            <w:r w:rsidR="006D4C75" w:rsidRPr="00BC4F55">
              <w:rPr>
                <w:rFonts w:asciiTheme="minorHAnsi" w:hAnsiTheme="minorHAnsi"/>
                <w:lang w:val="en-GB"/>
              </w:rPr>
              <w:t>Ministry of Labo</w:t>
            </w:r>
            <w:r w:rsidR="00E72438" w:rsidRPr="00BC4F55">
              <w:rPr>
                <w:rFonts w:asciiTheme="minorHAnsi" w:hAnsiTheme="minorHAnsi"/>
                <w:lang w:val="en-GB"/>
              </w:rPr>
              <w:t>u</w:t>
            </w:r>
            <w:r w:rsidR="006D4C75" w:rsidRPr="00BC4F55">
              <w:rPr>
                <w:rFonts w:asciiTheme="minorHAnsi" w:hAnsiTheme="minorHAnsi"/>
                <w:lang w:val="en-GB"/>
              </w:rPr>
              <w:t xml:space="preserve">r and Social Welfare to undertake comprehensive </w:t>
            </w:r>
            <w:r w:rsidR="00E72438" w:rsidRPr="00BC4F55">
              <w:rPr>
                <w:rFonts w:asciiTheme="minorHAnsi" w:hAnsiTheme="minorHAnsi"/>
                <w:lang w:val="en-GB"/>
              </w:rPr>
              <w:t xml:space="preserve">social </w:t>
            </w:r>
            <w:r w:rsidR="006D4C75" w:rsidRPr="00BC4F55">
              <w:rPr>
                <w:rFonts w:asciiTheme="minorHAnsi" w:hAnsiTheme="minorHAnsi"/>
                <w:lang w:val="en-GB"/>
              </w:rPr>
              <w:t xml:space="preserve">sector reform. </w:t>
            </w:r>
            <w:r w:rsidR="00BE1C58" w:rsidRPr="00BC4F55">
              <w:rPr>
                <w:rFonts w:asciiTheme="minorHAnsi" w:hAnsiTheme="minorHAnsi"/>
                <w:lang w:val="en-GB"/>
              </w:rPr>
              <w:t>T</w:t>
            </w:r>
            <w:r w:rsidR="006D4C75" w:rsidRPr="00BC4F55">
              <w:rPr>
                <w:rFonts w:asciiTheme="minorHAnsi" w:hAnsiTheme="minorHAnsi"/>
                <w:lang w:val="en-GB"/>
              </w:rPr>
              <w:t xml:space="preserve">he </w:t>
            </w:r>
            <w:r w:rsidR="00E72438" w:rsidRPr="00BC4F55">
              <w:rPr>
                <w:rFonts w:asciiTheme="minorHAnsi" w:hAnsiTheme="minorHAnsi"/>
                <w:lang w:val="en-GB"/>
              </w:rPr>
              <w:t xml:space="preserve">reform </w:t>
            </w:r>
            <w:r w:rsidR="006D4C75" w:rsidRPr="00BC4F55">
              <w:rPr>
                <w:rFonts w:asciiTheme="minorHAnsi" w:hAnsiTheme="minorHAnsi"/>
                <w:lang w:val="en-GB"/>
              </w:rPr>
              <w:t>process included</w:t>
            </w:r>
            <w:r w:rsidR="00BE1C58" w:rsidRPr="00BC4F55">
              <w:rPr>
                <w:rFonts w:asciiTheme="minorHAnsi" w:hAnsiTheme="minorHAnsi"/>
                <w:lang w:val="en-GB"/>
              </w:rPr>
              <w:t xml:space="preserve"> </w:t>
            </w:r>
            <w:r w:rsidR="00EB4FA1" w:rsidRPr="00BC4F55">
              <w:rPr>
                <w:rFonts w:asciiTheme="minorHAnsi" w:hAnsiTheme="minorHAnsi"/>
                <w:lang w:val="en-GB"/>
              </w:rPr>
              <w:t xml:space="preserve">development of strategic and legislative (normative frameworks), institutional development, introduction of new </w:t>
            </w:r>
            <w:r w:rsidR="007639C2" w:rsidRPr="00BC4F55">
              <w:rPr>
                <w:rFonts w:asciiTheme="minorHAnsi" w:hAnsiTheme="minorHAnsi"/>
                <w:lang w:val="en-GB"/>
              </w:rPr>
              <w:t>technologies</w:t>
            </w:r>
            <w:r w:rsidR="00EB4FA1" w:rsidRPr="00BC4F55">
              <w:rPr>
                <w:rFonts w:asciiTheme="minorHAnsi" w:hAnsiTheme="minorHAnsi"/>
                <w:lang w:val="en-GB"/>
              </w:rPr>
              <w:t xml:space="preserve"> (ICT), local level planning and the actual social services’ provision to beneficiaries. </w:t>
            </w:r>
          </w:p>
          <w:p w14:paraId="443092C6" w14:textId="017C2D59" w:rsidR="007639C2" w:rsidRPr="00BC4F55" w:rsidRDefault="00506ECF" w:rsidP="00C72C5F">
            <w:pPr>
              <w:pStyle w:val="BodyText2"/>
              <w:jc w:val="both"/>
              <w:rPr>
                <w:rFonts w:asciiTheme="minorHAnsi" w:hAnsiTheme="minorHAnsi"/>
                <w:lang w:val="en-GB"/>
              </w:rPr>
            </w:pPr>
            <w:r w:rsidRPr="00BC4F55">
              <w:rPr>
                <w:rFonts w:asciiTheme="minorHAnsi" w:hAnsiTheme="minorHAnsi"/>
                <w:lang w:val="en-GB"/>
              </w:rPr>
              <w:t>A</w:t>
            </w:r>
            <w:r w:rsidR="00EB4FA1" w:rsidRPr="00BC4F55">
              <w:rPr>
                <w:rFonts w:asciiTheme="minorHAnsi" w:hAnsiTheme="minorHAnsi"/>
                <w:lang w:val="en-GB"/>
              </w:rPr>
              <w:t xml:space="preserve"> </w:t>
            </w:r>
            <w:r w:rsidR="00EB4FA1" w:rsidRPr="00BC4F55">
              <w:rPr>
                <w:rFonts w:asciiTheme="minorHAnsi" w:hAnsiTheme="minorHAnsi"/>
                <w:b/>
                <w:lang w:val="en-GB"/>
              </w:rPr>
              <w:t xml:space="preserve">new </w:t>
            </w:r>
            <w:r w:rsidR="002D394D">
              <w:rPr>
                <w:rFonts w:asciiTheme="minorHAnsi" w:hAnsiTheme="minorHAnsi"/>
                <w:b/>
                <w:lang w:val="en-GB"/>
              </w:rPr>
              <w:t xml:space="preserve">Law on </w:t>
            </w:r>
            <w:r w:rsidR="00EB4FA1" w:rsidRPr="00BC4F55">
              <w:rPr>
                <w:rFonts w:asciiTheme="minorHAnsi" w:hAnsiTheme="minorHAnsi"/>
                <w:b/>
                <w:lang w:val="en-GB"/>
              </w:rPr>
              <w:t xml:space="preserve">Social Welfare </w:t>
            </w:r>
            <w:r w:rsidR="00EB4FA1" w:rsidRPr="00BC4F55">
              <w:rPr>
                <w:rFonts w:asciiTheme="minorHAnsi" w:hAnsiTheme="minorHAnsi"/>
                <w:lang w:val="en-GB"/>
              </w:rPr>
              <w:t xml:space="preserve">and two strategies (on elderly care and social protection) supported by UNDP and UNICEF, were adopted in 2013, opening space for </w:t>
            </w:r>
            <w:r w:rsidRPr="00BC4F55">
              <w:rPr>
                <w:rFonts w:asciiTheme="minorHAnsi" w:hAnsiTheme="minorHAnsi"/>
                <w:lang w:val="en-GB"/>
              </w:rPr>
              <w:t xml:space="preserve">pluralism in </w:t>
            </w:r>
            <w:r w:rsidR="00EB4FA1" w:rsidRPr="00BC4F55">
              <w:rPr>
                <w:rFonts w:asciiTheme="minorHAnsi" w:hAnsiTheme="minorHAnsi"/>
                <w:lang w:val="en-GB"/>
              </w:rPr>
              <w:t xml:space="preserve"> </w:t>
            </w:r>
            <w:r w:rsidRPr="00BC4F55">
              <w:rPr>
                <w:rFonts w:asciiTheme="minorHAnsi" w:hAnsiTheme="minorHAnsi"/>
                <w:lang w:val="en-GB"/>
              </w:rPr>
              <w:t>provision</w:t>
            </w:r>
            <w:r w:rsidR="00514291" w:rsidRPr="00BC4F55">
              <w:rPr>
                <w:rFonts w:asciiTheme="minorHAnsi" w:hAnsiTheme="minorHAnsi"/>
                <w:lang w:val="en-GB"/>
              </w:rPr>
              <w:t xml:space="preserve"> of </w:t>
            </w:r>
            <w:r w:rsidR="00EB4FA1" w:rsidRPr="00BC4F55">
              <w:rPr>
                <w:rFonts w:asciiTheme="minorHAnsi" w:hAnsiTheme="minorHAnsi"/>
                <w:lang w:val="en-GB"/>
              </w:rPr>
              <w:t>social services</w:t>
            </w:r>
            <w:r w:rsidR="00514291" w:rsidRPr="00BC4F55">
              <w:rPr>
                <w:rFonts w:asciiTheme="minorHAnsi" w:hAnsiTheme="minorHAnsi"/>
                <w:lang w:val="en-GB"/>
              </w:rPr>
              <w:t>, as well as for</w:t>
            </w:r>
            <w:r w:rsidRPr="00BC4F55">
              <w:rPr>
                <w:rFonts w:asciiTheme="minorHAnsi" w:hAnsiTheme="minorHAnsi"/>
                <w:lang w:val="en-GB"/>
              </w:rPr>
              <w:t xml:space="preserve"> </w:t>
            </w:r>
            <w:r w:rsidR="003352EF">
              <w:rPr>
                <w:rFonts w:asciiTheme="minorHAnsi" w:hAnsiTheme="minorHAnsi"/>
                <w:lang w:val="en-GB"/>
              </w:rPr>
              <w:t xml:space="preserve">the </w:t>
            </w:r>
            <w:r w:rsidRPr="00BC4F55">
              <w:rPr>
                <w:rFonts w:asciiTheme="minorHAnsi" w:hAnsiTheme="minorHAnsi"/>
                <w:lang w:val="en-GB"/>
              </w:rPr>
              <w:t>introduction of</w:t>
            </w:r>
            <w:r w:rsidR="00EB4FA1" w:rsidRPr="00BC4F55">
              <w:rPr>
                <w:rFonts w:asciiTheme="minorHAnsi" w:hAnsiTheme="minorHAnsi"/>
                <w:lang w:val="en-GB"/>
              </w:rPr>
              <w:t xml:space="preserve"> new approaches and standards in provision of services </w:t>
            </w:r>
            <w:r w:rsidRPr="00BC4F55">
              <w:rPr>
                <w:rFonts w:asciiTheme="minorHAnsi" w:hAnsiTheme="minorHAnsi"/>
                <w:lang w:val="en-GB"/>
              </w:rPr>
              <w:t>in</w:t>
            </w:r>
            <w:r w:rsidR="00EB4FA1" w:rsidRPr="00BC4F55">
              <w:rPr>
                <w:rFonts w:asciiTheme="minorHAnsi" w:hAnsiTheme="minorHAnsi"/>
                <w:lang w:val="en-GB"/>
              </w:rPr>
              <w:t xml:space="preserve"> state/public </w:t>
            </w:r>
            <w:r w:rsidRPr="00BC4F55">
              <w:rPr>
                <w:rFonts w:asciiTheme="minorHAnsi" w:hAnsiTheme="minorHAnsi"/>
                <w:lang w:val="en-GB"/>
              </w:rPr>
              <w:t>social welfare centres. Over this period</w:t>
            </w:r>
            <w:r w:rsidR="0024729A" w:rsidRPr="00BC4F55">
              <w:rPr>
                <w:rFonts w:asciiTheme="minorHAnsi" w:hAnsiTheme="minorHAnsi"/>
                <w:lang w:val="en-GB"/>
              </w:rPr>
              <w:t>, UNDP</w:t>
            </w:r>
            <w:r w:rsidR="00EB4FA1" w:rsidRPr="00BC4F55">
              <w:rPr>
                <w:rFonts w:asciiTheme="minorHAnsi" w:hAnsiTheme="minorHAnsi"/>
                <w:lang w:val="en-GB"/>
              </w:rPr>
              <w:t xml:space="preserve"> provided expert and administrative support </w:t>
            </w:r>
            <w:r w:rsidRPr="00BC4F55">
              <w:rPr>
                <w:rFonts w:asciiTheme="minorHAnsi" w:hAnsiTheme="minorHAnsi"/>
                <w:lang w:val="en-GB"/>
              </w:rPr>
              <w:t xml:space="preserve">to develop: </w:t>
            </w:r>
            <w:r w:rsidR="00EB4FA1" w:rsidRPr="00BC4F55">
              <w:rPr>
                <w:rFonts w:asciiTheme="minorHAnsi" w:hAnsiTheme="minorHAnsi"/>
                <w:lang w:val="en-GB"/>
              </w:rPr>
              <w:t>the normative framework (13 new rulebooks c</w:t>
            </w:r>
            <w:r w:rsidRPr="00BC4F55">
              <w:rPr>
                <w:rFonts w:asciiTheme="minorHAnsi" w:hAnsiTheme="minorHAnsi"/>
                <w:lang w:val="en-GB"/>
              </w:rPr>
              <w:t>reated);</w:t>
            </w:r>
            <w:r w:rsidR="00EB4FA1" w:rsidRPr="00BC4F55">
              <w:rPr>
                <w:rFonts w:asciiTheme="minorHAnsi" w:hAnsiTheme="minorHAnsi"/>
                <w:lang w:val="en-GB"/>
              </w:rPr>
              <w:t xml:space="preserve"> 21 local social inclusion plans (out of which 15</w:t>
            </w:r>
            <w:r w:rsidR="00514291" w:rsidRPr="00BC4F55">
              <w:rPr>
                <w:rFonts w:asciiTheme="minorHAnsi" w:hAnsiTheme="minorHAnsi"/>
                <w:lang w:val="en-GB"/>
              </w:rPr>
              <w:t xml:space="preserve"> were</w:t>
            </w:r>
            <w:r w:rsidR="00EB4FA1" w:rsidRPr="00BC4F55">
              <w:rPr>
                <w:rFonts w:asciiTheme="minorHAnsi" w:hAnsiTheme="minorHAnsi"/>
                <w:lang w:val="en-GB"/>
              </w:rPr>
              <w:t xml:space="preserve"> ado</w:t>
            </w:r>
            <w:r w:rsidRPr="00BC4F55">
              <w:rPr>
                <w:rFonts w:asciiTheme="minorHAnsi" w:hAnsiTheme="minorHAnsi"/>
                <w:lang w:val="en-GB"/>
              </w:rPr>
              <w:t>pted by the end of 2015); and to provide</w:t>
            </w:r>
            <w:r w:rsidR="00EB4FA1" w:rsidRPr="00BC4F55">
              <w:rPr>
                <w:rFonts w:asciiTheme="minorHAnsi" w:hAnsiTheme="minorHAnsi"/>
                <w:lang w:val="en-GB"/>
              </w:rPr>
              <w:t xml:space="preserve"> new, innovative community-based social services for </w:t>
            </w:r>
            <w:r w:rsidR="00514291" w:rsidRPr="00BC4F55">
              <w:rPr>
                <w:rFonts w:asciiTheme="minorHAnsi" w:hAnsiTheme="minorHAnsi"/>
                <w:lang w:val="en-GB"/>
              </w:rPr>
              <w:t xml:space="preserve">the </w:t>
            </w:r>
            <w:r w:rsidR="00D475FB" w:rsidRPr="00BC4F55">
              <w:rPr>
                <w:rFonts w:asciiTheme="minorHAnsi" w:hAnsiTheme="minorHAnsi"/>
                <w:lang w:val="en-GB"/>
              </w:rPr>
              <w:t>elderly and</w:t>
            </w:r>
            <w:r w:rsidR="00EB4FA1" w:rsidRPr="00BC4F55">
              <w:rPr>
                <w:rFonts w:asciiTheme="minorHAnsi" w:hAnsiTheme="minorHAnsi"/>
                <w:lang w:val="en-GB"/>
              </w:rPr>
              <w:t xml:space="preserve"> victims of </w:t>
            </w:r>
            <w:r w:rsidR="00514291" w:rsidRPr="00BC4F55">
              <w:rPr>
                <w:rFonts w:asciiTheme="minorHAnsi" w:hAnsiTheme="minorHAnsi"/>
                <w:lang w:val="en-GB"/>
              </w:rPr>
              <w:t xml:space="preserve">domestic </w:t>
            </w:r>
            <w:r w:rsidR="00EB4FA1" w:rsidRPr="00BC4F55">
              <w:rPr>
                <w:rFonts w:asciiTheme="minorHAnsi" w:hAnsiTheme="minorHAnsi"/>
                <w:lang w:val="en-GB"/>
              </w:rPr>
              <w:t>violence in 13 (out of 23) municipalities of the Norther</w:t>
            </w:r>
            <w:r w:rsidR="00514291" w:rsidRPr="00BC4F55">
              <w:rPr>
                <w:rFonts w:asciiTheme="minorHAnsi" w:hAnsiTheme="minorHAnsi"/>
                <w:lang w:val="en-GB"/>
              </w:rPr>
              <w:t>n</w:t>
            </w:r>
            <w:r w:rsidR="00EB4FA1" w:rsidRPr="00BC4F55">
              <w:rPr>
                <w:rFonts w:asciiTheme="minorHAnsi" w:hAnsiTheme="minorHAnsi"/>
                <w:lang w:val="en-GB"/>
              </w:rPr>
              <w:t xml:space="preserve"> region, the leas</w:t>
            </w:r>
            <w:r w:rsidR="001139D9" w:rsidRPr="00BC4F55">
              <w:rPr>
                <w:rFonts w:asciiTheme="minorHAnsi" w:hAnsiTheme="minorHAnsi"/>
                <w:lang w:val="en-GB"/>
              </w:rPr>
              <w:t xml:space="preserve">t developed part of the country. </w:t>
            </w:r>
            <w:r w:rsidRPr="00BC4F55">
              <w:rPr>
                <w:rFonts w:asciiTheme="minorHAnsi" w:hAnsiTheme="minorHAnsi"/>
                <w:lang w:val="en-GB"/>
              </w:rPr>
              <w:t xml:space="preserve">The </w:t>
            </w:r>
            <w:r w:rsidR="007639C2" w:rsidRPr="00BC4F55">
              <w:rPr>
                <w:rFonts w:asciiTheme="minorHAnsi" w:hAnsiTheme="minorHAnsi"/>
                <w:lang w:val="en-GB"/>
              </w:rPr>
              <w:t xml:space="preserve">development of social inclusion plans </w:t>
            </w:r>
            <w:r w:rsidRPr="00BC4F55">
              <w:rPr>
                <w:rFonts w:asciiTheme="minorHAnsi" w:hAnsiTheme="minorHAnsi"/>
                <w:lang w:val="en-GB"/>
              </w:rPr>
              <w:t>provided an important</w:t>
            </w:r>
            <w:r w:rsidR="007639C2" w:rsidRPr="00BC4F55">
              <w:rPr>
                <w:rFonts w:asciiTheme="minorHAnsi" w:hAnsiTheme="minorHAnsi"/>
                <w:lang w:val="en-GB"/>
              </w:rPr>
              <w:t xml:space="preserve"> bas</w:t>
            </w:r>
            <w:r w:rsidR="00514291" w:rsidRPr="00BC4F55">
              <w:rPr>
                <w:rFonts w:asciiTheme="minorHAnsi" w:hAnsiTheme="minorHAnsi"/>
                <w:lang w:val="en-GB"/>
              </w:rPr>
              <w:t xml:space="preserve">eline </w:t>
            </w:r>
            <w:r w:rsidRPr="00BC4F55">
              <w:rPr>
                <w:rFonts w:asciiTheme="minorHAnsi" w:hAnsiTheme="minorHAnsi"/>
                <w:lang w:val="en-GB"/>
              </w:rPr>
              <w:t>analysis of</w:t>
            </w:r>
            <w:r w:rsidR="00514291" w:rsidRPr="00BC4F55">
              <w:rPr>
                <w:rFonts w:asciiTheme="minorHAnsi" w:hAnsiTheme="minorHAnsi"/>
                <w:lang w:val="en-GB"/>
              </w:rPr>
              <w:t xml:space="preserve"> </w:t>
            </w:r>
            <w:r w:rsidR="007639C2" w:rsidRPr="00BC4F55">
              <w:rPr>
                <w:rFonts w:asciiTheme="minorHAnsi" w:hAnsiTheme="minorHAnsi"/>
                <w:lang w:val="en-GB"/>
              </w:rPr>
              <w:t>needs and services require</w:t>
            </w:r>
            <w:r w:rsidRPr="00BC4F55">
              <w:rPr>
                <w:rFonts w:asciiTheme="minorHAnsi" w:hAnsiTheme="minorHAnsi"/>
                <w:lang w:val="en-GB"/>
              </w:rPr>
              <w:t>d</w:t>
            </w:r>
            <w:r w:rsidR="003352EF">
              <w:rPr>
                <w:rFonts w:asciiTheme="minorHAnsi" w:hAnsiTheme="minorHAnsi"/>
                <w:lang w:val="en-GB"/>
              </w:rPr>
              <w:t>, while at the same time</w:t>
            </w:r>
            <w:r w:rsidRPr="00BC4F55">
              <w:rPr>
                <w:rFonts w:asciiTheme="minorHAnsi" w:hAnsiTheme="minorHAnsi"/>
                <w:lang w:val="en-GB"/>
              </w:rPr>
              <w:t xml:space="preserve"> t</w:t>
            </w:r>
            <w:r w:rsidR="00514291" w:rsidRPr="00BC4F55">
              <w:rPr>
                <w:rFonts w:asciiTheme="minorHAnsi" w:hAnsiTheme="minorHAnsi"/>
                <w:lang w:val="en-GB"/>
              </w:rPr>
              <w:t xml:space="preserve">he process of formulating the social inclusion </w:t>
            </w:r>
            <w:r w:rsidR="008676C7" w:rsidRPr="00BC4F55">
              <w:rPr>
                <w:rFonts w:asciiTheme="minorHAnsi" w:hAnsiTheme="minorHAnsi"/>
                <w:lang w:val="en-GB"/>
              </w:rPr>
              <w:t>plans</w:t>
            </w:r>
            <w:r w:rsidR="00514291" w:rsidRPr="00BC4F55">
              <w:rPr>
                <w:rFonts w:asciiTheme="minorHAnsi" w:hAnsiTheme="minorHAnsi"/>
                <w:lang w:val="en-GB"/>
              </w:rPr>
              <w:t xml:space="preserve"> </w:t>
            </w:r>
            <w:r w:rsidR="003352EF">
              <w:rPr>
                <w:rFonts w:asciiTheme="minorHAnsi" w:hAnsiTheme="minorHAnsi"/>
                <w:lang w:val="en-GB"/>
              </w:rPr>
              <w:t>generated</w:t>
            </w:r>
            <w:r w:rsidR="003352EF" w:rsidRPr="00BC4F55">
              <w:rPr>
                <w:rFonts w:asciiTheme="minorHAnsi" w:hAnsiTheme="minorHAnsi"/>
                <w:lang w:val="en-GB"/>
              </w:rPr>
              <w:t xml:space="preserve"> </w:t>
            </w:r>
            <w:r w:rsidR="00514291" w:rsidRPr="00BC4F55">
              <w:rPr>
                <w:rFonts w:asciiTheme="minorHAnsi" w:hAnsiTheme="minorHAnsi"/>
                <w:lang w:val="en-GB"/>
              </w:rPr>
              <w:t>increased</w:t>
            </w:r>
            <w:r w:rsidRPr="00BC4F55">
              <w:rPr>
                <w:rFonts w:asciiTheme="minorHAnsi" w:hAnsiTheme="minorHAnsi"/>
                <w:lang w:val="en-GB"/>
              </w:rPr>
              <w:t xml:space="preserve"> interest and improved capacity </w:t>
            </w:r>
            <w:r w:rsidR="000426EF" w:rsidRPr="00BC4F55">
              <w:rPr>
                <w:rFonts w:asciiTheme="minorHAnsi" w:hAnsiTheme="minorHAnsi"/>
                <w:lang w:val="en-GB"/>
              </w:rPr>
              <w:t>among municipalities</w:t>
            </w:r>
            <w:r w:rsidR="00514291" w:rsidRPr="00BC4F55">
              <w:rPr>
                <w:rFonts w:asciiTheme="minorHAnsi" w:hAnsiTheme="minorHAnsi"/>
                <w:lang w:val="en-GB"/>
              </w:rPr>
              <w:t xml:space="preserve"> and their</w:t>
            </w:r>
            <w:r w:rsidR="008676C7" w:rsidRPr="00BC4F55">
              <w:rPr>
                <w:rFonts w:asciiTheme="minorHAnsi" w:hAnsiTheme="minorHAnsi"/>
                <w:lang w:val="en-GB"/>
              </w:rPr>
              <w:t xml:space="preserve"> departments for social affairs</w:t>
            </w:r>
            <w:r w:rsidR="00514291" w:rsidRPr="00BC4F55">
              <w:rPr>
                <w:rFonts w:asciiTheme="minorHAnsi" w:hAnsiTheme="minorHAnsi"/>
                <w:lang w:val="en-GB"/>
              </w:rPr>
              <w:t xml:space="preserve"> </w:t>
            </w:r>
            <w:r w:rsidR="008676C7" w:rsidRPr="00BC4F55">
              <w:rPr>
                <w:rFonts w:asciiTheme="minorHAnsi" w:hAnsiTheme="minorHAnsi"/>
                <w:lang w:val="en-GB"/>
              </w:rPr>
              <w:t xml:space="preserve">in planning and provision of </w:t>
            </w:r>
            <w:r w:rsidRPr="00BC4F55">
              <w:rPr>
                <w:rFonts w:asciiTheme="minorHAnsi" w:hAnsiTheme="minorHAnsi"/>
                <w:lang w:val="en-GB"/>
              </w:rPr>
              <w:t xml:space="preserve">targeted </w:t>
            </w:r>
            <w:r w:rsidR="008676C7" w:rsidRPr="00BC4F55">
              <w:rPr>
                <w:rFonts w:asciiTheme="minorHAnsi" w:hAnsiTheme="minorHAnsi"/>
                <w:lang w:val="en-GB"/>
              </w:rPr>
              <w:t xml:space="preserve">social services. </w:t>
            </w:r>
          </w:p>
          <w:p w14:paraId="1D1B6455" w14:textId="3A22C2B8" w:rsidR="00EB4FA1" w:rsidRPr="00BC4F55" w:rsidRDefault="00506ECF" w:rsidP="00C72C5F">
            <w:pPr>
              <w:pStyle w:val="BodyText2"/>
              <w:jc w:val="both"/>
              <w:rPr>
                <w:rFonts w:asciiTheme="minorHAnsi" w:hAnsiTheme="minorHAnsi"/>
                <w:lang w:val="en-GB"/>
              </w:rPr>
            </w:pPr>
            <w:r w:rsidRPr="00BC4F55">
              <w:rPr>
                <w:rFonts w:asciiTheme="minorHAnsi" w:hAnsiTheme="minorHAnsi"/>
                <w:lang w:val="en-GB"/>
              </w:rPr>
              <w:t>Through implemen</w:t>
            </w:r>
            <w:r w:rsidR="00EE349E">
              <w:t xml:space="preserve"> </w:t>
            </w:r>
            <w:r w:rsidR="00EE349E" w:rsidRPr="00EE349E">
              <w:rPr>
                <w:rFonts w:asciiTheme="minorHAnsi" w:hAnsiTheme="minorHAnsi"/>
                <w:lang w:val="en-GB"/>
              </w:rPr>
              <w:t xml:space="preserve">Reimbursing travel costs </w:t>
            </w:r>
            <w:r w:rsidRPr="00BC4F55">
              <w:rPr>
                <w:rFonts w:asciiTheme="minorHAnsi" w:hAnsiTheme="minorHAnsi"/>
                <w:lang w:val="en-GB"/>
              </w:rPr>
              <w:t xml:space="preserve">tation of </w:t>
            </w:r>
            <w:r w:rsidR="003352EF">
              <w:rPr>
                <w:rFonts w:asciiTheme="minorHAnsi" w:hAnsiTheme="minorHAnsi"/>
                <w:lang w:val="en-GB"/>
              </w:rPr>
              <w:t>the</w:t>
            </w:r>
            <w:r w:rsidR="003352EF" w:rsidRPr="00BC4F55">
              <w:rPr>
                <w:rFonts w:asciiTheme="minorHAnsi" w:hAnsiTheme="minorHAnsi"/>
                <w:lang w:val="en-GB"/>
              </w:rPr>
              <w:t xml:space="preserve"> </w:t>
            </w:r>
            <w:r w:rsidRPr="00BC4F55">
              <w:rPr>
                <w:rFonts w:asciiTheme="minorHAnsi" w:hAnsiTheme="minorHAnsi"/>
                <w:lang w:val="en-GB"/>
              </w:rPr>
              <w:t>new</w:t>
            </w:r>
            <w:r w:rsidR="00EB4FA1" w:rsidRPr="00BC4F55">
              <w:rPr>
                <w:rFonts w:asciiTheme="minorHAnsi" w:hAnsiTheme="minorHAnsi"/>
                <w:lang w:val="en-GB"/>
              </w:rPr>
              <w:t xml:space="preserve"> </w:t>
            </w:r>
            <w:r w:rsidR="00EB4FA1" w:rsidRPr="00BC4F55">
              <w:rPr>
                <w:rFonts w:asciiTheme="minorHAnsi" w:hAnsiTheme="minorHAnsi"/>
                <w:b/>
                <w:lang w:val="en-GB"/>
              </w:rPr>
              <w:t>Social Wel</w:t>
            </w:r>
            <w:r w:rsidRPr="00BC4F55">
              <w:rPr>
                <w:rFonts w:asciiTheme="minorHAnsi" w:hAnsiTheme="minorHAnsi"/>
                <w:b/>
                <w:lang w:val="en-GB"/>
              </w:rPr>
              <w:t>fare Information System (SWIS)</w:t>
            </w:r>
            <w:r w:rsidRPr="00BC4F55">
              <w:rPr>
                <w:rFonts w:asciiTheme="minorHAnsi" w:hAnsiTheme="minorHAnsi"/>
                <w:lang w:val="en-GB"/>
              </w:rPr>
              <w:t xml:space="preserve"> significant reforms to the overall system were realised. The SWIS</w:t>
            </w:r>
            <w:r w:rsidR="00EB4FA1" w:rsidRPr="00BC4F55">
              <w:rPr>
                <w:rFonts w:asciiTheme="minorHAnsi" w:hAnsiTheme="minorHAnsi"/>
                <w:lang w:val="en-GB"/>
              </w:rPr>
              <w:t xml:space="preserve"> facilitates social transfers of some 70 million </w:t>
            </w:r>
            <w:r w:rsidR="008676C7" w:rsidRPr="00BC4F55">
              <w:rPr>
                <w:rFonts w:asciiTheme="minorHAnsi" w:hAnsiTheme="minorHAnsi"/>
                <w:lang w:val="en-GB"/>
              </w:rPr>
              <w:t xml:space="preserve">euros </w:t>
            </w:r>
            <w:r w:rsidR="00EB4FA1" w:rsidRPr="00BC4F55">
              <w:rPr>
                <w:rFonts w:asciiTheme="minorHAnsi" w:hAnsiTheme="minorHAnsi"/>
                <w:lang w:val="en-GB"/>
              </w:rPr>
              <w:t xml:space="preserve">annually to approximately 40,000 beneficiaries nationwide. The </w:t>
            </w:r>
            <w:r w:rsidR="00806EC8" w:rsidRPr="00BC4F55">
              <w:rPr>
                <w:rFonts w:asciiTheme="minorHAnsi" w:hAnsiTheme="minorHAnsi"/>
                <w:lang w:val="en-GB"/>
              </w:rPr>
              <w:t>new SWIS provided an entry point for upgrading</w:t>
            </w:r>
            <w:r w:rsidR="00EB4FA1" w:rsidRPr="00BC4F55">
              <w:rPr>
                <w:rFonts w:asciiTheme="minorHAnsi" w:hAnsiTheme="minorHAnsi"/>
                <w:lang w:val="en-GB"/>
              </w:rPr>
              <w:t xml:space="preserve"> the institutional, organizational, technical and human capacities </w:t>
            </w:r>
            <w:r w:rsidR="00806EC8" w:rsidRPr="00BC4F55">
              <w:rPr>
                <w:rFonts w:asciiTheme="minorHAnsi" w:hAnsiTheme="minorHAnsi"/>
                <w:lang w:val="en-GB"/>
              </w:rPr>
              <w:t xml:space="preserve">within </w:t>
            </w:r>
            <w:r w:rsidR="00EB4FA1" w:rsidRPr="00BC4F55">
              <w:rPr>
                <w:rFonts w:asciiTheme="minorHAnsi" w:hAnsiTheme="minorHAnsi"/>
                <w:lang w:val="en-GB"/>
              </w:rPr>
              <w:t>key social welfare institutions</w:t>
            </w:r>
            <w:r w:rsidR="00806EC8" w:rsidRPr="00BC4F55">
              <w:rPr>
                <w:rFonts w:asciiTheme="minorHAnsi" w:hAnsiTheme="minorHAnsi"/>
                <w:lang w:val="en-GB"/>
              </w:rPr>
              <w:t xml:space="preserve"> through reducing</w:t>
            </w:r>
            <w:r w:rsidR="00EB4FA1" w:rsidRPr="00BC4F55">
              <w:rPr>
                <w:rFonts w:asciiTheme="minorHAnsi" w:hAnsiTheme="minorHAnsi"/>
                <w:lang w:val="en-GB"/>
              </w:rPr>
              <w:t xml:space="preserve"> the </w:t>
            </w:r>
            <w:r w:rsidR="008676C7" w:rsidRPr="00BC4F55">
              <w:rPr>
                <w:rFonts w:asciiTheme="minorHAnsi" w:hAnsiTheme="minorHAnsi"/>
                <w:lang w:val="en-GB"/>
              </w:rPr>
              <w:t xml:space="preserve">Government’s </w:t>
            </w:r>
            <w:r w:rsidR="00EB4FA1" w:rsidRPr="00BC4F55">
              <w:rPr>
                <w:rFonts w:asciiTheme="minorHAnsi" w:hAnsiTheme="minorHAnsi"/>
                <w:lang w:val="en-GB"/>
              </w:rPr>
              <w:t>administrative costs</w:t>
            </w:r>
            <w:r w:rsidR="003352EF">
              <w:rPr>
                <w:rFonts w:asciiTheme="minorHAnsi" w:hAnsiTheme="minorHAnsi"/>
                <w:lang w:val="en-GB"/>
              </w:rPr>
              <w:t>,</w:t>
            </w:r>
            <w:r w:rsidR="00EB4FA1" w:rsidRPr="00BC4F55">
              <w:rPr>
                <w:rFonts w:asciiTheme="minorHAnsi" w:hAnsiTheme="minorHAnsi"/>
                <w:lang w:val="en-GB"/>
              </w:rPr>
              <w:t xml:space="preserve"> as well as compliance costs (fees for issuing document</w:t>
            </w:r>
            <w:r w:rsidR="003352EF">
              <w:rPr>
                <w:rFonts w:asciiTheme="minorHAnsi" w:hAnsiTheme="minorHAnsi"/>
                <w:lang w:val="en-GB"/>
              </w:rPr>
              <w:t>s</w:t>
            </w:r>
            <w:r w:rsidR="00EB4FA1" w:rsidRPr="00BC4F55">
              <w:rPr>
                <w:rFonts w:asciiTheme="minorHAnsi" w:hAnsiTheme="minorHAnsi"/>
                <w:lang w:val="en-GB"/>
              </w:rPr>
              <w:t xml:space="preserve"> and travel) for applicants by effectively </w:t>
            </w:r>
            <w:r w:rsidR="008676C7" w:rsidRPr="00BC4F55">
              <w:rPr>
                <w:rFonts w:asciiTheme="minorHAnsi" w:hAnsiTheme="minorHAnsi"/>
                <w:lang w:val="en-GB"/>
              </w:rPr>
              <w:t>turning s</w:t>
            </w:r>
            <w:r w:rsidR="00EB4FA1" w:rsidRPr="00BC4F55">
              <w:rPr>
                <w:rFonts w:asciiTheme="minorHAnsi" w:hAnsiTheme="minorHAnsi"/>
                <w:lang w:val="en-GB"/>
              </w:rPr>
              <w:t xml:space="preserve">ocial </w:t>
            </w:r>
            <w:r w:rsidR="008676C7" w:rsidRPr="00BC4F55">
              <w:rPr>
                <w:rFonts w:asciiTheme="minorHAnsi" w:hAnsiTheme="minorHAnsi"/>
                <w:lang w:val="en-GB"/>
              </w:rPr>
              <w:t>w</w:t>
            </w:r>
            <w:r w:rsidR="00EB4FA1" w:rsidRPr="00BC4F55">
              <w:rPr>
                <w:rFonts w:asciiTheme="minorHAnsi" w:hAnsiTheme="minorHAnsi"/>
                <w:lang w:val="en-GB"/>
              </w:rPr>
              <w:t xml:space="preserve">elfare </w:t>
            </w:r>
            <w:r w:rsidR="008676C7" w:rsidRPr="00BC4F55">
              <w:rPr>
                <w:rFonts w:asciiTheme="minorHAnsi" w:hAnsiTheme="minorHAnsi"/>
                <w:lang w:val="en-GB"/>
              </w:rPr>
              <w:t xml:space="preserve">centres into </w:t>
            </w:r>
            <w:r w:rsidR="00EB4FA1" w:rsidRPr="00BC4F55">
              <w:rPr>
                <w:rFonts w:asciiTheme="minorHAnsi" w:hAnsiTheme="minorHAnsi"/>
                <w:lang w:val="en-GB"/>
              </w:rPr>
              <w:t>“one-stop-shops”</w:t>
            </w:r>
            <w:r w:rsidR="008676C7" w:rsidRPr="00BC4F55">
              <w:rPr>
                <w:rFonts w:asciiTheme="minorHAnsi" w:hAnsiTheme="minorHAnsi"/>
                <w:lang w:val="en-GB"/>
              </w:rPr>
              <w:t>,</w:t>
            </w:r>
            <w:r w:rsidR="00EB4FA1" w:rsidRPr="00BC4F55">
              <w:rPr>
                <w:rFonts w:asciiTheme="minorHAnsi" w:hAnsiTheme="minorHAnsi"/>
                <w:lang w:val="en-GB"/>
              </w:rPr>
              <w:t xml:space="preserve"> where means-tested determination of eligibility c</w:t>
            </w:r>
            <w:r w:rsidR="008676C7" w:rsidRPr="00BC4F55">
              <w:rPr>
                <w:rFonts w:asciiTheme="minorHAnsi" w:hAnsiTheme="minorHAnsi"/>
                <w:lang w:val="en-GB"/>
              </w:rPr>
              <w:t>an</w:t>
            </w:r>
            <w:r w:rsidR="00EB4FA1" w:rsidRPr="00BC4F55">
              <w:rPr>
                <w:rFonts w:asciiTheme="minorHAnsi" w:hAnsiTheme="minorHAnsi"/>
                <w:lang w:val="en-GB"/>
              </w:rPr>
              <w:t xml:space="preserve"> be made </w:t>
            </w:r>
            <w:r w:rsidR="008676C7" w:rsidRPr="00BC4F55">
              <w:rPr>
                <w:rFonts w:asciiTheme="minorHAnsi" w:hAnsiTheme="minorHAnsi"/>
                <w:lang w:val="en-GB"/>
              </w:rPr>
              <w:t xml:space="preserve">on </w:t>
            </w:r>
            <w:r w:rsidR="00EB4FA1" w:rsidRPr="00BC4F55">
              <w:rPr>
                <w:rFonts w:asciiTheme="minorHAnsi" w:hAnsiTheme="minorHAnsi"/>
                <w:lang w:val="en-GB"/>
              </w:rPr>
              <w:t>the</w:t>
            </w:r>
            <w:r w:rsidR="008676C7" w:rsidRPr="00BC4F55">
              <w:rPr>
                <w:rFonts w:asciiTheme="minorHAnsi" w:hAnsiTheme="minorHAnsi"/>
                <w:lang w:val="en-GB"/>
              </w:rPr>
              <w:t xml:space="preserve"> very</w:t>
            </w:r>
            <w:r w:rsidR="00EB4FA1" w:rsidRPr="00BC4F55">
              <w:rPr>
                <w:rFonts w:asciiTheme="minorHAnsi" w:hAnsiTheme="minorHAnsi"/>
                <w:lang w:val="en-GB"/>
              </w:rPr>
              <w:t xml:space="preserve"> same day </w:t>
            </w:r>
            <w:r w:rsidR="008676C7" w:rsidRPr="00BC4F55">
              <w:rPr>
                <w:rFonts w:asciiTheme="minorHAnsi" w:hAnsiTheme="minorHAnsi"/>
                <w:lang w:val="en-GB"/>
              </w:rPr>
              <w:t xml:space="preserve">when </w:t>
            </w:r>
            <w:r w:rsidR="00EB4FA1" w:rsidRPr="00BC4F55">
              <w:rPr>
                <w:rFonts w:asciiTheme="minorHAnsi" w:hAnsiTheme="minorHAnsi"/>
                <w:lang w:val="en-GB"/>
              </w:rPr>
              <w:t>the application</w:t>
            </w:r>
            <w:r w:rsidR="008676C7" w:rsidRPr="00BC4F55">
              <w:rPr>
                <w:rFonts w:asciiTheme="minorHAnsi" w:hAnsiTheme="minorHAnsi"/>
                <w:lang w:val="en-GB"/>
              </w:rPr>
              <w:t xml:space="preserve"> is submitted</w:t>
            </w:r>
            <w:r w:rsidR="00EB4FA1" w:rsidRPr="00BC4F55">
              <w:rPr>
                <w:rFonts w:asciiTheme="minorHAnsi" w:hAnsiTheme="minorHAnsi"/>
                <w:lang w:val="en-GB"/>
              </w:rPr>
              <w:t xml:space="preserve">. </w:t>
            </w:r>
            <w:r w:rsidR="008676C7" w:rsidRPr="00BC4F55">
              <w:rPr>
                <w:rFonts w:asciiTheme="minorHAnsi" w:hAnsiTheme="minorHAnsi"/>
                <w:lang w:val="en-GB"/>
              </w:rPr>
              <w:t>Before the SWIS was introduced</w:t>
            </w:r>
            <w:r w:rsidR="00EB4FA1" w:rsidRPr="00BC4F55">
              <w:rPr>
                <w:rFonts w:asciiTheme="minorHAnsi" w:hAnsiTheme="minorHAnsi"/>
                <w:lang w:val="en-GB"/>
              </w:rPr>
              <w:t>, the processing of applications for social transfers took 3 months</w:t>
            </w:r>
            <w:r w:rsidR="008676C7" w:rsidRPr="00BC4F55">
              <w:rPr>
                <w:rFonts w:asciiTheme="minorHAnsi" w:hAnsiTheme="minorHAnsi"/>
                <w:lang w:val="en-GB"/>
              </w:rPr>
              <w:t xml:space="preserve"> on average</w:t>
            </w:r>
            <w:r w:rsidR="00EB4FA1" w:rsidRPr="00BC4F55">
              <w:rPr>
                <w:rFonts w:asciiTheme="minorHAnsi" w:hAnsiTheme="minorHAnsi"/>
                <w:lang w:val="en-GB"/>
              </w:rPr>
              <w:t xml:space="preserve">. The most important </w:t>
            </w:r>
            <w:r w:rsidR="00806EC8" w:rsidRPr="00BC4F55">
              <w:rPr>
                <w:rFonts w:asciiTheme="minorHAnsi" w:hAnsiTheme="minorHAnsi"/>
                <w:lang w:val="en-GB"/>
              </w:rPr>
              <w:t>results included</w:t>
            </w:r>
            <w:r w:rsidR="005A03B3">
              <w:rPr>
                <w:rFonts w:asciiTheme="minorHAnsi" w:hAnsiTheme="minorHAnsi"/>
                <w:lang w:val="en-GB"/>
              </w:rPr>
              <w:t>:</w:t>
            </w:r>
            <w:r w:rsidR="00806EC8" w:rsidRPr="00BC4F55">
              <w:rPr>
                <w:rFonts w:asciiTheme="minorHAnsi" w:hAnsiTheme="minorHAnsi"/>
                <w:lang w:val="en-GB"/>
              </w:rPr>
              <w:t xml:space="preserve"> (i) </w:t>
            </w:r>
            <w:r w:rsidR="00EB4FA1" w:rsidRPr="00BC4F55">
              <w:rPr>
                <w:rFonts w:asciiTheme="minorHAnsi" w:hAnsiTheme="minorHAnsi"/>
                <w:lang w:val="en-GB"/>
              </w:rPr>
              <w:t xml:space="preserve">improved targeting </w:t>
            </w:r>
            <w:r w:rsidR="00D10D8D" w:rsidRPr="00BC4F55">
              <w:rPr>
                <w:rFonts w:asciiTheme="minorHAnsi" w:hAnsiTheme="minorHAnsi"/>
                <w:lang w:val="en-GB"/>
              </w:rPr>
              <w:t xml:space="preserve">and cost reduction </w:t>
            </w:r>
            <w:r w:rsidR="00EB4FA1" w:rsidRPr="00BC4F55">
              <w:rPr>
                <w:rFonts w:asciiTheme="minorHAnsi" w:hAnsiTheme="minorHAnsi"/>
                <w:lang w:val="en-GB"/>
              </w:rPr>
              <w:t xml:space="preserve">of </w:t>
            </w:r>
            <w:r w:rsidR="00D10D8D" w:rsidRPr="00BC4F55">
              <w:rPr>
                <w:rFonts w:asciiTheme="minorHAnsi" w:hAnsiTheme="minorHAnsi"/>
                <w:lang w:val="en-GB"/>
              </w:rPr>
              <w:t xml:space="preserve">social benefits </w:t>
            </w:r>
            <w:r w:rsidR="00EB4FA1" w:rsidRPr="00BC4F55">
              <w:rPr>
                <w:rFonts w:asciiTheme="minorHAnsi" w:hAnsiTheme="minorHAnsi"/>
                <w:lang w:val="en-GB"/>
              </w:rPr>
              <w:t>(fairness and efficiency)</w:t>
            </w:r>
            <w:r w:rsidR="00D10D8D" w:rsidRPr="00BC4F55">
              <w:rPr>
                <w:rFonts w:asciiTheme="minorHAnsi" w:hAnsiTheme="minorHAnsi"/>
                <w:lang w:val="en-GB"/>
              </w:rPr>
              <w:t>;</w:t>
            </w:r>
            <w:r w:rsidR="00EB4FA1" w:rsidRPr="00BC4F55">
              <w:rPr>
                <w:rFonts w:asciiTheme="minorHAnsi" w:hAnsiTheme="minorHAnsi"/>
                <w:lang w:val="en-GB"/>
              </w:rPr>
              <w:t xml:space="preserve"> (ii) reduction in the costs of managing the system</w:t>
            </w:r>
            <w:r w:rsidR="00D10D8D" w:rsidRPr="00BC4F55">
              <w:rPr>
                <w:rFonts w:asciiTheme="minorHAnsi" w:hAnsiTheme="minorHAnsi"/>
                <w:lang w:val="en-GB"/>
              </w:rPr>
              <w:t>;</w:t>
            </w:r>
            <w:r w:rsidR="00EB4FA1" w:rsidRPr="00BC4F55">
              <w:rPr>
                <w:rFonts w:asciiTheme="minorHAnsi" w:hAnsiTheme="minorHAnsi"/>
                <w:lang w:val="en-GB"/>
              </w:rPr>
              <w:t xml:space="preserve"> (iii) improved security and accessibility of the data</w:t>
            </w:r>
            <w:r w:rsidR="00D10D8D" w:rsidRPr="00BC4F55">
              <w:rPr>
                <w:rFonts w:asciiTheme="minorHAnsi" w:hAnsiTheme="minorHAnsi"/>
                <w:lang w:val="en-GB"/>
              </w:rPr>
              <w:t>;</w:t>
            </w:r>
            <w:r w:rsidR="00EB4FA1" w:rsidRPr="00BC4F55">
              <w:rPr>
                <w:rFonts w:asciiTheme="minorHAnsi" w:hAnsiTheme="minorHAnsi"/>
                <w:lang w:val="en-GB"/>
              </w:rPr>
              <w:t xml:space="preserve"> (iv) ensuring</w:t>
            </w:r>
            <w:r w:rsidR="00D10D8D" w:rsidRPr="00BC4F55">
              <w:rPr>
                <w:rFonts w:asciiTheme="minorHAnsi" w:hAnsiTheme="minorHAnsi"/>
                <w:lang w:val="en-GB"/>
              </w:rPr>
              <w:t xml:space="preserve"> collection of</w:t>
            </w:r>
            <w:r w:rsidR="00EB4FA1" w:rsidRPr="00BC4F55">
              <w:rPr>
                <w:rFonts w:asciiTheme="minorHAnsi" w:hAnsiTheme="minorHAnsi"/>
                <w:lang w:val="en-GB"/>
              </w:rPr>
              <w:t xml:space="preserve"> </w:t>
            </w:r>
            <w:r w:rsidR="00D10D8D" w:rsidRPr="00BC4F55">
              <w:rPr>
                <w:rFonts w:asciiTheme="minorHAnsi" w:hAnsiTheme="minorHAnsi"/>
                <w:lang w:val="en-GB"/>
              </w:rPr>
              <w:t xml:space="preserve">relevant </w:t>
            </w:r>
            <w:r w:rsidR="00EB4FA1" w:rsidRPr="00BC4F55">
              <w:rPr>
                <w:rFonts w:asciiTheme="minorHAnsi" w:hAnsiTheme="minorHAnsi"/>
                <w:lang w:val="en-GB"/>
              </w:rPr>
              <w:t>data for managing the system and developing social welfare policies</w:t>
            </w:r>
            <w:r w:rsidR="00D10D8D" w:rsidRPr="00BC4F55">
              <w:rPr>
                <w:rFonts w:asciiTheme="minorHAnsi" w:hAnsiTheme="minorHAnsi"/>
                <w:lang w:val="en-GB"/>
              </w:rPr>
              <w:t>;</w:t>
            </w:r>
            <w:r w:rsidR="00EB4FA1" w:rsidRPr="00BC4F55">
              <w:rPr>
                <w:rFonts w:asciiTheme="minorHAnsi" w:hAnsiTheme="minorHAnsi"/>
                <w:lang w:val="en-GB"/>
              </w:rPr>
              <w:t xml:space="preserve"> (v) improving the overall </w:t>
            </w:r>
            <w:r w:rsidR="00D10D8D" w:rsidRPr="00BC4F55">
              <w:rPr>
                <w:rFonts w:asciiTheme="minorHAnsi" w:hAnsiTheme="minorHAnsi"/>
                <w:lang w:val="en-GB"/>
              </w:rPr>
              <w:t xml:space="preserve">provision of </w:t>
            </w:r>
            <w:r w:rsidR="00EB4FA1" w:rsidRPr="00BC4F55">
              <w:rPr>
                <w:rFonts w:asciiTheme="minorHAnsi" w:hAnsiTheme="minorHAnsi"/>
                <w:lang w:val="en-GB"/>
              </w:rPr>
              <w:t>services to</w:t>
            </w:r>
            <w:r w:rsidR="00D10D8D" w:rsidRPr="00BC4F55">
              <w:rPr>
                <w:rFonts w:asciiTheme="minorHAnsi" w:hAnsiTheme="minorHAnsi"/>
                <w:lang w:val="en-GB"/>
              </w:rPr>
              <w:t xml:space="preserve"> the</w:t>
            </w:r>
            <w:r w:rsidR="00EB4FA1" w:rsidRPr="00BC4F55">
              <w:rPr>
                <w:rFonts w:asciiTheme="minorHAnsi" w:hAnsiTheme="minorHAnsi"/>
                <w:lang w:val="en-GB"/>
              </w:rPr>
              <w:t xml:space="preserve"> citizens, particularly vulnerable categories</w:t>
            </w:r>
            <w:r w:rsidR="00D10D8D" w:rsidRPr="00BC4F55">
              <w:rPr>
                <w:rFonts w:asciiTheme="minorHAnsi" w:hAnsiTheme="minorHAnsi"/>
                <w:lang w:val="en-GB"/>
              </w:rPr>
              <w:t>;</w:t>
            </w:r>
            <w:r w:rsidR="00EB4FA1" w:rsidRPr="00BC4F55">
              <w:rPr>
                <w:rFonts w:asciiTheme="minorHAnsi" w:hAnsiTheme="minorHAnsi"/>
                <w:lang w:val="en-GB"/>
              </w:rPr>
              <w:t xml:space="preserve"> (vi) ensuring better planning of resources in this sector</w:t>
            </w:r>
            <w:r w:rsidR="00FA08FC" w:rsidRPr="00BC4F55">
              <w:rPr>
                <w:rFonts w:asciiTheme="minorHAnsi" w:hAnsiTheme="minorHAnsi"/>
                <w:lang w:val="en-GB"/>
              </w:rPr>
              <w:t>, especially</w:t>
            </w:r>
            <w:r w:rsidR="00EB4FA1" w:rsidRPr="00BC4F55">
              <w:rPr>
                <w:rFonts w:asciiTheme="minorHAnsi" w:hAnsiTheme="minorHAnsi"/>
                <w:lang w:val="en-GB"/>
              </w:rPr>
              <w:t xml:space="preserve"> for </w:t>
            </w:r>
            <w:r w:rsidR="00FA08FC" w:rsidRPr="00BC4F55">
              <w:rPr>
                <w:rFonts w:asciiTheme="minorHAnsi" w:hAnsiTheme="minorHAnsi"/>
                <w:lang w:val="en-GB"/>
              </w:rPr>
              <w:t xml:space="preserve">specific </w:t>
            </w:r>
            <w:r w:rsidR="00EB4FA1" w:rsidRPr="00BC4F55">
              <w:rPr>
                <w:rFonts w:asciiTheme="minorHAnsi" w:hAnsiTheme="minorHAnsi"/>
                <w:lang w:val="en-GB"/>
              </w:rPr>
              <w:t>group</w:t>
            </w:r>
            <w:r w:rsidR="00FA08FC" w:rsidRPr="00BC4F55">
              <w:rPr>
                <w:rFonts w:asciiTheme="minorHAnsi" w:hAnsiTheme="minorHAnsi"/>
                <w:lang w:val="en-GB"/>
              </w:rPr>
              <w:t>s</w:t>
            </w:r>
            <w:r w:rsidR="00EB4FA1" w:rsidRPr="00BC4F55">
              <w:rPr>
                <w:rFonts w:asciiTheme="minorHAnsi" w:hAnsiTheme="minorHAnsi"/>
                <w:lang w:val="en-GB"/>
              </w:rPr>
              <w:t xml:space="preserve"> of users</w:t>
            </w:r>
            <w:r w:rsidR="00FA08FC" w:rsidRPr="00BC4F55">
              <w:rPr>
                <w:rFonts w:asciiTheme="minorHAnsi" w:hAnsiTheme="minorHAnsi"/>
                <w:lang w:val="en-GB"/>
              </w:rPr>
              <w:t>;</w:t>
            </w:r>
            <w:r w:rsidR="00EB4FA1" w:rsidRPr="00BC4F55">
              <w:rPr>
                <w:rFonts w:asciiTheme="minorHAnsi" w:hAnsiTheme="minorHAnsi"/>
                <w:lang w:val="en-GB"/>
              </w:rPr>
              <w:t xml:space="preserve"> (vii) increased credibility of the social </w:t>
            </w:r>
            <w:r w:rsidR="00D475FB" w:rsidRPr="00BC4F55">
              <w:rPr>
                <w:rFonts w:asciiTheme="minorHAnsi" w:hAnsiTheme="minorHAnsi"/>
                <w:lang w:val="en-GB"/>
              </w:rPr>
              <w:t>welfare</w:t>
            </w:r>
            <w:r w:rsidR="00EB4FA1" w:rsidRPr="00BC4F55">
              <w:rPr>
                <w:rFonts w:asciiTheme="minorHAnsi" w:hAnsiTheme="minorHAnsi"/>
                <w:lang w:val="en-GB"/>
              </w:rPr>
              <w:t xml:space="preserve"> system,</w:t>
            </w:r>
            <w:r w:rsidR="00FA08FC" w:rsidRPr="00BC4F55">
              <w:rPr>
                <w:rFonts w:asciiTheme="minorHAnsi" w:hAnsiTheme="minorHAnsi"/>
                <w:lang w:val="en-GB"/>
              </w:rPr>
              <w:t xml:space="preserve"> and</w:t>
            </w:r>
            <w:r w:rsidR="00EB4FA1" w:rsidRPr="00BC4F55">
              <w:rPr>
                <w:rFonts w:asciiTheme="minorHAnsi" w:hAnsiTheme="minorHAnsi"/>
                <w:lang w:val="en-GB"/>
              </w:rPr>
              <w:t xml:space="preserve"> (viii) providing </w:t>
            </w:r>
            <w:r w:rsidR="00FA08FC" w:rsidRPr="00BC4F55">
              <w:rPr>
                <w:rFonts w:asciiTheme="minorHAnsi" w:hAnsiTheme="minorHAnsi"/>
                <w:lang w:val="en-GB"/>
              </w:rPr>
              <w:t xml:space="preserve">valuable </w:t>
            </w:r>
            <w:r w:rsidR="00EB4FA1" w:rsidRPr="00BC4F55">
              <w:rPr>
                <w:rFonts w:asciiTheme="minorHAnsi" w:hAnsiTheme="minorHAnsi"/>
                <w:lang w:val="en-GB"/>
              </w:rPr>
              <w:t>information for development policies.</w:t>
            </w:r>
            <w:r w:rsidR="00806EC8" w:rsidRPr="00BC4F55">
              <w:rPr>
                <w:rFonts w:asciiTheme="minorHAnsi" w:hAnsiTheme="minorHAnsi"/>
                <w:lang w:val="en-GB"/>
              </w:rPr>
              <w:t xml:space="preserve"> </w:t>
            </w:r>
            <w:r w:rsidR="00EB4FA1" w:rsidRPr="00BC4F55">
              <w:rPr>
                <w:rFonts w:asciiTheme="minorHAnsi" w:hAnsiTheme="minorHAnsi"/>
                <w:lang w:val="en-GB"/>
              </w:rPr>
              <w:t>The system was put into full operation as of January 2015, after being tested since July 2014. The initial operation included processing of almost 50</w:t>
            </w:r>
            <w:r w:rsidR="00FA08FC" w:rsidRPr="00BC4F55">
              <w:rPr>
                <w:rFonts w:asciiTheme="minorHAnsi" w:hAnsiTheme="minorHAnsi"/>
                <w:lang w:val="en-GB"/>
              </w:rPr>
              <w:t>,</w:t>
            </w:r>
            <w:r w:rsidR="00EB4FA1" w:rsidRPr="00BC4F55">
              <w:rPr>
                <w:rFonts w:asciiTheme="minorHAnsi" w:hAnsiTheme="minorHAnsi"/>
                <w:lang w:val="en-GB"/>
              </w:rPr>
              <w:t xml:space="preserve">000 social benefits/transfers cases and veterans’ transfers through the </w:t>
            </w:r>
            <w:r w:rsidR="00FA08FC" w:rsidRPr="00BC4F55">
              <w:rPr>
                <w:rFonts w:asciiTheme="minorHAnsi" w:hAnsiTheme="minorHAnsi"/>
                <w:lang w:val="en-GB"/>
              </w:rPr>
              <w:t>SWIS</w:t>
            </w:r>
            <w:r w:rsidR="00EB4FA1" w:rsidRPr="00BC4F55">
              <w:rPr>
                <w:rFonts w:asciiTheme="minorHAnsi" w:hAnsiTheme="minorHAnsi"/>
                <w:lang w:val="en-GB"/>
              </w:rPr>
              <w:t xml:space="preserve"> and full revision and entry of each single case. As a result of this systematic revision, over 10% cases were found non-eligible for social transfers</w:t>
            </w:r>
            <w:r w:rsidR="007639C2" w:rsidRPr="00BC4F55">
              <w:rPr>
                <w:rFonts w:asciiTheme="minorHAnsi" w:hAnsiTheme="minorHAnsi"/>
                <w:lang w:val="en-GB"/>
              </w:rPr>
              <w:t xml:space="preserve"> thus reducing the ‘inclusion errors’</w:t>
            </w:r>
            <w:r w:rsidR="00EB4FA1" w:rsidRPr="00BC4F55">
              <w:rPr>
                <w:rFonts w:asciiTheme="minorHAnsi" w:hAnsiTheme="minorHAnsi"/>
                <w:lang w:val="en-GB"/>
              </w:rPr>
              <w:t xml:space="preserve">. This process resulted in public savings, initially estimated at over 10% (over 4 million </w:t>
            </w:r>
            <w:r w:rsidR="00FA08FC" w:rsidRPr="00BC4F55">
              <w:rPr>
                <w:rFonts w:asciiTheme="minorHAnsi" w:hAnsiTheme="minorHAnsi"/>
                <w:lang w:val="en-GB"/>
              </w:rPr>
              <w:t>euros</w:t>
            </w:r>
            <w:r w:rsidR="00EB4FA1" w:rsidRPr="00BC4F55">
              <w:rPr>
                <w:rFonts w:asciiTheme="minorHAnsi" w:hAnsiTheme="minorHAnsi"/>
                <w:lang w:val="en-GB"/>
              </w:rPr>
              <w:t>).</w:t>
            </w:r>
          </w:p>
          <w:p w14:paraId="2C59FAE7" w14:textId="0607E1DA" w:rsidR="00EB4FA1" w:rsidRPr="00BC4F55" w:rsidRDefault="00EB4FA1" w:rsidP="00C72C5F">
            <w:pPr>
              <w:pStyle w:val="BodyText2"/>
              <w:jc w:val="both"/>
              <w:rPr>
                <w:rFonts w:asciiTheme="minorHAnsi" w:hAnsiTheme="minorHAnsi"/>
                <w:lang w:val="en-GB"/>
              </w:rPr>
            </w:pPr>
            <w:r w:rsidRPr="00BC4F55">
              <w:rPr>
                <w:rFonts w:asciiTheme="minorHAnsi" w:hAnsiTheme="minorHAnsi"/>
                <w:lang w:val="en-GB"/>
              </w:rPr>
              <w:t xml:space="preserve">In order to enable improved access for the most vulnerable to basic employment and social services, UNDP supported </w:t>
            </w:r>
            <w:r w:rsidRPr="00BC4F55">
              <w:rPr>
                <w:rFonts w:asciiTheme="minorHAnsi" w:hAnsiTheme="minorHAnsi"/>
                <w:b/>
                <w:lang w:val="en-GB"/>
              </w:rPr>
              <w:t>the displaced and Roma</w:t>
            </w:r>
            <w:r w:rsidRPr="00BC4F55">
              <w:rPr>
                <w:rFonts w:asciiTheme="minorHAnsi" w:hAnsiTheme="minorHAnsi"/>
                <w:lang w:val="en-GB"/>
              </w:rPr>
              <w:t xml:space="preserve"> in resolving their legal status, covering some </w:t>
            </w:r>
            <w:r w:rsidR="00DC0E0E" w:rsidRPr="00BC4F55">
              <w:rPr>
                <w:rFonts w:asciiTheme="minorHAnsi" w:hAnsiTheme="minorHAnsi"/>
                <w:lang w:val="en-GB"/>
              </w:rPr>
              <w:t xml:space="preserve">20% of the total </w:t>
            </w:r>
            <w:r w:rsidR="005A03B3">
              <w:rPr>
                <w:rFonts w:asciiTheme="minorHAnsi" w:hAnsiTheme="minorHAnsi"/>
                <w:lang w:val="en-GB"/>
              </w:rPr>
              <w:t>d</w:t>
            </w:r>
            <w:r w:rsidR="00DC0E0E" w:rsidRPr="00BC4F55">
              <w:rPr>
                <w:rFonts w:asciiTheme="minorHAnsi" w:hAnsiTheme="minorHAnsi"/>
                <w:lang w:val="en-GB"/>
              </w:rPr>
              <w:t xml:space="preserve">isplaced and domicile </w:t>
            </w:r>
            <w:r w:rsidRPr="00BC4F55">
              <w:rPr>
                <w:rFonts w:asciiTheme="minorHAnsi" w:hAnsiTheme="minorHAnsi"/>
                <w:lang w:val="en-GB"/>
              </w:rPr>
              <w:t>Roma caseload</w:t>
            </w:r>
            <w:r w:rsidR="00FA08FC" w:rsidRPr="00BC4F55">
              <w:rPr>
                <w:rFonts w:asciiTheme="minorHAnsi" w:hAnsiTheme="minorHAnsi"/>
                <w:lang w:val="en-GB"/>
              </w:rPr>
              <w:t>.</w:t>
            </w:r>
            <w:r w:rsidRPr="00BC4F55">
              <w:rPr>
                <w:rFonts w:asciiTheme="minorHAnsi" w:hAnsiTheme="minorHAnsi"/>
                <w:lang w:val="en-GB"/>
              </w:rPr>
              <w:t xml:space="preserve"> Proper documentation is a basic precondition for the enjoyment of fundamental human rights and a </w:t>
            </w:r>
            <w:r w:rsidR="00FA08FC" w:rsidRPr="00BC4F55">
              <w:rPr>
                <w:rFonts w:asciiTheme="minorHAnsi" w:hAnsiTheme="minorHAnsi"/>
                <w:lang w:val="en-GB"/>
              </w:rPr>
              <w:t xml:space="preserve">higher </w:t>
            </w:r>
            <w:r w:rsidRPr="00BC4F55">
              <w:rPr>
                <w:rFonts w:asciiTheme="minorHAnsi" w:hAnsiTheme="minorHAnsi"/>
                <w:lang w:val="en-GB"/>
              </w:rPr>
              <w:t xml:space="preserve">quality </w:t>
            </w:r>
            <w:r w:rsidR="00FA08FC" w:rsidRPr="00BC4F55">
              <w:rPr>
                <w:rFonts w:asciiTheme="minorHAnsi" w:hAnsiTheme="minorHAnsi"/>
                <w:lang w:val="en-GB"/>
              </w:rPr>
              <w:t xml:space="preserve">of </w:t>
            </w:r>
            <w:r w:rsidRPr="00BC4F55">
              <w:rPr>
                <w:rFonts w:asciiTheme="minorHAnsi" w:hAnsiTheme="minorHAnsi"/>
                <w:lang w:val="en-GB"/>
              </w:rPr>
              <w:t xml:space="preserve">social integration of vulnerable groups, in this case Roma and Egyptians, as the most marginalized and poorest minority in Montenegro. </w:t>
            </w:r>
            <w:r w:rsidR="00DC0E0E" w:rsidRPr="00BC4F55">
              <w:rPr>
                <w:rFonts w:asciiTheme="minorHAnsi" w:hAnsiTheme="minorHAnsi"/>
                <w:lang w:val="en-GB"/>
              </w:rPr>
              <w:t>UNDP‘s</w:t>
            </w:r>
            <w:r w:rsidR="00D475FB" w:rsidRPr="00BC4F55">
              <w:rPr>
                <w:rFonts w:asciiTheme="minorHAnsi" w:hAnsiTheme="minorHAnsi"/>
                <w:lang w:val="en-GB"/>
              </w:rPr>
              <w:t xml:space="preserve"> </w:t>
            </w:r>
            <w:r w:rsidR="005A03B3">
              <w:rPr>
                <w:rFonts w:asciiTheme="minorHAnsi" w:hAnsiTheme="minorHAnsi"/>
                <w:lang w:val="en-GB"/>
              </w:rPr>
              <w:t>s</w:t>
            </w:r>
            <w:r w:rsidR="00D475FB" w:rsidRPr="00BC4F55">
              <w:rPr>
                <w:rFonts w:asciiTheme="minorHAnsi" w:hAnsiTheme="minorHAnsi"/>
                <w:lang w:val="en-GB"/>
              </w:rPr>
              <w:t>trategy</w:t>
            </w:r>
            <w:r w:rsidR="007639C2" w:rsidRPr="00BC4F55">
              <w:rPr>
                <w:rFonts w:asciiTheme="minorHAnsi" w:hAnsiTheme="minorHAnsi"/>
                <w:lang w:val="en-GB"/>
              </w:rPr>
              <w:t xml:space="preserve"> was to engage Roma NGOs whose activists work as ‘mediators’ providing legal support to Roma beneficiaries in the processes of: i) obtaining personal documents</w:t>
            </w:r>
            <w:r w:rsidR="00DE69CD" w:rsidRPr="00BC4F55">
              <w:rPr>
                <w:rFonts w:asciiTheme="minorHAnsi" w:hAnsiTheme="minorHAnsi"/>
                <w:lang w:val="en-GB"/>
              </w:rPr>
              <w:t>;</w:t>
            </w:r>
            <w:r w:rsidR="007639C2" w:rsidRPr="00BC4F55">
              <w:rPr>
                <w:rFonts w:asciiTheme="minorHAnsi" w:hAnsiTheme="minorHAnsi"/>
                <w:lang w:val="en-GB"/>
              </w:rPr>
              <w:t xml:space="preserve"> ii) resolving their legal status in the country</w:t>
            </w:r>
            <w:r w:rsidR="00DE69CD" w:rsidRPr="00BC4F55">
              <w:rPr>
                <w:rFonts w:asciiTheme="minorHAnsi" w:hAnsiTheme="minorHAnsi"/>
                <w:lang w:val="en-GB"/>
              </w:rPr>
              <w:t>;</w:t>
            </w:r>
            <w:r w:rsidR="007639C2" w:rsidRPr="00BC4F55">
              <w:rPr>
                <w:rFonts w:asciiTheme="minorHAnsi" w:hAnsiTheme="minorHAnsi"/>
                <w:lang w:val="en-GB"/>
              </w:rPr>
              <w:t xml:space="preserve"> iii) access to social assistance</w:t>
            </w:r>
            <w:r w:rsidR="00DE69CD" w:rsidRPr="00BC4F55">
              <w:rPr>
                <w:rFonts w:asciiTheme="minorHAnsi" w:hAnsiTheme="minorHAnsi"/>
                <w:lang w:val="en-GB"/>
              </w:rPr>
              <w:t>,</w:t>
            </w:r>
            <w:r w:rsidR="007639C2" w:rsidRPr="00BC4F55">
              <w:rPr>
                <w:rFonts w:asciiTheme="minorHAnsi" w:hAnsiTheme="minorHAnsi"/>
                <w:lang w:val="en-GB"/>
              </w:rPr>
              <w:t xml:space="preserve"> and iv) access to employment programmes. In the pa</w:t>
            </w:r>
            <w:r w:rsidR="00D475FB" w:rsidRPr="00BC4F55">
              <w:rPr>
                <w:rFonts w:asciiTheme="minorHAnsi" w:hAnsiTheme="minorHAnsi"/>
                <w:lang w:val="en-GB"/>
              </w:rPr>
              <w:t>s</w:t>
            </w:r>
            <w:r w:rsidR="007639C2" w:rsidRPr="00BC4F55">
              <w:rPr>
                <w:rFonts w:asciiTheme="minorHAnsi" w:hAnsiTheme="minorHAnsi"/>
                <w:lang w:val="en-GB"/>
              </w:rPr>
              <w:t>t four years</w:t>
            </w:r>
            <w:r w:rsidR="00DE69CD" w:rsidRPr="00BC4F55">
              <w:rPr>
                <w:rFonts w:asciiTheme="minorHAnsi" w:hAnsiTheme="minorHAnsi"/>
                <w:lang w:val="en-GB"/>
              </w:rPr>
              <w:t>,</w:t>
            </w:r>
            <w:r w:rsidR="007639C2" w:rsidRPr="00BC4F55">
              <w:rPr>
                <w:rFonts w:asciiTheme="minorHAnsi" w:hAnsiTheme="minorHAnsi"/>
                <w:lang w:val="en-GB"/>
              </w:rPr>
              <w:t xml:space="preserve"> UNDP and its NGO </w:t>
            </w:r>
            <w:r w:rsidR="00D475FB" w:rsidRPr="00BC4F55">
              <w:rPr>
                <w:rFonts w:asciiTheme="minorHAnsi" w:hAnsiTheme="minorHAnsi"/>
                <w:lang w:val="en-GB"/>
              </w:rPr>
              <w:t>partners</w:t>
            </w:r>
            <w:r w:rsidR="007639C2" w:rsidRPr="00BC4F55">
              <w:rPr>
                <w:rFonts w:asciiTheme="minorHAnsi" w:hAnsiTheme="minorHAnsi"/>
                <w:lang w:val="en-GB"/>
              </w:rPr>
              <w:t xml:space="preserve"> </w:t>
            </w:r>
            <w:r w:rsidR="00D475FB" w:rsidRPr="00BC4F55">
              <w:rPr>
                <w:rFonts w:asciiTheme="minorHAnsi" w:hAnsiTheme="minorHAnsi"/>
                <w:lang w:val="en-GB"/>
              </w:rPr>
              <w:t xml:space="preserve">supported </w:t>
            </w:r>
            <w:r w:rsidR="007639C2" w:rsidRPr="00BC4F55">
              <w:rPr>
                <w:rFonts w:asciiTheme="minorHAnsi" w:hAnsiTheme="minorHAnsi"/>
                <w:lang w:val="en-GB"/>
              </w:rPr>
              <w:t>issuance of more than 3,000 documents</w:t>
            </w:r>
            <w:r w:rsidR="00DE69CD" w:rsidRPr="00BC4F55">
              <w:rPr>
                <w:rFonts w:asciiTheme="minorHAnsi" w:hAnsiTheme="minorHAnsi"/>
                <w:lang w:val="en-GB"/>
              </w:rPr>
              <w:t>,</w:t>
            </w:r>
            <w:r w:rsidR="007639C2" w:rsidRPr="00BC4F55">
              <w:rPr>
                <w:rFonts w:asciiTheme="minorHAnsi" w:hAnsiTheme="minorHAnsi"/>
                <w:lang w:val="en-GB"/>
              </w:rPr>
              <w:t xml:space="preserve"> </w:t>
            </w:r>
            <w:r w:rsidR="00D475FB" w:rsidRPr="00BC4F55">
              <w:rPr>
                <w:rFonts w:asciiTheme="minorHAnsi" w:hAnsiTheme="minorHAnsi"/>
                <w:lang w:val="en-GB"/>
              </w:rPr>
              <w:t xml:space="preserve">which helped regulating the status of some 700 Roma and Egyptians (some 8% of </w:t>
            </w:r>
            <w:r w:rsidR="005A03B3">
              <w:rPr>
                <w:rFonts w:asciiTheme="minorHAnsi" w:hAnsiTheme="minorHAnsi"/>
                <w:lang w:val="en-GB"/>
              </w:rPr>
              <w:t xml:space="preserve">the </w:t>
            </w:r>
            <w:r w:rsidR="00D475FB" w:rsidRPr="00BC4F55">
              <w:rPr>
                <w:rFonts w:asciiTheme="minorHAnsi" w:hAnsiTheme="minorHAnsi"/>
                <w:lang w:val="en-GB"/>
              </w:rPr>
              <w:t xml:space="preserve">total </w:t>
            </w:r>
            <w:r w:rsidR="00DE69CD" w:rsidRPr="00BC4F55">
              <w:rPr>
                <w:rFonts w:asciiTheme="minorHAnsi" w:hAnsiTheme="minorHAnsi"/>
                <w:lang w:val="en-GB"/>
              </w:rPr>
              <w:t xml:space="preserve">Roma </w:t>
            </w:r>
            <w:r w:rsidR="00D475FB" w:rsidRPr="00BC4F55">
              <w:rPr>
                <w:rFonts w:asciiTheme="minorHAnsi" w:hAnsiTheme="minorHAnsi"/>
                <w:lang w:val="en-GB"/>
              </w:rPr>
              <w:t xml:space="preserve">and Egyptian population </w:t>
            </w:r>
            <w:r w:rsidR="0041250B" w:rsidRPr="00BC4F55">
              <w:rPr>
                <w:rFonts w:asciiTheme="minorHAnsi" w:hAnsiTheme="minorHAnsi"/>
                <w:lang w:val="en-GB"/>
              </w:rPr>
              <w:t>in Montenegro).</w:t>
            </w:r>
          </w:p>
          <w:p w14:paraId="5C4ECA5E" w14:textId="777017EC" w:rsidR="0041250B" w:rsidRPr="00BC4F55" w:rsidRDefault="0041250B" w:rsidP="00C72C5F">
            <w:pPr>
              <w:pStyle w:val="BodyText2"/>
              <w:jc w:val="both"/>
              <w:rPr>
                <w:rFonts w:asciiTheme="minorHAnsi" w:hAnsiTheme="minorHAnsi"/>
                <w:lang w:val="en-GB"/>
              </w:rPr>
            </w:pPr>
            <w:r w:rsidRPr="00BC4F55">
              <w:rPr>
                <w:rFonts w:asciiTheme="minorHAnsi" w:hAnsiTheme="minorHAnsi"/>
                <w:lang w:val="en-GB"/>
              </w:rPr>
              <w:t xml:space="preserve">UNDP, as the primary recipient of the GFATM, continued supporting the implementation of significant part of </w:t>
            </w:r>
            <w:r w:rsidRPr="00BC4F55">
              <w:rPr>
                <w:rFonts w:asciiTheme="minorHAnsi" w:hAnsiTheme="minorHAnsi"/>
                <w:b/>
                <w:lang w:val="en-GB"/>
              </w:rPr>
              <w:t xml:space="preserve">the National HIV/AIDS </w:t>
            </w:r>
            <w:r w:rsidR="005A03B3">
              <w:rPr>
                <w:rFonts w:asciiTheme="minorHAnsi" w:hAnsiTheme="minorHAnsi"/>
                <w:b/>
                <w:lang w:val="en-GB"/>
              </w:rPr>
              <w:t>R</w:t>
            </w:r>
            <w:r w:rsidRPr="00BC4F55">
              <w:rPr>
                <w:rFonts w:asciiTheme="minorHAnsi" w:hAnsiTheme="minorHAnsi"/>
                <w:b/>
                <w:lang w:val="en-GB"/>
              </w:rPr>
              <w:t>esponse</w:t>
            </w:r>
            <w:r w:rsidRPr="00BC4F55">
              <w:rPr>
                <w:rFonts w:asciiTheme="minorHAnsi" w:hAnsiTheme="minorHAnsi"/>
                <w:lang w:val="en-GB"/>
              </w:rPr>
              <w:t>, contributing to successful maintaining of the HIV prevalence among most at risk populations at low level (less than 1%) except for the MSM population.</w:t>
            </w:r>
          </w:p>
          <w:p w14:paraId="030DD2E4" w14:textId="7AD87BD1" w:rsidR="00C63641" w:rsidRPr="00BC4F55" w:rsidRDefault="00AE26FE" w:rsidP="00C72C5F">
            <w:pPr>
              <w:pStyle w:val="BodyText2"/>
              <w:jc w:val="both"/>
              <w:rPr>
                <w:rFonts w:asciiTheme="minorHAnsi" w:hAnsiTheme="minorHAnsi"/>
                <w:lang w:val="en-GB"/>
              </w:rPr>
            </w:pPr>
            <w:r w:rsidRPr="00BC4F55">
              <w:rPr>
                <w:rFonts w:asciiTheme="minorHAnsi" w:hAnsiTheme="minorHAnsi"/>
                <w:lang w:val="en-GB"/>
              </w:rPr>
              <w:t xml:space="preserve">On issues concerning </w:t>
            </w:r>
            <w:r w:rsidRPr="00BC4F55">
              <w:rPr>
                <w:rFonts w:asciiTheme="minorHAnsi" w:hAnsiTheme="minorHAnsi"/>
                <w:b/>
                <w:lang w:val="en-GB"/>
              </w:rPr>
              <w:t>gender equality and women’s empowerment</w:t>
            </w:r>
            <w:r w:rsidRPr="00BC4F55">
              <w:rPr>
                <w:rFonts w:asciiTheme="minorHAnsi" w:hAnsiTheme="minorHAnsi"/>
                <w:lang w:val="en-GB"/>
              </w:rPr>
              <w:t xml:space="preserve"> and following the change of the electoral laws and introduction of a quota system for women in electoral lists, UNDP continued to advocate for further changes in the Law</w:t>
            </w:r>
            <w:r w:rsidR="00DE69CD" w:rsidRPr="00BC4F55">
              <w:rPr>
                <w:rFonts w:asciiTheme="minorHAnsi" w:hAnsiTheme="minorHAnsi"/>
                <w:lang w:val="en-GB"/>
              </w:rPr>
              <w:t xml:space="preserve"> and</w:t>
            </w:r>
            <w:r w:rsidRPr="00BC4F55">
              <w:rPr>
                <w:rFonts w:asciiTheme="minorHAnsi" w:hAnsiTheme="minorHAnsi"/>
                <w:lang w:val="en-GB"/>
              </w:rPr>
              <w:t xml:space="preserve"> additional legal </w:t>
            </w:r>
            <w:r w:rsidR="00DE69CD" w:rsidRPr="00BC4F55">
              <w:rPr>
                <w:rFonts w:asciiTheme="minorHAnsi" w:hAnsiTheme="minorHAnsi"/>
                <w:lang w:val="en-GB"/>
              </w:rPr>
              <w:t xml:space="preserve">measures and </w:t>
            </w:r>
            <w:r w:rsidRPr="00BC4F55">
              <w:rPr>
                <w:rFonts w:asciiTheme="minorHAnsi" w:hAnsiTheme="minorHAnsi"/>
                <w:lang w:val="en-GB"/>
              </w:rPr>
              <w:t xml:space="preserve">provisions so as to secure </w:t>
            </w:r>
            <w:r w:rsidR="00DE69CD" w:rsidRPr="00BC4F55">
              <w:rPr>
                <w:rFonts w:asciiTheme="minorHAnsi" w:hAnsiTheme="minorHAnsi"/>
                <w:lang w:val="en-GB"/>
              </w:rPr>
              <w:t xml:space="preserve">better representation of </w:t>
            </w:r>
            <w:r w:rsidRPr="00BC4F55">
              <w:rPr>
                <w:rFonts w:asciiTheme="minorHAnsi" w:hAnsiTheme="minorHAnsi"/>
                <w:lang w:val="en-GB"/>
              </w:rPr>
              <w:t>women</w:t>
            </w:r>
            <w:r w:rsidR="00DE69CD" w:rsidRPr="00BC4F55">
              <w:rPr>
                <w:rFonts w:asciiTheme="minorHAnsi" w:hAnsiTheme="minorHAnsi"/>
                <w:lang w:val="en-GB"/>
              </w:rPr>
              <w:t xml:space="preserve"> in politics</w:t>
            </w:r>
            <w:r w:rsidRPr="00BC4F55">
              <w:rPr>
                <w:rFonts w:asciiTheme="minorHAnsi" w:hAnsiTheme="minorHAnsi"/>
                <w:lang w:val="en-GB"/>
              </w:rPr>
              <w:t xml:space="preserve">. In addition, UNDP supported </w:t>
            </w:r>
            <w:r w:rsidR="00DE69CD" w:rsidRPr="00BC4F55">
              <w:rPr>
                <w:rFonts w:asciiTheme="minorHAnsi" w:hAnsiTheme="minorHAnsi"/>
                <w:lang w:val="en-GB"/>
              </w:rPr>
              <w:t xml:space="preserve">capacity </w:t>
            </w:r>
            <w:r w:rsidRPr="00BC4F55">
              <w:rPr>
                <w:rFonts w:asciiTheme="minorHAnsi" w:hAnsiTheme="minorHAnsi"/>
                <w:lang w:val="en-GB"/>
              </w:rPr>
              <w:t>development of the women’s political leadership through tailored educational programmes for women from al</w:t>
            </w:r>
            <w:r w:rsidR="00DE69CD" w:rsidRPr="00BC4F55">
              <w:rPr>
                <w:rFonts w:asciiTheme="minorHAnsi" w:hAnsiTheme="minorHAnsi"/>
                <w:lang w:val="en-GB"/>
              </w:rPr>
              <w:t>l</w:t>
            </w:r>
            <w:r w:rsidRPr="00BC4F55">
              <w:rPr>
                <w:rFonts w:asciiTheme="minorHAnsi" w:hAnsiTheme="minorHAnsi"/>
                <w:lang w:val="en-GB"/>
              </w:rPr>
              <w:t xml:space="preserve"> parliamentarian political parties. Gender equality remained one of the priorities, with focus on: i) increased reporting of domestic violence </w:t>
            </w:r>
            <w:r w:rsidR="00C63641" w:rsidRPr="00BC4F55">
              <w:rPr>
                <w:rFonts w:asciiTheme="minorHAnsi" w:hAnsiTheme="minorHAnsi"/>
                <w:lang w:val="en-GB"/>
              </w:rPr>
              <w:t>(</w:t>
            </w:r>
            <w:r w:rsidR="005A03B3">
              <w:rPr>
                <w:rFonts w:asciiTheme="minorHAnsi" w:hAnsiTheme="minorHAnsi"/>
                <w:lang w:val="en-GB"/>
              </w:rPr>
              <w:t xml:space="preserve">an </w:t>
            </w:r>
            <w:r w:rsidR="00DE69CD" w:rsidRPr="00BC4F55">
              <w:rPr>
                <w:rFonts w:asciiTheme="minorHAnsi" w:hAnsiTheme="minorHAnsi"/>
                <w:lang w:val="en-GB"/>
              </w:rPr>
              <w:t xml:space="preserve">increase in </w:t>
            </w:r>
            <w:r w:rsidR="00ED7235" w:rsidRPr="00BC4F55">
              <w:rPr>
                <w:rFonts w:asciiTheme="minorHAnsi" w:hAnsiTheme="minorHAnsi"/>
                <w:lang w:val="en-GB"/>
              </w:rPr>
              <w:t xml:space="preserve">criminal offenses </w:t>
            </w:r>
            <w:r w:rsidR="00ED7235" w:rsidRPr="00BC4F55">
              <w:rPr>
                <w:rFonts w:asciiTheme="minorHAnsi" w:hAnsiTheme="minorHAnsi"/>
                <w:lang w:val="en-GB"/>
              </w:rPr>
              <w:lastRenderedPageBreak/>
              <w:t>by 12.</w:t>
            </w:r>
            <w:r w:rsidR="00C63641" w:rsidRPr="00BC4F55">
              <w:rPr>
                <w:rFonts w:asciiTheme="minorHAnsi" w:hAnsiTheme="minorHAnsi"/>
                <w:lang w:val="en-GB"/>
              </w:rPr>
              <w:t xml:space="preserve">5% and </w:t>
            </w:r>
            <w:r w:rsidR="00DE69CD" w:rsidRPr="00BC4F55">
              <w:rPr>
                <w:rFonts w:asciiTheme="minorHAnsi" w:hAnsiTheme="minorHAnsi"/>
                <w:lang w:val="en-GB"/>
              </w:rPr>
              <w:t>misdemeanour</w:t>
            </w:r>
            <w:r w:rsidR="00C63641" w:rsidRPr="00BC4F55">
              <w:rPr>
                <w:rFonts w:asciiTheme="minorHAnsi" w:hAnsiTheme="minorHAnsi"/>
                <w:lang w:val="en-GB"/>
              </w:rPr>
              <w:t xml:space="preserve"> cases by 22%). UNDP supported introduction of the national SOS helpline for victims of violence, which was launched in September 2015. In </w:t>
            </w:r>
            <w:r w:rsidR="00704A18" w:rsidRPr="00BC4F55">
              <w:rPr>
                <w:rFonts w:asciiTheme="minorHAnsi" w:hAnsiTheme="minorHAnsi"/>
                <w:lang w:val="en-GB"/>
              </w:rPr>
              <w:t xml:space="preserve">only </w:t>
            </w:r>
            <w:r w:rsidR="00C63641" w:rsidRPr="00BC4F55">
              <w:rPr>
                <w:rFonts w:asciiTheme="minorHAnsi" w:hAnsiTheme="minorHAnsi"/>
                <w:lang w:val="en-GB"/>
              </w:rPr>
              <w:t>two months’ time 750 cases</w:t>
            </w:r>
            <w:r w:rsidR="005A03B3">
              <w:rPr>
                <w:rFonts w:asciiTheme="minorHAnsi" w:hAnsiTheme="minorHAnsi"/>
                <w:lang w:val="en-GB"/>
              </w:rPr>
              <w:t xml:space="preserve"> were</w:t>
            </w:r>
            <w:r w:rsidR="005A03B3" w:rsidRPr="00BC4F55">
              <w:rPr>
                <w:rFonts w:asciiTheme="minorHAnsi" w:hAnsiTheme="minorHAnsi"/>
                <w:lang w:val="en-GB"/>
              </w:rPr>
              <w:t xml:space="preserve"> reported</w:t>
            </w:r>
            <w:r w:rsidR="00C63641" w:rsidRPr="00BC4F55">
              <w:rPr>
                <w:rFonts w:asciiTheme="minorHAnsi" w:hAnsiTheme="minorHAnsi"/>
                <w:lang w:val="en-GB"/>
              </w:rPr>
              <w:t xml:space="preserve">, while in 2014, </w:t>
            </w:r>
            <w:r w:rsidR="00DE69CD" w:rsidRPr="00BC4F55">
              <w:rPr>
                <w:rFonts w:asciiTheme="minorHAnsi" w:hAnsiTheme="minorHAnsi"/>
                <w:lang w:val="en-GB"/>
              </w:rPr>
              <w:t xml:space="preserve">the </w:t>
            </w:r>
            <w:r w:rsidR="00C63641" w:rsidRPr="00BC4F55">
              <w:rPr>
                <w:rFonts w:asciiTheme="minorHAnsi" w:hAnsiTheme="minorHAnsi"/>
                <w:lang w:val="en-GB"/>
              </w:rPr>
              <w:t>total number of reported cases was 1</w:t>
            </w:r>
            <w:r w:rsidR="00704A18" w:rsidRPr="00BC4F55">
              <w:rPr>
                <w:rFonts w:asciiTheme="minorHAnsi" w:hAnsiTheme="minorHAnsi"/>
                <w:lang w:val="en-GB"/>
              </w:rPr>
              <w:t>,</w:t>
            </w:r>
            <w:r w:rsidR="00C63641" w:rsidRPr="00BC4F55">
              <w:rPr>
                <w:rFonts w:asciiTheme="minorHAnsi" w:hAnsiTheme="minorHAnsi"/>
                <w:lang w:val="en-GB"/>
              </w:rPr>
              <w:t>347</w:t>
            </w:r>
            <w:r w:rsidR="00704A18" w:rsidRPr="00BC4F55">
              <w:rPr>
                <w:rFonts w:asciiTheme="minorHAnsi" w:hAnsiTheme="minorHAnsi"/>
                <w:lang w:val="en-GB"/>
              </w:rPr>
              <w:t xml:space="preserve"> for the</w:t>
            </w:r>
            <w:r w:rsidR="005A03B3">
              <w:rPr>
                <w:rFonts w:asciiTheme="minorHAnsi" w:hAnsiTheme="minorHAnsi"/>
                <w:lang w:val="en-GB"/>
              </w:rPr>
              <w:t xml:space="preserve"> period of one</w:t>
            </w:r>
            <w:r w:rsidR="00704A18" w:rsidRPr="00BC4F55">
              <w:rPr>
                <w:rFonts w:asciiTheme="minorHAnsi" w:hAnsiTheme="minorHAnsi"/>
                <w:lang w:val="en-GB"/>
              </w:rPr>
              <w:t xml:space="preserve"> whole year</w:t>
            </w:r>
            <w:r w:rsidRPr="00BC4F55">
              <w:rPr>
                <w:rFonts w:asciiTheme="minorHAnsi" w:hAnsiTheme="minorHAnsi"/>
                <w:lang w:val="en-GB"/>
              </w:rPr>
              <w:t xml:space="preserve">; and ii) increased political participation (representation of women in local assemblies increased from 5% to 26% in the period from 2010 to 2014). </w:t>
            </w:r>
          </w:p>
          <w:p w14:paraId="44602A07" w14:textId="6FE23518" w:rsidR="00C63641" w:rsidRPr="00BC4F55" w:rsidRDefault="00AE26FE" w:rsidP="00C72C5F">
            <w:pPr>
              <w:pStyle w:val="BodyText2"/>
              <w:jc w:val="both"/>
              <w:rPr>
                <w:rFonts w:asciiTheme="minorHAnsi" w:hAnsiTheme="minorHAnsi"/>
                <w:lang w:val="en-GB"/>
              </w:rPr>
            </w:pPr>
            <w:r w:rsidRPr="00BC4F55">
              <w:rPr>
                <w:rFonts w:asciiTheme="minorHAnsi" w:hAnsiTheme="minorHAnsi"/>
                <w:lang w:val="en-GB"/>
              </w:rPr>
              <w:t xml:space="preserve">The UNDP Gender Programme invested significant efforts in the establishment of the system of multi-sectorial support to victims of violence, reflected in improved legislation, capacity development for all </w:t>
            </w:r>
            <w:r w:rsidR="00704A18" w:rsidRPr="00BC4F55">
              <w:rPr>
                <w:rFonts w:asciiTheme="minorHAnsi" w:hAnsiTheme="minorHAnsi"/>
                <w:lang w:val="en-GB"/>
              </w:rPr>
              <w:t xml:space="preserve">relevant </w:t>
            </w:r>
            <w:r w:rsidRPr="00BC4F55">
              <w:rPr>
                <w:rFonts w:asciiTheme="minorHAnsi" w:hAnsiTheme="minorHAnsi"/>
                <w:lang w:val="en-GB"/>
              </w:rPr>
              <w:t>institutions (social welfare</w:t>
            </w:r>
            <w:r w:rsidR="00704A18" w:rsidRPr="00BC4F55">
              <w:rPr>
                <w:rFonts w:asciiTheme="minorHAnsi" w:hAnsiTheme="minorHAnsi"/>
                <w:lang w:val="en-GB"/>
              </w:rPr>
              <w:t xml:space="preserve"> centres</w:t>
            </w:r>
            <w:r w:rsidRPr="00BC4F55">
              <w:rPr>
                <w:rFonts w:asciiTheme="minorHAnsi" w:hAnsiTheme="minorHAnsi"/>
                <w:lang w:val="en-GB"/>
              </w:rPr>
              <w:t xml:space="preserve">, police, judiciary, health, education and NGOs). </w:t>
            </w:r>
          </w:p>
          <w:p w14:paraId="06EC0AA1" w14:textId="40D58028" w:rsidR="00AE26FE" w:rsidRPr="00BC4F55" w:rsidRDefault="00C63641" w:rsidP="00C72C5F">
            <w:pPr>
              <w:pStyle w:val="BodyText2"/>
              <w:jc w:val="both"/>
              <w:rPr>
                <w:rFonts w:asciiTheme="minorHAnsi" w:hAnsiTheme="minorHAnsi"/>
                <w:lang w:val="en-GB"/>
              </w:rPr>
            </w:pPr>
            <w:r w:rsidRPr="00BC4F55">
              <w:rPr>
                <w:rFonts w:asciiTheme="minorHAnsi" w:hAnsiTheme="minorHAnsi"/>
                <w:lang w:val="en-GB"/>
              </w:rPr>
              <w:t xml:space="preserve">With respect </w:t>
            </w:r>
            <w:r w:rsidR="00ED7235" w:rsidRPr="00BC4F55">
              <w:rPr>
                <w:rFonts w:asciiTheme="minorHAnsi" w:hAnsiTheme="minorHAnsi"/>
                <w:lang w:val="en-GB"/>
              </w:rPr>
              <w:t>to economic</w:t>
            </w:r>
            <w:r w:rsidRPr="00BC4F55">
              <w:rPr>
                <w:rFonts w:asciiTheme="minorHAnsi" w:hAnsiTheme="minorHAnsi"/>
                <w:lang w:val="en-GB"/>
              </w:rPr>
              <w:t xml:space="preserve"> empowerment</w:t>
            </w:r>
            <w:r w:rsidR="00704A18" w:rsidRPr="00BC4F55">
              <w:rPr>
                <w:rFonts w:asciiTheme="minorHAnsi" w:hAnsiTheme="minorHAnsi"/>
                <w:lang w:val="en-GB"/>
              </w:rPr>
              <w:t xml:space="preserve"> of women</w:t>
            </w:r>
            <w:r w:rsidRPr="00BC4F55">
              <w:rPr>
                <w:rFonts w:asciiTheme="minorHAnsi" w:hAnsiTheme="minorHAnsi"/>
                <w:lang w:val="en-GB"/>
              </w:rPr>
              <w:t>, UNDP continued to develop capacities and networks among local authorities, NGOs, experts and women</w:t>
            </w:r>
            <w:r w:rsidR="005A03B3">
              <w:rPr>
                <w:rFonts w:asciiTheme="minorHAnsi" w:hAnsiTheme="minorHAnsi"/>
                <w:lang w:val="en-GB"/>
              </w:rPr>
              <w:t>-</w:t>
            </w:r>
            <w:r w:rsidRPr="00BC4F55">
              <w:rPr>
                <w:rFonts w:asciiTheme="minorHAnsi" w:hAnsiTheme="minorHAnsi"/>
                <w:lang w:val="en-GB"/>
              </w:rPr>
              <w:t xml:space="preserve"> potential entrepreneurs. This resulted in establishing a local system of support for women’s entrepreneurship in 3 municipalities, with more than 150 women using those services. </w:t>
            </w:r>
          </w:p>
          <w:p w14:paraId="3B009721" w14:textId="5E1309AB" w:rsidR="000348DD" w:rsidRPr="00BC4F55" w:rsidRDefault="000348DD" w:rsidP="00C72C5F">
            <w:pPr>
              <w:pStyle w:val="BodyText2"/>
              <w:jc w:val="both"/>
              <w:rPr>
                <w:rFonts w:asciiTheme="minorHAnsi" w:hAnsiTheme="minorHAnsi"/>
                <w:lang w:val="en-GB"/>
              </w:rPr>
            </w:pPr>
            <w:r w:rsidRPr="00BC4F55">
              <w:rPr>
                <w:rFonts w:asciiTheme="minorHAnsi" w:hAnsiTheme="minorHAnsi"/>
                <w:lang w:val="en-GB"/>
              </w:rPr>
              <w:t>Furthermore, UNDP co-facilitated discussions among EU partners and the regional gender mechanisms in creating national and regional networks in order to address gender concerns as political priorities in EU accession processes. Strategies are considered effective because they were drafted after some research and initial activities were undertaken, which resulted in an adequate response at the implementation time.</w:t>
            </w:r>
          </w:p>
          <w:p w14:paraId="59EDB4A4" w14:textId="546107E6" w:rsidR="00C63641" w:rsidRPr="00BC4F55" w:rsidRDefault="00C63641" w:rsidP="00C72C5F">
            <w:pPr>
              <w:jc w:val="both"/>
              <w:rPr>
                <w:rFonts w:asciiTheme="minorHAnsi" w:hAnsiTheme="minorHAnsi"/>
                <w:sz w:val="20"/>
                <w:lang w:val="en-GB"/>
              </w:rPr>
            </w:pPr>
            <w:r w:rsidRPr="00BC4F55">
              <w:rPr>
                <w:rFonts w:asciiTheme="minorHAnsi" w:hAnsiTheme="minorHAnsi"/>
                <w:sz w:val="20"/>
                <w:lang w:val="en-GB"/>
              </w:rPr>
              <w:t xml:space="preserve">Outcome level results are consequently coming from multi-annual and intensive work on </w:t>
            </w:r>
            <w:r w:rsidRPr="00606154">
              <w:rPr>
                <w:rFonts w:asciiTheme="minorHAnsi" w:hAnsiTheme="minorHAnsi"/>
                <w:b/>
                <w:sz w:val="20"/>
                <w:lang w:val="en-GB"/>
              </w:rPr>
              <w:t>gender equality</w:t>
            </w:r>
            <w:r w:rsidRPr="00BC4F55">
              <w:rPr>
                <w:rFonts w:asciiTheme="minorHAnsi" w:hAnsiTheme="minorHAnsi"/>
                <w:sz w:val="20"/>
                <w:lang w:val="en-GB"/>
              </w:rPr>
              <w:t xml:space="preserve"> in the country. This was confirmed by the Gender Equality Seal mission that awarded the CO a gold </w:t>
            </w:r>
            <w:r w:rsidR="00C72C5F" w:rsidRPr="00BC4F55">
              <w:rPr>
                <w:rFonts w:asciiTheme="minorHAnsi" w:hAnsiTheme="minorHAnsi"/>
                <w:sz w:val="20"/>
                <w:lang w:val="en-GB"/>
              </w:rPr>
              <w:t>seal and</w:t>
            </w:r>
            <w:r w:rsidRPr="00BC4F55">
              <w:rPr>
                <w:rFonts w:asciiTheme="minorHAnsi" w:hAnsiTheme="minorHAnsi"/>
                <w:sz w:val="20"/>
                <w:lang w:val="en-GB"/>
              </w:rPr>
              <w:t xml:space="preserve"> evaluated that CO strategic frameworks are congruent with national goals and corporate mandates on gender equality. The Gender seal mission concluded: </w:t>
            </w:r>
            <w:r w:rsidR="00C72C5F" w:rsidRPr="00BC4F55">
              <w:rPr>
                <w:rFonts w:asciiTheme="minorHAnsi" w:hAnsiTheme="minorHAnsi"/>
                <w:sz w:val="20"/>
                <w:lang w:val="en-GB"/>
              </w:rPr>
              <w:t>“Management</w:t>
            </w:r>
            <w:r w:rsidRPr="00BC4F55">
              <w:rPr>
                <w:rFonts w:asciiTheme="minorHAnsi" w:hAnsiTheme="minorHAnsi"/>
                <w:sz w:val="20"/>
                <w:lang w:val="en-GB"/>
              </w:rPr>
              <w:t xml:space="preserve"> accountability systems are strong with active and competent GFT and pro-active and committed leadership. While there is clarity on national needs and UNDP's role, there is also high overall level of consciousness, commitment and technical expertise support across clusters enabled. UNDP identified as lead player on gender by all partners and plays strategic role as bridge between state and CSOs. UN System partners acknowledge and appreciate UNDP's leadership on gender mainstreaming while Government counterparts look to UNDP for guidance on gender elements of EU accession process. In terms of results, all partners gave credit to UNDP for bringing gender issues into national agendas. Key changes in legislative frameworks and institutional mechanisms for gender equality are clearly attributable to UNDP. Media and civil society recognize and appreciate UNDP's commitment to gender equality. UNDP has made significant contributions to national policy discourse on gender”</w:t>
            </w:r>
            <w:r w:rsidR="00704A18" w:rsidRPr="00BC4F55">
              <w:rPr>
                <w:rFonts w:asciiTheme="minorHAnsi" w:hAnsiTheme="minorHAnsi"/>
                <w:sz w:val="20"/>
                <w:lang w:val="en-GB"/>
              </w:rPr>
              <w:t>.</w:t>
            </w:r>
            <w:r w:rsidRPr="00BC4F55">
              <w:rPr>
                <w:rFonts w:asciiTheme="minorHAnsi" w:hAnsiTheme="minorHAnsi"/>
                <w:sz w:val="20"/>
                <w:lang w:val="en-GB"/>
              </w:rPr>
              <w:t xml:space="preserve"> </w:t>
            </w:r>
          </w:p>
          <w:p w14:paraId="4BE06353" w14:textId="1B66D1FF" w:rsidR="00BE1C58" w:rsidRPr="00BC4F55" w:rsidRDefault="00C72C5F" w:rsidP="00C72C5F">
            <w:pPr>
              <w:pStyle w:val="BodyText2"/>
              <w:jc w:val="both"/>
              <w:rPr>
                <w:rFonts w:asciiTheme="minorHAnsi" w:hAnsiTheme="minorHAnsi"/>
                <w:lang w:val="en-GB"/>
              </w:rPr>
            </w:pPr>
            <w:r w:rsidRPr="00BC4F55">
              <w:rPr>
                <w:rFonts w:asciiTheme="minorHAnsi" w:hAnsiTheme="minorHAnsi"/>
                <w:lang w:val="en-GB"/>
              </w:rPr>
              <w:t xml:space="preserve">Over the past five </w:t>
            </w:r>
            <w:r w:rsidR="001139D9" w:rsidRPr="00BC4F55">
              <w:rPr>
                <w:rFonts w:asciiTheme="minorHAnsi" w:hAnsiTheme="minorHAnsi"/>
                <w:lang w:val="en-GB"/>
              </w:rPr>
              <w:t>years,</w:t>
            </w:r>
            <w:r w:rsidR="00C63641" w:rsidRPr="00BC4F55">
              <w:rPr>
                <w:rFonts w:asciiTheme="minorHAnsi" w:hAnsiTheme="minorHAnsi"/>
                <w:lang w:val="en-GB"/>
              </w:rPr>
              <w:t xml:space="preserve"> UNDP produced </w:t>
            </w:r>
            <w:r w:rsidR="00ED7235" w:rsidRPr="00BC4F55">
              <w:rPr>
                <w:rFonts w:asciiTheme="minorHAnsi" w:hAnsiTheme="minorHAnsi"/>
                <w:lang w:val="en-GB"/>
              </w:rPr>
              <w:t xml:space="preserve">three </w:t>
            </w:r>
            <w:r w:rsidR="00ED7235" w:rsidRPr="00B537E3">
              <w:rPr>
                <w:rFonts w:asciiTheme="minorHAnsi" w:hAnsiTheme="minorHAnsi"/>
                <w:b/>
                <w:lang w:val="en-GB"/>
              </w:rPr>
              <w:t>National</w:t>
            </w:r>
            <w:r w:rsidR="00704A18" w:rsidRPr="00BC4F55">
              <w:rPr>
                <w:rFonts w:asciiTheme="minorHAnsi" w:hAnsiTheme="minorHAnsi"/>
                <w:b/>
                <w:lang w:val="en-GB"/>
              </w:rPr>
              <w:t xml:space="preserve"> </w:t>
            </w:r>
            <w:r w:rsidR="00C63641" w:rsidRPr="00BC4F55">
              <w:rPr>
                <w:rFonts w:asciiTheme="minorHAnsi" w:hAnsiTheme="minorHAnsi"/>
                <w:b/>
                <w:lang w:val="en-GB"/>
              </w:rPr>
              <w:t>H</w:t>
            </w:r>
            <w:r w:rsidR="00704A18" w:rsidRPr="00BC4F55">
              <w:rPr>
                <w:rFonts w:asciiTheme="minorHAnsi" w:hAnsiTheme="minorHAnsi"/>
                <w:b/>
                <w:lang w:val="en-GB"/>
              </w:rPr>
              <w:t xml:space="preserve">uman </w:t>
            </w:r>
            <w:r w:rsidR="00C63641" w:rsidRPr="00BC4F55">
              <w:rPr>
                <w:rFonts w:asciiTheme="minorHAnsi" w:hAnsiTheme="minorHAnsi"/>
                <w:b/>
                <w:lang w:val="en-GB"/>
              </w:rPr>
              <w:t>D</w:t>
            </w:r>
            <w:r w:rsidR="00704A18" w:rsidRPr="00BC4F55">
              <w:rPr>
                <w:rFonts w:asciiTheme="minorHAnsi" w:hAnsiTheme="minorHAnsi"/>
                <w:b/>
                <w:lang w:val="en-GB"/>
              </w:rPr>
              <w:t xml:space="preserve">evelopment </w:t>
            </w:r>
            <w:r w:rsidR="00C63641" w:rsidRPr="00BC4F55">
              <w:rPr>
                <w:rFonts w:asciiTheme="minorHAnsi" w:hAnsiTheme="minorHAnsi"/>
                <w:b/>
                <w:lang w:val="en-GB"/>
              </w:rPr>
              <w:t>R</w:t>
            </w:r>
            <w:r w:rsidR="00704A18" w:rsidRPr="00BC4F55">
              <w:rPr>
                <w:rFonts w:asciiTheme="minorHAnsi" w:hAnsiTheme="minorHAnsi"/>
                <w:b/>
                <w:lang w:val="en-GB"/>
              </w:rPr>
              <w:t>eport</w:t>
            </w:r>
            <w:r w:rsidR="00C63641" w:rsidRPr="00BC4F55">
              <w:rPr>
                <w:rFonts w:asciiTheme="minorHAnsi" w:hAnsiTheme="minorHAnsi"/>
                <w:b/>
                <w:lang w:val="en-GB"/>
              </w:rPr>
              <w:t>s</w:t>
            </w:r>
            <w:r w:rsidR="00C63641" w:rsidRPr="00BC4F55">
              <w:rPr>
                <w:rFonts w:asciiTheme="minorHAnsi" w:hAnsiTheme="minorHAnsi"/>
                <w:lang w:val="en-GB"/>
              </w:rPr>
              <w:t xml:space="preserve">: i) </w:t>
            </w:r>
            <w:r w:rsidR="00704A18" w:rsidRPr="00BC4F55">
              <w:rPr>
                <w:rFonts w:asciiTheme="minorHAnsi" w:hAnsiTheme="minorHAnsi"/>
                <w:lang w:val="en-GB"/>
              </w:rPr>
              <w:t>NHDR 201</w:t>
            </w:r>
            <w:r w:rsidR="00DC0E0E" w:rsidRPr="00BC4F55">
              <w:rPr>
                <w:rFonts w:asciiTheme="minorHAnsi" w:hAnsiTheme="minorHAnsi"/>
                <w:lang w:val="en-GB"/>
              </w:rPr>
              <w:t>2</w:t>
            </w:r>
            <w:r w:rsidR="00704A18" w:rsidRPr="00BC4F55">
              <w:rPr>
                <w:rFonts w:asciiTheme="minorHAnsi" w:hAnsiTheme="minorHAnsi"/>
                <w:lang w:val="en-GB"/>
              </w:rPr>
              <w:t xml:space="preserve"> on Human Capital; ii) </w:t>
            </w:r>
            <w:r w:rsidR="00C63641" w:rsidRPr="00BC4F55">
              <w:rPr>
                <w:rFonts w:asciiTheme="minorHAnsi" w:hAnsiTheme="minorHAnsi"/>
                <w:lang w:val="en-GB"/>
              </w:rPr>
              <w:t>NHDR</w:t>
            </w:r>
            <w:r w:rsidR="00704A18" w:rsidRPr="00BC4F55">
              <w:rPr>
                <w:rFonts w:asciiTheme="minorHAnsi" w:hAnsiTheme="minorHAnsi"/>
                <w:lang w:val="en-GB"/>
              </w:rPr>
              <w:t xml:space="preserve"> 2014</w:t>
            </w:r>
            <w:r w:rsidR="00C63641" w:rsidRPr="00BC4F55">
              <w:rPr>
                <w:rFonts w:asciiTheme="minorHAnsi" w:hAnsiTheme="minorHAnsi"/>
                <w:lang w:val="en-GB"/>
              </w:rPr>
              <w:t xml:space="preserve"> on Resource Efficiency and ii) NHDR </w:t>
            </w:r>
            <w:r w:rsidR="00704A18" w:rsidRPr="00BC4F55">
              <w:rPr>
                <w:rFonts w:asciiTheme="minorHAnsi" w:hAnsiTheme="minorHAnsi"/>
                <w:lang w:val="en-GB"/>
              </w:rPr>
              <w:t xml:space="preserve">2016 </w:t>
            </w:r>
            <w:r w:rsidR="00C63641" w:rsidRPr="00BC4F55">
              <w:rPr>
                <w:rFonts w:asciiTheme="minorHAnsi" w:hAnsiTheme="minorHAnsi"/>
                <w:lang w:val="en-GB"/>
              </w:rPr>
              <w:t xml:space="preserve">on Informal Work (employment); </w:t>
            </w:r>
          </w:p>
          <w:p w14:paraId="29FB2225" w14:textId="5292D430" w:rsidR="00AE26FE" w:rsidRPr="00BC4F55" w:rsidRDefault="00C63641" w:rsidP="00C72C5F">
            <w:pPr>
              <w:pStyle w:val="BodyText2"/>
              <w:jc w:val="both"/>
              <w:rPr>
                <w:rFonts w:asciiTheme="minorHAnsi" w:hAnsiTheme="minorHAnsi" w:cs="Calibri"/>
                <w:lang w:val="en-GB"/>
              </w:rPr>
            </w:pPr>
            <w:r w:rsidRPr="00BC4F55">
              <w:rPr>
                <w:rFonts w:asciiTheme="minorHAnsi" w:hAnsiTheme="minorHAnsi"/>
                <w:lang w:val="en-GB"/>
              </w:rPr>
              <w:t xml:space="preserve">NHDR on Resource </w:t>
            </w:r>
            <w:r w:rsidR="00FD023F">
              <w:rPr>
                <w:rFonts w:asciiTheme="minorHAnsi" w:hAnsiTheme="minorHAnsi"/>
                <w:lang w:val="en-GB"/>
              </w:rPr>
              <w:t>E</w:t>
            </w:r>
            <w:r w:rsidRPr="00BC4F55">
              <w:rPr>
                <w:rFonts w:asciiTheme="minorHAnsi" w:hAnsiTheme="minorHAnsi"/>
                <w:lang w:val="en-GB"/>
              </w:rPr>
              <w:t xml:space="preserve">fficiency was published in 2014. </w:t>
            </w:r>
            <w:r w:rsidR="00704A18" w:rsidRPr="00BC4F55">
              <w:rPr>
                <w:rFonts w:asciiTheme="minorHAnsi" w:hAnsiTheme="minorHAnsi"/>
                <w:lang w:val="en-GB"/>
              </w:rPr>
              <w:t>R</w:t>
            </w:r>
            <w:r w:rsidRPr="00BC4F55">
              <w:rPr>
                <w:rFonts w:asciiTheme="minorHAnsi" w:hAnsiTheme="minorHAnsi"/>
                <w:lang w:val="en-GB"/>
              </w:rPr>
              <w:t>ecommendations of the Report wer</w:t>
            </w:r>
            <w:r w:rsidR="00AE26FE" w:rsidRPr="00BC4F55">
              <w:rPr>
                <w:rFonts w:asciiTheme="minorHAnsi" w:hAnsiTheme="minorHAnsi"/>
                <w:lang w:val="en-GB"/>
              </w:rPr>
              <w:t xml:space="preserve">e endorsed by the Government, </w:t>
            </w:r>
            <w:r w:rsidR="00704A18" w:rsidRPr="00BC4F55">
              <w:rPr>
                <w:rFonts w:asciiTheme="minorHAnsi" w:hAnsiTheme="minorHAnsi"/>
                <w:lang w:val="en-GB"/>
              </w:rPr>
              <w:t xml:space="preserve">and included in </w:t>
            </w:r>
            <w:r w:rsidR="00D603C2" w:rsidRPr="00BC4F55">
              <w:rPr>
                <w:rFonts w:asciiTheme="minorHAnsi" w:hAnsiTheme="minorHAnsi" w:cs="Calibri"/>
                <w:lang w:val="en-GB"/>
              </w:rPr>
              <w:t>one</w:t>
            </w:r>
            <w:r w:rsidR="00704A18" w:rsidRPr="00BC4F55">
              <w:rPr>
                <w:rFonts w:asciiTheme="minorHAnsi" w:hAnsiTheme="minorHAnsi" w:cs="Calibri"/>
                <w:lang w:val="en-GB"/>
              </w:rPr>
              <w:t xml:space="preserve"> of</w:t>
            </w:r>
            <w:r w:rsidR="00D603C2" w:rsidRPr="00BC4F55">
              <w:rPr>
                <w:rFonts w:asciiTheme="minorHAnsi" w:hAnsiTheme="minorHAnsi" w:cs="Calibri"/>
                <w:lang w:val="en-GB"/>
              </w:rPr>
              <w:t xml:space="preserve"> the most important development document</w:t>
            </w:r>
            <w:r w:rsidR="00704A18" w:rsidRPr="00BC4F55">
              <w:rPr>
                <w:rFonts w:asciiTheme="minorHAnsi" w:hAnsiTheme="minorHAnsi" w:cs="Calibri"/>
                <w:lang w:val="en-GB"/>
              </w:rPr>
              <w:t>s</w:t>
            </w:r>
            <w:r w:rsidR="00D603C2" w:rsidRPr="00BC4F55">
              <w:rPr>
                <w:rFonts w:asciiTheme="minorHAnsi" w:hAnsiTheme="minorHAnsi" w:cs="Calibri"/>
                <w:lang w:val="en-GB"/>
              </w:rPr>
              <w:t xml:space="preserve"> of the </w:t>
            </w:r>
            <w:r w:rsidR="00704A18" w:rsidRPr="00BC4F55">
              <w:rPr>
                <w:rFonts w:asciiTheme="minorHAnsi" w:hAnsiTheme="minorHAnsi" w:cs="Calibri"/>
                <w:lang w:val="en-GB"/>
              </w:rPr>
              <w:t xml:space="preserve">country </w:t>
            </w:r>
            <w:r w:rsidR="00D603C2" w:rsidRPr="00BC4F55">
              <w:rPr>
                <w:rFonts w:asciiTheme="minorHAnsi" w:hAnsiTheme="minorHAnsi" w:cs="Calibri"/>
                <w:lang w:val="en-GB"/>
              </w:rPr>
              <w:t xml:space="preserve">– </w:t>
            </w:r>
            <w:r w:rsidR="00704A18" w:rsidRPr="00BC4F55">
              <w:rPr>
                <w:rFonts w:asciiTheme="minorHAnsi" w:hAnsiTheme="minorHAnsi" w:cs="Calibri"/>
                <w:lang w:val="en-GB"/>
              </w:rPr>
              <w:t>i.e. the</w:t>
            </w:r>
            <w:r w:rsidR="00D603C2" w:rsidRPr="00BC4F55">
              <w:rPr>
                <w:rFonts w:asciiTheme="minorHAnsi" w:hAnsiTheme="minorHAnsi" w:cs="Calibri"/>
                <w:lang w:val="en-GB"/>
              </w:rPr>
              <w:t xml:space="preserve"> National Sustainable Development Strategy</w:t>
            </w:r>
            <w:r w:rsidR="00ED7235" w:rsidRPr="00BC4F55">
              <w:rPr>
                <w:rFonts w:asciiTheme="minorHAnsi" w:hAnsiTheme="minorHAnsi" w:cs="Calibri"/>
                <w:lang w:val="en-GB"/>
              </w:rPr>
              <w:t xml:space="preserve"> (2015-20</w:t>
            </w:r>
            <w:r w:rsidR="00C72C5F" w:rsidRPr="00BC4F55">
              <w:rPr>
                <w:rFonts w:asciiTheme="minorHAnsi" w:hAnsiTheme="minorHAnsi" w:cs="Calibri"/>
                <w:lang w:val="en-GB"/>
              </w:rPr>
              <w:t>30)</w:t>
            </w:r>
            <w:r w:rsidR="00695B6F" w:rsidRPr="00BC4F55">
              <w:rPr>
                <w:rFonts w:asciiTheme="minorHAnsi" w:hAnsiTheme="minorHAnsi" w:cs="Calibri"/>
                <w:lang w:val="en-GB"/>
              </w:rPr>
              <w:t xml:space="preserve">. </w:t>
            </w:r>
          </w:p>
          <w:p w14:paraId="0DA721B3" w14:textId="5360DF42" w:rsidR="00C72C5F" w:rsidRPr="00BC4F55" w:rsidRDefault="00C72C5F" w:rsidP="00C72C5F">
            <w:pPr>
              <w:pStyle w:val="BodyText2"/>
              <w:jc w:val="both"/>
              <w:rPr>
                <w:rFonts w:asciiTheme="minorHAnsi" w:hAnsiTheme="minorHAnsi"/>
                <w:lang w:val="en-GB"/>
              </w:rPr>
            </w:pPr>
            <w:r w:rsidRPr="00BC4F55">
              <w:rPr>
                <w:rFonts w:asciiTheme="minorHAnsi" w:hAnsiTheme="minorHAnsi" w:cs="Calibri"/>
                <w:lang w:val="en-GB"/>
              </w:rPr>
              <w:t xml:space="preserve">The new NHDR on </w:t>
            </w:r>
            <w:r w:rsidR="00DB3C0B" w:rsidRPr="00BC4F55">
              <w:rPr>
                <w:rFonts w:asciiTheme="minorHAnsi" w:hAnsiTheme="minorHAnsi" w:cs="Calibri"/>
                <w:lang w:val="en-GB"/>
              </w:rPr>
              <w:t>Informal W</w:t>
            </w:r>
            <w:r w:rsidRPr="00BC4F55">
              <w:rPr>
                <w:rFonts w:asciiTheme="minorHAnsi" w:hAnsiTheme="minorHAnsi" w:cs="Calibri"/>
                <w:lang w:val="en-GB"/>
              </w:rPr>
              <w:t>ork</w:t>
            </w:r>
            <w:r w:rsidR="00FD023F">
              <w:rPr>
                <w:rFonts w:asciiTheme="minorHAnsi" w:hAnsiTheme="minorHAnsi" w:cs="Calibri"/>
                <w:lang w:val="en-GB"/>
              </w:rPr>
              <w:t xml:space="preserve"> launched in May 2016</w:t>
            </w:r>
            <w:r w:rsidRPr="00BC4F55">
              <w:rPr>
                <w:rFonts w:asciiTheme="minorHAnsi" w:hAnsiTheme="minorHAnsi" w:cs="Calibri"/>
                <w:lang w:val="en-GB"/>
              </w:rPr>
              <w:t>, has be</w:t>
            </w:r>
            <w:r w:rsidR="00704A18" w:rsidRPr="00BC4F55">
              <w:rPr>
                <w:rFonts w:asciiTheme="minorHAnsi" w:hAnsiTheme="minorHAnsi" w:cs="Calibri"/>
                <w:lang w:val="en-GB"/>
              </w:rPr>
              <w:t>e</w:t>
            </w:r>
            <w:r w:rsidRPr="00BC4F55">
              <w:rPr>
                <w:rFonts w:asciiTheme="minorHAnsi" w:hAnsiTheme="minorHAnsi" w:cs="Calibri"/>
                <w:lang w:val="en-GB"/>
              </w:rPr>
              <w:t xml:space="preserve">n already </w:t>
            </w:r>
            <w:r w:rsidR="00FD023F">
              <w:rPr>
                <w:rFonts w:asciiTheme="minorHAnsi" w:hAnsiTheme="minorHAnsi" w:cs="Calibri"/>
                <w:lang w:val="en-GB"/>
              </w:rPr>
              <w:t>adopted</w:t>
            </w:r>
            <w:r w:rsidR="00FD023F" w:rsidRPr="00BC4F55">
              <w:rPr>
                <w:rFonts w:asciiTheme="minorHAnsi" w:hAnsiTheme="minorHAnsi" w:cs="Calibri"/>
                <w:lang w:val="en-GB"/>
              </w:rPr>
              <w:t xml:space="preserve"> </w:t>
            </w:r>
            <w:r w:rsidRPr="00BC4F55">
              <w:rPr>
                <w:rFonts w:asciiTheme="minorHAnsi" w:hAnsiTheme="minorHAnsi" w:cs="Calibri"/>
                <w:lang w:val="en-GB"/>
              </w:rPr>
              <w:t>by the Government</w:t>
            </w:r>
            <w:r w:rsidR="00704A18" w:rsidRPr="00BC4F55">
              <w:rPr>
                <w:rFonts w:asciiTheme="minorHAnsi" w:hAnsiTheme="minorHAnsi" w:cs="Calibri"/>
                <w:lang w:val="en-GB"/>
              </w:rPr>
              <w:t xml:space="preserve"> and is</w:t>
            </w:r>
            <w:r w:rsidRPr="00BC4F55">
              <w:rPr>
                <w:rFonts w:asciiTheme="minorHAnsi" w:hAnsiTheme="minorHAnsi" w:cs="Calibri"/>
                <w:lang w:val="en-GB"/>
              </w:rPr>
              <w:t xml:space="preserve"> already influencing a </w:t>
            </w:r>
            <w:r w:rsidR="00D603C2" w:rsidRPr="00BC4F55">
              <w:rPr>
                <w:rFonts w:asciiTheme="minorHAnsi" w:hAnsiTheme="minorHAnsi"/>
                <w:lang w:val="en-GB"/>
              </w:rPr>
              <w:t>set of new laws and policies</w:t>
            </w:r>
            <w:r w:rsidR="00704A18" w:rsidRPr="00BC4F55">
              <w:rPr>
                <w:rFonts w:asciiTheme="minorHAnsi" w:hAnsiTheme="minorHAnsi"/>
                <w:lang w:val="en-GB"/>
              </w:rPr>
              <w:t xml:space="preserve"> which will</w:t>
            </w:r>
            <w:r w:rsidR="00D603C2" w:rsidRPr="00BC4F55">
              <w:rPr>
                <w:rFonts w:asciiTheme="minorHAnsi" w:hAnsiTheme="minorHAnsi"/>
                <w:lang w:val="en-GB"/>
              </w:rPr>
              <w:t xml:space="preserve"> include disaggregated socioeconomic data drawn from </w:t>
            </w:r>
            <w:r w:rsidR="00704A18" w:rsidRPr="00BC4F55">
              <w:rPr>
                <w:rFonts w:asciiTheme="minorHAnsi" w:hAnsiTheme="minorHAnsi"/>
                <w:lang w:val="en-GB"/>
              </w:rPr>
              <w:t xml:space="preserve">the </w:t>
            </w:r>
            <w:r w:rsidR="00D603C2" w:rsidRPr="00BC4F55">
              <w:rPr>
                <w:rFonts w:asciiTheme="minorHAnsi" w:hAnsiTheme="minorHAnsi"/>
                <w:lang w:val="en-GB"/>
              </w:rPr>
              <w:t xml:space="preserve">NHDR, e.g. Law on </w:t>
            </w:r>
            <w:r w:rsidR="00704A18" w:rsidRPr="00BC4F55">
              <w:rPr>
                <w:rFonts w:asciiTheme="minorHAnsi" w:hAnsiTheme="minorHAnsi"/>
                <w:lang w:val="en-GB"/>
              </w:rPr>
              <w:t>I</w:t>
            </w:r>
            <w:r w:rsidR="00D603C2" w:rsidRPr="00BC4F55">
              <w:rPr>
                <w:rFonts w:asciiTheme="minorHAnsi" w:hAnsiTheme="minorHAnsi"/>
                <w:lang w:val="en-GB"/>
              </w:rPr>
              <w:t xml:space="preserve">nvestment </w:t>
            </w:r>
            <w:r w:rsidR="00704A18" w:rsidRPr="00BC4F55">
              <w:rPr>
                <w:rFonts w:asciiTheme="minorHAnsi" w:hAnsiTheme="minorHAnsi"/>
                <w:lang w:val="en-GB"/>
              </w:rPr>
              <w:t>P</w:t>
            </w:r>
            <w:r w:rsidR="00D603C2" w:rsidRPr="00BC4F55">
              <w:rPr>
                <w:rFonts w:asciiTheme="minorHAnsi" w:hAnsiTheme="minorHAnsi"/>
                <w:lang w:val="en-GB"/>
              </w:rPr>
              <w:t xml:space="preserve">romotion, bylaws derived from this Law, Law on Budget 2016, Law on </w:t>
            </w:r>
            <w:r w:rsidR="00704A18" w:rsidRPr="00BC4F55">
              <w:rPr>
                <w:rFonts w:asciiTheme="minorHAnsi" w:hAnsiTheme="minorHAnsi"/>
                <w:lang w:val="en-GB"/>
              </w:rPr>
              <w:t>L</w:t>
            </w:r>
            <w:r w:rsidR="00D603C2" w:rsidRPr="00BC4F55">
              <w:rPr>
                <w:rFonts w:asciiTheme="minorHAnsi" w:hAnsiTheme="minorHAnsi"/>
                <w:lang w:val="en-GB"/>
              </w:rPr>
              <w:t xml:space="preserve">abour, Law on </w:t>
            </w:r>
            <w:r w:rsidR="00704A18" w:rsidRPr="00BC4F55">
              <w:rPr>
                <w:rFonts w:asciiTheme="minorHAnsi" w:hAnsiTheme="minorHAnsi"/>
                <w:lang w:val="en-GB"/>
              </w:rPr>
              <w:t>P</w:t>
            </w:r>
            <w:r w:rsidR="00D603C2" w:rsidRPr="00BC4F55">
              <w:rPr>
                <w:rFonts w:asciiTheme="minorHAnsi" w:hAnsiTheme="minorHAnsi"/>
                <w:lang w:val="en-GB"/>
              </w:rPr>
              <w:t xml:space="preserve">ension </w:t>
            </w:r>
            <w:r w:rsidR="00704A18" w:rsidRPr="00BC4F55">
              <w:rPr>
                <w:rFonts w:asciiTheme="minorHAnsi" w:hAnsiTheme="minorHAnsi"/>
                <w:lang w:val="en-GB"/>
              </w:rPr>
              <w:t>I</w:t>
            </w:r>
            <w:r w:rsidR="00D603C2" w:rsidRPr="00BC4F55">
              <w:rPr>
                <w:rFonts w:asciiTheme="minorHAnsi" w:hAnsiTheme="minorHAnsi"/>
                <w:lang w:val="en-GB"/>
              </w:rPr>
              <w:t xml:space="preserve">nsurance, etc. Also in 2015, </w:t>
            </w:r>
            <w:r w:rsidR="00A00FA2" w:rsidRPr="00BC4F55">
              <w:rPr>
                <w:rFonts w:asciiTheme="minorHAnsi" w:hAnsiTheme="minorHAnsi"/>
                <w:lang w:val="en-GB"/>
              </w:rPr>
              <w:t>during the process of</w:t>
            </w:r>
            <w:r w:rsidR="00D603C2" w:rsidRPr="00BC4F55">
              <w:rPr>
                <w:rFonts w:asciiTheme="minorHAnsi" w:hAnsiTheme="minorHAnsi"/>
                <w:lang w:val="en-GB"/>
              </w:rPr>
              <w:t xml:space="preserve"> </w:t>
            </w:r>
            <w:r w:rsidR="00A00FA2" w:rsidRPr="00BC4F55">
              <w:rPr>
                <w:rFonts w:asciiTheme="minorHAnsi" w:hAnsiTheme="minorHAnsi"/>
                <w:lang w:val="en-GB"/>
              </w:rPr>
              <w:t xml:space="preserve">development of </w:t>
            </w:r>
            <w:r w:rsidR="00D603C2" w:rsidRPr="00BC4F55">
              <w:rPr>
                <w:rFonts w:asciiTheme="minorHAnsi" w:hAnsiTheme="minorHAnsi"/>
                <w:lang w:val="en-GB"/>
              </w:rPr>
              <w:t xml:space="preserve">the NHDR on Informal </w:t>
            </w:r>
            <w:r w:rsidR="00DB3C0B" w:rsidRPr="00BC4F55">
              <w:rPr>
                <w:rFonts w:asciiTheme="minorHAnsi" w:hAnsiTheme="minorHAnsi"/>
                <w:lang w:val="en-GB"/>
              </w:rPr>
              <w:t>Work</w:t>
            </w:r>
            <w:r w:rsidR="00D603C2" w:rsidRPr="00BC4F55">
              <w:rPr>
                <w:rFonts w:asciiTheme="minorHAnsi" w:hAnsiTheme="minorHAnsi"/>
                <w:lang w:val="en-GB"/>
              </w:rPr>
              <w:t xml:space="preserve">- specific gender dimension findings resulted in </w:t>
            </w:r>
            <w:r w:rsidR="00A00FA2" w:rsidRPr="00BC4F55">
              <w:rPr>
                <w:rFonts w:asciiTheme="minorHAnsi" w:hAnsiTheme="minorHAnsi"/>
                <w:lang w:val="en-GB"/>
              </w:rPr>
              <w:t xml:space="preserve">concrete </w:t>
            </w:r>
            <w:r w:rsidR="00D603C2" w:rsidRPr="00BC4F55">
              <w:rPr>
                <w:rFonts w:asciiTheme="minorHAnsi" w:hAnsiTheme="minorHAnsi"/>
                <w:lang w:val="en-GB"/>
              </w:rPr>
              <w:t>recommendations on policies designed to addres</w:t>
            </w:r>
            <w:r w:rsidRPr="00BC4F55">
              <w:rPr>
                <w:rFonts w:asciiTheme="minorHAnsi" w:hAnsiTheme="minorHAnsi"/>
                <w:lang w:val="en-GB"/>
              </w:rPr>
              <w:t>s women’s economic empowerment.</w:t>
            </w:r>
          </w:p>
          <w:p w14:paraId="50C39A85" w14:textId="30683581" w:rsidR="00C72C5F" w:rsidRPr="00BC4F55" w:rsidRDefault="00C72C5F" w:rsidP="00C72C5F">
            <w:pPr>
              <w:jc w:val="both"/>
              <w:rPr>
                <w:rStyle w:val="roarquestion"/>
                <w:rFonts w:asciiTheme="minorHAnsi" w:hAnsiTheme="minorHAnsi"/>
                <w:sz w:val="20"/>
                <w:lang w:val="en-GB"/>
              </w:rPr>
            </w:pPr>
            <w:r w:rsidRPr="00BC4F55">
              <w:rPr>
                <w:rStyle w:val="roarvalidationrule"/>
                <w:rFonts w:asciiTheme="minorHAnsi" w:hAnsiTheme="minorHAnsi" w:cs="Arial"/>
                <w:sz w:val="20"/>
                <w:lang w:val="en-GB"/>
              </w:rPr>
              <w:t xml:space="preserve">UNDP was very active </w:t>
            </w:r>
            <w:r w:rsidRPr="00BC4F55">
              <w:rPr>
                <w:rStyle w:val="roarvalidationrule"/>
                <w:rFonts w:asciiTheme="minorHAnsi" w:hAnsiTheme="minorHAnsi" w:cs="Arial"/>
                <w:b/>
                <w:sz w:val="20"/>
                <w:lang w:val="en-GB"/>
              </w:rPr>
              <w:t xml:space="preserve">in </w:t>
            </w:r>
            <w:r w:rsidR="00FD023F">
              <w:rPr>
                <w:rStyle w:val="roarvalidationrule"/>
                <w:rFonts w:asciiTheme="minorHAnsi" w:hAnsiTheme="minorHAnsi" w:cs="Arial"/>
                <w:b/>
                <w:sz w:val="20"/>
                <w:lang w:val="en-GB"/>
              </w:rPr>
              <w:t>P</w:t>
            </w:r>
            <w:r w:rsidRPr="00BC4F55">
              <w:rPr>
                <w:rStyle w:val="roarvalidationrule"/>
                <w:rFonts w:asciiTheme="minorHAnsi" w:hAnsiTheme="minorHAnsi" w:cs="Arial"/>
                <w:b/>
                <w:sz w:val="20"/>
                <w:lang w:val="en-GB"/>
              </w:rPr>
              <w:t>ost-2015 consultations process</w:t>
            </w:r>
            <w:r w:rsidRPr="00BC4F55">
              <w:rPr>
                <w:rStyle w:val="roarvalidationrule"/>
                <w:rFonts w:asciiTheme="minorHAnsi" w:hAnsiTheme="minorHAnsi" w:cs="Arial"/>
                <w:sz w:val="20"/>
                <w:lang w:val="en-GB"/>
              </w:rPr>
              <w:t xml:space="preserve">. As a part of this campaign, through a synchronized and well-orchestrated </w:t>
            </w:r>
            <w:r w:rsidR="00FD023F">
              <w:rPr>
                <w:rStyle w:val="roarvalidationrule"/>
                <w:rFonts w:asciiTheme="minorHAnsi" w:hAnsiTheme="minorHAnsi" w:cs="Arial"/>
                <w:sz w:val="20"/>
                <w:lang w:val="en-GB"/>
              </w:rPr>
              <w:t xml:space="preserve">first phase of the </w:t>
            </w:r>
            <w:r w:rsidRPr="00BC4F55">
              <w:rPr>
                <w:rStyle w:val="roarvalidationrule"/>
                <w:rFonts w:asciiTheme="minorHAnsi" w:hAnsiTheme="minorHAnsi" w:cs="Arial"/>
                <w:sz w:val="20"/>
                <w:lang w:val="en-GB"/>
              </w:rPr>
              <w:t>campaign, voices of more than 8</w:t>
            </w:r>
            <w:r w:rsidR="00FD023F">
              <w:rPr>
                <w:rStyle w:val="roarvalidationrule"/>
                <w:rFonts w:asciiTheme="minorHAnsi" w:hAnsiTheme="minorHAnsi" w:cs="Arial"/>
                <w:sz w:val="20"/>
                <w:lang w:val="en-GB"/>
              </w:rPr>
              <w:t>,</w:t>
            </w:r>
            <w:r w:rsidRPr="00BC4F55">
              <w:rPr>
                <w:rStyle w:val="roarvalidationrule"/>
                <w:rFonts w:asciiTheme="minorHAnsi" w:hAnsiTheme="minorHAnsi" w:cs="Arial"/>
                <w:sz w:val="20"/>
                <w:lang w:val="en-GB"/>
              </w:rPr>
              <w:t>000 people have been he</w:t>
            </w:r>
            <w:r w:rsidR="00ED7235" w:rsidRPr="00BC4F55">
              <w:rPr>
                <w:rStyle w:val="roarvalidationrule"/>
                <w:rFonts w:asciiTheme="minorHAnsi" w:hAnsiTheme="minorHAnsi" w:cs="Arial"/>
                <w:sz w:val="20"/>
                <w:lang w:val="en-GB"/>
              </w:rPr>
              <w:t>ard. As the campaign included 1.</w:t>
            </w:r>
            <w:r w:rsidRPr="00BC4F55">
              <w:rPr>
                <w:rStyle w:val="roarvalidationrule"/>
                <w:rFonts w:asciiTheme="minorHAnsi" w:hAnsiTheme="minorHAnsi" w:cs="Arial"/>
                <w:sz w:val="20"/>
                <w:lang w:val="en-GB"/>
              </w:rPr>
              <w:t>3% of Montenegro’s population of 620</w:t>
            </w:r>
            <w:r w:rsidR="00A00FA2" w:rsidRPr="00BC4F55">
              <w:rPr>
                <w:rStyle w:val="roarvalidationrule"/>
                <w:rFonts w:asciiTheme="minorHAnsi" w:hAnsiTheme="minorHAnsi" w:cs="Arial"/>
                <w:sz w:val="20"/>
                <w:lang w:val="en-GB"/>
              </w:rPr>
              <w:t>,</w:t>
            </w:r>
            <w:r w:rsidRPr="00BC4F55">
              <w:rPr>
                <w:rStyle w:val="roarvalidationrule"/>
                <w:rFonts w:asciiTheme="minorHAnsi" w:hAnsiTheme="minorHAnsi" w:cs="Arial"/>
                <w:sz w:val="20"/>
                <w:lang w:val="en-GB"/>
              </w:rPr>
              <w:t>000</w:t>
            </w:r>
            <w:r w:rsidR="00FD023F">
              <w:rPr>
                <w:rStyle w:val="roarvalidationrule"/>
                <w:rFonts w:asciiTheme="minorHAnsi" w:hAnsiTheme="minorHAnsi" w:cs="Arial"/>
                <w:sz w:val="20"/>
                <w:lang w:val="en-GB"/>
              </w:rPr>
              <w:t xml:space="preserve"> people</w:t>
            </w:r>
            <w:r w:rsidRPr="00BC4F55">
              <w:rPr>
                <w:rStyle w:val="roarvalidationrule"/>
                <w:rFonts w:asciiTheme="minorHAnsi" w:hAnsiTheme="minorHAnsi" w:cs="Arial"/>
                <w:sz w:val="20"/>
                <w:lang w:val="en-GB"/>
              </w:rPr>
              <w:t xml:space="preserve">, the process represented an unprecedented nationwide outreach within the global campaign. UNDP led this process on behalf of the UN Country Team, while all resident UN agencies were involved in the implementation. National Consultations web-gate was designed to channel discussions on future development challenges in the country, as well as to inform on key aspects of the process. The findings </w:t>
            </w:r>
            <w:r w:rsidR="00ED7235" w:rsidRPr="00BC4F55">
              <w:rPr>
                <w:rStyle w:val="roarvalidationrule"/>
                <w:rFonts w:asciiTheme="minorHAnsi" w:hAnsiTheme="minorHAnsi" w:cs="Arial"/>
                <w:sz w:val="20"/>
                <w:lang w:val="en-GB"/>
              </w:rPr>
              <w:t>were</w:t>
            </w:r>
            <w:r w:rsidRPr="00BC4F55">
              <w:rPr>
                <w:rStyle w:val="roarvalidationrule"/>
                <w:rFonts w:asciiTheme="minorHAnsi" w:hAnsiTheme="minorHAnsi" w:cs="Arial"/>
                <w:sz w:val="20"/>
                <w:lang w:val="en-GB"/>
              </w:rPr>
              <w:t xml:space="preserve"> incorporated in the National Sustainable Development Strategy of Montenegro. In the </w:t>
            </w:r>
            <w:r w:rsidR="00A00FA2" w:rsidRPr="00BC4F55">
              <w:rPr>
                <w:rStyle w:val="roarquestion"/>
                <w:rFonts w:asciiTheme="minorHAnsi" w:hAnsiTheme="minorHAnsi"/>
                <w:sz w:val="20"/>
                <w:lang w:val="en-GB"/>
              </w:rPr>
              <w:t>2</w:t>
            </w:r>
            <w:r w:rsidR="00A00FA2" w:rsidRPr="00BC4F55">
              <w:rPr>
                <w:rStyle w:val="roarquestion"/>
                <w:rFonts w:asciiTheme="minorHAnsi" w:hAnsiTheme="minorHAnsi"/>
                <w:sz w:val="20"/>
                <w:vertAlign w:val="superscript"/>
                <w:lang w:val="en-GB"/>
              </w:rPr>
              <w:t>nd</w:t>
            </w:r>
            <w:r w:rsidR="00A00FA2" w:rsidRPr="00BC4F55">
              <w:rPr>
                <w:rStyle w:val="roarquestion"/>
                <w:rFonts w:asciiTheme="minorHAnsi" w:hAnsiTheme="minorHAnsi"/>
                <w:sz w:val="20"/>
                <w:lang w:val="en-GB"/>
              </w:rPr>
              <w:t xml:space="preserve"> phase of the </w:t>
            </w:r>
            <w:r w:rsidR="00D603C2" w:rsidRPr="00BC4F55">
              <w:rPr>
                <w:rStyle w:val="roarquestion"/>
                <w:rFonts w:asciiTheme="minorHAnsi" w:hAnsiTheme="minorHAnsi"/>
                <w:sz w:val="20"/>
                <w:lang w:val="en-GB"/>
              </w:rPr>
              <w:t>Post</w:t>
            </w:r>
            <w:r w:rsidR="00FD023F">
              <w:rPr>
                <w:rStyle w:val="roarquestion"/>
                <w:rFonts w:asciiTheme="minorHAnsi" w:hAnsiTheme="minorHAnsi"/>
                <w:sz w:val="20"/>
                <w:lang w:val="en-GB"/>
              </w:rPr>
              <w:t>-</w:t>
            </w:r>
            <w:r w:rsidR="00D603C2" w:rsidRPr="00BC4F55">
              <w:rPr>
                <w:rStyle w:val="roarquestion"/>
                <w:rFonts w:asciiTheme="minorHAnsi" w:hAnsiTheme="minorHAnsi"/>
                <w:sz w:val="20"/>
                <w:lang w:val="en-GB"/>
              </w:rPr>
              <w:t xml:space="preserve">2015 </w:t>
            </w:r>
            <w:r w:rsidRPr="00BC4F55">
              <w:rPr>
                <w:rStyle w:val="roarquestion"/>
                <w:rFonts w:asciiTheme="minorHAnsi" w:hAnsiTheme="minorHAnsi"/>
                <w:sz w:val="20"/>
                <w:lang w:val="en-GB"/>
              </w:rPr>
              <w:t>consultations</w:t>
            </w:r>
            <w:r w:rsidR="00A00FA2" w:rsidRPr="00BC4F55">
              <w:rPr>
                <w:rStyle w:val="roarquestion"/>
                <w:rFonts w:asciiTheme="minorHAnsi" w:hAnsiTheme="minorHAnsi"/>
                <w:sz w:val="20"/>
                <w:lang w:val="en-GB"/>
              </w:rPr>
              <w:t>,</w:t>
            </w:r>
            <w:r w:rsidRPr="00BC4F55">
              <w:rPr>
                <w:rStyle w:val="roarquestion"/>
                <w:rFonts w:asciiTheme="minorHAnsi" w:hAnsiTheme="minorHAnsi"/>
                <w:sz w:val="20"/>
                <w:lang w:val="en-GB"/>
              </w:rPr>
              <w:t xml:space="preserve"> which</w:t>
            </w:r>
            <w:r w:rsidR="00D603C2" w:rsidRPr="00BC4F55">
              <w:rPr>
                <w:rStyle w:val="roarquestion"/>
                <w:rFonts w:asciiTheme="minorHAnsi" w:hAnsiTheme="minorHAnsi"/>
                <w:sz w:val="20"/>
                <w:lang w:val="en-GB"/>
              </w:rPr>
              <w:t xml:space="preserve"> </w:t>
            </w:r>
            <w:r w:rsidR="00A00FA2" w:rsidRPr="00BC4F55">
              <w:rPr>
                <w:rStyle w:val="roarquestion"/>
                <w:rFonts w:asciiTheme="minorHAnsi" w:hAnsiTheme="minorHAnsi"/>
                <w:sz w:val="20"/>
                <w:lang w:val="en-GB"/>
              </w:rPr>
              <w:t xml:space="preserve">was conducted under </w:t>
            </w:r>
            <w:r w:rsidR="00D603C2" w:rsidRPr="00BC4F55">
              <w:rPr>
                <w:rStyle w:val="roarquestion"/>
                <w:rFonts w:asciiTheme="minorHAnsi" w:hAnsiTheme="minorHAnsi"/>
                <w:sz w:val="20"/>
                <w:lang w:val="en-GB"/>
              </w:rPr>
              <w:t>overall coordination of</w:t>
            </w:r>
            <w:r w:rsidR="00A00FA2" w:rsidRPr="00BC4F55">
              <w:rPr>
                <w:rStyle w:val="roarquestion"/>
                <w:rFonts w:asciiTheme="minorHAnsi" w:hAnsiTheme="minorHAnsi"/>
                <w:sz w:val="20"/>
                <w:lang w:val="en-GB"/>
              </w:rPr>
              <w:t xml:space="preserve"> the</w:t>
            </w:r>
            <w:r w:rsidR="00D603C2" w:rsidRPr="00BC4F55">
              <w:rPr>
                <w:rStyle w:val="roarquestion"/>
                <w:rFonts w:asciiTheme="minorHAnsi" w:hAnsiTheme="minorHAnsi"/>
                <w:sz w:val="20"/>
                <w:lang w:val="en-GB"/>
              </w:rPr>
              <w:t xml:space="preserve"> UNCT and with </w:t>
            </w:r>
            <w:r w:rsidRPr="00BC4F55">
              <w:rPr>
                <w:rStyle w:val="roarquestion"/>
                <w:rFonts w:asciiTheme="minorHAnsi" w:hAnsiTheme="minorHAnsi"/>
                <w:sz w:val="20"/>
                <w:lang w:val="en-GB"/>
              </w:rPr>
              <w:t>UNDP support</w:t>
            </w:r>
            <w:r w:rsidR="00D603C2" w:rsidRPr="00BC4F55">
              <w:rPr>
                <w:rStyle w:val="roarquestion"/>
                <w:rFonts w:asciiTheme="minorHAnsi" w:hAnsiTheme="minorHAnsi"/>
                <w:sz w:val="20"/>
                <w:lang w:val="en-GB"/>
              </w:rPr>
              <w:t>, some 4</w:t>
            </w:r>
            <w:r w:rsidR="00FD023F">
              <w:rPr>
                <w:rStyle w:val="roarquestion"/>
                <w:rFonts w:asciiTheme="minorHAnsi" w:hAnsiTheme="minorHAnsi"/>
                <w:sz w:val="20"/>
                <w:lang w:val="en-GB"/>
              </w:rPr>
              <w:t>,</w:t>
            </w:r>
            <w:r w:rsidR="00D603C2" w:rsidRPr="00BC4F55">
              <w:rPr>
                <w:rStyle w:val="roarquestion"/>
                <w:rFonts w:asciiTheme="minorHAnsi" w:hAnsiTheme="minorHAnsi"/>
                <w:sz w:val="20"/>
                <w:lang w:val="en-GB"/>
              </w:rPr>
              <w:t>000 individuals (0.7% of population of Montenegro) were engaged</w:t>
            </w:r>
            <w:r w:rsidRPr="00BC4F55">
              <w:rPr>
                <w:rStyle w:val="roarquestion"/>
                <w:rFonts w:asciiTheme="minorHAnsi" w:hAnsiTheme="minorHAnsi"/>
                <w:sz w:val="20"/>
                <w:lang w:val="en-GB"/>
              </w:rPr>
              <w:t>.</w:t>
            </w:r>
          </w:p>
          <w:p w14:paraId="12A1C390" w14:textId="77777777" w:rsidR="000348DD" w:rsidRPr="00BC4F55" w:rsidRDefault="000348DD" w:rsidP="00C72C5F">
            <w:pPr>
              <w:jc w:val="both"/>
              <w:rPr>
                <w:rStyle w:val="roarquestion"/>
                <w:rFonts w:asciiTheme="minorHAnsi" w:hAnsiTheme="minorHAnsi"/>
                <w:b/>
                <w:sz w:val="20"/>
                <w:u w:val="single"/>
                <w:lang w:val="en-GB"/>
              </w:rPr>
            </w:pPr>
          </w:p>
          <w:p w14:paraId="0B67686A" w14:textId="1CDE91FA" w:rsidR="00C72C5F" w:rsidRPr="00BC4F55" w:rsidRDefault="000F2B58" w:rsidP="00C72C5F">
            <w:pPr>
              <w:jc w:val="both"/>
              <w:rPr>
                <w:rStyle w:val="roarquestion"/>
                <w:rFonts w:asciiTheme="minorHAnsi" w:hAnsiTheme="minorHAnsi"/>
                <w:b/>
                <w:sz w:val="20"/>
                <w:u w:val="single"/>
                <w:lang w:val="en-GB"/>
              </w:rPr>
            </w:pPr>
            <w:r w:rsidRPr="00BC4F55">
              <w:rPr>
                <w:rStyle w:val="roarquestion"/>
                <w:rFonts w:asciiTheme="minorHAnsi" w:hAnsiTheme="minorHAnsi"/>
                <w:b/>
                <w:sz w:val="20"/>
                <w:u w:val="single"/>
                <w:lang w:val="en-GB"/>
              </w:rPr>
              <w:t xml:space="preserve">Lessons learnt </w:t>
            </w:r>
          </w:p>
          <w:p w14:paraId="1201C70C" w14:textId="347A6DC9" w:rsidR="000F2B58" w:rsidRPr="00BC4F55" w:rsidRDefault="000F2B58" w:rsidP="000F2B58">
            <w:pPr>
              <w:pStyle w:val="ListParagraph"/>
              <w:numPr>
                <w:ilvl w:val="0"/>
                <w:numId w:val="19"/>
              </w:numPr>
              <w:jc w:val="both"/>
              <w:rPr>
                <w:rStyle w:val="roarquestion"/>
                <w:rFonts w:asciiTheme="minorHAnsi" w:hAnsiTheme="minorHAnsi"/>
                <w:sz w:val="20"/>
                <w:lang w:val="en-GB"/>
              </w:rPr>
            </w:pPr>
            <w:r w:rsidRPr="00BC4F55">
              <w:rPr>
                <w:rStyle w:val="roarquestion"/>
                <w:rFonts w:asciiTheme="minorHAnsi" w:hAnsiTheme="minorHAnsi"/>
                <w:sz w:val="20"/>
                <w:lang w:val="en-GB"/>
              </w:rPr>
              <w:t xml:space="preserve">Social sector reform is one of the areas where </w:t>
            </w:r>
            <w:r w:rsidR="00DC0E0E" w:rsidRPr="00BC4F55">
              <w:rPr>
                <w:rStyle w:val="roarquestion"/>
                <w:rFonts w:asciiTheme="minorHAnsi" w:hAnsiTheme="minorHAnsi"/>
                <w:sz w:val="20"/>
                <w:lang w:val="en-GB"/>
              </w:rPr>
              <w:t xml:space="preserve">joint </w:t>
            </w:r>
            <w:r w:rsidRPr="00BC4F55">
              <w:rPr>
                <w:rStyle w:val="roarquestion"/>
                <w:rFonts w:asciiTheme="minorHAnsi" w:hAnsiTheme="minorHAnsi"/>
                <w:sz w:val="20"/>
                <w:lang w:val="en-GB"/>
              </w:rPr>
              <w:t>U</w:t>
            </w:r>
            <w:r w:rsidR="00DC0E0E" w:rsidRPr="00BC4F55">
              <w:rPr>
                <w:rStyle w:val="roarquestion"/>
                <w:rFonts w:asciiTheme="minorHAnsi" w:hAnsiTheme="minorHAnsi"/>
                <w:sz w:val="20"/>
                <w:lang w:val="en-GB"/>
              </w:rPr>
              <w:t xml:space="preserve">N </w:t>
            </w:r>
            <w:r w:rsidRPr="00BC4F55">
              <w:rPr>
                <w:rStyle w:val="roarquestion"/>
                <w:rFonts w:asciiTheme="minorHAnsi" w:hAnsiTheme="minorHAnsi"/>
                <w:sz w:val="20"/>
                <w:lang w:val="en-GB"/>
              </w:rPr>
              <w:t xml:space="preserve">approach is </w:t>
            </w:r>
            <w:r w:rsidR="00D4073E">
              <w:rPr>
                <w:rStyle w:val="roarquestion"/>
                <w:rFonts w:asciiTheme="minorHAnsi" w:hAnsiTheme="minorHAnsi"/>
                <w:sz w:val="20"/>
                <w:lang w:val="en-GB"/>
              </w:rPr>
              <w:t>yielding</w:t>
            </w:r>
            <w:r w:rsidR="00D4073E" w:rsidRPr="00BC4F55">
              <w:rPr>
                <w:rStyle w:val="roarquestion"/>
                <w:rFonts w:asciiTheme="minorHAnsi" w:hAnsiTheme="minorHAnsi"/>
                <w:sz w:val="20"/>
                <w:lang w:val="en-GB"/>
              </w:rPr>
              <w:t xml:space="preserve"> </w:t>
            </w:r>
            <w:r w:rsidRPr="00BC4F55">
              <w:rPr>
                <w:rStyle w:val="roarquestion"/>
                <w:rFonts w:asciiTheme="minorHAnsi" w:hAnsiTheme="minorHAnsi"/>
                <w:sz w:val="20"/>
                <w:lang w:val="en-GB"/>
              </w:rPr>
              <w:t>significant results. UN agencies complement each other</w:t>
            </w:r>
            <w:r w:rsidR="00A00FA2" w:rsidRPr="00BC4F55">
              <w:rPr>
                <w:rStyle w:val="roarquestion"/>
                <w:rFonts w:asciiTheme="minorHAnsi" w:hAnsiTheme="minorHAnsi"/>
                <w:sz w:val="20"/>
                <w:lang w:val="en-GB"/>
              </w:rPr>
              <w:t xml:space="preserve"> and</w:t>
            </w:r>
            <w:r w:rsidRPr="00BC4F55">
              <w:rPr>
                <w:rStyle w:val="roarquestion"/>
                <w:rFonts w:asciiTheme="minorHAnsi" w:hAnsiTheme="minorHAnsi"/>
                <w:sz w:val="20"/>
                <w:lang w:val="en-GB"/>
              </w:rPr>
              <w:t xml:space="preserve"> </w:t>
            </w:r>
            <w:r w:rsidR="00ED7235" w:rsidRPr="00BC4F55">
              <w:rPr>
                <w:rStyle w:val="roarquestion"/>
                <w:rFonts w:asciiTheme="minorHAnsi" w:hAnsiTheme="minorHAnsi"/>
                <w:sz w:val="20"/>
                <w:lang w:val="en-GB"/>
              </w:rPr>
              <w:t>create</w:t>
            </w:r>
            <w:r w:rsidRPr="00BC4F55">
              <w:rPr>
                <w:rStyle w:val="roarquestion"/>
                <w:rFonts w:asciiTheme="minorHAnsi" w:hAnsiTheme="minorHAnsi"/>
                <w:sz w:val="20"/>
                <w:lang w:val="en-GB"/>
              </w:rPr>
              <w:t xml:space="preserve"> synergetic effects</w:t>
            </w:r>
            <w:r w:rsidR="00DB3C0B" w:rsidRPr="00BC4F55">
              <w:rPr>
                <w:rStyle w:val="roarquestion"/>
                <w:rFonts w:asciiTheme="minorHAnsi" w:hAnsiTheme="minorHAnsi"/>
                <w:sz w:val="20"/>
                <w:lang w:val="en-GB"/>
              </w:rPr>
              <w:t xml:space="preserve">, </w:t>
            </w:r>
            <w:r w:rsidR="00DB3C0B" w:rsidRPr="00BC4F55">
              <w:rPr>
                <w:rStyle w:val="roarquestion"/>
                <w:rFonts w:asciiTheme="minorHAnsi" w:hAnsiTheme="minorHAnsi"/>
                <w:sz w:val="20"/>
                <w:lang w:val="en-GB"/>
              </w:rPr>
              <w:lastRenderedPageBreak/>
              <w:t>for e.g.</w:t>
            </w:r>
            <w:r w:rsidR="00FD023F">
              <w:rPr>
                <w:rStyle w:val="roarquestion"/>
                <w:rFonts w:asciiTheme="minorHAnsi" w:hAnsiTheme="minorHAnsi"/>
                <w:sz w:val="20"/>
                <w:lang w:val="en-GB"/>
              </w:rPr>
              <w:t>:</w:t>
            </w:r>
            <w:r w:rsidR="00ED7235" w:rsidRPr="00BC4F55">
              <w:rPr>
                <w:rStyle w:val="roarquestion"/>
                <w:rFonts w:asciiTheme="minorHAnsi" w:hAnsiTheme="minorHAnsi"/>
                <w:sz w:val="20"/>
                <w:lang w:val="en-GB"/>
              </w:rPr>
              <w:t xml:space="preserve"> </w:t>
            </w:r>
            <w:r w:rsidRPr="00BC4F55">
              <w:rPr>
                <w:rStyle w:val="roarquestion"/>
                <w:rFonts w:asciiTheme="minorHAnsi" w:hAnsiTheme="minorHAnsi"/>
                <w:sz w:val="20"/>
                <w:lang w:val="en-GB"/>
              </w:rPr>
              <w:t xml:space="preserve">UNDP and UNICEF working on Social </w:t>
            </w:r>
            <w:r w:rsidR="00DB3C0B" w:rsidRPr="00BC4F55">
              <w:rPr>
                <w:rStyle w:val="roarquestion"/>
                <w:rFonts w:asciiTheme="minorHAnsi" w:hAnsiTheme="minorHAnsi"/>
                <w:sz w:val="20"/>
                <w:lang w:val="en-GB"/>
              </w:rPr>
              <w:t xml:space="preserve">Sector </w:t>
            </w:r>
            <w:r w:rsidRPr="00BC4F55">
              <w:rPr>
                <w:rStyle w:val="roarquestion"/>
                <w:rFonts w:asciiTheme="minorHAnsi" w:hAnsiTheme="minorHAnsi"/>
                <w:sz w:val="20"/>
                <w:lang w:val="en-GB"/>
              </w:rPr>
              <w:t>Reform</w:t>
            </w:r>
            <w:r w:rsidR="00DB3C0B" w:rsidRPr="00BC4F55">
              <w:rPr>
                <w:rStyle w:val="roarquestion"/>
                <w:rFonts w:asciiTheme="minorHAnsi" w:hAnsiTheme="minorHAnsi"/>
                <w:sz w:val="20"/>
                <w:lang w:val="en-GB"/>
              </w:rPr>
              <w:t>;</w:t>
            </w:r>
            <w:r w:rsidRPr="00BC4F55">
              <w:rPr>
                <w:rStyle w:val="roarquestion"/>
                <w:rFonts w:asciiTheme="minorHAnsi" w:hAnsiTheme="minorHAnsi"/>
                <w:sz w:val="20"/>
                <w:lang w:val="en-GB"/>
              </w:rPr>
              <w:t xml:space="preserve"> UNDP and UNHCR addressing the issues of stateless and displaced </w:t>
            </w:r>
            <w:r w:rsidR="00D4073E">
              <w:rPr>
                <w:rStyle w:val="roarquestion"/>
                <w:rFonts w:asciiTheme="minorHAnsi" w:hAnsiTheme="minorHAnsi"/>
                <w:sz w:val="20"/>
                <w:lang w:val="en-GB"/>
              </w:rPr>
              <w:t xml:space="preserve">persons </w:t>
            </w:r>
            <w:r w:rsidRPr="00BC4F55">
              <w:rPr>
                <w:rStyle w:val="roarquestion"/>
                <w:rFonts w:asciiTheme="minorHAnsi" w:hAnsiTheme="minorHAnsi"/>
                <w:sz w:val="20"/>
                <w:lang w:val="en-GB"/>
              </w:rPr>
              <w:t xml:space="preserve">by resolving the legal status of Roma population residing in the country; </w:t>
            </w:r>
            <w:r w:rsidR="00DB3C0B" w:rsidRPr="00BC4F55">
              <w:rPr>
                <w:rStyle w:val="roarquestion"/>
                <w:rFonts w:asciiTheme="minorHAnsi" w:hAnsiTheme="minorHAnsi"/>
                <w:sz w:val="20"/>
                <w:lang w:val="en-GB"/>
              </w:rPr>
              <w:t xml:space="preserve">UNDP joining forces with ILO to develop </w:t>
            </w:r>
            <w:r w:rsidRPr="00BC4F55">
              <w:rPr>
                <w:rStyle w:val="roarquestion"/>
                <w:rFonts w:asciiTheme="minorHAnsi" w:hAnsiTheme="minorHAnsi"/>
                <w:sz w:val="20"/>
                <w:lang w:val="en-GB"/>
              </w:rPr>
              <w:t xml:space="preserve">NHDR on </w:t>
            </w:r>
            <w:r w:rsidR="00DB3C0B" w:rsidRPr="00BC4F55">
              <w:rPr>
                <w:rStyle w:val="roarquestion"/>
                <w:rFonts w:asciiTheme="minorHAnsi" w:hAnsiTheme="minorHAnsi"/>
                <w:sz w:val="20"/>
                <w:lang w:val="en-GB"/>
              </w:rPr>
              <w:t xml:space="preserve">Informal </w:t>
            </w:r>
            <w:r w:rsidR="00ED7235" w:rsidRPr="00BC4F55">
              <w:rPr>
                <w:rStyle w:val="roarquestion"/>
                <w:rFonts w:asciiTheme="minorHAnsi" w:hAnsiTheme="minorHAnsi"/>
                <w:sz w:val="20"/>
                <w:lang w:val="en-GB"/>
              </w:rPr>
              <w:t xml:space="preserve">Work. </w:t>
            </w:r>
          </w:p>
          <w:p w14:paraId="2869F817" w14:textId="0D87279D" w:rsidR="00700521" w:rsidRPr="00BC4F55" w:rsidRDefault="000F2B58" w:rsidP="00DB3C0B">
            <w:pPr>
              <w:pStyle w:val="ListParagraph"/>
              <w:numPr>
                <w:ilvl w:val="0"/>
                <w:numId w:val="19"/>
              </w:numPr>
              <w:jc w:val="both"/>
              <w:rPr>
                <w:rFonts w:asciiTheme="minorHAnsi" w:hAnsiTheme="minorHAnsi"/>
                <w:lang w:val="en-GB"/>
              </w:rPr>
            </w:pPr>
            <w:r w:rsidRPr="00BC4F55">
              <w:rPr>
                <w:rStyle w:val="roarquestion"/>
                <w:rFonts w:asciiTheme="minorHAnsi" w:hAnsiTheme="minorHAnsi"/>
                <w:sz w:val="20"/>
                <w:lang w:val="en-GB"/>
              </w:rPr>
              <w:t>Introduction of new technologies</w:t>
            </w:r>
            <w:r w:rsidR="001139D9" w:rsidRPr="00BC4F55">
              <w:rPr>
                <w:rStyle w:val="roarquestion"/>
                <w:rFonts w:asciiTheme="minorHAnsi" w:hAnsiTheme="minorHAnsi"/>
                <w:sz w:val="20"/>
                <w:lang w:val="en-GB"/>
              </w:rPr>
              <w:t xml:space="preserve"> (ICT)</w:t>
            </w:r>
            <w:r w:rsidR="000348DD" w:rsidRPr="00BC4F55">
              <w:rPr>
                <w:rStyle w:val="roarquestion"/>
                <w:rFonts w:asciiTheme="minorHAnsi" w:hAnsiTheme="minorHAnsi"/>
                <w:sz w:val="20"/>
                <w:lang w:val="en-GB"/>
              </w:rPr>
              <w:t xml:space="preserve"> </w:t>
            </w:r>
            <w:r w:rsidRPr="00BC4F55">
              <w:rPr>
                <w:rStyle w:val="roarquestion"/>
                <w:rFonts w:asciiTheme="minorHAnsi" w:hAnsiTheme="minorHAnsi"/>
                <w:sz w:val="20"/>
                <w:lang w:val="en-GB"/>
              </w:rPr>
              <w:t>was recognized as a valuable instrument i</w:t>
            </w:r>
            <w:r w:rsidR="001139D9" w:rsidRPr="00BC4F55">
              <w:rPr>
                <w:rStyle w:val="roarquestion"/>
                <w:rFonts w:asciiTheme="minorHAnsi" w:hAnsiTheme="minorHAnsi"/>
                <w:sz w:val="20"/>
                <w:lang w:val="en-GB"/>
              </w:rPr>
              <w:t>n increa</w:t>
            </w:r>
            <w:r w:rsidRPr="00BC4F55">
              <w:rPr>
                <w:rStyle w:val="roarquestion"/>
                <w:rFonts w:asciiTheme="minorHAnsi" w:hAnsiTheme="minorHAnsi"/>
                <w:sz w:val="20"/>
                <w:lang w:val="en-GB"/>
              </w:rPr>
              <w:t>sing the</w:t>
            </w:r>
            <w:r w:rsidR="001139D9" w:rsidRPr="00BC4F55">
              <w:rPr>
                <w:rStyle w:val="roarquestion"/>
                <w:rFonts w:asciiTheme="minorHAnsi" w:hAnsiTheme="minorHAnsi"/>
                <w:sz w:val="20"/>
                <w:lang w:val="en-GB"/>
              </w:rPr>
              <w:t xml:space="preserve"> overall</w:t>
            </w:r>
            <w:r w:rsidRPr="00BC4F55">
              <w:rPr>
                <w:rStyle w:val="roarquestion"/>
                <w:rFonts w:asciiTheme="minorHAnsi" w:hAnsiTheme="minorHAnsi"/>
                <w:sz w:val="20"/>
                <w:lang w:val="en-GB"/>
              </w:rPr>
              <w:t xml:space="preserve"> efficienc</w:t>
            </w:r>
            <w:r w:rsidR="001139D9" w:rsidRPr="00BC4F55">
              <w:rPr>
                <w:rStyle w:val="roarquestion"/>
                <w:rFonts w:asciiTheme="minorHAnsi" w:hAnsiTheme="minorHAnsi"/>
                <w:sz w:val="20"/>
                <w:lang w:val="en-GB"/>
              </w:rPr>
              <w:t>y of the system, while at same time, it enables</w:t>
            </w:r>
            <w:r w:rsidRPr="00BC4F55">
              <w:rPr>
                <w:rStyle w:val="roarquestion"/>
                <w:rFonts w:asciiTheme="minorHAnsi" w:hAnsiTheme="minorHAnsi"/>
                <w:sz w:val="20"/>
                <w:lang w:val="en-GB"/>
              </w:rPr>
              <w:t xml:space="preserve"> b</w:t>
            </w:r>
            <w:r w:rsidR="001139D9" w:rsidRPr="00BC4F55">
              <w:rPr>
                <w:rStyle w:val="roarquestion"/>
                <w:rFonts w:asciiTheme="minorHAnsi" w:hAnsiTheme="minorHAnsi"/>
                <w:sz w:val="20"/>
                <w:lang w:val="en-GB"/>
              </w:rPr>
              <w:t>e</w:t>
            </w:r>
            <w:r w:rsidRPr="00BC4F55">
              <w:rPr>
                <w:rStyle w:val="roarquestion"/>
                <w:rFonts w:asciiTheme="minorHAnsi" w:hAnsiTheme="minorHAnsi"/>
                <w:sz w:val="20"/>
                <w:lang w:val="en-GB"/>
              </w:rPr>
              <w:t xml:space="preserve">tter targeting and reducing inclusion/exclusion errors. </w:t>
            </w:r>
          </w:p>
        </w:tc>
      </w:tr>
      <w:tr w:rsidR="00B35C05" w:rsidRPr="00BC4F55" w14:paraId="2869F81F" w14:textId="77777777" w:rsidTr="00ED7235">
        <w:tc>
          <w:tcPr>
            <w:tcW w:w="3060" w:type="dxa"/>
            <w:tcBorders>
              <w:bottom w:val="single" w:sz="4" w:space="0" w:color="auto"/>
            </w:tcBorders>
            <w:shd w:val="clear" w:color="auto" w:fill="95B3D7" w:themeFill="accent1" w:themeFillTint="99"/>
          </w:tcPr>
          <w:p w14:paraId="2869F819" w14:textId="393065D2" w:rsidR="00B35C05" w:rsidRPr="00BC4F55" w:rsidRDefault="00B35C05" w:rsidP="00B35C05">
            <w:pPr>
              <w:pStyle w:val="BodyText2"/>
              <w:rPr>
                <w:rFonts w:asciiTheme="minorHAnsi" w:hAnsiTheme="minorHAnsi"/>
                <w:b/>
                <w:lang w:val="en-GB"/>
              </w:rPr>
            </w:pPr>
            <w:r w:rsidRPr="00BC4F55">
              <w:rPr>
                <w:rFonts w:asciiTheme="minorHAnsi" w:hAnsiTheme="minorHAnsi"/>
                <w:b/>
                <w:lang w:val="en-GB"/>
              </w:rPr>
              <w:lastRenderedPageBreak/>
              <w:t xml:space="preserve">2. Fostering a democratic society that fully respects, protects and fulfils human rights through </w:t>
            </w:r>
            <w:r w:rsidR="00D4073E">
              <w:rPr>
                <w:rFonts w:asciiTheme="minorHAnsi" w:hAnsiTheme="minorHAnsi"/>
                <w:b/>
                <w:lang w:val="en-GB"/>
              </w:rPr>
              <w:t xml:space="preserve">the </w:t>
            </w:r>
            <w:r w:rsidRPr="00BC4F55">
              <w:rPr>
                <w:rFonts w:asciiTheme="minorHAnsi" w:hAnsiTheme="minorHAnsi"/>
                <w:b/>
                <w:lang w:val="en-GB"/>
              </w:rPr>
              <w:t>rule of law, government transparency and accountability</w:t>
            </w:r>
            <w:r w:rsidRPr="00BC4F55">
              <w:rPr>
                <w:rFonts w:asciiTheme="minorHAnsi" w:hAnsiTheme="minorHAnsi"/>
                <w:b/>
                <w:i/>
                <w:lang w:val="en-GB"/>
              </w:rPr>
              <w:t>.</w:t>
            </w:r>
          </w:p>
        </w:tc>
        <w:tc>
          <w:tcPr>
            <w:tcW w:w="1453" w:type="dxa"/>
            <w:gridSpan w:val="2"/>
            <w:tcBorders>
              <w:bottom w:val="single" w:sz="4" w:space="0" w:color="auto"/>
            </w:tcBorders>
            <w:shd w:val="clear" w:color="auto" w:fill="auto"/>
          </w:tcPr>
          <w:p w14:paraId="2869F81A" w14:textId="151D7AA4" w:rsidR="00B35C05" w:rsidRPr="00BC4F55" w:rsidRDefault="00BA2252" w:rsidP="00B35C05">
            <w:pPr>
              <w:pStyle w:val="BodyText2"/>
              <w:rPr>
                <w:rFonts w:asciiTheme="minorHAnsi" w:hAnsiTheme="minorHAnsi"/>
                <w:lang w:val="en-GB"/>
              </w:rPr>
            </w:pPr>
            <w:r w:rsidRPr="00BC4F55">
              <w:rPr>
                <w:rFonts w:asciiTheme="minorHAnsi" w:hAnsiTheme="minorHAnsi"/>
                <w:lang w:val="en-GB"/>
              </w:rPr>
              <w:t>$7,002</w:t>
            </w:r>
          </w:p>
        </w:tc>
        <w:tc>
          <w:tcPr>
            <w:tcW w:w="4037" w:type="dxa"/>
            <w:tcBorders>
              <w:left w:val="single" w:sz="4" w:space="0" w:color="auto"/>
              <w:bottom w:val="single" w:sz="4" w:space="0" w:color="auto"/>
            </w:tcBorders>
          </w:tcPr>
          <w:p w14:paraId="1D940651" w14:textId="10BEF9EA" w:rsidR="00B35C05" w:rsidRPr="00BC4F55" w:rsidRDefault="00B35C05" w:rsidP="00ED7235">
            <w:pPr>
              <w:pStyle w:val="BodyText2"/>
              <w:numPr>
                <w:ilvl w:val="0"/>
                <w:numId w:val="22"/>
              </w:numPr>
              <w:rPr>
                <w:rFonts w:asciiTheme="minorHAnsi" w:hAnsiTheme="minorHAnsi"/>
                <w:i/>
                <w:lang w:val="en-GB"/>
              </w:rPr>
            </w:pPr>
            <w:r w:rsidRPr="00BC4F55">
              <w:rPr>
                <w:rFonts w:asciiTheme="minorHAnsi" w:hAnsiTheme="minorHAnsi"/>
                <w:i/>
                <w:lang w:val="en-GB"/>
              </w:rPr>
              <w:t>Transparency International Index (2010:</w:t>
            </w:r>
            <w:r w:rsidR="00D4073E">
              <w:rPr>
                <w:rFonts w:asciiTheme="minorHAnsi" w:hAnsiTheme="minorHAnsi"/>
                <w:i/>
                <w:lang w:val="en-GB"/>
              </w:rPr>
              <w:t xml:space="preserve"> </w:t>
            </w:r>
            <w:r w:rsidRPr="00BC4F55">
              <w:rPr>
                <w:rFonts w:asciiTheme="minorHAnsi" w:hAnsiTheme="minorHAnsi"/>
                <w:i/>
                <w:lang w:val="en-GB"/>
              </w:rPr>
              <w:t xml:space="preserve">3.7); </w:t>
            </w:r>
          </w:p>
          <w:p w14:paraId="68D32309" w14:textId="77777777" w:rsidR="00ED7235" w:rsidRPr="00BC4F55" w:rsidRDefault="00B35C05" w:rsidP="00ED7235">
            <w:pPr>
              <w:pStyle w:val="BodyText2"/>
              <w:numPr>
                <w:ilvl w:val="0"/>
                <w:numId w:val="22"/>
              </w:numPr>
              <w:rPr>
                <w:rFonts w:asciiTheme="minorHAnsi" w:hAnsiTheme="minorHAnsi"/>
                <w:i/>
                <w:lang w:val="en-GB"/>
              </w:rPr>
            </w:pPr>
            <w:r w:rsidRPr="00BC4F55">
              <w:rPr>
                <w:rFonts w:asciiTheme="minorHAnsi" w:hAnsiTheme="minorHAnsi"/>
                <w:i/>
                <w:lang w:val="en-GB"/>
              </w:rPr>
              <w:t xml:space="preserve">Rate and pace of success in meeting European Union progressive benchmarks (2010: candidacy status; 7 specific benchmarks set); </w:t>
            </w:r>
          </w:p>
          <w:p w14:paraId="2869F81C" w14:textId="2B5513E5" w:rsidR="00B35C05" w:rsidRPr="00BC4F55" w:rsidRDefault="00B35C05" w:rsidP="00ED7235">
            <w:pPr>
              <w:pStyle w:val="BodyText2"/>
              <w:numPr>
                <w:ilvl w:val="0"/>
                <w:numId w:val="22"/>
              </w:numPr>
              <w:rPr>
                <w:rFonts w:asciiTheme="minorHAnsi" w:hAnsiTheme="minorHAnsi"/>
                <w:i/>
                <w:lang w:val="en-GB"/>
              </w:rPr>
            </w:pPr>
            <w:r w:rsidRPr="00BC4F55">
              <w:rPr>
                <w:rFonts w:asciiTheme="minorHAnsi" w:hAnsiTheme="minorHAnsi"/>
                <w:i/>
                <w:lang w:val="en-GB"/>
              </w:rPr>
              <w:t>Public Perception on Transparency and Effectiveness of Public Administration (2010 survey baseline)</w:t>
            </w:r>
            <w:r w:rsidR="00D4073E">
              <w:rPr>
                <w:rFonts w:asciiTheme="minorHAnsi" w:hAnsiTheme="minorHAnsi"/>
                <w:i/>
                <w:lang w:val="en-GB"/>
              </w:rPr>
              <w:t>.</w:t>
            </w:r>
          </w:p>
        </w:tc>
        <w:tc>
          <w:tcPr>
            <w:tcW w:w="5490" w:type="dxa"/>
            <w:tcBorders>
              <w:bottom w:val="single" w:sz="4" w:space="0" w:color="auto"/>
            </w:tcBorders>
            <w:shd w:val="clear" w:color="auto" w:fill="auto"/>
          </w:tcPr>
          <w:p w14:paraId="4E657D91" w14:textId="37E413C0" w:rsidR="00B35C05" w:rsidRPr="00BC4F55" w:rsidRDefault="00B35C05" w:rsidP="00ED7235">
            <w:pPr>
              <w:pStyle w:val="BodyText2"/>
              <w:numPr>
                <w:ilvl w:val="0"/>
                <w:numId w:val="13"/>
              </w:numPr>
              <w:rPr>
                <w:rFonts w:asciiTheme="minorHAnsi" w:hAnsiTheme="minorHAnsi"/>
                <w:i/>
                <w:lang w:val="en-GB"/>
              </w:rPr>
            </w:pPr>
            <w:r w:rsidRPr="00BC4F55">
              <w:rPr>
                <w:rFonts w:asciiTheme="minorHAnsi" w:hAnsiTheme="minorHAnsi"/>
                <w:i/>
                <w:lang w:val="en-GB"/>
              </w:rPr>
              <w:t>Transparency International Index (2014 Montenegro score: 42 (0-highly corrupt and 100 –very clean)</w:t>
            </w:r>
            <w:r w:rsidR="00D4073E">
              <w:rPr>
                <w:rFonts w:asciiTheme="minorHAnsi" w:hAnsiTheme="minorHAnsi"/>
                <w:i/>
                <w:lang w:val="en-GB"/>
              </w:rPr>
              <w:t>;</w:t>
            </w:r>
          </w:p>
          <w:p w14:paraId="2792D789" w14:textId="43D67940" w:rsidR="00ED7235" w:rsidRPr="00BC4F55" w:rsidRDefault="00B35C05" w:rsidP="00ED7235">
            <w:pPr>
              <w:pStyle w:val="BodyText2"/>
              <w:numPr>
                <w:ilvl w:val="0"/>
                <w:numId w:val="13"/>
              </w:numPr>
              <w:rPr>
                <w:rFonts w:asciiTheme="minorHAnsi" w:hAnsiTheme="minorHAnsi"/>
                <w:i/>
                <w:lang w:val="en-GB"/>
              </w:rPr>
            </w:pPr>
            <w:r w:rsidRPr="00BC4F55">
              <w:rPr>
                <w:rFonts w:asciiTheme="minorHAnsi" w:hAnsiTheme="minorHAnsi"/>
                <w:i/>
                <w:lang w:val="en-GB"/>
              </w:rPr>
              <w:t>Rate and pace of success in meeting European Union progressive benchmarks. (20 out of 33 EU negotiation chapters opened and 2 provisionally closed)</w:t>
            </w:r>
            <w:r w:rsidR="00D4073E">
              <w:rPr>
                <w:rFonts w:asciiTheme="minorHAnsi" w:hAnsiTheme="minorHAnsi"/>
                <w:i/>
                <w:lang w:val="en-GB"/>
              </w:rPr>
              <w:t>;</w:t>
            </w:r>
          </w:p>
          <w:p w14:paraId="2869F81E" w14:textId="57D2838C" w:rsidR="00B35C05" w:rsidRPr="00BC4F55" w:rsidRDefault="00B35C05" w:rsidP="00D4073E">
            <w:pPr>
              <w:pStyle w:val="BodyText2"/>
              <w:numPr>
                <w:ilvl w:val="0"/>
                <w:numId w:val="13"/>
              </w:numPr>
              <w:rPr>
                <w:rFonts w:asciiTheme="minorHAnsi" w:hAnsiTheme="minorHAnsi"/>
                <w:i/>
                <w:lang w:val="en-GB"/>
              </w:rPr>
            </w:pPr>
            <w:r w:rsidRPr="00BC4F55">
              <w:rPr>
                <w:rFonts w:asciiTheme="minorHAnsi" w:hAnsiTheme="minorHAnsi"/>
                <w:i/>
                <w:lang w:val="en-GB"/>
              </w:rPr>
              <w:t>N/A, Survey was not conducted</w:t>
            </w:r>
            <w:r w:rsidR="00D4073E">
              <w:rPr>
                <w:rFonts w:asciiTheme="minorHAnsi" w:hAnsiTheme="minorHAnsi"/>
                <w:i/>
                <w:lang w:val="en-GB"/>
              </w:rPr>
              <w:t>.</w:t>
            </w:r>
            <w:r w:rsidRPr="00BC4F55">
              <w:rPr>
                <w:rFonts w:asciiTheme="minorHAnsi" w:hAnsiTheme="minorHAnsi"/>
                <w:i/>
                <w:lang w:val="en-GB"/>
              </w:rPr>
              <w:t xml:space="preserve"> </w:t>
            </w:r>
          </w:p>
        </w:tc>
      </w:tr>
      <w:tr w:rsidR="00700521" w:rsidRPr="00BC4F55" w14:paraId="2869F824" w14:textId="77777777" w:rsidTr="00213F95">
        <w:tc>
          <w:tcPr>
            <w:tcW w:w="14040" w:type="dxa"/>
            <w:gridSpan w:val="5"/>
          </w:tcPr>
          <w:p w14:paraId="2869F820" w14:textId="22868A4C" w:rsidR="00700521" w:rsidRPr="00BC4F55" w:rsidRDefault="00700521" w:rsidP="00B537E3">
            <w:pPr>
              <w:pStyle w:val="BodyText2"/>
              <w:jc w:val="both"/>
              <w:rPr>
                <w:rFonts w:asciiTheme="minorHAnsi" w:hAnsiTheme="minorHAnsi"/>
                <w:b/>
                <w:lang w:val="en-GB"/>
              </w:rPr>
            </w:pPr>
            <w:r w:rsidRPr="00BC4F55">
              <w:rPr>
                <w:rFonts w:asciiTheme="minorHAnsi" w:hAnsiTheme="minorHAnsi"/>
                <w:b/>
                <w:lang w:val="en-GB"/>
              </w:rPr>
              <w:t>UNDP Contribution:</w:t>
            </w:r>
          </w:p>
          <w:p w14:paraId="2869F822" w14:textId="77777777" w:rsidR="008B06DD" w:rsidRPr="00BC4F55" w:rsidRDefault="008B06DD" w:rsidP="00B537E3">
            <w:pPr>
              <w:pStyle w:val="BodyText2"/>
              <w:jc w:val="both"/>
              <w:rPr>
                <w:rFonts w:asciiTheme="minorHAnsi" w:hAnsiTheme="minorHAnsi"/>
                <w:b/>
                <w:lang w:val="en-GB"/>
              </w:rPr>
            </w:pPr>
            <w:r w:rsidRPr="00BC4F55">
              <w:rPr>
                <w:rFonts w:asciiTheme="minorHAnsi" w:hAnsiTheme="minorHAnsi"/>
                <w:b/>
                <w:u w:val="single"/>
                <w:lang w:val="en-GB"/>
              </w:rPr>
              <w:t>CP Outputs</w:t>
            </w:r>
            <w:r w:rsidR="00845340" w:rsidRPr="00BC4F55">
              <w:rPr>
                <w:rFonts w:asciiTheme="minorHAnsi" w:hAnsiTheme="minorHAnsi"/>
                <w:b/>
                <w:lang w:val="en-GB"/>
              </w:rPr>
              <w:t>:</w:t>
            </w:r>
          </w:p>
          <w:p w14:paraId="6619BB2D" w14:textId="420D6F4C" w:rsidR="00CA4949" w:rsidRPr="00BC4F55" w:rsidRDefault="00CA4949" w:rsidP="00EE349E">
            <w:pPr>
              <w:pStyle w:val="BodyText2"/>
              <w:jc w:val="both"/>
              <w:rPr>
                <w:rFonts w:asciiTheme="minorHAnsi" w:hAnsiTheme="minorHAnsi"/>
                <w:lang w:val="en-GB"/>
              </w:rPr>
            </w:pPr>
            <w:r w:rsidRPr="00BC4F55">
              <w:rPr>
                <w:rFonts w:asciiTheme="minorHAnsi" w:hAnsiTheme="minorHAnsi"/>
                <w:lang w:val="en-GB"/>
              </w:rPr>
              <w:t xml:space="preserve">2.1: Implementation of </w:t>
            </w:r>
            <w:r w:rsidR="00DB3C0B" w:rsidRPr="00BC4F55">
              <w:rPr>
                <w:rFonts w:asciiTheme="minorHAnsi" w:hAnsiTheme="minorHAnsi"/>
                <w:lang w:val="en-GB"/>
              </w:rPr>
              <w:t>the L</w:t>
            </w:r>
            <w:r w:rsidRPr="00BC4F55">
              <w:rPr>
                <w:rFonts w:asciiTheme="minorHAnsi" w:hAnsiTheme="minorHAnsi"/>
                <w:lang w:val="en-GB"/>
              </w:rPr>
              <w:t xml:space="preserve">aw on </w:t>
            </w:r>
            <w:r w:rsidR="00DB3C0B" w:rsidRPr="00BC4F55">
              <w:rPr>
                <w:rFonts w:asciiTheme="minorHAnsi" w:hAnsiTheme="minorHAnsi"/>
                <w:lang w:val="en-GB"/>
              </w:rPr>
              <w:t>L</w:t>
            </w:r>
            <w:r w:rsidRPr="00BC4F55">
              <w:rPr>
                <w:rFonts w:asciiTheme="minorHAnsi" w:hAnsiTheme="minorHAnsi"/>
                <w:lang w:val="en-GB"/>
              </w:rPr>
              <w:t xml:space="preserve">egal </w:t>
            </w:r>
            <w:r w:rsidR="00DB3C0B" w:rsidRPr="00BC4F55">
              <w:rPr>
                <w:rFonts w:asciiTheme="minorHAnsi" w:hAnsiTheme="minorHAnsi"/>
                <w:lang w:val="en-GB"/>
              </w:rPr>
              <w:t>A</w:t>
            </w:r>
            <w:r w:rsidRPr="00BC4F55">
              <w:rPr>
                <w:rFonts w:asciiTheme="minorHAnsi" w:hAnsiTheme="minorHAnsi"/>
                <w:lang w:val="en-GB"/>
              </w:rPr>
              <w:t xml:space="preserve">id; </w:t>
            </w:r>
            <w:r w:rsidR="00D4073E">
              <w:rPr>
                <w:rFonts w:asciiTheme="minorHAnsi" w:hAnsiTheme="minorHAnsi"/>
                <w:lang w:val="en-GB"/>
              </w:rPr>
              <w:t>I</w:t>
            </w:r>
            <w:r w:rsidRPr="00BC4F55">
              <w:rPr>
                <w:rFonts w:asciiTheme="minorHAnsi" w:hAnsiTheme="minorHAnsi"/>
                <w:lang w:val="en-GB"/>
              </w:rPr>
              <w:t>ncreased use of mediation and alternative sanctions</w:t>
            </w:r>
            <w:r w:rsidR="00D4073E">
              <w:rPr>
                <w:rFonts w:asciiTheme="minorHAnsi" w:hAnsiTheme="minorHAnsi"/>
                <w:lang w:val="en-GB"/>
              </w:rPr>
              <w:t>;</w:t>
            </w:r>
          </w:p>
          <w:p w14:paraId="042E944E" w14:textId="49A6A28C" w:rsidR="00CA4949" w:rsidRPr="00BC4F55" w:rsidRDefault="00CA4949" w:rsidP="00B537E3">
            <w:pPr>
              <w:pStyle w:val="BodyText2"/>
              <w:jc w:val="both"/>
              <w:rPr>
                <w:rFonts w:asciiTheme="minorHAnsi" w:hAnsiTheme="minorHAnsi"/>
                <w:lang w:val="en-GB"/>
              </w:rPr>
            </w:pPr>
            <w:r w:rsidRPr="00BC4F55">
              <w:rPr>
                <w:rFonts w:asciiTheme="minorHAnsi" w:hAnsiTheme="minorHAnsi"/>
                <w:lang w:val="en-GB"/>
              </w:rPr>
              <w:t>2.2: Government coordination authority set up for</w:t>
            </w:r>
            <w:r w:rsidR="000C0728" w:rsidRPr="00BC4F55">
              <w:rPr>
                <w:rFonts w:asciiTheme="minorHAnsi" w:hAnsiTheme="minorHAnsi"/>
                <w:lang w:val="en-GB"/>
              </w:rPr>
              <w:t xml:space="preserve"> the</w:t>
            </w:r>
            <w:r w:rsidRPr="00BC4F55">
              <w:rPr>
                <w:rFonts w:asciiTheme="minorHAnsi" w:hAnsiTheme="minorHAnsi"/>
                <w:lang w:val="en-GB"/>
              </w:rPr>
              <w:t xml:space="preserve"> implementation of </w:t>
            </w:r>
            <w:r w:rsidR="00D4073E">
              <w:rPr>
                <w:rFonts w:asciiTheme="minorHAnsi" w:hAnsiTheme="minorHAnsi"/>
                <w:lang w:val="en-GB"/>
              </w:rPr>
              <w:t>the P</w:t>
            </w:r>
            <w:r w:rsidRPr="00BC4F55">
              <w:rPr>
                <w:rFonts w:asciiTheme="minorHAnsi" w:hAnsiTheme="minorHAnsi"/>
                <w:lang w:val="en-GB"/>
              </w:rPr>
              <w:t xml:space="preserve">ublic </w:t>
            </w:r>
            <w:r w:rsidR="00D4073E">
              <w:rPr>
                <w:rFonts w:asciiTheme="minorHAnsi" w:hAnsiTheme="minorHAnsi"/>
                <w:lang w:val="en-GB"/>
              </w:rPr>
              <w:t>A</w:t>
            </w:r>
            <w:r w:rsidRPr="00BC4F55">
              <w:rPr>
                <w:rFonts w:asciiTheme="minorHAnsi" w:hAnsiTheme="minorHAnsi"/>
                <w:lang w:val="en-GB"/>
              </w:rPr>
              <w:t xml:space="preserve">dministration </w:t>
            </w:r>
            <w:r w:rsidR="00D4073E">
              <w:rPr>
                <w:rFonts w:asciiTheme="minorHAnsi" w:hAnsiTheme="minorHAnsi"/>
                <w:lang w:val="en-GB"/>
              </w:rPr>
              <w:t>R</w:t>
            </w:r>
            <w:r w:rsidRPr="00BC4F55">
              <w:rPr>
                <w:rFonts w:asciiTheme="minorHAnsi" w:hAnsiTheme="minorHAnsi"/>
                <w:lang w:val="en-GB"/>
              </w:rPr>
              <w:t xml:space="preserve">eform </w:t>
            </w:r>
            <w:r w:rsidR="00D4073E">
              <w:rPr>
                <w:rFonts w:asciiTheme="minorHAnsi" w:hAnsiTheme="minorHAnsi"/>
                <w:lang w:val="en-GB"/>
              </w:rPr>
              <w:t>S</w:t>
            </w:r>
            <w:r w:rsidRPr="00BC4F55">
              <w:rPr>
                <w:rFonts w:asciiTheme="minorHAnsi" w:hAnsiTheme="minorHAnsi"/>
                <w:lang w:val="en-GB"/>
              </w:rPr>
              <w:t>trategy</w:t>
            </w:r>
            <w:r w:rsidR="00D4073E">
              <w:rPr>
                <w:rFonts w:asciiTheme="minorHAnsi" w:hAnsiTheme="minorHAnsi"/>
                <w:lang w:val="en-GB"/>
              </w:rPr>
              <w:t>;</w:t>
            </w:r>
          </w:p>
          <w:p w14:paraId="09FC177B" w14:textId="3D04334F" w:rsidR="00CA4949" w:rsidRPr="00BC4F55" w:rsidRDefault="00CA4949" w:rsidP="00B537E3">
            <w:pPr>
              <w:pStyle w:val="BodyText2"/>
              <w:jc w:val="both"/>
              <w:rPr>
                <w:rFonts w:asciiTheme="minorHAnsi" w:hAnsiTheme="minorHAnsi"/>
                <w:lang w:val="en-GB"/>
              </w:rPr>
            </w:pPr>
            <w:r w:rsidRPr="00BC4F55">
              <w:rPr>
                <w:rFonts w:asciiTheme="minorHAnsi" w:hAnsiTheme="minorHAnsi"/>
                <w:lang w:val="en-GB"/>
              </w:rPr>
              <w:t>2.3: Improved capacities at the local level for project management, monitoring and evaluation, public finance and inter-municipal cooperation</w:t>
            </w:r>
            <w:r w:rsidR="00D4073E">
              <w:rPr>
                <w:rFonts w:asciiTheme="minorHAnsi" w:hAnsiTheme="minorHAnsi"/>
                <w:lang w:val="en-GB"/>
              </w:rPr>
              <w:t>;</w:t>
            </w:r>
          </w:p>
          <w:p w14:paraId="271D846E" w14:textId="653138A9" w:rsidR="00CA4949" w:rsidRPr="00BC4F55" w:rsidRDefault="00CA4949" w:rsidP="00B537E3">
            <w:pPr>
              <w:pStyle w:val="BodyText2"/>
              <w:jc w:val="both"/>
              <w:rPr>
                <w:rFonts w:asciiTheme="minorHAnsi" w:hAnsiTheme="minorHAnsi"/>
                <w:lang w:val="en-GB"/>
              </w:rPr>
            </w:pPr>
            <w:r w:rsidRPr="00BC4F55">
              <w:rPr>
                <w:rFonts w:asciiTheme="minorHAnsi" w:hAnsiTheme="minorHAnsi"/>
                <w:lang w:val="en-GB"/>
              </w:rPr>
              <w:t>2.4: Anti-corruption institutions have improved capacities for qualitative analysis and reporting</w:t>
            </w:r>
            <w:r w:rsidR="00D4073E">
              <w:rPr>
                <w:rFonts w:asciiTheme="minorHAnsi" w:hAnsiTheme="minorHAnsi"/>
                <w:lang w:val="en-GB"/>
              </w:rPr>
              <w:t>;</w:t>
            </w:r>
          </w:p>
          <w:p w14:paraId="326E3306" w14:textId="2C5798DE" w:rsidR="00CA4949" w:rsidRPr="00BC4F55" w:rsidRDefault="00CA4949" w:rsidP="00B537E3">
            <w:pPr>
              <w:pStyle w:val="BodyText2"/>
              <w:jc w:val="both"/>
              <w:rPr>
                <w:rFonts w:asciiTheme="minorHAnsi" w:hAnsiTheme="minorHAnsi"/>
                <w:lang w:val="en-GB"/>
              </w:rPr>
            </w:pPr>
            <w:r w:rsidRPr="00BC4F55">
              <w:rPr>
                <w:rFonts w:asciiTheme="minorHAnsi" w:hAnsiTheme="minorHAnsi"/>
                <w:lang w:val="en-GB"/>
              </w:rPr>
              <w:t xml:space="preserve">2.5: Enhanced capacity for </w:t>
            </w:r>
            <w:r w:rsidR="000C0728" w:rsidRPr="00BC4F55">
              <w:rPr>
                <w:rFonts w:asciiTheme="minorHAnsi" w:hAnsiTheme="minorHAnsi"/>
                <w:lang w:val="en-GB"/>
              </w:rPr>
              <w:t xml:space="preserve">the </w:t>
            </w:r>
            <w:r w:rsidRPr="00BC4F55">
              <w:rPr>
                <w:rFonts w:asciiTheme="minorHAnsi" w:hAnsiTheme="minorHAnsi"/>
                <w:lang w:val="en-GB"/>
              </w:rPr>
              <w:t>Ministry of Defence in managing weapons and ammunitions destruction and storage</w:t>
            </w:r>
            <w:r w:rsidR="00D4073E">
              <w:rPr>
                <w:rFonts w:asciiTheme="minorHAnsi" w:hAnsiTheme="minorHAnsi"/>
                <w:lang w:val="en-GB"/>
              </w:rPr>
              <w:t>;</w:t>
            </w:r>
          </w:p>
          <w:p w14:paraId="49A521D1" w14:textId="37903E96" w:rsidR="000348DD" w:rsidRPr="00BC4F55" w:rsidRDefault="00CA4949" w:rsidP="00B537E3">
            <w:pPr>
              <w:pStyle w:val="BodyText2"/>
              <w:jc w:val="both"/>
              <w:rPr>
                <w:rFonts w:asciiTheme="minorHAnsi" w:hAnsiTheme="minorHAnsi"/>
                <w:lang w:val="en-GB"/>
              </w:rPr>
            </w:pPr>
            <w:r w:rsidRPr="00BC4F55">
              <w:rPr>
                <w:rFonts w:asciiTheme="minorHAnsi" w:hAnsiTheme="minorHAnsi"/>
                <w:lang w:val="en-GB"/>
              </w:rPr>
              <w:t>2.6: Support to National Council for Cooperation with NGOs</w:t>
            </w:r>
            <w:r w:rsidR="00D4073E">
              <w:rPr>
                <w:rFonts w:asciiTheme="minorHAnsi" w:hAnsiTheme="minorHAnsi"/>
                <w:lang w:val="en-GB"/>
              </w:rPr>
              <w:t>.</w:t>
            </w:r>
          </w:p>
          <w:p w14:paraId="68C235CB" w14:textId="77777777" w:rsidR="000348DD" w:rsidRPr="00BC4F55" w:rsidRDefault="000348DD" w:rsidP="00B537E3">
            <w:pPr>
              <w:pStyle w:val="BodyText2"/>
              <w:jc w:val="both"/>
              <w:rPr>
                <w:rFonts w:asciiTheme="minorHAnsi" w:hAnsiTheme="minorHAnsi"/>
                <w:lang w:val="en-GB"/>
              </w:rPr>
            </w:pPr>
          </w:p>
          <w:p w14:paraId="5F0F2684" w14:textId="77777777" w:rsidR="00700521" w:rsidRPr="00BC4F55" w:rsidRDefault="008B06DD" w:rsidP="00B537E3">
            <w:pPr>
              <w:pStyle w:val="BodyText2"/>
              <w:jc w:val="both"/>
              <w:rPr>
                <w:rFonts w:asciiTheme="minorHAnsi" w:hAnsiTheme="minorHAnsi"/>
                <w:b/>
                <w:lang w:val="en-GB"/>
              </w:rPr>
            </w:pPr>
            <w:r w:rsidRPr="00BC4F55">
              <w:rPr>
                <w:rFonts w:asciiTheme="minorHAnsi" w:hAnsiTheme="minorHAnsi"/>
                <w:b/>
                <w:u w:val="single"/>
                <w:lang w:val="en-GB"/>
              </w:rPr>
              <w:t>Progress and Achievements</w:t>
            </w:r>
            <w:r w:rsidR="00845340" w:rsidRPr="00BC4F55">
              <w:rPr>
                <w:rFonts w:asciiTheme="minorHAnsi" w:hAnsiTheme="minorHAnsi"/>
                <w:b/>
                <w:lang w:val="en-GB"/>
              </w:rPr>
              <w:t>:</w:t>
            </w:r>
          </w:p>
          <w:p w14:paraId="2C8C8E90" w14:textId="7DD47FE9" w:rsidR="00E266C3" w:rsidRPr="00BC4F55" w:rsidRDefault="005324B1" w:rsidP="00B537E3">
            <w:pPr>
              <w:pStyle w:val="BodyText2"/>
              <w:jc w:val="both"/>
              <w:rPr>
                <w:rFonts w:asciiTheme="minorHAnsi" w:hAnsiTheme="minorHAnsi"/>
                <w:lang w:val="en-GB"/>
              </w:rPr>
            </w:pPr>
            <w:r w:rsidRPr="00BC4F55">
              <w:rPr>
                <w:rFonts w:asciiTheme="minorHAnsi" w:hAnsiTheme="minorHAnsi"/>
                <w:lang w:val="en-GB"/>
              </w:rPr>
              <w:t>Over the past five years</w:t>
            </w:r>
            <w:r w:rsidR="000C0728" w:rsidRPr="00BC4F55">
              <w:rPr>
                <w:rFonts w:asciiTheme="minorHAnsi" w:hAnsiTheme="minorHAnsi"/>
                <w:lang w:val="en-GB"/>
              </w:rPr>
              <w:t>,</w:t>
            </w:r>
            <w:r w:rsidRPr="00BC4F55">
              <w:rPr>
                <w:rFonts w:asciiTheme="minorHAnsi" w:hAnsiTheme="minorHAnsi"/>
                <w:lang w:val="en-GB"/>
              </w:rPr>
              <w:t xml:space="preserve"> UNDP</w:t>
            </w:r>
            <w:r w:rsidR="00E266C3" w:rsidRPr="00BC4F55">
              <w:rPr>
                <w:rFonts w:asciiTheme="minorHAnsi" w:hAnsiTheme="minorHAnsi"/>
                <w:lang w:val="en-GB"/>
              </w:rPr>
              <w:t xml:space="preserve"> contribute</w:t>
            </w:r>
            <w:r w:rsidRPr="00BC4F55">
              <w:rPr>
                <w:rFonts w:asciiTheme="minorHAnsi" w:hAnsiTheme="minorHAnsi"/>
                <w:lang w:val="en-GB"/>
              </w:rPr>
              <w:t>d</w:t>
            </w:r>
            <w:r w:rsidR="00E266C3" w:rsidRPr="00BC4F55">
              <w:rPr>
                <w:rFonts w:asciiTheme="minorHAnsi" w:hAnsiTheme="minorHAnsi"/>
                <w:lang w:val="en-GB"/>
              </w:rPr>
              <w:t xml:space="preserve"> to the advancement of EU integration process by providing support in programming of </w:t>
            </w:r>
            <w:r w:rsidR="000C0728" w:rsidRPr="00BC4F55">
              <w:rPr>
                <w:rFonts w:asciiTheme="minorHAnsi" w:hAnsiTheme="minorHAnsi"/>
                <w:lang w:val="en-GB"/>
              </w:rPr>
              <w:t xml:space="preserve">the </w:t>
            </w:r>
            <w:r w:rsidR="00E266C3" w:rsidRPr="00BC4F55">
              <w:rPr>
                <w:rFonts w:asciiTheme="minorHAnsi" w:hAnsiTheme="minorHAnsi"/>
                <w:lang w:val="en-GB"/>
              </w:rPr>
              <w:t>I</w:t>
            </w:r>
            <w:r w:rsidRPr="00BC4F55">
              <w:rPr>
                <w:rFonts w:asciiTheme="minorHAnsi" w:hAnsiTheme="minorHAnsi"/>
                <w:lang w:val="en-GB"/>
              </w:rPr>
              <w:t>nstrument for Pre-Acce</w:t>
            </w:r>
            <w:r w:rsidR="000C0728" w:rsidRPr="00BC4F55">
              <w:rPr>
                <w:rFonts w:asciiTheme="minorHAnsi" w:hAnsiTheme="minorHAnsi"/>
                <w:lang w:val="en-GB"/>
              </w:rPr>
              <w:t>s</w:t>
            </w:r>
            <w:r w:rsidRPr="00BC4F55">
              <w:rPr>
                <w:rFonts w:asciiTheme="minorHAnsi" w:hAnsiTheme="minorHAnsi"/>
                <w:lang w:val="en-GB"/>
              </w:rPr>
              <w:t>sion (IPA II)</w:t>
            </w:r>
            <w:r w:rsidR="00E266C3" w:rsidRPr="00BC4F55">
              <w:rPr>
                <w:rFonts w:asciiTheme="minorHAnsi" w:hAnsiTheme="minorHAnsi"/>
                <w:lang w:val="en-GB"/>
              </w:rPr>
              <w:t>, and in the revision and development of key strategic documents, such as</w:t>
            </w:r>
            <w:r w:rsidR="000C0728" w:rsidRPr="00BC4F55">
              <w:rPr>
                <w:rFonts w:asciiTheme="minorHAnsi" w:hAnsiTheme="minorHAnsi"/>
                <w:lang w:val="en-GB"/>
              </w:rPr>
              <w:t xml:space="preserve"> the</w:t>
            </w:r>
            <w:r w:rsidR="00E266C3" w:rsidRPr="00BC4F55">
              <w:rPr>
                <w:rFonts w:asciiTheme="minorHAnsi" w:hAnsiTheme="minorHAnsi"/>
                <w:lang w:val="en-GB"/>
              </w:rPr>
              <w:t xml:space="preserve">: Programme for Accession, National Economic Reform Programme, and Employment and Social Policy Reform Programme, as well as the Strategy for </w:t>
            </w:r>
            <w:r w:rsidR="000C0728" w:rsidRPr="00BC4F55">
              <w:rPr>
                <w:rFonts w:asciiTheme="minorHAnsi" w:hAnsiTheme="minorHAnsi"/>
                <w:lang w:val="en-GB"/>
              </w:rPr>
              <w:t xml:space="preserve">Informing </w:t>
            </w:r>
            <w:r w:rsidR="00E266C3" w:rsidRPr="00BC4F55">
              <w:rPr>
                <w:rFonts w:asciiTheme="minorHAnsi" w:hAnsiTheme="minorHAnsi"/>
                <w:lang w:val="en-GB"/>
              </w:rPr>
              <w:t xml:space="preserve">the </w:t>
            </w:r>
            <w:r w:rsidR="000C0728" w:rsidRPr="00BC4F55">
              <w:rPr>
                <w:rFonts w:asciiTheme="minorHAnsi" w:hAnsiTheme="minorHAnsi"/>
                <w:lang w:val="en-GB"/>
              </w:rPr>
              <w:t xml:space="preserve">Public </w:t>
            </w:r>
            <w:r w:rsidR="00E266C3" w:rsidRPr="00BC4F55">
              <w:rPr>
                <w:rFonts w:asciiTheme="minorHAnsi" w:hAnsiTheme="minorHAnsi"/>
                <w:lang w:val="en-GB"/>
              </w:rPr>
              <w:t xml:space="preserve">on the EU </w:t>
            </w:r>
            <w:r w:rsidR="000C0728" w:rsidRPr="00BC4F55">
              <w:rPr>
                <w:rFonts w:asciiTheme="minorHAnsi" w:hAnsiTheme="minorHAnsi"/>
                <w:lang w:val="en-GB"/>
              </w:rPr>
              <w:t>Accession P</w:t>
            </w:r>
            <w:r w:rsidR="00E266C3" w:rsidRPr="00BC4F55">
              <w:rPr>
                <w:rFonts w:asciiTheme="minorHAnsi" w:hAnsiTheme="minorHAnsi"/>
                <w:lang w:val="en-GB"/>
              </w:rPr>
              <w:t xml:space="preserve">rocess 2014 -2018. The administrative capacities of the Ministry of Foreign Affairs and European Integration (MFAEI) to coordinate the EU accession process have been further strengthened through the </w:t>
            </w:r>
            <w:r w:rsidR="00E266C3" w:rsidRPr="00BC4F55">
              <w:rPr>
                <w:rFonts w:asciiTheme="minorHAnsi" w:hAnsiTheme="minorHAnsi"/>
                <w:b/>
                <w:lang w:val="en-GB"/>
              </w:rPr>
              <w:t>Capacity Development Programme</w:t>
            </w:r>
            <w:r w:rsidR="00E266C3" w:rsidRPr="00BC4F55">
              <w:rPr>
                <w:rFonts w:asciiTheme="minorHAnsi" w:hAnsiTheme="minorHAnsi"/>
                <w:lang w:val="en-GB"/>
              </w:rPr>
              <w:t>, recognized by both Government and EU Delegation, as the key "vehicle" for ensuring high level advisory support. UNDP supported the EU accession negotiation process, structure, coordination and</w:t>
            </w:r>
            <w:r w:rsidRPr="00BC4F55">
              <w:rPr>
                <w:rFonts w:asciiTheme="minorHAnsi" w:hAnsiTheme="minorHAnsi"/>
                <w:lang w:val="en-GB"/>
              </w:rPr>
              <w:t xml:space="preserve"> substantial preparatory work and </w:t>
            </w:r>
            <w:r w:rsidR="00E266C3" w:rsidRPr="00BC4F55">
              <w:rPr>
                <w:rFonts w:asciiTheme="minorHAnsi" w:hAnsiTheme="minorHAnsi"/>
                <w:lang w:val="en-GB"/>
              </w:rPr>
              <w:t>provided expert support for more than 10 negotiation chapters</w:t>
            </w:r>
            <w:r w:rsidRPr="00BC4F55">
              <w:rPr>
                <w:rFonts w:asciiTheme="minorHAnsi" w:hAnsiTheme="minorHAnsi"/>
                <w:lang w:val="en-GB"/>
              </w:rPr>
              <w:t xml:space="preserve"> (out of 35)</w:t>
            </w:r>
            <w:r w:rsidR="00E266C3" w:rsidRPr="00BC4F55">
              <w:rPr>
                <w:rFonts w:asciiTheme="minorHAnsi" w:hAnsiTheme="minorHAnsi"/>
                <w:lang w:val="en-GB"/>
              </w:rPr>
              <w:t>. The role of UNDP was recognized</w:t>
            </w:r>
            <w:r w:rsidR="00EE349E">
              <w:rPr>
                <w:rFonts w:asciiTheme="minorHAnsi" w:hAnsiTheme="minorHAnsi"/>
                <w:lang w:val="en-GB"/>
              </w:rPr>
              <w:t xml:space="preserve"> by the </w:t>
            </w:r>
            <w:r w:rsidR="00EE349E" w:rsidRPr="00EE349E">
              <w:rPr>
                <w:rFonts w:asciiTheme="minorHAnsi" w:hAnsiTheme="minorHAnsi"/>
                <w:lang w:val="en-GB"/>
              </w:rPr>
              <w:t>EU Commission representatives</w:t>
            </w:r>
            <w:r w:rsidR="00E266C3" w:rsidRPr="00BC4F55">
              <w:rPr>
                <w:rFonts w:asciiTheme="minorHAnsi" w:hAnsiTheme="minorHAnsi"/>
                <w:lang w:val="en-GB"/>
              </w:rPr>
              <w:t xml:space="preserve"> in Brussels, where a joint presentation of the Chief Negotiator of the European Commission, UNDP Resident Representative and UNICEF Representative </w:t>
            </w:r>
            <w:r w:rsidR="000C0728" w:rsidRPr="00BC4F55">
              <w:rPr>
                <w:rFonts w:asciiTheme="minorHAnsi" w:hAnsiTheme="minorHAnsi"/>
                <w:lang w:val="en-GB"/>
              </w:rPr>
              <w:t xml:space="preserve">to Montenegro </w:t>
            </w:r>
            <w:r w:rsidR="00E266C3" w:rsidRPr="00BC4F55">
              <w:rPr>
                <w:rFonts w:asciiTheme="minorHAnsi" w:hAnsiTheme="minorHAnsi"/>
                <w:lang w:val="en-GB"/>
              </w:rPr>
              <w:t xml:space="preserve">was held. </w:t>
            </w:r>
          </w:p>
          <w:p w14:paraId="2745FCF6" w14:textId="18B6A93B"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Results of cooperation with UNDP are also positive regarding the preparation of</w:t>
            </w:r>
            <w:r w:rsidR="000C0728" w:rsidRPr="00BC4F55">
              <w:rPr>
                <w:rFonts w:asciiTheme="minorHAnsi" w:hAnsiTheme="minorHAnsi"/>
                <w:lang w:val="en-GB"/>
              </w:rPr>
              <w:t xml:space="preserve"> the</w:t>
            </w:r>
            <w:r w:rsidRPr="00BC4F55">
              <w:rPr>
                <w:rFonts w:asciiTheme="minorHAnsi" w:hAnsiTheme="minorHAnsi"/>
                <w:lang w:val="en-GB"/>
              </w:rPr>
              <w:t xml:space="preserve">: Strategy for Regional Development (2010-2014); Strategic </w:t>
            </w:r>
            <w:r w:rsidR="000C0728" w:rsidRPr="00BC4F55">
              <w:rPr>
                <w:rFonts w:asciiTheme="minorHAnsi" w:hAnsiTheme="minorHAnsi"/>
                <w:lang w:val="en-GB"/>
              </w:rPr>
              <w:t xml:space="preserve">Development </w:t>
            </w:r>
            <w:r w:rsidRPr="00BC4F55">
              <w:rPr>
                <w:rFonts w:asciiTheme="minorHAnsi" w:hAnsiTheme="minorHAnsi"/>
                <w:lang w:val="en-GB"/>
              </w:rPr>
              <w:t xml:space="preserve">Plans for local self-government units; Strategy for Sustainable Economic Growth through the Introduction of Business Clusters 2012-2016; and enhancement of the capacities within the ministries, municipalities and economic entities in the area of cluster development. In terms of </w:t>
            </w:r>
            <w:r w:rsidR="000C0728" w:rsidRPr="00BC4F55">
              <w:rPr>
                <w:rFonts w:asciiTheme="minorHAnsi" w:hAnsiTheme="minorHAnsi"/>
                <w:lang w:val="en-GB"/>
              </w:rPr>
              <w:t xml:space="preserve">the </w:t>
            </w:r>
            <w:r w:rsidRPr="00BC4F55">
              <w:rPr>
                <w:rFonts w:asciiTheme="minorHAnsi" w:hAnsiTheme="minorHAnsi"/>
                <w:lang w:val="en-GB"/>
              </w:rPr>
              <w:t xml:space="preserve">overall country results (taking into account UNDP’s strategies), while the implementation of the </w:t>
            </w:r>
            <w:r w:rsidRPr="00B537E3">
              <w:rPr>
                <w:rFonts w:asciiTheme="minorHAnsi" w:hAnsiTheme="minorHAnsi"/>
                <w:b/>
                <w:lang w:val="en-GB"/>
              </w:rPr>
              <w:t>Strategy for</w:t>
            </w:r>
            <w:r w:rsidRPr="00BC4F55">
              <w:rPr>
                <w:rFonts w:asciiTheme="minorHAnsi" w:hAnsiTheme="minorHAnsi"/>
                <w:lang w:val="en-GB"/>
              </w:rPr>
              <w:t xml:space="preserve"> </w:t>
            </w:r>
            <w:r w:rsidRPr="00BC4F55">
              <w:rPr>
                <w:rFonts w:asciiTheme="minorHAnsi" w:hAnsiTheme="minorHAnsi"/>
                <w:b/>
                <w:lang w:val="en-GB"/>
              </w:rPr>
              <w:t>Sustainable Economic Growth</w:t>
            </w:r>
            <w:r w:rsidRPr="00BC4F55">
              <w:rPr>
                <w:rFonts w:asciiTheme="minorHAnsi" w:hAnsiTheme="minorHAnsi"/>
                <w:lang w:val="en-GB"/>
              </w:rPr>
              <w:t xml:space="preserve"> in Montenegro through the </w:t>
            </w:r>
            <w:r w:rsidR="000C0728" w:rsidRPr="00BC4F55">
              <w:rPr>
                <w:rFonts w:asciiTheme="minorHAnsi" w:hAnsiTheme="minorHAnsi"/>
                <w:lang w:val="en-GB"/>
              </w:rPr>
              <w:t xml:space="preserve">Introduction </w:t>
            </w:r>
            <w:r w:rsidRPr="00BC4F55">
              <w:rPr>
                <w:rFonts w:asciiTheme="minorHAnsi" w:hAnsiTheme="minorHAnsi"/>
                <w:lang w:val="en-GB"/>
              </w:rPr>
              <w:t xml:space="preserve">of </w:t>
            </w:r>
            <w:r w:rsidR="000C0728" w:rsidRPr="00BC4F55">
              <w:rPr>
                <w:rFonts w:asciiTheme="minorHAnsi" w:hAnsiTheme="minorHAnsi"/>
                <w:lang w:val="en-GB"/>
              </w:rPr>
              <w:t>B</w:t>
            </w:r>
            <w:r w:rsidRPr="00BC4F55">
              <w:rPr>
                <w:rFonts w:asciiTheme="minorHAnsi" w:hAnsiTheme="minorHAnsi"/>
                <w:lang w:val="en-GB"/>
              </w:rPr>
              <w:t xml:space="preserve">usiness </w:t>
            </w:r>
            <w:r w:rsidR="000C0728" w:rsidRPr="00BC4F55">
              <w:rPr>
                <w:rFonts w:asciiTheme="minorHAnsi" w:hAnsiTheme="minorHAnsi"/>
                <w:lang w:val="en-GB"/>
              </w:rPr>
              <w:t>C</w:t>
            </w:r>
            <w:r w:rsidRPr="00BC4F55">
              <w:rPr>
                <w:rFonts w:asciiTheme="minorHAnsi" w:hAnsiTheme="minorHAnsi"/>
                <w:lang w:val="en-GB"/>
              </w:rPr>
              <w:t xml:space="preserve">lusters 2012-2016 is generally successful, the </w:t>
            </w:r>
            <w:r w:rsidRPr="00BC4F55">
              <w:rPr>
                <w:rFonts w:asciiTheme="minorHAnsi" w:hAnsiTheme="minorHAnsi"/>
                <w:lang w:val="en-GB"/>
              </w:rPr>
              <w:lastRenderedPageBreak/>
              <w:t xml:space="preserve">implementation of the Strategy for </w:t>
            </w:r>
            <w:r w:rsidR="000C0728" w:rsidRPr="00BC4F55">
              <w:rPr>
                <w:rFonts w:asciiTheme="minorHAnsi" w:hAnsiTheme="minorHAnsi"/>
                <w:lang w:val="en-GB"/>
              </w:rPr>
              <w:t>Regional D</w:t>
            </w:r>
            <w:r w:rsidRPr="00BC4F55">
              <w:rPr>
                <w:rFonts w:asciiTheme="minorHAnsi" w:hAnsiTheme="minorHAnsi"/>
                <w:lang w:val="en-GB"/>
              </w:rPr>
              <w:t xml:space="preserve">evelopment of Montenegro 2010-2014 was partially successful, mainly because of the consequences </w:t>
            </w:r>
            <w:r w:rsidR="000C0728" w:rsidRPr="00BC4F55">
              <w:rPr>
                <w:rFonts w:asciiTheme="minorHAnsi" w:hAnsiTheme="minorHAnsi"/>
                <w:lang w:val="en-GB"/>
              </w:rPr>
              <w:t xml:space="preserve">of </w:t>
            </w:r>
            <w:r w:rsidRPr="00BC4F55">
              <w:rPr>
                <w:rFonts w:asciiTheme="minorHAnsi" w:hAnsiTheme="minorHAnsi"/>
                <w:lang w:val="en-GB"/>
              </w:rPr>
              <w:t>the global economic crisis in that period.</w:t>
            </w:r>
          </w:p>
          <w:p w14:paraId="43062A41" w14:textId="32870424"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 xml:space="preserve">Furthermore, the UNDP work on judicial reform focused on developing a </w:t>
            </w:r>
            <w:r w:rsidR="002C3AF3" w:rsidRPr="00BC4F55">
              <w:rPr>
                <w:rFonts w:asciiTheme="minorHAnsi" w:hAnsiTheme="minorHAnsi"/>
                <w:lang w:val="en-GB"/>
              </w:rPr>
              <w:t xml:space="preserve">five-year </w:t>
            </w:r>
            <w:r w:rsidRPr="00BC4F55">
              <w:rPr>
                <w:rFonts w:asciiTheme="minorHAnsi" w:hAnsiTheme="minorHAnsi"/>
                <w:lang w:val="en-GB"/>
              </w:rPr>
              <w:t xml:space="preserve">strategic framework for </w:t>
            </w:r>
            <w:r w:rsidR="002C3AF3" w:rsidRPr="00BC4F55">
              <w:rPr>
                <w:rFonts w:asciiTheme="minorHAnsi" w:hAnsiTheme="minorHAnsi"/>
                <w:lang w:val="en-GB"/>
              </w:rPr>
              <w:t>legal aid</w:t>
            </w:r>
            <w:r w:rsidRPr="00BC4F55">
              <w:rPr>
                <w:rFonts w:asciiTheme="minorHAnsi" w:hAnsiTheme="minorHAnsi"/>
                <w:lang w:val="en-GB"/>
              </w:rPr>
              <w:t xml:space="preserve">, and prioritized chapters 23 and 24 in the accession negotiation. UNDP supported the development of a new </w:t>
            </w:r>
            <w:r w:rsidRPr="00B537E3">
              <w:rPr>
                <w:rFonts w:asciiTheme="minorHAnsi" w:hAnsiTheme="minorHAnsi"/>
                <w:b/>
                <w:lang w:val="en-GB"/>
              </w:rPr>
              <w:t>Strategy and Action Plan for</w:t>
            </w:r>
            <w:r w:rsidRPr="00BC4F55">
              <w:rPr>
                <w:rFonts w:asciiTheme="minorHAnsi" w:hAnsiTheme="minorHAnsi"/>
                <w:lang w:val="en-GB"/>
              </w:rPr>
              <w:t xml:space="preserve"> </w:t>
            </w:r>
            <w:r w:rsidRPr="00BC4F55">
              <w:rPr>
                <w:rFonts w:asciiTheme="minorHAnsi" w:hAnsiTheme="minorHAnsi"/>
                <w:b/>
                <w:lang w:val="en-GB"/>
              </w:rPr>
              <w:t>Reform of the Judiciary</w:t>
            </w:r>
            <w:r w:rsidRPr="00BC4F55">
              <w:rPr>
                <w:rFonts w:asciiTheme="minorHAnsi" w:hAnsiTheme="minorHAnsi"/>
                <w:lang w:val="en-GB"/>
              </w:rPr>
              <w:t xml:space="preserve"> (2014-2018), which represents a key strategic document in this area, and was characterized by NGOs as progressive in terms of methodology, overall approach, clarity of goals and measures. UNDP’s implementation strategies are considered effective, since the Strategy directed reforms in the area of the rule of law, which are now being carried out under the established guidelines. The Action Plan contains measures, deadlines and indicators for monitoring their implementation, and a specially formed Commission enables a clear view of the fully and partially implemented measures. </w:t>
            </w:r>
          </w:p>
          <w:p w14:paraId="2038A01E" w14:textId="61C589E6"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UNDP advisory and technical suppor</w:t>
            </w:r>
            <w:r w:rsidR="005324B1" w:rsidRPr="00BC4F55">
              <w:rPr>
                <w:rFonts w:asciiTheme="minorHAnsi" w:hAnsiTheme="minorHAnsi"/>
                <w:lang w:val="en-GB"/>
              </w:rPr>
              <w:t>t, as emphasized by the Ministry</w:t>
            </w:r>
            <w:r w:rsidRPr="00BC4F55">
              <w:rPr>
                <w:rFonts w:asciiTheme="minorHAnsi" w:hAnsiTheme="minorHAnsi"/>
                <w:lang w:val="en-GB"/>
              </w:rPr>
              <w:t>, is seen as instrumental not only in strengthening capacities of the Ministry of Justice, but also in relation to assisting them in implementing key projects such as those related to legal aid and integrity. Building upon the normative framework and institutional infrastructure created for the legal aid system in Montenegro with support from UNDP since 2009, the functionality of the 15 legal aid offices throughout Montenegro was enhanced (11% increase in the number of legal aid cases)</w:t>
            </w:r>
            <w:r w:rsidR="003A4FD8">
              <w:rPr>
                <w:rFonts w:asciiTheme="minorHAnsi" w:hAnsiTheme="minorHAnsi"/>
                <w:lang w:val="en-GB"/>
              </w:rPr>
              <w:t>,</w:t>
            </w:r>
            <w:r w:rsidRPr="00BC4F55">
              <w:rPr>
                <w:rFonts w:asciiTheme="minorHAnsi" w:hAnsiTheme="minorHAnsi"/>
                <w:lang w:val="en-GB"/>
              </w:rPr>
              <w:t xml:space="preserve"> while creation of the database allowed ongoing systematic monitoring and evaluation. Also, UNDP supported the work on strengthening the integrity of the holders of judicial position through the implementation of the </w:t>
            </w:r>
            <w:r w:rsidR="003A4FD8">
              <w:rPr>
                <w:rFonts w:asciiTheme="minorHAnsi" w:hAnsiTheme="minorHAnsi"/>
                <w:lang w:val="en-GB"/>
              </w:rPr>
              <w:t>a</w:t>
            </w:r>
            <w:r w:rsidRPr="00BC4F55">
              <w:rPr>
                <w:rFonts w:asciiTheme="minorHAnsi" w:hAnsiTheme="minorHAnsi"/>
                <w:lang w:val="en-GB"/>
              </w:rPr>
              <w:t xml:space="preserve">nti-corruption training programme (developed by UNDP and implemented since 2009). National partners pointed out that results have been effectively achieved, which may be </w:t>
            </w:r>
            <w:r w:rsidR="002C3AF3" w:rsidRPr="00BC4F55">
              <w:rPr>
                <w:rFonts w:asciiTheme="minorHAnsi" w:hAnsiTheme="minorHAnsi"/>
                <w:lang w:val="en-GB"/>
              </w:rPr>
              <w:t>exemplified by the</w:t>
            </w:r>
            <w:r w:rsidRPr="00BC4F55">
              <w:rPr>
                <w:rFonts w:asciiTheme="minorHAnsi" w:hAnsiTheme="minorHAnsi"/>
                <w:lang w:val="en-GB"/>
              </w:rPr>
              <w:t xml:space="preserve"> reforms related to international legal assistance in civil and criminal matters, where the training curricula for both areas were drafted and implemented, which raised the professional capacities of the judicial representatives dealing with international legal assistance. Also, regional cooperation was strengthened through the intensified meetings with the UNDP colleagues from</w:t>
            </w:r>
            <w:r w:rsidR="00806EC8" w:rsidRPr="00BC4F55">
              <w:rPr>
                <w:rFonts w:asciiTheme="minorHAnsi" w:hAnsiTheme="minorHAnsi"/>
                <w:lang w:val="en-GB"/>
              </w:rPr>
              <w:t xml:space="preserve"> other countries in the region. </w:t>
            </w:r>
            <w:r w:rsidRPr="00BC4F55">
              <w:rPr>
                <w:rFonts w:asciiTheme="minorHAnsi" w:hAnsiTheme="minorHAnsi"/>
                <w:lang w:val="en-GB"/>
              </w:rPr>
              <w:t>Moreover, crucial support was provided to the Ministry of Justice in the following areas: implementation of the Action Plan for Chapter 23 of the EU accession negotiation related to drafting changes and amendments to 4 key laws; drafting the new Law on the Seizure of Property Acquired through Criminal Offence; and development of the Integrity Plans for the Ministry of Justice and the Code of Ethics for Courts. Finally, the Code of Ethics for State Prosecution Offices was</w:t>
            </w:r>
            <w:r w:rsidR="003A4FD8">
              <w:rPr>
                <w:rFonts w:asciiTheme="minorHAnsi" w:hAnsiTheme="minorHAnsi"/>
                <w:lang w:val="en-GB"/>
              </w:rPr>
              <w:t xml:space="preserve"> also</w:t>
            </w:r>
            <w:r w:rsidRPr="00BC4F55">
              <w:rPr>
                <w:rFonts w:asciiTheme="minorHAnsi" w:hAnsiTheme="minorHAnsi"/>
                <w:lang w:val="en-GB"/>
              </w:rPr>
              <w:t xml:space="preserve"> improved. </w:t>
            </w:r>
          </w:p>
          <w:p w14:paraId="37635A18" w14:textId="72481C16"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 xml:space="preserve">The public administration reform was strengthened through </w:t>
            </w:r>
            <w:r w:rsidRPr="00BC4F55">
              <w:rPr>
                <w:rFonts w:asciiTheme="minorHAnsi" w:hAnsiTheme="minorHAnsi"/>
                <w:b/>
                <w:lang w:val="en-GB"/>
              </w:rPr>
              <w:t>citizens’ participation</w:t>
            </w:r>
            <w:r w:rsidRPr="00BC4F55">
              <w:rPr>
                <w:rFonts w:asciiTheme="minorHAnsi" w:hAnsiTheme="minorHAnsi"/>
                <w:lang w:val="en-GB"/>
              </w:rPr>
              <w:t xml:space="preserve">, </w:t>
            </w:r>
            <w:r w:rsidR="00B00DA5">
              <w:rPr>
                <w:rFonts w:asciiTheme="minorHAnsi" w:hAnsiTheme="minorHAnsi"/>
                <w:lang w:val="en-GB"/>
              </w:rPr>
              <w:t xml:space="preserve">improved </w:t>
            </w:r>
            <w:r w:rsidRPr="00BC4F55">
              <w:rPr>
                <w:rFonts w:asciiTheme="minorHAnsi" w:hAnsiTheme="minorHAnsi"/>
                <w:lang w:val="en-GB"/>
              </w:rPr>
              <w:t xml:space="preserve">financial management at </w:t>
            </w:r>
            <w:r w:rsidR="00B00DA5">
              <w:rPr>
                <w:rFonts w:asciiTheme="minorHAnsi" w:hAnsiTheme="minorHAnsi"/>
                <w:lang w:val="en-GB"/>
              </w:rPr>
              <w:t xml:space="preserve">the </w:t>
            </w:r>
            <w:r w:rsidRPr="00BC4F55">
              <w:rPr>
                <w:rFonts w:asciiTheme="minorHAnsi" w:hAnsiTheme="minorHAnsi"/>
                <w:lang w:val="en-GB"/>
              </w:rPr>
              <w:t>local level and</w:t>
            </w:r>
            <w:r w:rsidR="00B00DA5">
              <w:rPr>
                <w:rFonts w:asciiTheme="minorHAnsi" w:hAnsiTheme="minorHAnsi"/>
                <w:lang w:val="en-GB"/>
              </w:rPr>
              <w:t xml:space="preserve"> increased</w:t>
            </w:r>
            <w:r w:rsidRPr="00BC4F55">
              <w:rPr>
                <w:rFonts w:asciiTheme="minorHAnsi" w:hAnsiTheme="minorHAnsi"/>
                <w:lang w:val="en-GB"/>
              </w:rPr>
              <w:t xml:space="preserve"> inter-municipal cooperation. The reform was tackled through </w:t>
            </w:r>
            <w:r w:rsidR="00B00DA5">
              <w:rPr>
                <w:rFonts w:asciiTheme="minorHAnsi" w:hAnsiTheme="minorHAnsi"/>
                <w:lang w:val="en-GB"/>
              </w:rPr>
              <w:t xml:space="preserve">the </w:t>
            </w:r>
            <w:r w:rsidRPr="00BC4F55">
              <w:rPr>
                <w:rFonts w:asciiTheme="minorHAnsi" w:hAnsiTheme="minorHAnsi"/>
                <w:lang w:val="en-GB"/>
              </w:rPr>
              <w:t xml:space="preserve">efforts for strengthening municipal finances that improved processes and techniques for revenue projection and expenditure planning, cooperation among the municipal finance departments, as well as quality and discipline in reporting to the Ministry of Finance. Transparency and accountability of the administration were promoted with the work on supporting implementation of </w:t>
            </w:r>
            <w:r w:rsidR="00B00DA5">
              <w:rPr>
                <w:rFonts w:asciiTheme="minorHAnsi" w:hAnsiTheme="minorHAnsi"/>
                <w:lang w:val="en-GB"/>
              </w:rPr>
              <w:t xml:space="preserve">the </w:t>
            </w:r>
            <w:r w:rsidRPr="00BC4F55">
              <w:rPr>
                <w:rFonts w:asciiTheme="minorHAnsi" w:hAnsiTheme="minorHAnsi"/>
                <w:lang w:val="en-GB"/>
              </w:rPr>
              <w:t xml:space="preserve">Open Government Partnership commitments, initiated in 2012, and </w:t>
            </w:r>
            <w:r w:rsidR="00ED7235" w:rsidRPr="00BC4F55">
              <w:rPr>
                <w:rFonts w:asciiTheme="minorHAnsi" w:hAnsiTheme="minorHAnsi"/>
                <w:lang w:val="en-GB"/>
              </w:rPr>
              <w:t>sustained until</w:t>
            </w:r>
            <w:r w:rsidR="00DC0E0E" w:rsidRPr="00BC4F55">
              <w:rPr>
                <w:rFonts w:asciiTheme="minorHAnsi" w:hAnsiTheme="minorHAnsi"/>
                <w:lang w:val="en-GB"/>
              </w:rPr>
              <w:t xml:space="preserve"> 2015. </w:t>
            </w:r>
            <w:r w:rsidRPr="00BC4F55">
              <w:rPr>
                <w:rFonts w:asciiTheme="minorHAnsi" w:hAnsiTheme="minorHAnsi"/>
                <w:lang w:val="en-GB"/>
              </w:rPr>
              <w:t xml:space="preserve">In addition, the evaluation of the project “Strengthening mechanisms for public finance at the local level in Montenegro” specified that the training courses </w:t>
            </w:r>
            <w:r w:rsidR="002C3AF3" w:rsidRPr="00BC4F55">
              <w:rPr>
                <w:rFonts w:asciiTheme="minorHAnsi" w:hAnsiTheme="minorHAnsi"/>
                <w:lang w:val="en-GB"/>
              </w:rPr>
              <w:t xml:space="preserve">for municipalities </w:t>
            </w:r>
            <w:r w:rsidRPr="00BC4F55">
              <w:rPr>
                <w:rFonts w:asciiTheme="minorHAnsi" w:hAnsiTheme="minorHAnsi"/>
                <w:lang w:val="en-GB"/>
              </w:rPr>
              <w:t xml:space="preserve">were of high quality. On-the job mentoring which followed some of the classroom trainings allowed them to close the gaps in their knowledge on specific topics. </w:t>
            </w:r>
            <w:r w:rsidR="002C3AF3" w:rsidRPr="00BC4F55">
              <w:rPr>
                <w:rFonts w:asciiTheme="minorHAnsi" w:hAnsiTheme="minorHAnsi"/>
                <w:lang w:val="en-GB"/>
              </w:rPr>
              <w:t>T</w:t>
            </w:r>
            <w:r w:rsidRPr="00BC4F55">
              <w:rPr>
                <w:rFonts w:asciiTheme="minorHAnsi" w:hAnsiTheme="minorHAnsi"/>
                <w:lang w:val="en-GB"/>
              </w:rPr>
              <w:t>he project’s assistance</w:t>
            </w:r>
            <w:r w:rsidR="002C3AF3" w:rsidRPr="00BC4F55">
              <w:rPr>
                <w:rFonts w:asciiTheme="minorHAnsi" w:hAnsiTheme="minorHAnsi"/>
                <w:lang w:val="en-GB"/>
              </w:rPr>
              <w:t xml:space="preserve"> provided</w:t>
            </w:r>
            <w:r w:rsidRPr="00BC4F55">
              <w:rPr>
                <w:rFonts w:asciiTheme="minorHAnsi" w:hAnsiTheme="minorHAnsi"/>
                <w:lang w:val="en-GB"/>
              </w:rPr>
              <w:t xml:space="preserve"> to 3 municipalities with the</w:t>
            </w:r>
            <w:r w:rsidR="002C3AF3" w:rsidRPr="00BC4F55">
              <w:rPr>
                <w:rFonts w:asciiTheme="minorHAnsi" w:hAnsiTheme="minorHAnsi"/>
                <w:lang w:val="en-GB"/>
              </w:rPr>
              <w:t>ir official</w:t>
            </w:r>
            <w:r w:rsidRPr="00BC4F55">
              <w:rPr>
                <w:rFonts w:asciiTheme="minorHAnsi" w:hAnsiTheme="minorHAnsi"/>
                <w:lang w:val="en-GB"/>
              </w:rPr>
              <w:t xml:space="preserve"> websites, as well as the training in the best practices</w:t>
            </w:r>
            <w:r w:rsidR="002C3AF3" w:rsidRPr="00BC4F55">
              <w:rPr>
                <w:rFonts w:asciiTheme="minorHAnsi" w:hAnsiTheme="minorHAnsi"/>
                <w:lang w:val="en-GB"/>
              </w:rPr>
              <w:t>,</w:t>
            </w:r>
            <w:r w:rsidRPr="00BC4F55">
              <w:rPr>
                <w:rFonts w:asciiTheme="minorHAnsi" w:hAnsiTheme="minorHAnsi"/>
                <w:lang w:val="en-GB"/>
              </w:rPr>
              <w:t xml:space="preserve"> has contributed to some improvements in transparency and accountability of </w:t>
            </w:r>
            <w:r w:rsidR="002C3AF3" w:rsidRPr="00BC4F55">
              <w:rPr>
                <w:rFonts w:asciiTheme="minorHAnsi" w:hAnsiTheme="minorHAnsi"/>
                <w:lang w:val="en-GB"/>
              </w:rPr>
              <w:t>these</w:t>
            </w:r>
            <w:r w:rsidRPr="00BC4F55">
              <w:rPr>
                <w:rFonts w:asciiTheme="minorHAnsi" w:hAnsiTheme="minorHAnsi"/>
                <w:lang w:val="en-GB"/>
              </w:rPr>
              <w:t xml:space="preserve"> municipalities.</w:t>
            </w:r>
          </w:p>
          <w:p w14:paraId="79841139" w14:textId="536A6889"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 xml:space="preserve">In an effort to change the way citizens and their government interact, a </w:t>
            </w:r>
            <w:r w:rsidRPr="00BC4F55">
              <w:rPr>
                <w:rFonts w:asciiTheme="minorHAnsi" w:hAnsiTheme="minorHAnsi"/>
                <w:b/>
                <w:lang w:val="en-GB"/>
              </w:rPr>
              <w:t>social innovation</w:t>
            </w:r>
            <w:r w:rsidRPr="00BC4F55">
              <w:rPr>
                <w:rFonts w:asciiTheme="minorHAnsi" w:hAnsiTheme="minorHAnsi"/>
                <w:lang w:val="en-GB"/>
              </w:rPr>
              <w:t xml:space="preserve"> project was conducted, creating favourable conditions for citizens to take the lead in </w:t>
            </w:r>
            <w:r w:rsidR="002C3AF3" w:rsidRPr="00BC4F55">
              <w:rPr>
                <w:rFonts w:asciiTheme="minorHAnsi" w:hAnsiTheme="minorHAnsi"/>
                <w:lang w:val="en-GB"/>
              </w:rPr>
              <w:t xml:space="preserve">both </w:t>
            </w:r>
            <w:r w:rsidRPr="00BC4F55">
              <w:rPr>
                <w:rFonts w:asciiTheme="minorHAnsi" w:hAnsiTheme="minorHAnsi"/>
                <w:lang w:val="en-GB"/>
              </w:rPr>
              <w:t>problem identification and problem solution. Using new technologies and innovation, UNDP continued to lead efforts on enhancing citizen</w:t>
            </w:r>
            <w:r w:rsidR="00B00DA5">
              <w:rPr>
                <w:rFonts w:asciiTheme="minorHAnsi" w:hAnsiTheme="minorHAnsi"/>
                <w:lang w:val="en-GB"/>
              </w:rPr>
              <w:t>s’</w:t>
            </w:r>
            <w:r w:rsidRPr="00BC4F55">
              <w:rPr>
                <w:rFonts w:asciiTheme="minorHAnsi" w:hAnsiTheme="minorHAnsi"/>
                <w:lang w:val="en-GB"/>
              </w:rPr>
              <w:t xml:space="preserve"> participation, as </w:t>
            </w:r>
            <w:r w:rsidR="00B00DA5">
              <w:rPr>
                <w:rFonts w:asciiTheme="minorHAnsi" w:hAnsiTheme="minorHAnsi"/>
                <w:lang w:val="en-GB"/>
              </w:rPr>
              <w:t xml:space="preserve">a </w:t>
            </w:r>
            <w:r w:rsidRPr="00BC4F55">
              <w:rPr>
                <w:rFonts w:asciiTheme="minorHAnsi" w:hAnsiTheme="minorHAnsi"/>
                <w:lang w:val="en-GB"/>
              </w:rPr>
              <w:t xml:space="preserve">powerful “glue” that brings together </w:t>
            </w:r>
            <w:r w:rsidR="00B00DA5">
              <w:rPr>
                <w:rFonts w:asciiTheme="minorHAnsi" w:hAnsiTheme="minorHAnsi"/>
                <w:lang w:val="en-GB"/>
              </w:rPr>
              <w:t>the G</w:t>
            </w:r>
            <w:r w:rsidRPr="00BC4F55">
              <w:rPr>
                <w:rFonts w:asciiTheme="minorHAnsi" w:hAnsiTheme="minorHAnsi"/>
                <w:lang w:val="en-GB"/>
              </w:rPr>
              <w:t xml:space="preserve">overnment, NGO sector and citizens around pressing social issues. The winner of the UNDP-led competition “Open Ideas for Montenegro” was the web and mobile application known as “Be Responsible”, which played a key role in detecting and sanctioning the grey economy. </w:t>
            </w:r>
          </w:p>
          <w:p w14:paraId="5A95B4FC" w14:textId="7FB2E186"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 xml:space="preserve">The “Open Ideas for Montenegro” was the first ever social innovation contest, which took place in 2013, aimed at asking the community not only </w:t>
            </w:r>
            <w:r w:rsidR="00B00DA5" w:rsidRPr="00BC4F55">
              <w:rPr>
                <w:rFonts w:asciiTheme="minorHAnsi" w:hAnsiTheme="minorHAnsi"/>
                <w:lang w:val="en-GB"/>
              </w:rPr>
              <w:t xml:space="preserve">to </w:t>
            </w:r>
            <w:r w:rsidRPr="00BC4F55">
              <w:rPr>
                <w:rFonts w:asciiTheme="minorHAnsi" w:hAnsiTheme="minorHAnsi"/>
                <w:lang w:val="en-GB"/>
              </w:rPr>
              <w:t xml:space="preserve">identify problems, but also </w:t>
            </w:r>
            <w:r w:rsidR="00B00DA5">
              <w:rPr>
                <w:rFonts w:asciiTheme="minorHAnsi" w:hAnsiTheme="minorHAnsi"/>
                <w:lang w:val="en-GB"/>
              </w:rPr>
              <w:t xml:space="preserve">to </w:t>
            </w:r>
            <w:r w:rsidRPr="00BC4F55">
              <w:rPr>
                <w:rFonts w:asciiTheme="minorHAnsi" w:hAnsiTheme="minorHAnsi"/>
                <w:lang w:val="en-GB"/>
              </w:rPr>
              <w:t xml:space="preserve">solve them with the aid of technology, through a bottom-up participatory design process. The winner was the ‘Be responsible’ app, developed by a group of teachers and students </w:t>
            </w:r>
            <w:r w:rsidR="00B00DA5">
              <w:rPr>
                <w:rFonts w:asciiTheme="minorHAnsi" w:hAnsiTheme="minorHAnsi"/>
                <w:lang w:val="en-GB"/>
              </w:rPr>
              <w:t>of</w:t>
            </w:r>
            <w:r w:rsidR="00B00DA5" w:rsidRPr="00BC4F55">
              <w:rPr>
                <w:rFonts w:asciiTheme="minorHAnsi" w:hAnsiTheme="minorHAnsi"/>
                <w:lang w:val="en-GB"/>
              </w:rPr>
              <w:t xml:space="preserve"> </w:t>
            </w:r>
            <w:r w:rsidRPr="00BC4F55">
              <w:rPr>
                <w:rFonts w:asciiTheme="minorHAnsi" w:hAnsiTheme="minorHAnsi"/>
                <w:lang w:val="en-GB"/>
              </w:rPr>
              <w:t xml:space="preserve">the Faculty of Electrical Engineering, in order to report things that bug them, from potholes to illegal waste or misuse of state-owned vehicles. The </w:t>
            </w:r>
            <w:r w:rsidR="00B00DA5">
              <w:rPr>
                <w:rFonts w:asciiTheme="minorHAnsi" w:hAnsiTheme="minorHAnsi"/>
                <w:lang w:val="en-GB"/>
              </w:rPr>
              <w:t>a</w:t>
            </w:r>
            <w:r w:rsidRPr="00BC4F55">
              <w:rPr>
                <w:rFonts w:asciiTheme="minorHAnsi" w:hAnsiTheme="minorHAnsi"/>
                <w:lang w:val="en-GB"/>
              </w:rPr>
              <w:t>pp quickly gained momentum, attracting 1</w:t>
            </w:r>
            <w:r w:rsidR="00E75747" w:rsidRPr="00BC4F55">
              <w:rPr>
                <w:rFonts w:asciiTheme="minorHAnsi" w:hAnsiTheme="minorHAnsi"/>
                <w:lang w:val="en-GB"/>
              </w:rPr>
              <w:t>,</w:t>
            </w:r>
            <w:r w:rsidRPr="00BC4F55">
              <w:rPr>
                <w:rFonts w:asciiTheme="minorHAnsi" w:hAnsiTheme="minorHAnsi"/>
                <w:lang w:val="en-GB"/>
              </w:rPr>
              <w:t xml:space="preserve">000 active users in a month’s time, when the Ministry of Finance decided to invest in scaling the app and make it the channel to </w:t>
            </w:r>
            <w:r w:rsidRPr="00BC4F55">
              <w:rPr>
                <w:rFonts w:asciiTheme="minorHAnsi" w:hAnsiTheme="minorHAnsi"/>
                <w:lang w:val="en-GB"/>
              </w:rPr>
              <w:lastRenderedPageBreak/>
              <w:t xml:space="preserve">report on the grey economy. This was a daunting task knowing that the informal economy amounts to 20% of GDP, siphoning out dozens of millions </w:t>
            </w:r>
            <w:r w:rsidR="00B00DA5">
              <w:rPr>
                <w:rFonts w:asciiTheme="minorHAnsi" w:hAnsiTheme="minorHAnsi"/>
                <w:lang w:val="en-GB"/>
              </w:rPr>
              <w:t xml:space="preserve">of euros </w:t>
            </w:r>
            <w:r w:rsidRPr="00BC4F55">
              <w:rPr>
                <w:rFonts w:asciiTheme="minorHAnsi" w:hAnsiTheme="minorHAnsi"/>
                <w:lang w:val="en-GB"/>
              </w:rPr>
              <w:t xml:space="preserve">each year. The </w:t>
            </w:r>
            <w:r w:rsidR="00B00DA5">
              <w:rPr>
                <w:rFonts w:asciiTheme="minorHAnsi" w:hAnsiTheme="minorHAnsi"/>
                <w:lang w:val="en-GB"/>
              </w:rPr>
              <w:t>a</w:t>
            </w:r>
            <w:r w:rsidRPr="00BC4F55">
              <w:rPr>
                <w:rFonts w:asciiTheme="minorHAnsi" w:hAnsiTheme="minorHAnsi"/>
                <w:lang w:val="en-GB"/>
              </w:rPr>
              <w:t xml:space="preserve">pp was redesigned to enable citizens to report illegal bills, violation of consumer rights and </w:t>
            </w:r>
            <w:r w:rsidR="00B00DA5">
              <w:rPr>
                <w:rFonts w:asciiTheme="minorHAnsi" w:hAnsiTheme="minorHAnsi"/>
                <w:lang w:val="en-GB"/>
              </w:rPr>
              <w:t>informal work</w:t>
            </w:r>
            <w:r w:rsidRPr="00BC4F55">
              <w:rPr>
                <w:rFonts w:asciiTheme="minorHAnsi" w:hAnsiTheme="minorHAnsi"/>
                <w:lang w:val="en-GB"/>
              </w:rPr>
              <w:t xml:space="preserve">. The team made reporting easy and allowed tracing, showing the status and response from </w:t>
            </w:r>
            <w:r w:rsidR="00B00DA5">
              <w:rPr>
                <w:rFonts w:asciiTheme="minorHAnsi" w:hAnsiTheme="minorHAnsi"/>
                <w:lang w:val="en-GB"/>
              </w:rPr>
              <w:t xml:space="preserve">the </w:t>
            </w:r>
            <w:r w:rsidRPr="00BC4F55">
              <w:rPr>
                <w:rFonts w:asciiTheme="minorHAnsi" w:hAnsiTheme="minorHAnsi"/>
                <w:lang w:val="en-GB"/>
              </w:rPr>
              <w:t xml:space="preserve">authorities. The solution also gave people a financial incentive to report </w:t>
            </w:r>
            <w:r w:rsidR="00B00DA5">
              <w:rPr>
                <w:rFonts w:asciiTheme="minorHAnsi" w:hAnsiTheme="minorHAnsi"/>
                <w:lang w:val="en-GB"/>
              </w:rPr>
              <w:t xml:space="preserve">the </w:t>
            </w:r>
            <w:r w:rsidRPr="00BC4F55">
              <w:rPr>
                <w:rFonts w:asciiTheme="minorHAnsi" w:hAnsiTheme="minorHAnsi"/>
                <w:lang w:val="en-GB"/>
              </w:rPr>
              <w:t xml:space="preserve">cases of grey market activity. The Government committed 50% of all the fines that result from citizens’ reports to community projects that are </w:t>
            </w:r>
            <w:r w:rsidR="00B00DA5">
              <w:rPr>
                <w:rFonts w:asciiTheme="minorHAnsi" w:hAnsiTheme="minorHAnsi"/>
                <w:lang w:val="en-GB"/>
              </w:rPr>
              <w:t xml:space="preserve">proposed and </w:t>
            </w:r>
            <w:r w:rsidRPr="00BC4F55">
              <w:rPr>
                <w:rFonts w:asciiTheme="minorHAnsi" w:hAnsiTheme="minorHAnsi"/>
                <w:lang w:val="en-GB"/>
              </w:rPr>
              <w:t xml:space="preserve">voted </w:t>
            </w:r>
            <w:r w:rsidR="00B00DA5">
              <w:rPr>
                <w:rFonts w:asciiTheme="minorHAnsi" w:hAnsiTheme="minorHAnsi"/>
                <w:lang w:val="en-GB"/>
              </w:rPr>
              <w:t>for by the</w:t>
            </w:r>
            <w:r w:rsidRPr="00BC4F55">
              <w:rPr>
                <w:rFonts w:asciiTheme="minorHAnsi" w:hAnsiTheme="minorHAnsi"/>
                <w:lang w:val="en-GB"/>
              </w:rPr>
              <w:t xml:space="preserve"> public. The plan was to pilot the app for 6 months, hoping to raise 50,000 EUR for community projects. In reality, the project achieved staggering results: </w:t>
            </w:r>
            <w:r w:rsidR="00E75747" w:rsidRPr="00BC4F55">
              <w:rPr>
                <w:rFonts w:asciiTheme="minorHAnsi" w:hAnsiTheme="minorHAnsi"/>
                <w:lang w:val="en-GB"/>
              </w:rPr>
              <w:t xml:space="preserve">Over the course of two years, more than 1.6 million euros in imposed fines have been collected thanks to citizens’ vigilance and active participation. Out of this amount, 700,000 euros </w:t>
            </w:r>
            <w:r w:rsidR="00E73B6D">
              <w:rPr>
                <w:rFonts w:asciiTheme="minorHAnsi" w:hAnsiTheme="minorHAnsi"/>
                <w:lang w:val="en-GB"/>
              </w:rPr>
              <w:t>was</w:t>
            </w:r>
            <w:r w:rsidR="00E75747" w:rsidRPr="00BC4F55">
              <w:rPr>
                <w:rFonts w:asciiTheme="minorHAnsi" w:hAnsiTheme="minorHAnsi"/>
                <w:lang w:val="en-GB"/>
              </w:rPr>
              <w:t xml:space="preserve"> invested in 14 community-based projects for social good, which were identified and voted for by the people, e.g. the reconstruction of day-care centres for disabled children, the purchase of equipment for the </w:t>
            </w:r>
            <w:r w:rsidR="00E73B6D">
              <w:rPr>
                <w:rFonts w:asciiTheme="minorHAnsi" w:hAnsiTheme="minorHAnsi"/>
                <w:lang w:val="en-GB"/>
              </w:rPr>
              <w:t>main</w:t>
            </w:r>
            <w:r w:rsidR="00E73B6D" w:rsidRPr="00BC4F55">
              <w:rPr>
                <w:rFonts w:asciiTheme="minorHAnsi" w:hAnsiTheme="minorHAnsi"/>
                <w:lang w:val="en-GB"/>
              </w:rPr>
              <w:t xml:space="preserve"> </w:t>
            </w:r>
            <w:r w:rsidR="00E75747" w:rsidRPr="00BC4F55">
              <w:rPr>
                <w:rFonts w:asciiTheme="minorHAnsi" w:hAnsiTheme="minorHAnsi"/>
                <w:lang w:val="en-GB"/>
              </w:rPr>
              <w:t>children’s hospital, the renovation of local parks etc. The app resulted in a unique revolving fund for community projects that is capitalized through curbing informal economy.</w:t>
            </w:r>
          </w:p>
          <w:p w14:paraId="7545D614" w14:textId="55B71CC5" w:rsidR="00E266C3" w:rsidRPr="00BC4F55" w:rsidRDefault="00E266C3" w:rsidP="00B537E3">
            <w:pPr>
              <w:pStyle w:val="BodyText2"/>
              <w:jc w:val="both"/>
              <w:rPr>
                <w:rFonts w:asciiTheme="minorHAnsi" w:hAnsiTheme="minorHAnsi"/>
                <w:lang w:val="en-GB"/>
              </w:rPr>
            </w:pPr>
            <w:r w:rsidRPr="00BC4F55">
              <w:rPr>
                <w:rFonts w:asciiTheme="minorHAnsi" w:hAnsiTheme="minorHAnsi"/>
                <w:lang w:val="en-GB"/>
              </w:rPr>
              <w:t xml:space="preserve">Communication with citizens improved, including through direct interaction via social media and the use of existing channels for reporting suspected cases </w:t>
            </w:r>
            <w:r w:rsidR="00F4407E" w:rsidRPr="00BC4F55">
              <w:rPr>
                <w:rFonts w:asciiTheme="minorHAnsi" w:hAnsiTheme="minorHAnsi"/>
                <w:lang w:val="en-GB"/>
              </w:rPr>
              <w:t xml:space="preserve">of </w:t>
            </w:r>
            <w:r w:rsidRPr="00BC4F55">
              <w:rPr>
                <w:rFonts w:asciiTheme="minorHAnsi" w:hAnsiTheme="minorHAnsi"/>
                <w:lang w:val="en-GB"/>
              </w:rPr>
              <w:t xml:space="preserve">informal economy. The “Be Responsible” project put Montenegro on the global map, earning two international prizes from the Open Government Partnership and the US National Association of Government Communicators. </w:t>
            </w:r>
            <w:r w:rsidR="00EE349E" w:rsidRPr="00EE349E">
              <w:rPr>
                <w:rFonts w:asciiTheme="minorHAnsi" w:hAnsiTheme="minorHAnsi"/>
                <w:lang w:val="en-GB"/>
              </w:rPr>
              <w:t>Sustainability of the project was ensured through the national ownership over the whole initiative, which continues to be implemented by the Ministry of Finance and Tax Administration, in cooperation with the Faculty for Electrical Engineering, even without support of UNDP and other international donors</w:t>
            </w:r>
          </w:p>
          <w:p w14:paraId="4A6071B0" w14:textId="60DAD742" w:rsidR="00213F95" w:rsidRPr="00BC4F55" w:rsidRDefault="00213F95" w:rsidP="00B537E3">
            <w:pPr>
              <w:pStyle w:val="BodyText2"/>
              <w:jc w:val="both"/>
              <w:rPr>
                <w:rFonts w:asciiTheme="minorHAnsi" w:hAnsiTheme="minorHAnsi"/>
                <w:lang w:val="en-GB"/>
              </w:rPr>
            </w:pPr>
            <w:r w:rsidRPr="00BC4F55">
              <w:rPr>
                <w:rFonts w:asciiTheme="minorHAnsi" w:hAnsiTheme="minorHAnsi"/>
                <w:lang w:val="en-GB"/>
              </w:rPr>
              <w:t xml:space="preserve">CO Montenegro’s experiences in social innovation, especially in the domain of the use of innovative platforms for citizen and private sector engagement, were showcased to the Moroccan Government in 2015. “Cutting Red Tape” (new project started in the second half of 2015) and “Be Responsible” projects were presented </w:t>
            </w:r>
            <w:r w:rsidR="00F4407E" w:rsidRPr="00BC4F55">
              <w:rPr>
                <w:rFonts w:asciiTheme="minorHAnsi" w:hAnsiTheme="minorHAnsi"/>
                <w:lang w:val="en-GB"/>
              </w:rPr>
              <w:t xml:space="preserve">by UNDP </w:t>
            </w:r>
            <w:r w:rsidRPr="00BC4F55">
              <w:rPr>
                <w:rFonts w:asciiTheme="minorHAnsi" w:hAnsiTheme="minorHAnsi"/>
                <w:lang w:val="en-GB"/>
              </w:rPr>
              <w:t>together with partners from the Ministry of Finance as best examples in tailoring public administration to the needs of people. This exchange of experiences was part of the World Bank workshop for strengthening capacities of the Moroccan National Committee for Business Environment, and Montenegro’s case was recommended by the UK Government.</w:t>
            </w:r>
          </w:p>
          <w:p w14:paraId="253049E3" w14:textId="4E0E5221" w:rsidR="00CA4949" w:rsidRPr="00BC4F55" w:rsidRDefault="00E266C3" w:rsidP="00B537E3">
            <w:pPr>
              <w:pStyle w:val="BodyText2"/>
              <w:jc w:val="both"/>
              <w:rPr>
                <w:rFonts w:asciiTheme="minorHAnsi" w:hAnsiTheme="minorHAnsi"/>
                <w:lang w:val="en-GB"/>
              </w:rPr>
            </w:pPr>
            <w:r w:rsidRPr="00BC4F55">
              <w:rPr>
                <w:rFonts w:asciiTheme="minorHAnsi" w:hAnsiTheme="minorHAnsi"/>
                <w:lang w:val="en-GB"/>
              </w:rPr>
              <w:t>In the area of security, the Euro-Atlantic integration process was supported by the destruction of 1</w:t>
            </w:r>
            <w:r w:rsidR="00EE349E">
              <w:rPr>
                <w:rFonts w:asciiTheme="minorHAnsi" w:hAnsiTheme="minorHAnsi"/>
                <w:lang w:val="en-GB"/>
              </w:rPr>
              <w:t>6</w:t>
            </w:r>
            <w:r w:rsidRPr="00BC4F55">
              <w:rPr>
                <w:rFonts w:asciiTheme="minorHAnsi" w:hAnsiTheme="minorHAnsi"/>
                <w:lang w:val="en-GB"/>
              </w:rPr>
              <w:t xml:space="preserve">00 tons of </w:t>
            </w:r>
            <w:r w:rsidRPr="00BC4F55">
              <w:rPr>
                <w:rFonts w:asciiTheme="minorHAnsi" w:hAnsiTheme="minorHAnsi"/>
                <w:b/>
                <w:lang w:val="en-GB"/>
              </w:rPr>
              <w:t>surplus ammunition</w:t>
            </w:r>
            <w:r w:rsidRPr="00BC4F55">
              <w:rPr>
                <w:rFonts w:asciiTheme="minorHAnsi" w:hAnsiTheme="minorHAnsi"/>
                <w:lang w:val="en-GB"/>
              </w:rPr>
              <w:t>, as well as by completing the reconstruction of d</w:t>
            </w:r>
            <w:r w:rsidR="005324B1" w:rsidRPr="00BC4F55">
              <w:rPr>
                <w:rFonts w:asciiTheme="minorHAnsi" w:hAnsiTheme="minorHAnsi"/>
                <w:lang w:val="en-GB"/>
              </w:rPr>
              <w:t>esignated ammunition storage sites</w:t>
            </w:r>
            <w:r w:rsidR="00E73B6D">
              <w:rPr>
                <w:rFonts w:asciiTheme="minorHAnsi" w:hAnsiTheme="minorHAnsi"/>
                <w:lang w:val="en-GB"/>
              </w:rPr>
              <w:t xml:space="preserve"> and through the implementation of a nation-wide campaign “Respect life, surrender weapons” that aimed at awareness raising and collection of weapons illegally possessed by citizens, while implementing the amnesty clause (anonymous weapon surrendering without legal punishment)</w:t>
            </w:r>
            <w:r w:rsidR="005324B1" w:rsidRPr="00BC4F55">
              <w:rPr>
                <w:rFonts w:asciiTheme="minorHAnsi" w:hAnsiTheme="minorHAnsi"/>
                <w:lang w:val="en-GB"/>
              </w:rPr>
              <w:t>.</w:t>
            </w:r>
          </w:p>
          <w:p w14:paraId="4E04FA2F" w14:textId="77777777" w:rsidR="005324B1" w:rsidRPr="00BC4F55" w:rsidRDefault="005324B1" w:rsidP="00B537E3">
            <w:pPr>
              <w:pStyle w:val="BodyText2"/>
              <w:jc w:val="both"/>
              <w:rPr>
                <w:rFonts w:asciiTheme="minorHAnsi" w:hAnsiTheme="minorHAnsi"/>
                <w:lang w:val="en-GB"/>
              </w:rPr>
            </w:pPr>
          </w:p>
          <w:p w14:paraId="7BCFDA0B" w14:textId="6827B589" w:rsidR="000348DD" w:rsidRPr="00BC4F55" w:rsidRDefault="00CA4949" w:rsidP="00B537E3">
            <w:pPr>
              <w:pStyle w:val="BodyText2"/>
              <w:jc w:val="both"/>
              <w:rPr>
                <w:rFonts w:asciiTheme="minorHAnsi" w:hAnsiTheme="minorHAnsi"/>
                <w:b/>
                <w:u w:val="single"/>
                <w:lang w:val="en-GB"/>
              </w:rPr>
            </w:pPr>
            <w:r w:rsidRPr="00BC4F55">
              <w:rPr>
                <w:rFonts w:asciiTheme="minorHAnsi" w:hAnsiTheme="minorHAnsi"/>
                <w:b/>
                <w:u w:val="single"/>
                <w:lang w:val="en-GB"/>
              </w:rPr>
              <w:t xml:space="preserve">Lessons learnt </w:t>
            </w:r>
          </w:p>
          <w:p w14:paraId="779E09CB" w14:textId="1B9C65BD" w:rsidR="00213F95" w:rsidRPr="00BC4F55" w:rsidRDefault="00213F95" w:rsidP="00EE349E">
            <w:pPr>
              <w:pStyle w:val="ListParagraph"/>
              <w:numPr>
                <w:ilvl w:val="0"/>
                <w:numId w:val="19"/>
              </w:numPr>
              <w:jc w:val="both"/>
              <w:rPr>
                <w:rFonts w:asciiTheme="minorHAnsi" w:hAnsiTheme="minorHAnsi"/>
                <w:sz w:val="20"/>
                <w:lang w:val="en-GB"/>
              </w:rPr>
            </w:pPr>
            <w:r w:rsidRPr="00BC4F55">
              <w:rPr>
                <w:rFonts w:asciiTheme="minorHAnsi" w:hAnsiTheme="minorHAnsi"/>
                <w:sz w:val="20"/>
                <w:lang w:val="en-GB"/>
              </w:rPr>
              <w:t>Support to social innovation and use of new technologies, open data and social media has led to more participatory policy formulation, decision-making, monitoring and evaluation. UNDP’s experiences in social innovation, especially in the domain of the use of innovative platforms for citizen and private sector engagement is an example in tailoring public administration to the needs of people and serves to build a communication bridge between the state and citizens. The target population are all citizens who want to be engaged in the process of developing more effective, efficient, inclusive, accountable and transparent institutions at central and local level.</w:t>
            </w:r>
          </w:p>
          <w:p w14:paraId="26858EAD" w14:textId="495CF9BE" w:rsidR="00213F95" w:rsidRPr="00BC4F55" w:rsidRDefault="00213F95" w:rsidP="00B537E3">
            <w:pPr>
              <w:pStyle w:val="ListParagraph"/>
              <w:numPr>
                <w:ilvl w:val="0"/>
                <w:numId w:val="19"/>
              </w:numPr>
              <w:jc w:val="both"/>
              <w:rPr>
                <w:rFonts w:asciiTheme="minorHAnsi" w:hAnsiTheme="minorHAnsi"/>
                <w:sz w:val="20"/>
                <w:lang w:val="en-GB"/>
              </w:rPr>
            </w:pPr>
            <w:r w:rsidRPr="00BC4F55">
              <w:rPr>
                <w:rFonts w:asciiTheme="minorHAnsi" w:hAnsiTheme="minorHAnsi"/>
                <w:sz w:val="20"/>
                <w:lang w:val="en-GB"/>
              </w:rPr>
              <w:t>Well designed, nationally owned and led interventions lead to sustainability, as was the case with the establishment of the legal aid system. The provision of expert support and training provision to key counterparts had resulted in</w:t>
            </w:r>
            <w:r w:rsidR="00E73B6D">
              <w:rPr>
                <w:rFonts w:asciiTheme="minorHAnsi" w:hAnsiTheme="minorHAnsi"/>
                <w:sz w:val="20"/>
                <w:lang w:val="en-GB"/>
              </w:rPr>
              <w:t xml:space="preserve"> the</w:t>
            </w:r>
            <w:r w:rsidRPr="00BC4F55">
              <w:rPr>
                <w:rFonts w:asciiTheme="minorHAnsi" w:hAnsiTheme="minorHAnsi"/>
                <w:sz w:val="20"/>
                <w:lang w:val="en-GB"/>
              </w:rPr>
              <w:t xml:space="preserve"> increased quality of services and access to citizens, especially vulnerable groups.</w:t>
            </w:r>
          </w:p>
          <w:p w14:paraId="2869F823" w14:textId="10675DD0" w:rsidR="00213F95" w:rsidRPr="00BC4F55" w:rsidRDefault="00213F95" w:rsidP="00B537E3">
            <w:pPr>
              <w:pStyle w:val="ListParagraph"/>
              <w:numPr>
                <w:ilvl w:val="0"/>
                <w:numId w:val="19"/>
              </w:numPr>
              <w:jc w:val="both"/>
              <w:rPr>
                <w:rFonts w:asciiTheme="minorHAnsi" w:hAnsiTheme="minorHAnsi"/>
                <w:lang w:val="en-GB"/>
              </w:rPr>
            </w:pPr>
            <w:r w:rsidRPr="00BC4F55">
              <w:rPr>
                <w:rFonts w:asciiTheme="minorHAnsi" w:hAnsiTheme="minorHAnsi"/>
                <w:sz w:val="20"/>
                <w:lang w:val="en-GB"/>
              </w:rPr>
              <w:t xml:space="preserve">Furthermore, the UNDP support </w:t>
            </w:r>
            <w:r w:rsidR="00F4407E" w:rsidRPr="00BC4F55">
              <w:rPr>
                <w:rFonts w:asciiTheme="minorHAnsi" w:hAnsiTheme="minorHAnsi"/>
                <w:sz w:val="20"/>
                <w:lang w:val="en-GB"/>
              </w:rPr>
              <w:t xml:space="preserve">in </w:t>
            </w:r>
            <w:r w:rsidRPr="00BC4F55">
              <w:rPr>
                <w:rFonts w:asciiTheme="minorHAnsi" w:hAnsiTheme="minorHAnsi"/>
                <w:sz w:val="20"/>
                <w:lang w:val="en-GB"/>
              </w:rPr>
              <w:t>development of capacities of the Government and progress in establishing strategic framework and institutional structures provided basis for a good policy making system and had improved coordination between the institutions involved in the EU accession process and programming of EU funds.</w:t>
            </w:r>
          </w:p>
        </w:tc>
      </w:tr>
      <w:tr w:rsidR="003B037A" w:rsidRPr="00BC4F55" w14:paraId="2869F82A" w14:textId="77777777" w:rsidTr="00ED7235">
        <w:tc>
          <w:tcPr>
            <w:tcW w:w="3060" w:type="dxa"/>
            <w:shd w:val="clear" w:color="auto" w:fill="95B3D7" w:themeFill="accent1" w:themeFillTint="99"/>
          </w:tcPr>
          <w:p w14:paraId="2869F826" w14:textId="13F4C39C" w:rsidR="003B037A" w:rsidRPr="00BC4F55" w:rsidRDefault="00D9192E" w:rsidP="00B537E3">
            <w:pPr>
              <w:pStyle w:val="BodyText2"/>
              <w:jc w:val="both"/>
              <w:rPr>
                <w:rFonts w:asciiTheme="minorHAnsi" w:hAnsiTheme="minorHAnsi"/>
                <w:b/>
                <w:lang w:val="en-GB"/>
              </w:rPr>
            </w:pPr>
            <w:r w:rsidRPr="00BC4F55">
              <w:rPr>
                <w:rFonts w:asciiTheme="minorHAnsi" w:hAnsiTheme="minorHAnsi"/>
                <w:lang w:val="en-GB"/>
              </w:rPr>
              <w:lastRenderedPageBreak/>
              <w:br w:type="page"/>
            </w:r>
            <w:r w:rsidR="00DC4D86" w:rsidRPr="00BC4F55">
              <w:rPr>
                <w:rFonts w:asciiTheme="minorHAnsi" w:hAnsiTheme="minorHAnsi"/>
                <w:lang w:val="en-GB"/>
              </w:rPr>
              <w:t>3</w:t>
            </w:r>
            <w:r w:rsidR="003B037A" w:rsidRPr="00BC4F55">
              <w:rPr>
                <w:rFonts w:asciiTheme="minorHAnsi" w:hAnsiTheme="minorHAnsi"/>
                <w:lang w:val="en-GB"/>
              </w:rPr>
              <w:t>.</w:t>
            </w:r>
            <w:r w:rsidR="00C00B7E" w:rsidRPr="00BC4F55">
              <w:rPr>
                <w:rFonts w:asciiTheme="minorHAnsi" w:hAnsiTheme="minorHAnsi"/>
                <w:lang w:val="en-GB"/>
              </w:rPr>
              <w:t xml:space="preserve"> Balanced and equitable regional economic growth based on sustainable planning and use of natural resources that</w:t>
            </w:r>
            <w:r w:rsidR="00B537E3">
              <w:rPr>
                <w:rFonts w:asciiTheme="minorHAnsi" w:hAnsiTheme="minorHAnsi"/>
                <w:lang w:val="en-GB"/>
              </w:rPr>
              <w:t xml:space="preserve"> </w:t>
            </w:r>
            <w:r w:rsidR="00C00B7E" w:rsidRPr="00BC4F55">
              <w:rPr>
                <w:rFonts w:asciiTheme="minorHAnsi" w:hAnsiTheme="minorHAnsi"/>
                <w:lang w:val="en-GB"/>
              </w:rPr>
              <w:t>will provide a high quality of life and long-term economic opportunities for its inhabitants</w:t>
            </w:r>
            <w:r w:rsidR="00047F60">
              <w:rPr>
                <w:rFonts w:asciiTheme="minorHAnsi" w:hAnsiTheme="minorHAnsi"/>
                <w:lang w:val="en-GB"/>
              </w:rPr>
              <w:t>.</w:t>
            </w:r>
          </w:p>
        </w:tc>
        <w:tc>
          <w:tcPr>
            <w:tcW w:w="1453" w:type="dxa"/>
            <w:gridSpan w:val="2"/>
            <w:shd w:val="clear" w:color="auto" w:fill="auto"/>
          </w:tcPr>
          <w:p w14:paraId="2869F827" w14:textId="088451BA" w:rsidR="003B037A" w:rsidRPr="00BC4F55" w:rsidRDefault="003B037A" w:rsidP="00B537E3">
            <w:pPr>
              <w:pStyle w:val="BodyText2"/>
              <w:jc w:val="both"/>
              <w:rPr>
                <w:rFonts w:asciiTheme="minorHAnsi" w:hAnsiTheme="minorHAnsi"/>
                <w:lang w:val="en-GB"/>
              </w:rPr>
            </w:pPr>
            <w:r w:rsidRPr="00BC4F55">
              <w:rPr>
                <w:rFonts w:asciiTheme="minorHAnsi" w:hAnsiTheme="minorHAnsi"/>
                <w:lang w:val="en-GB"/>
              </w:rPr>
              <w:t>$</w:t>
            </w:r>
            <w:r w:rsidR="00BA2252" w:rsidRPr="00BC4F55">
              <w:rPr>
                <w:rFonts w:asciiTheme="minorHAnsi" w:hAnsiTheme="minorHAnsi"/>
                <w:lang w:val="en-GB"/>
              </w:rPr>
              <w:t xml:space="preserve"> 13,247</w:t>
            </w:r>
          </w:p>
        </w:tc>
        <w:tc>
          <w:tcPr>
            <w:tcW w:w="4037" w:type="dxa"/>
            <w:tcBorders>
              <w:left w:val="single" w:sz="4" w:space="0" w:color="auto"/>
            </w:tcBorders>
          </w:tcPr>
          <w:p w14:paraId="1DFF327C" w14:textId="11F41A44" w:rsidR="00ED7235" w:rsidRPr="00BC4F55" w:rsidRDefault="00887235" w:rsidP="00B537E3">
            <w:pPr>
              <w:pStyle w:val="BodyText2"/>
              <w:numPr>
                <w:ilvl w:val="0"/>
                <w:numId w:val="13"/>
              </w:numPr>
              <w:jc w:val="both"/>
              <w:rPr>
                <w:rFonts w:asciiTheme="minorHAnsi" w:hAnsiTheme="minorHAnsi"/>
                <w:lang w:val="en-GB"/>
              </w:rPr>
            </w:pPr>
            <w:r w:rsidRPr="00BC4F55">
              <w:rPr>
                <w:rFonts w:asciiTheme="minorHAnsi" w:hAnsiTheme="minorHAnsi"/>
                <w:lang w:val="en-GB"/>
              </w:rPr>
              <w:t>Quality of life: HDI disaggregated by region (2010: North</w:t>
            </w:r>
            <w:r w:rsidR="00047F60">
              <w:rPr>
                <w:rFonts w:asciiTheme="minorHAnsi" w:hAnsiTheme="minorHAnsi"/>
                <w:lang w:val="en-GB"/>
              </w:rPr>
              <w:t>ern</w:t>
            </w:r>
            <w:r w:rsidRPr="00BC4F55">
              <w:rPr>
                <w:rFonts w:asciiTheme="minorHAnsi" w:hAnsiTheme="minorHAnsi"/>
                <w:lang w:val="en-GB"/>
              </w:rPr>
              <w:t>: 6.21, South</w:t>
            </w:r>
            <w:r w:rsidR="00047F60">
              <w:rPr>
                <w:rFonts w:asciiTheme="minorHAnsi" w:hAnsiTheme="minorHAnsi"/>
                <w:lang w:val="en-GB"/>
              </w:rPr>
              <w:t>ern</w:t>
            </w:r>
            <w:r w:rsidRPr="00BC4F55">
              <w:rPr>
                <w:rFonts w:asciiTheme="minorHAnsi" w:hAnsiTheme="minorHAnsi"/>
                <w:lang w:val="en-GB"/>
              </w:rPr>
              <w:t xml:space="preserve"> 7.6; Centr</w:t>
            </w:r>
            <w:r w:rsidR="00047F60">
              <w:rPr>
                <w:rFonts w:asciiTheme="minorHAnsi" w:hAnsiTheme="minorHAnsi"/>
                <w:lang w:val="en-GB"/>
              </w:rPr>
              <w:t>al</w:t>
            </w:r>
            <w:r w:rsidRPr="00BC4F55">
              <w:rPr>
                <w:rFonts w:asciiTheme="minorHAnsi" w:hAnsiTheme="minorHAnsi"/>
                <w:lang w:val="en-GB"/>
              </w:rPr>
              <w:t xml:space="preserve">: 6.5)/ NHDR; </w:t>
            </w:r>
          </w:p>
          <w:p w14:paraId="3737C261" w14:textId="5CA05700" w:rsidR="00ED7235" w:rsidRPr="00BC4F55" w:rsidRDefault="00887235" w:rsidP="00B537E3">
            <w:pPr>
              <w:pStyle w:val="BodyText2"/>
              <w:numPr>
                <w:ilvl w:val="0"/>
                <w:numId w:val="13"/>
              </w:numPr>
              <w:jc w:val="both"/>
              <w:rPr>
                <w:rFonts w:asciiTheme="minorHAnsi" w:hAnsiTheme="minorHAnsi"/>
                <w:lang w:val="en-GB"/>
              </w:rPr>
            </w:pPr>
            <w:r w:rsidRPr="00BC4F55">
              <w:rPr>
                <w:rFonts w:asciiTheme="minorHAnsi" w:hAnsiTheme="minorHAnsi"/>
                <w:lang w:val="en-GB"/>
              </w:rPr>
              <w:t>Unemployment rates disaggregated by region (North</w:t>
            </w:r>
            <w:r w:rsidR="00047F60">
              <w:rPr>
                <w:rFonts w:asciiTheme="minorHAnsi" w:hAnsiTheme="minorHAnsi"/>
                <w:lang w:val="en-GB"/>
              </w:rPr>
              <w:t>ern</w:t>
            </w:r>
            <w:r w:rsidRPr="00BC4F55">
              <w:rPr>
                <w:rFonts w:asciiTheme="minorHAnsi" w:hAnsiTheme="minorHAnsi"/>
                <w:lang w:val="en-GB"/>
              </w:rPr>
              <w:t>: 29.6%, South</w:t>
            </w:r>
            <w:r w:rsidR="00047F60">
              <w:rPr>
                <w:rFonts w:asciiTheme="minorHAnsi" w:hAnsiTheme="minorHAnsi"/>
                <w:lang w:val="en-GB"/>
              </w:rPr>
              <w:t>ern</w:t>
            </w:r>
            <w:r w:rsidRPr="00BC4F55">
              <w:rPr>
                <w:rFonts w:asciiTheme="minorHAnsi" w:hAnsiTheme="minorHAnsi"/>
                <w:lang w:val="en-GB"/>
              </w:rPr>
              <w:t xml:space="preserve"> 10.3%, Centr</w:t>
            </w:r>
            <w:r w:rsidR="00047F60">
              <w:rPr>
                <w:rFonts w:asciiTheme="minorHAnsi" w:hAnsiTheme="minorHAnsi"/>
                <w:lang w:val="en-GB"/>
              </w:rPr>
              <w:t>al</w:t>
            </w:r>
            <w:r w:rsidRPr="00BC4F55">
              <w:rPr>
                <w:rFonts w:asciiTheme="minorHAnsi" w:hAnsiTheme="minorHAnsi"/>
                <w:lang w:val="en-GB"/>
              </w:rPr>
              <w:t xml:space="preserve">: 18%)/MONSTAT; </w:t>
            </w:r>
          </w:p>
          <w:p w14:paraId="2869F828" w14:textId="3B0B2815" w:rsidR="003B037A" w:rsidRPr="00BC4F55" w:rsidRDefault="00887235" w:rsidP="00B537E3">
            <w:pPr>
              <w:pStyle w:val="BodyText2"/>
              <w:numPr>
                <w:ilvl w:val="0"/>
                <w:numId w:val="13"/>
              </w:numPr>
              <w:jc w:val="both"/>
              <w:rPr>
                <w:rFonts w:asciiTheme="minorHAnsi" w:hAnsiTheme="minorHAnsi"/>
                <w:lang w:val="en-GB"/>
              </w:rPr>
            </w:pPr>
            <w:r w:rsidRPr="00BC4F55">
              <w:rPr>
                <w:rFonts w:asciiTheme="minorHAnsi" w:hAnsiTheme="minorHAnsi"/>
                <w:lang w:val="en-GB"/>
              </w:rPr>
              <w:t>Greenhouse gas emissions (2003: 5320.17 CO2 e</w:t>
            </w:r>
            <w:r w:rsidR="00ED7235" w:rsidRPr="00BC4F55">
              <w:rPr>
                <w:rFonts w:asciiTheme="minorHAnsi" w:hAnsiTheme="minorHAnsi"/>
                <w:lang w:val="en-GB"/>
              </w:rPr>
              <w:t>.</w:t>
            </w:r>
            <w:r w:rsidRPr="00BC4F55">
              <w:rPr>
                <w:rFonts w:asciiTheme="minorHAnsi" w:hAnsiTheme="minorHAnsi"/>
                <w:lang w:val="en-GB"/>
              </w:rPr>
              <w:t>q</w:t>
            </w:r>
            <w:r w:rsidR="00ED7235" w:rsidRPr="00BC4F55">
              <w:rPr>
                <w:rFonts w:asciiTheme="minorHAnsi" w:hAnsiTheme="minorHAnsi"/>
                <w:lang w:val="en-GB"/>
              </w:rPr>
              <w:t xml:space="preserve">. tonnes) National </w:t>
            </w:r>
            <w:r w:rsidRPr="00BC4F55">
              <w:rPr>
                <w:rFonts w:asciiTheme="minorHAnsi" w:hAnsiTheme="minorHAnsi"/>
                <w:lang w:val="en-GB"/>
              </w:rPr>
              <w:t xml:space="preserve">Communications to UNFCCC. </w:t>
            </w:r>
          </w:p>
        </w:tc>
        <w:tc>
          <w:tcPr>
            <w:tcW w:w="5490" w:type="dxa"/>
            <w:shd w:val="clear" w:color="auto" w:fill="auto"/>
          </w:tcPr>
          <w:p w14:paraId="457ADE1B" w14:textId="48660016" w:rsidR="00ED7235" w:rsidRPr="00BC4F55" w:rsidRDefault="00887235" w:rsidP="00B537E3">
            <w:pPr>
              <w:pStyle w:val="BodyText2"/>
              <w:numPr>
                <w:ilvl w:val="0"/>
                <w:numId w:val="22"/>
              </w:numPr>
              <w:jc w:val="both"/>
              <w:rPr>
                <w:rFonts w:asciiTheme="minorHAnsi" w:hAnsiTheme="minorHAnsi"/>
                <w:lang w:val="en-GB"/>
              </w:rPr>
            </w:pPr>
            <w:r w:rsidRPr="00BC4F55">
              <w:rPr>
                <w:rFonts w:asciiTheme="minorHAnsi" w:hAnsiTheme="minorHAnsi"/>
                <w:lang w:val="en-GB"/>
              </w:rPr>
              <w:t>Quality of life: HDI disaggregated by region;</w:t>
            </w:r>
            <w:r w:rsidR="00ED7235" w:rsidRPr="00BC4F55">
              <w:rPr>
                <w:rFonts w:asciiTheme="minorHAnsi" w:hAnsiTheme="minorHAnsi"/>
                <w:lang w:val="en-GB"/>
              </w:rPr>
              <w:t xml:space="preserve"> N/A not produced by NHDR since 2012</w:t>
            </w:r>
            <w:r w:rsidR="00047F60">
              <w:rPr>
                <w:rFonts w:asciiTheme="minorHAnsi" w:hAnsiTheme="minorHAnsi"/>
                <w:lang w:val="en-GB"/>
              </w:rPr>
              <w:t>;</w:t>
            </w:r>
            <w:r w:rsidRPr="00BC4F55">
              <w:rPr>
                <w:rFonts w:asciiTheme="minorHAnsi" w:hAnsiTheme="minorHAnsi"/>
                <w:lang w:val="en-GB"/>
              </w:rPr>
              <w:t xml:space="preserve"> </w:t>
            </w:r>
          </w:p>
          <w:p w14:paraId="52142EF1" w14:textId="0E3692F7" w:rsidR="00ED7235" w:rsidRPr="00BC4F55" w:rsidRDefault="00887235" w:rsidP="00B537E3">
            <w:pPr>
              <w:pStyle w:val="BodyText2"/>
              <w:numPr>
                <w:ilvl w:val="0"/>
                <w:numId w:val="22"/>
              </w:numPr>
              <w:jc w:val="both"/>
              <w:rPr>
                <w:rFonts w:asciiTheme="minorHAnsi" w:hAnsiTheme="minorHAnsi"/>
                <w:lang w:val="en-GB"/>
              </w:rPr>
            </w:pPr>
            <w:r w:rsidRPr="00BC4F55">
              <w:rPr>
                <w:rFonts w:asciiTheme="minorHAnsi" w:hAnsiTheme="minorHAnsi"/>
                <w:lang w:val="en-GB"/>
              </w:rPr>
              <w:t xml:space="preserve">Unemployment rates disaggregated by region 2015 </w:t>
            </w:r>
            <w:r w:rsidR="00501317" w:rsidRPr="00BC4F55">
              <w:rPr>
                <w:rFonts w:asciiTheme="minorHAnsi" w:hAnsiTheme="minorHAnsi"/>
                <w:lang w:val="en-GB"/>
              </w:rPr>
              <w:t xml:space="preserve"> (North</w:t>
            </w:r>
            <w:r w:rsidR="00047F60">
              <w:rPr>
                <w:rFonts w:asciiTheme="minorHAnsi" w:hAnsiTheme="minorHAnsi"/>
                <w:lang w:val="en-GB"/>
              </w:rPr>
              <w:t>ern</w:t>
            </w:r>
            <w:r w:rsidR="00501317" w:rsidRPr="00BC4F55">
              <w:rPr>
                <w:rFonts w:asciiTheme="minorHAnsi" w:hAnsiTheme="minorHAnsi"/>
                <w:lang w:val="en-GB"/>
              </w:rPr>
              <w:t>: 36.4%, South</w:t>
            </w:r>
            <w:r w:rsidR="00047F60">
              <w:rPr>
                <w:rFonts w:asciiTheme="minorHAnsi" w:hAnsiTheme="minorHAnsi"/>
                <w:lang w:val="en-GB"/>
              </w:rPr>
              <w:t>ern</w:t>
            </w:r>
            <w:r w:rsidR="00501317" w:rsidRPr="00BC4F55">
              <w:rPr>
                <w:rFonts w:asciiTheme="minorHAnsi" w:hAnsiTheme="minorHAnsi"/>
                <w:lang w:val="en-GB"/>
              </w:rPr>
              <w:t xml:space="preserve"> 5.6</w:t>
            </w:r>
            <w:r w:rsidRPr="00BC4F55">
              <w:rPr>
                <w:rFonts w:asciiTheme="minorHAnsi" w:hAnsiTheme="minorHAnsi"/>
                <w:lang w:val="en-GB"/>
              </w:rPr>
              <w:t>%, Ce</w:t>
            </w:r>
            <w:r w:rsidR="00501317" w:rsidRPr="00BC4F55">
              <w:rPr>
                <w:rFonts w:asciiTheme="minorHAnsi" w:hAnsiTheme="minorHAnsi"/>
                <w:lang w:val="en-GB"/>
              </w:rPr>
              <w:t>ntr</w:t>
            </w:r>
            <w:r w:rsidR="00047F60">
              <w:rPr>
                <w:rFonts w:asciiTheme="minorHAnsi" w:hAnsiTheme="minorHAnsi"/>
                <w:lang w:val="en-GB"/>
              </w:rPr>
              <w:t>al</w:t>
            </w:r>
            <w:r w:rsidR="00501317" w:rsidRPr="00BC4F55">
              <w:rPr>
                <w:rFonts w:asciiTheme="minorHAnsi" w:hAnsiTheme="minorHAnsi"/>
                <w:lang w:val="en-GB"/>
              </w:rPr>
              <w:t>: 11.7</w:t>
            </w:r>
            <w:r w:rsidR="00ED7235" w:rsidRPr="00BC4F55">
              <w:rPr>
                <w:rFonts w:asciiTheme="minorHAnsi" w:hAnsiTheme="minorHAnsi"/>
                <w:lang w:val="en-GB"/>
              </w:rPr>
              <w:t>%)/MONSTAT;</w:t>
            </w:r>
          </w:p>
          <w:p w14:paraId="2869F829" w14:textId="1C7DF618" w:rsidR="00ED7235" w:rsidRPr="00BC4F55" w:rsidRDefault="00ED7235" w:rsidP="00B537E3">
            <w:pPr>
              <w:pStyle w:val="BodyText2"/>
              <w:numPr>
                <w:ilvl w:val="0"/>
                <w:numId w:val="22"/>
              </w:numPr>
              <w:jc w:val="both"/>
              <w:rPr>
                <w:rFonts w:asciiTheme="minorHAnsi" w:hAnsiTheme="minorHAnsi"/>
                <w:lang w:val="en-GB"/>
              </w:rPr>
            </w:pPr>
            <w:r w:rsidRPr="00BC4F55">
              <w:rPr>
                <w:rFonts w:asciiTheme="minorHAnsi" w:hAnsiTheme="minorHAnsi"/>
                <w:lang w:val="en-GB"/>
              </w:rPr>
              <w:t xml:space="preserve">Greenhouse gas emissions (2013: </w:t>
            </w:r>
            <w:r w:rsidRPr="00BC4F55">
              <w:rPr>
                <w:rFonts w:ascii="Calibri Light" w:hAnsi="Calibri Light" w:cs="Arial"/>
                <w:lang w:val="en-GB"/>
              </w:rPr>
              <w:t>3,178.28 Gg</w:t>
            </w:r>
            <w:r w:rsidRPr="00BC4F55">
              <w:rPr>
                <w:rFonts w:asciiTheme="minorHAnsi" w:hAnsiTheme="minorHAnsi"/>
                <w:lang w:val="en-GB"/>
              </w:rPr>
              <w:t>) National Communications to UNFCCC.</w:t>
            </w:r>
          </w:p>
        </w:tc>
      </w:tr>
      <w:tr w:rsidR="00DC4D86" w:rsidRPr="00BC4F55" w14:paraId="2869F82F" w14:textId="77777777" w:rsidTr="00213F95">
        <w:tc>
          <w:tcPr>
            <w:tcW w:w="14040" w:type="dxa"/>
            <w:gridSpan w:val="5"/>
          </w:tcPr>
          <w:p w14:paraId="2869F82B" w14:textId="6B59A84B" w:rsidR="00DC4D86" w:rsidRPr="00BC4F55" w:rsidRDefault="00DC4D86" w:rsidP="00845340">
            <w:pPr>
              <w:pStyle w:val="BodyText2"/>
              <w:rPr>
                <w:rFonts w:asciiTheme="minorHAnsi" w:hAnsiTheme="minorHAnsi"/>
                <w:b/>
                <w:lang w:val="en-GB"/>
              </w:rPr>
            </w:pPr>
            <w:r w:rsidRPr="00BC4F55">
              <w:rPr>
                <w:rFonts w:asciiTheme="minorHAnsi" w:hAnsiTheme="minorHAnsi"/>
                <w:b/>
                <w:lang w:val="en-GB"/>
              </w:rPr>
              <w:t>UNDP Contribution:</w:t>
            </w:r>
          </w:p>
          <w:p w14:paraId="2869F82D" w14:textId="77777777" w:rsidR="008B06DD" w:rsidRPr="00BC4F55" w:rsidRDefault="008B06DD" w:rsidP="00845340">
            <w:pPr>
              <w:pStyle w:val="BodyText2"/>
              <w:rPr>
                <w:rFonts w:asciiTheme="minorHAnsi" w:hAnsiTheme="minorHAnsi"/>
                <w:b/>
                <w:u w:val="single"/>
                <w:lang w:val="en-GB"/>
              </w:rPr>
            </w:pPr>
            <w:r w:rsidRPr="00BC4F55">
              <w:rPr>
                <w:rFonts w:asciiTheme="minorHAnsi" w:hAnsiTheme="minorHAnsi"/>
                <w:b/>
                <w:u w:val="single"/>
                <w:lang w:val="en-GB"/>
              </w:rPr>
              <w:t>CP Outputs</w:t>
            </w:r>
          </w:p>
          <w:p w14:paraId="6E1FF61A" w14:textId="5A20E55C" w:rsidR="00501317" w:rsidRPr="00BC4F55" w:rsidRDefault="00501317" w:rsidP="00501317">
            <w:pPr>
              <w:pStyle w:val="BodyText2"/>
              <w:rPr>
                <w:rFonts w:asciiTheme="minorHAnsi" w:hAnsiTheme="minorHAnsi"/>
                <w:lang w:val="en-GB"/>
              </w:rPr>
            </w:pPr>
            <w:r w:rsidRPr="00BC4F55">
              <w:rPr>
                <w:rFonts w:asciiTheme="minorHAnsi" w:hAnsiTheme="minorHAnsi"/>
                <w:lang w:val="en-GB"/>
              </w:rPr>
              <w:t>3.1. Climate change adaptation and mitigation measures integrated into sector strategies and urban planning</w:t>
            </w:r>
            <w:r w:rsidR="00047F60">
              <w:rPr>
                <w:rFonts w:asciiTheme="minorHAnsi" w:hAnsiTheme="minorHAnsi"/>
                <w:lang w:val="en-GB"/>
              </w:rPr>
              <w:t>;</w:t>
            </w:r>
          </w:p>
          <w:p w14:paraId="1B13D0AA" w14:textId="3B0BF3BB" w:rsidR="00501317" w:rsidRPr="00BC4F55" w:rsidRDefault="00501317" w:rsidP="00501317">
            <w:pPr>
              <w:pStyle w:val="BodyText2"/>
              <w:rPr>
                <w:rFonts w:asciiTheme="minorHAnsi" w:hAnsiTheme="minorHAnsi"/>
                <w:lang w:val="en-GB"/>
              </w:rPr>
            </w:pPr>
            <w:r w:rsidRPr="00BC4F55">
              <w:rPr>
                <w:rFonts w:asciiTheme="minorHAnsi" w:hAnsiTheme="minorHAnsi"/>
                <w:lang w:val="en-GB"/>
              </w:rPr>
              <w:t>3.2 Development of quantifiable indicators on environmental impact of growth</w:t>
            </w:r>
            <w:r w:rsidR="00047F60">
              <w:rPr>
                <w:rFonts w:asciiTheme="minorHAnsi" w:hAnsiTheme="minorHAnsi"/>
                <w:lang w:val="en-GB"/>
              </w:rPr>
              <w:t>;</w:t>
            </w:r>
          </w:p>
          <w:p w14:paraId="2A0F3A58" w14:textId="549229B2" w:rsidR="00501317" w:rsidRPr="00BC4F55" w:rsidRDefault="00501317" w:rsidP="00501317">
            <w:pPr>
              <w:pStyle w:val="BodyText2"/>
              <w:rPr>
                <w:rFonts w:asciiTheme="minorHAnsi" w:hAnsiTheme="minorHAnsi"/>
                <w:lang w:val="en-GB"/>
              </w:rPr>
            </w:pPr>
            <w:r w:rsidRPr="00BC4F55">
              <w:rPr>
                <w:rFonts w:asciiTheme="minorHAnsi" w:hAnsiTheme="minorHAnsi"/>
                <w:lang w:val="en-GB"/>
              </w:rPr>
              <w:t>3.3. Ministry of Sustainable Development and Tourism is capacitated (with inventories and action plan) to implement the Strategy on Formalization of Informal settlements</w:t>
            </w:r>
            <w:r w:rsidR="00047F60">
              <w:rPr>
                <w:rFonts w:asciiTheme="minorHAnsi" w:hAnsiTheme="minorHAnsi"/>
                <w:lang w:val="en-GB"/>
              </w:rPr>
              <w:t>;</w:t>
            </w:r>
            <w:r w:rsidRPr="00BC4F55">
              <w:rPr>
                <w:rFonts w:asciiTheme="minorHAnsi" w:hAnsiTheme="minorHAnsi"/>
                <w:lang w:val="en-GB"/>
              </w:rPr>
              <w:t xml:space="preserve"> </w:t>
            </w:r>
          </w:p>
          <w:p w14:paraId="5A6769C0" w14:textId="5EB0B9C9" w:rsidR="00501317" w:rsidRPr="00BC4F55" w:rsidRDefault="00501317" w:rsidP="00501317">
            <w:pPr>
              <w:pStyle w:val="BodyText2"/>
              <w:rPr>
                <w:rFonts w:asciiTheme="minorHAnsi" w:hAnsiTheme="minorHAnsi"/>
                <w:lang w:val="en-GB"/>
              </w:rPr>
            </w:pPr>
            <w:r w:rsidRPr="00BC4F55">
              <w:rPr>
                <w:rFonts w:asciiTheme="minorHAnsi" w:hAnsiTheme="minorHAnsi"/>
                <w:lang w:val="en-GB"/>
              </w:rPr>
              <w:t>3.4</w:t>
            </w:r>
            <w:r w:rsidR="00047F60">
              <w:rPr>
                <w:rFonts w:asciiTheme="minorHAnsi" w:hAnsiTheme="minorHAnsi"/>
                <w:lang w:val="en-GB"/>
              </w:rPr>
              <w:t>.</w:t>
            </w:r>
            <w:r w:rsidRPr="00BC4F55">
              <w:rPr>
                <w:rFonts w:asciiTheme="minorHAnsi" w:hAnsiTheme="minorHAnsi"/>
                <w:lang w:val="en-GB"/>
              </w:rPr>
              <w:t xml:space="preserve"> Improved management and financing of protected areas</w:t>
            </w:r>
            <w:r w:rsidR="00047F60">
              <w:rPr>
                <w:rFonts w:asciiTheme="minorHAnsi" w:hAnsiTheme="minorHAnsi"/>
                <w:lang w:val="en-GB"/>
              </w:rPr>
              <w:t>;</w:t>
            </w:r>
          </w:p>
          <w:p w14:paraId="6DFDE072" w14:textId="4FCB7307" w:rsidR="00501317" w:rsidRPr="00BC4F55" w:rsidRDefault="00501317" w:rsidP="00501317">
            <w:pPr>
              <w:pStyle w:val="BodyText2"/>
              <w:rPr>
                <w:rFonts w:asciiTheme="minorHAnsi" w:hAnsiTheme="minorHAnsi"/>
                <w:lang w:val="en-GB"/>
              </w:rPr>
            </w:pPr>
            <w:r w:rsidRPr="00BC4F55">
              <w:rPr>
                <w:rFonts w:asciiTheme="minorHAnsi" w:hAnsiTheme="minorHAnsi"/>
                <w:lang w:val="en-GB"/>
              </w:rPr>
              <w:t>3.5</w:t>
            </w:r>
            <w:r w:rsidR="00047F60">
              <w:rPr>
                <w:rFonts w:asciiTheme="minorHAnsi" w:hAnsiTheme="minorHAnsi"/>
                <w:lang w:val="en-GB"/>
              </w:rPr>
              <w:t>.</w:t>
            </w:r>
            <w:r w:rsidRPr="00BC4F55">
              <w:rPr>
                <w:rFonts w:asciiTheme="minorHAnsi" w:hAnsiTheme="minorHAnsi"/>
                <w:lang w:val="en-GB"/>
              </w:rPr>
              <w:t xml:space="preserve"> Support to establishment of institutional and regulatory framework for disaster risk reduction (including a variety of climate change induced risks)</w:t>
            </w:r>
            <w:r w:rsidR="00047F60">
              <w:rPr>
                <w:rFonts w:asciiTheme="minorHAnsi" w:hAnsiTheme="minorHAnsi"/>
                <w:lang w:val="en-GB"/>
              </w:rPr>
              <w:t>;</w:t>
            </w:r>
          </w:p>
          <w:p w14:paraId="6614A50C" w14:textId="4B08B71F" w:rsidR="00C00B7E" w:rsidRPr="00BC4F55" w:rsidRDefault="00501317" w:rsidP="00845340">
            <w:pPr>
              <w:pStyle w:val="BodyText2"/>
              <w:rPr>
                <w:rFonts w:asciiTheme="minorHAnsi" w:hAnsiTheme="minorHAnsi"/>
                <w:lang w:val="en-GB"/>
              </w:rPr>
            </w:pPr>
            <w:r w:rsidRPr="00BC4F55">
              <w:rPr>
                <w:rFonts w:asciiTheme="minorHAnsi" w:hAnsiTheme="minorHAnsi"/>
                <w:lang w:val="en-GB"/>
              </w:rPr>
              <w:t>3.6</w:t>
            </w:r>
            <w:r w:rsidR="00047F60">
              <w:rPr>
                <w:rFonts w:asciiTheme="minorHAnsi" w:hAnsiTheme="minorHAnsi"/>
                <w:lang w:val="en-GB"/>
              </w:rPr>
              <w:t>.</w:t>
            </w:r>
            <w:r w:rsidRPr="00BC4F55">
              <w:rPr>
                <w:rFonts w:asciiTheme="minorHAnsi" w:hAnsiTheme="minorHAnsi"/>
                <w:lang w:val="en-GB"/>
              </w:rPr>
              <w:t xml:space="preserve"> Established financing and mentoring system for entrepreneurial capacity-building, public-private partnerships for ’green” jobs.</w:t>
            </w:r>
          </w:p>
          <w:p w14:paraId="006B8B91" w14:textId="77777777" w:rsidR="00501317" w:rsidRPr="00BC4F55" w:rsidRDefault="00501317" w:rsidP="00845340">
            <w:pPr>
              <w:pStyle w:val="BodyText2"/>
              <w:rPr>
                <w:rFonts w:asciiTheme="minorHAnsi" w:hAnsiTheme="minorHAnsi"/>
                <w:b/>
                <w:u w:val="single"/>
                <w:lang w:val="en-GB"/>
              </w:rPr>
            </w:pPr>
          </w:p>
          <w:p w14:paraId="0F05A196" w14:textId="77777777" w:rsidR="00DC4D86" w:rsidRPr="00BC4F55" w:rsidRDefault="008B06DD" w:rsidP="00845340">
            <w:pPr>
              <w:pStyle w:val="BodyText2"/>
              <w:rPr>
                <w:rFonts w:asciiTheme="minorHAnsi" w:hAnsiTheme="minorHAnsi"/>
                <w:b/>
                <w:u w:val="single"/>
                <w:lang w:val="en-GB"/>
              </w:rPr>
            </w:pPr>
            <w:r w:rsidRPr="00BC4F55">
              <w:rPr>
                <w:rFonts w:asciiTheme="minorHAnsi" w:hAnsiTheme="minorHAnsi"/>
                <w:b/>
                <w:u w:val="single"/>
                <w:lang w:val="en-GB"/>
              </w:rPr>
              <w:t>Progress and Achievements</w:t>
            </w:r>
          </w:p>
          <w:p w14:paraId="3F04A655" w14:textId="3ABE6590" w:rsidR="00501317" w:rsidRPr="00BC4F55" w:rsidRDefault="00501317" w:rsidP="00501317">
            <w:pPr>
              <w:jc w:val="both"/>
              <w:rPr>
                <w:rFonts w:asciiTheme="minorHAnsi" w:hAnsiTheme="minorHAnsi"/>
                <w:sz w:val="20"/>
                <w:lang w:val="en-GB"/>
              </w:rPr>
            </w:pPr>
            <w:r w:rsidRPr="00BC4F55">
              <w:rPr>
                <w:rFonts w:asciiTheme="minorHAnsi" w:hAnsiTheme="minorHAnsi"/>
                <w:sz w:val="20"/>
                <w:lang w:val="en-GB"/>
              </w:rPr>
              <w:t xml:space="preserve">Following the intensive support provided over the past four years, in 2015 Montenegro increased the percentage of </w:t>
            </w:r>
            <w:r w:rsidRPr="00BC4F55">
              <w:rPr>
                <w:rFonts w:asciiTheme="minorHAnsi" w:hAnsiTheme="minorHAnsi"/>
                <w:b/>
                <w:sz w:val="20"/>
                <w:lang w:val="en-GB"/>
              </w:rPr>
              <w:t>protected areas</w:t>
            </w:r>
            <w:r w:rsidRPr="00BC4F55">
              <w:rPr>
                <w:rFonts w:asciiTheme="minorHAnsi" w:hAnsiTheme="minorHAnsi"/>
                <w:sz w:val="20"/>
                <w:lang w:val="en-GB"/>
              </w:rPr>
              <w:t xml:space="preserve"> (PA), by designating its first regional parks: ‘Piva’ in the municipality of Plužine and </w:t>
            </w:r>
            <w:r w:rsidR="00F4407E" w:rsidRPr="00BC4F55">
              <w:rPr>
                <w:rFonts w:asciiTheme="minorHAnsi" w:hAnsiTheme="minorHAnsi"/>
                <w:sz w:val="20"/>
                <w:lang w:val="en-GB"/>
              </w:rPr>
              <w:t>‘</w:t>
            </w:r>
            <w:r w:rsidRPr="00BC4F55">
              <w:rPr>
                <w:rFonts w:asciiTheme="minorHAnsi" w:hAnsiTheme="minorHAnsi"/>
                <w:sz w:val="20"/>
                <w:lang w:val="en-GB"/>
              </w:rPr>
              <w:t>Komovi</w:t>
            </w:r>
            <w:r w:rsidR="00F4407E" w:rsidRPr="00BC4F55">
              <w:rPr>
                <w:rFonts w:asciiTheme="minorHAnsi" w:hAnsiTheme="minorHAnsi"/>
                <w:sz w:val="20"/>
                <w:lang w:val="en-GB"/>
              </w:rPr>
              <w:t>’</w:t>
            </w:r>
            <w:r w:rsidRPr="00BC4F55">
              <w:rPr>
                <w:rFonts w:asciiTheme="minorHAnsi" w:hAnsiTheme="minorHAnsi"/>
                <w:sz w:val="20"/>
                <w:lang w:val="en-GB"/>
              </w:rPr>
              <w:t xml:space="preserve"> </w:t>
            </w:r>
            <w:r w:rsidR="00047F60">
              <w:rPr>
                <w:rFonts w:asciiTheme="minorHAnsi" w:hAnsiTheme="minorHAnsi"/>
                <w:sz w:val="20"/>
                <w:lang w:val="en-GB"/>
              </w:rPr>
              <w:t xml:space="preserve">on the </w:t>
            </w:r>
            <w:r w:rsidRPr="00BC4F55">
              <w:rPr>
                <w:rFonts w:asciiTheme="minorHAnsi" w:hAnsiTheme="minorHAnsi"/>
                <w:sz w:val="20"/>
                <w:lang w:val="en-GB"/>
              </w:rPr>
              <w:t>territory of Andrijevica and Podgorica</w:t>
            </w:r>
            <w:r w:rsidR="00F4407E" w:rsidRPr="00BC4F55">
              <w:rPr>
                <w:rFonts w:asciiTheme="minorHAnsi" w:hAnsiTheme="minorHAnsi"/>
                <w:sz w:val="20"/>
                <w:lang w:val="en-GB"/>
              </w:rPr>
              <w:t xml:space="preserve"> municipalities, thus</w:t>
            </w:r>
            <w:r w:rsidRPr="00BC4F55">
              <w:rPr>
                <w:rFonts w:asciiTheme="minorHAnsi" w:hAnsiTheme="minorHAnsi"/>
                <w:sz w:val="20"/>
                <w:lang w:val="en-GB"/>
              </w:rPr>
              <w:t xml:space="preserve"> increasing PAs from 9,04% to 12,768%. UNDP focused on improvement of protected areas management and planning</w:t>
            </w:r>
            <w:r w:rsidR="00F4407E" w:rsidRPr="00BC4F55">
              <w:rPr>
                <w:rFonts w:asciiTheme="minorHAnsi" w:hAnsiTheme="minorHAnsi"/>
                <w:sz w:val="20"/>
                <w:lang w:val="en-GB"/>
              </w:rPr>
              <w:t>,</w:t>
            </w:r>
            <w:r w:rsidRPr="00BC4F55">
              <w:rPr>
                <w:rFonts w:asciiTheme="minorHAnsi" w:hAnsiTheme="minorHAnsi"/>
                <w:sz w:val="20"/>
                <w:lang w:val="en-GB"/>
              </w:rPr>
              <w:t xml:space="preserve"> as well as on capacity building for PA institutions</w:t>
            </w:r>
            <w:r w:rsidR="00F4407E" w:rsidRPr="00BC4F55">
              <w:rPr>
                <w:rFonts w:asciiTheme="minorHAnsi" w:hAnsiTheme="minorHAnsi"/>
                <w:sz w:val="20"/>
                <w:lang w:val="en-GB"/>
              </w:rPr>
              <w:t xml:space="preserve">. In addition, the coastal/marine area of Platamuni is in the process of being recognized as the first marine protected area, and a related Study on Nature </w:t>
            </w:r>
            <w:r w:rsidR="00047F60">
              <w:rPr>
                <w:rFonts w:asciiTheme="minorHAnsi" w:hAnsiTheme="minorHAnsi"/>
                <w:sz w:val="20"/>
                <w:lang w:val="en-GB"/>
              </w:rPr>
              <w:t>P</w:t>
            </w:r>
            <w:r w:rsidR="00F4407E" w:rsidRPr="00BC4F55">
              <w:rPr>
                <w:rFonts w:asciiTheme="minorHAnsi" w:hAnsiTheme="minorHAnsi"/>
                <w:sz w:val="20"/>
                <w:lang w:val="en-GB"/>
              </w:rPr>
              <w:t xml:space="preserve">rotection was developed with support of UNDP. </w:t>
            </w:r>
            <w:r w:rsidRPr="00BC4F55">
              <w:rPr>
                <w:rFonts w:asciiTheme="minorHAnsi" w:hAnsiTheme="minorHAnsi"/>
                <w:sz w:val="20"/>
                <w:lang w:val="en-GB"/>
              </w:rPr>
              <w:t xml:space="preserve"> </w:t>
            </w:r>
          </w:p>
          <w:p w14:paraId="306DCEC4" w14:textId="1C5BDF56" w:rsidR="00501317" w:rsidRPr="00BC4F55" w:rsidRDefault="00047F60" w:rsidP="00501317">
            <w:pPr>
              <w:pStyle w:val="BodyText"/>
              <w:jc w:val="both"/>
              <w:rPr>
                <w:rFonts w:asciiTheme="minorHAnsi" w:hAnsiTheme="minorHAnsi"/>
                <w:sz w:val="20"/>
                <w:lang w:val="en-GB"/>
              </w:rPr>
            </w:pPr>
            <w:r>
              <w:rPr>
                <w:rFonts w:asciiTheme="minorHAnsi" w:hAnsiTheme="minorHAnsi"/>
                <w:sz w:val="20"/>
                <w:lang w:val="en-GB"/>
              </w:rPr>
              <w:t>Also, w</w:t>
            </w:r>
            <w:r w:rsidR="00501317" w:rsidRPr="00BC4F55">
              <w:rPr>
                <w:rFonts w:asciiTheme="minorHAnsi" w:hAnsiTheme="minorHAnsi"/>
                <w:sz w:val="20"/>
                <w:lang w:val="en-GB"/>
              </w:rPr>
              <w:t>ith UNDP</w:t>
            </w:r>
            <w:r>
              <w:rPr>
                <w:rFonts w:asciiTheme="minorHAnsi" w:hAnsiTheme="minorHAnsi"/>
                <w:sz w:val="20"/>
                <w:lang w:val="en-GB"/>
              </w:rPr>
              <w:t>’s support</w:t>
            </w:r>
            <w:r w:rsidR="00F4407E" w:rsidRPr="00BC4F55">
              <w:rPr>
                <w:rFonts w:asciiTheme="minorHAnsi" w:hAnsiTheme="minorHAnsi"/>
                <w:sz w:val="20"/>
                <w:lang w:val="en-GB"/>
              </w:rPr>
              <w:t>,</w:t>
            </w:r>
            <w:r w:rsidR="00501317" w:rsidRPr="00BC4F55">
              <w:rPr>
                <w:rFonts w:asciiTheme="minorHAnsi" w:hAnsiTheme="minorHAnsi"/>
                <w:sz w:val="20"/>
                <w:lang w:val="en-GB"/>
              </w:rPr>
              <w:t xml:space="preserve"> </w:t>
            </w:r>
            <w:r>
              <w:rPr>
                <w:rFonts w:asciiTheme="minorHAnsi" w:hAnsiTheme="minorHAnsi"/>
                <w:sz w:val="20"/>
                <w:lang w:val="en-GB"/>
              </w:rPr>
              <w:t xml:space="preserve">a </w:t>
            </w:r>
            <w:r w:rsidR="00501317" w:rsidRPr="00BC4F55">
              <w:rPr>
                <w:rFonts w:asciiTheme="minorHAnsi" w:hAnsiTheme="minorHAnsi"/>
                <w:sz w:val="20"/>
                <w:lang w:val="en-GB"/>
              </w:rPr>
              <w:t>new Law on Nature Protection was developed and adopted in 2015, aligning national legislation of the country with relevant EU directives. Additionally, new National Biodiversity Strategy and Action Plan was developed in 2015</w:t>
            </w:r>
            <w:r w:rsidR="00F4407E" w:rsidRPr="00BC4F55">
              <w:rPr>
                <w:rFonts w:asciiTheme="minorHAnsi" w:hAnsiTheme="minorHAnsi"/>
                <w:sz w:val="20"/>
                <w:lang w:val="en-GB"/>
              </w:rPr>
              <w:t>,</w:t>
            </w:r>
            <w:r w:rsidR="00501317" w:rsidRPr="00BC4F55">
              <w:rPr>
                <w:rFonts w:asciiTheme="minorHAnsi" w:hAnsiTheme="minorHAnsi"/>
                <w:sz w:val="20"/>
                <w:lang w:val="en-GB"/>
              </w:rPr>
              <w:t xml:space="preserve"> which has provided full integration of Aichi targets in the national strategic framework in line with the Strategic Plan for Biodiversity 2011-2020 and the EU Biodiversity Strategy to 2020, redefining the national strategic goals. </w:t>
            </w:r>
          </w:p>
          <w:p w14:paraId="04A9C762" w14:textId="46A72E98" w:rsidR="00501317" w:rsidRPr="00BC4F55" w:rsidRDefault="00F4407E" w:rsidP="00501317">
            <w:pPr>
              <w:pStyle w:val="BodyText"/>
              <w:rPr>
                <w:rFonts w:asciiTheme="minorHAnsi" w:hAnsiTheme="minorHAnsi"/>
                <w:sz w:val="20"/>
                <w:lang w:val="en-GB"/>
              </w:rPr>
            </w:pPr>
            <w:r w:rsidRPr="00BC4F55">
              <w:rPr>
                <w:rFonts w:asciiTheme="minorHAnsi" w:hAnsiTheme="minorHAnsi"/>
                <w:sz w:val="20"/>
                <w:lang w:val="en-GB"/>
              </w:rPr>
              <w:t xml:space="preserve">Introduction of the </w:t>
            </w:r>
            <w:r w:rsidR="00501317" w:rsidRPr="00BC4F55">
              <w:rPr>
                <w:rFonts w:asciiTheme="minorHAnsi" w:hAnsiTheme="minorHAnsi"/>
                <w:sz w:val="20"/>
                <w:lang w:val="en-GB"/>
              </w:rPr>
              <w:t xml:space="preserve">Document Management System and Business </w:t>
            </w:r>
            <w:r w:rsidRPr="00BC4F55">
              <w:rPr>
                <w:rFonts w:asciiTheme="minorHAnsi" w:hAnsiTheme="minorHAnsi"/>
                <w:sz w:val="20"/>
                <w:lang w:val="en-GB"/>
              </w:rPr>
              <w:t>I</w:t>
            </w:r>
            <w:r w:rsidR="00501317" w:rsidRPr="00BC4F55">
              <w:rPr>
                <w:rFonts w:asciiTheme="minorHAnsi" w:hAnsiTheme="minorHAnsi"/>
                <w:sz w:val="20"/>
                <w:lang w:val="en-GB"/>
              </w:rPr>
              <w:t xml:space="preserve">nformation </w:t>
            </w:r>
            <w:r w:rsidRPr="00BC4F55">
              <w:rPr>
                <w:rFonts w:asciiTheme="minorHAnsi" w:hAnsiTheme="minorHAnsi"/>
                <w:sz w:val="20"/>
                <w:lang w:val="en-GB"/>
              </w:rPr>
              <w:t>S</w:t>
            </w:r>
            <w:r w:rsidR="00501317" w:rsidRPr="00BC4F55">
              <w:rPr>
                <w:rFonts w:asciiTheme="minorHAnsi" w:hAnsiTheme="minorHAnsi"/>
                <w:sz w:val="20"/>
                <w:lang w:val="en-GB"/>
              </w:rPr>
              <w:t xml:space="preserve">ystem in </w:t>
            </w:r>
            <w:r w:rsidRPr="00BC4F55">
              <w:rPr>
                <w:rFonts w:asciiTheme="minorHAnsi" w:hAnsiTheme="minorHAnsi"/>
                <w:sz w:val="20"/>
                <w:lang w:val="en-GB"/>
              </w:rPr>
              <w:t xml:space="preserve">the </w:t>
            </w:r>
            <w:r w:rsidR="00501317" w:rsidRPr="00BC4F55">
              <w:rPr>
                <w:rFonts w:asciiTheme="minorHAnsi" w:hAnsiTheme="minorHAnsi"/>
                <w:sz w:val="20"/>
                <w:lang w:val="en-GB"/>
              </w:rPr>
              <w:t xml:space="preserve">National Parks of Montenegro improved planning and management capacities of PA institutions. </w:t>
            </w:r>
          </w:p>
          <w:p w14:paraId="7DFB91CC" w14:textId="574FFD8D"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During the reporting period</w:t>
            </w:r>
            <w:r w:rsidR="009B7074">
              <w:rPr>
                <w:rFonts w:asciiTheme="minorHAnsi" w:hAnsiTheme="minorHAnsi"/>
                <w:sz w:val="20"/>
                <w:lang w:val="en-GB"/>
              </w:rPr>
              <w:t>,</w:t>
            </w:r>
            <w:r w:rsidRPr="00BC4F55">
              <w:rPr>
                <w:rFonts w:asciiTheme="minorHAnsi" w:hAnsiTheme="minorHAnsi"/>
                <w:sz w:val="20"/>
                <w:lang w:val="en-GB"/>
              </w:rPr>
              <w:t xml:space="preserve"> UNDP support was concentrated on improvement of </w:t>
            </w:r>
            <w:r w:rsidR="00F559C3" w:rsidRPr="00BC4F55">
              <w:rPr>
                <w:rFonts w:asciiTheme="minorHAnsi" w:hAnsiTheme="minorHAnsi"/>
                <w:sz w:val="20"/>
                <w:lang w:val="en-GB"/>
              </w:rPr>
              <w:t xml:space="preserve">the </w:t>
            </w:r>
            <w:r w:rsidRPr="00BC4F55">
              <w:rPr>
                <w:rFonts w:asciiTheme="minorHAnsi" w:hAnsiTheme="minorHAnsi"/>
                <w:sz w:val="20"/>
                <w:lang w:val="en-GB"/>
              </w:rPr>
              <w:t xml:space="preserve">country’s strategic and legal framework in environment and climate change area. Government adopted the </w:t>
            </w:r>
            <w:r w:rsidRPr="00B537E3">
              <w:rPr>
                <w:rFonts w:asciiTheme="minorHAnsi" w:hAnsiTheme="minorHAnsi"/>
                <w:b/>
                <w:sz w:val="20"/>
                <w:lang w:val="en-GB"/>
              </w:rPr>
              <w:t xml:space="preserve">National Strategy for </w:t>
            </w:r>
            <w:r w:rsidRPr="009B7074">
              <w:rPr>
                <w:rFonts w:asciiTheme="minorHAnsi" w:hAnsiTheme="minorHAnsi"/>
                <w:b/>
                <w:sz w:val="20"/>
                <w:lang w:val="en-GB"/>
              </w:rPr>
              <w:t>Waste Management</w:t>
            </w:r>
            <w:r w:rsidRPr="00B537E3">
              <w:rPr>
                <w:rFonts w:asciiTheme="minorHAnsi" w:hAnsiTheme="minorHAnsi"/>
                <w:b/>
                <w:sz w:val="20"/>
                <w:lang w:val="en-GB"/>
              </w:rPr>
              <w:t xml:space="preserve"> until 2030</w:t>
            </w:r>
            <w:r w:rsidRPr="00BC4F55">
              <w:rPr>
                <w:rFonts w:asciiTheme="minorHAnsi" w:hAnsiTheme="minorHAnsi"/>
                <w:sz w:val="20"/>
                <w:lang w:val="en-GB"/>
              </w:rPr>
              <w:t xml:space="preserve"> and the National Waste Management Plan 2015-2020, both developed with U</w:t>
            </w:r>
            <w:r w:rsidR="00806EC8" w:rsidRPr="00BC4F55">
              <w:rPr>
                <w:rFonts w:asciiTheme="minorHAnsi" w:hAnsiTheme="minorHAnsi"/>
                <w:sz w:val="20"/>
                <w:lang w:val="en-GB"/>
              </w:rPr>
              <w:t>NDP’s support. With UNDP expert</w:t>
            </w:r>
            <w:r w:rsidRPr="00BC4F55">
              <w:rPr>
                <w:rFonts w:asciiTheme="minorHAnsi" w:hAnsiTheme="minorHAnsi"/>
                <w:sz w:val="20"/>
                <w:lang w:val="en-GB"/>
              </w:rPr>
              <w:t xml:space="preserve"> support</w:t>
            </w:r>
            <w:r w:rsidR="00F559C3" w:rsidRPr="00BC4F55">
              <w:rPr>
                <w:rFonts w:asciiTheme="minorHAnsi" w:hAnsiTheme="minorHAnsi"/>
                <w:sz w:val="20"/>
                <w:lang w:val="en-GB"/>
              </w:rPr>
              <w:t>, the</w:t>
            </w:r>
            <w:r w:rsidRPr="00BC4F55">
              <w:rPr>
                <w:rFonts w:asciiTheme="minorHAnsi" w:hAnsiTheme="minorHAnsi"/>
                <w:sz w:val="20"/>
                <w:lang w:val="en-GB"/>
              </w:rPr>
              <w:t xml:space="preserve"> </w:t>
            </w:r>
            <w:r w:rsidR="00F559C3" w:rsidRPr="00BC4F55">
              <w:rPr>
                <w:rFonts w:asciiTheme="minorHAnsi" w:hAnsiTheme="minorHAnsi"/>
                <w:sz w:val="20"/>
                <w:lang w:val="en-GB"/>
              </w:rPr>
              <w:t>G</w:t>
            </w:r>
            <w:r w:rsidRPr="00BC4F55">
              <w:rPr>
                <w:rFonts w:asciiTheme="minorHAnsi" w:hAnsiTheme="minorHAnsi"/>
                <w:sz w:val="20"/>
                <w:lang w:val="en-GB"/>
              </w:rPr>
              <w:t xml:space="preserve">overnment prepared and submitted </w:t>
            </w:r>
            <w:r w:rsidR="00F559C3" w:rsidRPr="00BC4F55">
              <w:rPr>
                <w:rFonts w:asciiTheme="minorHAnsi" w:hAnsiTheme="minorHAnsi"/>
                <w:sz w:val="20"/>
                <w:lang w:val="en-GB"/>
              </w:rPr>
              <w:t xml:space="preserve">the </w:t>
            </w:r>
            <w:r w:rsidRPr="00BC4F55">
              <w:rPr>
                <w:rFonts w:asciiTheme="minorHAnsi" w:hAnsiTheme="minorHAnsi"/>
                <w:sz w:val="20"/>
                <w:lang w:val="en-GB"/>
              </w:rPr>
              <w:t xml:space="preserve">Second National Communication under the UN Framework Convention on </w:t>
            </w:r>
            <w:r w:rsidRPr="00BC4F55">
              <w:rPr>
                <w:rFonts w:asciiTheme="minorHAnsi" w:hAnsiTheme="minorHAnsi"/>
                <w:b/>
                <w:sz w:val="20"/>
                <w:lang w:val="en-GB"/>
              </w:rPr>
              <w:t>Climate Change</w:t>
            </w:r>
            <w:r w:rsidRPr="00BC4F55">
              <w:rPr>
                <w:rFonts w:asciiTheme="minorHAnsi" w:hAnsiTheme="minorHAnsi"/>
                <w:sz w:val="20"/>
                <w:lang w:val="en-GB"/>
              </w:rPr>
              <w:t xml:space="preserve"> in May 2015 and adopted and submitted its Intended Nationally Determined Contributions (INDC) to the 2015 Paris Climate Agreement. INDC is part of the Climate Strategy, also adopted in September 2015. With UNDP’s support</w:t>
            </w:r>
            <w:r w:rsidR="00F559C3" w:rsidRPr="00BC4F55">
              <w:rPr>
                <w:rFonts w:asciiTheme="minorHAnsi" w:hAnsiTheme="minorHAnsi"/>
                <w:sz w:val="20"/>
                <w:lang w:val="en-GB"/>
              </w:rPr>
              <w:t>,</w:t>
            </w:r>
            <w:r w:rsidRPr="00BC4F55">
              <w:rPr>
                <w:rFonts w:asciiTheme="minorHAnsi" w:hAnsiTheme="minorHAnsi"/>
                <w:sz w:val="20"/>
                <w:lang w:val="en-GB"/>
              </w:rPr>
              <w:t xml:space="preserve"> the Law on </w:t>
            </w:r>
            <w:r w:rsidR="00F559C3" w:rsidRPr="00BC4F55">
              <w:rPr>
                <w:rFonts w:asciiTheme="minorHAnsi" w:hAnsiTheme="minorHAnsi"/>
                <w:sz w:val="20"/>
                <w:lang w:val="en-GB"/>
              </w:rPr>
              <w:t xml:space="preserve">Air Quality </w:t>
            </w:r>
            <w:r w:rsidRPr="00BC4F55">
              <w:rPr>
                <w:rFonts w:asciiTheme="minorHAnsi" w:hAnsiTheme="minorHAnsi"/>
                <w:sz w:val="20"/>
                <w:lang w:val="en-GB"/>
              </w:rPr>
              <w:t xml:space="preserve">was amended, to align more closely with the EU acquis. </w:t>
            </w:r>
          </w:p>
          <w:p w14:paraId="453BFF6B" w14:textId="48B920C5"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 xml:space="preserve">Climate change issues were taken into consideration in development of strategies and plans – the Second National Communication was used for development of </w:t>
            </w:r>
            <w:r w:rsidR="009B7074">
              <w:rPr>
                <w:rFonts w:asciiTheme="minorHAnsi" w:hAnsiTheme="minorHAnsi"/>
                <w:sz w:val="20"/>
                <w:lang w:val="en-GB"/>
              </w:rPr>
              <w:t>the N</w:t>
            </w:r>
            <w:r w:rsidRPr="00BC4F55">
              <w:rPr>
                <w:rFonts w:asciiTheme="minorHAnsi" w:hAnsiTheme="minorHAnsi"/>
                <w:sz w:val="20"/>
                <w:lang w:val="en-GB"/>
              </w:rPr>
              <w:t xml:space="preserve">ational Climate Change Strategy. In addition, the first Montenegrin Biennial Update Report (FBUR) was developed and adopted by the Government of Montenegro in </w:t>
            </w:r>
            <w:r w:rsidRPr="00BC4F55">
              <w:rPr>
                <w:rFonts w:asciiTheme="minorHAnsi" w:hAnsiTheme="minorHAnsi"/>
                <w:sz w:val="20"/>
                <w:lang w:val="en-GB"/>
              </w:rPr>
              <w:lastRenderedPageBreak/>
              <w:t xml:space="preserve">December 2015. Furthermore, the inputs on low carbon tourism, with focus on low carbon mobility were incorporated into draft Coastal Area Spatial Plan, to be adopted in 2016. For the first time, a low carbon concept was incorporated into the general provisions of the draft Law on Tourism, which will be adopted in 2016. Additionally, a set of relevant measures was defined by the Law on Environment, which is in procedure </w:t>
            </w:r>
            <w:r w:rsidR="002B40FD" w:rsidRPr="00BC4F55">
              <w:rPr>
                <w:rFonts w:asciiTheme="minorHAnsi" w:hAnsiTheme="minorHAnsi"/>
                <w:sz w:val="20"/>
                <w:lang w:val="en-GB"/>
              </w:rPr>
              <w:t>of endorsement</w:t>
            </w:r>
            <w:r w:rsidR="00F559C3" w:rsidRPr="00BC4F55">
              <w:rPr>
                <w:rFonts w:asciiTheme="minorHAnsi" w:hAnsiTheme="minorHAnsi"/>
                <w:sz w:val="20"/>
                <w:lang w:val="en-GB"/>
              </w:rPr>
              <w:t xml:space="preserve"> by the </w:t>
            </w:r>
            <w:r w:rsidR="009B7074">
              <w:rPr>
                <w:rFonts w:asciiTheme="minorHAnsi" w:hAnsiTheme="minorHAnsi"/>
                <w:sz w:val="20"/>
                <w:lang w:val="en-GB"/>
              </w:rPr>
              <w:t>N</w:t>
            </w:r>
            <w:r w:rsidR="00F559C3" w:rsidRPr="00BC4F55">
              <w:rPr>
                <w:rFonts w:asciiTheme="minorHAnsi" w:hAnsiTheme="minorHAnsi"/>
                <w:sz w:val="20"/>
                <w:lang w:val="en-GB"/>
              </w:rPr>
              <w:t>ational Parliament</w:t>
            </w:r>
            <w:r w:rsidRPr="00BC4F55">
              <w:rPr>
                <w:rFonts w:asciiTheme="minorHAnsi" w:hAnsiTheme="minorHAnsi"/>
                <w:sz w:val="20"/>
                <w:lang w:val="en-GB"/>
              </w:rPr>
              <w:t xml:space="preserve">.  </w:t>
            </w:r>
          </w:p>
          <w:p w14:paraId="29C29512" w14:textId="012B107E"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UNDP supported</w:t>
            </w:r>
            <w:r w:rsidR="00F559C3" w:rsidRPr="00BC4F55">
              <w:rPr>
                <w:rFonts w:asciiTheme="minorHAnsi" w:hAnsiTheme="minorHAnsi"/>
                <w:sz w:val="20"/>
                <w:lang w:val="en-GB"/>
              </w:rPr>
              <w:t xml:space="preserve"> improvement of the</w:t>
            </w:r>
            <w:r w:rsidRPr="00BC4F55">
              <w:rPr>
                <w:rFonts w:asciiTheme="minorHAnsi" w:hAnsiTheme="minorHAnsi"/>
                <w:sz w:val="20"/>
                <w:lang w:val="en-GB"/>
              </w:rPr>
              <w:t xml:space="preserve"> overall country’s capacities to </w:t>
            </w:r>
            <w:r w:rsidRPr="00BC4F55">
              <w:rPr>
                <w:rFonts w:asciiTheme="minorHAnsi" w:hAnsiTheme="minorHAnsi"/>
                <w:b/>
                <w:sz w:val="20"/>
                <w:lang w:val="en-GB"/>
              </w:rPr>
              <w:t>monitor environmental indicators</w:t>
            </w:r>
            <w:r w:rsidRPr="00BC4F55">
              <w:rPr>
                <w:rFonts w:asciiTheme="minorHAnsi" w:hAnsiTheme="minorHAnsi"/>
                <w:sz w:val="20"/>
                <w:lang w:val="en-GB"/>
              </w:rPr>
              <w:t>. The list of the environmental indicators was nationally agreed and approved, and the first indicator</w:t>
            </w:r>
            <w:r w:rsidR="00F559C3" w:rsidRPr="00BC4F55">
              <w:rPr>
                <w:rFonts w:asciiTheme="minorHAnsi" w:hAnsiTheme="minorHAnsi"/>
                <w:sz w:val="20"/>
                <w:lang w:val="en-GB"/>
              </w:rPr>
              <w:t>-</w:t>
            </w:r>
            <w:r w:rsidRPr="00BC4F55">
              <w:rPr>
                <w:rFonts w:asciiTheme="minorHAnsi" w:hAnsiTheme="minorHAnsi"/>
                <w:sz w:val="20"/>
                <w:lang w:val="en-GB"/>
              </w:rPr>
              <w:t>based State of the Environment Report was produced with UNDP support. In addition, capacities of national partners, primarily E</w:t>
            </w:r>
            <w:r w:rsidR="00F559C3" w:rsidRPr="00BC4F55">
              <w:rPr>
                <w:rFonts w:asciiTheme="minorHAnsi" w:hAnsiTheme="minorHAnsi"/>
                <w:sz w:val="20"/>
                <w:lang w:val="en-GB"/>
              </w:rPr>
              <w:t xml:space="preserve">nvironmental </w:t>
            </w:r>
            <w:r w:rsidRPr="00BC4F55">
              <w:rPr>
                <w:rFonts w:asciiTheme="minorHAnsi" w:hAnsiTheme="minorHAnsi"/>
                <w:sz w:val="20"/>
                <w:lang w:val="en-GB"/>
              </w:rPr>
              <w:t>P</w:t>
            </w:r>
            <w:r w:rsidR="00F559C3" w:rsidRPr="00BC4F55">
              <w:rPr>
                <w:rFonts w:asciiTheme="minorHAnsi" w:hAnsiTheme="minorHAnsi"/>
                <w:sz w:val="20"/>
                <w:lang w:val="en-GB"/>
              </w:rPr>
              <w:t xml:space="preserve">rotection </w:t>
            </w:r>
            <w:r w:rsidRPr="00BC4F55">
              <w:rPr>
                <w:rFonts w:asciiTheme="minorHAnsi" w:hAnsiTheme="minorHAnsi"/>
                <w:sz w:val="20"/>
                <w:lang w:val="en-GB"/>
              </w:rPr>
              <w:t>A</w:t>
            </w:r>
            <w:r w:rsidR="00F559C3" w:rsidRPr="00BC4F55">
              <w:rPr>
                <w:rFonts w:asciiTheme="minorHAnsi" w:hAnsiTheme="minorHAnsi"/>
                <w:sz w:val="20"/>
                <w:lang w:val="en-GB"/>
              </w:rPr>
              <w:t>gency</w:t>
            </w:r>
            <w:r w:rsidRPr="00BC4F55">
              <w:rPr>
                <w:rFonts w:asciiTheme="minorHAnsi" w:hAnsiTheme="minorHAnsi"/>
                <w:sz w:val="20"/>
                <w:lang w:val="en-GB"/>
              </w:rPr>
              <w:t xml:space="preserve">, </w:t>
            </w:r>
            <w:r w:rsidR="00F559C3" w:rsidRPr="00BC4F55">
              <w:rPr>
                <w:rFonts w:asciiTheme="minorHAnsi" w:hAnsiTheme="minorHAnsi"/>
                <w:sz w:val="20"/>
                <w:lang w:val="en-GB"/>
              </w:rPr>
              <w:t>were also improved</w:t>
            </w:r>
            <w:r w:rsidRPr="00BC4F55">
              <w:rPr>
                <w:rFonts w:asciiTheme="minorHAnsi" w:hAnsiTheme="minorHAnsi"/>
                <w:sz w:val="20"/>
                <w:lang w:val="en-GB"/>
              </w:rPr>
              <w:t xml:space="preserve">, so that they can continue with </w:t>
            </w:r>
            <w:r w:rsidR="009B7074">
              <w:rPr>
                <w:rFonts w:asciiTheme="minorHAnsi" w:hAnsiTheme="minorHAnsi"/>
                <w:sz w:val="20"/>
                <w:lang w:val="en-GB"/>
              </w:rPr>
              <w:t>fulfilling the</w:t>
            </w:r>
            <w:r w:rsidR="009B7074" w:rsidRPr="00BC4F55">
              <w:rPr>
                <w:rFonts w:asciiTheme="minorHAnsi" w:hAnsiTheme="minorHAnsi"/>
                <w:sz w:val="20"/>
                <w:lang w:val="en-GB"/>
              </w:rPr>
              <w:t xml:space="preserve"> </w:t>
            </w:r>
            <w:r w:rsidRPr="00BC4F55">
              <w:rPr>
                <w:rFonts w:asciiTheme="minorHAnsi" w:hAnsiTheme="minorHAnsi"/>
                <w:sz w:val="20"/>
                <w:lang w:val="en-GB"/>
              </w:rPr>
              <w:t>reporting requirements in the future period. Moreover, national network of air quality monitoring was expanded in March 2015 with the opening of five pollen monitoring stations and organizing continuous monitoring.</w:t>
            </w:r>
          </w:p>
          <w:p w14:paraId="5B73B25B" w14:textId="6DE841AF"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 xml:space="preserve">During development of </w:t>
            </w:r>
            <w:r w:rsidR="009B7074">
              <w:rPr>
                <w:rFonts w:asciiTheme="minorHAnsi" w:hAnsiTheme="minorHAnsi"/>
                <w:sz w:val="20"/>
                <w:lang w:val="en-GB"/>
              </w:rPr>
              <w:t xml:space="preserve">the </w:t>
            </w:r>
            <w:r w:rsidRPr="00BC4F55">
              <w:rPr>
                <w:rFonts w:asciiTheme="minorHAnsi" w:hAnsiTheme="minorHAnsi"/>
                <w:sz w:val="20"/>
                <w:lang w:val="en-GB"/>
              </w:rPr>
              <w:t xml:space="preserve">Biennial Update Report (BUR), Green House Gas Inventory (GHG) was re-calculated based on 2006 </w:t>
            </w:r>
            <w:r w:rsidR="00F559C3" w:rsidRPr="00BC4F55">
              <w:rPr>
                <w:rFonts w:asciiTheme="minorHAnsi" w:hAnsiTheme="minorHAnsi"/>
                <w:sz w:val="20"/>
                <w:lang w:val="en-GB"/>
              </w:rPr>
              <w:t>guidelines</w:t>
            </w:r>
            <w:r w:rsidRPr="00BC4F55">
              <w:rPr>
                <w:rFonts w:asciiTheme="minorHAnsi" w:hAnsiTheme="minorHAnsi"/>
                <w:sz w:val="20"/>
                <w:lang w:val="en-GB"/>
              </w:rPr>
              <w:t>, starting from 1990 and adding data from 2012 and 2013. In addition, tailor</w:t>
            </w:r>
            <w:r w:rsidR="00F559C3" w:rsidRPr="00BC4F55">
              <w:rPr>
                <w:rFonts w:asciiTheme="minorHAnsi" w:hAnsiTheme="minorHAnsi"/>
                <w:sz w:val="20"/>
                <w:lang w:val="en-GB"/>
              </w:rPr>
              <w:t>-</w:t>
            </w:r>
            <w:r w:rsidRPr="00BC4F55">
              <w:rPr>
                <w:rFonts w:asciiTheme="minorHAnsi" w:hAnsiTheme="minorHAnsi"/>
                <w:sz w:val="20"/>
                <w:lang w:val="en-GB"/>
              </w:rPr>
              <w:t>made methodology for GHG emissions accounting from tourism sector was developed, based on the IPCC, GHG Protocol and ISO standardized methodologies. Based on the developed methodology, recalculations for baseline 2013 were completed, while total in-country emissi</w:t>
            </w:r>
            <w:r w:rsidR="00ED7235" w:rsidRPr="00BC4F55">
              <w:rPr>
                <w:rFonts w:asciiTheme="minorHAnsi" w:hAnsiTheme="minorHAnsi"/>
                <w:sz w:val="20"/>
                <w:lang w:val="en-GB"/>
              </w:rPr>
              <w:t>ons from tourism sector were 60.</w:t>
            </w:r>
            <w:r w:rsidRPr="00BC4F55">
              <w:rPr>
                <w:rFonts w:asciiTheme="minorHAnsi" w:hAnsiTheme="minorHAnsi"/>
                <w:sz w:val="20"/>
                <w:lang w:val="en-GB"/>
              </w:rPr>
              <w:t>2 ktCO2e.</w:t>
            </w:r>
          </w:p>
          <w:p w14:paraId="6C7C28ED" w14:textId="2B2F06B1"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 xml:space="preserve">UNDP has been supporting the country’s market transformation toward low emissions, resource efficient economy and strengthening its resilience, with important scale up/replication effect through: support </w:t>
            </w:r>
            <w:r w:rsidR="009B7074">
              <w:rPr>
                <w:rFonts w:asciiTheme="minorHAnsi" w:hAnsiTheme="minorHAnsi"/>
                <w:sz w:val="20"/>
                <w:lang w:val="en-GB"/>
              </w:rPr>
              <w:t>in</w:t>
            </w:r>
            <w:r w:rsidR="009B7074" w:rsidRPr="00BC4F55">
              <w:rPr>
                <w:rFonts w:asciiTheme="minorHAnsi" w:hAnsiTheme="minorHAnsi"/>
                <w:sz w:val="20"/>
                <w:lang w:val="en-GB"/>
              </w:rPr>
              <w:t xml:space="preserve"> </w:t>
            </w:r>
            <w:r w:rsidRPr="00BC4F55">
              <w:rPr>
                <w:rFonts w:asciiTheme="minorHAnsi" w:hAnsiTheme="minorHAnsi"/>
                <w:sz w:val="20"/>
                <w:lang w:val="en-GB"/>
              </w:rPr>
              <w:t>retrofitt</w:t>
            </w:r>
            <w:r w:rsidR="009B7074">
              <w:rPr>
                <w:rFonts w:asciiTheme="minorHAnsi" w:hAnsiTheme="minorHAnsi"/>
                <w:sz w:val="20"/>
                <w:lang w:val="en-GB"/>
              </w:rPr>
              <w:t>ing the</w:t>
            </w:r>
            <w:r w:rsidRPr="00BC4F55">
              <w:rPr>
                <w:rFonts w:asciiTheme="minorHAnsi" w:hAnsiTheme="minorHAnsi"/>
                <w:sz w:val="20"/>
                <w:lang w:val="en-GB"/>
              </w:rPr>
              <w:t xml:space="preserve"> building</w:t>
            </w:r>
            <w:r w:rsidR="009B7074">
              <w:rPr>
                <w:rFonts w:asciiTheme="minorHAnsi" w:hAnsiTheme="minorHAnsi"/>
                <w:sz w:val="20"/>
                <w:lang w:val="en-GB"/>
              </w:rPr>
              <w:t>s</w:t>
            </w:r>
            <w:r w:rsidRPr="00BC4F55">
              <w:rPr>
                <w:rFonts w:asciiTheme="minorHAnsi" w:hAnsiTheme="minorHAnsi"/>
                <w:sz w:val="20"/>
                <w:lang w:val="en-GB"/>
              </w:rPr>
              <w:t xml:space="preserve"> </w:t>
            </w:r>
            <w:r w:rsidR="009B7074">
              <w:rPr>
                <w:rFonts w:asciiTheme="minorHAnsi" w:hAnsiTheme="minorHAnsi"/>
                <w:sz w:val="20"/>
                <w:lang w:val="en-GB"/>
              </w:rPr>
              <w:t>of</w:t>
            </w:r>
            <w:r w:rsidRPr="00BC4F55">
              <w:rPr>
                <w:rFonts w:asciiTheme="minorHAnsi" w:hAnsiTheme="minorHAnsi"/>
                <w:sz w:val="20"/>
                <w:lang w:val="en-GB"/>
              </w:rPr>
              <w:t xml:space="preserve"> cultural heritage, creating over 40% of energy savings and new (temporary) jobs; testing energy efficient based formalization method in one municipality and several households; and supporting disaster risk reduction through the unprecedented development of 12 flood preparedness plans at the local level</w:t>
            </w:r>
            <w:r w:rsidR="009B7074">
              <w:rPr>
                <w:rFonts w:asciiTheme="minorHAnsi" w:hAnsiTheme="minorHAnsi"/>
                <w:sz w:val="20"/>
                <w:lang w:val="en-GB"/>
              </w:rPr>
              <w:t>;</w:t>
            </w:r>
            <w:r w:rsidRPr="00BC4F55">
              <w:rPr>
                <w:rFonts w:asciiTheme="minorHAnsi" w:hAnsiTheme="minorHAnsi"/>
                <w:sz w:val="20"/>
                <w:lang w:val="en-GB"/>
              </w:rPr>
              <w:t xml:space="preserve"> emergency support during the winter period as well as strengthening</w:t>
            </w:r>
            <w:r w:rsidR="00F559C3" w:rsidRPr="00BC4F55">
              <w:rPr>
                <w:rFonts w:asciiTheme="minorHAnsi" w:hAnsiTheme="minorHAnsi"/>
                <w:sz w:val="20"/>
                <w:lang w:val="en-GB"/>
              </w:rPr>
              <w:t>,</w:t>
            </w:r>
            <w:r w:rsidRPr="00BC4F55">
              <w:rPr>
                <w:rFonts w:asciiTheme="minorHAnsi" w:hAnsiTheme="minorHAnsi"/>
                <w:sz w:val="20"/>
                <w:lang w:val="en-GB"/>
              </w:rPr>
              <w:t xml:space="preserve"> </w:t>
            </w:r>
            <w:r w:rsidR="00F559C3" w:rsidRPr="00BC4F55">
              <w:rPr>
                <w:rFonts w:asciiTheme="minorHAnsi" w:hAnsiTheme="minorHAnsi"/>
                <w:sz w:val="20"/>
                <w:lang w:val="en-GB"/>
              </w:rPr>
              <w:t xml:space="preserve">through trainings, the </w:t>
            </w:r>
            <w:r w:rsidRPr="00BC4F55">
              <w:rPr>
                <w:rFonts w:asciiTheme="minorHAnsi" w:hAnsiTheme="minorHAnsi"/>
                <w:sz w:val="20"/>
                <w:lang w:val="en-GB"/>
              </w:rPr>
              <w:t>UNCT capacity to respond</w:t>
            </w:r>
            <w:r w:rsidR="009B7074">
              <w:rPr>
                <w:rFonts w:asciiTheme="minorHAnsi" w:hAnsiTheme="minorHAnsi"/>
                <w:sz w:val="20"/>
                <w:lang w:val="en-GB"/>
              </w:rPr>
              <w:t xml:space="preserve"> in the times of such crises</w:t>
            </w:r>
            <w:r w:rsidRPr="00BC4F55">
              <w:rPr>
                <w:rFonts w:asciiTheme="minorHAnsi" w:hAnsiTheme="minorHAnsi"/>
                <w:sz w:val="20"/>
                <w:lang w:val="en-GB"/>
              </w:rPr>
              <w:t>.</w:t>
            </w:r>
          </w:p>
          <w:p w14:paraId="5BA1E24C" w14:textId="46207C02"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In</w:t>
            </w:r>
            <w:r w:rsidR="00F559C3" w:rsidRPr="00BC4F55">
              <w:rPr>
                <w:rFonts w:asciiTheme="minorHAnsi" w:hAnsiTheme="minorHAnsi"/>
                <w:sz w:val="20"/>
                <w:lang w:val="en-GB"/>
              </w:rPr>
              <w:t xml:space="preserve"> the</w:t>
            </w:r>
            <w:r w:rsidRPr="00BC4F55">
              <w:rPr>
                <w:rFonts w:asciiTheme="minorHAnsi" w:hAnsiTheme="minorHAnsi"/>
                <w:sz w:val="20"/>
                <w:lang w:val="en-GB"/>
              </w:rPr>
              <w:t xml:space="preserve"> area of low carbon development, savings made through retrofitting of buildings and public spaces in Cetinje</w:t>
            </w:r>
            <w:r w:rsidR="00F559C3" w:rsidRPr="00BC4F55">
              <w:rPr>
                <w:rFonts w:asciiTheme="minorHAnsi" w:hAnsiTheme="minorHAnsi"/>
                <w:sz w:val="20"/>
                <w:lang w:val="en-GB"/>
              </w:rPr>
              <w:t>,</w:t>
            </w:r>
            <w:r w:rsidRPr="00BC4F55">
              <w:rPr>
                <w:rFonts w:asciiTheme="minorHAnsi" w:hAnsiTheme="minorHAnsi"/>
                <w:sz w:val="20"/>
                <w:lang w:val="en-GB"/>
              </w:rPr>
              <w:t xml:space="preserve"> using new energy efficient lighting</w:t>
            </w:r>
            <w:r w:rsidR="00F559C3" w:rsidRPr="00BC4F55">
              <w:rPr>
                <w:rFonts w:asciiTheme="minorHAnsi" w:hAnsiTheme="minorHAnsi"/>
                <w:sz w:val="20"/>
                <w:lang w:val="en-GB"/>
              </w:rPr>
              <w:t>,</w:t>
            </w:r>
            <w:r w:rsidRPr="00BC4F55">
              <w:rPr>
                <w:rFonts w:asciiTheme="minorHAnsi" w:hAnsiTheme="minorHAnsi"/>
                <w:sz w:val="20"/>
                <w:lang w:val="en-GB"/>
              </w:rPr>
              <w:t xml:space="preserve"> are </w:t>
            </w:r>
            <w:r w:rsidR="00F559C3" w:rsidRPr="00BC4F55">
              <w:rPr>
                <w:rFonts w:asciiTheme="minorHAnsi" w:hAnsiTheme="minorHAnsi"/>
                <w:sz w:val="20"/>
                <w:lang w:val="en-GB"/>
              </w:rPr>
              <w:t xml:space="preserve">a </w:t>
            </w:r>
            <w:r w:rsidRPr="00BC4F55">
              <w:rPr>
                <w:rFonts w:asciiTheme="minorHAnsi" w:hAnsiTheme="minorHAnsi"/>
                <w:sz w:val="20"/>
                <w:lang w:val="en-GB"/>
              </w:rPr>
              <w:t xml:space="preserve">proof that being energy efficient is the engine of economic development and is a way to save local and central budgets. Also, in this way unused potentials for development of cultural tourism will be unleashed </w:t>
            </w:r>
            <w:r w:rsidR="00F559C3" w:rsidRPr="00BC4F55">
              <w:rPr>
                <w:rFonts w:asciiTheme="minorHAnsi" w:hAnsiTheme="minorHAnsi"/>
                <w:sz w:val="20"/>
                <w:lang w:val="en-GB"/>
              </w:rPr>
              <w:t xml:space="preserve">thus creating </w:t>
            </w:r>
            <w:r w:rsidRPr="00BC4F55">
              <w:rPr>
                <w:rFonts w:asciiTheme="minorHAnsi" w:hAnsiTheme="minorHAnsi"/>
                <w:sz w:val="20"/>
                <w:lang w:val="en-GB"/>
              </w:rPr>
              <w:t xml:space="preserve">new possibilities for employment. Results were promoted through nomination of </w:t>
            </w:r>
            <w:r w:rsidR="009B7074">
              <w:rPr>
                <w:rFonts w:asciiTheme="minorHAnsi" w:hAnsiTheme="minorHAnsi"/>
                <w:sz w:val="20"/>
                <w:lang w:val="en-GB"/>
              </w:rPr>
              <w:t xml:space="preserve">the Old Royal Capital </w:t>
            </w:r>
            <w:r w:rsidRPr="00BC4F55">
              <w:rPr>
                <w:rFonts w:asciiTheme="minorHAnsi" w:hAnsiTheme="minorHAnsi"/>
                <w:sz w:val="20"/>
                <w:lang w:val="en-GB"/>
              </w:rPr>
              <w:t xml:space="preserve">Cetinje </w:t>
            </w:r>
            <w:r w:rsidR="009B7074">
              <w:rPr>
                <w:rFonts w:asciiTheme="minorHAnsi" w:hAnsiTheme="minorHAnsi"/>
                <w:sz w:val="20"/>
                <w:lang w:val="en-GB"/>
              </w:rPr>
              <w:t>as one of</w:t>
            </w:r>
            <w:r w:rsidR="009B7074" w:rsidRPr="00BC4F55">
              <w:rPr>
                <w:rFonts w:asciiTheme="minorHAnsi" w:hAnsiTheme="minorHAnsi"/>
                <w:sz w:val="20"/>
                <w:lang w:val="en-GB"/>
              </w:rPr>
              <w:t xml:space="preserve"> </w:t>
            </w:r>
            <w:r w:rsidRPr="00BC4F55">
              <w:rPr>
                <w:rFonts w:asciiTheme="minorHAnsi" w:hAnsiTheme="minorHAnsi"/>
                <w:sz w:val="20"/>
                <w:lang w:val="en-GB"/>
              </w:rPr>
              <w:t>the ten Sustainable Cities worldwide, at the 2014 G</w:t>
            </w:r>
            <w:r w:rsidR="00F559C3" w:rsidRPr="00BC4F55">
              <w:rPr>
                <w:rFonts w:asciiTheme="minorHAnsi" w:hAnsiTheme="minorHAnsi"/>
                <w:sz w:val="20"/>
                <w:lang w:val="en-GB"/>
              </w:rPr>
              <w:t xml:space="preserve">eneral </w:t>
            </w:r>
            <w:r w:rsidRPr="00BC4F55">
              <w:rPr>
                <w:rFonts w:asciiTheme="minorHAnsi" w:hAnsiTheme="minorHAnsi"/>
                <w:sz w:val="20"/>
                <w:lang w:val="en-GB"/>
              </w:rPr>
              <w:t>A</w:t>
            </w:r>
            <w:r w:rsidR="00F559C3" w:rsidRPr="00BC4F55">
              <w:rPr>
                <w:rFonts w:asciiTheme="minorHAnsi" w:hAnsiTheme="minorHAnsi"/>
                <w:sz w:val="20"/>
                <w:lang w:val="en-GB"/>
              </w:rPr>
              <w:t>ssembly</w:t>
            </w:r>
            <w:r w:rsidRPr="00BC4F55">
              <w:rPr>
                <w:rFonts w:asciiTheme="minorHAnsi" w:hAnsiTheme="minorHAnsi"/>
                <w:sz w:val="20"/>
                <w:lang w:val="en-GB"/>
              </w:rPr>
              <w:t xml:space="preserve">. Moreover, the approach </w:t>
            </w:r>
            <w:r w:rsidR="00F559C3" w:rsidRPr="00BC4F55">
              <w:rPr>
                <w:rFonts w:asciiTheme="minorHAnsi" w:hAnsiTheme="minorHAnsi"/>
                <w:sz w:val="20"/>
                <w:lang w:val="en-GB"/>
              </w:rPr>
              <w:t xml:space="preserve">that </w:t>
            </w:r>
            <w:r w:rsidRPr="00BC4F55">
              <w:rPr>
                <w:rFonts w:asciiTheme="minorHAnsi" w:hAnsiTheme="minorHAnsi"/>
                <w:sz w:val="20"/>
                <w:lang w:val="en-GB"/>
              </w:rPr>
              <w:t>UNDP developed on “Energy Efficiency for Legalization of Informal Settlements</w:t>
            </w:r>
            <w:r w:rsidR="00F559C3" w:rsidRPr="00BC4F55">
              <w:rPr>
                <w:rFonts w:asciiTheme="minorHAnsi" w:hAnsiTheme="minorHAnsi"/>
                <w:sz w:val="20"/>
                <w:lang w:val="en-GB"/>
              </w:rPr>
              <w:t>”</w:t>
            </w:r>
            <w:r w:rsidRPr="00BC4F55">
              <w:rPr>
                <w:rFonts w:asciiTheme="minorHAnsi" w:hAnsiTheme="minorHAnsi"/>
                <w:sz w:val="20"/>
                <w:lang w:val="en-GB"/>
              </w:rPr>
              <w:t xml:space="preserve"> received the Massachusetts Institute for Technology (MIT) award 2013 for the best idea in the </w:t>
            </w:r>
            <w:r w:rsidR="00F559C3" w:rsidRPr="00BC4F55">
              <w:rPr>
                <w:rFonts w:asciiTheme="minorHAnsi" w:hAnsiTheme="minorHAnsi"/>
                <w:sz w:val="20"/>
                <w:lang w:val="en-GB"/>
              </w:rPr>
              <w:t xml:space="preserve">category of </w:t>
            </w:r>
            <w:r w:rsidRPr="00BC4F55">
              <w:rPr>
                <w:rFonts w:asciiTheme="minorHAnsi" w:hAnsiTheme="minorHAnsi"/>
                <w:sz w:val="20"/>
                <w:lang w:val="en-GB"/>
              </w:rPr>
              <w:t>sustainable energy.</w:t>
            </w:r>
          </w:p>
          <w:p w14:paraId="1F816D5E" w14:textId="4D66A8AA"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Montenegro also demonstrated strong engagement in relation to the United Nations Conference on Sustainable Development and was a pilot country for the Sustainable Energy For All initiative.</w:t>
            </w:r>
          </w:p>
          <w:p w14:paraId="0B34E125" w14:textId="67422C0B"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UNDP supported cross</w:t>
            </w:r>
            <w:r w:rsidR="00F559C3" w:rsidRPr="00BC4F55">
              <w:rPr>
                <w:rFonts w:asciiTheme="minorHAnsi" w:hAnsiTheme="minorHAnsi"/>
                <w:sz w:val="20"/>
                <w:lang w:val="en-GB"/>
              </w:rPr>
              <w:t>-</w:t>
            </w:r>
            <w:r w:rsidRPr="00BC4F55">
              <w:rPr>
                <w:rFonts w:asciiTheme="minorHAnsi" w:hAnsiTheme="minorHAnsi"/>
                <w:sz w:val="20"/>
                <w:lang w:val="en-GB"/>
              </w:rPr>
              <w:t xml:space="preserve">border and regional cooperation in </w:t>
            </w:r>
            <w:r w:rsidR="00EF79A9" w:rsidRPr="00BC4F55">
              <w:rPr>
                <w:rFonts w:asciiTheme="minorHAnsi" w:hAnsiTheme="minorHAnsi"/>
                <w:sz w:val="20"/>
                <w:lang w:val="en-GB"/>
              </w:rPr>
              <w:t>two areas: a)</w:t>
            </w:r>
            <w:r w:rsidRPr="00BC4F55">
              <w:rPr>
                <w:rFonts w:asciiTheme="minorHAnsi" w:hAnsiTheme="minorHAnsi"/>
                <w:sz w:val="20"/>
                <w:lang w:val="en-GB"/>
              </w:rPr>
              <w:t xml:space="preserve"> local economic development and</w:t>
            </w:r>
            <w:r w:rsidR="00EF79A9" w:rsidRPr="00BC4F55">
              <w:rPr>
                <w:rFonts w:asciiTheme="minorHAnsi" w:hAnsiTheme="minorHAnsi"/>
                <w:sz w:val="20"/>
                <w:lang w:val="en-GB"/>
              </w:rPr>
              <w:t xml:space="preserve"> b)</w:t>
            </w:r>
            <w:r w:rsidRPr="00BC4F55">
              <w:rPr>
                <w:rFonts w:asciiTheme="minorHAnsi" w:hAnsiTheme="minorHAnsi"/>
                <w:sz w:val="20"/>
                <w:lang w:val="en-GB"/>
              </w:rPr>
              <w:t xml:space="preserve"> diversification of the tourism offer in hinterlands of Montenegrin coast and rural areas in the North of </w:t>
            </w:r>
            <w:r w:rsidR="009B7074">
              <w:rPr>
                <w:rFonts w:asciiTheme="minorHAnsi" w:hAnsiTheme="minorHAnsi"/>
                <w:sz w:val="20"/>
                <w:lang w:val="en-GB"/>
              </w:rPr>
              <w:t xml:space="preserve">the </w:t>
            </w:r>
            <w:r w:rsidRPr="00BC4F55">
              <w:rPr>
                <w:rFonts w:asciiTheme="minorHAnsi" w:hAnsiTheme="minorHAnsi"/>
                <w:sz w:val="20"/>
                <w:lang w:val="en-GB"/>
              </w:rPr>
              <w:t>country. Through bilateral efforts with Croatia and Serbia, main outcomes achieved were: i) new trans</w:t>
            </w:r>
            <w:r w:rsidR="009B7074">
              <w:rPr>
                <w:rFonts w:asciiTheme="minorHAnsi" w:hAnsiTheme="minorHAnsi"/>
                <w:sz w:val="20"/>
                <w:lang w:val="en-GB"/>
              </w:rPr>
              <w:t>-</w:t>
            </w:r>
            <w:r w:rsidRPr="00BC4F55">
              <w:rPr>
                <w:rFonts w:asciiTheme="minorHAnsi" w:hAnsiTheme="minorHAnsi"/>
                <w:sz w:val="20"/>
                <w:lang w:val="en-GB"/>
              </w:rPr>
              <w:t xml:space="preserve">boundary tourism products were developed, based on richness of natural resources and cultural heritage; ii) tourism entrepreneurs across the borders were organized into forums and clusters, as platforms for long-term business cooperation, iii) new professions were standardized in </w:t>
            </w:r>
            <w:r w:rsidR="009B7074">
              <w:rPr>
                <w:rFonts w:asciiTheme="minorHAnsi" w:hAnsiTheme="minorHAnsi"/>
                <w:sz w:val="20"/>
                <w:lang w:val="en-GB"/>
              </w:rPr>
              <w:t xml:space="preserve">the </w:t>
            </w:r>
            <w:r w:rsidRPr="00BC4F55">
              <w:rPr>
                <w:rFonts w:asciiTheme="minorHAnsi" w:hAnsiTheme="minorHAnsi"/>
                <w:sz w:val="20"/>
                <w:lang w:val="en-GB"/>
              </w:rPr>
              <w:t xml:space="preserve">national system: </w:t>
            </w:r>
            <w:r w:rsidR="009B7074" w:rsidRPr="00BC4F55">
              <w:rPr>
                <w:rFonts w:asciiTheme="minorHAnsi" w:hAnsiTheme="minorHAnsi"/>
                <w:sz w:val="20"/>
                <w:lang w:val="en-GB"/>
              </w:rPr>
              <w:t xml:space="preserve">guides </w:t>
            </w:r>
            <w:r w:rsidR="009B7074">
              <w:rPr>
                <w:rFonts w:asciiTheme="minorHAnsi" w:hAnsiTheme="minorHAnsi"/>
                <w:sz w:val="20"/>
                <w:lang w:val="en-GB"/>
              </w:rPr>
              <w:t xml:space="preserve">for </w:t>
            </w:r>
            <w:r w:rsidRPr="00BC4F55">
              <w:rPr>
                <w:rFonts w:asciiTheme="minorHAnsi" w:hAnsiTheme="minorHAnsi"/>
                <w:sz w:val="20"/>
                <w:lang w:val="en-GB"/>
              </w:rPr>
              <w:t>caving and still waters kayak</w:t>
            </w:r>
            <w:r w:rsidR="009B7074">
              <w:rPr>
                <w:rFonts w:asciiTheme="minorHAnsi" w:hAnsiTheme="minorHAnsi"/>
                <w:sz w:val="20"/>
                <w:lang w:val="en-GB"/>
              </w:rPr>
              <w:t>ing</w:t>
            </w:r>
            <w:r w:rsidRPr="00BC4F55">
              <w:rPr>
                <w:rFonts w:asciiTheme="minorHAnsi" w:hAnsiTheme="minorHAnsi"/>
                <w:sz w:val="20"/>
                <w:lang w:val="en-GB"/>
              </w:rPr>
              <w:t>; iv) safety standards for outdoor tourism were up-scaled with international certifications of mountain rescuers; v) innovative promotional tools, such as GIS-based portal and mobile applications were developed.</w:t>
            </w:r>
          </w:p>
          <w:p w14:paraId="06AE0091" w14:textId="08B96919"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The</w:t>
            </w:r>
            <w:r w:rsidR="00EF79A9" w:rsidRPr="00BC4F55">
              <w:rPr>
                <w:rFonts w:asciiTheme="minorHAnsi" w:hAnsiTheme="minorHAnsi"/>
                <w:sz w:val="20"/>
                <w:lang w:val="en-GB"/>
              </w:rPr>
              <w:t>s</w:t>
            </w:r>
            <w:r w:rsidRPr="00BC4F55">
              <w:rPr>
                <w:rFonts w:asciiTheme="minorHAnsi" w:hAnsiTheme="minorHAnsi"/>
                <w:sz w:val="20"/>
                <w:lang w:val="en-GB"/>
              </w:rPr>
              <w:t xml:space="preserve">e results </w:t>
            </w:r>
            <w:r w:rsidR="00EF79A9" w:rsidRPr="00BC4F55">
              <w:rPr>
                <w:rFonts w:asciiTheme="minorHAnsi" w:hAnsiTheme="minorHAnsi"/>
                <w:sz w:val="20"/>
                <w:lang w:val="en-GB"/>
              </w:rPr>
              <w:t>laid</w:t>
            </w:r>
            <w:r w:rsidRPr="00BC4F55">
              <w:rPr>
                <w:rFonts w:asciiTheme="minorHAnsi" w:hAnsiTheme="minorHAnsi"/>
                <w:sz w:val="20"/>
                <w:lang w:val="en-GB"/>
              </w:rPr>
              <w:t xml:space="preserve"> foundation </w:t>
            </w:r>
            <w:r w:rsidR="00EF79A9" w:rsidRPr="00BC4F55">
              <w:rPr>
                <w:rFonts w:asciiTheme="minorHAnsi" w:hAnsiTheme="minorHAnsi"/>
                <w:sz w:val="20"/>
                <w:lang w:val="en-GB"/>
              </w:rPr>
              <w:t>for the</w:t>
            </w:r>
            <w:r w:rsidRPr="00BC4F55">
              <w:rPr>
                <w:rFonts w:asciiTheme="minorHAnsi" w:hAnsiTheme="minorHAnsi"/>
                <w:sz w:val="20"/>
                <w:lang w:val="en-GB"/>
              </w:rPr>
              <w:t xml:space="preserve"> regional initiative </w:t>
            </w:r>
            <w:r w:rsidR="00EF79A9" w:rsidRPr="00BC4F55">
              <w:rPr>
                <w:rFonts w:asciiTheme="minorHAnsi" w:hAnsiTheme="minorHAnsi"/>
                <w:sz w:val="20"/>
                <w:lang w:val="en-GB"/>
              </w:rPr>
              <w:t>‘</w:t>
            </w:r>
            <w:r w:rsidRPr="00BC4F55">
              <w:rPr>
                <w:rFonts w:asciiTheme="minorHAnsi" w:hAnsiTheme="minorHAnsi"/>
                <w:sz w:val="20"/>
                <w:lang w:val="en-GB"/>
              </w:rPr>
              <w:t>Via Dinarica</w:t>
            </w:r>
            <w:r w:rsidR="00EF79A9" w:rsidRPr="00BC4F55">
              <w:rPr>
                <w:rFonts w:asciiTheme="minorHAnsi" w:hAnsiTheme="minorHAnsi"/>
                <w:sz w:val="20"/>
                <w:lang w:val="en-GB"/>
              </w:rPr>
              <w:t>’</w:t>
            </w:r>
            <w:r w:rsidRPr="00BC4F55">
              <w:rPr>
                <w:rFonts w:asciiTheme="minorHAnsi" w:hAnsiTheme="minorHAnsi"/>
                <w:sz w:val="20"/>
                <w:lang w:val="en-GB"/>
              </w:rPr>
              <w:t xml:space="preserve"> -</w:t>
            </w:r>
            <w:r w:rsidR="00EF79A9" w:rsidRPr="00BC4F55">
              <w:rPr>
                <w:rFonts w:asciiTheme="minorHAnsi" w:hAnsiTheme="minorHAnsi"/>
                <w:sz w:val="20"/>
                <w:lang w:val="en-GB"/>
              </w:rPr>
              <w:t xml:space="preserve"> a</w:t>
            </w:r>
            <w:r w:rsidRPr="00BC4F55">
              <w:rPr>
                <w:rFonts w:asciiTheme="minorHAnsi" w:hAnsiTheme="minorHAnsi"/>
                <w:sz w:val="20"/>
                <w:lang w:val="en-GB"/>
              </w:rPr>
              <w:t xml:space="preserve"> corridor for sustainable development in Montenegro, Bosnia and Herzegovina and Croatia. The programme is designed with an overall objective to contribute to socio-economic development of the Dinaric region through increased competitiveness of the regional tourism offer and improved mechanisms for the local communities-led entrepreneurial initiatives.         </w:t>
            </w:r>
          </w:p>
          <w:p w14:paraId="47CE7C9B" w14:textId="44E74F44" w:rsidR="00501317" w:rsidRPr="00BC4F55" w:rsidRDefault="00501317" w:rsidP="00501317">
            <w:pPr>
              <w:pStyle w:val="BodyText"/>
              <w:jc w:val="both"/>
              <w:rPr>
                <w:rFonts w:asciiTheme="minorHAnsi" w:hAnsiTheme="minorHAnsi"/>
                <w:sz w:val="20"/>
                <w:lang w:val="en-GB"/>
              </w:rPr>
            </w:pPr>
            <w:r w:rsidRPr="00BC4F55">
              <w:rPr>
                <w:rFonts w:asciiTheme="minorHAnsi" w:hAnsiTheme="minorHAnsi"/>
                <w:sz w:val="20"/>
                <w:lang w:val="en-GB"/>
              </w:rPr>
              <w:t>In 2014</w:t>
            </w:r>
            <w:r w:rsidR="00EF79A9" w:rsidRPr="00BC4F55">
              <w:rPr>
                <w:rFonts w:asciiTheme="minorHAnsi" w:hAnsiTheme="minorHAnsi"/>
                <w:sz w:val="20"/>
                <w:lang w:val="en-GB"/>
              </w:rPr>
              <w:t>,</w:t>
            </w:r>
            <w:r w:rsidRPr="00BC4F55">
              <w:rPr>
                <w:rFonts w:asciiTheme="minorHAnsi" w:hAnsiTheme="minorHAnsi"/>
                <w:sz w:val="20"/>
                <w:lang w:val="en-GB"/>
              </w:rPr>
              <w:t xml:space="preserve"> </w:t>
            </w:r>
            <w:r w:rsidR="00EF79A9" w:rsidRPr="00BC4F55">
              <w:rPr>
                <w:rFonts w:asciiTheme="minorHAnsi" w:hAnsiTheme="minorHAnsi"/>
                <w:sz w:val="20"/>
                <w:lang w:val="en-GB"/>
              </w:rPr>
              <w:t xml:space="preserve">the Centre for Sustainable Development was established </w:t>
            </w:r>
            <w:r w:rsidRPr="00BC4F55">
              <w:rPr>
                <w:rFonts w:asciiTheme="minorHAnsi" w:hAnsiTheme="minorHAnsi"/>
                <w:sz w:val="20"/>
                <w:lang w:val="en-GB"/>
              </w:rPr>
              <w:t>as</w:t>
            </w:r>
            <w:r w:rsidR="00EF79A9" w:rsidRPr="00BC4F55">
              <w:rPr>
                <w:rFonts w:asciiTheme="minorHAnsi" w:hAnsiTheme="minorHAnsi"/>
                <w:sz w:val="20"/>
                <w:lang w:val="en-GB"/>
              </w:rPr>
              <w:t xml:space="preserve"> a</w:t>
            </w:r>
            <w:r w:rsidRPr="00BC4F55">
              <w:rPr>
                <w:rFonts w:asciiTheme="minorHAnsi" w:hAnsiTheme="minorHAnsi"/>
                <w:sz w:val="20"/>
                <w:lang w:val="en-GB"/>
              </w:rPr>
              <w:t xml:space="preserve"> joint initiative of the Government of Montenegro and UNDP</w:t>
            </w:r>
            <w:r w:rsidR="00EE349E">
              <w:rPr>
                <w:rFonts w:asciiTheme="minorHAnsi" w:hAnsiTheme="minorHAnsi"/>
                <w:sz w:val="20"/>
                <w:lang w:val="en-GB"/>
              </w:rPr>
              <w:t xml:space="preserve"> under </w:t>
            </w:r>
            <w:r w:rsidR="00B537E3">
              <w:rPr>
                <w:rFonts w:asciiTheme="minorHAnsi" w:hAnsiTheme="minorHAnsi"/>
                <w:sz w:val="20"/>
                <w:lang w:val="en-GB"/>
              </w:rPr>
              <w:t xml:space="preserve">the </w:t>
            </w:r>
            <w:r w:rsidR="00B537E3">
              <w:t>“</w:t>
            </w:r>
            <w:r w:rsidR="00EE349E" w:rsidRPr="00EE349E">
              <w:rPr>
                <w:rFonts w:asciiTheme="minorHAnsi" w:hAnsiTheme="minorHAnsi"/>
                <w:sz w:val="20"/>
                <w:lang w:val="en-GB"/>
              </w:rPr>
              <w:t>close partnership” model</w:t>
            </w:r>
            <w:r w:rsidRPr="00BC4F55">
              <w:rPr>
                <w:rFonts w:asciiTheme="minorHAnsi" w:hAnsiTheme="minorHAnsi"/>
                <w:sz w:val="20"/>
                <w:lang w:val="en-GB"/>
              </w:rPr>
              <w:t>. The mission of the Centre is to promote sustainable development in the context of EU accession agenda</w:t>
            </w:r>
            <w:r w:rsidR="00EF79A9" w:rsidRPr="00BC4F55">
              <w:rPr>
                <w:rFonts w:asciiTheme="minorHAnsi" w:hAnsiTheme="minorHAnsi"/>
                <w:sz w:val="20"/>
                <w:lang w:val="en-GB"/>
              </w:rPr>
              <w:t xml:space="preserve">, </w:t>
            </w:r>
            <w:r w:rsidRPr="00BC4F55">
              <w:rPr>
                <w:rFonts w:asciiTheme="minorHAnsi" w:hAnsiTheme="minorHAnsi"/>
                <w:sz w:val="20"/>
                <w:lang w:val="en-GB"/>
              </w:rPr>
              <w:t>tailored to the specific needs of Montenegro and the Western Balkan region, working in 4 focus areas: of (i) sustainable tourism, (ii) sustainable energy (including energy efficiency and renewable energy), (iii) resource and ecosystem management and (iv) resilience to climate change and environmental security.</w:t>
            </w:r>
          </w:p>
          <w:p w14:paraId="578F2BC3" w14:textId="70A0A199" w:rsidR="00501317" w:rsidRPr="00BC4F55" w:rsidRDefault="00EF79A9" w:rsidP="00501317">
            <w:pPr>
              <w:pStyle w:val="BodyText"/>
              <w:jc w:val="both"/>
              <w:rPr>
                <w:rFonts w:asciiTheme="minorHAnsi" w:hAnsiTheme="minorHAnsi"/>
                <w:sz w:val="24"/>
                <w:lang w:val="en-GB"/>
              </w:rPr>
            </w:pPr>
            <w:r w:rsidRPr="00BC4F55">
              <w:rPr>
                <w:rFonts w:asciiTheme="minorHAnsi" w:hAnsiTheme="minorHAnsi"/>
                <w:sz w:val="20"/>
                <w:lang w:val="en-GB"/>
              </w:rPr>
              <w:lastRenderedPageBreak/>
              <w:t>Centre</w:t>
            </w:r>
            <w:r w:rsidR="00501317" w:rsidRPr="00BC4F55">
              <w:rPr>
                <w:rFonts w:asciiTheme="minorHAnsi" w:hAnsiTheme="minorHAnsi"/>
                <w:sz w:val="20"/>
                <w:lang w:val="en-GB"/>
              </w:rPr>
              <w:t xml:space="preserve"> for Sustainable Development (CSD) supported: i) drafting</w:t>
            </w:r>
            <w:r w:rsidR="009B7074">
              <w:rPr>
                <w:rFonts w:asciiTheme="minorHAnsi" w:hAnsiTheme="minorHAnsi"/>
                <w:sz w:val="20"/>
                <w:lang w:val="en-GB"/>
              </w:rPr>
              <w:t xml:space="preserve"> of</w:t>
            </w:r>
            <w:r w:rsidR="00501317" w:rsidRPr="00BC4F55">
              <w:rPr>
                <w:rFonts w:asciiTheme="minorHAnsi" w:hAnsiTheme="minorHAnsi"/>
                <w:sz w:val="20"/>
                <w:lang w:val="en-GB"/>
              </w:rPr>
              <w:t xml:space="preserve"> the Strategy for Sustainable Development (NSSD); ii) defining the indicators for NSSD (Domestic Material Consumption (DMC) and Land Use Indicator); iii) mainstreaming the NHDR on Resource Efficiency throughout sectorial policies (energy, tourism and agriculture sectors)</w:t>
            </w:r>
            <w:r w:rsidRPr="00BC4F55">
              <w:rPr>
                <w:rFonts w:asciiTheme="minorHAnsi" w:hAnsiTheme="minorHAnsi"/>
                <w:sz w:val="20"/>
                <w:lang w:val="en-GB"/>
              </w:rPr>
              <w:t>,</w:t>
            </w:r>
            <w:r w:rsidR="00501317" w:rsidRPr="00BC4F55">
              <w:rPr>
                <w:rFonts w:asciiTheme="minorHAnsi" w:hAnsiTheme="minorHAnsi"/>
                <w:sz w:val="20"/>
                <w:lang w:val="en-GB"/>
              </w:rPr>
              <w:t xml:space="preserve"> and iv) elaboration of the Scenario 4 of NHDR, recommending 20% reduction of estimated DMC until 2020. Five (5) new government laws and policies include disaggregated socioeconomic data drawn from key findings and recommendations</w:t>
            </w:r>
            <w:r w:rsidRPr="00BC4F55">
              <w:rPr>
                <w:rFonts w:asciiTheme="minorHAnsi" w:hAnsiTheme="minorHAnsi"/>
                <w:sz w:val="20"/>
                <w:lang w:val="en-GB"/>
              </w:rPr>
              <w:t xml:space="preserve"> of the NHDRs</w:t>
            </w:r>
            <w:r w:rsidR="00501317" w:rsidRPr="00BC4F55">
              <w:rPr>
                <w:rFonts w:asciiTheme="minorHAnsi" w:hAnsiTheme="minorHAnsi"/>
                <w:sz w:val="20"/>
                <w:lang w:val="en-GB"/>
              </w:rPr>
              <w:t>. Additionally, Regional Ministerial Conference on Sustainable Development</w:t>
            </w:r>
            <w:r w:rsidRPr="00BC4F55">
              <w:rPr>
                <w:rFonts w:asciiTheme="minorHAnsi" w:hAnsiTheme="minorHAnsi"/>
                <w:sz w:val="20"/>
                <w:lang w:val="en-GB"/>
              </w:rPr>
              <w:t xml:space="preserve">, held in 2014, gathered </w:t>
            </w:r>
            <w:r w:rsidR="00501317" w:rsidRPr="00BC4F55">
              <w:rPr>
                <w:rFonts w:asciiTheme="minorHAnsi" w:hAnsiTheme="minorHAnsi"/>
                <w:sz w:val="20"/>
                <w:lang w:val="en-GB"/>
              </w:rPr>
              <w:t xml:space="preserve">more than 200 participants, </w:t>
            </w:r>
            <w:r w:rsidRPr="00BC4F55">
              <w:rPr>
                <w:rFonts w:asciiTheme="minorHAnsi" w:hAnsiTheme="minorHAnsi"/>
                <w:sz w:val="20"/>
                <w:lang w:val="en-GB"/>
              </w:rPr>
              <w:t xml:space="preserve">including </w:t>
            </w:r>
            <w:r w:rsidR="00501317" w:rsidRPr="00BC4F55">
              <w:rPr>
                <w:rFonts w:asciiTheme="minorHAnsi" w:hAnsiTheme="minorHAnsi"/>
                <w:sz w:val="20"/>
                <w:lang w:val="en-GB"/>
              </w:rPr>
              <w:t xml:space="preserve">high UN </w:t>
            </w:r>
            <w:r w:rsidR="00F25445">
              <w:rPr>
                <w:rFonts w:asciiTheme="minorHAnsi" w:hAnsiTheme="minorHAnsi"/>
                <w:sz w:val="20"/>
                <w:lang w:val="en-GB"/>
              </w:rPr>
              <w:t xml:space="preserve">and Government </w:t>
            </w:r>
            <w:r w:rsidR="00501317" w:rsidRPr="00BC4F55">
              <w:rPr>
                <w:rFonts w:asciiTheme="minorHAnsi" w:hAnsiTheme="minorHAnsi"/>
                <w:sz w:val="20"/>
                <w:lang w:val="en-GB"/>
              </w:rPr>
              <w:t xml:space="preserve">officials, </w:t>
            </w:r>
            <w:r w:rsidR="00F25445">
              <w:rPr>
                <w:rFonts w:asciiTheme="minorHAnsi" w:hAnsiTheme="minorHAnsi"/>
                <w:sz w:val="20"/>
                <w:lang w:val="en-GB"/>
              </w:rPr>
              <w:t xml:space="preserve">representatives of </w:t>
            </w:r>
            <w:r w:rsidR="00501317" w:rsidRPr="00BC4F55">
              <w:rPr>
                <w:rFonts w:asciiTheme="minorHAnsi" w:hAnsiTheme="minorHAnsi"/>
                <w:sz w:val="20"/>
                <w:lang w:val="en-GB"/>
              </w:rPr>
              <w:t xml:space="preserve">international organizations, and </w:t>
            </w:r>
            <w:r w:rsidR="00F25445">
              <w:rPr>
                <w:rFonts w:asciiTheme="minorHAnsi" w:hAnsiTheme="minorHAnsi"/>
                <w:sz w:val="20"/>
                <w:lang w:val="en-GB"/>
              </w:rPr>
              <w:t>prominent experts</w:t>
            </w:r>
            <w:r w:rsidR="00501317" w:rsidRPr="00BC4F55">
              <w:rPr>
                <w:rFonts w:asciiTheme="minorHAnsi" w:hAnsiTheme="minorHAnsi"/>
                <w:sz w:val="20"/>
                <w:lang w:val="en-GB"/>
              </w:rPr>
              <w:t xml:space="preserve"> in charge of sustainable development.</w:t>
            </w:r>
          </w:p>
          <w:p w14:paraId="75403A49" w14:textId="77777777" w:rsidR="00501317" w:rsidRPr="00BC4F55" w:rsidRDefault="00501317" w:rsidP="00845340">
            <w:pPr>
              <w:pStyle w:val="BodyText2"/>
              <w:rPr>
                <w:rFonts w:asciiTheme="minorHAnsi" w:hAnsiTheme="minorHAnsi"/>
                <w:u w:val="single"/>
                <w:lang w:val="en-GB"/>
              </w:rPr>
            </w:pPr>
          </w:p>
          <w:p w14:paraId="38D5F505" w14:textId="77777777" w:rsidR="00501317" w:rsidRPr="00BC4F55" w:rsidRDefault="00501317" w:rsidP="00845340">
            <w:pPr>
              <w:pStyle w:val="BodyText2"/>
              <w:rPr>
                <w:rFonts w:asciiTheme="minorHAnsi" w:hAnsiTheme="minorHAnsi"/>
                <w:b/>
                <w:u w:val="single"/>
                <w:lang w:val="en-GB"/>
              </w:rPr>
            </w:pPr>
            <w:r w:rsidRPr="00BC4F55">
              <w:rPr>
                <w:rFonts w:asciiTheme="minorHAnsi" w:hAnsiTheme="minorHAnsi"/>
                <w:b/>
                <w:u w:val="single"/>
                <w:lang w:val="en-GB"/>
              </w:rPr>
              <w:t>Lessons learnt:</w:t>
            </w:r>
          </w:p>
          <w:p w14:paraId="67AC43FE" w14:textId="5D64513B" w:rsidR="00BB3E3E" w:rsidRPr="00BC4F55" w:rsidRDefault="00BB3E3E" w:rsidP="00BB3E3E">
            <w:pPr>
              <w:pStyle w:val="BodyText2"/>
              <w:rPr>
                <w:rFonts w:asciiTheme="minorHAnsi" w:hAnsiTheme="minorHAnsi"/>
                <w:lang w:val="en-GB"/>
              </w:rPr>
            </w:pPr>
            <w:r w:rsidRPr="00BC4F55">
              <w:rPr>
                <w:rFonts w:asciiTheme="minorHAnsi" w:hAnsiTheme="minorHAnsi"/>
                <w:lang w:val="en-GB"/>
              </w:rPr>
              <w:t xml:space="preserve">Evaluations conducted confirmed the relevance of the interventions and their impact in the country development. More attention needs to be given to project design; all measures need to be justified in the light of the results chain (logical flow from objective over outputs to activities); in this way, it can be avoided that a project conducts measures which are actually not used and do not contribute to the project objective; a project needs to be designed within a realistically analysed baseline of capacities, </w:t>
            </w:r>
            <w:r w:rsidR="00F25445">
              <w:rPr>
                <w:rFonts w:asciiTheme="minorHAnsi" w:hAnsiTheme="minorHAnsi"/>
                <w:lang w:val="en-GB"/>
              </w:rPr>
              <w:t>i.e. in</w:t>
            </w:r>
            <w:r w:rsidRPr="00BC4F55">
              <w:rPr>
                <w:rFonts w:asciiTheme="minorHAnsi" w:hAnsiTheme="minorHAnsi"/>
                <w:lang w:val="en-GB"/>
              </w:rPr>
              <w:t xml:space="preserve"> a way that it measure</w:t>
            </w:r>
            <w:r w:rsidR="00F25445">
              <w:rPr>
                <w:rFonts w:asciiTheme="minorHAnsi" w:hAnsiTheme="minorHAnsi"/>
                <w:lang w:val="en-GB"/>
              </w:rPr>
              <w:t>s</w:t>
            </w:r>
            <w:r w:rsidRPr="00BC4F55">
              <w:rPr>
                <w:rFonts w:asciiTheme="minorHAnsi" w:hAnsiTheme="minorHAnsi"/>
                <w:lang w:val="en-GB"/>
              </w:rPr>
              <w:t xml:space="preserve"> commitment of the stakeholders (human capacities, knowledge, resources present and forthcoming, priority/power to execute) and accordingly timeframes and steps necessary for planned processes and change, instead of just willingness to receive funding and have the project on board, as this can often lead to ambitious targets.</w:t>
            </w:r>
            <w:r w:rsidRPr="00BC4F55">
              <w:rPr>
                <w:lang w:val="en-GB"/>
              </w:rPr>
              <w:t xml:space="preserve"> </w:t>
            </w:r>
            <w:r w:rsidRPr="00BC4F55">
              <w:rPr>
                <w:rFonts w:asciiTheme="minorHAnsi" w:hAnsiTheme="minorHAnsi"/>
                <w:lang w:val="en-GB"/>
              </w:rPr>
              <w:t>The recommendations were followed up and incorporated in the subsequent projects.</w:t>
            </w:r>
          </w:p>
          <w:p w14:paraId="1EBB67EA" w14:textId="77777777" w:rsidR="00BB3E3E" w:rsidRPr="00BC4F55" w:rsidRDefault="00BB3E3E" w:rsidP="00BB3E3E">
            <w:pPr>
              <w:pStyle w:val="BodyText2"/>
              <w:rPr>
                <w:rFonts w:asciiTheme="minorHAnsi" w:hAnsiTheme="minorHAnsi"/>
                <w:lang w:val="en-GB"/>
              </w:rPr>
            </w:pPr>
            <w:r w:rsidRPr="00BC4F55">
              <w:rPr>
                <w:rFonts w:asciiTheme="minorHAnsi" w:hAnsiTheme="minorHAnsi"/>
                <w:lang w:val="en-GB"/>
              </w:rPr>
              <w:t>Major lessons learned during the implementation of the climate change related projects (SNC, FBUR) are the following:</w:t>
            </w:r>
          </w:p>
          <w:p w14:paraId="168E2F30" w14:textId="6C8D3EF0" w:rsidR="00BB3E3E" w:rsidRPr="00BC4F55" w:rsidRDefault="00BB3E3E" w:rsidP="00BB3E3E">
            <w:pPr>
              <w:pStyle w:val="BodyText2"/>
              <w:numPr>
                <w:ilvl w:val="0"/>
                <w:numId w:val="21"/>
              </w:numPr>
              <w:rPr>
                <w:rFonts w:asciiTheme="minorHAnsi" w:hAnsiTheme="minorHAnsi"/>
                <w:bCs/>
                <w:lang w:val="en-GB"/>
              </w:rPr>
            </w:pPr>
            <w:r w:rsidRPr="00BC4F55">
              <w:rPr>
                <w:rFonts w:asciiTheme="minorHAnsi" w:hAnsiTheme="minorHAnsi"/>
                <w:lang w:val="en-GB"/>
              </w:rPr>
              <w:t>Take into consideration country specific characteristics when planning Mitigation scenarios</w:t>
            </w:r>
            <w:r w:rsidR="00F25445">
              <w:rPr>
                <w:rFonts w:asciiTheme="minorHAnsi" w:hAnsiTheme="minorHAnsi"/>
                <w:lang w:val="en-GB"/>
              </w:rPr>
              <w:t>;</w:t>
            </w:r>
            <w:r w:rsidRPr="00BC4F55">
              <w:rPr>
                <w:rFonts w:asciiTheme="minorHAnsi" w:hAnsiTheme="minorHAnsi"/>
                <w:lang w:val="en-GB"/>
              </w:rPr>
              <w:t xml:space="preserve"> </w:t>
            </w:r>
          </w:p>
          <w:p w14:paraId="67B4FA3C" w14:textId="01B47CB8" w:rsidR="00BB3E3E" w:rsidRPr="00BC4F55" w:rsidRDefault="00BB3E3E" w:rsidP="00BB3E3E">
            <w:pPr>
              <w:pStyle w:val="BodyText2"/>
              <w:numPr>
                <w:ilvl w:val="0"/>
                <w:numId w:val="21"/>
              </w:numPr>
              <w:rPr>
                <w:rFonts w:asciiTheme="minorHAnsi" w:hAnsiTheme="minorHAnsi"/>
                <w:bCs/>
                <w:lang w:val="en-GB"/>
              </w:rPr>
            </w:pPr>
            <w:r w:rsidRPr="00BC4F55">
              <w:rPr>
                <w:rFonts w:asciiTheme="minorHAnsi" w:hAnsiTheme="minorHAnsi"/>
                <w:lang w:val="en-GB"/>
              </w:rPr>
              <w:t xml:space="preserve">Be realistic, i.e. take into account realistic measures and specific requirements which country has in the EU accession process in order to make realistic options, not </w:t>
            </w:r>
            <w:r w:rsidR="00F25445">
              <w:rPr>
                <w:rFonts w:asciiTheme="minorHAnsi" w:hAnsiTheme="minorHAnsi"/>
                <w:lang w:val="en-GB"/>
              </w:rPr>
              <w:t xml:space="preserve">a </w:t>
            </w:r>
            <w:r w:rsidRPr="00BC4F55">
              <w:rPr>
                <w:rFonts w:asciiTheme="minorHAnsi" w:hAnsiTheme="minorHAnsi"/>
                <w:lang w:val="en-GB"/>
              </w:rPr>
              <w:t>“wish list”</w:t>
            </w:r>
            <w:r w:rsidR="00F25445">
              <w:rPr>
                <w:rFonts w:asciiTheme="minorHAnsi" w:hAnsiTheme="minorHAnsi"/>
                <w:lang w:val="en-GB"/>
              </w:rPr>
              <w:t>,</w:t>
            </w:r>
            <w:r w:rsidRPr="00BC4F55">
              <w:rPr>
                <w:rFonts w:asciiTheme="minorHAnsi" w:hAnsiTheme="minorHAnsi"/>
                <w:lang w:val="en-GB"/>
              </w:rPr>
              <w:t xml:space="preserve">   </w:t>
            </w:r>
          </w:p>
          <w:p w14:paraId="24F0B9AC" w14:textId="0E45DB1F" w:rsidR="00BB3E3E" w:rsidRPr="00BC4F55" w:rsidRDefault="00BB3E3E" w:rsidP="00BB3E3E">
            <w:pPr>
              <w:pStyle w:val="BodyText2"/>
              <w:numPr>
                <w:ilvl w:val="0"/>
                <w:numId w:val="21"/>
              </w:numPr>
              <w:rPr>
                <w:rFonts w:asciiTheme="minorHAnsi" w:hAnsiTheme="minorHAnsi"/>
                <w:bCs/>
                <w:i/>
                <w:lang w:val="en-GB"/>
              </w:rPr>
            </w:pPr>
            <w:r w:rsidRPr="00BC4F55">
              <w:rPr>
                <w:rFonts w:asciiTheme="minorHAnsi" w:hAnsiTheme="minorHAnsi"/>
                <w:lang w:val="en-GB"/>
              </w:rPr>
              <w:t>Proper involvement of national partners during the development phase significantly improves the quality of the documents and helps build national ownership, as well as national capacities</w:t>
            </w:r>
            <w:r w:rsidRPr="00BC4F55">
              <w:rPr>
                <w:rFonts w:asciiTheme="minorHAnsi" w:hAnsiTheme="minorHAnsi"/>
                <w:i/>
                <w:lang w:val="en-GB"/>
              </w:rPr>
              <w:t xml:space="preserve">. </w:t>
            </w:r>
          </w:p>
          <w:p w14:paraId="2869F82E" w14:textId="77777777" w:rsidR="00501317" w:rsidRPr="00BC4F55" w:rsidRDefault="00501317" w:rsidP="00845340">
            <w:pPr>
              <w:pStyle w:val="BodyText2"/>
              <w:rPr>
                <w:rFonts w:asciiTheme="minorHAnsi" w:hAnsiTheme="minorHAnsi"/>
                <w:u w:val="single"/>
                <w:lang w:val="en-GB"/>
              </w:rPr>
            </w:pPr>
          </w:p>
        </w:tc>
      </w:tr>
      <w:tr w:rsidR="005F2E08" w:rsidRPr="00BC4F55" w14:paraId="2869F831" w14:textId="77777777" w:rsidTr="00213F95">
        <w:tc>
          <w:tcPr>
            <w:tcW w:w="14040" w:type="dxa"/>
            <w:gridSpan w:val="5"/>
          </w:tcPr>
          <w:p w14:paraId="2869F830" w14:textId="77777777" w:rsidR="005F2E08" w:rsidRPr="00BC4F55" w:rsidRDefault="005F2E08" w:rsidP="00BA2252">
            <w:pPr>
              <w:pStyle w:val="BodyText2"/>
              <w:rPr>
                <w:rFonts w:asciiTheme="minorHAnsi" w:hAnsiTheme="minorHAnsi"/>
                <w:b/>
                <w:lang w:val="en-GB"/>
              </w:rPr>
            </w:pPr>
            <w:r w:rsidRPr="00BC4F55">
              <w:rPr>
                <w:rFonts w:asciiTheme="minorHAnsi" w:hAnsiTheme="minorHAnsi"/>
                <w:b/>
                <w:highlight w:val="lightGray"/>
                <w:lang w:val="en-GB"/>
              </w:rPr>
              <w:lastRenderedPageBreak/>
              <w:t>Please add rows above for additional outcomes as appropriate</w:t>
            </w:r>
          </w:p>
        </w:tc>
      </w:tr>
      <w:tr w:rsidR="009E7526" w:rsidRPr="00BC4F55" w14:paraId="2869F837" w14:textId="77777777" w:rsidTr="00213F95">
        <w:tc>
          <w:tcPr>
            <w:tcW w:w="14040" w:type="dxa"/>
            <w:gridSpan w:val="5"/>
          </w:tcPr>
          <w:p w14:paraId="2869F832" w14:textId="0E47AE6F" w:rsidR="009E7526" w:rsidRPr="00BC4F55" w:rsidRDefault="009E7526" w:rsidP="00B537E3">
            <w:pPr>
              <w:jc w:val="both"/>
              <w:rPr>
                <w:rFonts w:asciiTheme="minorHAnsi" w:hAnsiTheme="minorHAnsi"/>
                <w:sz w:val="20"/>
                <w:u w:val="single"/>
                <w:lang w:val="en-GB"/>
              </w:rPr>
            </w:pPr>
            <w:r w:rsidRPr="00BC4F55">
              <w:rPr>
                <w:rFonts w:asciiTheme="minorHAnsi" w:hAnsiTheme="minorHAnsi"/>
                <w:sz w:val="20"/>
                <w:u w:val="single"/>
                <w:lang w:val="en-GB"/>
              </w:rPr>
              <w:t>Summary of evaluation</w:t>
            </w:r>
            <w:r w:rsidR="00674B1A" w:rsidRPr="00BC4F55">
              <w:rPr>
                <w:rFonts w:asciiTheme="minorHAnsi" w:hAnsiTheme="minorHAnsi"/>
                <w:sz w:val="20"/>
                <w:u w:val="single"/>
                <w:lang w:val="en-GB"/>
              </w:rPr>
              <w:t xml:space="preserve"> finding</w:t>
            </w:r>
            <w:r w:rsidRPr="00BC4F55">
              <w:rPr>
                <w:rFonts w:asciiTheme="minorHAnsi" w:hAnsiTheme="minorHAnsi"/>
                <w:sz w:val="20"/>
                <w:u w:val="single"/>
                <w:lang w:val="en-GB"/>
              </w:rPr>
              <w:t>s (</w:t>
            </w:r>
            <w:r w:rsidR="008F0A97" w:rsidRPr="00BC4F55">
              <w:rPr>
                <w:rFonts w:asciiTheme="minorHAnsi" w:hAnsiTheme="minorHAnsi"/>
                <w:sz w:val="20"/>
                <w:u w:val="single"/>
                <w:lang w:val="en-GB"/>
              </w:rPr>
              <w:t xml:space="preserve">e.g. from outcome and project evaluations, UNDAF </w:t>
            </w:r>
            <w:r w:rsidRPr="00BC4F55">
              <w:rPr>
                <w:rFonts w:asciiTheme="minorHAnsi" w:hAnsiTheme="minorHAnsi"/>
                <w:sz w:val="20"/>
                <w:u w:val="single"/>
                <w:lang w:val="en-GB"/>
              </w:rPr>
              <w:t xml:space="preserve">reviews, </w:t>
            </w:r>
            <w:r w:rsidR="008F0A97" w:rsidRPr="00BC4F55">
              <w:rPr>
                <w:rFonts w:asciiTheme="minorHAnsi" w:hAnsiTheme="minorHAnsi"/>
                <w:sz w:val="20"/>
                <w:u w:val="single"/>
                <w:lang w:val="en-GB"/>
              </w:rPr>
              <w:t xml:space="preserve">and other </w:t>
            </w:r>
            <w:r w:rsidRPr="00BC4F55">
              <w:rPr>
                <w:rFonts w:asciiTheme="minorHAnsi" w:hAnsiTheme="minorHAnsi"/>
                <w:sz w:val="20"/>
                <w:u w:val="single"/>
                <w:lang w:val="en-GB"/>
              </w:rPr>
              <w:t>assessments)</w:t>
            </w:r>
          </w:p>
          <w:p w14:paraId="3E6CD9ED" w14:textId="77777777" w:rsidR="002B40FD" w:rsidRPr="00BC4F55" w:rsidRDefault="002B40FD" w:rsidP="00B537E3">
            <w:pPr>
              <w:pStyle w:val="BodyText2"/>
              <w:jc w:val="both"/>
              <w:rPr>
                <w:rFonts w:asciiTheme="minorHAnsi" w:hAnsiTheme="minorHAnsi"/>
                <w:b/>
                <w:lang w:val="en-GB"/>
              </w:rPr>
            </w:pPr>
          </w:p>
          <w:p w14:paraId="26A226E7" w14:textId="63C16A82" w:rsidR="00C00B7E" w:rsidRPr="00BC4F55" w:rsidRDefault="0041250B" w:rsidP="00B537E3">
            <w:pPr>
              <w:pStyle w:val="BodyText2"/>
              <w:jc w:val="both"/>
              <w:rPr>
                <w:rFonts w:asciiTheme="minorHAnsi" w:hAnsiTheme="minorHAnsi"/>
                <w:b/>
                <w:lang w:val="en-GB"/>
              </w:rPr>
            </w:pPr>
            <w:r w:rsidRPr="00BC4F55">
              <w:rPr>
                <w:rFonts w:asciiTheme="minorHAnsi" w:hAnsiTheme="minorHAnsi"/>
                <w:b/>
                <w:lang w:val="en-GB"/>
              </w:rPr>
              <w:t>Extracts from the Executive Summary of the CPD Outcome evaluation conducted in 2015</w:t>
            </w:r>
          </w:p>
          <w:p w14:paraId="4F989611" w14:textId="77777777" w:rsidR="0041250B" w:rsidRPr="00BC4F55" w:rsidRDefault="0041250B" w:rsidP="00B537E3">
            <w:pPr>
              <w:pStyle w:val="BodyText2"/>
              <w:jc w:val="both"/>
              <w:rPr>
                <w:rFonts w:asciiTheme="minorHAnsi" w:hAnsiTheme="minorHAnsi"/>
                <w:lang w:val="en-GB"/>
              </w:rPr>
            </w:pPr>
          </w:p>
          <w:p w14:paraId="0DA65B75" w14:textId="28F3E781" w:rsidR="0041250B" w:rsidRPr="00BC4F55" w:rsidRDefault="0041250B" w:rsidP="00B537E3">
            <w:pPr>
              <w:pStyle w:val="BodyText2"/>
              <w:jc w:val="both"/>
              <w:rPr>
                <w:rFonts w:asciiTheme="minorHAnsi" w:hAnsiTheme="minorHAnsi"/>
                <w:lang w:val="en-GB"/>
              </w:rPr>
            </w:pPr>
            <w:r w:rsidRPr="00BC4F55">
              <w:rPr>
                <w:rFonts w:asciiTheme="minorHAnsi" w:hAnsiTheme="minorHAnsi"/>
                <w:lang w:val="en-GB"/>
              </w:rPr>
              <w:t xml:space="preserve">The UNDP Country Programme </w:t>
            </w:r>
            <w:r w:rsidRPr="00BC4F55">
              <w:rPr>
                <w:rFonts w:asciiTheme="minorHAnsi" w:hAnsiTheme="minorHAnsi"/>
                <w:b/>
                <w:lang w:val="en-GB"/>
              </w:rPr>
              <w:t>is very relevant</w:t>
            </w:r>
            <w:r w:rsidRPr="00BC4F55">
              <w:rPr>
                <w:rFonts w:asciiTheme="minorHAnsi" w:hAnsiTheme="minorHAnsi"/>
                <w:lang w:val="en-GB"/>
              </w:rPr>
              <w:t xml:space="preserve"> to the national context, having in mind that it focuses on the European integration of Montenegro. It is aligned to national priorities related to the EU pre-accession, sectoral policies and strategies, as expressed in the 7-years Country Strategy (indicative strategy paper 2014-2020), with 2020 as the expected closure date. The Country Programme responds to </w:t>
            </w:r>
            <w:r w:rsidR="00F25445">
              <w:rPr>
                <w:rFonts w:asciiTheme="minorHAnsi" w:hAnsiTheme="minorHAnsi"/>
                <w:lang w:val="en-GB"/>
              </w:rPr>
              <w:t xml:space="preserve">the </w:t>
            </w:r>
            <w:r w:rsidRPr="00BC4F55">
              <w:rPr>
                <w:rFonts w:asciiTheme="minorHAnsi" w:hAnsiTheme="minorHAnsi"/>
                <w:lang w:val="en-GB"/>
              </w:rPr>
              <w:t>issues, which key importance has been emphasized in the national strategic documents as priorities of the reforms in the three area of the rule of law, social inclusion and environment. It is consistent with the needs of women, men, girls and boys in the country. UNDP addresses Montenegro’s developmental challenges, especially those related to vulnerable groups and regional disparities where a solution can be found in the national context. The objectives of the UNDP Programme are also consistent with the country’s international and regional commitments, including on human rights (i.e. core human rights treaties), and other global priorities (i.e. sustainable development, environment, etc.).</w:t>
            </w:r>
          </w:p>
          <w:p w14:paraId="528EA466" w14:textId="1B8473F6" w:rsidR="0041250B" w:rsidRPr="00BC4F55" w:rsidRDefault="0041250B" w:rsidP="00B537E3">
            <w:pPr>
              <w:pStyle w:val="BodyText2"/>
              <w:jc w:val="both"/>
              <w:rPr>
                <w:rFonts w:asciiTheme="minorHAnsi" w:hAnsiTheme="minorHAnsi"/>
                <w:lang w:val="en-GB"/>
              </w:rPr>
            </w:pPr>
            <w:r w:rsidRPr="00BC4F55">
              <w:rPr>
                <w:rFonts w:asciiTheme="minorHAnsi" w:hAnsiTheme="minorHAnsi"/>
                <w:lang w:val="en-GB"/>
              </w:rPr>
              <w:t xml:space="preserve">In terms of </w:t>
            </w:r>
            <w:r w:rsidRPr="00BC4F55">
              <w:rPr>
                <w:rFonts w:asciiTheme="minorHAnsi" w:hAnsiTheme="minorHAnsi"/>
                <w:b/>
                <w:lang w:val="en-GB"/>
              </w:rPr>
              <w:t>efficiency and cost-effectiveness</w:t>
            </w:r>
            <w:r w:rsidRPr="00BC4F55">
              <w:rPr>
                <w:rFonts w:asciiTheme="minorHAnsi" w:hAnsiTheme="minorHAnsi"/>
                <w:lang w:val="en-GB"/>
              </w:rPr>
              <w:t xml:space="preserve">, the different areas of UNDP’s work and partners confirmed that resources have been spent effectively and efficiently. Projects have been implemented with the exact amount of funds planned in the period foreseen. The Integrated UN Programme also reduced transaction costs, increased the efficiency of the UN System, and resulted in better synchronized </w:t>
            </w:r>
            <w:r w:rsidR="00F25445">
              <w:rPr>
                <w:rFonts w:asciiTheme="minorHAnsi" w:hAnsiTheme="minorHAnsi"/>
                <w:lang w:val="en-GB"/>
              </w:rPr>
              <w:t xml:space="preserve">and more </w:t>
            </w:r>
            <w:r w:rsidR="00F25445" w:rsidRPr="00BC4F55">
              <w:rPr>
                <w:rFonts w:asciiTheme="minorHAnsi" w:hAnsiTheme="minorHAnsi"/>
                <w:lang w:val="en-GB"/>
              </w:rPr>
              <w:t xml:space="preserve">harmonized </w:t>
            </w:r>
            <w:r w:rsidRPr="00BC4F55">
              <w:rPr>
                <w:rFonts w:asciiTheme="minorHAnsi" w:hAnsiTheme="minorHAnsi"/>
                <w:lang w:val="en-GB"/>
              </w:rPr>
              <w:t>UN programmes and activities. The concept of ‘Delivering as One’, through</w:t>
            </w:r>
            <w:r w:rsidR="00F25445">
              <w:rPr>
                <w:rFonts w:asciiTheme="minorHAnsi" w:hAnsiTheme="minorHAnsi"/>
                <w:lang w:val="en-GB"/>
              </w:rPr>
              <w:t xml:space="preserve"> the</w:t>
            </w:r>
            <w:r w:rsidRPr="00BC4F55">
              <w:rPr>
                <w:rFonts w:asciiTheme="minorHAnsi" w:hAnsiTheme="minorHAnsi"/>
                <w:lang w:val="en-GB"/>
              </w:rPr>
              <w:t xml:space="preserve"> joint </w:t>
            </w:r>
            <w:r w:rsidRPr="00BC4F55">
              <w:rPr>
                <w:rFonts w:asciiTheme="minorHAnsi" w:hAnsiTheme="minorHAnsi"/>
                <w:lang w:val="en-GB"/>
              </w:rPr>
              <w:lastRenderedPageBreak/>
              <w:t xml:space="preserve">funding of different UN </w:t>
            </w:r>
            <w:r w:rsidR="00F25445">
              <w:rPr>
                <w:rFonts w:asciiTheme="minorHAnsi" w:hAnsiTheme="minorHAnsi"/>
                <w:lang w:val="en-GB"/>
              </w:rPr>
              <w:t>o</w:t>
            </w:r>
            <w:r w:rsidRPr="00BC4F55">
              <w:rPr>
                <w:rFonts w:asciiTheme="minorHAnsi" w:hAnsiTheme="minorHAnsi"/>
                <w:lang w:val="en-GB"/>
              </w:rPr>
              <w:t xml:space="preserve">rganizations, contributed to greater effectiveness and coherence of the UN System, reducing the possibilities of </w:t>
            </w:r>
            <w:r w:rsidR="00F25445">
              <w:rPr>
                <w:rFonts w:asciiTheme="minorHAnsi" w:hAnsiTheme="minorHAnsi"/>
                <w:lang w:val="en-GB"/>
              </w:rPr>
              <w:t>overlapping</w:t>
            </w:r>
            <w:r w:rsidR="00F25445" w:rsidRPr="00BC4F55">
              <w:rPr>
                <w:rFonts w:asciiTheme="minorHAnsi" w:hAnsiTheme="minorHAnsi"/>
                <w:lang w:val="en-GB"/>
              </w:rPr>
              <w:t xml:space="preserve"> </w:t>
            </w:r>
            <w:r w:rsidRPr="00BC4F55">
              <w:rPr>
                <w:rFonts w:asciiTheme="minorHAnsi" w:hAnsiTheme="minorHAnsi"/>
                <w:lang w:val="en-GB"/>
              </w:rPr>
              <w:t xml:space="preserve">of activities and </w:t>
            </w:r>
            <w:r w:rsidR="00F25445">
              <w:rPr>
                <w:rFonts w:asciiTheme="minorHAnsi" w:hAnsiTheme="minorHAnsi"/>
                <w:lang w:val="en-GB"/>
              </w:rPr>
              <w:t>ineffective</w:t>
            </w:r>
            <w:r w:rsidR="00F25445" w:rsidRPr="00BC4F55">
              <w:rPr>
                <w:rFonts w:asciiTheme="minorHAnsi" w:hAnsiTheme="minorHAnsi"/>
                <w:lang w:val="en-GB"/>
              </w:rPr>
              <w:t xml:space="preserve"> </w:t>
            </w:r>
            <w:r w:rsidRPr="00BC4F55">
              <w:rPr>
                <w:rFonts w:asciiTheme="minorHAnsi" w:hAnsiTheme="minorHAnsi"/>
                <w:lang w:val="en-GB"/>
              </w:rPr>
              <w:t xml:space="preserve">use of human and financial resources. It </w:t>
            </w:r>
            <w:r w:rsidR="00F25445">
              <w:rPr>
                <w:rFonts w:asciiTheme="minorHAnsi" w:hAnsiTheme="minorHAnsi"/>
                <w:lang w:val="en-GB"/>
              </w:rPr>
              <w:t xml:space="preserve">has </w:t>
            </w:r>
            <w:r w:rsidRPr="00BC4F55">
              <w:rPr>
                <w:rFonts w:asciiTheme="minorHAnsi" w:hAnsiTheme="minorHAnsi"/>
                <w:lang w:val="en-GB"/>
              </w:rPr>
              <w:t xml:space="preserve">also allowed Montenegro to access new funding sources. </w:t>
            </w:r>
          </w:p>
          <w:p w14:paraId="2869F836" w14:textId="7846684C" w:rsidR="00C00B7E" w:rsidRPr="00BC4F55" w:rsidRDefault="00EE349E" w:rsidP="00B537E3">
            <w:pPr>
              <w:pStyle w:val="BodyText2"/>
              <w:jc w:val="both"/>
              <w:rPr>
                <w:rFonts w:ascii="Times New Roman" w:hAnsi="Times New Roman"/>
                <w:lang w:val="en-GB"/>
              </w:rPr>
            </w:pPr>
            <w:r w:rsidRPr="00EE349E">
              <w:rPr>
                <w:rFonts w:asciiTheme="minorHAnsi" w:hAnsiTheme="minorHAnsi"/>
                <w:lang w:val="en-GB"/>
              </w:rPr>
              <w:t>Many projects and programmes made significant impact on the overall development, inducing positive transformational changes for the society, economy</w:t>
            </w:r>
            <w:r>
              <w:rPr>
                <w:rFonts w:asciiTheme="minorHAnsi" w:hAnsiTheme="minorHAnsi"/>
                <w:lang w:val="en-GB"/>
              </w:rPr>
              <w:t xml:space="preserve"> and environment of the country. </w:t>
            </w:r>
            <w:r w:rsidR="0041250B" w:rsidRPr="00BC4F55">
              <w:rPr>
                <w:rFonts w:asciiTheme="minorHAnsi" w:hAnsiTheme="minorHAnsi"/>
                <w:b/>
                <w:lang w:val="en-GB"/>
              </w:rPr>
              <w:t xml:space="preserve">Sustainability </w:t>
            </w:r>
            <w:r w:rsidR="0041250B" w:rsidRPr="00BC4F55">
              <w:rPr>
                <w:rFonts w:asciiTheme="minorHAnsi" w:hAnsiTheme="minorHAnsi"/>
                <w:lang w:val="en-GB"/>
              </w:rPr>
              <w:t xml:space="preserve">has been taken into account at different stages of programmes and projects (design stage or later). The benefits </w:t>
            </w:r>
            <w:r w:rsidR="00F25445">
              <w:rPr>
                <w:rFonts w:asciiTheme="minorHAnsi" w:hAnsiTheme="minorHAnsi"/>
                <w:lang w:val="en-GB"/>
              </w:rPr>
              <w:t>of</w:t>
            </w:r>
            <w:r w:rsidR="00F25445" w:rsidRPr="00BC4F55">
              <w:rPr>
                <w:rFonts w:asciiTheme="minorHAnsi" w:hAnsiTheme="minorHAnsi"/>
                <w:lang w:val="en-GB"/>
              </w:rPr>
              <w:t xml:space="preserve"> </w:t>
            </w:r>
            <w:r w:rsidR="0041250B" w:rsidRPr="00BC4F55">
              <w:rPr>
                <w:rFonts w:asciiTheme="minorHAnsi" w:hAnsiTheme="minorHAnsi"/>
                <w:lang w:val="en-GB"/>
              </w:rPr>
              <w:t>UNDP’s development interventions continued, or are</w:t>
            </w:r>
            <w:r w:rsidR="00F25445">
              <w:rPr>
                <w:rFonts w:asciiTheme="minorHAnsi" w:hAnsiTheme="minorHAnsi"/>
                <w:lang w:val="en-GB"/>
              </w:rPr>
              <w:t xml:space="preserve"> very</w:t>
            </w:r>
            <w:r w:rsidR="0041250B" w:rsidRPr="00BC4F55">
              <w:rPr>
                <w:rFonts w:asciiTheme="minorHAnsi" w:hAnsiTheme="minorHAnsi"/>
                <w:lang w:val="en-GB"/>
              </w:rPr>
              <w:t xml:space="preserve"> likely to continue, </w:t>
            </w:r>
            <w:r w:rsidR="00F25445">
              <w:rPr>
                <w:rFonts w:asciiTheme="minorHAnsi" w:hAnsiTheme="minorHAnsi"/>
                <w:lang w:val="en-GB"/>
              </w:rPr>
              <w:t xml:space="preserve">even </w:t>
            </w:r>
            <w:r w:rsidR="0041250B" w:rsidRPr="00BC4F55">
              <w:rPr>
                <w:rFonts w:asciiTheme="minorHAnsi" w:hAnsiTheme="minorHAnsi"/>
                <w:lang w:val="en-GB"/>
              </w:rPr>
              <w:t>after</w:t>
            </w:r>
            <w:r w:rsidRPr="00EE349E">
              <w:rPr>
                <w:rFonts w:asciiTheme="minorHAnsi" w:hAnsiTheme="minorHAnsi"/>
                <w:lang w:val="en-GB"/>
              </w:rPr>
              <w:t xml:space="preserve"> completion of direct-execution model of implementation</w:t>
            </w:r>
            <w:r w:rsidR="0041250B" w:rsidRPr="00BC4F55">
              <w:rPr>
                <w:rFonts w:asciiTheme="minorHAnsi" w:hAnsiTheme="minorHAnsi"/>
                <w:lang w:val="en-GB"/>
              </w:rPr>
              <w:t>. Their on-going implementation by the Government or other actors in most cases</w:t>
            </w:r>
            <w:r w:rsidR="00377345">
              <w:rPr>
                <w:rFonts w:asciiTheme="minorHAnsi" w:hAnsiTheme="minorHAnsi"/>
                <w:lang w:val="en-GB"/>
              </w:rPr>
              <w:t xml:space="preserve"> is ensured</w:t>
            </w:r>
            <w:r w:rsidR="0041250B" w:rsidRPr="00BC4F55">
              <w:rPr>
                <w:rFonts w:asciiTheme="minorHAnsi" w:hAnsiTheme="minorHAnsi"/>
                <w:lang w:val="en-GB"/>
              </w:rPr>
              <w:t>, and interventions are functional</w:t>
            </w:r>
            <w:r w:rsidR="00377345">
              <w:rPr>
                <w:rFonts w:asciiTheme="minorHAnsi" w:hAnsiTheme="minorHAnsi"/>
                <w:lang w:val="en-GB"/>
              </w:rPr>
              <w:t>,</w:t>
            </w:r>
            <w:r w:rsidR="0003302A">
              <w:rPr>
                <w:rFonts w:asciiTheme="minorHAnsi" w:hAnsiTheme="minorHAnsi"/>
                <w:lang w:val="en-GB"/>
              </w:rPr>
              <w:t xml:space="preserve"> </w:t>
            </w:r>
            <w:r w:rsidR="0041250B" w:rsidRPr="00BC4F55">
              <w:rPr>
                <w:rFonts w:asciiTheme="minorHAnsi" w:hAnsiTheme="minorHAnsi"/>
                <w:lang w:val="en-GB"/>
              </w:rPr>
              <w:t xml:space="preserve">operational and funded to ensure sustainability. The quality of intervention in most cases is high, which contributes to scaling up of a number of programmes in the country. </w:t>
            </w:r>
          </w:p>
        </w:tc>
      </w:tr>
    </w:tbl>
    <w:p w14:paraId="2869F838" w14:textId="77777777" w:rsidR="004B3911" w:rsidRPr="00BC4F55" w:rsidRDefault="004B3911">
      <w:pPr>
        <w:pStyle w:val="BodyText2"/>
        <w:rPr>
          <w:rFonts w:ascii="Times New Roman" w:hAnsi="Times New Roman"/>
          <w:sz w:val="24"/>
          <w:lang w:val="en-GB"/>
        </w:rPr>
      </w:pPr>
    </w:p>
    <w:p w14:paraId="2869F839" w14:textId="77777777" w:rsidR="00E37E7A" w:rsidRPr="00BC4F55" w:rsidRDefault="00EA7740" w:rsidP="00E37E7A">
      <w:pPr>
        <w:pStyle w:val="BodyText2"/>
        <w:jc w:val="center"/>
        <w:rPr>
          <w:rFonts w:asciiTheme="minorHAnsi" w:hAnsiTheme="minorHAnsi"/>
          <w:sz w:val="24"/>
          <w:lang w:val="en-GB"/>
        </w:rPr>
      </w:pPr>
      <w:r w:rsidRPr="00BC4F55">
        <w:rPr>
          <w:rFonts w:asciiTheme="minorHAnsi" w:hAnsiTheme="minorHAnsi"/>
          <w:sz w:val="24"/>
          <w:lang w:val="en-GB"/>
        </w:rPr>
        <w:t xml:space="preserve">III. </w:t>
      </w:r>
      <w:r w:rsidR="00673710" w:rsidRPr="00BC4F55">
        <w:rPr>
          <w:rFonts w:asciiTheme="minorHAnsi" w:hAnsiTheme="minorHAnsi"/>
          <w:sz w:val="24"/>
          <w:lang w:val="en-GB"/>
        </w:rPr>
        <w:t xml:space="preserve">Country Programme </w:t>
      </w:r>
      <w:r w:rsidR="00E37E7A" w:rsidRPr="00BC4F55">
        <w:rPr>
          <w:rFonts w:asciiTheme="minorHAnsi" w:hAnsiTheme="minorHAnsi"/>
          <w:sz w:val="24"/>
          <w:lang w:val="en-GB"/>
        </w:rPr>
        <w:t>Resources</w:t>
      </w:r>
    </w:p>
    <w:tbl>
      <w:tblPr>
        <w:tblStyle w:val="TableGrid"/>
        <w:tblW w:w="0" w:type="auto"/>
        <w:tblLook w:val="04A0" w:firstRow="1" w:lastRow="0" w:firstColumn="1" w:lastColumn="0" w:noHBand="0" w:noVBand="1"/>
      </w:tblPr>
      <w:tblGrid>
        <w:gridCol w:w="6117"/>
        <w:gridCol w:w="1866"/>
        <w:gridCol w:w="2039"/>
        <w:gridCol w:w="1949"/>
        <w:gridCol w:w="1979"/>
      </w:tblGrid>
      <w:tr w:rsidR="0015409F" w:rsidRPr="00BC4F55" w14:paraId="2869F83D" w14:textId="77777777" w:rsidTr="003C1663">
        <w:tc>
          <w:tcPr>
            <w:tcW w:w="6117" w:type="dxa"/>
            <w:shd w:val="clear" w:color="auto" w:fill="000000" w:themeFill="text1"/>
          </w:tcPr>
          <w:p w14:paraId="2869F83A" w14:textId="77777777" w:rsidR="0015409F" w:rsidRPr="00BC4F55" w:rsidRDefault="0015409F" w:rsidP="00E37E7A">
            <w:pPr>
              <w:pStyle w:val="BodyText2"/>
              <w:jc w:val="center"/>
              <w:rPr>
                <w:rFonts w:asciiTheme="minorHAnsi" w:hAnsiTheme="minorHAnsi"/>
                <w:b/>
                <w:color w:val="FFFFFF" w:themeColor="background1"/>
                <w:sz w:val="24"/>
                <w:lang w:val="en-GB"/>
              </w:rPr>
            </w:pPr>
            <w:r w:rsidRPr="00BC4F55">
              <w:rPr>
                <w:rFonts w:asciiTheme="minorHAnsi" w:hAnsiTheme="minorHAnsi"/>
                <w:b/>
                <w:color w:val="FFFFFF" w:themeColor="background1"/>
                <w:sz w:val="24"/>
                <w:lang w:val="en-GB"/>
              </w:rPr>
              <w:t>Focus Area</w:t>
            </w:r>
          </w:p>
        </w:tc>
        <w:tc>
          <w:tcPr>
            <w:tcW w:w="5854" w:type="dxa"/>
            <w:gridSpan w:val="3"/>
            <w:shd w:val="clear" w:color="auto" w:fill="000000" w:themeFill="text1"/>
          </w:tcPr>
          <w:p w14:paraId="2869F83B" w14:textId="77777777" w:rsidR="0015409F" w:rsidRPr="00BC4F55" w:rsidRDefault="000D6DE5" w:rsidP="00E37E7A">
            <w:pPr>
              <w:pStyle w:val="BodyText2"/>
              <w:jc w:val="center"/>
              <w:rPr>
                <w:rFonts w:asciiTheme="minorHAnsi" w:hAnsiTheme="minorHAnsi"/>
                <w:b/>
                <w:color w:val="FFFFFF" w:themeColor="background1"/>
                <w:sz w:val="24"/>
                <w:lang w:val="en-GB"/>
              </w:rPr>
            </w:pPr>
            <w:r w:rsidRPr="00BC4F55">
              <w:rPr>
                <w:rFonts w:asciiTheme="minorHAnsi" w:hAnsiTheme="minorHAnsi"/>
                <w:b/>
                <w:color w:val="FFFFFF" w:themeColor="background1"/>
                <w:sz w:val="24"/>
                <w:lang w:val="en-GB"/>
              </w:rPr>
              <w:t xml:space="preserve">Programme </w:t>
            </w:r>
            <w:r w:rsidR="0015409F" w:rsidRPr="00BC4F55">
              <w:rPr>
                <w:rFonts w:asciiTheme="minorHAnsi" w:hAnsiTheme="minorHAnsi"/>
                <w:b/>
                <w:color w:val="FFFFFF" w:themeColor="background1"/>
                <w:sz w:val="24"/>
                <w:lang w:val="en-GB"/>
              </w:rPr>
              <w:t>Expenditure ($)</w:t>
            </w:r>
          </w:p>
        </w:tc>
        <w:tc>
          <w:tcPr>
            <w:tcW w:w="1979" w:type="dxa"/>
            <w:shd w:val="clear" w:color="auto" w:fill="000000" w:themeFill="text1"/>
          </w:tcPr>
          <w:p w14:paraId="2869F83C" w14:textId="77777777" w:rsidR="0015409F" w:rsidRPr="00BC4F55" w:rsidRDefault="0015409F" w:rsidP="00E37E7A">
            <w:pPr>
              <w:pStyle w:val="BodyText2"/>
              <w:jc w:val="center"/>
              <w:rPr>
                <w:rFonts w:asciiTheme="minorHAnsi" w:hAnsiTheme="minorHAnsi"/>
                <w:b/>
                <w:color w:val="FFFFFF" w:themeColor="background1"/>
                <w:sz w:val="24"/>
                <w:lang w:val="en-GB"/>
              </w:rPr>
            </w:pPr>
            <w:r w:rsidRPr="00BC4F55">
              <w:rPr>
                <w:rFonts w:asciiTheme="minorHAnsi" w:hAnsiTheme="minorHAnsi"/>
                <w:b/>
                <w:color w:val="FFFFFF" w:themeColor="background1"/>
                <w:sz w:val="24"/>
                <w:lang w:val="en-GB"/>
              </w:rPr>
              <w:t>% of Total</w:t>
            </w:r>
          </w:p>
        </w:tc>
      </w:tr>
      <w:tr w:rsidR="00D864E5" w:rsidRPr="00BC4F55" w14:paraId="057D187D" w14:textId="77777777" w:rsidTr="00704A18">
        <w:tc>
          <w:tcPr>
            <w:tcW w:w="6117" w:type="dxa"/>
          </w:tcPr>
          <w:p w14:paraId="6AA88F8E" w14:textId="77777777" w:rsidR="00D864E5" w:rsidRPr="00BC4F55" w:rsidRDefault="00D864E5" w:rsidP="00704A18">
            <w:pPr>
              <w:pStyle w:val="BodyText2"/>
              <w:rPr>
                <w:rFonts w:asciiTheme="minorHAnsi" w:hAnsiTheme="minorHAnsi"/>
                <w:lang w:val="en-GB"/>
              </w:rPr>
            </w:pPr>
            <w:r w:rsidRPr="00BC4F55">
              <w:rPr>
                <w:rFonts w:asciiTheme="minorHAnsi" w:hAnsiTheme="minorHAnsi"/>
                <w:lang w:val="en-GB"/>
              </w:rPr>
              <w:t>Social Inclusion</w:t>
            </w:r>
          </w:p>
        </w:tc>
        <w:tc>
          <w:tcPr>
            <w:tcW w:w="1866" w:type="dxa"/>
          </w:tcPr>
          <w:p w14:paraId="5F982369"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627</w:t>
            </w:r>
          </w:p>
        </w:tc>
        <w:tc>
          <w:tcPr>
            <w:tcW w:w="2039" w:type="dxa"/>
          </w:tcPr>
          <w:p w14:paraId="6A935167"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10,087</w:t>
            </w:r>
          </w:p>
        </w:tc>
        <w:tc>
          <w:tcPr>
            <w:tcW w:w="1949" w:type="dxa"/>
          </w:tcPr>
          <w:p w14:paraId="30A6C997"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10,714</w:t>
            </w:r>
          </w:p>
        </w:tc>
        <w:tc>
          <w:tcPr>
            <w:tcW w:w="1979" w:type="dxa"/>
          </w:tcPr>
          <w:p w14:paraId="09907249"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34.6%</w:t>
            </w:r>
          </w:p>
        </w:tc>
      </w:tr>
      <w:tr w:rsidR="00D864E5" w:rsidRPr="00BC4F55" w14:paraId="193F8BA5" w14:textId="77777777" w:rsidTr="00704A18">
        <w:tc>
          <w:tcPr>
            <w:tcW w:w="6117" w:type="dxa"/>
          </w:tcPr>
          <w:p w14:paraId="2B212F34" w14:textId="77777777" w:rsidR="00D864E5" w:rsidRPr="00BC4F55" w:rsidRDefault="00D864E5" w:rsidP="00704A18">
            <w:pPr>
              <w:pStyle w:val="BodyText2"/>
              <w:rPr>
                <w:rFonts w:asciiTheme="minorHAnsi" w:hAnsiTheme="minorHAnsi"/>
                <w:lang w:val="en-GB"/>
              </w:rPr>
            </w:pPr>
            <w:r w:rsidRPr="00BC4F55">
              <w:rPr>
                <w:rFonts w:asciiTheme="minorHAnsi" w:hAnsiTheme="minorHAnsi"/>
                <w:lang w:val="en-GB"/>
              </w:rPr>
              <w:t>Democratic Governance</w:t>
            </w:r>
          </w:p>
        </w:tc>
        <w:tc>
          <w:tcPr>
            <w:tcW w:w="1866" w:type="dxa"/>
          </w:tcPr>
          <w:p w14:paraId="331CB5C8"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627</w:t>
            </w:r>
          </w:p>
        </w:tc>
        <w:tc>
          <w:tcPr>
            <w:tcW w:w="2039" w:type="dxa"/>
          </w:tcPr>
          <w:p w14:paraId="6F7695F7"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6,375</w:t>
            </w:r>
          </w:p>
        </w:tc>
        <w:tc>
          <w:tcPr>
            <w:tcW w:w="1949" w:type="dxa"/>
          </w:tcPr>
          <w:p w14:paraId="33641C8B"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7,002</w:t>
            </w:r>
          </w:p>
        </w:tc>
        <w:tc>
          <w:tcPr>
            <w:tcW w:w="1979" w:type="dxa"/>
          </w:tcPr>
          <w:p w14:paraId="22A7C50F"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22.6%</w:t>
            </w:r>
          </w:p>
        </w:tc>
      </w:tr>
      <w:tr w:rsidR="00D864E5" w:rsidRPr="00BC4F55" w14:paraId="17F83431" w14:textId="77777777" w:rsidTr="00704A18">
        <w:tc>
          <w:tcPr>
            <w:tcW w:w="6117" w:type="dxa"/>
          </w:tcPr>
          <w:p w14:paraId="35DCFF73" w14:textId="77777777" w:rsidR="00D864E5" w:rsidRPr="00BC4F55" w:rsidRDefault="00D864E5" w:rsidP="00704A18">
            <w:pPr>
              <w:pStyle w:val="BodyText2"/>
              <w:rPr>
                <w:rFonts w:asciiTheme="minorHAnsi" w:hAnsiTheme="minorHAnsi"/>
                <w:lang w:val="en-GB"/>
              </w:rPr>
            </w:pPr>
            <w:r w:rsidRPr="00BC4F55">
              <w:rPr>
                <w:rFonts w:asciiTheme="minorHAnsi" w:hAnsiTheme="minorHAnsi"/>
                <w:lang w:val="en-GB"/>
              </w:rPr>
              <w:t xml:space="preserve">Economy &amp; Environment/ Sustainable Development Center  </w:t>
            </w:r>
          </w:p>
        </w:tc>
        <w:tc>
          <w:tcPr>
            <w:tcW w:w="1866" w:type="dxa"/>
          </w:tcPr>
          <w:p w14:paraId="7A40B5B1"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687</w:t>
            </w:r>
          </w:p>
        </w:tc>
        <w:tc>
          <w:tcPr>
            <w:tcW w:w="2039" w:type="dxa"/>
          </w:tcPr>
          <w:p w14:paraId="1F873C1E"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12,560</w:t>
            </w:r>
          </w:p>
        </w:tc>
        <w:tc>
          <w:tcPr>
            <w:tcW w:w="1949" w:type="dxa"/>
          </w:tcPr>
          <w:p w14:paraId="221A0545"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13,247</w:t>
            </w:r>
          </w:p>
        </w:tc>
        <w:tc>
          <w:tcPr>
            <w:tcW w:w="1979" w:type="dxa"/>
          </w:tcPr>
          <w:p w14:paraId="5B48EEA6" w14:textId="77777777" w:rsidR="00D864E5" w:rsidRPr="00BC4F55" w:rsidRDefault="00D864E5" w:rsidP="00704A18">
            <w:pPr>
              <w:pStyle w:val="BodyText2"/>
              <w:jc w:val="center"/>
              <w:rPr>
                <w:rFonts w:asciiTheme="minorHAnsi" w:hAnsiTheme="minorHAnsi"/>
                <w:lang w:val="en-GB"/>
              </w:rPr>
            </w:pPr>
            <w:r w:rsidRPr="00BC4F55">
              <w:rPr>
                <w:rFonts w:asciiTheme="minorHAnsi" w:hAnsiTheme="minorHAnsi"/>
                <w:lang w:val="en-GB"/>
              </w:rPr>
              <w:t>42.8%</w:t>
            </w:r>
          </w:p>
        </w:tc>
      </w:tr>
      <w:tr w:rsidR="00D864E5" w:rsidRPr="00BC4F55" w14:paraId="1FC75434" w14:textId="77777777" w:rsidTr="00704A18">
        <w:tc>
          <w:tcPr>
            <w:tcW w:w="6117" w:type="dxa"/>
            <w:shd w:val="clear" w:color="auto" w:fill="00B0F0"/>
          </w:tcPr>
          <w:p w14:paraId="27F70622" w14:textId="77777777" w:rsidR="00D864E5" w:rsidRPr="00BC4F55" w:rsidRDefault="00D864E5" w:rsidP="00704A18">
            <w:pPr>
              <w:pStyle w:val="BodyText2"/>
              <w:jc w:val="center"/>
              <w:rPr>
                <w:rFonts w:asciiTheme="minorHAnsi" w:hAnsiTheme="minorHAnsi"/>
                <w:b/>
                <w:lang w:val="en-GB"/>
              </w:rPr>
            </w:pPr>
            <w:r w:rsidRPr="00BC4F55">
              <w:rPr>
                <w:rFonts w:asciiTheme="minorHAnsi" w:hAnsiTheme="minorHAnsi"/>
                <w:b/>
                <w:lang w:val="en-GB"/>
              </w:rPr>
              <w:t>Total</w:t>
            </w:r>
          </w:p>
        </w:tc>
        <w:tc>
          <w:tcPr>
            <w:tcW w:w="1866" w:type="dxa"/>
            <w:shd w:val="clear" w:color="auto" w:fill="00B0F0"/>
          </w:tcPr>
          <w:p w14:paraId="4AB30105" w14:textId="77777777" w:rsidR="00D864E5" w:rsidRPr="00BC4F55" w:rsidRDefault="00D864E5" w:rsidP="00704A18">
            <w:pPr>
              <w:pStyle w:val="BodyText2"/>
              <w:jc w:val="center"/>
              <w:rPr>
                <w:rFonts w:asciiTheme="minorHAnsi" w:hAnsiTheme="minorHAnsi"/>
                <w:b/>
                <w:lang w:val="en-GB"/>
              </w:rPr>
            </w:pPr>
            <w:r w:rsidRPr="00BC4F55">
              <w:rPr>
                <w:rFonts w:asciiTheme="minorHAnsi" w:hAnsiTheme="minorHAnsi"/>
                <w:b/>
                <w:lang w:val="en-GB"/>
              </w:rPr>
              <w:t>1,941</w:t>
            </w:r>
          </w:p>
        </w:tc>
        <w:tc>
          <w:tcPr>
            <w:tcW w:w="2039" w:type="dxa"/>
            <w:shd w:val="clear" w:color="auto" w:fill="00B0F0"/>
          </w:tcPr>
          <w:p w14:paraId="503AFF46" w14:textId="77777777" w:rsidR="00D864E5" w:rsidRPr="00BC4F55" w:rsidRDefault="00D864E5" w:rsidP="00704A18">
            <w:pPr>
              <w:pStyle w:val="BodyText2"/>
              <w:jc w:val="center"/>
              <w:rPr>
                <w:rFonts w:asciiTheme="minorHAnsi" w:hAnsiTheme="minorHAnsi"/>
                <w:b/>
                <w:lang w:val="en-GB"/>
              </w:rPr>
            </w:pPr>
            <w:r w:rsidRPr="00BC4F55">
              <w:rPr>
                <w:rFonts w:asciiTheme="minorHAnsi" w:hAnsiTheme="minorHAnsi"/>
                <w:b/>
                <w:lang w:val="en-GB"/>
              </w:rPr>
              <w:t>29,022</w:t>
            </w:r>
          </w:p>
        </w:tc>
        <w:tc>
          <w:tcPr>
            <w:tcW w:w="1949" w:type="dxa"/>
            <w:shd w:val="clear" w:color="auto" w:fill="00B0F0"/>
          </w:tcPr>
          <w:p w14:paraId="025FEDD6" w14:textId="77777777" w:rsidR="00D864E5" w:rsidRPr="00BC4F55" w:rsidRDefault="00D864E5" w:rsidP="00704A18">
            <w:pPr>
              <w:pStyle w:val="BodyText2"/>
              <w:jc w:val="center"/>
              <w:rPr>
                <w:rFonts w:asciiTheme="minorHAnsi" w:hAnsiTheme="minorHAnsi"/>
                <w:b/>
                <w:lang w:val="en-GB"/>
              </w:rPr>
            </w:pPr>
            <w:r w:rsidRPr="00BC4F55">
              <w:rPr>
                <w:rFonts w:asciiTheme="minorHAnsi" w:hAnsiTheme="minorHAnsi"/>
                <w:b/>
                <w:lang w:val="en-GB"/>
              </w:rPr>
              <w:t>30,963</w:t>
            </w:r>
          </w:p>
        </w:tc>
        <w:tc>
          <w:tcPr>
            <w:tcW w:w="1979" w:type="dxa"/>
            <w:shd w:val="clear" w:color="auto" w:fill="00B0F0"/>
          </w:tcPr>
          <w:p w14:paraId="3533D035" w14:textId="77777777" w:rsidR="00D864E5" w:rsidRPr="00BC4F55" w:rsidRDefault="00D864E5" w:rsidP="00704A18">
            <w:pPr>
              <w:pStyle w:val="BodyText2"/>
              <w:jc w:val="center"/>
              <w:rPr>
                <w:rFonts w:asciiTheme="minorHAnsi" w:hAnsiTheme="minorHAnsi"/>
                <w:b/>
                <w:lang w:val="en-GB"/>
              </w:rPr>
            </w:pPr>
            <w:r w:rsidRPr="00BC4F55">
              <w:rPr>
                <w:rFonts w:asciiTheme="minorHAnsi" w:hAnsiTheme="minorHAnsi"/>
                <w:b/>
                <w:lang w:val="en-GB"/>
              </w:rPr>
              <w:t>100%</w:t>
            </w:r>
          </w:p>
        </w:tc>
      </w:tr>
    </w:tbl>
    <w:p w14:paraId="3CF61C4B" w14:textId="77777777" w:rsidR="00D864E5" w:rsidRPr="00BC4F55" w:rsidRDefault="00D864E5" w:rsidP="00D864E5">
      <w:pPr>
        <w:pStyle w:val="BodyText2"/>
        <w:rPr>
          <w:rFonts w:asciiTheme="minorHAnsi" w:hAnsiTheme="minorHAnsi"/>
          <w:sz w:val="24"/>
          <w:lang w:val="en-GB"/>
        </w:rPr>
      </w:pPr>
    </w:p>
    <w:tbl>
      <w:tblPr>
        <w:tblStyle w:val="TableGrid"/>
        <w:tblW w:w="0" w:type="auto"/>
        <w:tblLook w:val="04A0" w:firstRow="1" w:lastRow="0" w:firstColumn="1" w:lastColumn="0" w:noHBand="0" w:noVBand="1"/>
      </w:tblPr>
      <w:tblGrid>
        <w:gridCol w:w="13950"/>
      </w:tblGrid>
      <w:tr w:rsidR="002547CF" w:rsidRPr="00BC4F55" w14:paraId="2869F864" w14:textId="77777777" w:rsidTr="00D864E5">
        <w:tc>
          <w:tcPr>
            <w:tcW w:w="13950" w:type="dxa"/>
          </w:tcPr>
          <w:p w14:paraId="2869F863" w14:textId="77777777" w:rsidR="002547CF" w:rsidRPr="00BC4F55" w:rsidRDefault="002547CF" w:rsidP="005E0C05">
            <w:pPr>
              <w:pStyle w:val="BodyText2"/>
              <w:rPr>
                <w:rFonts w:asciiTheme="minorHAnsi" w:hAnsiTheme="minorHAnsi"/>
                <w:b/>
                <w:lang w:val="en-GB"/>
              </w:rPr>
            </w:pPr>
            <w:r w:rsidRPr="00BC4F55">
              <w:rPr>
                <w:rFonts w:asciiTheme="minorHAnsi" w:hAnsiTheme="minorHAnsi"/>
                <w:b/>
                <w:lang w:val="en-GB"/>
              </w:rPr>
              <w:t xml:space="preserve">Data sources:  (please indicate the main sources from which data were obtained for this report.) </w:t>
            </w:r>
          </w:p>
        </w:tc>
      </w:tr>
      <w:tr w:rsidR="00B64ACA" w:rsidRPr="00BC4F55" w14:paraId="2869F86A" w14:textId="77777777" w:rsidTr="00D864E5">
        <w:tc>
          <w:tcPr>
            <w:tcW w:w="13950" w:type="dxa"/>
          </w:tcPr>
          <w:p w14:paraId="444D0FB0" w14:textId="77777777" w:rsidR="00606154" w:rsidRDefault="00606154" w:rsidP="002315A5">
            <w:pPr>
              <w:pStyle w:val="BodyText2"/>
              <w:rPr>
                <w:rFonts w:asciiTheme="minorHAnsi" w:hAnsiTheme="minorHAnsi"/>
                <w:lang w:val="en-GB"/>
              </w:rPr>
            </w:pPr>
          </w:p>
          <w:p w14:paraId="2869F865" w14:textId="60D04AB3" w:rsidR="00B64ACA" w:rsidRPr="00BC4F55" w:rsidRDefault="00C00B7E" w:rsidP="002315A5">
            <w:pPr>
              <w:pStyle w:val="BodyText2"/>
              <w:rPr>
                <w:rFonts w:asciiTheme="minorHAnsi" w:hAnsiTheme="minorHAnsi"/>
                <w:lang w:val="en-GB"/>
              </w:rPr>
            </w:pPr>
            <w:r w:rsidRPr="00BC4F55">
              <w:rPr>
                <w:rFonts w:asciiTheme="minorHAnsi" w:hAnsiTheme="minorHAnsi"/>
                <w:lang w:val="en-GB"/>
              </w:rPr>
              <w:t>Result Oriented Annual Reports (ROAR) , 2012, 2013, 2014, 2015</w:t>
            </w:r>
          </w:p>
          <w:p w14:paraId="43FCB6D8" w14:textId="77777777" w:rsidR="00C00B7E" w:rsidRPr="00BC4F55" w:rsidRDefault="00C00B7E" w:rsidP="002315A5">
            <w:pPr>
              <w:pStyle w:val="BodyText2"/>
              <w:rPr>
                <w:rFonts w:asciiTheme="minorHAnsi" w:hAnsiTheme="minorHAnsi"/>
                <w:lang w:val="en-GB"/>
              </w:rPr>
            </w:pPr>
            <w:r w:rsidRPr="00BC4F55">
              <w:rPr>
                <w:rFonts w:asciiTheme="minorHAnsi" w:hAnsiTheme="minorHAnsi"/>
                <w:lang w:val="en-GB"/>
              </w:rPr>
              <w:t>Strategic Notes (SN), 2012, 2013, 2014, 2015, 2016</w:t>
            </w:r>
          </w:p>
          <w:p w14:paraId="50FF649E" w14:textId="77777777" w:rsidR="00C00B7E" w:rsidRPr="00BC4F55" w:rsidRDefault="00C00B7E" w:rsidP="002315A5">
            <w:pPr>
              <w:pStyle w:val="BodyText2"/>
              <w:rPr>
                <w:rFonts w:asciiTheme="minorHAnsi" w:hAnsiTheme="minorHAnsi"/>
                <w:lang w:val="en-GB"/>
              </w:rPr>
            </w:pPr>
            <w:r w:rsidRPr="00BC4F55">
              <w:rPr>
                <w:rFonts w:asciiTheme="minorHAnsi" w:hAnsiTheme="minorHAnsi"/>
                <w:lang w:val="en-GB"/>
              </w:rPr>
              <w:t>CPD Outcome Evaluation 2015</w:t>
            </w:r>
          </w:p>
          <w:p w14:paraId="2781A505" w14:textId="77777777" w:rsidR="00C00B7E" w:rsidRPr="00BC4F55" w:rsidRDefault="00C00B7E" w:rsidP="002315A5">
            <w:pPr>
              <w:pStyle w:val="BodyText2"/>
              <w:rPr>
                <w:rFonts w:asciiTheme="minorHAnsi" w:hAnsiTheme="minorHAnsi"/>
                <w:lang w:val="en-GB"/>
              </w:rPr>
            </w:pPr>
            <w:r w:rsidRPr="00BC4F55">
              <w:rPr>
                <w:rFonts w:asciiTheme="minorHAnsi" w:hAnsiTheme="minorHAnsi"/>
                <w:lang w:val="en-GB"/>
              </w:rPr>
              <w:t>UNDAF Evaluation 2015</w:t>
            </w:r>
          </w:p>
          <w:p w14:paraId="47E43DAC" w14:textId="2A690377" w:rsidR="00C00B7E" w:rsidRPr="00BC4F55" w:rsidRDefault="00C00B7E" w:rsidP="002315A5">
            <w:pPr>
              <w:pStyle w:val="BodyText2"/>
              <w:rPr>
                <w:rFonts w:asciiTheme="minorHAnsi" w:hAnsiTheme="minorHAnsi"/>
                <w:lang w:val="en-GB"/>
              </w:rPr>
            </w:pPr>
            <w:r w:rsidRPr="00BC4F55">
              <w:rPr>
                <w:rFonts w:asciiTheme="minorHAnsi" w:hAnsiTheme="minorHAnsi"/>
                <w:lang w:val="en-GB"/>
              </w:rPr>
              <w:t>EU Progress Report 2014, 2015</w:t>
            </w:r>
          </w:p>
          <w:p w14:paraId="5A0E2EF4" w14:textId="77777777" w:rsidR="008D791F" w:rsidRPr="00BC4F55" w:rsidRDefault="00C00B7E" w:rsidP="002315A5">
            <w:pPr>
              <w:pStyle w:val="BodyText2"/>
              <w:rPr>
                <w:rFonts w:asciiTheme="minorHAnsi" w:hAnsiTheme="minorHAnsi"/>
                <w:lang w:val="en-GB"/>
              </w:rPr>
            </w:pPr>
            <w:r w:rsidRPr="00BC4F55">
              <w:rPr>
                <w:rFonts w:asciiTheme="minorHAnsi" w:hAnsiTheme="minorHAnsi"/>
                <w:lang w:val="en-GB"/>
              </w:rPr>
              <w:t>Gender Seal Report , 2015</w:t>
            </w:r>
          </w:p>
          <w:p w14:paraId="3B77CC5D" w14:textId="1F50E18C" w:rsidR="002B40FD" w:rsidRPr="00BC4F55" w:rsidRDefault="002B40FD" w:rsidP="002315A5">
            <w:pPr>
              <w:pStyle w:val="BodyText2"/>
              <w:rPr>
                <w:rFonts w:asciiTheme="minorHAnsi" w:hAnsiTheme="minorHAnsi"/>
                <w:lang w:val="en-GB"/>
              </w:rPr>
            </w:pPr>
            <w:r w:rsidRPr="00BC4F55">
              <w:rPr>
                <w:rFonts w:asciiTheme="minorHAnsi" w:hAnsiTheme="minorHAnsi"/>
                <w:lang w:val="en-GB"/>
              </w:rPr>
              <w:t>National statistics Institute publications</w:t>
            </w:r>
          </w:p>
          <w:p w14:paraId="7CE984E2" w14:textId="567D1F25" w:rsidR="002B40FD" w:rsidRPr="00BC4F55" w:rsidRDefault="002B40FD" w:rsidP="002315A5">
            <w:pPr>
              <w:pStyle w:val="BodyText2"/>
              <w:rPr>
                <w:rFonts w:asciiTheme="minorHAnsi" w:hAnsiTheme="minorHAnsi"/>
                <w:lang w:val="en-GB"/>
              </w:rPr>
            </w:pPr>
            <w:r w:rsidRPr="00BC4F55">
              <w:rPr>
                <w:rFonts w:asciiTheme="minorHAnsi" w:hAnsiTheme="minorHAnsi"/>
                <w:lang w:val="en-GB"/>
              </w:rPr>
              <w:t>National and Global Human development Reports</w:t>
            </w:r>
          </w:p>
          <w:p w14:paraId="4F1E848F" w14:textId="1ED5A966" w:rsidR="002B40FD" w:rsidRPr="00BC4F55" w:rsidRDefault="002B40FD" w:rsidP="002315A5">
            <w:pPr>
              <w:pStyle w:val="BodyText2"/>
              <w:rPr>
                <w:rFonts w:asciiTheme="minorHAnsi" w:hAnsiTheme="minorHAnsi"/>
                <w:lang w:val="en-GB"/>
              </w:rPr>
            </w:pPr>
            <w:r w:rsidRPr="00BC4F55">
              <w:rPr>
                <w:rFonts w:asciiTheme="minorHAnsi" w:hAnsiTheme="minorHAnsi"/>
                <w:lang w:val="en-GB"/>
              </w:rPr>
              <w:t xml:space="preserve">Economist Intelligence Unit Reports </w:t>
            </w:r>
          </w:p>
          <w:p w14:paraId="2869F869" w14:textId="5BE9F0B7" w:rsidR="00D864E5" w:rsidRPr="00BC4F55" w:rsidRDefault="00D864E5" w:rsidP="002315A5">
            <w:pPr>
              <w:pStyle w:val="BodyText2"/>
              <w:rPr>
                <w:rFonts w:asciiTheme="minorHAnsi" w:hAnsiTheme="minorHAnsi"/>
                <w:b/>
                <w:lang w:val="en-GB"/>
              </w:rPr>
            </w:pPr>
          </w:p>
        </w:tc>
      </w:tr>
    </w:tbl>
    <w:p w14:paraId="2869F86B" w14:textId="77777777" w:rsidR="00635929" w:rsidRPr="00BC4F55" w:rsidRDefault="00635929" w:rsidP="00D864E5">
      <w:pPr>
        <w:pStyle w:val="BodyText2"/>
        <w:rPr>
          <w:rFonts w:ascii="Times New Roman" w:hAnsi="Times New Roman"/>
          <w:sz w:val="24"/>
          <w:lang w:val="en-GB"/>
        </w:rPr>
      </w:pPr>
    </w:p>
    <w:sectPr w:rsidR="00635929" w:rsidRPr="00BC4F55"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DE08" w14:textId="77777777" w:rsidR="00463F9E" w:rsidRDefault="00463F9E">
      <w:r>
        <w:separator/>
      </w:r>
    </w:p>
  </w:endnote>
  <w:endnote w:type="continuationSeparator" w:id="0">
    <w:p w14:paraId="3F1432E9" w14:textId="77777777" w:rsidR="00463F9E" w:rsidRDefault="0046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9B7074" w:rsidRDefault="009B7074">
        <w:pPr>
          <w:pStyle w:val="Footer"/>
          <w:jc w:val="center"/>
        </w:pPr>
        <w:r>
          <w:fldChar w:fldCharType="begin"/>
        </w:r>
        <w:r>
          <w:instrText xml:space="preserve"> PAGE   \* MERGEFORMAT </w:instrText>
        </w:r>
        <w:r>
          <w:fldChar w:fldCharType="separate"/>
        </w:r>
        <w:r w:rsidR="00BD690F">
          <w:rPr>
            <w:noProof/>
          </w:rPr>
          <w:t>2</w:t>
        </w:r>
        <w:r>
          <w:rPr>
            <w:noProof/>
          </w:rPr>
          <w:fldChar w:fldCharType="end"/>
        </w:r>
      </w:p>
    </w:sdtContent>
  </w:sdt>
  <w:p w14:paraId="2869F872" w14:textId="77777777" w:rsidR="009B7074" w:rsidRDefault="009B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EF98" w14:textId="77777777" w:rsidR="00463F9E" w:rsidRDefault="00463F9E">
      <w:r>
        <w:separator/>
      </w:r>
    </w:p>
  </w:footnote>
  <w:footnote w:type="continuationSeparator" w:id="0">
    <w:p w14:paraId="4A28B297" w14:textId="77777777" w:rsidR="00463F9E" w:rsidRDefault="00463F9E">
      <w:r>
        <w:continuationSeparator/>
      </w:r>
    </w:p>
  </w:footnote>
  <w:footnote w:id="1">
    <w:p w14:paraId="2869F873" w14:textId="77777777" w:rsidR="009B7074" w:rsidRPr="00A644BA" w:rsidRDefault="009B7074">
      <w:pPr>
        <w:pStyle w:val="FootnoteText"/>
        <w:rPr>
          <w:rFonts w:asciiTheme="minorHAnsi" w:hAnsiTheme="minorHAnsi"/>
          <w:sz w:val="18"/>
          <w:szCs w:val="18"/>
        </w:rPr>
      </w:pPr>
      <w:r w:rsidRPr="0064746F">
        <w:rPr>
          <w:rStyle w:val="FootnoteReference"/>
          <w:rFonts w:asciiTheme="minorHAnsi" w:hAnsiTheme="minorHAnsi"/>
        </w:rPr>
        <w:footnoteRef/>
      </w:r>
      <w:r w:rsidRPr="0064746F">
        <w:rPr>
          <w:rFonts w:asciiTheme="minorHAnsi" w:hAnsiTheme="minorHAnsi"/>
        </w:rPr>
        <w:t xml:space="preserve"> </w:t>
      </w:r>
      <w:r w:rsidRPr="00A644BA">
        <w:rPr>
          <w:rFonts w:asciiTheme="minorHAnsi" w:hAnsiTheme="minorHAnsi"/>
          <w:sz w:val="18"/>
          <w:szCs w:val="18"/>
        </w:rPr>
        <w:t>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7529D"/>
    <w:multiLevelType w:val="hybridMultilevel"/>
    <w:tmpl w:val="570A9A78"/>
    <w:lvl w:ilvl="0" w:tplc="A71EAD5C">
      <w:start w:val="8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2EA8"/>
    <w:multiLevelType w:val="hybridMultilevel"/>
    <w:tmpl w:val="B48CD36A"/>
    <w:lvl w:ilvl="0" w:tplc="E0AA546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B33CE"/>
    <w:multiLevelType w:val="hybridMultilevel"/>
    <w:tmpl w:val="65F4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2"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57F3D"/>
    <w:multiLevelType w:val="hybridMultilevel"/>
    <w:tmpl w:val="C502790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D66B48"/>
    <w:multiLevelType w:val="hybridMultilevel"/>
    <w:tmpl w:val="EB50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9E3A9C"/>
    <w:multiLevelType w:val="hybridMultilevel"/>
    <w:tmpl w:val="9968D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15"/>
  </w:num>
  <w:num w:numId="6">
    <w:abstractNumId w:val="17"/>
  </w:num>
  <w:num w:numId="7">
    <w:abstractNumId w:val="2"/>
  </w:num>
  <w:num w:numId="8">
    <w:abstractNumId w:val="16"/>
  </w:num>
  <w:num w:numId="9">
    <w:abstractNumId w:val="6"/>
  </w:num>
  <w:num w:numId="10">
    <w:abstractNumId w:val="10"/>
  </w:num>
  <w:num w:numId="11">
    <w:abstractNumId w:val="21"/>
  </w:num>
  <w:num w:numId="12">
    <w:abstractNumId w:val="12"/>
  </w:num>
  <w:num w:numId="13">
    <w:abstractNumId w:val="13"/>
  </w:num>
  <w:num w:numId="14">
    <w:abstractNumId w:val="8"/>
  </w:num>
  <w:num w:numId="15">
    <w:abstractNumId w:val="0"/>
  </w:num>
  <w:num w:numId="16">
    <w:abstractNumId w:val="19"/>
  </w:num>
  <w:num w:numId="17">
    <w:abstractNumId w:val="18"/>
  </w:num>
  <w:num w:numId="18">
    <w:abstractNumId w:val="9"/>
  </w:num>
  <w:num w:numId="19">
    <w:abstractNumId w:val="4"/>
  </w:num>
  <w:num w:numId="20">
    <w:abstractNumId w:val="2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12EE5"/>
    <w:rsid w:val="0003302A"/>
    <w:rsid w:val="000348DD"/>
    <w:rsid w:val="000426EF"/>
    <w:rsid w:val="00047F60"/>
    <w:rsid w:val="000502AD"/>
    <w:rsid w:val="000770FE"/>
    <w:rsid w:val="000823AC"/>
    <w:rsid w:val="000A049E"/>
    <w:rsid w:val="000A1551"/>
    <w:rsid w:val="000C0728"/>
    <w:rsid w:val="000C09B4"/>
    <w:rsid w:val="000C4457"/>
    <w:rsid w:val="000D6DE5"/>
    <w:rsid w:val="000F2B58"/>
    <w:rsid w:val="000F5D89"/>
    <w:rsid w:val="000F77FD"/>
    <w:rsid w:val="001139D9"/>
    <w:rsid w:val="0015409F"/>
    <w:rsid w:val="00157815"/>
    <w:rsid w:val="001663A4"/>
    <w:rsid w:val="00167DA9"/>
    <w:rsid w:val="00176076"/>
    <w:rsid w:val="001956C7"/>
    <w:rsid w:val="001A2BA2"/>
    <w:rsid w:val="001A4D75"/>
    <w:rsid w:val="001B721D"/>
    <w:rsid w:val="001F3524"/>
    <w:rsid w:val="00213F95"/>
    <w:rsid w:val="00230A0E"/>
    <w:rsid w:val="002315A5"/>
    <w:rsid w:val="00232597"/>
    <w:rsid w:val="0024729A"/>
    <w:rsid w:val="002547CF"/>
    <w:rsid w:val="0026321D"/>
    <w:rsid w:val="002B40FD"/>
    <w:rsid w:val="002C3AF3"/>
    <w:rsid w:val="002C4B80"/>
    <w:rsid w:val="002D394D"/>
    <w:rsid w:val="002F7E65"/>
    <w:rsid w:val="0032175A"/>
    <w:rsid w:val="00322DEA"/>
    <w:rsid w:val="003352EF"/>
    <w:rsid w:val="00346615"/>
    <w:rsid w:val="00354CB5"/>
    <w:rsid w:val="00357B0E"/>
    <w:rsid w:val="00363EC5"/>
    <w:rsid w:val="00366AD1"/>
    <w:rsid w:val="0037523B"/>
    <w:rsid w:val="00377345"/>
    <w:rsid w:val="003A4FD8"/>
    <w:rsid w:val="003B037A"/>
    <w:rsid w:val="003B422F"/>
    <w:rsid w:val="003C1663"/>
    <w:rsid w:val="003D653B"/>
    <w:rsid w:val="004004FC"/>
    <w:rsid w:val="0041250B"/>
    <w:rsid w:val="00417008"/>
    <w:rsid w:val="00424E4F"/>
    <w:rsid w:val="00461D62"/>
    <w:rsid w:val="00462107"/>
    <w:rsid w:val="00463F9E"/>
    <w:rsid w:val="004B3911"/>
    <w:rsid w:val="004C595C"/>
    <w:rsid w:val="004D3DBE"/>
    <w:rsid w:val="00501317"/>
    <w:rsid w:val="00506ECF"/>
    <w:rsid w:val="00514291"/>
    <w:rsid w:val="00516AC8"/>
    <w:rsid w:val="00517955"/>
    <w:rsid w:val="00530FDE"/>
    <w:rsid w:val="005324B1"/>
    <w:rsid w:val="00537723"/>
    <w:rsid w:val="005474ED"/>
    <w:rsid w:val="005A03B3"/>
    <w:rsid w:val="005A1170"/>
    <w:rsid w:val="005A7B65"/>
    <w:rsid w:val="005C6168"/>
    <w:rsid w:val="005E0C05"/>
    <w:rsid w:val="005F2E08"/>
    <w:rsid w:val="005F6261"/>
    <w:rsid w:val="00606154"/>
    <w:rsid w:val="00612159"/>
    <w:rsid w:val="0062022D"/>
    <w:rsid w:val="00635929"/>
    <w:rsid w:val="0064746F"/>
    <w:rsid w:val="00673710"/>
    <w:rsid w:val="00674B1A"/>
    <w:rsid w:val="006844A6"/>
    <w:rsid w:val="006900FE"/>
    <w:rsid w:val="00695B6F"/>
    <w:rsid w:val="006B7AAA"/>
    <w:rsid w:val="006D4C75"/>
    <w:rsid w:val="00700521"/>
    <w:rsid w:val="00704A18"/>
    <w:rsid w:val="00760E32"/>
    <w:rsid w:val="007639C2"/>
    <w:rsid w:val="00764E41"/>
    <w:rsid w:val="00771515"/>
    <w:rsid w:val="00776056"/>
    <w:rsid w:val="00790C12"/>
    <w:rsid w:val="007A341C"/>
    <w:rsid w:val="007C1B15"/>
    <w:rsid w:val="007E1663"/>
    <w:rsid w:val="008018C5"/>
    <w:rsid w:val="00806EC8"/>
    <w:rsid w:val="00813F1E"/>
    <w:rsid w:val="0081403B"/>
    <w:rsid w:val="00837C4B"/>
    <w:rsid w:val="00841C9A"/>
    <w:rsid w:val="00842737"/>
    <w:rsid w:val="00843006"/>
    <w:rsid w:val="008440D9"/>
    <w:rsid w:val="00845340"/>
    <w:rsid w:val="0086558C"/>
    <w:rsid w:val="008676C7"/>
    <w:rsid w:val="00867AAC"/>
    <w:rsid w:val="00882ECA"/>
    <w:rsid w:val="00887235"/>
    <w:rsid w:val="008A294B"/>
    <w:rsid w:val="008B06DD"/>
    <w:rsid w:val="008D4556"/>
    <w:rsid w:val="008D791F"/>
    <w:rsid w:val="008F0A97"/>
    <w:rsid w:val="00920DBC"/>
    <w:rsid w:val="009353D7"/>
    <w:rsid w:val="00942B3B"/>
    <w:rsid w:val="009658C8"/>
    <w:rsid w:val="0097197E"/>
    <w:rsid w:val="00975566"/>
    <w:rsid w:val="00990CED"/>
    <w:rsid w:val="009B7074"/>
    <w:rsid w:val="009B76A1"/>
    <w:rsid w:val="009E7526"/>
    <w:rsid w:val="009F21FD"/>
    <w:rsid w:val="00A0001A"/>
    <w:rsid w:val="00A00FA2"/>
    <w:rsid w:val="00A1786A"/>
    <w:rsid w:val="00A210CD"/>
    <w:rsid w:val="00A30EBB"/>
    <w:rsid w:val="00A341FF"/>
    <w:rsid w:val="00A40130"/>
    <w:rsid w:val="00A44F24"/>
    <w:rsid w:val="00A45528"/>
    <w:rsid w:val="00A53317"/>
    <w:rsid w:val="00A57912"/>
    <w:rsid w:val="00A644BA"/>
    <w:rsid w:val="00A74149"/>
    <w:rsid w:val="00A85E34"/>
    <w:rsid w:val="00AE26FE"/>
    <w:rsid w:val="00B00DA5"/>
    <w:rsid w:val="00B00E5C"/>
    <w:rsid w:val="00B053BE"/>
    <w:rsid w:val="00B2050D"/>
    <w:rsid w:val="00B24584"/>
    <w:rsid w:val="00B25B8C"/>
    <w:rsid w:val="00B32ADA"/>
    <w:rsid w:val="00B35C05"/>
    <w:rsid w:val="00B537E3"/>
    <w:rsid w:val="00B64ACA"/>
    <w:rsid w:val="00B91215"/>
    <w:rsid w:val="00BA2252"/>
    <w:rsid w:val="00BA7C3B"/>
    <w:rsid w:val="00BB3E3E"/>
    <w:rsid w:val="00BC38E0"/>
    <w:rsid w:val="00BC4F55"/>
    <w:rsid w:val="00BD690F"/>
    <w:rsid w:val="00BE1C58"/>
    <w:rsid w:val="00BE2925"/>
    <w:rsid w:val="00C00B7E"/>
    <w:rsid w:val="00C45984"/>
    <w:rsid w:val="00C63641"/>
    <w:rsid w:val="00C66DE1"/>
    <w:rsid w:val="00C72C5F"/>
    <w:rsid w:val="00C97E31"/>
    <w:rsid w:val="00CA4949"/>
    <w:rsid w:val="00CB647D"/>
    <w:rsid w:val="00CD1C8C"/>
    <w:rsid w:val="00CF1AC9"/>
    <w:rsid w:val="00D00653"/>
    <w:rsid w:val="00D10D8D"/>
    <w:rsid w:val="00D30BE3"/>
    <w:rsid w:val="00D4073E"/>
    <w:rsid w:val="00D475FB"/>
    <w:rsid w:val="00D5740D"/>
    <w:rsid w:val="00D603C2"/>
    <w:rsid w:val="00D80A4F"/>
    <w:rsid w:val="00D864E5"/>
    <w:rsid w:val="00D9192E"/>
    <w:rsid w:val="00DB3C0B"/>
    <w:rsid w:val="00DC0E0E"/>
    <w:rsid w:val="00DC236B"/>
    <w:rsid w:val="00DC2867"/>
    <w:rsid w:val="00DC4D86"/>
    <w:rsid w:val="00DC7354"/>
    <w:rsid w:val="00DD4368"/>
    <w:rsid w:val="00DE69CD"/>
    <w:rsid w:val="00DF0357"/>
    <w:rsid w:val="00DF5B43"/>
    <w:rsid w:val="00DF7D0B"/>
    <w:rsid w:val="00E06A4E"/>
    <w:rsid w:val="00E1547F"/>
    <w:rsid w:val="00E266C3"/>
    <w:rsid w:val="00E30D92"/>
    <w:rsid w:val="00E32ACA"/>
    <w:rsid w:val="00E37E7A"/>
    <w:rsid w:val="00E72438"/>
    <w:rsid w:val="00E73B6D"/>
    <w:rsid w:val="00E75747"/>
    <w:rsid w:val="00E770DC"/>
    <w:rsid w:val="00EA7740"/>
    <w:rsid w:val="00EB4FA1"/>
    <w:rsid w:val="00EC7BBC"/>
    <w:rsid w:val="00ED7235"/>
    <w:rsid w:val="00EE1D60"/>
    <w:rsid w:val="00EE349E"/>
    <w:rsid w:val="00EE5548"/>
    <w:rsid w:val="00EF3D88"/>
    <w:rsid w:val="00EF79A9"/>
    <w:rsid w:val="00F01FDE"/>
    <w:rsid w:val="00F16195"/>
    <w:rsid w:val="00F171ED"/>
    <w:rsid w:val="00F25445"/>
    <w:rsid w:val="00F30758"/>
    <w:rsid w:val="00F31949"/>
    <w:rsid w:val="00F37FA7"/>
    <w:rsid w:val="00F4407E"/>
    <w:rsid w:val="00F559C3"/>
    <w:rsid w:val="00F826EC"/>
    <w:rsid w:val="00F84FD4"/>
    <w:rsid w:val="00FA08FC"/>
    <w:rsid w:val="00FB2C4C"/>
    <w:rsid w:val="00FB3DB2"/>
    <w:rsid w:val="00FD023F"/>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9E384FF2-76CB-4110-BF4A-AF7DA1B1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link w:val="HeaderChar"/>
    <w:uiPriority w:val="99"/>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roarquestion">
    <w:name w:val="roar_question"/>
    <w:basedOn w:val="DefaultParagraphFont"/>
    <w:rsid w:val="00D603C2"/>
  </w:style>
  <w:style w:type="character" w:customStyle="1" w:styleId="roarvalidationrule">
    <w:name w:val="roar_validationrule"/>
    <w:basedOn w:val="DefaultParagraphFont"/>
    <w:rsid w:val="00D603C2"/>
  </w:style>
  <w:style w:type="paragraph" w:styleId="ListParagraph">
    <w:name w:val="List Paragraph"/>
    <w:basedOn w:val="Normal"/>
    <w:uiPriority w:val="34"/>
    <w:qFormat/>
    <w:rsid w:val="000F2B58"/>
    <w:pPr>
      <w:ind w:left="720"/>
      <w:contextualSpacing/>
    </w:pPr>
  </w:style>
  <w:style w:type="character" w:customStyle="1" w:styleId="BodyText2Char">
    <w:name w:val="Body Text 2 Char"/>
    <w:basedOn w:val="DefaultParagraphFont"/>
    <w:link w:val="BodyText2"/>
    <w:rsid w:val="00B35C05"/>
    <w:rPr>
      <w:rFonts w:ascii="Arial" w:hAnsi="Arial"/>
    </w:rPr>
  </w:style>
  <w:style w:type="character" w:customStyle="1" w:styleId="HeaderChar">
    <w:name w:val="Header Char"/>
    <w:basedOn w:val="DefaultParagraphFont"/>
    <w:link w:val="Header"/>
    <w:uiPriority w:val="99"/>
    <w:rsid w:val="00213F95"/>
    <w:rPr>
      <w:sz w:val="24"/>
    </w:rPr>
  </w:style>
  <w:style w:type="character" w:customStyle="1" w:styleId="BodyTextChar">
    <w:name w:val="Body Text Char"/>
    <w:basedOn w:val="DefaultParagraphFont"/>
    <w:link w:val="BodyText"/>
    <w:rsid w:val="00501317"/>
    <w:rPr>
      <w:rFonts w:ascii="Univers" w:hAnsi="Univers"/>
      <w:sz w:val="22"/>
    </w:rPr>
  </w:style>
  <w:style w:type="character" w:styleId="CommentReference">
    <w:name w:val="annotation reference"/>
    <w:basedOn w:val="DefaultParagraphFont"/>
    <w:semiHidden/>
    <w:unhideWhenUsed/>
    <w:rsid w:val="00B24584"/>
    <w:rPr>
      <w:sz w:val="16"/>
      <w:szCs w:val="16"/>
    </w:rPr>
  </w:style>
  <w:style w:type="paragraph" w:styleId="CommentText">
    <w:name w:val="annotation text"/>
    <w:basedOn w:val="Normal"/>
    <w:link w:val="CommentTextChar"/>
    <w:semiHidden/>
    <w:unhideWhenUsed/>
    <w:rsid w:val="00B24584"/>
    <w:rPr>
      <w:sz w:val="20"/>
    </w:rPr>
  </w:style>
  <w:style w:type="character" w:customStyle="1" w:styleId="CommentTextChar">
    <w:name w:val="Comment Text Char"/>
    <w:basedOn w:val="DefaultParagraphFont"/>
    <w:link w:val="CommentText"/>
    <w:semiHidden/>
    <w:rsid w:val="00B24584"/>
  </w:style>
  <w:style w:type="paragraph" w:styleId="CommentSubject">
    <w:name w:val="annotation subject"/>
    <w:basedOn w:val="CommentText"/>
    <w:next w:val="CommentText"/>
    <w:link w:val="CommentSubjectChar"/>
    <w:semiHidden/>
    <w:unhideWhenUsed/>
    <w:rsid w:val="00B24584"/>
    <w:rPr>
      <w:b/>
      <w:bCs/>
    </w:rPr>
  </w:style>
  <w:style w:type="character" w:customStyle="1" w:styleId="CommentSubjectChar">
    <w:name w:val="Comment Subject Char"/>
    <w:basedOn w:val="CommentTextChar"/>
    <w:link w:val="CommentSubject"/>
    <w:semiHidden/>
    <w:rsid w:val="00B24584"/>
    <w:rPr>
      <w:b/>
      <w:bCs/>
    </w:rPr>
  </w:style>
  <w:style w:type="paragraph" w:styleId="BalloonText">
    <w:name w:val="Balloon Text"/>
    <w:basedOn w:val="Normal"/>
    <w:link w:val="BalloonTextChar"/>
    <w:semiHidden/>
    <w:unhideWhenUsed/>
    <w:rsid w:val="00B24584"/>
    <w:rPr>
      <w:rFonts w:ascii="Tahoma" w:hAnsi="Tahoma" w:cs="Tahoma"/>
      <w:sz w:val="16"/>
      <w:szCs w:val="16"/>
    </w:rPr>
  </w:style>
  <w:style w:type="character" w:customStyle="1" w:styleId="BalloonTextChar">
    <w:name w:val="Balloon Text Char"/>
    <w:basedOn w:val="DefaultParagraphFont"/>
    <w:link w:val="BalloonText"/>
    <w:semiHidden/>
    <w:rsid w:val="00B24584"/>
    <w:rPr>
      <w:rFonts w:ascii="Tahoma" w:hAnsi="Tahoma" w:cs="Tahoma"/>
      <w:sz w:val="16"/>
      <w:szCs w:val="16"/>
    </w:rPr>
  </w:style>
  <w:style w:type="character" w:styleId="Emphasis">
    <w:name w:val="Emphasis"/>
    <w:basedOn w:val="DefaultParagraphFont"/>
    <w:qFormat/>
    <w:rsid w:val="00537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9166">
      <w:bodyDiv w:val="1"/>
      <w:marLeft w:val="0"/>
      <w:marRight w:val="0"/>
      <w:marTop w:val="0"/>
      <w:marBottom w:val="0"/>
      <w:divBdr>
        <w:top w:val="none" w:sz="0" w:space="0" w:color="auto"/>
        <w:left w:val="none" w:sz="0" w:space="0" w:color="auto"/>
        <w:bottom w:val="none" w:sz="0" w:space="0" w:color="auto"/>
        <w:right w:val="none" w:sz="0" w:space="0" w:color="auto"/>
      </w:divBdr>
    </w:div>
    <w:div w:id="15143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3C810664-2FB3-4003-9E01-6026E801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45948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2016-02-16T13:22:00Z</cp:lastPrinted>
  <dcterms:created xsi:type="dcterms:W3CDTF">2016-05-19T16:15:00Z</dcterms:created>
  <dcterms:modified xsi:type="dcterms:W3CDTF">2016-05-19T16:15:00Z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