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8F619" w14:textId="4BB358D9" w:rsidR="008E2EB4" w:rsidRDefault="008E2EB4" w:rsidP="00722238">
      <w:pPr>
        <w:jc w:val="right"/>
        <w:rPr>
          <w:b/>
        </w:rPr>
      </w:pPr>
      <w:bookmarkStart w:id="0" w:name="_GoBack"/>
      <w:bookmarkEnd w:id="0"/>
    </w:p>
    <w:p w14:paraId="0712913E" w14:textId="77777777" w:rsidR="00511C1D" w:rsidRDefault="00511C1D" w:rsidP="00722238">
      <w:pPr>
        <w:jc w:val="right"/>
        <w:rPr>
          <w:b/>
        </w:rPr>
      </w:pPr>
    </w:p>
    <w:p w14:paraId="35CDE986" w14:textId="77777777" w:rsidR="00511C1D" w:rsidRDefault="00511C1D" w:rsidP="00722238">
      <w:pPr>
        <w:jc w:val="right"/>
        <w:rPr>
          <w:b/>
        </w:rPr>
      </w:pPr>
    </w:p>
    <w:p w14:paraId="37848A74" w14:textId="77777777" w:rsidR="00511C1D" w:rsidRDefault="00511C1D" w:rsidP="00722238">
      <w:pPr>
        <w:jc w:val="right"/>
        <w:rPr>
          <w:b/>
        </w:rPr>
      </w:pPr>
    </w:p>
    <w:p w14:paraId="72C056A2" w14:textId="77777777" w:rsidR="00511C1D" w:rsidRDefault="00511C1D" w:rsidP="00722238">
      <w:pPr>
        <w:jc w:val="right"/>
        <w:rPr>
          <w:b/>
        </w:rPr>
      </w:pPr>
    </w:p>
    <w:p w14:paraId="57C88487" w14:textId="77777777" w:rsidR="00511C1D" w:rsidRDefault="00511C1D" w:rsidP="00722238">
      <w:pPr>
        <w:jc w:val="right"/>
        <w:rPr>
          <w:b/>
        </w:rPr>
      </w:pPr>
    </w:p>
    <w:p w14:paraId="42911CAA" w14:textId="77777777" w:rsidR="00511C1D" w:rsidRDefault="00511C1D" w:rsidP="00722238">
      <w:pPr>
        <w:jc w:val="right"/>
        <w:rPr>
          <w:b/>
        </w:rPr>
      </w:pPr>
    </w:p>
    <w:p w14:paraId="540575A1" w14:textId="77777777" w:rsidR="00511C1D" w:rsidRDefault="00511C1D" w:rsidP="00722238">
      <w:pPr>
        <w:jc w:val="right"/>
        <w:rPr>
          <w:b/>
        </w:rPr>
      </w:pPr>
    </w:p>
    <w:p w14:paraId="707E9374" w14:textId="77777777" w:rsidR="00511C1D" w:rsidRDefault="00511C1D" w:rsidP="00722238">
      <w:pPr>
        <w:jc w:val="right"/>
        <w:rPr>
          <w:b/>
        </w:rPr>
      </w:pPr>
    </w:p>
    <w:p w14:paraId="42EBAD8B" w14:textId="77777777" w:rsidR="00511C1D" w:rsidRDefault="00511C1D" w:rsidP="00722238">
      <w:pPr>
        <w:jc w:val="right"/>
        <w:rPr>
          <w:b/>
        </w:rPr>
      </w:pPr>
    </w:p>
    <w:p w14:paraId="666D969E" w14:textId="77777777" w:rsidR="00511C1D" w:rsidRDefault="00511C1D" w:rsidP="00722238">
      <w:pPr>
        <w:jc w:val="right"/>
        <w:rPr>
          <w:b/>
        </w:rPr>
      </w:pPr>
    </w:p>
    <w:p w14:paraId="15382589" w14:textId="77777777" w:rsidR="00511C1D" w:rsidRDefault="00511C1D" w:rsidP="00722238">
      <w:pPr>
        <w:jc w:val="right"/>
        <w:rPr>
          <w:b/>
        </w:rPr>
      </w:pPr>
    </w:p>
    <w:p w14:paraId="2604AF18" w14:textId="77777777" w:rsidR="00511C1D" w:rsidRPr="00861957" w:rsidRDefault="00511C1D" w:rsidP="00722238">
      <w:pPr>
        <w:jc w:val="right"/>
        <w:rPr>
          <w:b/>
        </w:rPr>
      </w:pPr>
    </w:p>
    <w:p w14:paraId="59DCCF89" w14:textId="77777777" w:rsidR="00511C1D" w:rsidRDefault="00511C1D" w:rsidP="00722238">
      <w:pPr>
        <w:jc w:val="right"/>
        <w:rPr>
          <w:b/>
          <w:noProof/>
          <w:lang w:val="en-US" w:eastAsia="en-US"/>
        </w:rPr>
      </w:pPr>
    </w:p>
    <w:p w14:paraId="69D60874" w14:textId="7D47D67E" w:rsidR="004D098B" w:rsidRPr="00861957" w:rsidRDefault="00C63CC6" w:rsidP="00722238">
      <w:pPr>
        <w:jc w:val="right"/>
        <w:rPr>
          <w:b/>
        </w:rPr>
      </w:pPr>
      <w:r w:rsidRPr="00861957">
        <w:rPr>
          <w:b/>
          <w:noProof/>
          <w:lang w:val="en-US" w:eastAsia="en-US"/>
        </w:rPr>
        <w:drawing>
          <wp:anchor distT="0" distB="0" distL="114300" distR="114300" simplePos="0" relativeHeight="251656192" behindDoc="0" locked="0" layoutInCell="1" allowOverlap="1" wp14:anchorId="62D949A4" wp14:editId="3DBB6C92">
            <wp:simplePos x="0" y="0"/>
            <wp:positionH relativeFrom="column">
              <wp:posOffset>1567180</wp:posOffset>
            </wp:positionH>
            <wp:positionV relativeFrom="paragraph">
              <wp:posOffset>-635</wp:posOffset>
            </wp:positionV>
            <wp:extent cx="1318260" cy="11182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7452af1f2b547256935010bdbbdd27833ba2a4_original.png"/>
                    <pic:cNvPicPr/>
                  </pic:nvPicPr>
                  <pic:blipFill>
                    <a:blip r:embed="rId8">
                      <a:extLst>
                        <a:ext uri="{28A0092B-C50C-407E-A947-70E740481C1C}">
                          <a14:useLocalDpi xmlns:a14="http://schemas.microsoft.com/office/drawing/2010/main" val="0"/>
                        </a:ext>
                      </a:extLst>
                    </a:blip>
                    <a:stretch>
                      <a:fillRect/>
                    </a:stretch>
                  </pic:blipFill>
                  <pic:spPr>
                    <a:xfrm>
                      <a:off x="0" y="0"/>
                      <a:ext cx="1318260" cy="1118235"/>
                    </a:xfrm>
                    <a:prstGeom prst="rect">
                      <a:avLst/>
                    </a:prstGeom>
                  </pic:spPr>
                </pic:pic>
              </a:graphicData>
            </a:graphic>
            <wp14:sizeRelH relativeFrom="page">
              <wp14:pctWidth>0</wp14:pctWidth>
            </wp14:sizeRelH>
            <wp14:sizeRelV relativeFrom="page">
              <wp14:pctHeight>0</wp14:pctHeight>
            </wp14:sizeRelV>
          </wp:anchor>
        </w:drawing>
      </w:r>
      <w:r w:rsidRPr="00861957">
        <w:rPr>
          <w:noProof/>
          <w:lang w:val="en-US" w:eastAsia="en-US"/>
        </w:rPr>
        <w:drawing>
          <wp:anchor distT="0" distB="0" distL="114300" distR="114300" simplePos="0" relativeHeight="251659264" behindDoc="0" locked="0" layoutInCell="1" allowOverlap="1" wp14:anchorId="04C76005" wp14:editId="6FBB5C0E">
            <wp:simplePos x="0" y="0"/>
            <wp:positionH relativeFrom="column">
              <wp:posOffset>3281045</wp:posOffset>
            </wp:positionH>
            <wp:positionV relativeFrom="paragraph">
              <wp:posOffset>-635</wp:posOffset>
            </wp:positionV>
            <wp:extent cx="1121410" cy="111442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bielorrusia.png"/>
                    <pic:cNvPicPr/>
                  </pic:nvPicPr>
                  <pic:blipFill>
                    <a:blip r:embed="rId9">
                      <a:extLst>
                        <a:ext uri="{28A0092B-C50C-407E-A947-70E740481C1C}">
                          <a14:useLocalDpi xmlns:a14="http://schemas.microsoft.com/office/drawing/2010/main" val="0"/>
                        </a:ext>
                      </a:extLst>
                    </a:blip>
                    <a:stretch>
                      <a:fillRect/>
                    </a:stretch>
                  </pic:blipFill>
                  <pic:spPr>
                    <a:xfrm>
                      <a:off x="0" y="0"/>
                      <a:ext cx="1121410" cy="1114425"/>
                    </a:xfrm>
                    <a:prstGeom prst="rect">
                      <a:avLst/>
                    </a:prstGeom>
                  </pic:spPr>
                </pic:pic>
              </a:graphicData>
            </a:graphic>
            <wp14:sizeRelH relativeFrom="page">
              <wp14:pctWidth>0</wp14:pctWidth>
            </wp14:sizeRelH>
            <wp14:sizeRelV relativeFrom="page">
              <wp14:pctHeight>0</wp14:pctHeight>
            </wp14:sizeRelV>
          </wp:anchor>
        </w:drawing>
      </w:r>
    </w:p>
    <w:p w14:paraId="530F2F25" w14:textId="77777777" w:rsidR="004D098B" w:rsidRPr="00861957" w:rsidRDefault="004D098B" w:rsidP="00722238">
      <w:pPr>
        <w:jc w:val="right"/>
        <w:rPr>
          <w:b/>
        </w:rPr>
      </w:pPr>
    </w:p>
    <w:p w14:paraId="08907297" w14:textId="77777777" w:rsidR="004D098B" w:rsidRPr="00861957" w:rsidRDefault="004D098B" w:rsidP="00722238">
      <w:pPr>
        <w:jc w:val="right"/>
      </w:pPr>
    </w:p>
    <w:p w14:paraId="2888BDA9" w14:textId="77777777" w:rsidR="008E2EB4" w:rsidRPr="00861957" w:rsidRDefault="008E2EB4" w:rsidP="00156BD9">
      <w:pPr>
        <w:jc w:val="center"/>
      </w:pPr>
    </w:p>
    <w:p w14:paraId="20E0B5B8" w14:textId="77777777" w:rsidR="004D6020" w:rsidRPr="00861957" w:rsidRDefault="004D6020" w:rsidP="00156BD9">
      <w:pPr>
        <w:jc w:val="center"/>
      </w:pPr>
    </w:p>
    <w:p w14:paraId="67A80598" w14:textId="77777777" w:rsidR="004D6020" w:rsidRPr="00861957" w:rsidRDefault="004D6020" w:rsidP="00156BD9">
      <w:pPr>
        <w:jc w:val="center"/>
      </w:pPr>
    </w:p>
    <w:p w14:paraId="33EB8970" w14:textId="77777777" w:rsidR="004D6020" w:rsidRPr="00861957" w:rsidRDefault="004D6020" w:rsidP="00156BD9">
      <w:pPr>
        <w:jc w:val="center"/>
      </w:pPr>
    </w:p>
    <w:p w14:paraId="6E0452C5" w14:textId="77777777" w:rsidR="004D6020" w:rsidRPr="00861957" w:rsidRDefault="004D6020" w:rsidP="00156BD9">
      <w:pPr>
        <w:jc w:val="center"/>
      </w:pPr>
    </w:p>
    <w:p w14:paraId="36E83B8A" w14:textId="77777777" w:rsidR="008E2EB4" w:rsidRPr="00861957" w:rsidRDefault="008E2EB4" w:rsidP="00156BD9">
      <w:pPr>
        <w:jc w:val="center"/>
      </w:pPr>
    </w:p>
    <w:p w14:paraId="0640ED3C" w14:textId="77777777" w:rsidR="008E2EB4" w:rsidRPr="00861957" w:rsidRDefault="008E2EB4" w:rsidP="00156BD9">
      <w:pPr>
        <w:jc w:val="center"/>
      </w:pPr>
    </w:p>
    <w:p w14:paraId="03D9D0F2" w14:textId="77777777" w:rsidR="004D098B" w:rsidRPr="00861957" w:rsidRDefault="004D098B" w:rsidP="00156BD9">
      <w:pPr>
        <w:jc w:val="center"/>
      </w:pPr>
    </w:p>
    <w:p w14:paraId="56318597" w14:textId="77777777" w:rsidR="008E2EB4" w:rsidRPr="00861957" w:rsidRDefault="008E2EB4" w:rsidP="00156BD9">
      <w:pPr>
        <w:jc w:val="center"/>
      </w:pPr>
    </w:p>
    <w:p w14:paraId="44DEDC1B" w14:textId="77777777" w:rsidR="004D098B" w:rsidRPr="00861957" w:rsidRDefault="005F7ECE" w:rsidP="00A8646D">
      <w:pPr>
        <w:jc w:val="center"/>
        <w:rPr>
          <w:b/>
          <w:color w:val="548DD4" w:themeColor="text2" w:themeTint="99"/>
          <w:sz w:val="36"/>
          <w:szCs w:val="36"/>
        </w:rPr>
      </w:pPr>
      <w:r w:rsidRPr="00861957">
        <w:rPr>
          <w:b/>
          <w:color w:val="548DD4" w:themeColor="text2" w:themeTint="99"/>
          <w:sz w:val="36"/>
          <w:szCs w:val="36"/>
        </w:rPr>
        <w:t xml:space="preserve">UNITED NATIONS DEVELOPMENT ASSISTANCE FRAMEWORK </w:t>
      </w:r>
      <w:r w:rsidR="004D098B" w:rsidRPr="00861957">
        <w:rPr>
          <w:b/>
          <w:color w:val="548DD4" w:themeColor="text2" w:themeTint="99"/>
          <w:sz w:val="36"/>
          <w:szCs w:val="36"/>
        </w:rPr>
        <w:t xml:space="preserve">(UNDAF) </w:t>
      </w:r>
    </w:p>
    <w:p w14:paraId="34AEC104" w14:textId="77777777" w:rsidR="004D098B" w:rsidRPr="00861957" w:rsidRDefault="005F7ECE" w:rsidP="00A8646D">
      <w:pPr>
        <w:jc w:val="center"/>
        <w:rPr>
          <w:b/>
          <w:color w:val="548DD4" w:themeColor="text2" w:themeTint="99"/>
          <w:sz w:val="36"/>
          <w:szCs w:val="36"/>
        </w:rPr>
      </w:pPr>
      <w:r w:rsidRPr="00861957">
        <w:rPr>
          <w:b/>
          <w:color w:val="548DD4" w:themeColor="text2" w:themeTint="99"/>
          <w:sz w:val="36"/>
          <w:szCs w:val="36"/>
        </w:rPr>
        <w:t xml:space="preserve">FOR THE REPUBLIC OF BELARUS </w:t>
      </w:r>
    </w:p>
    <w:p w14:paraId="2F2F7BB0" w14:textId="77777777" w:rsidR="004D5B59" w:rsidRPr="00861957" w:rsidRDefault="005F7ECE" w:rsidP="00A8646D">
      <w:pPr>
        <w:jc w:val="center"/>
        <w:rPr>
          <w:b/>
          <w:color w:val="548DD4" w:themeColor="text2" w:themeTint="99"/>
          <w:sz w:val="36"/>
          <w:szCs w:val="36"/>
        </w:rPr>
      </w:pPr>
      <w:r w:rsidRPr="00861957">
        <w:rPr>
          <w:b/>
          <w:color w:val="548DD4" w:themeColor="text2" w:themeTint="99"/>
          <w:sz w:val="36"/>
          <w:szCs w:val="36"/>
        </w:rPr>
        <w:t>FOR 2016-2020</w:t>
      </w:r>
    </w:p>
    <w:p w14:paraId="4BA8E27B" w14:textId="77777777" w:rsidR="008E2EB4" w:rsidRPr="00861957" w:rsidRDefault="008E2EB4" w:rsidP="00156BD9">
      <w:pPr>
        <w:jc w:val="center"/>
        <w:rPr>
          <w:sz w:val="36"/>
          <w:szCs w:val="36"/>
        </w:rPr>
      </w:pPr>
    </w:p>
    <w:p w14:paraId="290576D4" w14:textId="77777777" w:rsidR="008E2EB4" w:rsidRPr="00861957" w:rsidRDefault="008E2EB4" w:rsidP="00156BD9">
      <w:pPr>
        <w:jc w:val="center"/>
        <w:rPr>
          <w:sz w:val="28"/>
          <w:szCs w:val="28"/>
        </w:rPr>
      </w:pPr>
    </w:p>
    <w:p w14:paraId="51AC7D4E" w14:textId="77777777" w:rsidR="008E2EB4" w:rsidRPr="00861957" w:rsidRDefault="008E2EB4" w:rsidP="00156BD9">
      <w:pPr>
        <w:jc w:val="center"/>
        <w:rPr>
          <w:sz w:val="28"/>
          <w:szCs w:val="28"/>
        </w:rPr>
      </w:pPr>
    </w:p>
    <w:p w14:paraId="614FEE74" w14:textId="77777777" w:rsidR="008E2EB4" w:rsidRPr="00861957" w:rsidRDefault="008E2EB4" w:rsidP="00156BD9">
      <w:pPr>
        <w:jc w:val="center"/>
        <w:rPr>
          <w:sz w:val="28"/>
          <w:szCs w:val="28"/>
        </w:rPr>
      </w:pPr>
    </w:p>
    <w:p w14:paraId="527BBF2B" w14:textId="77777777" w:rsidR="004D6020" w:rsidRPr="00861957" w:rsidRDefault="004D6020" w:rsidP="00156BD9">
      <w:pPr>
        <w:jc w:val="center"/>
        <w:rPr>
          <w:sz w:val="28"/>
          <w:szCs w:val="28"/>
        </w:rPr>
      </w:pPr>
    </w:p>
    <w:p w14:paraId="7061A517" w14:textId="77777777" w:rsidR="008E2EB4" w:rsidRPr="00861957" w:rsidRDefault="008E2EB4" w:rsidP="00156BD9">
      <w:pPr>
        <w:jc w:val="center"/>
        <w:rPr>
          <w:sz w:val="28"/>
          <w:szCs w:val="28"/>
        </w:rPr>
      </w:pPr>
    </w:p>
    <w:p w14:paraId="6D0766B4" w14:textId="77777777" w:rsidR="008E2EB4" w:rsidRPr="00861957" w:rsidRDefault="008E2EB4" w:rsidP="00156BD9">
      <w:pPr>
        <w:jc w:val="center"/>
        <w:rPr>
          <w:sz w:val="28"/>
          <w:szCs w:val="28"/>
        </w:rPr>
      </w:pPr>
    </w:p>
    <w:p w14:paraId="4FFBF143" w14:textId="77777777" w:rsidR="008E2EB4" w:rsidRPr="00861957" w:rsidRDefault="008E2EB4" w:rsidP="00156BD9">
      <w:pPr>
        <w:jc w:val="center"/>
        <w:rPr>
          <w:sz w:val="28"/>
          <w:szCs w:val="28"/>
        </w:rPr>
      </w:pPr>
    </w:p>
    <w:p w14:paraId="0F638A82" w14:textId="77777777" w:rsidR="008E2EB4" w:rsidRPr="00861957" w:rsidRDefault="008E2EB4" w:rsidP="00156BD9">
      <w:pPr>
        <w:jc w:val="center"/>
        <w:rPr>
          <w:sz w:val="28"/>
          <w:szCs w:val="28"/>
        </w:rPr>
      </w:pPr>
    </w:p>
    <w:p w14:paraId="78C557AB" w14:textId="77777777" w:rsidR="008E2EB4" w:rsidRPr="00861957" w:rsidRDefault="008E2EB4" w:rsidP="00156BD9">
      <w:pPr>
        <w:jc w:val="center"/>
        <w:rPr>
          <w:sz w:val="28"/>
          <w:szCs w:val="28"/>
        </w:rPr>
      </w:pPr>
    </w:p>
    <w:p w14:paraId="45C12F09" w14:textId="77777777" w:rsidR="008E2EB4" w:rsidRPr="00861957" w:rsidRDefault="008E2EB4" w:rsidP="00156BD9">
      <w:pPr>
        <w:jc w:val="center"/>
        <w:rPr>
          <w:sz w:val="28"/>
          <w:szCs w:val="28"/>
        </w:rPr>
      </w:pPr>
    </w:p>
    <w:p w14:paraId="1F36461C" w14:textId="77777777" w:rsidR="008E2EB4" w:rsidRPr="00861957" w:rsidRDefault="008E2EB4" w:rsidP="00156BD9">
      <w:pPr>
        <w:jc w:val="center"/>
        <w:rPr>
          <w:sz w:val="28"/>
          <w:szCs w:val="28"/>
        </w:rPr>
      </w:pPr>
    </w:p>
    <w:p w14:paraId="002C71D9" w14:textId="77777777" w:rsidR="008E2EB4" w:rsidRPr="00861957" w:rsidRDefault="008E2EB4" w:rsidP="00156BD9">
      <w:pPr>
        <w:jc w:val="center"/>
        <w:rPr>
          <w:sz w:val="28"/>
          <w:szCs w:val="28"/>
        </w:rPr>
      </w:pPr>
    </w:p>
    <w:p w14:paraId="441844DC" w14:textId="77777777" w:rsidR="008E2EB4" w:rsidRPr="00861957" w:rsidRDefault="008E2EB4" w:rsidP="00156BD9">
      <w:pPr>
        <w:jc w:val="center"/>
        <w:rPr>
          <w:sz w:val="28"/>
          <w:szCs w:val="28"/>
        </w:rPr>
      </w:pPr>
    </w:p>
    <w:p w14:paraId="72167A25" w14:textId="77777777" w:rsidR="008E2EB4" w:rsidRPr="00861957" w:rsidRDefault="008E2EB4" w:rsidP="00156BD9">
      <w:pPr>
        <w:jc w:val="center"/>
        <w:rPr>
          <w:sz w:val="28"/>
          <w:szCs w:val="28"/>
        </w:rPr>
      </w:pPr>
    </w:p>
    <w:p w14:paraId="6358DDF1" w14:textId="77777777" w:rsidR="008E2EB4" w:rsidRPr="00861957" w:rsidRDefault="008E2EB4" w:rsidP="00156BD9">
      <w:pPr>
        <w:jc w:val="center"/>
        <w:rPr>
          <w:sz w:val="28"/>
          <w:szCs w:val="28"/>
        </w:rPr>
      </w:pPr>
    </w:p>
    <w:p w14:paraId="6347542B" w14:textId="77777777" w:rsidR="008E2EB4" w:rsidRPr="00861957" w:rsidRDefault="00C63CC6" w:rsidP="00156BD9">
      <w:pPr>
        <w:jc w:val="center"/>
        <w:rPr>
          <w:sz w:val="28"/>
          <w:szCs w:val="28"/>
        </w:rPr>
      </w:pPr>
      <w:r w:rsidRPr="00861957">
        <w:rPr>
          <w:sz w:val="28"/>
          <w:szCs w:val="28"/>
        </w:rPr>
        <w:t>Minsk</w:t>
      </w:r>
      <w:r w:rsidR="008E2EB4" w:rsidRPr="00861957">
        <w:rPr>
          <w:sz w:val="28"/>
          <w:szCs w:val="28"/>
        </w:rPr>
        <w:t xml:space="preserve"> </w:t>
      </w:r>
      <w:r w:rsidR="004D6020" w:rsidRPr="00861957">
        <w:rPr>
          <w:sz w:val="28"/>
          <w:szCs w:val="28"/>
        </w:rPr>
        <w:t>2015</w:t>
      </w:r>
    </w:p>
    <w:p w14:paraId="4274EBDC" w14:textId="77777777" w:rsidR="008E2EB4" w:rsidRPr="00861957" w:rsidRDefault="008E2EB4" w:rsidP="00722238"/>
    <w:p w14:paraId="1A892287" w14:textId="77777777" w:rsidR="00B612D9" w:rsidRPr="00861957" w:rsidRDefault="00B612D9" w:rsidP="00142AC0">
      <w:pPr>
        <w:jc w:val="both"/>
        <w:rPr>
          <w:rFonts w:asciiTheme="majorHAnsi" w:eastAsiaTheme="majorEastAsia" w:hAnsiTheme="majorHAnsi" w:cstheme="majorBidi"/>
          <w:b/>
          <w:bCs/>
          <w:color w:val="365F91" w:themeColor="accent1" w:themeShade="BF"/>
          <w:sz w:val="28"/>
          <w:szCs w:val="28"/>
          <w:lang w:eastAsia="ja-JP"/>
        </w:rPr>
      </w:pPr>
    </w:p>
    <w:p w14:paraId="19FE5316" w14:textId="77777777" w:rsidR="00B01651" w:rsidRPr="00861957" w:rsidRDefault="00B01651" w:rsidP="00142AC0">
      <w:pPr>
        <w:jc w:val="both"/>
        <w:rPr>
          <w:rFonts w:asciiTheme="majorHAnsi" w:eastAsiaTheme="majorEastAsia" w:hAnsiTheme="majorHAnsi" w:cstheme="majorBidi"/>
          <w:b/>
          <w:bCs/>
          <w:color w:val="365F91" w:themeColor="accent1" w:themeShade="BF"/>
          <w:sz w:val="28"/>
          <w:szCs w:val="28"/>
          <w:lang w:eastAsia="ja-JP"/>
        </w:rPr>
      </w:pPr>
    </w:p>
    <w:p w14:paraId="4CC635C1" w14:textId="77777777" w:rsidR="00B01651" w:rsidRPr="00861957" w:rsidRDefault="00B01651" w:rsidP="00142AC0">
      <w:pPr>
        <w:jc w:val="both"/>
        <w:rPr>
          <w:rFonts w:asciiTheme="majorHAnsi" w:eastAsiaTheme="majorEastAsia" w:hAnsiTheme="majorHAnsi" w:cstheme="majorBidi"/>
          <w:b/>
          <w:bCs/>
          <w:color w:val="365F91" w:themeColor="accent1" w:themeShade="BF"/>
          <w:sz w:val="28"/>
          <w:szCs w:val="28"/>
          <w:lang w:eastAsia="ja-JP"/>
        </w:rPr>
      </w:pPr>
    </w:p>
    <w:p w14:paraId="6B0900E1" w14:textId="77777777" w:rsidR="00B01651" w:rsidRPr="00861957" w:rsidRDefault="00B01651" w:rsidP="00142AC0">
      <w:pPr>
        <w:jc w:val="both"/>
        <w:rPr>
          <w:rFonts w:asciiTheme="majorHAnsi" w:eastAsiaTheme="majorEastAsia" w:hAnsiTheme="majorHAnsi" w:cstheme="majorBidi"/>
          <w:b/>
          <w:bCs/>
          <w:color w:val="365F91" w:themeColor="accent1" w:themeShade="BF"/>
          <w:sz w:val="28"/>
          <w:szCs w:val="28"/>
          <w:lang w:eastAsia="ja-JP"/>
        </w:rPr>
      </w:pPr>
    </w:p>
    <w:p w14:paraId="57F11ACF" w14:textId="77777777" w:rsidR="006A7D8C" w:rsidRPr="00861957" w:rsidRDefault="006A7D8C" w:rsidP="006A7D8C">
      <w:pPr>
        <w:rPr>
          <w:b/>
          <w:color w:val="548DD4" w:themeColor="text2" w:themeTint="99"/>
          <w:sz w:val="36"/>
          <w:szCs w:val="36"/>
        </w:rPr>
      </w:pPr>
      <w:bookmarkStart w:id="1" w:name="ref_acknowledgements"/>
      <w:bookmarkStart w:id="2" w:name="ref_TOC"/>
      <w:r w:rsidRPr="00861957">
        <w:rPr>
          <w:b/>
          <w:color w:val="548DD4" w:themeColor="text2" w:themeTint="99"/>
          <w:sz w:val="36"/>
          <w:szCs w:val="36"/>
        </w:rPr>
        <w:t>Signature Page</w:t>
      </w:r>
    </w:p>
    <w:p w14:paraId="579E565B" w14:textId="77777777" w:rsidR="006A7D8C" w:rsidRPr="00861957" w:rsidRDefault="006A7D8C" w:rsidP="006A7D8C">
      <w:pPr>
        <w:jc w:val="both"/>
        <w:rPr>
          <w:b/>
        </w:rPr>
      </w:pPr>
    </w:p>
    <w:p w14:paraId="7063D51F" w14:textId="77777777" w:rsidR="006A7D8C" w:rsidRPr="00861957" w:rsidRDefault="006A7D8C" w:rsidP="006A7D8C">
      <w:pPr>
        <w:jc w:val="both"/>
      </w:pPr>
      <w:r w:rsidRPr="00861957">
        <w:t>The UNDAF will be signed in Minsk, Belarus in 2015 in four original copies (two copies in English and two in Russian) by the following participating parties who endorse the UNDAF and underscore their joint commitment to the fulfilment of its goals.</w:t>
      </w:r>
    </w:p>
    <w:p w14:paraId="40F3EDF6" w14:textId="77777777" w:rsidR="006A7D8C" w:rsidRPr="00861957" w:rsidRDefault="006A7D8C" w:rsidP="006A7D8C">
      <w:pPr>
        <w:jc w:val="both"/>
      </w:pPr>
    </w:p>
    <w:p w14:paraId="68FCDF31" w14:textId="77777777" w:rsidR="006A7D8C" w:rsidRDefault="006A7D8C" w:rsidP="006A7D8C">
      <w:pPr>
        <w:jc w:val="both"/>
      </w:pPr>
    </w:p>
    <w:p w14:paraId="480B390F" w14:textId="77777777" w:rsidR="006A7D8C" w:rsidRDefault="006A7D8C" w:rsidP="006A7D8C">
      <w:pPr>
        <w:jc w:val="both"/>
      </w:pPr>
    </w:p>
    <w:tbl>
      <w:tblPr>
        <w:tblW w:w="10131" w:type="dxa"/>
        <w:tblInd w:w="-66" w:type="dxa"/>
        <w:tblLook w:val="04A0" w:firstRow="1" w:lastRow="0" w:firstColumn="1" w:lastColumn="0" w:noHBand="0" w:noVBand="1"/>
      </w:tblPr>
      <w:tblGrid>
        <w:gridCol w:w="4643"/>
        <w:gridCol w:w="5488"/>
      </w:tblGrid>
      <w:tr w:rsidR="006A7D8C" w:rsidRPr="00484E9E" w14:paraId="1269118B" w14:textId="77777777" w:rsidTr="00D748DE">
        <w:tc>
          <w:tcPr>
            <w:tcW w:w="4643" w:type="dxa"/>
          </w:tcPr>
          <w:p w14:paraId="7198E19E" w14:textId="77777777" w:rsidR="006A7D8C" w:rsidRPr="00484E9E" w:rsidRDefault="006A7D8C" w:rsidP="00D748DE">
            <w:pPr>
              <w:jc w:val="both"/>
              <w:rPr>
                <w:b/>
                <w:lang w:val="en-US"/>
              </w:rPr>
            </w:pPr>
            <w:r>
              <w:rPr>
                <w:b/>
                <w:lang w:val="en-US"/>
              </w:rPr>
              <w:t xml:space="preserve">On behalf of the Government </w:t>
            </w:r>
          </w:p>
          <w:p w14:paraId="11145D31" w14:textId="77777777" w:rsidR="006A7D8C" w:rsidRPr="00484E9E" w:rsidRDefault="006A7D8C" w:rsidP="00D748DE">
            <w:pPr>
              <w:jc w:val="both"/>
              <w:rPr>
                <w:b/>
                <w:lang w:val="en-US"/>
              </w:rPr>
            </w:pPr>
            <w:r>
              <w:rPr>
                <w:b/>
                <w:lang w:val="en-US"/>
              </w:rPr>
              <w:t>Of the Republic of Belarus</w:t>
            </w:r>
            <w:r w:rsidRPr="00484E9E">
              <w:rPr>
                <w:b/>
                <w:lang w:val="en-US"/>
              </w:rPr>
              <w:t xml:space="preserve"> </w:t>
            </w:r>
          </w:p>
          <w:p w14:paraId="5547DEC4" w14:textId="77777777" w:rsidR="006A7D8C" w:rsidRPr="00484E9E" w:rsidRDefault="006A7D8C" w:rsidP="00D748DE">
            <w:pPr>
              <w:jc w:val="both"/>
              <w:rPr>
                <w:b/>
                <w:lang w:val="en-US"/>
              </w:rPr>
            </w:pPr>
            <w:r>
              <w:rPr>
                <w:b/>
                <w:lang w:val="en-US"/>
              </w:rPr>
              <w:t>Vladimir I. Zinovskiy</w:t>
            </w:r>
          </w:p>
          <w:p w14:paraId="4139E75C" w14:textId="77777777" w:rsidR="006A7D8C" w:rsidRPr="00484E9E" w:rsidRDefault="006A7D8C" w:rsidP="00D748DE">
            <w:pPr>
              <w:jc w:val="both"/>
              <w:rPr>
                <w:sz w:val="22"/>
                <w:szCs w:val="22"/>
                <w:lang w:val="en-US"/>
              </w:rPr>
            </w:pPr>
            <w:r w:rsidRPr="00484E9E">
              <w:rPr>
                <w:color w:val="404040"/>
                <w:sz w:val="22"/>
                <w:szCs w:val="22"/>
                <w:lang w:val="en-US"/>
              </w:rPr>
              <w:t>/</w:t>
            </w:r>
            <w:r>
              <w:rPr>
                <w:color w:val="404040"/>
                <w:sz w:val="22"/>
                <w:szCs w:val="22"/>
                <w:lang w:val="en-US"/>
              </w:rPr>
              <w:t>Minister of Economy</w:t>
            </w:r>
            <w:r w:rsidRPr="00484E9E">
              <w:rPr>
                <w:color w:val="404040"/>
                <w:sz w:val="22"/>
                <w:szCs w:val="22"/>
                <w:lang w:val="en-US"/>
              </w:rPr>
              <w:t xml:space="preserve">/ </w:t>
            </w:r>
          </w:p>
        </w:tc>
        <w:tc>
          <w:tcPr>
            <w:tcW w:w="5488" w:type="dxa"/>
          </w:tcPr>
          <w:p w14:paraId="656D8C50" w14:textId="77777777" w:rsidR="006A7D8C" w:rsidRPr="00484E9E" w:rsidRDefault="006A7D8C" w:rsidP="00D748DE">
            <w:pPr>
              <w:jc w:val="right"/>
              <w:rPr>
                <w:b/>
                <w:lang w:val="en-US"/>
              </w:rPr>
            </w:pPr>
            <w:r>
              <w:rPr>
                <w:b/>
                <w:lang w:val="en-US"/>
              </w:rPr>
              <w:t>On behalf of the United Nations</w:t>
            </w:r>
          </w:p>
          <w:p w14:paraId="36ACB560" w14:textId="77777777" w:rsidR="006A7D8C" w:rsidRPr="00484E9E" w:rsidRDefault="006A7D8C" w:rsidP="00D748DE">
            <w:pPr>
              <w:jc w:val="right"/>
              <w:rPr>
                <w:b/>
                <w:lang w:val="en-US"/>
              </w:rPr>
            </w:pPr>
            <w:r>
              <w:rPr>
                <w:b/>
                <w:lang w:val="en-US"/>
              </w:rPr>
              <w:t>In the Republic of Belarus</w:t>
            </w:r>
          </w:p>
          <w:p w14:paraId="1AB6F553" w14:textId="77777777" w:rsidR="006A7D8C" w:rsidRDefault="006A7D8C" w:rsidP="00D748DE">
            <w:pPr>
              <w:ind w:left="-248" w:firstLine="248"/>
              <w:jc w:val="right"/>
              <w:rPr>
                <w:b/>
                <w:lang w:val="en-US"/>
              </w:rPr>
            </w:pPr>
            <w:r w:rsidRPr="00484E9E">
              <w:rPr>
                <w:b/>
                <w:lang w:val="en-US"/>
              </w:rPr>
              <w:t xml:space="preserve">Sanaka Samarasinha </w:t>
            </w:r>
          </w:p>
          <w:p w14:paraId="77EE35A2" w14:textId="77777777" w:rsidR="006A7D8C" w:rsidRPr="00484E9E" w:rsidRDefault="006A7D8C" w:rsidP="00D748DE">
            <w:pPr>
              <w:ind w:left="-248" w:firstLine="248"/>
              <w:jc w:val="right"/>
              <w:rPr>
                <w:color w:val="404040"/>
                <w:sz w:val="22"/>
                <w:szCs w:val="22"/>
                <w:lang w:val="ru-RU"/>
              </w:rPr>
            </w:pPr>
            <w:r w:rsidRPr="00484E9E">
              <w:rPr>
                <w:color w:val="404040"/>
                <w:sz w:val="22"/>
                <w:szCs w:val="22"/>
                <w:lang w:val="ru-RU"/>
              </w:rPr>
              <w:t>/</w:t>
            </w:r>
            <w:r>
              <w:rPr>
                <w:color w:val="404040"/>
                <w:sz w:val="22"/>
                <w:szCs w:val="22"/>
                <w:lang w:val="en-US"/>
              </w:rPr>
              <w:t>United Nations Resident Coordinator</w:t>
            </w:r>
            <w:r w:rsidRPr="00484E9E">
              <w:rPr>
                <w:color w:val="404040"/>
                <w:sz w:val="22"/>
                <w:szCs w:val="22"/>
                <w:lang w:val="ru-RU"/>
              </w:rPr>
              <w:t>/</w:t>
            </w:r>
          </w:p>
          <w:p w14:paraId="088C88CF" w14:textId="77777777" w:rsidR="006A7D8C" w:rsidRPr="00484E9E" w:rsidRDefault="006A7D8C" w:rsidP="00D748DE">
            <w:pPr>
              <w:jc w:val="both"/>
              <w:rPr>
                <w:sz w:val="22"/>
                <w:szCs w:val="22"/>
                <w:lang w:val="ru-RU"/>
              </w:rPr>
            </w:pPr>
          </w:p>
        </w:tc>
      </w:tr>
    </w:tbl>
    <w:tbl>
      <w:tblPr>
        <w:tblStyle w:val="TableGrid"/>
        <w:tblpPr w:leftFromText="180" w:rightFromText="180" w:vertAnchor="text" w:tblpY="1"/>
        <w:tblOverlap w:val="never"/>
        <w:tblW w:w="991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5031"/>
      </w:tblGrid>
      <w:tr w:rsidR="006A7D8C" w:rsidRPr="00861957" w14:paraId="4383E944" w14:textId="77777777" w:rsidTr="006A7D8C">
        <w:trPr>
          <w:trHeight w:val="1216"/>
          <w:tblCellSpacing w:w="28" w:type="dxa"/>
        </w:trPr>
        <w:tc>
          <w:tcPr>
            <w:tcW w:w="4803" w:type="dxa"/>
          </w:tcPr>
          <w:p w14:paraId="63D2B8A4" w14:textId="77777777" w:rsidR="006A7D8C" w:rsidRDefault="006A7D8C" w:rsidP="00D748DE">
            <w:pPr>
              <w:rPr>
                <w:rFonts w:asciiTheme="majorBidi" w:hAnsiTheme="majorBidi" w:cstheme="majorBidi"/>
                <w:b/>
                <w:sz w:val="20"/>
                <w:szCs w:val="20"/>
              </w:rPr>
            </w:pPr>
          </w:p>
          <w:p w14:paraId="26025FCB" w14:textId="77777777" w:rsidR="006A7D8C" w:rsidRDefault="006A7D8C" w:rsidP="00D748DE">
            <w:pPr>
              <w:rPr>
                <w:rFonts w:asciiTheme="majorBidi" w:hAnsiTheme="majorBidi" w:cstheme="majorBidi"/>
                <w:b/>
                <w:sz w:val="20"/>
                <w:szCs w:val="20"/>
              </w:rPr>
            </w:pPr>
          </w:p>
          <w:p w14:paraId="4421BE05" w14:textId="77777777" w:rsidR="006A7D8C" w:rsidRPr="00B53082" w:rsidRDefault="006A7D8C" w:rsidP="00D748DE">
            <w:pPr>
              <w:rPr>
                <w:rFonts w:asciiTheme="majorBidi" w:hAnsiTheme="majorBidi" w:cstheme="majorBidi"/>
                <w:b/>
                <w:sz w:val="18"/>
                <w:szCs w:val="18"/>
              </w:rPr>
            </w:pPr>
            <w:r w:rsidRPr="00B53082">
              <w:rPr>
                <w:rFonts w:asciiTheme="majorBidi" w:hAnsiTheme="majorBidi" w:cstheme="majorBidi"/>
                <w:b/>
                <w:sz w:val="18"/>
                <w:szCs w:val="18"/>
              </w:rPr>
              <w:t>Vladimir Rakhmanin</w:t>
            </w:r>
          </w:p>
          <w:p w14:paraId="5D83A666" w14:textId="77777777" w:rsidR="006A7D8C" w:rsidRPr="00B53082" w:rsidRDefault="006A7D8C" w:rsidP="00D748DE">
            <w:pPr>
              <w:rPr>
                <w:rFonts w:asciiTheme="majorBidi" w:hAnsiTheme="majorBidi" w:cstheme="majorBidi"/>
                <w:sz w:val="18"/>
                <w:szCs w:val="18"/>
              </w:rPr>
            </w:pPr>
            <w:r w:rsidRPr="00B53082">
              <w:rPr>
                <w:rFonts w:asciiTheme="majorBidi" w:hAnsiTheme="majorBidi" w:cstheme="majorBidi"/>
                <w:sz w:val="18"/>
                <w:szCs w:val="18"/>
              </w:rPr>
              <w:t xml:space="preserve">/ FAO Assistant Director-General, </w:t>
            </w:r>
          </w:p>
          <w:p w14:paraId="1E937611" w14:textId="77777777" w:rsidR="006A7D8C" w:rsidRPr="00684F34" w:rsidRDefault="006A7D8C" w:rsidP="00D748DE">
            <w:pPr>
              <w:rPr>
                <w:rFonts w:asciiTheme="majorBidi" w:hAnsiTheme="majorBidi" w:cstheme="majorBidi"/>
                <w:sz w:val="20"/>
                <w:szCs w:val="20"/>
              </w:rPr>
            </w:pPr>
            <w:r w:rsidRPr="00B53082">
              <w:rPr>
                <w:rFonts w:asciiTheme="majorBidi" w:hAnsiTheme="majorBidi" w:cstheme="majorBidi"/>
                <w:sz w:val="18"/>
                <w:szCs w:val="18"/>
              </w:rPr>
              <w:t>Regional Representative for Europe and Central Asia /</w:t>
            </w:r>
          </w:p>
        </w:tc>
        <w:tc>
          <w:tcPr>
            <w:tcW w:w="4947" w:type="dxa"/>
          </w:tcPr>
          <w:p w14:paraId="1A2529F1" w14:textId="77777777" w:rsidR="006A7D8C" w:rsidRDefault="006A7D8C" w:rsidP="00D748DE">
            <w:pPr>
              <w:jc w:val="right"/>
              <w:rPr>
                <w:rFonts w:asciiTheme="majorBidi" w:hAnsiTheme="majorBidi" w:cstheme="majorBidi"/>
                <w:b/>
                <w:sz w:val="20"/>
                <w:szCs w:val="20"/>
                <w:lang w:val="en-US" w:bidi="ar-JO"/>
              </w:rPr>
            </w:pPr>
          </w:p>
          <w:p w14:paraId="1EC6CC22" w14:textId="77777777" w:rsidR="006A7D8C" w:rsidRDefault="006A7D8C" w:rsidP="00D748DE">
            <w:pPr>
              <w:jc w:val="right"/>
              <w:rPr>
                <w:rFonts w:asciiTheme="majorBidi" w:hAnsiTheme="majorBidi" w:cstheme="majorBidi"/>
                <w:b/>
                <w:sz w:val="20"/>
                <w:szCs w:val="20"/>
                <w:lang w:val="en-US" w:bidi="ar-JO"/>
              </w:rPr>
            </w:pPr>
          </w:p>
          <w:p w14:paraId="4B91F610" w14:textId="77777777" w:rsidR="006A7D8C" w:rsidRPr="00B53082" w:rsidRDefault="006A7D8C" w:rsidP="00D748DE">
            <w:pPr>
              <w:jc w:val="right"/>
              <w:rPr>
                <w:rFonts w:asciiTheme="majorBidi" w:hAnsiTheme="majorBidi" w:cstheme="majorBidi"/>
                <w:b/>
                <w:sz w:val="18"/>
                <w:szCs w:val="18"/>
                <w:lang w:val="en-US" w:bidi="ar-JO"/>
              </w:rPr>
            </w:pPr>
            <w:r w:rsidRPr="00B53082">
              <w:rPr>
                <w:rFonts w:asciiTheme="majorBidi" w:hAnsiTheme="majorBidi" w:cstheme="majorBidi"/>
                <w:b/>
                <w:sz w:val="18"/>
                <w:szCs w:val="18"/>
                <w:lang w:val="en-US" w:bidi="ar-JO"/>
              </w:rPr>
              <w:t>Martin Krause</w:t>
            </w:r>
          </w:p>
          <w:p w14:paraId="3999A91E" w14:textId="77777777" w:rsidR="006A7D8C" w:rsidRPr="00684F34" w:rsidRDefault="006A7D8C" w:rsidP="00D748DE">
            <w:pPr>
              <w:jc w:val="right"/>
              <w:rPr>
                <w:rFonts w:asciiTheme="majorBidi" w:hAnsiTheme="majorBidi" w:cstheme="majorBidi"/>
                <w:sz w:val="20"/>
                <w:szCs w:val="20"/>
              </w:rPr>
            </w:pPr>
            <w:r w:rsidRPr="00B53082">
              <w:rPr>
                <w:rFonts w:asciiTheme="majorBidi" w:hAnsiTheme="majorBidi" w:cstheme="majorBidi"/>
                <w:sz w:val="18"/>
                <w:szCs w:val="18"/>
              </w:rPr>
              <w:t xml:space="preserve">/ </w:t>
            </w:r>
            <w:r w:rsidRPr="00B53082">
              <w:rPr>
                <w:rFonts w:asciiTheme="majorBidi" w:hAnsiTheme="majorBidi" w:cstheme="majorBidi"/>
                <w:sz w:val="18"/>
                <w:szCs w:val="18"/>
                <w:shd w:val="clear" w:color="auto" w:fill="FFFFFF"/>
              </w:rPr>
              <w:t xml:space="preserve">IAEA Director of the Division for Europe </w:t>
            </w:r>
            <w:r w:rsidRPr="00684F34">
              <w:rPr>
                <w:rFonts w:asciiTheme="majorBidi" w:hAnsiTheme="majorBidi" w:cstheme="majorBidi"/>
                <w:sz w:val="20"/>
                <w:szCs w:val="20"/>
              </w:rPr>
              <w:t xml:space="preserve">/ </w:t>
            </w:r>
          </w:p>
          <w:p w14:paraId="56F9AD8D" w14:textId="77777777" w:rsidR="006A7D8C" w:rsidRPr="00684F34" w:rsidRDefault="006A7D8C" w:rsidP="00D748DE">
            <w:pPr>
              <w:jc w:val="right"/>
              <w:rPr>
                <w:rFonts w:asciiTheme="majorBidi" w:hAnsiTheme="majorBidi" w:cstheme="majorBidi"/>
                <w:b/>
                <w:sz w:val="20"/>
                <w:szCs w:val="20"/>
              </w:rPr>
            </w:pPr>
            <w:r w:rsidRPr="00684F34">
              <w:rPr>
                <w:rFonts w:asciiTheme="majorBidi" w:hAnsiTheme="majorBidi" w:cstheme="majorBidi"/>
                <w:sz w:val="20"/>
                <w:szCs w:val="20"/>
              </w:rPr>
              <w:t xml:space="preserve">              </w:t>
            </w:r>
          </w:p>
        </w:tc>
      </w:tr>
      <w:tr w:rsidR="006A7D8C" w:rsidRPr="00861957" w14:paraId="48116B08" w14:textId="77777777" w:rsidTr="006A7D8C">
        <w:trPr>
          <w:trHeight w:val="957"/>
          <w:tblCellSpacing w:w="28" w:type="dxa"/>
        </w:trPr>
        <w:tc>
          <w:tcPr>
            <w:tcW w:w="4803" w:type="dxa"/>
          </w:tcPr>
          <w:p w14:paraId="3698B6E3" w14:textId="77777777" w:rsidR="006A7D8C" w:rsidRDefault="006A7D8C" w:rsidP="00D748DE">
            <w:pPr>
              <w:rPr>
                <w:rFonts w:asciiTheme="majorBidi" w:hAnsiTheme="majorBidi" w:cstheme="majorBidi"/>
                <w:b/>
                <w:sz w:val="20"/>
                <w:szCs w:val="20"/>
              </w:rPr>
            </w:pPr>
          </w:p>
          <w:p w14:paraId="1BACEC7F" w14:textId="77777777" w:rsidR="006A7D8C" w:rsidRDefault="006A7D8C" w:rsidP="00D748DE">
            <w:pPr>
              <w:rPr>
                <w:rFonts w:asciiTheme="majorBidi" w:hAnsiTheme="majorBidi" w:cstheme="majorBidi"/>
                <w:b/>
                <w:sz w:val="20"/>
                <w:szCs w:val="20"/>
              </w:rPr>
            </w:pPr>
          </w:p>
          <w:p w14:paraId="53F9894B" w14:textId="77777777" w:rsidR="006A7D8C" w:rsidRPr="00B53082" w:rsidRDefault="006A7D8C" w:rsidP="00D748DE">
            <w:pPr>
              <w:rPr>
                <w:rFonts w:asciiTheme="majorBidi" w:hAnsiTheme="majorBidi" w:cstheme="majorBidi"/>
                <w:b/>
                <w:sz w:val="18"/>
                <w:szCs w:val="18"/>
              </w:rPr>
            </w:pPr>
            <w:r w:rsidRPr="00B53082">
              <w:rPr>
                <w:rFonts w:asciiTheme="majorBidi" w:hAnsiTheme="majorBidi" w:cstheme="majorBidi"/>
                <w:b/>
                <w:sz w:val="18"/>
                <w:szCs w:val="18"/>
              </w:rPr>
              <w:t>Dimitrina Dimitrova</w:t>
            </w:r>
          </w:p>
          <w:p w14:paraId="2714F530" w14:textId="77777777" w:rsidR="006A7D8C" w:rsidRPr="00684F34" w:rsidRDefault="006A7D8C" w:rsidP="00D748DE">
            <w:pPr>
              <w:rPr>
                <w:rFonts w:asciiTheme="majorBidi" w:hAnsiTheme="majorBidi" w:cstheme="majorBidi"/>
                <w:sz w:val="20"/>
                <w:szCs w:val="20"/>
                <w:highlight w:val="yellow"/>
              </w:rPr>
            </w:pPr>
            <w:r w:rsidRPr="00B53082">
              <w:rPr>
                <w:rFonts w:asciiTheme="majorBidi" w:hAnsiTheme="majorBidi" w:cstheme="majorBidi"/>
                <w:b/>
                <w:sz w:val="18"/>
                <w:szCs w:val="18"/>
              </w:rPr>
              <w:t>/</w:t>
            </w:r>
            <w:r w:rsidRPr="00B53082">
              <w:rPr>
                <w:rFonts w:asciiTheme="majorBidi" w:hAnsiTheme="majorBidi" w:cstheme="majorBidi"/>
                <w:sz w:val="18"/>
                <w:szCs w:val="18"/>
                <w:lang w:val="en-US" w:bidi="ar-JO"/>
              </w:rPr>
              <w:t>ILO Director of Subregional Moscow Office</w:t>
            </w:r>
            <w:r w:rsidRPr="00B53082">
              <w:rPr>
                <w:rFonts w:asciiTheme="majorBidi" w:hAnsiTheme="majorBidi" w:cstheme="majorBidi"/>
                <w:sz w:val="18"/>
                <w:szCs w:val="18"/>
              </w:rPr>
              <w:t>/</w:t>
            </w:r>
          </w:p>
        </w:tc>
        <w:tc>
          <w:tcPr>
            <w:tcW w:w="4947" w:type="dxa"/>
          </w:tcPr>
          <w:p w14:paraId="6A0EFE56" w14:textId="77777777" w:rsidR="006A7D8C" w:rsidRDefault="006A7D8C" w:rsidP="00D748DE">
            <w:pPr>
              <w:jc w:val="right"/>
              <w:rPr>
                <w:rFonts w:asciiTheme="majorBidi" w:hAnsiTheme="majorBidi" w:cstheme="majorBidi"/>
                <w:b/>
                <w:sz w:val="20"/>
                <w:szCs w:val="20"/>
              </w:rPr>
            </w:pPr>
          </w:p>
          <w:p w14:paraId="5C402985" w14:textId="77777777" w:rsidR="006A7D8C" w:rsidRDefault="006A7D8C" w:rsidP="00D748DE">
            <w:pPr>
              <w:jc w:val="right"/>
              <w:rPr>
                <w:rFonts w:asciiTheme="majorBidi" w:hAnsiTheme="majorBidi" w:cstheme="majorBidi"/>
                <w:b/>
                <w:sz w:val="20"/>
                <w:szCs w:val="20"/>
              </w:rPr>
            </w:pPr>
          </w:p>
          <w:p w14:paraId="2485ABF5" w14:textId="77777777" w:rsidR="006A7D8C" w:rsidRPr="00B53082" w:rsidRDefault="006A7D8C" w:rsidP="00D748DE">
            <w:pPr>
              <w:jc w:val="right"/>
              <w:rPr>
                <w:rFonts w:asciiTheme="majorBidi" w:hAnsiTheme="majorBidi" w:cstheme="majorBidi"/>
                <w:sz w:val="18"/>
                <w:szCs w:val="18"/>
              </w:rPr>
            </w:pPr>
            <w:r w:rsidRPr="00B53082">
              <w:rPr>
                <w:rFonts w:asciiTheme="majorBidi" w:hAnsiTheme="majorBidi" w:cstheme="majorBidi"/>
                <w:b/>
                <w:sz w:val="18"/>
                <w:szCs w:val="18"/>
              </w:rPr>
              <w:t>Elena Boutrimova</w:t>
            </w:r>
          </w:p>
          <w:p w14:paraId="3722AB46" w14:textId="77777777" w:rsidR="006A7D8C" w:rsidRPr="00684F34" w:rsidRDefault="006A7D8C" w:rsidP="00D748DE">
            <w:pPr>
              <w:jc w:val="right"/>
              <w:rPr>
                <w:rFonts w:asciiTheme="majorBidi" w:hAnsiTheme="majorBidi" w:cstheme="majorBidi"/>
                <w:sz w:val="20"/>
                <w:szCs w:val="20"/>
              </w:rPr>
            </w:pPr>
            <w:r w:rsidRPr="00B53082">
              <w:rPr>
                <w:rFonts w:asciiTheme="majorBidi" w:hAnsiTheme="majorBidi" w:cstheme="majorBidi"/>
                <w:sz w:val="18"/>
                <w:szCs w:val="18"/>
              </w:rPr>
              <w:t xml:space="preserve">/ITC Chief, Office for Eastern Europe and Central Asia </w:t>
            </w:r>
            <w:r w:rsidRPr="00684F34">
              <w:rPr>
                <w:rFonts w:asciiTheme="majorBidi" w:hAnsiTheme="majorBidi" w:cstheme="majorBidi"/>
                <w:sz w:val="20"/>
                <w:szCs w:val="20"/>
              </w:rPr>
              <w:t>/</w:t>
            </w:r>
          </w:p>
        </w:tc>
      </w:tr>
      <w:tr w:rsidR="006A7D8C" w:rsidRPr="006A7D8C" w14:paraId="5FCB3D0E" w14:textId="77777777" w:rsidTr="006A7D8C">
        <w:trPr>
          <w:trHeight w:val="924"/>
          <w:tblCellSpacing w:w="28" w:type="dxa"/>
        </w:trPr>
        <w:tc>
          <w:tcPr>
            <w:tcW w:w="4803" w:type="dxa"/>
          </w:tcPr>
          <w:p w14:paraId="5F43DA23" w14:textId="77777777" w:rsidR="006A7D8C" w:rsidRDefault="006A7D8C" w:rsidP="00D748DE">
            <w:pPr>
              <w:rPr>
                <w:rFonts w:asciiTheme="majorBidi" w:hAnsiTheme="majorBidi" w:cstheme="majorBidi"/>
                <w:b/>
                <w:sz w:val="20"/>
                <w:szCs w:val="20"/>
              </w:rPr>
            </w:pPr>
          </w:p>
          <w:p w14:paraId="49144E73" w14:textId="77777777" w:rsidR="006A7D8C" w:rsidRDefault="006A7D8C" w:rsidP="00D748DE">
            <w:pPr>
              <w:rPr>
                <w:rFonts w:asciiTheme="majorBidi" w:hAnsiTheme="majorBidi" w:cstheme="majorBidi"/>
                <w:b/>
                <w:sz w:val="20"/>
                <w:szCs w:val="20"/>
              </w:rPr>
            </w:pPr>
          </w:p>
          <w:p w14:paraId="2B127489" w14:textId="77777777" w:rsidR="006A7D8C" w:rsidRPr="00B53082" w:rsidRDefault="006A7D8C" w:rsidP="00D748DE">
            <w:pPr>
              <w:rPr>
                <w:rFonts w:asciiTheme="majorBidi" w:hAnsiTheme="majorBidi" w:cstheme="majorBidi"/>
                <w:b/>
                <w:sz w:val="18"/>
                <w:szCs w:val="18"/>
              </w:rPr>
            </w:pPr>
            <w:r w:rsidRPr="00B53082">
              <w:rPr>
                <w:rFonts w:asciiTheme="majorBidi" w:hAnsiTheme="majorBidi" w:cstheme="majorBidi"/>
                <w:b/>
                <w:sz w:val="18"/>
                <w:szCs w:val="18"/>
              </w:rPr>
              <w:t xml:space="preserve">Sanaka Samarasinha </w:t>
            </w:r>
          </w:p>
          <w:p w14:paraId="7E0D6EAD" w14:textId="77777777" w:rsidR="006A7D8C" w:rsidRPr="00684F34" w:rsidRDefault="006A7D8C" w:rsidP="00D748DE">
            <w:pPr>
              <w:rPr>
                <w:rFonts w:asciiTheme="majorBidi" w:hAnsiTheme="majorBidi" w:cstheme="majorBidi"/>
                <w:sz w:val="20"/>
                <w:szCs w:val="20"/>
              </w:rPr>
            </w:pPr>
            <w:r w:rsidRPr="00B53082">
              <w:rPr>
                <w:rFonts w:asciiTheme="majorBidi" w:hAnsiTheme="majorBidi" w:cstheme="majorBidi"/>
                <w:sz w:val="18"/>
                <w:szCs w:val="18"/>
              </w:rPr>
              <w:t>/ On behalf of OHCHR /</w:t>
            </w:r>
          </w:p>
        </w:tc>
        <w:tc>
          <w:tcPr>
            <w:tcW w:w="4947" w:type="dxa"/>
          </w:tcPr>
          <w:p w14:paraId="645BEAEA" w14:textId="77777777" w:rsidR="006A7D8C" w:rsidRPr="00CC2A7E" w:rsidRDefault="006A7D8C" w:rsidP="00D748DE">
            <w:pPr>
              <w:jc w:val="right"/>
              <w:rPr>
                <w:rFonts w:asciiTheme="majorBidi" w:hAnsiTheme="majorBidi" w:cstheme="majorBidi"/>
                <w:b/>
                <w:sz w:val="20"/>
                <w:szCs w:val="20"/>
                <w:lang w:val="en-US"/>
              </w:rPr>
            </w:pPr>
          </w:p>
          <w:p w14:paraId="35500DD1" w14:textId="77777777" w:rsidR="006A7D8C" w:rsidRPr="00CC2A7E" w:rsidRDefault="006A7D8C" w:rsidP="00D748DE">
            <w:pPr>
              <w:jc w:val="right"/>
              <w:rPr>
                <w:rFonts w:asciiTheme="majorBidi" w:hAnsiTheme="majorBidi" w:cstheme="majorBidi"/>
                <w:b/>
                <w:sz w:val="20"/>
                <w:szCs w:val="20"/>
                <w:lang w:val="en-US"/>
              </w:rPr>
            </w:pPr>
          </w:p>
          <w:p w14:paraId="5B2ED999" w14:textId="77777777" w:rsidR="006A7D8C" w:rsidRPr="00B53082" w:rsidRDefault="006A7D8C" w:rsidP="00D748DE">
            <w:pPr>
              <w:jc w:val="right"/>
              <w:rPr>
                <w:rFonts w:asciiTheme="majorBidi" w:hAnsiTheme="majorBidi" w:cstheme="majorBidi"/>
                <w:b/>
                <w:sz w:val="18"/>
                <w:szCs w:val="18"/>
                <w:lang w:val="es-ES"/>
              </w:rPr>
            </w:pPr>
            <w:r w:rsidRPr="00B53082">
              <w:rPr>
                <w:rFonts w:asciiTheme="majorBidi" w:hAnsiTheme="majorBidi" w:cstheme="majorBidi"/>
                <w:b/>
                <w:sz w:val="18"/>
                <w:szCs w:val="18"/>
                <w:lang w:val="es-ES"/>
              </w:rPr>
              <w:t>Vinay Saldanha</w:t>
            </w:r>
          </w:p>
          <w:p w14:paraId="2F5EB825" w14:textId="77777777" w:rsidR="006A7D8C" w:rsidRPr="00684F34" w:rsidRDefault="006A7D8C" w:rsidP="00D748DE">
            <w:pPr>
              <w:jc w:val="right"/>
              <w:rPr>
                <w:rFonts w:asciiTheme="majorBidi" w:hAnsiTheme="majorBidi" w:cstheme="majorBidi"/>
                <w:sz w:val="20"/>
                <w:szCs w:val="20"/>
                <w:lang w:val="es-ES"/>
              </w:rPr>
            </w:pPr>
            <w:r w:rsidRPr="00B53082">
              <w:rPr>
                <w:rFonts w:asciiTheme="majorBidi" w:hAnsiTheme="majorBidi" w:cstheme="majorBidi"/>
                <w:sz w:val="18"/>
                <w:szCs w:val="18"/>
                <w:lang w:val="es-ES"/>
              </w:rPr>
              <w:t>/ UNAIDS Regional Director /</w:t>
            </w:r>
          </w:p>
        </w:tc>
      </w:tr>
      <w:tr w:rsidR="006A7D8C" w:rsidRPr="00861957" w14:paraId="1DA8DE51" w14:textId="77777777" w:rsidTr="006A7D8C">
        <w:trPr>
          <w:trHeight w:val="924"/>
          <w:tblCellSpacing w:w="28" w:type="dxa"/>
        </w:trPr>
        <w:tc>
          <w:tcPr>
            <w:tcW w:w="4803" w:type="dxa"/>
          </w:tcPr>
          <w:p w14:paraId="12F22538" w14:textId="77777777" w:rsidR="006A7D8C" w:rsidRPr="00CC2A7E" w:rsidRDefault="006A7D8C" w:rsidP="00D748DE">
            <w:pPr>
              <w:rPr>
                <w:rFonts w:asciiTheme="majorBidi" w:hAnsiTheme="majorBidi" w:cstheme="majorBidi"/>
                <w:b/>
                <w:sz w:val="20"/>
                <w:szCs w:val="20"/>
                <w:lang w:val="es-ES"/>
              </w:rPr>
            </w:pPr>
          </w:p>
          <w:p w14:paraId="6E8A94BB" w14:textId="77777777" w:rsidR="006A7D8C" w:rsidRPr="00CC2A7E" w:rsidRDefault="006A7D8C" w:rsidP="00D748DE">
            <w:pPr>
              <w:rPr>
                <w:rFonts w:asciiTheme="majorBidi" w:hAnsiTheme="majorBidi" w:cstheme="majorBidi"/>
                <w:b/>
                <w:sz w:val="20"/>
                <w:szCs w:val="20"/>
                <w:lang w:val="es-ES"/>
              </w:rPr>
            </w:pPr>
          </w:p>
          <w:p w14:paraId="5578BD66" w14:textId="77777777" w:rsidR="006A7D8C" w:rsidRPr="00B53082" w:rsidRDefault="006A7D8C" w:rsidP="00D748DE">
            <w:pPr>
              <w:rPr>
                <w:rFonts w:asciiTheme="majorBidi" w:hAnsiTheme="majorBidi" w:cstheme="majorBidi"/>
                <w:sz w:val="18"/>
                <w:szCs w:val="18"/>
              </w:rPr>
            </w:pPr>
            <w:r w:rsidRPr="00B53082">
              <w:rPr>
                <w:rFonts w:asciiTheme="majorBidi" w:hAnsiTheme="majorBidi" w:cstheme="majorBidi"/>
                <w:b/>
                <w:sz w:val="18"/>
                <w:szCs w:val="18"/>
              </w:rPr>
              <w:t xml:space="preserve">Joakim Reiter </w:t>
            </w:r>
          </w:p>
          <w:p w14:paraId="1406C873" w14:textId="77777777" w:rsidR="006A7D8C" w:rsidRPr="00684F34" w:rsidRDefault="006A7D8C" w:rsidP="00D748DE">
            <w:pPr>
              <w:rPr>
                <w:rFonts w:asciiTheme="majorBidi" w:hAnsiTheme="majorBidi" w:cstheme="majorBidi"/>
                <w:sz w:val="20"/>
                <w:szCs w:val="20"/>
              </w:rPr>
            </w:pPr>
            <w:r w:rsidRPr="00B53082">
              <w:rPr>
                <w:rFonts w:asciiTheme="majorBidi" w:hAnsiTheme="majorBidi" w:cstheme="majorBidi"/>
                <w:sz w:val="18"/>
                <w:szCs w:val="18"/>
              </w:rPr>
              <w:t>/ UNCTAD Deputy Secretary-General /</w:t>
            </w:r>
          </w:p>
        </w:tc>
        <w:tc>
          <w:tcPr>
            <w:tcW w:w="4947" w:type="dxa"/>
          </w:tcPr>
          <w:p w14:paraId="6344A7CF" w14:textId="77777777" w:rsidR="006A7D8C" w:rsidRDefault="006A7D8C" w:rsidP="00D748DE">
            <w:pPr>
              <w:jc w:val="right"/>
              <w:rPr>
                <w:rFonts w:asciiTheme="majorBidi" w:hAnsiTheme="majorBidi" w:cstheme="majorBidi"/>
                <w:b/>
                <w:sz w:val="20"/>
                <w:szCs w:val="20"/>
              </w:rPr>
            </w:pPr>
          </w:p>
          <w:p w14:paraId="5BE6ADB4" w14:textId="77777777" w:rsidR="006A7D8C" w:rsidRDefault="006A7D8C" w:rsidP="00D748DE">
            <w:pPr>
              <w:jc w:val="right"/>
              <w:rPr>
                <w:rFonts w:asciiTheme="majorBidi" w:hAnsiTheme="majorBidi" w:cstheme="majorBidi"/>
                <w:b/>
                <w:sz w:val="20"/>
                <w:szCs w:val="20"/>
              </w:rPr>
            </w:pPr>
          </w:p>
          <w:p w14:paraId="3BA2B5BF" w14:textId="77777777" w:rsidR="006A7D8C" w:rsidRPr="00B53082" w:rsidRDefault="006A7D8C" w:rsidP="00D748DE">
            <w:pPr>
              <w:jc w:val="right"/>
              <w:rPr>
                <w:rFonts w:asciiTheme="majorBidi" w:hAnsiTheme="majorBidi" w:cstheme="majorBidi"/>
                <w:sz w:val="18"/>
                <w:szCs w:val="18"/>
              </w:rPr>
            </w:pPr>
            <w:r w:rsidRPr="00B53082">
              <w:rPr>
                <w:rFonts w:asciiTheme="majorBidi" w:hAnsiTheme="majorBidi" w:cstheme="majorBidi"/>
                <w:b/>
                <w:sz w:val="18"/>
                <w:szCs w:val="18"/>
              </w:rPr>
              <w:t>Sanaka Samarasinha</w:t>
            </w:r>
          </w:p>
          <w:p w14:paraId="6C2334AE" w14:textId="77777777" w:rsidR="006A7D8C" w:rsidRPr="00684F34" w:rsidRDefault="006A7D8C" w:rsidP="00D748DE">
            <w:pPr>
              <w:jc w:val="right"/>
              <w:rPr>
                <w:rFonts w:asciiTheme="majorBidi" w:hAnsiTheme="majorBidi" w:cstheme="majorBidi"/>
                <w:sz w:val="20"/>
                <w:szCs w:val="20"/>
              </w:rPr>
            </w:pPr>
            <w:r w:rsidRPr="00B53082">
              <w:rPr>
                <w:rFonts w:asciiTheme="majorBidi" w:hAnsiTheme="majorBidi" w:cstheme="majorBidi"/>
                <w:sz w:val="18"/>
                <w:szCs w:val="18"/>
              </w:rPr>
              <w:t>/ UNDP Resident Representative /</w:t>
            </w:r>
          </w:p>
        </w:tc>
      </w:tr>
      <w:tr w:rsidR="006A7D8C" w:rsidRPr="00861957" w14:paraId="5E5EAF37" w14:textId="77777777" w:rsidTr="006A7D8C">
        <w:trPr>
          <w:trHeight w:val="924"/>
          <w:tblCellSpacing w:w="28" w:type="dxa"/>
        </w:trPr>
        <w:tc>
          <w:tcPr>
            <w:tcW w:w="4803" w:type="dxa"/>
          </w:tcPr>
          <w:p w14:paraId="72657A80" w14:textId="77777777" w:rsidR="006A7D8C" w:rsidRDefault="006A7D8C" w:rsidP="00D748DE">
            <w:pPr>
              <w:rPr>
                <w:rFonts w:asciiTheme="majorBidi" w:hAnsiTheme="majorBidi" w:cstheme="majorBidi"/>
                <w:b/>
                <w:sz w:val="20"/>
                <w:szCs w:val="20"/>
              </w:rPr>
            </w:pPr>
          </w:p>
          <w:p w14:paraId="3A197FBB" w14:textId="77777777" w:rsidR="006A7D8C" w:rsidRDefault="006A7D8C" w:rsidP="00D748DE">
            <w:pPr>
              <w:rPr>
                <w:rFonts w:asciiTheme="majorBidi" w:hAnsiTheme="majorBidi" w:cstheme="majorBidi"/>
                <w:b/>
                <w:sz w:val="20"/>
                <w:szCs w:val="20"/>
              </w:rPr>
            </w:pPr>
          </w:p>
          <w:p w14:paraId="7F45ECE4" w14:textId="77777777" w:rsidR="006A7D8C" w:rsidRPr="00B53082" w:rsidRDefault="006A7D8C" w:rsidP="00D748DE">
            <w:pPr>
              <w:rPr>
                <w:rFonts w:asciiTheme="majorBidi" w:hAnsiTheme="majorBidi" w:cstheme="majorBidi"/>
                <w:sz w:val="18"/>
                <w:szCs w:val="18"/>
              </w:rPr>
            </w:pPr>
            <w:r w:rsidRPr="00B53082">
              <w:rPr>
                <w:rFonts w:asciiTheme="majorBidi" w:hAnsiTheme="majorBidi" w:cstheme="majorBidi"/>
                <w:b/>
                <w:sz w:val="18"/>
                <w:szCs w:val="18"/>
              </w:rPr>
              <w:t>Sanaka Samarasinha</w:t>
            </w:r>
          </w:p>
          <w:p w14:paraId="389DDD5E" w14:textId="77777777" w:rsidR="006A7D8C" w:rsidRPr="00684F34" w:rsidRDefault="006A7D8C" w:rsidP="00D748DE">
            <w:pPr>
              <w:rPr>
                <w:rFonts w:asciiTheme="majorBidi" w:hAnsiTheme="majorBidi" w:cstheme="majorBidi"/>
                <w:sz w:val="20"/>
                <w:szCs w:val="20"/>
              </w:rPr>
            </w:pPr>
            <w:r w:rsidRPr="00B53082">
              <w:rPr>
                <w:rFonts w:asciiTheme="majorBidi" w:hAnsiTheme="majorBidi" w:cstheme="majorBidi"/>
                <w:sz w:val="18"/>
                <w:szCs w:val="18"/>
              </w:rPr>
              <w:t>/On behalf of UNDPI /</w:t>
            </w:r>
          </w:p>
        </w:tc>
        <w:tc>
          <w:tcPr>
            <w:tcW w:w="4947" w:type="dxa"/>
          </w:tcPr>
          <w:p w14:paraId="1B42206A" w14:textId="77777777" w:rsidR="006A7D8C" w:rsidRDefault="006A7D8C" w:rsidP="00D748DE">
            <w:pPr>
              <w:jc w:val="right"/>
              <w:rPr>
                <w:rFonts w:asciiTheme="majorBidi" w:hAnsiTheme="majorBidi" w:cstheme="majorBidi"/>
                <w:b/>
                <w:sz w:val="20"/>
                <w:szCs w:val="20"/>
              </w:rPr>
            </w:pPr>
          </w:p>
          <w:p w14:paraId="52E23E00" w14:textId="77777777" w:rsidR="006A7D8C" w:rsidRDefault="006A7D8C" w:rsidP="00D748DE">
            <w:pPr>
              <w:jc w:val="right"/>
              <w:rPr>
                <w:rFonts w:asciiTheme="majorBidi" w:hAnsiTheme="majorBidi" w:cstheme="majorBidi"/>
                <w:b/>
                <w:sz w:val="20"/>
                <w:szCs w:val="20"/>
              </w:rPr>
            </w:pPr>
          </w:p>
          <w:p w14:paraId="4C716861" w14:textId="77777777" w:rsidR="006A7D8C" w:rsidRPr="00B53082" w:rsidRDefault="006A7D8C" w:rsidP="00D748DE">
            <w:pPr>
              <w:jc w:val="right"/>
              <w:rPr>
                <w:rFonts w:asciiTheme="majorBidi" w:hAnsiTheme="majorBidi" w:cstheme="majorBidi"/>
                <w:sz w:val="18"/>
                <w:szCs w:val="18"/>
              </w:rPr>
            </w:pPr>
            <w:r w:rsidRPr="00B53082">
              <w:rPr>
                <w:rFonts w:asciiTheme="majorBidi" w:hAnsiTheme="majorBidi" w:cstheme="majorBidi"/>
                <w:b/>
                <w:sz w:val="18"/>
                <w:szCs w:val="18"/>
              </w:rPr>
              <w:t>Zamira Eshmambetova</w:t>
            </w:r>
          </w:p>
          <w:p w14:paraId="35BE3E09" w14:textId="77777777" w:rsidR="006A7D8C" w:rsidRPr="00684F34" w:rsidRDefault="006A7D8C" w:rsidP="00D748DE">
            <w:pPr>
              <w:ind w:right="-23"/>
              <w:jc w:val="right"/>
              <w:rPr>
                <w:rFonts w:asciiTheme="majorBidi" w:hAnsiTheme="majorBidi" w:cstheme="majorBidi"/>
                <w:sz w:val="20"/>
                <w:szCs w:val="20"/>
              </w:rPr>
            </w:pPr>
            <w:r w:rsidRPr="00B53082">
              <w:rPr>
                <w:rFonts w:asciiTheme="majorBidi" w:hAnsiTheme="majorBidi" w:cstheme="majorBidi"/>
                <w:sz w:val="18"/>
                <w:szCs w:val="18"/>
              </w:rPr>
              <w:t>/ UNECE Director, Programme Management Unit/</w:t>
            </w:r>
          </w:p>
        </w:tc>
      </w:tr>
      <w:tr w:rsidR="006A7D8C" w:rsidRPr="00861957" w14:paraId="033AA8C1" w14:textId="77777777" w:rsidTr="006A7D8C">
        <w:trPr>
          <w:trHeight w:val="1168"/>
          <w:tblCellSpacing w:w="28" w:type="dxa"/>
        </w:trPr>
        <w:tc>
          <w:tcPr>
            <w:tcW w:w="4803" w:type="dxa"/>
          </w:tcPr>
          <w:p w14:paraId="7174C9E9" w14:textId="77777777" w:rsidR="006A7D8C" w:rsidRDefault="006A7D8C" w:rsidP="00D748DE">
            <w:pPr>
              <w:rPr>
                <w:rFonts w:asciiTheme="majorBidi" w:hAnsiTheme="majorBidi" w:cstheme="majorBidi"/>
                <w:b/>
                <w:sz w:val="20"/>
                <w:szCs w:val="20"/>
              </w:rPr>
            </w:pPr>
          </w:p>
          <w:p w14:paraId="2872F64B" w14:textId="77777777" w:rsidR="006A7D8C" w:rsidRDefault="006A7D8C" w:rsidP="00D748DE">
            <w:pPr>
              <w:rPr>
                <w:rFonts w:asciiTheme="majorBidi" w:hAnsiTheme="majorBidi" w:cstheme="majorBidi"/>
                <w:b/>
                <w:sz w:val="20"/>
                <w:szCs w:val="20"/>
              </w:rPr>
            </w:pPr>
          </w:p>
          <w:p w14:paraId="5D5F5E75" w14:textId="77777777" w:rsidR="006A7D8C" w:rsidRPr="00B53082" w:rsidRDefault="006A7D8C" w:rsidP="00D748DE">
            <w:pPr>
              <w:rPr>
                <w:rFonts w:asciiTheme="majorBidi" w:hAnsiTheme="majorBidi" w:cstheme="majorBidi"/>
                <w:b/>
                <w:sz w:val="18"/>
                <w:szCs w:val="18"/>
              </w:rPr>
            </w:pPr>
            <w:r w:rsidRPr="00B53082">
              <w:rPr>
                <w:rFonts w:asciiTheme="majorBidi" w:hAnsiTheme="majorBidi" w:cstheme="majorBidi"/>
                <w:b/>
                <w:sz w:val="18"/>
                <w:szCs w:val="18"/>
              </w:rPr>
              <w:t>Jan Dusik</w:t>
            </w:r>
          </w:p>
          <w:p w14:paraId="2EB785B9" w14:textId="77777777" w:rsidR="006A7D8C" w:rsidRPr="00684F34" w:rsidRDefault="006A7D8C" w:rsidP="00D748DE">
            <w:pPr>
              <w:rPr>
                <w:rFonts w:asciiTheme="majorBidi" w:hAnsiTheme="majorBidi" w:cstheme="majorBidi"/>
                <w:sz w:val="20"/>
                <w:szCs w:val="20"/>
              </w:rPr>
            </w:pPr>
            <w:r w:rsidRPr="00B53082">
              <w:rPr>
                <w:rFonts w:asciiTheme="majorBidi" w:hAnsiTheme="majorBidi" w:cstheme="majorBidi"/>
                <w:sz w:val="18"/>
                <w:szCs w:val="18"/>
              </w:rPr>
              <w:t>/ UNEP, Regional Director /</w:t>
            </w:r>
          </w:p>
        </w:tc>
        <w:tc>
          <w:tcPr>
            <w:tcW w:w="4947" w:type="dxa"/>
          </w:tcPr>
          <w:p w14:paraId="5191CE2B" w14:textId="77777777" w:rsidR="006A7D8C" w:rsidRDefault="006A7D8C" w:rsidP="00D748DE">
            <w:pPr>
              <w:jc w:val="right"/>
              <w:rPr>
                <w:rFonts w:asciiTheme="majorBidi" w:hAnsiTheme="majorBidi" w:cstheme="majorBidi"/>
                <w:b/>
                <w:sz w:val="20"/>
                <w:szCs w:val="20"/>
              </w:rPr>
            </w:pPr>
          </w:p>
          <w:p w14:paraId="619F17CB" w14:textId="77777777" w:rsidR="006A7D8C" w:rsidRDefault="006A7D8C" w:rsidP="00D748DE">
            <w:pPr>
              <w:tabs>
                <w:tab w:val="left" w:pos="3660"/>
              </w:tabs>
              <w:rPr>
                <w:rFonts w:asciiTheme="majorBidi" w:hAnsiTheme="majorBidi" w:cstheme="majorBidi"/>
                <w:b/>
                <w:sz w:val="20"/>
                <w:szCs w:val="20"/>
              </w:rPr>
            </w:pPr>
            <w:r>
              <w:rPr>
                <w:rFonts w:asciiTheme="majorBidi" w:hAnsiTheme="majorBidi" w:cstheme="majorBidi"/>
                <w:b/>
                <w:sz w:val="20"/>
                <w:szCs w:val="20"/>
              </w:rPr>
              <w:tab/>
            </w:r>
          </w:p>
          <w:p w14:paraId="2F60AE39" w14:textId="77777777" w:rsidR="006A7D8C" w:rsidRPr="00B53082" w:rsidRDefault="006A7D8C" w:rsidP="00D748DE">
            <w:pPr>
              <w:jc w:val="right"/>
              <w:rPr>
                <w:rFonts w:asciiTheme="majorBidi" w:hAnsiTheme="majorBidi" w:cstheme="majorBidi"/>
                <w:b/>
                <w:sz w:val="18"/>
                <w:szCs w:val="18"/>
              </w:rPr>
            </w:pPr>
            <w:r>
              <w:rPr>
                <w:rFonts w:asciiTheme="majorBidi" w:hAnsiTheme="majorBidi" w:cstheme="majorBidi"/>
                <w:b/>
                <w:sz w:val="18"/>
                <w:szCs w:val="18"/>
              </w:rPr>
              <w:t>Dendev Badarch</w:t>
            </w:r>
          </w:p>
          <w:p w14:paraId="2B0894A1" w14:textId="77777777" w:rsidR="006A7D8C" w:rsidRPr="00684F34" w:rsidRDefault="006A7D8C" w:rsidP="00D748DE">
            <w:pPr>
              <w:jc w:val="right"/>
              <w:rPr>
                <w:rFonts w:asciiTheme="majorBidi" w:hAnsiTheme="majorBidi" w:cstheme="majorBidi"/>
                <w:b/>
                <w:sz w:val="20"/>
                <w:szCs w:val="20"/>
              </w:rPr>
            </w:pPr>
            <w:r w:rsidRPr="00B53082">
              <w:rPr>
                <w:rFonts w:asciiTheme="majorBidi" w:hAnsiTheme="majorBidi" w:cstheme="majorBidi"/>
                <w:sz w:val="18"/>
                <w:szCs w:val="18"/>
              </w:rPr>
              <w:t xml:space="preserve">/ UNESCO Director,  Division  for Social  Transformations and Intercultural Dialogue /        </w:t>
            </w:r>
          </w:p>
        </w:tc>
      </w:tr>
      <w:tr w:rsidR="006A7D8C" w:rsidRPr="00861957" w14:paraId="06078A32" w14:textId="77777777" w:rsidTr="006A7D8C">
        <w:trPr>
          <w:trHeight w:val="941"/>
          <w:tblCellSpacing w:w="28" w:type="dxa"/>
        </w:trPr>
        <w:tc>
          <w:tcPr>
            <w:tcW w:w="4803" w:type="dxa"/>
          </w:tcPr>
          <w:p w14:paraId="7C68936E" w14:textId="77777777" w:rsidR="006A7D8C" w:rsidRDefault="006A7D8C" w:rsidP="00D748DE">
            <w:pPr>
              <w:rPr>
                <w:rFonts w:asciiTheme="majorBidi" w:hAnsiTheme="majorBidi" w:cstheme="majorBidi"/>
                <w:b/>
                <w:sz w:val="20"/>
                <w:szCs w:val="20"/>
                <w:lang w:val="es-ES"/>
              </w:rPr>
            </w:pPr>
          </w:p>
          <w:p w14:paraId="52ECE051" w14:textId="77777777" w:rsidR="006A7D8C" w:rsidRDefault="006A7D8C" w:rsidP="00D748DE">
            <w:pPr>
              <w:rPr>
                <w:rFonts w:asciiTheme="majorBidi" w:hAnsiTheme="majorBidi" w:cstheme="majorBidi"/>
                <w:b/>
                <w:sz w:val="20"/>
                <w:szCs w:val="20"/>
                <w:lang w:val="es-ES"/>
              </w:rPr>
            </w:pPr>
          </w:p>
          <w:p w14:paraId="64666FD8" w14:textId="77777777" w:rsidR="006A7D8C" w:rsidRPr="00B53082" w:rsidRDefault="006A7D8C" w:rsidP="00D748DE">
            <w:pPr>
              <w:rPr>
                <w:rFonts w:asciiTheme="majorBidi" w:hAnsiTheme="majorBidi" w:cstheme="majorBidi"/>
                <w:sz w:val="18"/>
                <w:szCs w:val="18"/>
                <w:lang w:val="es-ES"/>
              </w:rPr>
            </w:pPr>
            <w:r w:rsidRPr="00B53082">
              <w:rPr>
                <w:rFonts w:asciiTheme="majorBidi" w:hAnsiTheme="majorBidi" w:cstheme="majorBidi"/>
                <w:b/>
                <w:sz w:val="18"/>
                <w:szCs w:val="18"/>
                <w:lang w:val="es-ES"/>
              </w:rPr>
              <w:t xml:space="preserve">Karen Daduryan </w:t>
            </w:r>
            <w:r w:rsidRPr="00B53082">
              <w:rPr>
                <w:rFonts w:asciiTheme="majorBidi" w:hAnsiTheme="majorBidi" w:cstheme="majorBidi"/>
                <w:sz w:val="18"/>
                <w:szCs w:val="18"/>
                <w:lang w:val="es-ES"/>
              </w:rPr>
              <w:t xml:space="preserve">                                                                                                             </w:t>
            </w:r>
          </w:p>
          <w:p w14:paraId="48DDAB4D" w14:textId="77777777" w:rsidR="006A7D8C" w:rsidRPr="00684F34" w:rsidRDefault="006A7D8C" w:rsidP="00D748DE">
            <w:pPr>
              <w:rPr>
                <w:rFonts w:asciiTheme="majorBidi" w:hAnsiTheme="majorBidi" w:cstheme="majorBidi"/>
                <w:sz w:val="20"/>
                <w:szCs w:val="20"/>
                <w:lang w:val="es-ES"/>
              </w:rPr>
            </w:pPr>
            <w:r w:rsidRPr="00B53082">
              <w:rPr>
                <w:rFonts w:asciiTheme="majorBidi" w:hAnsiTheme="majorBidi" w:cstheme="majorBidi"/>
                <w:sz w:val="18"/>
                <w:szCs w:val="18"/>
                <w:lang w:val="es-ES"/>
              </w:rPr>
              <w:t>/ UNFPA, Deputy Regional Director /</w:t>
            </w:r>
          </w:p>
        </w:tc>
        <w:tc>
          <w:tcPr>
            <w:tcW w:w="4947" w:type="dxa"/>
          </w:tcPr>
          <w:p w14:paraId="7B019025" w14:textId="77777777" w:rsidR="006A7D8C" w:rsidRDefault="006A7D8C" w:rsidP="00D748DE">
            <w:pPr>
              <w:jc w:val="right"/>
              <w:rPr>
                <w:rFonts w:asciiTheme="majorBidi" w:hAnsiTheme="majorBidi" w:cstheme="majorBidi"/>
                <w:b/>
                <w:sz w:val="20"/>
                <w:szCs w:val="20"/>
              </w:rPr>
            </w:pPr>
          </w:p>
          <w:p w14:paraId="0603E038" w14:textId="77777777" w:rsidR="006A7D8C" w:rsidRDefault="006A7D8C" w:rsidP="00D748DE">
            <w:pPr>
              <w:jc w:val="right"/>
              <w:rPr>
                <w:rFonts w:asciiTheme="majorBidi" w:hAnsiTheme="majorBidi" w:cstheme="majorBidi"/>
                <w:b/>
                <w:sz w:val="20"/>
                <w:szCs w:val="20"/>
              </w:rPr>
            </w:pPr>
          </w:p>
          <w:p w14:paraId="5DBD72B9" w14:textId="77777777" w:rsidR="006A7D8C" w:rsidRPr="00B53082" w:rsidRDefault="006A7D8C" w:rsidP="00D748DE">
            <w:pPr>
              <w:jc w:val="right"/>
              <w:rPr>
                <w:rFonts w:asciiTheme="majorBidi" w:hAnsiTheme="majorBidi" w:cstheme="majorBidi"/>
                <w:b/>
                <w:sz w:val="18"/>
                <w:szCs w:val="18"/>
              </w:rPr>
            </w:pPr>
            <w:r w:rsidRPr="00B53082">
              <w:rPr>
                <w:rFonts w:asciiTheme="majorBidi" w:hAnsiTheme="majorBidi" w:cstheme="majorBidi"/>
                <w:b/>
                <w:sz w:val="18"/>
                <w:szCs w:val="18"/>
              </w:rPr>
              <w:t>Jean Yves Bouchardy</w:t>
            </w:r>
          </w:p>
          <w:p w14:paraId="47E70DC1" w14:textId="77777777" w:rsidR="006A7D8C" w:rsidRPr="00684F34" w:rsidRDefault="006A7D8C" w:rsidP="00D748DE">
            <w:pPr>
              <w:jc w:val="right"/>
              <w:rPr>
                <w:rFonts w:asciiTheme="majorBidi" w:hAnsiTheme="majorBidi" w:cstheme="majorBidi"/>
                <w:sz w:val="20"/>
                <w:szCs w:val="20"/>
              </w:rPr>
            </w:pPr>
            <w:r w:rsidRPr="00B53082">
              <w:rPr>
                <w:rFonts w:asciiTheme="majorBidi" w:hAnsiTheme="majorBidi" w:cstheme="majorBidi"/>
                <w:sz w:val="18"/>
                <w:szCs w:val="18"/>
              </w:rPr>
              <w:t xml:space="preserve">/ UNHCR Representative </w:t>
            </w:r>
            <w:r w:rsidRPr="00684F34">
              <w:rPr>
                <w:rFonts w:asciiTheme="majorBidi" w:hAnsiTheme="majorBidi" w:cstheme="majorBidi"/>
                <w:sz w:val="20"/>
                <w:szCs w:val="20"/>
              </w:rPr>
              <w:t>/</w:t>
            </w:r>
          </w:p>
        </w:tc>
      </w:tr>
      <w:tr w:rsidR="006A7D8C" w:rsidRPr="00861957" w14:paraId="156E0122" w14:textId="77777777" w:rsidTr="006A7D8C">
        <w:trPr>
          <w:trHeight w:val="941"/>
          <w:tblCellSpacing w:w="28" w:type="dxa"/>
        </w:trPr>
        <w:tc>
          <w:tcPr>
            <w:tcW w:w="4803" w:type="dxa"/>
          </w:tcPr>
          <w:p w14:paraId="6A4D54E9" w14:textId="77777777" w:rsidR="006A7D8C" w:rsidRDefault="006A7D8C" w:rsidP="00D748DE">
            <w:pPr>
              <w:rPr>
                <w:rFonts w:asciiTheme="majorBidi" w:hAnsiTheme="majorBidi" w:cstheme="majorBidi"/>
                <w:b/>
                <w:sz w:val="20"/>
                <w:szCs w:val="20"/>
              </w:rPr>
            </w:pPr>
          </w:p>
          <w:p w14:paraId="33BF6A0D" w14:textId="77777777" w:rsidR="006A7D8C" w:rsidRDefault="006A7D8C" w:rsidP="00D748DE">
            <w:pPr>
              <w:rPr>
                <w:rFonts w:asciiTheme="majorBidi" w:hAnsiTheme="majorBidi" w:cstheme="majorBidi"/>
                <w:b/>
                <w:sz w:val="20"/>
                <w:szCs w:val="20"/>
              </w:rPr>
            </w:pPr>
          </w:p>
          <w:p w14:paraId="515454C8" w14:textId="77777777" w:rsidR="006A7D8C" w:rsidRPr="00B53082" w:rsidRDefault="006A7D8C" w:rsidP="00D748DE">
            <w:pPr>
              <w:rPr>
                <w:rFonts w:asciiTheme="majorBidi" w:hAnsiTheme="majorBidi" w:cstheme="majorBidi"/>
                <w:b/>
                <w:sz w:val="18"/>
                <w:szCs w:val="18"/>
              </w:rPr>
            </w:pPr>
            <w:r w:rsidRPr="00B53082">
              <w:rPr>
                <w:rFonts w:asciiTheme="majorBidi" w:hAnsiTheme="majorBidi" w:cstheme="majorBidi"/>
                <w:b/>
                <w:sz w:val="18"/>
                <w:szCs w:val="18"/>
              </w:rPr>
              <w:t>Rashed Mustafa Sarwar</w:t>
            </w:r>
          </w:p>
          <w:p w14:paraId="2B455140" w14:textId="77777777" w:rsidR="006A7D8C" w:rsidRPr="00684F34" w:rsidRDefault="006A7D8C" w:rsidP="00D748DE">
            <w:pPr>
              <w:rPr>
                <w:rFonts w:asciiTheme="majorBidi" w:hAnsiTheme="majorBidi" w:cstheme="majorBidi"/>
                <w:sz w:val="20"/>
                <w:szCs w:val="20"/>
              </w:rPr>
            </w:pPr>
            <w:r w:rsidRPr="00B53082">
              <w:rPr>
                <w:rFonts w:asciiTheme="majorBidi" w:hAnsiTheme="majorBidi" w:cstheme="majorBidi"/>
                <w:sz w:val="18"/>
                <w:szCs w:val="18"/>
              </w:rPr>
              <w:t>/ UNICEF Resident Representative /</w:t>
            </w:r>
          </w:p>
        </w:tc>
        <w:tc>
          <w:tcPr>
            <w:tcW w:w="4947" w:type="dxa"/>
          </w:tcPr>
          <w:p w14:paraId="1D4AE0DD" w14:textId="77777777" w:rsidR="006A7D8C" w:rsidRDefault="006A7D8C" w:rsidP="00D748DE">
            <w:pPr>
              <w:jc w:val="right"/>
              <w:rPr>
                <w:rFonts w:asciiTheme="majorBidi" w:hAnsiTheme="majorBidi" w:cstheme="majorBidi"/>
                <w:b/>
                <w:sz w:val="20"/>
                <w:szCs w:val="20"/>
                <w:lang w:val="en-US" w:bidi="ar-JO"/>
              </w:rPr>
            </w:pPr>
          </w:p>
          <w:p w14:paraId="5CA1453E" w14:textId="77777777" w:rsidR="006A7D8C" w:rsidRDefault="006A7D8C" w:rsidP="00D748DE">
            <w:pPr>
              <w:jc w:val="right"/>
              <w:rPr>
                <w:rFonts w:asciiTheme="majorBidi" w:hAnsiTheme="majorBidi" w:cstheme="majorBidi"/>
                <w:b/>
                <w:sz w:val="20"/>
                <w:szCs w:val="20"/>
                <w:lang w:val="en-US" w:bidi="ar-JO"/>
              </w:rPr>
            </w:pPr>
          </w:p>
          <w:p w14:paraId="31EA35E3" w14:textId="77777777" w:rsidR="006A7D8C" w:rsidRPr="00B53082" w:rsidRDefault="006A7D8C" w:rsidP="00D748DE">
            <w:pPr>
              <w:jc w:val="right"/>
              <w:rPr>
                <w:rFonts w:asciiTheme="majorBidi" w:hAnsiTheme="majorBidi" w:cstheme="majorBidi"/>
                <w:b/>
                <w:sz w:val="18"/>
                <w:szCs w:val="18"/>
                <w:lang w:val="en-US" w:bidi="ar-JO"/>
              </w:rPr>
            </w:pPr>
            <w:r w:rsidRPr="00B53082">
              <w:rPr>
                <w:rFonts w:asciiTheme="majorBidi" w:hAnsiTheme="majorBidi" w:cstheme="majorBidi"/>
                <w:b/>
                <w:sz w:val="18"/>
                <w:szCs w:val="18"/>
                <w:lang w:val="en-US" w:bidi="ar-JO"/>
              </w:rPr>
              <w:t>Olga Memedovic</w:t>
            </w:r>
          </w:p>
          <w:p w14:paraId="0122218E" w14:textId="77777777" w:rsidR="006A7D8C" w:rsidRPr="00684F34" w:rsidRDefault="006A7D8C" w:rsidP="00D748DE">
            <w:pPr>
              <w:jc w:val="right"/>
              <w:rPr>
                <w:rFonts w:asciiTheme="majorBidi" w:hAnsiTheme="majorBidi" w:cstheme="majorBidi"/>
                <w:sz w:val="20"/>
                <w:szCs w:val="20"/>
              </w:rPr>
            </w:pPr>
            <w:r w:rsidRPr="00B53082">
              <w:rPr>
                <w:rFonts w:asciiTheme="majorBidi" w:hAnsiTheme="majorBidi" w:cstheme="majorBidi"/>
                <w:sz w:val="18"/>
                <w:szCs w:val="18"/>
              </w:rPr>
              <w:t>/ Chief, Europe &amp; Central Asia Bureau UNIDO /</w:t>
            </w:r>
          </w:p>
        </w:tc>
      </w:tr>
      <w:tr w:rsidR="006A7D8C" w:rsidRPr="009B4450" w14:paraId="32AA4101" w14:textId="77777777" w:rsidTr="006A7D8C">
        <w:trPr>
          <w:trHeight w:val="1152"/>
          <w:tblCellSpacing w:w="28" w:type="dxa"/>
        </w:trPr>
        <w:tc>
          <w:tcPr>
            <w:tcW w:w="4803" w:type="dxa"/>
          </w:tcPr>
          <w:p w14:paraId="382E1FD6" w14:textId="77777777" w:rsidR="006A7D8C" w:rsidRDefault="006A7D8C" w:rsidP="00D748DE">
            <w:pPr>
              <w:rPr>
                <w:rFonts w:asciiTheme="majorBidi" w:hAnsiTheme="majorBidi" w:cstheme="majorBidi"/>
                <w:b/>
                <w:sz w:val="18"/>
                <w:szCs w:val="18"/>
              </w:rPr>
            </w:pPr>
          </w:p>
          <w:p w14:paraId="5C8839B5" w14:textId="77777777" w:rsidR="006A7D8C" w:rsidRDefault="006A7D8C" w:rsidP="00D748DE">
            <w:pPr>
              <w:rPr>
                <w:rFonts w:asciiTheme="majorBidi" w:hAnsiTheme="majorBidi" w:cstheme="majorBidi"/>
                <w:b/>
                <w:sz w:val="18"/>
                <w:szCs w:val="18"/>
              </w:rPr>
            </w:pPr>
          </w:p>
          <w:p w14:paraId="711AB88E" w14:textId="77777777" w:rsidR="006A7D8C" w:rsidRPr="00B53082" w:rsidRDefault="006A7D8C" w:rsidP="00D748DE">
            <w:pPr>
              <w:rPr>
                <w:rFonts w:asciiTheme="majorBidi" w:hAnsiTheme="majorBidi" w:cstheme="majorBidi"/>
                <w:b/>
                <w:sz w:val="18"/>
                <w:szCs w:val="18"/>
              </w:rPr>
            </w:pPr>
            <w:r w:rsidRPr="00B53082">
              <w:rPr>
                <w:rFonts w:asciiTheme="majorBidi" w:hAnsiTheme="majorBidi" w:cstheme="majorBidi"/>
                <w:b/>
                <w:sz w:val="18"/>
                <w:szCs w:val="18"/>
              </w:rPr>
              <w:t>Paola Albrito</w:t>
            </w:r>
          </w:p>
          <w:p w14:paraId="29271DB1" w14:textId="77777777" w:rsidR="006A7D8C" w:rsidRPr="00684F34" w:rsidRDefault="006A7D8C" w:rsidP="00D748DE">
            <w:pPr>
              <w:rPr>
                <w:rFonts w:asciiTheme="majorBidi" w:hAnsiTheme="majorBidi" w:cstheme="majorBidi"/>
                <w:sz w:val="20"/>
                <w:szCs w:val="20"/>
              </w:rPr>
            </w:pPr>
            <w:r w:rsidRPr="00B53082">
              <w:rPr>
                <w:rFonts w:asciiTheme="majorBidi" w:hAnsiTheme="majorBidi" w:cstheme="majorBidi"/>
                <w:sz w:val="18"/>
                <w:szCs w:val="18"/>
              </w:rPr>
              <w:t xml:space="preserve">/ </w:t>
            </w:r>
            <w:r w:rsidRPr="00B53082">
              <w:rPr>
                <w:rFonts w:asciiTheme="majorBidi" w:hAnsiTheme="majorBidi" w:cstheme="majorBidi"/>
                <w:sz w:val="18"/>
                <w:szCs w:val="18"/>
                <w:shd w:val="clear" w:color="auto" w:fill="FFFFFF"/>
              </w:rPr>
              <w:t xml:space="preserve">UNISDR, Regional Director for Europe </w:t>
            </w:r>
            <w:r w:rsidRPr="00B53082">
              <w:rPr>
                <w:rFonts w:asciiTheme="majorBidi" w:hAnsiTheme="majorBidi" w:cstheme="majorBidi"/>
                <w:sz w:val="18"/>
                <w:szCs w:val="18"/>
              </w:rPr>
              <w:t xml:space="preserve">/                                                                                                                                            </w:t>
            </w:r>
          </w:p>
        </w:tc>
        <w:tc>
          <w:tcPr>
            <w:tcW w:w="4947" w:type="dxa"/>
          </w:tcPr>
          <w:p w14:paraId="5CAADDC0" w14:textId="77777777" w:rsidR="006A7D8C" w:rsidRDefault="006A7D8C" w:rsidP="00D748DE">
            <w:pPr>
              <w:jc w:val="right"/>
              <w:rPr>
                <w:rFonts w:asciiTheme="majorBidi" w:hAnsiTheme="majorBidi" w:cstheme="majorBidi"/>
                <w:b/>
                <w:sz w:val="20"/>
                <w:szCs w:val="20"/>
                <w:lang w:val="en-US"/>
              </w:rPr>
            </w:pPr>
          </w:p>
          <w:p w14:paraId="2209EF69" w14:textId="77777777" w:rsidR="006A7D8C" w:rsidRDefault="006A7D8C" w:rsidP="00D748DE">
            <w:pPr>
              <w:jc w:val="right"/>
              <w:rPr>
                <w:rFonts w:asciiTheme="majorBidi" w:hAnsiTheme="majorBidi" w:cstheme="majorBidi"/>
                <w:b/>
                <w:sz w:val="20"/>
                <w:szCs w:val="20"/>
                <w:lang w:val="en-US"/>
              </w:rPr>
            </w:pPr>
          </w:p>
          <w:p w14:paraId="72324EC2" w14:textId="77777777" w:rsidR="006A7D8C" w:rsidRPr="00B53082" w:rsidRDefault="006A7D8C" w:rsidP="00D748DE">
            <w:pPr>
              <w:jc w:val="right"/>
              <w:rPr>
                <w:rFonts w:asciiTheme="majorBidi" w:hAnsiTheme="majorBidi" w:cstheme="majorBidi"/>
                <w:b/>
                <w:sz w:val="18"/>
                <w:szCs w:val="18"/>
                <w:lang w:val="en-US"/>
              </w:rPr>
            </w:pPr>
            <w:r w:rsidRPr="00B53082">
              <w:rPr>
                <w:rFonts w:asciiTheme="majorBidi" w:hAnsiTheme="majorBidi" w:cstheme="majorBidi"/>
                <w:b/>
                <w:sz w:val="18"/>
                <w:szCs w:val="18"/>
                <w:lang w:val="en-US"/>
              </w:rPr>
              <w:t>Alexander Shmidt</w:t>
            </w:r>
          </w:p>
          <w:p w14:paraId="0F044A7C" w14:textId="77777777" w:rsidR="006A7D8C" w:rsidRPr="00684F34" w:rsidRDefault="006A7D8C" w:rsidP="00D748DE">
            <w:pPr>
              <w:jc w:val="right"/>
              <w:rPr>
                <w:rFonts w:asciiTheme="majorBidi" w:hAnsiTheme="majorBidi" w:cstheme="majorBidi"/>
                <w:sz w:val="20"/>
                <w:szCs w:val="20"/>
              </w:rPr>
            </w:pPr>
            <w:r w:rsidRPr="00B53082">
              <w:rPr>
                <w:rFonts w:asciiTheme="majorBidi" w:hAnsiTheme="majorBidi" w:cstheme="majorBidi"/>
                <w:sz w:val="18"/>
                <w:szCs w:val="18"/>
              </w:rPr>
              <w:t>/ UNODC, Chief of the Regional Section for Europe, West and Central Asia /</w:t>
            </w:r>
          </w:p>
        </w:tc>
      </w:tr>
      <w:tr w:rsidR="006A7D8C" w:rsidRPr="00861957" w14:paraId="10A8AA0E" w14:textId="77777777" w:rsidTr="006A7D8C">
        <w:trPr>
          <w:trHeight w:val="941"/>
          <w:tblCellSpacing w:w="28" w:type="dxa"/>
        </w:trPr>
        <w:tc>
          <w:tcPr>
            <w:tcW w:w="4803" w:type="dxa"/>
          </w:tcPr>
          <w:p w14:paraId="488C818E" w14:textId="77777777" w:rsidR="006A7D8C" w:rsidRDefault="006A7D8C" w:rsidP="00D748DE">
            <w:pPr>
              <w:rPr>
                <w:rFonts w:asciiTheme="majorBidi" w:hAnsiTheme="majorBidi" w:cstheme="majorBidi"/>
                <w:b/>
                <w:sz w:val="20"/>
                <w:szCs w:val="20"/>
              </w:rPr>
            </w:pPr>
          </w:p>
          <w:p w14:paraId="5152F548" w14:textId="77777777" w:rsidR="006A7D8C" w:rsidRDefault="006A7D8C" w:rsidP="00D748DE">
            <w:pPr>
              <w:rPr>
                <w:rFonts w:asciiTheme="majorBidi" w:hAnsiTheme="majorBidi" w:cstheme="majorBidi"/>
                <w:b/>
                <w:sz w:val="20"/>
                <w:szCs w:val="20"/>
              </w:rPr>
            </w:pPr>
          </w:p>
          <w:p w14:paraId="7698BD0B" w14:textId="77777777" w:rsidR="006A7D8C" w:rsidRPr="00B53082" w:rsidRDefault="006A7D8C" w:rsidP="00D748DE">
            <w:pPr>
              <w:rPr>
                <w:rFonts w:asciiTheme="majorBidi" w:hAnsiTheme="majorBidi" w:cstheme="majorBidi"/>
                <w:b/>
                <w:sz w:val="18"/>
                <w:szCs w:val="18"/>
              </w:rPr>
            </w:pPr>
            <w:r w:rsidRPr="00B53082">
              <w:rPr>
                <w:rFonts w:asciiTheme="majorBidi" w:hAnsiTheme="majorBidi" w:cstheme="majorBidi"/>
                <w:b/>
                <w:sz w:val="18"/>
                <w:szCs w:val="18"/>
              </w:rPr>
              <w:t>Zsuzsanna Jakab</w:t>
            </w:r>
          </w:p>
          <w:p w14:paraId="5C9952CB" w14:textId="77777777" w:rsidR="006A7D8C" w:rsidRPr="00684F34" w:rsidRDefault="006A7D8C" w:rsidP="00D748DE">
            <w:pPr>
              <w:rPr>
                <w:rFonts w:asciiTheme="majorBidi" w:hAnsiTheme="majorBidi" w:cstheme="majorBidi"/>
                <w:sz w:val="20"/>
                <w:szCs w:val="20"/>
              </w:rPr>
            </w:pPr>
            <w:r w:rsidRPr="00B53082">
              <w:rPr>
                <w:rFonts w:asciiTheme="majorBidi" w:hAnsiTheme="majorBidi" w:cstheme="majorBidi"/>
                <w:sz w:val="18"/>
                <w:szCs w:val="18"/>
              </w:rPr>
              <w:t>/ WHO, Regional Director for Europe /</w:t>
            </w:r>
          </w:p>
        </w:tc>
        <w:tc>
          <w:tcPr>
            <w:tcW w:w="4947" w:type="dxa"/>
          </w:tcPr>
          <w:p w14:paraId="010A2312" w14:textId="77777777" w:rsidR="006A7D8C" w:rsidRDefault="006A7D8C" w:rsidP="00D748DE">
            <w:pPr>
              <w:jc w:val="right"/>
              <w:rPr>
                <w:rFonts w:asciiTheme="majorBidi" w:hAnsiTheme="majorBidi" w:cstheme="majorBidi"/>
                <w:b/>
                <w:sz w:val="20"/>
                <w:szCs w:val="20"/>
              </w:rPr>
            </w:pPr>
          </w:p>
          <w:p w14:paraId="7CF01D89" w14:textId="77777777" w:rsidR="006A7D8C" w:rsidRDefault="006A7D8C" w:rsidP="00D748DE">
            <w:pPr>
              <w:jc w:val="right"/>
              <w:rPr>
                <w:rFonts w:asciiTheme="majorBidi" w:hAnsiTheme="majorBidi" w:cstheme="majorBidi"/>
                <w:b/>
                <w:sz w:val="20"/>
                <w:szCs w:val="20"/>
              </w:rPr>
            </w:pPr>
          </w:p>
          <w:p w14:paraId="22AA1339" w14:textId="77777777" w:rsidR="006A7D8C" w:rsidRPr="00B53082" w:rsidRDefault="006A7D8C" w:rsidP="00D748DE">
            <w:pPr>
              <w:jc w:val="right"/>
              <w:rPr>
                <w:rFonts w:asciiTheme="majorBidi" w:hAnsiTheme="majorBidi" w:cstheme="majorBidi"/>
                <w:sz w:val="18"/>
                <w:szCs w:val="18"/>
              </w:rPr>
            </w:pPr>
            <w:r w:rsidRPr="00B53082">
              <w:rPr>
                <w:rFonts w:asciiTheme="majorBidi" w:hAnsiTheme="majorBidi" w:cstheme="majorBidi"/>
                <w:b/>
                <w:sz w:val="18"/>
                <w:szCs w:val="18"/>
              </w:rPr>
              <w:t>Taleb Rifai</w:t>
            </w:r>
          </w:p>
          <w:p w14:paraId="71B039DC" w14:textId="77777777" w:rsidR="006A7D8C" w:rsidRPr="00684F34" w:rsidRDefault="006A7D8C" w:rsidP="00D748DE">
            <w:pPr>
              <w:jc w:val="right"/>
              <w:rPr>
                <w:rFonts w:asciiTheme="majorBidi" w:hAnsiTheme="majorBidi" w:cstheme="majorBidi"/>
                <w:sz w:val="20"/>
                <w:szCs w:val="20"/>
              </w:rPr>
            </w:pPr>
            <w:r w:rsidRPr="00B53082">
              <w:rPr>
                <w:rFonts w:asciiTheme="majorBidi" w:hAnsiTheme="majorBidi" w:cstheme="majorBidi"/>
                <w:sz w:val="18"/>
                <w:szCs w:val="18"/>
              </w:rPr>
              <w:t>Secretary-General, UNWTO</w:t>
            </w:r>
          </w:p>
        </w:tc>
      </w:tr>
    </w:tbl>
    <w:p w14:paraId="3ED470F5" w14:textId="1A8AAC1D" w:rsidR="00B52A7D" w:rsidRPr="003808F8" w:rsidRDefault="00B52A7D" w:rsidP="00B52A7D">
      <w:pPr>
        <w:jc w:val="both"/>
        <w:rPr>
          <w:color w:val="404040" w:themeColor="text1" w:themeTint="BF"/>
          <w:sz w:val="28"/>
          <w:szCs w:val="28"/>
        </w:rPr>
      </w:pPr>
      <w:r w:rsidRPr="003808F8">
        <w:rPr>
          <w:color w:val="404040" w:themeColor="text1" w:themeTint="BF"/>
          <w:sz w:val="28"/>
          <w:szCs w:val="28"/>
        </w:rPr>
        <w:t xml:space="preserve">                                  </w:t>
      </w:r>
    </w:p>
    <w:p w14:paraId="676E31FE" w14:textId="524E724B" w:rsidR="00027FA6" w:rsidRPr="00861957" w:rsidRDefault="00027FA6" w:rsidP="007F4EDC">
      <w:pPr>
        <w:jc w:val="both"/>
        <w:rPr>
          <w:color w:val="404040" w:themeColor="text1" w:themeTint="BF"/>
        </w:rPr>
      </w:pPr>
      <w:r w:rsidRPr="00861957">
        <w:lastRenderedPageBreak/>
        <w:t xml:space="preserve">                                                                                    </w:t>
      </w:r>
      <w:r w:rsidR="00D6569B" w:rsidRPr="00861957">
        <w:t xml:space="preserve"> </w:t>
      </w:r>
      <w:r w:rsidRPr="00861957">
        <w:t xml:space="preserve"> </w:t>
      </w:r>
    </w:p>
    <w:bookmarkEnd w:id="2" w:displacedByCustomXml="next"/>
    <w:bookmarkEnd w:id="1" w:displacedByCustomXml="next"/>
    <w:sdt>
      <w:sdtPr>
        <w:rPr>
          <w:rFonts w:ascii="Times New Roman" w:eastAsia="Times New Roman" w:hAnsi="Times New Roman" w:cs="Times New Roman"/>
          <w:b w:val="0"/>
          <w:bCs w:val="0"/>
          <w:color w:val="auto"/>
          <w:sz w:val="24"/>
          <w:szCs w:val="24"/>
          <w:lang w:val="en-GB" w:eastAsia="en-GB"/>
        </w:rPr>
        <w:id w:val="767350197"/>
        <w:docPartObj>
          <w:docPartGallery w:val="Table of Contents"/>
          <w:docPartUnique/>
        </w:docPartObj>
      </w:sdtPr>
      <w:sdtEndPr>
        <w:rPr>
          <w:noProof/>
        </w:rPr>
      </w:sdtEndPr>
      <w:sdtContent>
        <w:p w14:paraId="0980C308" w14:textId="77777777" w:rsidR="00F263B1" w:rsidRPr="00861957" w:rsidRDefault="00F263B1">
          <w:pPr>
            <w:pStyle w:val="TOCHeading"/>
            <w:rPr>
              <w:rFonts w:ascii="Times New Roman" w:hAnsi="Times New Roman" w:cs="Times New Roman"/>
              <w:color w:val="548DD4" w:themeColor="text2" w:themeTint="99"/>
              <w:sz w:val="36"/>
              <w:szCs w:val="36"/>
              <w:lang w:val="en-GB"/>
            </w:rPr>
          </w:pPr>
          <w:r w:rsidRPr="00861957">
            <w:rPr>
              <w:rFonts w:ascii="Times New Roman" w:hAnsi="Times New Roman" w:cs="Times New Roman"/>
              <w:color w:val="548DD4" w:themeColor="text2" w:themeTint="99"/>
              <w:sz w:val="36"/>
              <w:szCs w:val="36"/>
              <w:lang w:val="en-GB"/>
            </w:rPr>
            <w:t>Table of Contents</w:t>
          </w:r>
        </w:p>
        <w:p w14:paraId="2BC6B0A5" w14:textId="77777777" w:rsidR="00E2230D" w:rsidRPr="00861957" w:rsidRDefault="00F263B1">
          <w:pPr>
            <w:pStyle w:val="TOC1"/>
            <w:tabs>
              <w:tab w:val="right" w:leader="dot" w:pos="9911"/>
            </w:tabs>
            <w:rPr>
              <w:rFonts w:asciiTheme="minorHAnsi" w:eastAsiaTheme="minorEastAsia" w:hAnsiTheme="minorHAnsi" w:cstheme="minorBidi"/>
              <w:noProof/>
              <w:sz w:val="22"/>
              <w:szCs w:val="22"/>
              <w:lang w:eastAsia="ru-RU"/>
            </w:rPr>
          </w:pPr>
          <w:r w:rsidRPr="00861957">
            <w:fldChar w:fldCharType="begin"/>
          </w:r>
          <w:r w:rsidRPr="00861957">
            <w:instrText xml:space="preserve"> TOC \o "1-3" \h \z \u </w:instrText>
          </w:r>
          <w:r w:rsidRPr="00861957">
            <w:fldChar w:fldCharType="separate"/>
          </w:r>
          <w:hyperlink w:anchor="_Toc412921067" w:history="1">
            <w:r w:rsidR="00E2230D" w:rsidRPr="00861957">
              <w:rPr>
                <w:rStyle w:val="Hyperlink"/>
                <w:b/>
                <w:noProof/>
              </w:rPr>
              <w:t>Executive Summary</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_Toc412921067 \h </w:instrText>
            </w:r>
            <w:r w:rsidR="00E2230D" w:rsidRPr="00861957">
              <w:rPr>
                <w:noProof/>
                <w:webHidden/>
              </w:rPr>
            </w:r>
            <w:r w:rsidR="00E2230D" w:rsidRPr="00861957">
              <w:rPr>
                <w:noProof/>
                <w:webHidden/>
              </w:rPr>
              <w:fldChar w:fldCharType="separate"/>
            </w:r>
            <w:r w:rsidR="003808F8">
              <w:rPr>
                <w:noProof/>
                <w:webHidden/>
              </w:rPr>
              <w:t>5</w:t>
            </w:r>
            <w:r w:rsidR="00E2230D" w:rsidRPr="00861957">
              <w:rPr>
                <w:noProof/>
                <w:webHidden/>
              </w:rPr>
              <w:fldChar w:fldCharType="end"/>
            </w:r>
          </w:hyperlink>
        </w:p>
        <w:p w14:paraId="00738043" w14:textId="77777777" w:rsidR="00E2230D" w:rsidRPr="00861957" w:rsidRDefault="00025481">
          <w:pPr>
            <w:pStyle w:val="TOC1"/>
            <w:tabs>
              <w:tab w:val="right" w:leader="dot" w:pos="9911"/>
            </w:tabs>
            <w:rPr>
              <w:rFonts w:asciiTheme="minorHAnsi" w:eastAsiaTheme="minorEastAsia" w:hAnsiTheme="minorHAnsi" w:cstheme="minorBidi"/>
              <w:noProof/>
              <w:sz w:val="22"/>
              <w:szCs w:val="22"/>
              <w:lang w:eastAsia="ru-RU"/>
            </w:rPr>
          </w:pPr>
          <w:hyperlink w:anchor="_Toc412921068" w:history="1">
            <w:r w:rsidR="00E2230D" w:rsidRPr="00861957">
              <w:rPr>
                <w:rStyle w:val="Hyperlink"/>
                <w:b/>
                <w:noProof/>
              </w:rPr>
              <w:t>Belarus at a Glance</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_Toc412921068 \h </w:instrText>
            </w:r>
            <w:r w:rsidR="00E2230D" w:rsidRPr="00861957">
              <w:rPr>
                <w:noProof/>
                <w:webHidden/>
              </w:rPr>
            </w:r>
            <w:r w:rsidR="00E2230D" w:rsidRPr="00861957">
              <w:rPr>
                <w:noProof/>
                <w:webHidden/>
              </w:rPr>
              <w:fldChar w:fldCharType="separate"/>
            </w:r>
            <w:r w:rsidR="003808F8">
              <w:rPr>
                <w:noProof/>
                <w:webHidden/>
              </w:rPr>
              <w:t>6</w:t>
            </w:r>
            <w:r w:rsidR="00E2230D" w:rsidRPr="00861957">
              <w:rPr>
                <w:noProof/>
                <w:webHidden/>
              </w:rPr>
              <w:fldChar w:fldCharType="end"/>
            </w:r>
          </w:hyperlink>
        </w:p>
        <w:p w14:paraId="6A0C4767" w14:textId="77777777" w:rsidR="00E2230D" w:rsidRPr="00861957" w:rsidRDefault="00025481">
          <w:pPr>
            <w:pStyle w:val="TOC1"/>
            <w:tabs>
              <w:tab w:val="left" w:pos="440"/>
              <w:tab w:val="right" w:leader="dot" w:pos="9911"/>
            </w:tabs>
            <w:rPr>
              <w:rFonts w:asciiTheme="minorHAnsi" w:eastAsiaTheme="minorEastAsia" w:hAnsiTheme="minorHAnsi" w:cstheme="minorBidi"/>
              <w:noProof/>
              <w:sz w:val="22"/>
              <w:szCs w:val="22"/>
              <w:lang w:eastAsia="ru-RU"/>
            </w:rPr>
          </w:pPr>
          <w:hyperlink w:anchor="_Toc412921069" w:history="1">
            <w:r w:rsidR="00E2230D" w:rsidRPr="00861957">
              <w:rPr>
                <w:rStyle w:val="Hyperlink"/>
                <w:b/>
                <w:noProof/>
              </w:rPr>
              <w:t>I.</w:t>
            </w:r>
            <w:r w:rsidR="00E2230D" w:rsidRPr="00861957">
              <w:rPr>
                <w:rFonts w:asciiTheme="minorHAnsi" w:eastAsiaTheme="minorEastAsia" w:hAnsiTheme="minorHAnsi" w:cstheme="minorBidi"/>
                <w:b/>
                <w:noProof/>
                <w:sz w:val="22"/>
                <w:szCs w:val="22"/>
                <w:lang w:eastAsia="ru-RU"/>
              </w:rPr>
              <w:tab/>
            </w:r>
            <w:r w:rsidR="00E2230D" w:rsidRPr="00861957">
              <w:rPr>
                <w:rStyle w:val="Hyperlink"/>
                <w:b/>
                <w:noProof/>
              </w:rPr>
              <w:t>Introduction</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_Toc412921069 \h </w:instrText>
            </w:r>
            <w:r w:rsidR="00E2230D" w:rsidRPr="00861957">
              <w:rPr>
                <w:noProof/>
                <w:webHidden/>
              </w:rPr>
            </w:r>
            <w:r w:rsidR="00E2230D" w:rsidRPr="00861957">
              <w:rPr>
                <w:noProof/>
                <w:webHidden/>
              </w:rPr>
              <w:fldChar w:fldCharType="separate"/>
            </w:r>
            <w:r w:rsidR="003808F8">
              <w:rPr>
                <w:noProof/>
                <w:webHidden/>
              </w:rPr>
              <w:t>7</w:t>
            </w:r>
            <w:r w:rsidR="00E2230D" w:rsidRPr="00861957">
              <w:rPr>
                <w:noProof/>
                <w:webHidden/>
              </w:rPr>
              <w:fldChar w:fldCharType="end"/>
            </w:r>
          </w:hyperlink>
        </w:p>
        <w:p w14:paraId="741C3C0B" w14:textId="77777777" w:rsidR="00E2230D" w:rsidRPr="00861957" w:rsidRDefault="00025481">
          <w:pPr>
            <w:pStyle w:val="TOC2"/>
            <w:tabs>
              <w:tab w:val="right" w:leader="dot" w:pos="9911"/>
            </w:tabs>
            <w:rPr>
              <w:rFonts w:asciiTheme="minorHAnsi" w:eastAsiaTheme="minorEastAsia" w:hAnsiTheme="minorHAnsi" w:cstheme="minorBidi"/>
              <w:noProof/>
              <w:sz w:val="22"/>
              <w:szCs w:val="22"/>
              <w:lang w:eastAsia="ru-RU"/>
            </w:rPr>
          </w:pPr>
          <w:hyperlink w:anchor="_Toc412921070" w:history="1">
            <w:r w:rsidR="00E2230D" w:rsidRPr="00861957">
              <w:rPr>
                <w:rStyle w:val="Hyperlink"/>
                <w:noProof/>
              </w:rPr>
              <w:t>I.i. UNDAF 2016-2020 Development Process Overview</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_Toc412921070 \h </w:instrText>
            </w:r>
            <w:r w:rsidR="00E2230D" w:rsidRPr="00861957">
              <w:rPr>
                <w:noProof/>
                <w:webHidden/>
              </w:rPr>
            </w:r>
            <w:r w:rsidR="00E2230D" w:rsidRPr="00861957">
              <w:rPr>
                <w:noProof/>
                <w:webHidden/>
              </w:rPr>
              <w:fldChar w:fldCharType="separate"/>
            </w:r>
            <w:r w:rsidR="003808F8">
              <w:rPr>
                <w:noProof/>
                <w:webHidden/>
              </w:rPr>
              <w:t>7</w:t>
            </w:r>
            <w:r w:rsidR="00E2230D" w:rsidRPr="00861957">
              <w:rPr>
                <w:noProof/>
                <w:webHidden/>
              </w:rPr>
              <w:fldChar w:fldCharType="end"/>
            </w:r>
          </w:hyperlink>
        </w:p>
        <w:p w14:paraId="7A386070" w14:textId="77777777" w:rsidR="00E2230D" w:rsidRPr="00861957" w:rsidRDefault="00025481">
          <w:pPr>
            <w:pStyle w:val="TOC2"/>
            <w:tabs>
              <w:tab w:val="right" w:leader="dot" w:pos="9911"/>
            </w:tabs>
            <w:rPr>
              <w:rFonts w:asciiTheme="minorHAnsi" w:eastAsiaTheme="minorEastAsia" w:hAnsiTheme="minorHAnsi" w:cstheme="minorBidi"/>
              <w:noProof/>
              <w:sz w:val="22"/>
              <w:szCs w:val="22"/>
              <w:lang w:eastAsia="ru-RU"/>
            </w:rPr>
          </w:pPr>
          <w:hyperlink w:anchor="_Toc412921071" w:history="1">
            <w:r w:rsidR="00E2230D" w:rsidRPr="00861957">
              <w:rPr>
                <w:rStyle w:val="Hyperlink"/>
                <w:noProof/>
              </w:rPr>
              <w:t>I.ii. Development Context</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_Toc412921071 \h </w:instrText>
            </w:r>
            <w:r w:rsidR="00E2230D" w:rsidRPr="00861957">
              <w:rPr>
                <w:noProof/>
                <w:webHidden/>
              </w:rPr>
            </w:r>
            <w:r w:rsidR="00E2230D" w:rsidRPr="00861957">
              <w:rPr>
                <w:noProof/>
                <w:webHidden/>
              </w:rPr>
              <w:fldChar w:fldCharType="separate"/>
            </w:r>
            <w:r w:rsidR="003808F8">
              <w:rPr>
                <w:noProof/>
                <w:webHidden/>
              </w:rPr>
              <w:t>8</w:t>
            </w:r>
            <w:r w:rsidR="00E2230D" w:rsidRPr="00861957">
              <w:rPr>
                <w:noProof/>
                <w:webHidden/>
              </w:rPr>
              <w:fldChar w:fldCharType="end"/>
            </w:r>
          </w:hyperlink>
        </w:p>
        <w:p w14:paraId="5FD89ED9" w14:textId="77777777" w:rsidR="00E2230D" w:rsidRPr="00861957" w:rsidRDefault="00025481">
          <w:pPr>
            <w:pStyle w:val="TOC2"/>
            <w:tabs>
              <w:tab w:val="right" w:leader="dot" w:pos="9911"/>
            </w:tabs>
            <w:rPr>
              <w:rFonts w:asciiTheme="minorHAnsi" w:eastAsiaTheme="minorEastAsia" w:hAnsiTheme="minorHAnsi" w:cstheme="minorBidi"/>
              <w:noProof/>
              <w:sz w:val="22"/>
              <w:szCs w:val="22"/>
              <w:lang w:eastAsia="ru-RU"/>
            </w:rPr>
          </w:pPr>
          <w:hyperlink w:anchor="_Toc412921072" w:history="1">
            <w:r w:rsidR="00E2230D" w:rsidRPr="00861957">
              <w:rPr>
                <w:rStyle w:val="Hyperlink"/>
                <w:noProof/>
              </w:rPr>
              <w:t>I.iii. UN Comparative Advantages</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_Toc412921072 \h </w:instrText>
            </w:r>
            <w:r w:rsidR="00E2230D" w:rsidRPr="00861957">
              <w:rPr>
                <w:noProof/>
                <w:webHidden/>
              </w:rPr>
            </w:r>
            <w:r w:rsidR="00E2230D" w:rsidRPr="00861957">
              <w:rPr>
                <w:noProof/>
                <w:webHidden/>
              </w:rPr>
              <w:fldChar w:fldCharType="separate"/>
            </w:r>
            <w:r w:rsidR="003808F8">
              <w:rPr>
                <w:noProof/>
                <w:webHidden/>
              </w:rPr>
              <w:t>10</w:t>
            </w:r>
            <w:r w:rsidR="00E2230D" w:rsidRPr="00861957">
              <w:rPr>
                <w:noProof/>
                <w:webHidden/>
              </w:rPr>
              <w:fldChar w:fldCharType="end"/>
            </w:r>
          </w:hyperlink>
        </w:p>
        <w:p w14:paraId="1452D5E8" w14:textId="77777777" w:rsidR="00E2230D" w:rsidRPr="00861957" w:rsidRDefault="00025481">
          <w:pPr>
            <w:pStyle w:val="TOC1"/>
            <w:tabs>
              <w:tab w:val="left" w:pos="660"/>
              <w:tab w:val="right" w:leader="dot" w:pos="9911"/>
            </w:tabs>
            <w:rPr>
              <w:rFonts w:asciiTheme="minorHAnsi" w:eastAsiaTheme="minorEastAsia" w:hAnsiTheme="minorHAnsi" w:cstheme="minorBidi"/>
              <w:noProof/>
              <w:sz w:val="22"/>
              <w:szCs w:val="22"/>
              <w:lang w:eastAsia="ru-RU"/>
            </w:rPr>
          </w:pPr>
          <w:hyperlink w:anchor="_Toc412921073" w:history="1">
            <w:r w:rsidR="00E2230D" w:rsidRPr="00861957">
              <w:rPr>
                <w:rStyle w:val="Hyperlink"/>
                <w:b/>
                <w:noProof/>
              </w:rPr>
              <w:t>II.</w:t>
            </w:r>
            <w:r w:rsidR="00E2230D" w:rsidRPr="00861957">
              <w:rPr>
                <w:rFonts w:asciiTheme="minorHAnsi" w:eastAsiaTheme="minorEastAsia" w:hAnsiTheme="minorHAnsi" w:cstheme="minorBidi"/>
                <w:b/>
                <w:noProof/>
                <w:sz w:val="22"/>
                <w:szCs w:val="22"/>
                <w:lang w:eastAsia="ru-RU"/>
              </w:rPr>
              <w:tab/>
            </w:r>
            <w:r w:rsidR="00E2230D" w:rsidRPr="00861957">
              <w:rPr>
                <w:rStyle w:val="Hyperlink"/>
                <w:b/>
                <w:noProof/>
              </w:rPr>
              <w:t>UNDAF Areas of Cooperation</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_Toc412921073 \h </w:instrText>
            </w:r>
            <w:r w:rsidR="00E2230D" w:rsidRPr="00861957">
              <w:rPr>
                <w:noProof/>
                <w:webHidden/>
              </w:rPr>
            </w:r>
            <w:r w:rsidR="00E2230D" w:rsidRPr="00861957">
              <w:rPr>
                <w:noProof/>
                <w:webHidden/>
              </w:rPr>
              <w:fldChar w:fldCharType="separate"/>
            </w:r>
            <w:r w:rsidR="003808F8">
              <w:rPr>
                <w:noProof/>
                <w:webHidden/>
              </w:rPr>
              <w:t>11</w:t>
            </w:r>
            <w:r w:rsidR="00E2230D" w:rsidRPr="00861957">
              <w:rPr>
                <w:noProof/>
                <w:webHidden/>
              </w:rPr>
              <w:fldChar w:fldCharType="end"/>
            </w:r>
          </w:hyperlink>
        </w:p>
        <w:p w14:paraId="48E4EE69" w14:textId="77777777" w:rsidR="00E2230D" w:rsidRPr="00861957" w:rsidRDefault="00025481">
          <w:pPr>
            <w:pStyle w:val="TOC2"/>
            <w:tabs>
              <w:tab w:val="right" w:leader="dot" w:pos="9911"/>
            </w:tabs>
            <w:rPr>
              <w:rFonts w:asciiTheme="minorHAnsi" w:eastAsiaTheme="minorEastAsia" w:hAnsiTheme="minorHAnsi" w:cstheme="minorBidi"/>
              <w:noProof/>
              <w:sz w:val="22"/>
              <w:szCs w:val="22"/>
              <w:lang w:eastAsia="ru-RU"/>
            </w:rPr>
          </w:pPr>
          <w:hyperlink w:anchor="_Toc412921074" w:history="1">
            <w:r w:rsidR="00E2230D" w:rsidRPr="00861957">
              <w:rPr>
                <w:rStyle w:val="Hyperlink"/>
                <w:b/>
                <w:noProof/>
              </w:rPr>
              <w:t>UNDAF Area of Cooperation 1:</w:t>
            </w:r>
            <w:r w:rsidR="00E2230D" w:rsidRPr="00861957">
              <w:rPr>
                <w:rStyle w:val="Hyperlink"/>
                <w:noProof/>
              </w:rPr>
              <w:t xml:space="preserve"> Inclusive, Responsive and Accountable Governance</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_Toc412921074 \h </w:instrText>
            </w:r>
            <w:r w:rsidR="00E2230D" w:rsidRPr="00861957">
              <w:rPr>
                <w:noProof/>
                <w:webHidden/>
              </w:rPr>
            </w:r>
            <w:r w:rsidR="00E2230D" w:rsidRPr="00861957">
              <w:rPr>
                <w:noProof/>
                <w:webHidden/>
              </w:rPr>
              <w:fldChar w:fldCharType="separate"/>
            </w:r>
            <w:r w:rsidR="003808F8">
              <w:rPr>
                <w:noProof/>
                <w:webHidden/>
              </w:rPr>
              <w:t>11</w:t>
            </w:r>
            <w:r w:rsidR="00E2230D" w:rsidRPr="00861957">
              <w:rPr>
                <w:noProof/>
                <w:webHidden/>
              </w:rPr>
              <w:fldChar w:fldCharType="end"/>
            </w:r>
          </w:hyperlink>
        </w:p>
        <w:p w14:paraId="119B16C7" w14:textId="77777777" w:rsidR="00E2230D" w:rsidRPr="00861957" w:rsidRDefault="00025481">
          <w:pPr>
            <w:pStyle w:val="TOC2"/>
            <w:tabs>
              <w:tab w:val="right" w:leader="dot" w:pos="9911"/>
            </w:tabs>
            <w:rPr>
              <w:rFonts w:asciiTheme="minorHAnsi" w:eastAsiaTheme="minorEastAsia" w:hAnsiTheme="minorHAnsi" w:cstheme="minorBidi"/>
              <w:noProof/>
              <w:sz w:val="22"/>
              <w:szCs w:val="22"/>
              <w:lang w:eastAsia="ru-RU"/>
            </w:rPr>
          </w:pPr>
          <w:hyperlink w:anchor="_Toc412921075" w:history="1">
            <w:r w:rsidR="00E2230D" w:rsidRPr="00861957">
              <w:rPr>
                <w:rStyle w:val="Hyperlink"/>
                <w:b/>
                <w:noProof/>
              </w:rPr>
              <w:t xml:space="preserve">UNDAF Area of Cooperation 2: </w:t>
            </w:r>
            <w:r w:rsidR="00E2230D" w:rsidRPr="00861957">
              <w:rPr>
                <w:rStyle w:val="Hyperlink"/>
                <w:noProof/>
              </w:rPr>
              <w:t>Sustainable Economic Development</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_Toc412921075 \h </w:instrText>
            </w:r>
            <w:r w:rsidR="00E2230D" w:rsidRPr="00861957">
              <w:rPr>
                <w:noProof/>
                <w:webHidden/>
              </w:rPr>
            </w:r>
            <w:r w:rsidR="00E2230D" w:rsidRPr="00861957">
              <w:rPr>
                <w:noProof/>
                <w:webHidden/>
              </w:rPr>
              <w:fldChar w:fldCharType="separate"/>
            </w:r>
            <w:r w:rsidR="003808F8">
              <w:rPr>
                <w:noProof/>
                <w:webHidden/>
              </w:rPr>
              <w:t>14</w:t>
            </w:r>
            <w:r w:rsidR="00E2230D" w:rsidRPr="00861957">
              <w:rPr>
                <w:noProof/>
                <w:webHidden/>
              </w:rPr>
              <w:fldChar w:fldCharType="end"/>
            </w:r>
          </w:hyperlink>
        </w:p>
        <w:p w14:paraId="05C5819A" w14:textId="569B47C0" w:rsidR="00E2230D" w:rsidRPr="00861957" w:rsidRDefault="00025481">
          <w:pPr>
            <w:pStyle w:val="TOC2"/>
            <w:tabs>
              <w:tab w:val="right" w:leader="dot" w:pos="9911"/>
            </w:tabs>
            <w:rPr>
              <w:rFonts w:asciiTheme="minorHAnsi" w:eastAsiaTheme="minorEastAsia" w:hAnsiTheme="minorHAnsi" w:cstheme="minorBidi"/>
              <w:noProof/>
              <w:sz w:val="22"/>
              <w:szCs w:val="22"/>
              <w:lang w:eastAsia="ru-RU"/>
            </w:rPr>
          </w:pPr>
          <w:hyperlink w:anchor="_Toc412921076" w:history="1">
            <w:r w:rsidR="00E2230D" w:rsidRPr="00861957">
              <w:rPr>
                <w:rStyle w:val="Hyperlink"/>
                <w:b/>
                <w:noProof/>
              </w:rPr>
              <w:t xml:space="preserve">UNDAF Area of Cooperation 3: </w:t>
            </w:r>
            <w:r w:rsidR="00E2230D" w:rsidRPr="00861957">
              <w:rPr>
                <w:rStyle w:val="Hyperlink"/>
                <w:noProof/>
              </w:rPr>
              <w:t xml:space="preserve">Environmental Protection and Sustainable Environmental Management Based on the </w:t>
            </w:r>
            <w:r w:rsidR="002723B7" w:rsidRPr="00861957">
              <w:rPr>
                <w:rStyle w:val="Hyperlink"/>
                <w:noProof/>
              </w:rPr>
              <w:t xml:space="preserve">Principles of </w:t>
            </w:r>
            <w:r w:rsidR="00E2230D" w:rsidRPr="00861957">
              <w:rPr>
                <w:rStyle w:val="Hyperlink"/>
                <w:noProof/>
              </w:rPr>
              <w:t>Green Economy</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_Toc412921076 \h </w:instrText>
            </w:r>
            <w:r w:rsidR="00E2230D" w:rsidRPr="00861957">
              <w:rPr>
                <w:noProof/>
                <w:webHidden/>
              </w:rPr>
            </w:r>
            <w:r w:rsidR="00E2230D" w:rsidRPr="00861957">
              <w:rPr>
                <w:noProof/>
                <w:webHidden/>
              </w:rPr>
              <w:fldChar w:fldCharType="separate"/>
            </w:r>
            <w:r w:rsidR="003808F8">
              <w:rPr>
                <w:noProof/>
                <w:webHidden/>
              </w:rPr>
              <w:t>18</w:t>
            </w:r>
            <w:r w:rsidR="00E2230D" w:rsidRPr="00861957">
              <w:rPr>
                <w:noProof/>
                <w:webHidden/>
              </w:rPr>
              <w:fldChar w:fldCharType="end"/>
            </w:r>
          </w:hyperlink>
        </w:p>
        <w:p w14:paraId="050991FE" w14:textId="1E1C83D8" w:rsidR="00E2230D" w:rsidRPr="00861957" w:rsidRDefault="00025481">
          <w:pPr>
            <w:pStyle w:val="TOC2"/>
            <w:tabs>
              <w:tab w:val="right" w:leader="dot" w:pos="9911"/>
            </w:tabs>
            <w:rPr>
              <w:rFonts w:asciiTheme="minorHAnsi" w:eastAsiaTheme="minorEastAsia" w:hAnsiTheme="minorHAnsi" w:cstheme="minorBidi"/>
              <w:noProof/>
              <w:sz w:val="22"/>
              <w:szCs w:val="22"/>
              <w:lang w:eastAsia="ru-RU"/>
            </w:rPr>
          </w:pPr>
          <w:hyperlink w:anchor="_Toc412921077" w:history="1">
            <w:r w:rsidR="00E2230D" w:rsidRPr="00861957">
              <w:rPr>
                <w:rStyle w:val="Hyperlink"/>
                <w:b/>
                <w:noProof/>
              </w:rPr>
              <w:t>UNDAF Area of Cooperation 4:</w:t>
            </w:r>
            <w:r w:rsidR="00E2230D" w:rsidRPr="00861957">
              <w:rPr>
                <w:rStyle w:val="Hyperlink"/>
                <w:noProof/>
              </w:rPr>
              <w:t xml:space="preserve"> Sustainable </w:t>
            </w:r>
            <w:r w:rsidR="00761278" w:rsidRPr="00861957">
              <w:rPr>
                <w:rStyle w:val="Hyperlink"/>
                <w:noProof/>
              </w:rPr>
              <w:t xml:space="preserve">Development of </w:t>
            </w:r>
            <w:r w:rsidR="00E2230D" w:rsidRPr="00861957">
              <w:rPr>
                <w:rStyle w:val="Hyperlink"/>
                <w:noProof/>
              </w:rPr>
              <w:t>Human Capital: Health, Education, Social Inclusion and Protection</w:t>
            </w:r>
            <w:r w:rsidR="00470795" w:rsidRPr="00861957">
              <w:rPr>
                <w:rStyle w:val="Hyperlink"/>
                <w:noProof/>
              </w:rPr>
              <w:t>, Comprehensive Post-Chernobyl Development</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_Toc412921077 \h </w:instrText>
            </w:r>
            <w:r w:rsidR="00E2230D" w:rsidRPr="00861957">
              <w:rPr>
                <w:noProof/>
                <w:webHidden/>
              </w:rPr>
            </w:r>
            <w:r w:rsidR="00E2230D" w:rsidRPr="00861957">
              <w:rPr>
                <w:noProof/>
                <w:webHidden/>
              </w:rPr>
              <w:fldChar w:fldCharType="separate"/>
            </w:r>
            <w:r w:rsidR="003808F8">
              <w:rPr>
                <w:noProof/>
                <w:webHidden/>
              </w:rPr>
              <w:t>21</w:t>
            </w:r>
            <w:r w:rsidR="00E2230D" w:rsidRPr="00861957">
              <w:rPr>
                <w:noProof/>
                <w:webHidden/>
              </w:rPr>
              <w:fldChar w:fldCharType="end"/>
            </w:r>
          </w:hyperlink>
        </w:p>
        <w:p w14:paraId="5B3274B8" w14:textId="77777777" w:rsidR="00E2230D" w:rsidRPr="00861957" w:rsidRDefault="00025481">
          <w:pPr>
            <w:pStyle w:val="TOC1"/>
            <w:tabs>
              <w:tab w:val="left" w:pos="660"/>
              <w:tab w:val="right" w:leader="dot" w:pos="9911"/>
            </w:tabs>
            <w:rPr>
              <w:rFonts w:asciiTheme="minorHAnsi" w:eastAsiaTheme="minorEastAsia" w:hAnsiTheme="minorHAnsi" w:cstheme="minorBidi"/>
              <w:noProof/>
              <w:sz w:val="22"/>
              <w:szCs w:val="22"/>
              <w:lang w:eastAsia="ru-RU"/>
            </w:rPr>
          </w:pPr>
          <w:hyperlink w:anchor="_Toc412921078" w:history="1">
            <w:r w:rsidR="00E2230D" w:rsidRPr="00861957">
              <w:rPr>
                <w:rStyle w:val="Hyperlink"/>
                <w:b/>
                <w:noProof/>
              </w:rPr>
              <w:t>III.</w:t>
            </w:r>
            <w:r w:rsidR="00E2230D" w:rsidRPr="00861957">
              <w:rPr>
                <w:rFonts w:asciiTheme="minorHAnsi" w:eastAsiaTheme="minorEastAsia" w:hAnsiTheme="minorHAnsi" w:cstheme="minorBidi"/>
                <w:b/>
                <w:noProof/>
                <w:sz w:val="22"/>
                <w:szCs w:val="22"/>
                <w:lang w:eastAsia="ru-RU"/>
              </w:rPr>
              <w:tab/>
            </w:r>
            <w:r w:rsidR="00E2230D" w:rsidRPr="00861957">
              <w:rPr>
                <w:rStyle w:val="Hyperlink"/>
                <w:b/>
                <w:noProof/>
              </w:rPr>
              <w:t>Estimated Financial Resources</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_Toc412921078 \h </w:instrText>
            </w:r>
            <w:r w:rsidR="00E2230D" w:rsidRPr="00861957">
              <w:rPr>
                <w:noProof/>
                <w:webHidden/>
              </w:rPr>
            </w:r>
            <w:r w:rsidR="00E2230D" w:rsidRPr="00861957">
              <w:rPr>
                <w:noProof/>
                <w:webHidden/>
              </w:rPr>
              <w:fldChar w:fldCharType="separate"/>
            </w:r>
            <w:r w:rsidR="003808F8">
              <w:rPr>
                <w:noProof/>
                <w:webHidden/>
              </w:rPr>
              <w:t>28</w:t>
            </w:r>
            <w:r w:rsidR="00E2230D" w:rsidRPr="00861957">
              <w:rPr>
                <w:noProof/>
                <w:webHidden/>
              </w:rPr>
              <w:fldChar w:fldCharType="end"/>
            </w:r>
          </w:hyperlink>
        </w:p>
        <w:p w14:paraId="39B4A091" w14:textId="77777777" w:rsidR="00E2230D" w:rsidRPr="00861957" w:rsidRDefault="00025481">
          <w:pPr>
            <w:pStyle w:val="TOC1"/>
            <w:tabs>
              <w:tab w:val="left" w:pos="660"/>
              <w:tab w:val="right" w:leader="dot" w:pos="9911"/>
            </w:tabs>
            <w:rPr>
              <w:rFonts w:asciiTheme="minorHAnsi" w:eastAsiaTheme="minorEastAsia" w:hAnsiTheme="minorHAnsi" w:cstheme="minorBidi"/>
              <w:noProof/>
              <w:sz w:val="22"/>
              <w:szCs w:val="22"/>
              <w:lang w:eastAsia="ru-RU"/>
            </w:rPr>
          </w:pPr>
          <w:hyperlink w:anchor="_Toc412921079" w:history="1">
            <w:r w:rsidR="00E2230D" w:rsidRPr="00861957">
              <w:rPr>
                <w:rStyle w:val="Hyperlink"/>
                <w:b/>
                <w:noProof/>
              </w:rPr>
              <w:t>IV.</w:t>
            </w:r>
            <w:r w:rsidR="00E2230D" w:rsidRPr="00861957">
              <w:rPr>
                <w:rFonts w:asciiTheme="minorHAnsi" w:eastAsiaTheme="minorEastAsia" w:hAnsiTheme="minorHAnsi" w:cstheme="minorBidi"/>
                <w:b/>
                <w:noProof/>
                <w:sz w:val="22"/>
                <w:szCs w:val="22"/>
                <w:lang w:eastAsia="ru-RU"/>
              </w:rPr>
              <w:tab/>
            </w:r>
            <w:r w:rsidR="00E2230D" w:rsidRPr="00861957">
              <w:rPr>
                <w:rStyle w:val="Hyperlink"/>
                <w:b/>
                <w:noProof/>
              </w:rPr>
              <w:t>Implementation and Coordination Arrangements</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_Toc412921079 \h </w:instrText>
            </w:r>
            <w:r w:rsidR="00E2230D" w:rsidRPr="00861957">
              <w:rPr>
                <w:noProof/>
                <w:webHidden/>
              </w:rPr>
            </w:r>
            <w:r w:rsidR="00E2230D" w:rsidRPr="00861957">
              <w:rPr>
                <w:noProof/>
                <w:webHidden/>
              </w:rPr>
              <w:fldChar w:fldCharType="separate"/>
            </w:r>
            <w:r w:rsidR="003808F8">
              <w:rPr>
                <w:noProof/>
                <w:webHidden/>
              </w:rPr>
              <w:t>29</w:t>
            </w:r>
            <w:r w:rsidR="00E2230D" w:rsidRPr="00861957">
              <w:rPr>
                <w:noProof/>
                <w:webHidden/>
              </w:rPr>
              <w:fldChar w:fldCharType="end"/>
            </w:r>
          </w:hyperlink>
        </w:p>
        <w:p w14:paraId="6180BFD4" w14:textId="77777777" w:rsidR="00E2230D" w:rsidRPr="00861957" w:rsidRDefault="00025481">
          <w:pPr>
            <w:pStyle w:val="TOC1"/>
            <w:tabs>
              <w:tab w:val="left" w:pos="660"/>
              <w:tab w:val="right" w:leader="dot" w:pos="9911"/>
            </w:tabs>
            <w:rPr>
              <w:rFonts w:asciiTheme="minorHAnsi" w:eastAsiaTheme="minorEastAsia" w:hAnsiTheme="minorHAnsi" w:cstheme="minorBidi"/>
              <w:noProof/>
              <w:sz w:val="22"/>
              <w:szCs w:val="22"/>
              <w:lang w:eastAsia="ru-RU"/>
            </w:rPr>
          </w:pPr>
          <w:hyperlink w:anchor="_Toc412921080" w:history="1">
            <w:r w:rsidR="00E2230D" w:rsidRPr="00861957">
              <w:rPr>
                <w:rStyle w:val="Hyperlink"/>
                <w:b/>
                <w:noProof/>
              </w:rPr>
              <w:t>V.</w:t>
            </w:r>
            <w:r w:rsidR="00E2230D" w:rsidRPr="00861957">
              <w:rPr>
                <w:rFonts w:asciiTheme="minorHAnsi" w:eastAsiaTheme="minorEastAsia" w:hAnsiTheme="minorHAnsi" w:cstheme="minorBidi"/>
                <w:b/>
                <w:noProof/>
                <w:sz w:val="22"/>
                <w:szCs w:val="22"/>
                <w:lang w:eastAsia="ru-RU"/>
              </w:rPr>
              <w:tab/>
            </w:r>
            <w:r w:rsidR="00E2230D" w:rsidRPr="00861957">
              <w:rPr>
                <w:rStyle w:val="Hyperlink"/>
                <w:b/>
                <w:noProof/>
              </w:rPr>
              <w:t>Monitoring and Evaluation Process</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_Toc412921080 \h </w:instrText>
            </w:r>
            <w:r w:rsidR="00E2230D" w:rsidRPr="00861957">
              <w:rPr>
                <w:noProof/>
                <w:webHidden/>
              </w:rPr>
            </w:r>
            <w:r w:rsidR="00E2230D" w:rsidRPr="00861957">
              <w:rPr>
                <w:noProof/>
                <w:webHidden/>
              </w:rPr>
              <w:fldChar w:fldCharType="separate"/>
            </w:r>
            <w:r w:rsidR="003808F8">
              <w:rPr>
                <w:noProof/>
                <w:webHidden/>
              </w:rPr>
              <w:t>30</w:t>
            </w:r>
            <w:r w:rsidR="00E2230D" w:rsidRPr="00861957">
              <w:rPr>
                <w:noProof/>
                <w:webHidden/>
              </w:rPr>
              <w:fldChar w:fldCharType="end"/>
            </w:r>
          </w:hyperlink>
        </w:p>
        <w:p w14:paraId="234C0A19" w14:textId="77777777" w:rsidR="00E2230D" w:rsidRPr="00861957" w:rsidRDefault="00025481">
          <w:pPr>
            <w:pStyle w:val="TOC1"/>
            <w:tabs>
              <w:tab w:val="left" w:pos="660"/>
              <w:tab w:val="right" w:leader="dot" w:pos="9911"/>
            </w:tabs>
            <w:rPr>
              <w:rFonts w:asciiTheme="minorHAnsi" w:eastAsiaTheme="minorEastAsia" w:hAnsiTheme="minorHAnsi" w:cstheme="minorBidi"/>
              <w:noProof/>
              <w:sz w:val="22"/>
              <w:szCs w:val="22"/>
              <w:lang w:eastAsia="ru-RU"/>
            </w:rPr>
          </w:pPr>
          <w:hyperlink w:anchor="_Toc412921081" w:history="1">
            <w:r w:rsidR="00E2230D" w:rsidRPr="00861957">
              <w:rPr>
                <w:rStyle w:val="Hyperlink"/>
                <w:b/>
                <w:noProof/>
              </w:rPr>
              <w:t>VI.</w:t>
            </w:r>
            <w:r w:rsidR="00E2230D" w:rsidRPr="00861957">
              <w:rPr>
                <w:rFonts w:asciiTheme="minorHAnsi" w:eastAsiaTheme="minorEastAsia" w:hAnsiTheme="minorHAnsi" w:cstheme="minorBidi"/>
                <w:b/>
                <w:noProof/>
                <w:sz w:val="22"/>
                <w:szCs w:val="22"/>
                <w:lang w:eastAsia="ru-RU"/>
              </w:rPr>
              <w:tab/>
            </w:r>
            <w:r w:rsidR="00E2230D" w:rsidRPr="00861957">
              <w:rPr>
                <w:rStyle w:val="Hyperlink"/>
                <w:b/>
                <w:noProof/>
              </w:rPr>
              <w:t>Initiatives Outside the UNDAF Results Matrix</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_Toc412921081 \h </w:instrText>
            </w:r>
            <w:r w:rsidR="00E2230D" w:rsidRPr="00861957">
              <w:rPr>
                <w:noProof/>
                <w:webHidden/>
              </w:rPr>
            </w:r>
            <w:r w:rsidR="00E2230D" w:rsidRPr="00861957">
              <w:rPr>
                <w:noProof/>
                <w:webHidden/>
              </w:rPr>
              <w:fldChar w:fldCharType="separate"/>
            </w:r>
            <w:r w:rsidR="003808F8">
              <w:rPr>
                <w:noProof/>
                <w:webHidden/>
              </w:rPr>
              <w:t>30</w:t>
            </w:r>
            <w:r w:rsidR="00E2230D" w:rsidRPr="00861957">
              <w:rPr>
                <w:noProof/>
                <w:webHidden/>
              </w:rPr>
              <w:fldChar w:fldCharType="end"/>
            </w:r>
          </w:hyperlink>
        </w:p>
        <w:p w14:paraId="372C3201" w14:textId="77777777" w:rsidR="00E2230D" w:rsidRPr="00861957" w:rsidRDefault="00025481">
          <w:pPr>
            <w:pStyle w:val="TOC1"/>
            <w:tabs>
              <w:tab w:val="right" w:leader="dot" w:pos="9911"/>
            </w:tabs>
            <w:rPr>
              <w:rFonts w:asciiTheme="minorHAnsi" w:eastAsiaTheme="minorEastAsia" w:hAnsiTheme="minorHAnsi" w:cstheme="minorBidi"/>
              <w:noProof/>
              <w:sz w:val="22"/>
              <w:szCs w:val="22"/>
              <w:lang w:eastAsia="ru-RU"/>
            </w:rPr>
          </w:pPr>
          <w:hyperlink w:anchor="_Toc412921082" w:history="1">
            <w:r w:rsidR="00E2230D" w:rsidRPr="00861957">
              <w:rPr>
                <w:rStyle w:val="Hyperlink"/>
                <w:b/>
                <w:noProof/>
              </w:rPr>
              <w:t>Acronyms and Abbreviations</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_Toc412921082 \h </w:instrText>
            </w:r>
            <w:r w:rsidR="00E2230D" w:rsidRPr="00861957">
              <w:rPr>
                <w:noProof/>
                <w:webHidden/>
              </w:rPr>
            </w:r>
            <w:r w:rsidR="00E2230D" w:rsidRPr="00861957">
              <w:rPr>
                <w:noProof/>
                <w:webHidden/>
              </w:rPr>
              <w:fldChar w:fldCharType="separate"/>
            </w:r>
            <w:r w:rsidR="003808F8">
              <w:rPr>
                <w:noProof/>
                <w:webHidden/>
              </w:rPr>
              <w:t>31</w:t>
            </w:r>
            <w:r w:rsidR="00E2230D" w:rsidRPr="00861957">
              <w:rPr>
                <w:noProof/>
                <w:webHidden/>
              </w:rPr>
              <w:fldChar w:fldCharType="end"/>
            </w:r>
          </w:hyperlink>
        </w:p>
        <w:p w14:paraId="358730CC" w14:textId="77777777" w:rsidR="00E2230D" w:rsidRPr="00861957" w:rsidRDefault="00025481">
          <w:pPr>
            <w:pStyle w:val="TOC1"/>
            <w:tabs>
              <w:tab w:val="right" w:leader="dot" w:pos="9911"/>
            </w:tabs>
            <w:rPr>
              <w:rFonts w:asciiTheme="minorHAnsi" w:eastAsiaTheme="minorEastAsia" w:hAnsiTheme="minorHAnsi" w:cstheme="minorBidi"/>
              <w:noProof/>
              <w:sz w:val="22"/>
              <w:szCs w:val="22"/>
              <w:lang w:eastAsia="ru-RU"/>
            </w:rPr>
          </w:pPr>
          <w:hyperlink w:anchor="_Toc412921083" w:history="1">
            <w:r w:rsidR="00E2230D" w:rsidRPr="00861957">
              <w:rPr>
                <w:rStyle w:val="Hyperlink"/>
                <w:b/>
                <w:noProof/>
              </w:rPr>
              <w:t>Annex I. Results Matrix</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_Toc412921083 \h </w:instrText>
            </w:r>
            <w:r w:rsidR="00E2230D" w:rsidRPr="00861957">
              <w:rPr>
                <w:noProof/>
                <w:webHidden/>
              </w:rPr>
            </w:r>
            <w:r w:rsidR="00E2230D" w:rsidRPr="00861957">
              <w:rPr>
                <w:noProof/>
                <w:webHidden/>
              </w:rPr>
              <w:fldChar w:fldCharType="separate"/>
            </w:r>
            <w:r w:rsidR="003808F8">
              <w:rPr>
                <w:noProof/>
                <w:webHidden/>
              </w:rPr>
              <w:t>34</w:t>
            </w:r>
            <w:r w:rsidR="00E2230D" w:rsidRPr="00861957">
              <w:rPr>
                <w:noProof/>
                <w:webHidden/>
              </w:rPr>
              <w:fldChar w:fldCharType="end"/>
            </w:r>
          </w:hyperlink>
        </w:p>
        <w:p w14:paraId="1E67D32F" w14:textId="77777777" w:rsidR="00E2230D" w:rsidRPr="00861957" w:rsidRDefault="00025481">
          <w:pPr>
            <w:pStyle w:val="TOC1"/>
            <w:tabs>
              <w:tab w:val="right" w:leader="dot" w:pos="9911"/>
            </w:tabs>
            <w:rPr>
              <w:rFonts w:asciiTheme="minorHAnsi" w:eastAsiaTheme="minorEastAsia" w:hAnsiTheme="minorHAnsi" w:cstheme="minorBidi"/>
              <w:noProof/>
              <w:sz w:val="22"/>
              <w:szCs w:val="22"/>
              <w:lang w:eastAsia="ru-RU"/>
            </w:rPr>
          </w:pPr>
          <w:hyperlink w:anchor="_Toc412921084" w:history="1">
            <w:r w:rsidR="00E2230D" w:rsidRPr="00861957">
              <w:rPr>
                <w:rStyle w:val="Hyperlink"/>
                <w:noProof/>
              </w:rPr>
              <w:t>1. National Priorities in the Thematic Area ‘Inclusive, Responsive, and Accountable Governance’</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_Toc412921084 \h </w:instrText>
            </w:r>
            <w:r w:rsidR="00E2230D" w:rsidRPr="00861957">
              <w:rPr>
                <w:noProof/>
                <w:webHidden/>
              </w:rPr>
            </w:r>
            <w:r w:rsidR="00E2230D" w:rsidRPr="00861957">
              <w:rPr>
                <w:noProof/>
                <w:webHidden/>
              </w:rPr>
              <w:fldChar w:fldCharType="separate"/>
            </w:r>
            <w:r w:rsidR="003808F8">
              <w:rPr>
                <w:noProof/>
                <w:webHidden/>
              </w:rPr>
              <w:t>34</w:t>
            </w:r>
            <w:r w:rsidR="00E2230D" w:rsidRPr="00861957">
              <w:rPr>
                <w:noProof/>
                <w:webHidden/>
              </w:rPr>
              <w:fldChar w:fldCharType="end"/>
            </w:r>
          </w:hyperlink>
        </w:p>
        <w:p w14:paraId="101D7A15" w14:textId="77777777" w:rsidR="00E2230D" w:rsidRPr="00861957" w:rsidRDefault="00025481">
          <w:pPr>
            <w:pStyle w:val="TOC1"/>
            <w:tabs>
              <w:tab w:val="right" w:leader="dot" w:pos="9911"/>
            </w:tabs>
            <w:rPr>
              <w:rFonts w:asciiTheme="minorHAnsi" w:eastAsiaTheme="minorEastAsia" w:hAnsiTheme="minorHAnsi" w:cstheme="minorBidi"/>
              <w:noProof/>
              <w:sz w:val="22"/>
              <w:szCs w:val="22"/>
              <w:lang w:eastAsia="ru-RU"/>
            </w:rPr>
          </w:pPr>
          <w:hyperlink w:anchor="_Toc412921085" w:history="1">
            <w:r w:rsidR="00E2230D" w:rsidRPr="00861957">
              <w:rPr>
                <w:rStyle w:val="Hyperlink"/>
                <w:noProof/>
              </w:rPr>
              <w:t>2. National Priorities in the Thematic Area ‘Sustainable Economic Development’</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_Toc412921085 \h </w:instrText>
            </w:r>
            <w:r w:rsidR="00E2230D" w:rsidRPr="00861957">
              <w:rPr>
                <w:noProof/>
                <w:webHidden/>
              </w:rPr>
            </w:r>
            <w:r w:rsidR="00E2230D" w:rsidRPr="00861957">
              <w:rPr>
                <w:noProof/>
                <w:webHidden/>
              </w:rPr>
              <w:fldChar w:fldCharType="separate"/>
            </w:r>
            <w:r w:rsidR="003808F8">
              <w:rPr>
                <w:noProof/>
                <w:webHidden/>
              </w:rPr>
              <w:t>40</w:t>
            </w:r>
            <w:r w:rsidR="00E2230D" w:rsidRPr="00861957">
              <w:rPr>
                <w:noProof/>
                <w:webHidden/>
              </w:rPr>
              <w:fldChar w:fldCharType="end"/>
            </w:r>
          </w:hyperlink>
        </w:p>
        <w:p w14:paraId="55E14075" w14:textId="46FAA8F2" w:rsidR="00E2230D" w:rsidRPr="00861957" w:rsidRDefault="00025481">
          <w:pPr>
            <w:pStyle w:val="TOC1"/>
            <w:tabs>
              <w:tab w:val="right" w:leader="dot" w:pos="9911"/>
            </w:tabs>
            <w:rPr>
              <w:rFonts w:asciiTheme="minorHAnsi" w:eastAsiaTheme="minorEastAsia" w:hAnsiTheme="minorHAnsi" w:cstheme="minorBidi"/>
              <w:noProof/>
              <w:sz w:val="22"/>
              <w:szCs w:val="22"/>
              <w:lang w:eastAsia="ru-RU"/>
            </w:rPr>
          </w:pPr>
          <w:hyperlink w:anchor="_Toc412921086" w:history="1">
            <w:r w:rsidR="00E2230D" w:rsidRPr="00861957">
              <w:rPr>
                <w:rStyle w:val="Hyperlink"/>
                <w:noProof/>
              </w:rPr>
              <w:t xml:space="preserve">3. National Priorities in the Thematic Area ‘Environmental Protection and Sustainable Environmental Management Based on the </w:t>
            </w:r>
            <w:r w:rsidR="00761278" w:rsidRPr="00861957">
              <w:rPr>
                <w:rStyle w:val="Hyperlink"/>
                <w:noProof/>
              </w:rPr>
              <w:t xml:space="preserve">Principles of </w:t>
            </w:r>
            <w:r w:rsidR="00E2230D" w:rsidRPr="00861957">
              <w:rPr>
                <w:rStyle w:val="Hyperlink"/>
                <w:noProof/>
              </w:rPr>
              <w:t>Green Economy’</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_Toc412921086 \h </w:instrText>
            </w:r>
            <w:r w:rsidR="00E2230D" w:rsidRPr="00861957">
              <w:rPr>
                <w:noProof/>
                <w:webHidden/>
              </w:rPr>
            </w:r>
            <w:r w:rsidR="00E2230D" w:rsidRPr="00861957">
              <w:rPr>
                <w:noProof/>
                <w:webHidden/>
              </w:rPr>
              <w:fldChar w:fldCharType="separate"/>
            </w:r>
            <w:r w:rsidR="003808F8">
              <w:rPr>
                <w:noProof/>
                <w:webHidden/>
              </w:rPr>
              <w:t>42</w:t>
            </w:r>
            <w:r w:rsidR="00E2230D" w:rsidRPr="00861957">
              <w:rPr>
                <w:noProof/>
                <w:webHidden/>
              </w:rPr>
              <w:fldChar w:fldCharType="end"/>
            </w:r>
          </w:hyperlink>
        </w:p>
        <w:p w14:paraId="3D72B79F" w14:textId="19301D97" w:rsidR="00E2230D" w:rsidRPr="00861957" w:rsidRDefault="00025481">
          <w:pPr>
            <w:pStyle w:val="TOC1"/>
            <w:tabs>
              <w:tab w:val="right" w:leader="dot" w:pos="9911"/>
            </w:tabs>
            <w:rPr>
              <w:rFonts w:asciiTheme="minorHAnsi" w:eastAsiaTheme="minorEastAsia" w:hAnsiTheme="minorHAnsi" w:cstheme="minorBidi"/>
              <w:noProof/>
              <w:sz w:val="22"/>
              <w:szCs w:val="22"/>
              <w:lang w:eastAsia="ru-RU"/>
            </w:rPr>
          </w:pPr>
          <w:hyperlink w:anchor="_Toc412921087" w:history="1">
            <w:r w:rsidR="00E2230D" w:rsidRPr="00861957">
              <w:rPr>
                <w:rStyle w:val="Hyperlink"/>
                <w:noProof/>
              </w:rPr>
              <w:t>4. National Priorities in the Thematic Area ‘Sustainable Development</w:t>
            </w:r>
            <w:r w:rsidR="00761278" w:rsidRPr="00861957">
              <w:rPr>
                <w:rStyle w:val="Hyperlink"/>
                <w:noProof/>
              </w:rPr>
              <w:t xml:space="preserve"> of Human Capital</w:t>
            </w:r>
            <w:r w:rsidR="00E2230D" w:rsidRPr="00861957">
              <w:rPr>
                <w:rStyle w:val="Hyperlink"/>
                <w:noProof/>
              </w:rPr>
              <w:t>: Health, Education, Social Inclusion and Protection</w:t>
            </w:r>
            <w:r w:rsidR="00470795" w:rsidRPr="00861957">
              <w:rPr>
                <w:rStyle w:val="Hyperlink"/>
                <w:noProof/>
              </w:rPr>
              <w:t>, Comprehensive Post-Chernobyl Development</w:t>
            </w:r>
            <w:r w:rsidR="00E2230D" w:rsidRPr="00861957">
              <w:rPr>
                <w:rStyle w:val="Hyperlink"/>
                <w:noProof/>
              </w:rPr>
              <w:t>’</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_Toc412921087 \h </w:instrText>
            </w:r>
            <w:r w:rsidR="00E2230D" w:rsidRPr="00861957">
              <w:rPr>
                <w:noProof/>
                <w:webHidden/>
              </w:rPr>
            </w:r>
            <w:r w:rsidR="00E2230D" w:rsidRPr="00861957">
              <w:rPr>
                <w:noProof/>
                <w:webHidden/>
              </w:rPr>
              <w:fldChar w:fldCharType="separate"/>
            </w:r>
            <w:r w:rsidR="003808F8">
              <w:rPr>
                <w:noProof/>
                <w:webHidden/>
              </w:rPr>
              <w:t>44</w:t>
            </w:r>
            <w:r w:rsidR="00E2230D" w:rsidRPr="00861957">
              <w:rPr>
                <w:noProof/>
                <w:webHidden/>
              </w:rPr>
              <w:fldChar w:fldCharType="end"/>
            </w:r>
          </w:hyperlink>
        </w:p>
        <w:p w14:paraId="74FB36E9" w14:textId="77777777" w:rsidR="00E2230D" w:rsidRPr="00861957" w:rsidRDefault="00025481">
          <w:pPr>
            <w:pStyle w:val="TOC1"/>
            <w:tabs>
              <w:tab w:val="right" w:leader="dot" w:pos="9911"/>
            </w:tabs>
            <w:rPr>
              <w:rFonts w:asciiTheme="minorHAnsi" w:eastAsiaTheme="minorEastAsia" w:hAnsiTheme="minorHAnsi" w:cstheme="minorBidi"/>
              <w:noProof/>
              <w:sz w:val="22"/>
              <w:szCs w:val="22"/>
              <w:lang w:eastAsia="ru-RU"/>
            </w:rPr>
          </w:pPr>
          <w:hyperlink w:anchor="_Toc412921088" w:history="1">
            <w:r w:rsidR="00E2230D" w:rsidRPr="00861957">
              <w:rPr>
                <w:rStyle w:val="Hyperlink"/>
                <w:b/>
                <w:noProof/>
              </w:rPr>
              <w:t>Annex II. Monitoring &amp; Evaluation Calendar</w:t>
            </w:r>
            <w:r w:rsidR="00E2230D" w:rsidRPr="00861957">
              <w:rPr>
                <w:noProof/>
                <w:webHidden/>
              </w:rPr>
              <w:tab/>
            </w:r>
            <w:r w:rsidR="00E2230D" w:rsidRPr="00861957">
              <w:rPr>
                <w:noProof/>
                <w:webHidden/>
              </w:rPr>
              <w:fldChar w:fldCharType="begin"/>
            </w:r>
            <w:r w:rsidR="00E2230D" w:rsidRPr="00861957">
              <w:rPr>
                <w:noProof/>
                <w:webHidden/>
              </w:rPr>
              <w:instrText xml:space="preserve"> PAGEREF _Toc412921088 \h </w:instrText>
            </w:r>
            <w:r w:rsidR="00E2230D" w:rsidRPr="00861957">
              <w:rPr>
                <w:noProof/>
                <w:webHidden/>
              </w:rPr>
            </w:r>
            <w:r w:rsidR="00E2230D" w:rsidRPr="00861957">
              <w:rPr>
                <w:noProof/>
                <w:webHidden/>
              </w:rPr>
              <w:fldChar w:fldCharType="separate"/>
            </w:r>
            <w:r w:rsidR="003808F8">
              <w:rPr>
                <w:noProof/>
                <w:webHidden/>
              </w:rPr>
              <w:t>59</w:t>
            </w:r>
            <w:r w:rsidR="00E2230D" w:rsidRPr="00861957">
              <w:rPr>
                <w:noProof/>
                <w:webHidden/>
              </w:rPr>
              <w:fldChar w:fldCharType="end"/>
            </w:r>
          </w:hyperlink>
        </w:p>
        <w:p w14:paraId="647674EA" w14:textId="2B2F1E86" w:rsidR="00F263B1" w:rsidRPr="00861957" w:rsidRDefault="00F263B1">
          <w:r w:rsidRPr="00861957">
            <w:rPr>
              <w:b/>
              <w:bCs/>
              <w:noProof/>
            </w:rPr>
            <w:fldChar w:fldCharType="end"/>
          </w:r>
        </w:p>
      </w:sdtContent>
    </w:sdt>
    <w:p w14:paraId="2F7020FB" w14:textId="77777777" w:rsidR="000C6214" w:rsidRPr="00861957" w:rsidRDefault="000C6214" w:rsidP="00F263B1">
      <w:pPr>
        <w:pStyle w:val="TOCHeading"/>
        <w:rPr>
          <w:b w:val="0"/>
          <w:lang w:val="en-GB"/>
        </w:rPr>
      </w:pPr>
    </w:p>
    <w:p w14:paraId="7BAE0D34" w14:textId="77777777" w:rsidR="000C6214" w:rsidRPr="00861957" w:rsidRDefault="000C6214" w:rsidP="00B83DB3">
      <w:pPr>
        <w:jc w:val="both"/>
        <w:rPr>
          <w:b/>
        </w:rPr>
      </w:pPr>
    </w:p>
    <w:p w14:paraId="5F3D83CB" w14:textId="77777777" w:rsidR="000C6214" w:rsidRPr="00861957" w:rsidRDefault="000C6214" w:rsidP="00B83DB3">
      <w:pPr>
        <w:jc w:val="both"/>
        <w:rPr>
          <w:b/>
        </w:rPr>
      </w:pPr>
    </w:p>
    <w:p w14:paraId="55F5DEFB" w14:textId="77777777" w:rsidR="000C6214" w:rsidRPr="00861957" w:rsidRDefault="000C6214" w:rsidP="00B83DB3">
      <w:pPr>
        <w:jc w:val="both"/>
        <w:rPr>
          <w:b/>
        </w:rPr>
      </w:pPr>
    </w:p>
    <w:p w14:paraId="54783406" w14:textId="77777777" w:rsidR="000C6214" w:rsidRPr="00861957" w:rsidRDefault="000C6214" w:rsidP="00B83DB3">
      <w:pPr>
        <w:jc w:val="both"/>
        <w:rPr>
          <w:b/>
        </w:rPr>
      </w:pPr>
    </w:p>
    <w:p w14:paraId="2270B927" w14:textId="77777777" w:rsidR="000C6214" w:rsidRPr="00861957" w:rsidRDefault="000C6214" w:rsidP="00B83DB3">
      <w:pPr>
        <w:jc w:val="both"/>
        <w:rPr>
          <w:b/>
        </w:rPr>
      </w:pPr>
    </w:p>
    <w:p w14:paraId="597BC104" w14:textId="77777777" w:rsidR="000C6214" w:rsidRPr="00861957" w:rsidRDefault="000C6214" w:rsidP="00B83DB3">
      <w:pPr>
        <w:jc w:val="both"/>
        <w:rPr>
          <w:b/>
        </w:rPr>
      </w:pPr>
    </w:p>
    <w:p w14:paraId="7BA8AAF7" w14:textId="77777777" w:rsidR="000C6214" w:rsidRPr="00861957" w:rsidRDefault="000C6214" w:rsidP="00B83DB3">
      <w:pPr>
        <w:jc w:val="both"/>
        <w:rPr>
          <w:b/>
        </w:rPr>
      </w:pPr>
    </w:p>
    <w:p w14:paraId="10B3B0E2" w14:textId="77777777" w:rsidR="000C6214" w:rsidRPr="00861957" w:rsidRDefault="000C6214" w:rsidP="00B83DB3">
      <w:pPr>
        <w:jc w:val="both"/>
        <w:rPr>
          <w:b/>
        </w:rPr>
      </w:pPr>
    </w:p>
    <w:p w14:paraId="589577D6" w14:textId="77777777" w:rsidR="000C6214" w:rsidRPr="00861957" w:rsidRDefault="000C6214" w:rsidP="00B83DB3">
      <w:pPr>
        <w:jc w:val="both"/>
        <w:rPr>
          <w:b/>
        </w:rPr>
      </w:pPr>
    </w:p>
    <w:p w14:paraId="79232D3F" w14:textId="77777777" w:rsidR="000C6214" w:rsidRPr="00861957" w:rsidRDefault="000C6214" w:rsidP="00B83DB3">
      <w:pPr>
        <w:jc w:val="both"/>
        <w:rPr>
          <w:b/>
        </w:rPr>
      </w:pPr>
    </w:p>
    <w:p w14:paraId="558BC84A" w14:textId="77777777" w:rsidR="00F932D3" w:rsidRPr="00861957" w:rsidRDefault="00F932D3" w:rsidP="00B83DB3">
      <w:pPr>
        <w:jc w:val="both"/>
        <w:rPr>
          <w:b/>
        </w:rPr>
      </w:pPr>
    </w:p>
    <w:p w14:paraId="6E8FA934" w14:textId="77777777" w:rsidR="00F932D3" w:rsidRPr="00861957" w:rsidRDefault="00F932D3" w:rsidP="00B83DB3">
      <w:pPr>
        <w:jc w:val="both"/>
        <w:rPr>
          <w:b/>
        </w:rPr>
      </w:pPr>
    </w:p>
    <w:p w14:paraId="105BABD3" w14:textId="267A06B5" w:rsidR="00F932D3" w:rsidRPr="00861957" w:rsidRDefault="00F932D3" w:rsidP="00F932D3">
      <w:pPr>
        <w:pStyle w:val="Heading1"/>
        <w:rPr>
          <w:rFonts w:ascii="Times New Roman" w:hAnsi="Times New Roman" w:cs="Times New Roman"/>
          <w:color w:val="548DD4" w:themeColor="text2" w:themeTint="99"/>
          <w:sz w:val="36"/>
          <w:szCs w:val="36"/>
        </w:rPr>
      </w:pPr>
      <w:bookmarkStart w:id="3" w:name="_Toc405745106"/>
      <w:bookmarkStart w:id="4" w:name="_Toc412921067"/>
      <w:r w:rsidRPr="00861957">
        <w:rPr>
          <w:rFonts w:ascii="Times New Roman" w:hAnsi="Times New Roman" w:cs="Times New Roman"/>
          <w:color w:val="548DD4" w:themeColor="text2" w:themeTint="99"/>
          <w:sz w:val="36"/>
          <w:szCs w:val="36"/>
        </w:rPr>
        <w:lastRenderedPageBreak/>
        <w:t>Executive Summary</w:t>
      </w:r>
      <w:bookmarkEnd w:id="3"/>
      <w:bookmarkEnd w:id="4"/>
    </w:p>
    <w:p w14:paraId="27DB81EA" w14:textId="77777777" w:rsidR="00F932D3" w:rsidRPr="00861957" w:rsidRDefault="00F932D3" w:rsidP="00B83DB3">
      <w:pPr>
        <w:jc w:val="both"/>
        <w:rPr>
          <w:b/>
        </w:rPr>
      </w:pPr>
    </w:p>
    <w:p w14:paraId="2B13B3B1" w14:textId="753A8F79" w:rsidR="00630B90" w:rsidRPr="00861957" w:rsidRDefault="00B850FE" w:rsidP="00B73025">
      <w:pPr>
        <w:jc w:val="both"/>
      </w:pPr>
      <w:r w:rsidRPr="00861957">
        <w:t xml:space="preserve">The United Nations Development Assistance Framework (UNDAF) for the Republic of Belarus for 2016-2020 is the second joint strategy of the UN </w:t>
      </w:r>
      <w:r w:rsidR="00B73025">
        <w:t>agencies</w:t>
      </w:r>
      <w:r w:rsidR="00B73025" w:rsidRPr="00861957">
        <w:t xml:space="preserve"> </w:t>
      </w:r>
      <w:r w:rsidR="00B73025">
        <w:t>working</w:t>
      </w:r>
      <w:r w:rsidR="00B73025" w:rsidRPr="00861957">
        <w:t xml:space="preserve"> </w:t>
      </w:r>
      <w:r w:rsidRPr="00861957">
        <w:t xml:space="preserve">in Belarus. The UNDAF has been prepared by the United Nations Country Team in Belarus in consultation with the Government of the Republic of Belarus, civil society, </w:t>
      </w:r>
      <w:r w:rsidR="00761278" w:rsidRPr="00861957">
        <w:t xml:space="preserve">the </w:t>
      </w:r>
      <w:r w:rsidRPr="00861957">
        <w:t xml:space="preserve">private sector, </w:t>
      </w:r>
      <w:r w:rsidR="00CB33A8" w:rsidRPr="00861957">
        <w:t xml:space="preserve">vulnerable groups, </w:t>
      </w:r>
      <w:r w:rsidR="00630B90" w:rsidRPr="00861957">
        <w:t xml:space="preserve">and national and international partners, with the aim of promoting and protecting human rights and improving </w:t>
      </w:r>
      <w:r w:rsidR="00761278" w:rsidRPr="00861957">
        <w:t xml:space="preserve">the </w:t>
      </w:r>
      <w:r w:rsidR="00630B90" w:rsidRPr="00861957">
        <w:t>lives of the people of Belarus</w:t>
      </w:r>
      <w:r w:rsidR="00E35E61" w:rsidRPr="00861957">
        <w:t>.</w:t>
      </w:r>
    </w:p>
    <w:p w14:paraId="2DE1644B" w14:textId="77777777" w:rsidR="00042DD1" w:rsidRPr="00861957" w:rsidRDefault="00042DD1" w:rsidP="00B850FE">
      <w:pPr>
        <w:jc w:val="both"/>
      </w:pPr>
    </w:p>
    <w:p w14:paraId="3AD166AA" w14:textId="1F682619" w:rsidR="00B850FE" w:rsidRPr="00861957" w:rsidRDefault="00B850FE" w:rsidP="00B850FE">
      <w:pPr>
        <w:jc w:val="both"/>
      </w:pPr>
      <w:r w:rsidRPr="00861957">
        <w:t xml:space="preserve">The UNDAF focuses on four strategic areas </w:t>
      </w:r>
      <w:r w:rsidR="009D0658" w:rsidRPr="00861957">
        <w:t xml:space="preserve">of response, which are in line with the mandate of the UN, its comparative advantages and </w:t>
      </w:r>
      <w:r w:rsidRPr="00861957">
        <w:t xml:space="preserve">key national priorities outlined in the National Strategy </w:t>
      </w:r>
      <w:r w:rsidR="00761278" w:rsidRPr="00861957">
        <w:t>for</w:t>
      </w:r>
      <w:r w:rsidRPr="00861957">
        <w:t xml:space="preserve"> Sustainable Socio-Economic Development </w:t>
      </w:r>
      <w:r w:rsidR="00761278" w:rsidRPr="00861957">
        <w:t>in</w:t>
      </w:r>
      <w:r w:rsidRPr="00861957">
        <w:t xml:space="preserve"> </w:t>
      </w:r>
      <w:r w:rsidR="00372065" w:rsidRPr="00861957">
        <w:t>the Republic of Belarus</w:t>
      </w:r>
      <w:r w:rsidRPr="00861957">
        <w:t xml:space="preserve"> </w:t>
      </w:r>
      <w:r w:rsidR="00761278" w:rsidRPr="00861957">
        <w:t xml:space="preserve">until </w:t>
      </w:r>
      <w:r w:rsidRPr="00861957">
        <w:t>2030</w:t>
      </w:r>
      <w:r w:rsidR="009D0658" w:rsidRPr="00861957">
        <w:t xml:space="preserve"> (</w:t>
      </w:r>
      <w:r w:rsidR="000B47C6">
        <w:t>NSSSED</w:t>
      </w:r>
      <w:r w:rsidR="009D0658" w:rsidRPr="00861957">
        <w:t>-2030). The strategic</w:t>
      </w:r>
      <w:r w:rsidRPr="00861957">
        <w:t xml:space="preserve"> areas will set the main direction and scope of action of the UN</w:t>
      </w:r>
      <w:r w:rsidR="00E26CC3" w:rsidRPr="00861957">
        <w:t>’s</w:t>
      </w:r>
      <w:r w:rsidRPr="00861957">
        <w:t xml:space="preserve"> development assistance to Belarus </w:t>
      </w:r>
      <w:r w:rsidR="009D0658" w:rsidRPr="00861957">
        <w:t>in</w:t>
      </w:r>
      <w:r w:rsidRPr="00861957">
        <w:t xml:space="preserve"> cooperation with the Gove</w:t>
      </w:r>
      <w:r w:rsidR="009D0658" w:rsidRPr="00861957">
        <w:t>rnment over the next five years, and include:</w:t>
      </w:r>
    </w:p>
    <w:p w14:paraId="0E5C644C" w14:textId="77777777" w:rsidR="00B850FE" w:rsidRPr="00861957" w:rsidRDefault="00B850FE" w:rsidP="00B850FE">
      <w:pPr>
        <w:jc w:val="both"/>
      </w:pPr>
    </w:p>
    <w:p w14:paraId="0980779A" w14:textId="77777777" w:rsidR="00B850FE" w:rsidRPr="00861957" w:rsidRDefault="00B850FE" w:rsidP="00B850FE">
      <w:pPr>
        <w:pStyle w:val="ListParagraph"/>
        <w:numPr>
          <w:ilvl w:val="0"/>
          <w:numId w:val="5"/>
        </w:numPr>
        <w:jc w:val="both"/>
      </w:pPr>
      <w:r w:rsidRPr="00861957">
        <w:t>Inclusive, Responsive and Accountable Governance;</w:t>
      </w:r>
    </w:p>
    <w:p w14:paraId="20790712" w14:textId="77777777" w:rsidR="00B850FE" w:rsidRPr="00861957" w:rsidRDefault="00B850FE" w:rsidP="00B850FE">
      <w:pPr>
        <w:pStyle w:val="ListParagraph"/>
        <w:numPr>
          <w:ilvl w:val="0"/>
          <w:numId w:val="5"/>
        </w:numPr>
        <w:jc w:val="both"/>
      </w:pPr>
      <w:r w:rsidRPr="00861957">
        <w:t>Sustainable Economic Development;</w:t>
      </w:r>
    </w:p>
    <w:p w14:paraId="5E10F2E3" w14:textId="614C27E0" w:rsidR="00B850FE" w:rsidRPr="00861957" w:rsidRDefault="00B850FE" w:rsidP="00B850FE">
      <w:pPr>
        <w:pStyle w:val="ListParagraph"/>
        <w:numPr>
          <w:ilvl w:val="0"/>
          <w:numId w:val="5"/>
        </w:numPr>
        <w:jc w:val="both"/>
      </w:pPr>
      <w:r w:rsidRPr="00861957">
        <w:t xml:space="preserve">Environmental Protection and Sustainable Environmental Management Based on the </w:t>
      </w:r>
      <w:r w:rsidR="00761278" w:rsidRPr="00861957">
        <w:t xml:space="preserve">Principles of </w:t>
      </w:r>
      <w:r w:rsidRPr="00861957">
        <w:t>Green Economy;</w:t>
      </w:r>
    </w:p>
    <w:p w14:paraId="4B42D4E4" w14:textId="41A2B755" w:rsidR="00B850FE" w:rsidRPr="00861957" w:rsidRDefault="00B850FE" w:rsidP="00470795">
      <w:pPr>
        <w:pStyle w:val="ListParagraph"/>
        <w:numPr>
          <w:ilvl w:val="0"/>
          <w:numId w:val="5"/>
        </w:numPr>
        <w:jc w:val="both"/>
      </w:pPr>
      <w:r w:rsidRPr="00861957">
        <w:t xml:space="preserve">Sustainable </w:t>
      </w:r>
      <w:r w:rsidR="00761278" w:rsidRPr="00861957">
        <w:t xml:space="preserve">Development of </w:t>
      </w:r>
      <w:r w:rsidRPr="00861957">
        <w:t>Human Capital: Health, Education, Social Inclusion and Protection</w:t>
      </w:r>
      <w:r w:rsidR="00470795" w:rsidRPr="00861957">
        <w:t>, Comprehensive Post-Chernobyl Development</w:t>
      </w:r>
      <w:r w:rsidRPr="00861957">
        <w:t>.</w:t>
      </w:r>
    </w:p>
    <w:p w14:paraId="5DEE1448" w14:textId="77777777" w:rsidR="00042DD1" w:rsidRPr="00861957" w:rsidRDefault="00042DD1" w:rsidP="00B83DB3">
      <w:pPr>
        <w:jc w:val="both"/>
      </w:pPr>
    </w:p>
    <w:p w14:paraId="118CE5C0" w14:textId="523FA444" w:rsidR="00CB33A8" w:rsidRPr="00861957" w:rsidRDefault="00042DD1" w:rsidP="00B83DB3">
      <w:pPr>
        <w:jc w:val="both"/>
      </w:pPr>
      <w:r w:rsidRPr="00861957">
        <w:t xml:space="preserve">The total financial resources required by the United Nations system in Belarus to achieve </w:t>
      </w:r>
      <w:r w:rsidR="008E584C" w:rsidRPr="00861957">
        <w:t>eight</w:t>
      </w:r>
      <w:r w:rsidRPr="00861957">
        <w:t xml:space="preserve"> outcomes within four strateg</w:t>
      </w:r>
      <w:r w:rsidR="00CB33A8" w:rsidRPr="00861957">
        <w:t xml:space="preserve">ic areas are estimated at USD </w:t>
      </w:r>
      <w:r w:rsidR="0069379D" w:rsidRPr="003F294F">
        <w:t>111,328,000</w:t>
      </w:r>
      <w:r w:rsidR="0069379D" w:rsidRPr="008B2AD6">
        <w:t xml:space="preserve"> </w:t>
      </w:r>
      <w:r w:rsidR="00CB33A8" w:rsidRPr="00861957">
        <w:t xml:space="preserve">for </w:t>
      </w:r>
      <w:r w:rsidR="00E26CC3" w:rsidRPr="00861957">
        <w:t xml:space="preserve">the period </w:t>
      </w:r>
      <w:r w:rsidR="00CB33A8" w:rsidRPr="00861957">
        <w:t>2016-2020.</w:t>
      </w:r>
    </w:p>
    <w:p w14:paraId="6556B730" w14:textId="77777777" w:rsidR="00042DD1" w:rsidRPr="00861957" w:rsidRDefault="00042DD1" w:rsidP="00B83DB3">
      <w:pPr>
        <w:jc w:val="both"/>
      </w:pPr>
    </w:p>
    <w:p w14:paraId="4ABE8E5E" w14:textId="77777777" w:rsidR="00042DD1" w:rsidRPr="00861957" w:rsidRDefault="00042DD1" w:rsidP="00042DD1">
      <w:pPr>
        <w:jc w:val="both"/>
      </w:pPr>
      <w:r w:rsidRPr="00861957">
        <w:t>The UNDAF 2016-2020 will be implemented through a joint UNCT work plan, the country cooperation frameworks and programmes of individual UN agencies, as agreed upon with the Governmen</w:t>
      </w:r>
      <w:r w:rsidR="00ED4F7D" w:rsidRPr="00861957">
        <w:t>t and within the UNDAF context.</w:t>
      </w:r>
    </w:p>
    <w:p w14:paraId="0B689580" w14:textId="77777777" w:rsidR="00042DD1" w:rsidRPr="00861957" w:rsidRDefault="00042DD1" w:rsidP="00042DD1">
      <w:pPr>
        <w:jc w:val="both"/>
      </w:pPr>
    </w:p>
    <w:p w14:paraId="463C11D0" w14:textId="0F2727E4" w:rsidR="00B850FE" w:rsidRPr="00861957" w:rsidRDefault="00E26CC3" w:rsidP="00B83DB3">
      <w:pPr>
        <w:jc w:val="both"/>
        <w:rPr>
          <w:b/>
        </w:rPr>
      </w:pPr>
      <w:r w:rsidRPr="00861957">
        <w:t>P</w:t>
      </w:r>
      <w:r w:rsidR="00042DD1" w:rsidRPr="00861957">
        <w:t>rogress in implementi</w:t>
      </w:r>
      <w:r w:rsidRPr="00861957">
        <w:t>ng</w:t>
      </w:r>
      <w:r w:rsidR="00042DD1" w:rsidRPr="00861957">
        <w:t xml:space="preserve"> the UNDAF 2016-2020 will be assessed </w:t>
      </w:r>
      <w:r w:rsidRPr="00861957">
        <w:t xml:space="preserve">using </w:t>
      </w:r>
      <w:r w:rsidR="00586966" w:rsidRPr="00861957">
        <w:t>the</w:t>
      </w:r>
      <w:r w:rsidR="00042DD1" w:rsidRPr="00861957">
        <w:t xml:space="preserve"> Monitoring and Evaluation (M&amp;E) Fr</w:t>
      </w:r>
      <w:r w:rsidR="000711E1" w:rsidRPr="00861957">
        <w:t xml:space="preserve">amework, </w:t>
      </w:r>
      <w:r w:rsidR="002A45F7" w:rsidRPr="00861957">
        <w:t>Annual Review Meetings</w:t>
      </w:r>
      <w:r w:rsidR="000711E1" w:rsidRPr="00861957">
        <w:t xml:space="preserve"> </w:t>
      </w:r>
      <w:r w:rsidR="002A45F7" w:rsidRPr="00861957">
        <w:t>and a final</w:t>
      </w:r>
      <w:r w:rsidR="000711E1" w:rsidRPr="00861957">
        <w:t xml:space="preserve"> UNDAF evaluation in 2019</w:t>
      </w:r>
      <w:r w:rsidR="00042DD1" w:rsidRPr="00861957">
        <w:t>. Achievements, lessons learned, best practices and encountered constraints will be publicly disseminated to inform the design of further progr</w:t>
      </w:r>
      <w:r w:rsidR="00F77BF4" w:rsidRPr="00861957">
        <w:t>amming documents and activities</w:t>
      </w:r>
      <w:r w:rsidR="00223F9A" w:rsidRPr="00861957">
        <w:t>.</w:t>
      </w:r>
    </w:p>
    <w:p w14:paraId="098428E4" w14:textId="77777777" w:rsidR="00F932D3" w:rsidRPr="00861957" w:rsidRDefault="00F932D3" w:rsidP="00B83DB3">
      <w:pPr>
        <w:jc w:val="both"/>
        <w:rPr>
          <w:b/>
        </w:rPr>
      </w:pPr>
    </w:p>
    <w:p w14:paraId="2E215B84" w14:textId="77777777" w:rsidR="00F932D3" w:rsidRPr="00861957" w:rsidRDefault="00F932D3" w:rsidP="00B83DB3">
      <w:pPr>
        <w:jc w:val="both"/>
        <w:rPr>
          <w:b/>
        </w:rPr>
      </w:pPr>
    </w:p>
    <w:p w14:paraId="50C0A2A1" w14:textId="77777777" w:rsidR="00F932D3" w:rsidRPr="00861957" w:rsidRDefault="00F932D3" w:rsidP="00B83DB3">
      <w:pPr>
        <w:jc w:val="both"/>
        <w:rPr>
          <w:b/>
        </w:rPr>
      </w:pPr>
    </w:p>
    <w:p w14:paraId="092BE5DD" w14:textId="77777777" w:rsidR="00F932D3" w:rsidRPr="00861957" w:rsidRDefault="00F932D3" w:rsidP="00B83DB3">
      <w:pPr>
        <w:jc w:val="both"/>
        <w:rPr>
          <w:b/>
        </w:rPr>
      </w:pPr>
    </w:p>
    <w:p w14:paraId="741E0DEC" w14:textId="77777777" w:rsidR="00125621" w:rsidRPr="00861957" w:rsidRDefault="00125621" w:rsidP="00B83DB3">
      <w:pPr>
        <w:jc w:val="both"/>
        <w:rPr>
          <w:b/>
        </w:rPr>
      </w:pPr>
    </w:p>
    <w:p w14:paraId="4009113E" w14:textId="77777777" w:rsidR="00125621" w:rsidRPr="00861957" w:rsidRDefault="00125621" w:rsidP="00B83DB3">
      <w:pPr>
        <w:jc w:val="both"/>
        <w:rPr>
          <w:b/>
        </w:rPr>
      </w:pPr>
    </w:p>
    <w:p w14:paraId="36E750C4" w14:textId="77777777" w:rsidR="002A45F7" w:rsidRPr="00861957" w:rsidRDefault="002A45F7" w:rsidP="00B83DB3">
      <w:pPr>
        <w:jc w:val="both"/>
        <w:rPr>
          <w:b/>
        </w:rPr>
      </w:pPr>
    </w:p>
    <w:p w14:paraId="63122F7D" w14:textId="77777777" w:rsidR="00E71983" w:rsidRPr="00861957" w:rsidRDefault="00E71983" w:rsidP="00B83DB3">
      <w:pPr>
        <w:jc w:val="both"/>
        <w:rPr>
          <w:b/>
        </w:rPr>
      </w:pPr>
    </w:p>
    <w:p w14:paraId="4BB4C8C5" w14:textId="77777777" w:rsidR="00125621" w:rsidRPr="00861957" w:rsidRDefault="00125621" w:rsidP="00B83DB3">
      <w:pPr>
        <w:jc w:val="both"/>
        <w:rPr>
          <w:b/>
        </w:rPr>
      </w:pPr>
    </w:p>
    <w:p w14:paraId="7186F8CB" w14:textId="77777777" w:rsidR="00F932D3" w:rsidRPr="00861957" w:rsidRDefault="00F932D3" w:rsidP="00B83DB3">
      <w:pPr>
        <w:jc w:val="both"/>
        <w:rPr>
          <w:b/>
        </w:rPr>
      </w:pPr>
    </w:p>
    <w:p w14:paraId="62036BAB" w14:textId="77777777" w:rsidR="00F932D3" w:rsidRPr="00861957" w:rsidRDefault="00F932D3" w:rsidP="00B83DB3">
      <w:pPr>
        <w:jc w:val="both"/>
        <w:rPr>
          <w:b/>
        </w:rPr>
      </w:pPr>
    </w:p>
    <w:p w14:paraId="38467CED" w14:textId="77777777" w:rsidR="00F932D3" w:rsidRPr="00861957" w:rsidRDefault="00F932D3" w:rsidP="00B83DB3">
      <w:pPr>
        <w:jc w:val="both"/>
        <w:rPr>
          <w:b/>
        </w:rPr>
      </w:pPr>
    </w:p>
    <w:p w14:paraId="033368F7" w14:textId="77777777" w:rsidR="00ED4F7D" w:rsidRPr="00861957" w:rsidRDefault="00ED4F7D" w:rsidP="00B83DB3">
      <w:pPr>
        <w:jc w:val="both"/>
        <w:rPr>
          <w:b/>
        </w:rPr>
      </w:pPr>
    </w:p>
    <w:p w14:paraId="664E8F8A" w14:textId="77777777" w:rsidR="00ED4F7D" w:rsidRPr="00861957" w:rsidRDefault="00ED4F7D" w:rsidP="00B83DB3">
      <w:pPr>
        <w:jc w:val="both"/>
        <w:rPr>
          <w:b/>
        </w:rPr>
      </w:pPr>
    </w:p>
    <w:p w14:paraId="6EE589BC" w14:textId="77777777" w:rsidR="00ED4F7D" w:rsidRPr="00861957" w:rsidRDefault="00ED4F7D" w:rsidP="00B83DB3">
      <w:pPr>
        <w:jc w:val="both"/>
        <w:rPr>
          <w:b/>
        </w:rPr>
      </w:pPr>
    </w:p>
    <w:p w14:paraId="76E1D1A7" w14:textId="77777777" w:rsidR="00F932D3" w:rsidRPr="00861957" w:rsidRDefault="00F932D3" w:rsidP="00B83DB3">
      <w:pPr>
        <w:jc w:val="both"/>
        <w:rPr>
          <w:b/>
        </w:rPr>
      </w:pPr>
    </w:p>
    <w:p w14:paraId="7435D643" w14:textId="662F985B" w:rsidR="00F932D3" w:rsidRPr="00861957" w:rsidRDefault="00F932D3" w:rsidP="00F932D3">
      <w:pPr>
        <w:pStyle w:val="Heading1"/>
        <w:rPr>
          <w:rFonts w:ascii="Times New Roman" w:hAnsi="Times New Roman" w:cs="Times New Roman"/>
          <w:color w:val="548DD4" w:themeColor="text2" w:themeTint="99"/>
          <w:sz w:val="36"/>
          <w:szCs w:val="36"/>
        </w:rPr>
      </w:pPr>
      <w:bookmarkStart w:id="5" w:name="_Toc405745107"/>
      <w:bookmarkStart w:id="6" w:name="_Toc412921068"/>
      <w:r w:rsidRPr="00861957">
        <w:rPr>
          <w:rFonts w:ascii="Times New Roman" w:hAnsi="Times New Roman" w:cs="Times New Roman"/>
          <w:color w:val="548DD4" w:themeColor="text2" w:themeTint="99"/>
          <w:sz w:val="36"/>
          <w:szCs w:val="36"/>
        </w:rPr>
        <w:t>Belarus at a Glance</w:t>
      </w:r>
      <w:bookmarkEnd w:id="5"/>
      <w:bookmarkEnd w:id="6"/>
    </w:p>
    <w:p w14:paraId="5069C578" w14:textId="77777777" w:rsidR="00F932D3" w:rsidRPr="00861957" w:rsidRDefault="00F932D3" w:rsidP="00B83DB3">
      <w:pPr>
        <w:jc w:val="both"/>
        <w:rPr>
          <w:b/>
        </w:rPr>
      </w:pPr>
    </w:p>
    <w:p w14:paraId="04C97379" w14:textId="3E788821" w:rsidR="00F932D3" w:rsidRPr="00861957" w:rsidRDefault="00F932D3" w:rsidP="00F932D3">
      <w:pPr>
        <w:jc w:val="both"/>
      </w:pPr>
      <w:r w:rsidRPr="00861957">
        <w:rPr>
          <w:noProof/>
          <w:lang w:val="en-US" w:eastAsia="en-US"/>
        </w:rPr>
        <w:lastRenderedPageBreak/>
        <w:drawing>
          <wp:inline distT="0" distB="0" distL="0" distR="0" wp14:anchorId="01C786CA" wp14:editId="5E8AB70B">
            <wp:extent cx="5019675" cy="3736134"/>
            <wp:effectExtent l="0" t="0" r="0" b="0"/>
            <wp:docPr id="4" name="Picture 4" descr="belarus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arus_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2085" cy="3737928"/>
                    </a:xfrm>
                    <a:prstGeom prst="rect">
                      <a:avLst/>
                    </a:prstGeom>
                    <a:noFill/>
                    <a:ln>
                      <a:noFill/>
                    </a:ln>
                  </pic:spPr>
                </pic:pic>
              </a:graphicData>
            </a:graphic>
          </wp:inline>
        </w:drawing>
      </w:r>
    </w:p>
    <w:p w14:paraId="3F5FAB7E" w14:textId="77777777" w:rsidR="00A27E54" w:rsidRPr="00861957" w:rsidRDefault="00A27E54" w:rsidP="00F932D3">
      <w:pPr>
        <w:jc w:val="both"/>
      </w:pPr>
    </w:p>
    <w:p w14:paraId="5442E600" w14:textId="77777777" w:rsidR="00F932D3" w:rsidRPr="00861957" w:rsidRDefault="00F932D3" w:rsidP="00F932D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6599"/>
      </w:tblGrid>
      <w:tr w:rsidR="00F932D3" w:rsidRPr="00861957" w14:paraId="36FCC77D" w14:textId="77777777" w:rsidTr="00275FF6">
        <w:tc>
          <w:tcPr>
            <w:tcW w:w="3369" w:type="dxa"/>
            <w:shd w:val="clear" w:color="auto" w:fill="auto"/>
          </w:tcPr>
          <w:p w14:paraId="257E770D" w14:textId="77777777" w:rsidR="00F932D3" w:rsidRPr="00861957" w:rsidRDefault="00F932D3" w:rsidP="00EC698E">
            <w:pPr>
              <w:jc w:val="both"/>
            </w:pPr>
            <w:r w:rsidRPr="00861957">
              <w:t>Area</w:t>
            </w:r>
          </w:p>
        </w:tc>
        <w:tc>
          <w:tcPr>
            <w:tcW w:w="6768" w:type="dxa"/>
            <w:shd w:val="clear" w:color="auto" w:fill="auto"/>
          </w:tcPr>
          <w:p w14:paraId="7FA9FA85" w14:textId="77777777" w:rsidR="00F932D3" w:rsidRPr="00861957" w:rsidRDefault="00D24B75" w:rsidP="00EC698E">
            <w:pPr>
              <w:jc w:val="both"/>
            </w:pPr>
            <w:r w:rsidRPr="00861957">
              <w:t>207,600</w:t>
            </w:r>
            <w:r w:rsidR="00F932D3" w:rsidRPr="00861957">
              <w:t xml:space="preserve"> km</w:t>
            </w:r>
            <w:r w:rsidR="00F932D3" w:rsidRPr="00861957">
              <w:rPr>
                <w:vertAlign w:val="superscript"/>
              </w:rPr>
              <w:t>2</w:t>
            </w:r>
          </w:p>
        </w:tc>
      </w:tr>
      <w:tr w:rsidR="00F932D3" w:rsidRPr="00861957" w14:paraId="7BDD090D" w14:textId="77777777" w:rsidTr="00275FF6">
        <w:tc>
          <w:tcPr>
            <w:tcW w:w="3369" w:type="dxa"/>
            <w:shd w:val="clear" w:color="auto" w:fill="auto"/>
          </w:tcPr>
          <w:p w14:paraId="1A7DD3F7" w14:textId="77777777" w:rsidR="00F932D3" w:rsidRPr="00861957" w:rsidRDefault="00F932D3" w:rsidP="00EC698E">
            <w:pPr>
              <w:jc w:val="both"/>
            </w:pPr>
            <w:r w:rsidRPr="00861957">
              <w:t>Population</w:t>
            </w:r>
          </w:p>
        </w:tc>
        <w:tc>
          <w:tcPr>
            <w:tcW w:w="6768" w:type="dxa"/>
            <w:shd w:val="clear" w:color="auto" w:fill="auto"/>
          </w:tcPr>
          <w:p w14:paraId="68395E21" w14:textId="568D67A7" w:rsidR="00F932D3" w:rsidRPr="00861957" w:rsidRDefault="00F45C70" w:rsidP="00F45C70">
            <w:pPr>
              <w:jc w:val="both"/>
            </w:pPr>
            <w:r w:rsidRPr="00861957">
              <w:t>9</w:t>
            </w:r>
            <w:r w:rsidR="00AA3A45" w:rsidRPr="00861957">
              <w:t>,</w:t>
            </w:r>
            <w:r w:rsidRPr="00861957">
              <w:t>468</w:t>
            </w:r>
            <w:r w:rsidR="00AA3A45" w:rsidRPr="00861957">
              <w:t>,</w:t>
            </w:r>
            <w:r w:rsidRPr="00861957">
              <w:t>154</w:t>
            </w:r>
            <w:r w:rsidR="00F932D3" w:rsidRPr="00861957">
              <w:t xml:space="preserve"> people (1 </w:t>
            </w:r>
            <w:r w:rsidRPr="00861957">
              <w:t>January</w:t>
            </w:r>
            <w:r w:rsidR="00F932D3" w:rsidRPr="00861957">
              <w:t xml:space="preserve"> </w:t>
            </w:r>
            <w:r w:rsidRPr="00861957">
              <w:t>2014</w:t>
            </w:r>
            <w:r w:rsidR="00F932D3" w:rsidRPr="00861957">
              <w:t>)</w:t>
            </w:r>
          </w:p>
        </w:tc>
      </w:tr>
      <w:tr w:rsidR="00F932D3" w:rsidRPr="00861957" w14:paraId="1E90B39A" w14:textId="77777777" w:rsidTr="00275FF6">
        <w:tc>
          <w:tcPr>
            <w:tcW w:w="3369" w:type="dxa"/>
            <w:shd w:val="clear" w:color="auto" w:fill="auto"/>
          </w:tcPr>
          <w:p w14:paraId="69B13B98" w14:textId="77777777" w:rsidR="00F932D3" w:rsidRPr="00861957" w:rsidRDefault="00F932D3" w:rsidP="00EC698E">
            <w:pPr>
              <w:jc w:val="both"/>
            </w:pPr>
            <w:r w:rsidRPr="00861957">
              <w:t>Capital</w:t>
            </w:r>
          </w:p>
        </w:tc>
        <w:tc>
          <w:tcPr>
            <w:tcW w:w="6768" w:type="dxa"/>
            <w:shd w:val="clear" w:color="auto" w:fill="auto"/>
          </w:tcPr>
          <w:p w14:paraId="4F482A6F" w14:textId="4D3BA8FB" w:rsidR="00F932D3" w:rsidRPr="00861957" w:rsidRDefault="00F932D3" w:rsidP="00F45C70">
            <w:pPr>
              <w:jc w:val="both"/>
            </w:pPr>
            <w:r w:rsidRPr="00861957">
              <w:t>Minsk (</w:t>
            </w:r>
            <w:r w:rsidR="00F45C70" w:rsidRPr="00861957">
              <w:t>1</w:t>
            </w:r>
            <w:r w:rsidR="00AA3A45" w:rsidRPr="00861957">
              <w:t>,</w:t>
            </w:r>
            <w:r w:rsidR="00F45C70" w:rsidRPr="00861957">
              <w:t>921</w:t>
            </w:r>
            <w:r w:rsidR="00AA3A45" w:rsidRPr="00861957">
              <w:t>,</w:t>
            </w:r>
            <w:r w:rsidR="00F45C70" w:rsidRPr="00861957">
              <w:t xml:space="preserve">807 </w:t>
            </w:r>
            <w:r w:rsidRPr="00861957">
              <w:t xml:space="preserve">people as of </w:t>
            </w:r>
            <w:r w:rsidR="00F45C70" w:rsidRPr="00861957">
              <w:t>1 January 2014</w:t>
            </w:r>
            <w:r w:rsidRPr="00861957">
              <w:t>)</w:t>
            </w:r>
          </w:p>
        </w:tc>
      </w:tr>
      <w:tr w:rsidR="00CF3133" w:rsidRPr="00861957" w14:paraId="672795D4" w14:textId="77777777" w:rsidTr="00275FF6">
        <w:tc>
          <w:tcPr>
            <w:tcW w:w="3369" w:type="dxa"/>
            <w:shd w:val="clear" w:color="auto" w:fill="auto"/>
          </w:tcPr>
          <w:p w14:paraId="3046D52A" w14:textId="04CE7E6D" w:rsidR="00CF3133" w:rsidRPr="00861957" w:rsidRDefault="00CF3133" w:rsidP="00EC698E">
            <w:pPr>
              <w:jc w:val="both"/>
            </w:pPr>
            <w:r w:rsidRPr="00861957">
              <w:t>Administrative organi</w:t>
            </w:r>
            <w:r w:rsidR="000F002C" w:rsidRPr="00861957">
              <w:t>z</w:t>
            </w:r>
            <w:r w:rsidRPr="00861957">
              <w:t>ation</w:t>
            </w:r>
          </w:p>
        </w:tc>
        <w:tc>
          <w:tcPr>
            <w:tcW w:w="6768" w:type="dxa"/>
            <w:shd w:val="clear" w:color="auto" w:fill="auto"/>
          </w:tcPr>
          <w:p w14:paraId="286C8B45" w14:textId="055E5174" w:rsidR="00CF3133" w:rsidRPr="00861957" w:rsidRDefault="009B4450" w:rsidP="001A6DC8">
            <w:pPr>
              <w:jc w:val="both"/>
            </w:pPr>
            <w:r>
              <w:t>U</w:t>
            </w:r>
            <w:r w:rsidR="00CF3133" w:rsidRPr="00861957">
              <w:t>nitary democratic social state based on the rule of law.</w:t>
            </w:r>
            <w:r w:rsidR="00CF3133" w:rsidRPr="00861957">
              <w:br/>
              <w:t xml:space="preserve">Six regions: Brest Region, Homieĺ Region, Hrodna Region, Mahilioŭ Region, Minsk Region, Viciebsk Region and the </w:t>
            </w:r>
            <w:r w:rsidR="001A6DC8" w:rsidRPr="00861957">
              <w:t>capital Minsk</w:t>
            </w:r>
            <w:r w:rsidR="00CF3133" w:rsidRPr="00861957">
              <w:t>. Regions are subdivided into districts</w:t>
            </w:r>
          </w:p>
        </w:tc>
      </w:tr>
      <w:tr w:rsidR="00F932D3" w:rsidRPr="00861957" w14:paraId="3BDBE4A5" w14:textId="77777777" w:rsidTr="00275FF6">
        <w:tc>
          <w:tcPr>
            <w:tcW w:w="3369" w:type="dxa"/>
            <w:shd w:val="clear" w:color="auto" w:fill="auto"/>
          </w:tcPr>
          <w:p w14:paraId="74ABD5F5" w14:textId="77777777" w:rsidR="00F932D3" w:rsidRPr="00861957" w:rsidRDefault="00F932D3" w:rsidP="00EC698E">
            <w:pPr>
              <w:jc w:val="both"/>
            </w:pPr>
            <w:r w:rsidRPr="00861957">
              <w:t>Languages</w:t>
            </w:r>
          </w:p>
        </w:tc>
        <w:tc>
          <w:tcPr>
            <w:tcW w:w="6768" w:type="dxa"/>
            <w:shd w:val="clear" w:color="auto" w:fill="auto"/>
          </w:tcPr>
          <w:p w14:paraId="7F3C0013" w14:textId="77777777" w:rsidR="00F932D3" w:rsidRPr="00861957" w:rsidRDefault="00CF3133" w:rsidP="00EC698E">
            <w:pPr>
              <w:jc w:val="both"/>
            </w:pPr>
            <w:r w:rsidRPr="00861957">
              <w:t>The o</w:t>
            </w:r>
            <w:r w:rsidR="00F932D3" w:rsidRPr="00861957">
              <w:t>fficial languages are Belarusian and Russian</w:t>
            </w:r>
          </w:p>
        </w:tc>
      </w:tr>
      <w:tr w:rsidR="00F932D3" w:rsidRPr="00861957" w14:paraId="62853A3E" w14:textId="77777777" w:rsidTr="00275FF6">
        <w:tc>
          <w:tcPr>
            <w:tcW w:w="3369" w:type="dxa"/>
            <w:shd w:val="clear" w:color="auto" w:fill="auto"/>
          </w:tcPr>
          <w:p w14:paraId="7DDF5EA3" w14:textId="77777777" w:rsidR="00F932D3" w:rsidRPr="00861957" w:rsidRDefault="00F932D3" w:rsidP="00EC698E">
            <w:pPr>
              <w:jc w:val="both"/>
            </w:pPr>
            <w:r w:rsidRPr="00861957">
              <w:t>Ethnic groups</w:t>
            </w:r>
          </w:p>
        </w:tc>
        <w:tc>
          <w:tcPr>
            <w:tcW w:w="6768" w:type="dxa"/>
            <w:shd w:val="clear" w:color="auto" w:fill="auto"/>
          </w:tcPr>
          <w:p w14:paraId="7D3E851A" w14:textId="77777777" w:rsidR="00F932D3" w:rsidRPr="00861957" w:rsidRDefault="00F932D3" w:rsidP="001E79FB">
            <w:pPr>
              <w:jc w:val="both"/>
            </w:pPr>
            <w:r w:rsidRPr="00861957">
              <w:t>83.7% Belarusians, 8.3% Russians, 3.1% Poles, 1.7% Ukrainians, 0.1% Tatars, 0.1% Jews, 3.0% Other</w:t>
            </w:r>
          </w:p>
        </w:tc>
      </w:tr>
      <w:tr w:rsidR="00F932D3" w:rsidRPr="00861957" w14:paraId="4B72D790" w14:textId="77777777" w:rsidTr="00275FF6">
        <w:tc>
          <w:tcPr>
            <w:tcW w:w="3369" w:type="dxa"/>
            <w:shd w:val="clear" w:color="auto" w:fill="auto"/>
          </w:tcPr>
          <w:p w14:paraId="2C1849D8" w14:textId="77777777" w:rsidR="00F932D3" w:rsidRPr="00861957" w:rsidRDefault="00F932D3" w:rsidP="00EC698E">
            <w:pPr>
              <w:jc w:val="both"/>
            </w:pPr>
            <w:r w:rsidRPr="00861957">
              <w:t>GDP (current USD)</w:t>
            </w:r>
          </w:p>
          <w:p w14:paraId="3AD5BDD5" w14:textId="77777777" w:rsidR="00F932D3" w:rsidRPr="00861957" w:rsidRDefault="00F932D3" w:rsidP="00EC698E">
            <w:pPr>
              <w:jc w:val="both"/>
            </w:pPr>
            <w:r w:rsidRPr="00861957">
              <w:t>GDP per capita (current USD)</w:t>
            </w:r>
          </w:p>
        </w:tc>
        <w:tc>
          <w:tcPr>
            <w:tcW w:w="6768" w:type="dxa"/>
            <w:shd w:val="clear" w:color="auto" w:fill="auto"/>
          </w:tcPr>
          <w:p w14:paraId="34E07077" w14:textId="77777777" w:rsidR="00F932D3" w:rsidRPr="00861957" w:rsidRDefault="001A6DC8" w:rsidP="00EC698E">
            <w:pPr>
              <w:jc w:val="both"/>
            </w:pPr>
            <w:r w:rsidRPr="00861957">
              <w:t>72.4</w:t>
            </w:r>
            <w:r w:rsidR="00F932D3" w:rsidRPr="00861957">
              <w:t>bn (2013)</w:t>
            </w:r>
          </w:p>
          <w:p w14:paraId="21476823" w14:textId="77777777" w:rsidR="00F932D3" w:rsidRPr="00861957" w:rsidRDefault="001A6DC8" w:rsidP="001A6DC8">
            <w:pPr>
              <w:jc w:val="both"/>
            </w:pPr>
            <w:r w:rsidRPr="00861957">
              <w:t>7,644</w:t>
            </w:r>
            <w:r w:rsidR="00F932D3" w:rsidRPr="00861957">
              <w:t xml:space="preserve"> (2013)</w:t>
            </w:r>
          </w:p>
        </w:tc>
      </w:tr>
      <w:tr w:rsidR="00586966" w:rsidRPr="00861957" w14:paraId="401EF60B" w14:textId="77777777" w:rsidTr="00275FF6">
        <w:tc>
          <w:tcPr>
            <w:tcW w:w="3369" w:type="dxa"/>
            <w:shd w:val="clear" w:color="auto" w:fill="auto"/>
          </w:tcPr>
          <w:p w14:paraId="0FC488C8" w14:textId="77777777" w:rsidR="00586966" w:rsidRPr="00861957" w:rsidRDefault="00586966" w:rsidP="00EC698E">
            <w:pPr>
              <w:jc w:val="both"/>
            </w:pPr>
            <w:r w:rsidRPr="00861957">
              <w:t>GDP structure</w:t>
            </w:r>
          </w:p>
        </w:tc>
        <w:tc>
          <w:tcPr>
            <w:tcW w:w="6768" w:type="dxa"/>
            <w:shd w:val="clear" w:color="auto" w:fill="auto"/>
          </w:tcPr>
          <w:p w14:paraId="01C00F7E" w14:textId="00D4DBE4" w:rsidR="00586966" w:rsidRPr="00861957" w:rsidRDefault="001E79FB" w:rsidP="001E79FB">
            <w:pPr>
              <w:jc w:val="both"/>
            </w:pPr>
            <w:r w:rsidRPr="00861957">
              <w:t>In 2013, s</w:t>
            </w:r>
            <w:r w:rsidR="00693CDC">
              <w:t>ervices - 46% of GDP, industry -</w:t>
            </w:r>
            <w:r w:rsidRPr="00861957">
              <w:t xml:space="preserve"> 26.7%; agriculture - 7</w:t>
            </w:r>
            <w:r w:rsidR="000932E8" w:rsidRPr="00861957">
              <w:t>% of GDP; manufactur</w:t>
            </w:r>
            <w:r w:rsidRPr="00861957">
              <w:t xml:space="preserve">ing, value added (% of GDP) </w:t>
            </w:r>
            <w:r w:rsidR="00693CDC">
              <w:t>-</w:t>
            </w:r>
            <w:r w:rsidRPr="00861957">
              <w:t xml:space="preserve"> 23.1</w:t>
            </w:r>
            <w:r w:rsidR="000932E8" w:rsidRPr="00861957">
              <w:t>%</w:t>
            </w:r>
          </w:p>
        </w:tc>
      </w:tr>
      <w:tr w:rsidR="00CF3133" w:rsidRPr="00861957" w14:paraId="296989FD" w14:textId="77777777" w:rsidTr="00275FF6">
        <w:tc>
          <w:tcPr>
            <w:tcW w:w="3369" w:type="dxa"/>
            <w:shd w:val="clear" w:color="auto" w:fill="auto"/>
          </w:tcPr>
          <w:p w14:paraId="7ED1D059" w14:textId="77777777" w:rsidR="00CF3133" w:rsidRPr="00861957" w:rsidRDefault="00CF3133" w:rsidP="00EC698E">
            <w:pPr>
              <w:jc w:val="both"/>
            </w:pPr>
            <w:r w:rsidRPr="00861957">
              <w:t>Under-five mortality rate</w:t>
            </w:r>
          </w:p>
          <w:p w14:paraId="5232DAB2" w14:textId="77777777" w:rsidR="00CF3133" w:rsidRPr="00861957" w:rsidRDefault="00CF3133" w:rsidP="00EC698E">
            <w:pPr>
              <w:jc w:val="both"/>
            </w:pPr>
            <w:r w:rsidRPr="00861957">
              <w:t>Infant mortality rate</w:t>
            </w:r>
          </w:p>
          <w:p w14:paraId="03FCBBF4" w14:textId="77777777" w:rsidR="00CF3133" w:rsidRPr="00861957" w:rsidRDefault="00CF3133" w:rsidP="00EC698E">
            <w:pPr>
              <w:jc w:val="both"/>
            </w:pPr>
            <w:r w:rsidRPr="00861957">
              <w:t>Maternal mortality rate</w:t>
            </w:r>
          </w:p>
        </w:tc>
        <w:tc>
          <w:tcPr>
            <w:tcW w:w="6768" w:type="dxa"/>
            <w:shd w:val="clear" w:color="auto" w:fill="auto"/>
          </w:tcPr>
          <w:p w14:paraId="11C33897" w14:textId="77777777" w:rsidR="00CF3133" w:rsidRPr="00861957" w:rsidRDefault="00275FF6" w:rsidP="00EC698E">
            <w:pPr>
              <w:jc w:val="both"/>
              <w:rPr>
                <w:color w:val="000000"/>
              </w:rPr>
            </w:pPr>
            <w:r w:rsidRPr="00861957">
              <w:rPr>
                <w:color w:val="000000"/>
              </w:rPr>
              <w:t>4.6 per 1,000 live births (2013)</w:t>
            </w:r>
          </w:p>
          <w:p w14:paraId="095EAE22" w14:textId="77777777" w:rsidR="00275FF6" w:rsidRPr="00861957" w:rsidRDefault="00E0525F" w:rsidP="00EC698E">
            <w:pPr>
              <w:jc w:val="both"/>
              <w:rPr>
                <w:color w:val="000000"/>
              </w:rPr>
            </w:pPr>
            <w:r w:rsidRPr="00861957">
              <w:rPr>
                <w:color w:val="000000"/>
              </w:rPr>
              <w:t>3.5</w:t>
            </w:r>
            <w:r w:rsidR="00275FF6" w:rsidRPr="00861957">
              <w:rPr>
                <w:color w:val="000000"/>
              </w:rPr>
              <w:t xml:space="preserve"> per 1,000 live births (2013)</w:t>
            </w:r>
          </w:p>
          <w:p w14:paraId="104B0773" w14:textId="77777777" w:rsidR="00275FF6" w:rsidRPr="00861957" w:rsidRDefault="00E0525F" w:rsidP="00EC698E">
            <w:pPr>
              <w:jc w:val="both"/>
            </w:pPr>
            <w:r w:rsidRPr="00861957">
              <w:rPr>
                <w:color w:val="000000"/>
              </w:rPr>
              <w:t>0</w:t>
            </w:r>
            <w:r w:rsidR="00275FF6" w:rsidRPr="00861957">
              <w:rPr>
                <w:color w:val="000000"/>
              </w:rPr>
              <w:t xml:space="preserve"> per 100,000 live births (2013)</w:t>
            </w:r>
          </w:p>
        </w:tc>
      </w:tr>
      <w:tr w:rsidR="00275FF6" w:rsidRPr="00861957" w14:paraId="26DAC189" w14:textId="77777777" w:rsidTr="00275FF6">
        <w:tc>
          <w:tcPr>
            <w:tcW w:w="3369" w:type="dxa"/>
            <w:shd w:val="clear" w:color="auto" w:fill="auto"/>
          </w:tcPr>
          <w:p w14:paraId="50DF8620" w14:textId="77777777" w:rsidR="00275FF6" w:rsidRPr="00861957" w:rsidRDefault="00275FF6" w:rsidP="00EC698E">
            <w:pPr>
              <w:jc w:val="both"/>
            </w:pPr>
            <w:r w:rsidRPr="00861957">
              <w:t>HIV Incidence</w:t>
            </w:r>
            <w:r w:rsidR="007E7360" w:rsidRPr="00861957">
              <w:t xml:space="preserve"> and Prevalence</w:t>
            </w:r>
          </w:p>
          <w:p w14:paraId="2A2963F3" w14:textId="77777777" w:rsidR="00275FF6" w:rsidRPr="00861957" w:rsidRDefault="00275FF6" w:rsidP="007E7360">
            <w:pPr>
              <w:jc w:val="both"/>
            </w:pPr>
            <w:r w:rsidRPr="00861957">
              <w:t xml:space="preserve">TB </w:t>
            </w:r>
            <w:r w:rsidR="007E7360" w:rsidRPr="00861957">
              <w:t>Incidence and Prevalence</w:t>
            </w:r>
          </w:p>
        </w:tc>
        <w:tc>
          <w:tcPr>
            <w:tcW w:w="6768" w:type="dxa"/>
            <w:shd w:val="clear" w:color="auto" w:fill="auto"/>
          </w:tcPr>
          <w:p w14:paraId="10EC3174" w14:textId="77777777" w:rsidR="00275FF6" w:rsidRPr="00861957" w:rsidRDefault="00FA2770" w:rsidP="00EC698E">
            <w:pPr>
              <w:jc w:val="both"/>
              <w:rPr>
                <w:color w:val="000000"/>
              </w:rPr>
            </w:pPr>
            <w:r w:rsidRPr="00861957">
              <w:rPr>
                <w:color w:val="000000"/>
              </w:rPr>
              <w:t>19.1</w:t>
            </w:r>
            <w:r w:rsidR="00275FF6" w:rsidRPr="00861957">
              <w:rPr>
                <w:color w:val="000000"/>
              </w:rPr>
              <w:t xml:space="preserve"> per 100,000 </w:t>
            </w:r>
            <w:r w:rsidR="007E7360" w:rsidRPr="00861957">
              <w:rPr>
                <w:color w:val="000000"/>
              </w:rPr>
              <w:t>people</w:t>
            </w:r>
            <w:r w:rsidR="00275FF6" w:rsidRPr="00861957">
              <w:rPr>
                <w:color w:val="000000"/>
              </w:rPr>
              <w:t xml:space="preserve"> (</w:t>
            </w:r>
            <w:r w:rsidR="00AE0C9F" w:rsidRPr="00861957">
              <w:rPr>
                <w:color w:val="000000"/>
              </w:rPr>
              <w:t>2014</w:t>
            </w:r>
            <w:r w:rsidR="00275FF6" w:rsidRPr="00861957">
              <w:rPr>
                <w:color w:val="000000"/>
              </w:rPr>
              <w:t>)</w:t>
            </w:r>
            <w:r w:rsidR="007E7360" w:rsidRPr="00861957">
              <w:rPr>
                <w:color w:val="000000"/>
              </w:rPr>
              <w:t>; 0.</w:t>
            </w:r>
            <w:r w:rsidRPr="00861957">
              <w:rPr>
                <w:color w:val="000000"/>
              </w:rPr>
              <w:t>1</w:t>
            </w:r>
            <w:r w:rsidR="007E7360" w:rsidRPr="00861957">
              <w:rPr>
                <w:color w:val="000000"/>
              </w:rPr>
              <w:t>4% (</w:t>
            </w:r>
            <w:r w:rsidRPr="00861957">
              <w:rPr>
                <w:color w:val="000000"/>
              </w:rPr>
              <w:t>2014</w:t>
            </w:r>
            <w:r w:rsidR="007E7360" w:rsidRPr="00861957">
              <w:rPr>
                <w:color w:val="000000"/>
              </w:rPr>
              <w:t>)</w:t>
            </w:r>
          </w:p>
          <w:p w14:paraId="5031F041" w14:textId="069C56CA" w:rsidR="007E7360" w:rsidRPr="00861957" w:rsidRDefault="00EA1DA9" w:rsidP="00470795">
            <w:pPr>
              <w:jc w:val="both"/>
            </w:pPr>
            <w:r w:rsidRPr="00861957">
              <w:t>3</w:t>
            </w:r>
            <w:r w:rsidR="00470795" w:rsidRPr="00861957">
              <w:t>4</w:t>
            </w:r>
            <w:r w:rsidRPr="00861957">
              <w:t>.</w:t>
            </w:r>
            <w:r w:rsidR="00470795" w:rsidRPr="00861957">
              <w:t>5</w:t>
            </w:r>
            <w:r w:rsidR="007E7360" w:rsidRPr="00861957">
              <w:t xml:space="preserve"> per 100,000 people (</w:t>
            </w:r>
            <w:r w:rsidRPr="00861957">
              <w:t>2014</w:t>
            </w:r>
            <w:r w:rsidR="00C96934" w:rsidRPr="00861957">
              <w:t xml:space="preserve">); </w:t>
            </w:r>
            <w:r w:rsidR="00470795" w:rsidRPr="00861957">
              <w:t>82</w:t>
            </w:r>
            <w:r w:rsidR="00C96934" w:rsidRPr="00861957">
              <w:t>.</w:t>
            </w:r>
            <w:r w:rsidR="00470795" w:rsidRPr="00861957">
              <w:t>9</w:t>
            </w:r>
            <w:r w:rsidR="007E7360" w:rsidRPr="00861957">
              <w:t xml:space="preserve"> per 100,000 people (</w:t>
            </w:r>
            <w:r w:rsidRPr="00861957">
              <w:t>2014</w:t>
            </w:r>
            <w:r w:rsidR="007E7360" w:rsidRPr="00861957">
              <w:t>)</w:t>
            </w:r>
          </w:p>
        </w:tc>
      </w:tr>
      <w:tr w:rsidR="00275FF6" w:rsidRPr="00861957" w14:paraId="2DA925CA" w14:textId="77777777" w:rsidTr="00275FF6">
        <w:tc>
          <w:tcPr>
            <w:tcW w:w="3369" w:type="dxa"/>
            <w:shd w:val="clear" w:color="auto" w:fill="auto"/>
          </w:tcPr>
          <w:p w14:paraId="313F6908" w14:textId="77777777" w:rsidR="00275FF6" w:rsidRPr="00861957" w:rsidRDefault="00275FF6" w:rsidP="00EC698E">
            <w:pPr>
              <w:jc w:val="both"/>
            </w:pPr>
            <w:r w:rsidRPr="00861957">
              <w:t>Primary education enrolment</w:t>
            </w:r>
          </w:p>
          <w:p w14:paraId="68AD1D96" w14:textId="77777777" w:rsidR="00275FF6" w:rsidRPr="00861957" w:rsidRDefault="00275FF6" w:rsidP="00EC698E">
            <w:pPr>
              <w:jc w:val="both"/>
            </w:pPr>
            <w:r w:rsidRPr="00861957">
              <w:t>Adult literacy rate (%)</w:t>
            </w:r>
          </w:p>
        </w:tc>
        <w:tc>
          <w:tcPr>
            <w:tcW w:w="6768" w:type="dxa"/>
            <w:shd w:val="clear" w:color="auto" w:fill="auto"/>
          </w:tcPr>
          <w:p w14:paraId="545500D9" w14:textId="77777777" w:rsidR="00275FF6" w:rsidRPr="00861957" w:rsidRDefault="00E0525F" w:rsidP="00EC698E">
            <w:pPr>
              <w:jc w:val="both"/>
            </w:pPr>
            <w:r w:rsidRPr="00861957">
              <w:t>98.8</w:t>
            </w:r>
            <w:r w:rsidR="00084348" w:rsidRPr="00861957">
              <w:t>% (</w:t>
            </w:r>
            <w:r w:rsidRPr="00861957">
              <w:t>2013</w:t>
            </w:r>
            <w:r w:rsidR="00084348" w:rsidRPr="00861957">
              <w:t>)</w:t>
            </w:r>
          </w:p>
          <w:p w14:paraId="5C0E5A40" w14:textId="77777777" w:rsidR="00084348" w:rsidRPr="00861957" w:rsidRDefault="00084348" w:rsidP="00E0525F">
            <w:pPr>
              <w:jc w:val="both"/>
              <w:rPr>
                <w:highlight w:val="yellow"/>
              </w:rPr>
            </w:pPr>
            <w:r w:rsidRPr="00861957">
              <w:t>9</w:t>
            </w:r>
            <w:r w:rsidR="00E0525F" w:rsidRPr="00861957">
              <w:t>9.6</w:t>
            </w:r>
            <w:r w:rsidRPr="00861957">
              <w:t>% (</w:t>
            </w:r>
            <w:r w:rsidR="00E0525F" w:rsidRPr="00861957">
              <w:t>2009</w:t>
            </w:r>
            <w:r w:rsidRPr="00861957">
              <w:t>)</w:t>
            </w:r>
          </w:p>
        </w:tc>
      </w:tr>
      <w:tr w:rsidR="00CF3133" w:rsidRPr="00861957" w14:paraId="54952A59" w14:textId="77777777" w:rsidTr="00275FF6">
        <w:tc>
          <w:tcPr>
            <w:tcW w:w="3369" w:type="dxa"/>
            <w:shd w:val="clear" w:color="auto" w:fill="auto"/>
          </w:tcPr>
          <w:p w14:paraId="4D1B765F" w14:textId="77777777" w:rsidR="00CF3133" w:rsidRPr="00861957" w:rsidRDefault="00CF3133" w:rsidP="00EC698E">
            <w:pPr>
              <w:jc w:val="both"/>
            </w:pPr>
            <w:r w:rsidRPr="00861957">
              <w:t>HDI Rank and Index</w:t>
            </w:r>
          </w:p>
        </w:tc>
        <w:tc>
          <w:tcPr>
            <w:tcW w:w="6768" w:type="dxa"/>
            <w:shd w:val="clear" w:color="auto" w:fill="auto"/>
          </w:tcPr>
          <w:p w14:paraId="3198F8FF" w14:textId="77777777" w:rsidR="00CF3133" w:rsidRPr="00861957" w:rsidRDefault="00084348" w:rsidP="00EC698E">
            <w:pPr>
              <w:jc w:val="both"/>
            </w:pPr>
            <w:r w:rsidRPr="00861957">
              <w:rPr>
                <w:color w:val="000000"/>
              </w:rPr>
              <w:t>53</w:t>
            </w:r>
            <w:r w:rsidRPr="00861957">
              <w:rPr>
                <w:color w:val="000000"/>
                <w:vertAlign w:val="superscript"/>
              </w:rPr>
              <w:t xml:space="preserve">rd </w:t>
            </w:r>
            <w:r w:rsidRPr="00861957">
              <w:t xml:space="preserve">(2014); </w:t>
            </w:r>
            <w:r w:rsidRPr="00861957">
              <w:rPr>
                <w:color w:val="000000"/>
              </w:rPr>
              <w:t>0.786 (2014)</w:t>
            </w:r>
          </w:p>
        </w:tc>
      </w:tr>
      <w:tr w:rsidR="00CF3133" w:rsidRPr="00861957" w14:paraId="6BB82B0D" w14:textId="77777777" w:rsidTr="00275FF6">
        <w:tc>
          <w:tcPr>
            <w:tcW w:w="3369" w:type="dxa"/>
            <w:shd w:val="clear" w:color="auto" w:fill="auto"/>
          </w:tcPr>
          <w:p w14:paraId="79867EC1" w14:textId="77777777" w:rsidR="00CF3133" w:rsidRPr="00861957" w:rsidRDefault="00CF3133" w:rsidP="00EC698E">
            <w:pPr>
              <w:jc w:val="both"/>
            </w:pPr>
            <w:r w:rsidRPr="00861957">
              <w:t>WB’s Doing Business</w:t>
            </w:r>
            <w:r w:rsidR="00275FF6" w:rsidRPr="00861957">
              <w:t xml:space="preserve"> Rank</w:t>
            </w:r>
          </w:p>
        </w:tc>
        <w:tc>
          <w:tcPr>
            <w:tcW w:w="6768" w:type="dxa"/>
            <w:shd w:val="clear" w:color="auto" w:fill="auto"/>
          </w:tcPr>
          <w:p w14:paraId="37B9BDEE" w14:textId="77777777" w:rsidR="00CF3133" w:rsidRPr="00861957" w:rsidRDefault="00084348" w:rsidP="00EC698E">
            <w:pPr>
              <w:jc w:val="both"/>
            </w:pPr>
            <w:r w:rsidRPr="00861957">
              <w:t>57</w:t>
            </w:r>
            <w:r w:rsidRPr="00861957">
              <w:rPr>
                <w:vertAlign w:val="superscript"/>
              </w:rPr>
              <w:t>th</w:t>
            </w:r>
            <w:r w:rsidRPr="00861957">
              <w:t xml:space="preserve"> (2015)</w:t>
            </w:r>
          </w:p>
        </w:tc>
      </w:tr>
    </w:tbl>
    <w:p w14:paraId="13587887" w14:textId="5BA3200D" w:rsidR="00A2532C" w:rsidRPr="00861957" w:rsidRDefault="00A2532C" w:rsidP="00F558D0">
      <w:pPr>
        <w:pStyle w:val="Heading1"/>
        <w:numPr>
          <w:ilvl w:val="0"/>
          <w:numId w:val="6"/>
        </w:numPr>
        <w:rPr>
          <w:rFonts w:ascii="Times New Roman" w:hAnsi="Times New Roman" w:cs="Times New Roman"/>
          <w:color w:val="548DD4" w:themeColor="text2" w:themeTint="99"/>
          <w:sz w:val="36"/>
          <w:szCs w:val="36"/>
        </w:rPr>
      </w:pPr>
      <w:bookmarkStart w:id="7" w:name="_Toc405745108"/>
      <w:bookmarkStart w:id="8" w:name="_Toc412921069"/>
      <w:r w:rsidRPr="00861957">
        <w:rPr>
          <w:rFonts w:ascii="Times New Roman" w:hAnsi="Times New Roman" w:cs="Times New Roman"/>
          <w:color w:val="548DD4" w:themeColor="text2" w:themeTint="99"/>
          <w:sz w:val="36"/>
          <w:szCs w:val="36"/>
        </w:rPr>
        <w:t>Introduction</w:t>
      </w:r>
      <w:bookmarkEnd w:id="7"/>
      <w:bookmarkEnd w:id="8"/>
    </w:p>
    <w:p w14:paraId="44148E9C" w14:textId="3051DEDB" w:rsidR="00247D2D" w:rsidRPr="00861957" w:rsidRDefault="00647976" w:rsidP="00647976">
      <w:pPr>
        <w:pStyle w:val="Heading2"/>
      </w:pPr>
      <w:bookmarkStart w:id="9" w:name="_Toc405745109"/>
      <w:bookmarkStart w:id="10" w:name="_Toc412921070"/>
      <w:r w:rsidRPr="00861957">
        <w:t>I.i. UNDAF 2016-2020 Development Process Overview</w:t>
      </w:r>
      <w:bookmarkEnd w:id="9"/>
      <w:bookmarkEnd w:id="10"/>
    </w:p>
    <w:p w14:paraId="63AFE005" w14:textId="77777777" w:rsidR="00247D2D" w:rsidRPr="00861957" w:rsidRDefault="00247D2D" w:rsidP="00B83DB3">
      <w:pPr>
        <w:jc w:val="both"/>
        <w:rPr>
          <w:b/>
        </w:rPr>
      </w:pPr>
    </w:p>
    <w:p w14:paraId="6D32087D" w14:textId="2DD1872F" w:rsidR="006C4DE9" w:rsidRPr="00861957" w:rsidRDefault="00ED0C7D" w:rsidP="006561C3">
      <w:pPr>
        <w:jc w:val="both"/>
      </w:pPr>
      <w:r w:rsidRPr="00861957">
        <w:t xml:space="preserve">The UNDAF for 2016-2020 has been developed to support the achievement of national development priorities </w:t>
      </w:r>
      <w:r w:rsidR="006C4DE9" w:rsidRPr="00861957">
        <w:t>in the field of</w:t>
      </w:r>
      <w:r w:rsidR="00F56B9E" w:rsidRPr="00861957">
        <w:t xml:space="preserve"> inclusive and</w:t>
      </w:r>
      <w:r w:rsidRPr="00861957">
        <w:t xml:space="preserve"> sustainable development of the Republic of Belarus</w:t>
      </w:r>
      <w:r w:rsidR="00AA3A45" w:rsidRPr="00861957">
        <w:t>,</w:t>
      </w:r>
      <w:r w:rsidRPr="00861957">
        <w:t xml:space="preserve"> base</w:t>
      </w:r>
      <w:r w:rsidR="00B850FE" w:rsidRPr="00861957">
        <w:t>d on</w:t>
      </w:r>
      <w:r w:rsidR="00AA3A45" w:rsidRPr="00861957">
        <w:t xml:space="preserve"> the </w:t>
      </w:r>
      <w:r w:rsidR="00AA3A45" w:rsidRPr="00861957">
        <w:lastRenderedPageBreak/>
        <w:t>following key goals:</w:t>
      </w:r>
      <w:r w:rsidR="006C4DE9" w:rsidRPr="00861957">
        <w:t xml:space="preserve"> increasing economic competitiveness</w:t>
      </w:r>
      <w:r w:rsidR="00AA3A45" w:rsidRPr="00861957">
        <w:t>;</w:t>
      </w:r>
      <w:r w:rsidR="006C4DE9" w:rsidRPr="00861957">
        <w:t xml:space="preserve"> innovation development</w:t>
      </w:r>
      <w:r w:rsidR="00AA3A45" w:rsidRPr="00861957">
        <w:t>;</w:t>
      </w:r>
      <w:r w:rsidR="006C4DE9" w:rsidRPr="00861957">
        <w:t xml:space="preserve"> structural reforms </w:t>
      </w:r>
      <w:r w:rsidR="00AA3A45" w:rsidRPr="00861957">
        <w:t xml:space="preserve">that ensure </w:t>
      </w:r>
      <w:r w:rsidRPr="00861957">
        <w:t>k</w:t>
      </w:r>
      <w:r w:rsidR="00F56B9E" w:rsidRPr="00861957">
        <w:t>nowledge-based economic growth</w:t>
      </w:r>
      <w:r w:rsidR="006C4DE9" w:rsidRPr="00861957">
        <w:t xml:space="preserve"> and human capital development</w:t>
      </w:r>
      <w:r w:rsidR="00F56B9E" w:rsidRPr="00861957">
        <w:t xml:space="preserve">; </w:t>
      </w:r>
      <w:r w:rsidRPr="00861957">
        <w:t>inclusive, responsive and accountable governance</w:t>
      </w:r>
      <w:r w:rsidR="00AA3A45" w:rsidRPr="00861957">
        <w:t>;</w:t>
      </w:r>
      <w:r w:rsidRPr="00861957">
        <w:t xml:space="preserve"> environmental protection and sustainable management of natural resources. Promotion of gender equality and </w:t>
      </w:r>
      <w:r w:rsidR="00E15E53" w:rsidRPr="00861957">
        <w:t xml:space="preserve">human rights in line with </w:t>
      </w:r>
      <w:r w:rsidR="006561C3">
        <w:t xml:space="preserve">the </w:t>
      </w:r>
      <w:r w:rsidR="00F87569" w:rsidRPr="00861957">
        <w:t>human</w:t>
      </w:r>
      <w:r w:rsidR="00693CDC">
        <w:t xml:space="preserve"> </w:t>
      </w:r>
      <w:r w:rsidR="00F87569" w:rsidRPr="00861957">
        <w:t>rights</w:t>
      </w:r>
      <w:r w:rsidR="00693CDC">
        <w:t>-</w:t>
      </w:r>
      <w:r w:rsidR="00F87569" w:rsidRPr="00861957">
        <w:t>based approach</w:t>
      </w:r>
      <w:r w:rsidR="000C320D" w:rsidRPr="00861957">
        <w:t xml:space="preserve"> (HRBA)</w:t>
      </w:r>
      <w:r w:rsidRPr="00861957">
        <w:t xml:space="preserve"> </w:t>
      </w:r>
      <w:r w:rsidR="009B4450">
        <w:t>are</w:t>
      </w:r>
      <w:r w:rsidR="009B4450" w:rsidRPr="00861957">
        <w:t xml:space="preserve"> the</w:t>
      </w:r>
      <w:r w:rsidR="00AA3A45" w:rsidRPr="00861957">
        <w:t xml:space="preserve"> </w:t>
      </w:r>
      <w:r w:rsidRPr="00861957">
        <w:t xml:space="preserve">overarching principles </w:t>
      </w:r>
      <w:r w:rsidR="006561C3">
        <w:t xml:space="preserve">streamed across </w:t>
      </w:r>
      <w:r w:rsidRPr="00861957">
        <w:t>the UNDAF 2016-2020.</w:t>
      </w:r>
    </w:p>
    <w:p w14:paraId="337C9A19" w14:textId="77777777" w:rsidR="00ED0C7D" w:rsidRPr="00861957" w:rsidRDefault="00ED0C7D" w:rsidP="00A32C6F">
      <w:pPr>
        <w:jc w:val="both"/>
      </w:pPr>
    </w:p>
    <w:p w14:paraId="4E308021" w14:textId="446AA3FA" w:rsidR="00ED0C7D" w:rsidRPr="00861957" w:rsidRDefault="00ED0C7D" w:rsidP="00C67908">
      <w:pPr>
        <w:jc w:val="both"/>
      </w:pPr>
      <w:r w:rsidRPr="00861957">
        <w:t xml:space="preserve">The </w:t>
      </w:r>
      <w:r w:rsidR="00AA3A45" w:rsidRPr="00861957">
        <w:t xml:space="preserve">process of formulating the </w:t>
      </w:r>
      <w:r w:rsidRPr="00861957">
        <w:t xml:space="preserve">UNDAF </w:t>
      </w:r>
      <w:r w:rsidR="00AA3A45" w:rsidRPr="00861957">
        <w:t>for</w:t>
      </w:r>
      <w:r w:rsidRPr="00861957">
        <w:t xml:space="preserve"> Belarus </w:t>
      </w:r>
      <w:r w:rsidR="00C67908">
        <w:t>can be</w:t>
      </w:r>
      <w:r w:rsidR="00C67908" w:rsidRPr="00861957">
        <w:t xml:space="preserve"> </w:t>
      </w:r>
      <w:r w:rsidRPr="00861957">
        <w:t>characteri</w:t>
      </w:r>
      <w:r w:rsidR="00AA3A45" w:rsidRPr="00861957">
        <w:t>z</w:t>
      </w:r>
      <w:r w:rsidRPr="00861957">
        <w:t xml:space="preserve">ed by </w:t>
      </w:r>
      <w:r w:rsidR="00BC1178" w:rsidRPr="00861957">
        <w:t>four</w:t>
      </w:r>
      <w:r w:rsidRPr="00861957">
        <w:t xml:space="preserve"> main principles:</w:t>
      </w:r>
    </w:p>
    <w:p w14:paraId="35B06408" w14:textId="77777777" w:rsidR="000C6214" w:rsidRPr="00861957" w:rsidRDefault="000C6214" w:rsidP="000C6214">
      <w:pPr>
        <w:jc w:val="both"/>
      </w:pPr>
    </w:p>
    <w:p w14:paraId="4AFA4BEA" w14:textId="27A95631" w:rsidR="00EC1237" w:rsidRPr="00861957" w:rsidRDefault="000C6214" w:rsidP="005B57AB">
      <w:pPr>
        <w:jc w:val="both"/>
        <w:rPr>
          <w:sz w:val="22"/>
        </w:rPr>
      </w:pPr>
      <w:r w:rsidRPr="00861957">
        <w:rPr>
          <w:b/>
        </w:rPr>
        <w:t>1.</w:t>
      </w:r>
      <w:r w:rsidRPr="00861957">
        <w:t xml:space="preserve"> </w:t>
      </w:r>
      <w:r w:rsidR="00696293" w:rsidRPr="00861957">
        <w:rPr>
          <w:b/>
        </w:rPr>
        <w:t xml:space="preserve">An </w:t>
      </w:r>
      <w:r w:rsidR="00ED0C7D" w:rsidRPr="00861957">
        <w:rPr>
          <w:b/>
          <w:bCs/>
        </w:rPr>
        <w:t>Inclu</w:t>
      </w:r>
      <w:r w:rsidR="007D0656" w:rsidRPr="00861957">
        <w:rPr>
          <w:b/>
          <w:bCs/>
        </w:rPr>
        <w:t>sive and Participatory Process</w:t>
      </w:r>
      <w:r w:rsidRPr="00861957">
        <w:t xml:space="preserve">. </w:t>
      </w:r>
      <w:r w:rsidR="00EC1237" w:rsidRPr="00861957">
        <w:t xml:space="preserve">The UN in Belarus aimed to ensure the inclusive and participatory nature of the process from the very beginning. On 18-19 June 2014, the </w:t>
      </w:r>
      <w:r w:rsidR="00134321" w:rsidRPr="00861957">
        <w:t>UN</w:t>
      </w:r>
      <w:r w:rsidR="00EC1237" w:rsidRPr="00861957">
        <w:t xml:space="preserve"> and the Government held </w:t>
      </w:r>
      <w:r w:rsidR="00696293" w:rsidRPr="00861957">
        <w:t xml:space="preserve">a </w:t>
      </w:r>
      <w:r w:rsidR="00EC1237" w:rsidRPr="00861957">
        <w:t xml:space="preserve">Strategic Planning Retreat </w:t>
      </w:r>
      <w:r w:rsidR="00696293" w:rsidRPr="00861957">
        <w:t xml:space="preserve">(SPR) </w:t>
      </w:r>
      <w:r w:rsidR="00EC1237" w:rsidRPr="00861957">
        <w:t>in Minsk</w:t>
      </w:r>
      <w:r w:rsidR="00696293" w:rsidRPr="00861957">
        <w:t>,</w:t>
      </w:r>
      <w:r w:rsidR="00EC1237" w:rsidRPr="00861957">
        <w:t xml:space="preserve"> </w:t>
      </w:r>
      <w:r w:rsidR="00F56B9E" w:rsidRPr="00861957">
        <w:t>gathering</w:t>
      </w:r>
      <w:r w:rsidR="00EC1237" w:rsidRPr="00861957">
        <w:t xml:space="preserve"> more than 85 participants from UN resident and non-resident agencies, </w:t>
      </w:r>
      <w:r w:rsidR="00B141BB" w:rsidRPr="00861957">
        <w:t>state bodies and other organi</w:t>
      </w:r>
      <w:r w:rsidR="00696293" w:rsidRPr="00861957">
        <w:t>z</w:t>
      </w:r>
      <w:r w:rsidR="00B141BB" w:rsidRPr="00861957">
        <w:t>ations</w:t>
      </w:r>
      <w:r w:rsidR="003B058A" w:rsidRPr="00861957">
        <w:t>, civil society</w:t>
      </w:r>
      <w:r w:rsidR="00B141BB" w:rsidRPr="00861957">
        <w:t xml:space="preserve"> organi</w:t>
      </w:r>
      <w:r w:rsidR="00696293" w:rsidRPr="00861957">
        <w:t>z</w:t>
      </w:r>
      <w:r w:rsidR="00B141BB" w:rsidRPr="00861957">
        <w:t>ations</w:t>
      </w:r>
      <w:r w:rsidR="003B058A" w:rsidRPr="00861957">
        <w:t>, private sector</w:t>
      </w:r>
      <w:r w:rsidR="00B141BB" w:rsidRPr="00861957">
        <w:t xml:space="preserve"> representatives</w:t>
      </w:r>
      <w:r w:rsidR="003B058A" w:rsidRPr="00861957">
        <w:t xml:space="preserve">, </w:t>
      </w:r>
      <w:r w:rsidR="00EC1237" w:rsidRPr="00861957">
        <w:t>donors</w:t>
      </w:r>
      <w:r w:rsidR="003B058A" w:rsidRPr="00861957">
        <w:t xml:space="preserve"> and vulnerable groups, including persons with disabilities and young people</w:t>
      </w:r>
      <w:r w:rsidR="00696293" w:rsidRPr="00861957">
        <w:t>.</w:t>
      </w:r>
      <w:r w:rsidR="00EC1237" w:rsidRPr="00861957">
        <w:t xml:space="preserve"> The SPR was the main event that guided the UNDAF development </w:t>
      </w:r>
      <w:r w:rsidR="005B57AB" w:rsidRPr="00861957">
        <w:t xml:space="preserve">process </w:t>
      </w:r>
      <w:r w:rsidR="00EC1237" w:rsidRPr="00861957">
        <w:t xml:space="preserve">and the </w:t>
      </w:r>
      <w:r w:rsidR="00EC1237" w:rsidRPr="00861957">
        <w:rPr>
          <w:sz w:val="22"/>
        </w:rPr>
        <w:t>choice of priority areas.</w:t>
      </w:r>
    </w:p>
    <w:p w14:paraId="7F3F3502" w14:textId="77777777" w:rsidR="005B57AB" w:rsidRPr="00861957" w:rsidRDefault="005B57AB" w:rsidP="005B57AB">
      <w:pPr>
        <w:jc w:val="both"/>
      </w:pPr>
    </w:p>
    <w:p w14:paraId="36E1883C" w14:textId="29493350" w:rsidR="00BC04A1" w:rsidRPr="00861957" w:rsidRDefault="00EC1237" w:rsidP="002D41BD">
      <w:pPr>
        <w:jc w:val="both"/>
      </w:pPr>
      <w:r w:rsidRPr="00861957">
        <w:t xml:space="preserve">The </w:t>
      </w:r>
      <w:r w:rsidR="00696293" w:rsidRPr="00861957">
        <w:t xml:space="preserve">process of formulating the </w:t>
      </w:r>
      <w:r w:rsidRPr="00861957">
        <w:t>strategic priorit</w:t>
      </w:r>
      <w:r w:rsidR="00696293" w:rsidRPr="00861957">
        <w:t>ies</w:t>
      </w:r>
      <w:r w:rsidRPr="00861957">
        <w:t xml:space="preserve"> of </w:t>
      </w:r>
      <w:r w:rsidR="00696293" w:rsidRPr="00861957">
        <w:t xml:space="preserve">the </w:t>
      </w:r>
      <w:r w:rsidRPr="00861957">
        <w:t xml:space="preserve">UNDAF </w:t>
      </w:r>
      <w:r w:rsidR="007D0656" w:rsidRPr="00861957">
        <w:t>involved more than 25 meetings of UNDAF working groups</w:t>
      </w:r>
      <w:r w:rsidR="00696293" w:rsidRPr="00861957">
        <w:t>,</w:t>
      </w:r>
      <w:r w:rsidR="007D0656" w:rsidRPr="00861957">
        <w:t xml:space="preserve"> structured around four </w:t>
      </w:r>
      <w:r w:rsidR="00215E5A" w:rsidRPr="00861957">
        <w:t>focus areas</w:t>
      </w:r>
      <w:r w:rsidR="00696293" w:rsidRPr="00861957">
        <w:t>,</w:t>
      </w:r>
      <w:r w:rsidR="00861957">
        <w:t xml:space="preserve"> which</w:t>
      </w:r>
      <w:r w:rsidR="00215E5A" w:rsidRPr="00861957">
        <w:t xml:space="preserve"> were held </w:t>
      </w:r>
      <w:r w:rsidR="00696293" w:rsidRPr="00861957">
        <w:t xml:space="preserve">between </w:t>
      </w:r>
      <w:r w:rsidR="00215E5A" w:rsidRPr="00861957">
        <w:t xml:space="preserve">July </w:t>
      </w:r>
      <w:r w:rsidR="00696293" w:rsidRPr="00861957">
        <w:t xml:space="preserve">and </w:t>
      </w:r>
      <w:r w:rsidR="00215E5A" w:rsidRPr="00861957">
        <w:t xml:space="preserve">October 2014. </w:t>
      </w:r>
      <w:r w:rsidR="00BC04A1" w:rsidRPr="00861957">
        <w:t xml:space="preserve">They were co-chaired by heads of UN agencies and representatives of the Belarusian Government and </w:t>
      </w:r>
      <w:r w:rsidR="00696293" w:rsidRPr="00861957">
        <w:t xml:space="preserve">brought together </w:t>
      </w:r>
      <w:r w:rsidR="00BC04A1" w:rsidRPr="00861957">
        <w:t>UNCT members, various NGOs, private sector</w:t>
      </w:r>
      <w:r w:rsidR="00696293" w:rsidRPr="00861957">
        <w:t xml:space="preserve"> representatives</w:t>
      </w:r>
      <w:r w:rsidR="00BC04A1" w:rsidRPr="00861957">
        <w:t>, academi</w:t>
      </w:r>
      <w:r w:rsidR="00696293" w:rsidRPr="00861957">
        <w:t>cs</w:t>
      </w:r>
      <w:r w:rsidR="00BC04A1" w:rsidRPr="00861957">
        <w:t xml:space="preserve">, </w:t>
      </w:r>
      <w:r w:rsidR="00545C1B" w:rsidRPr="00861957">
        <w:t>state bodies and other organi</w:t>
      </w:r>
      <w:r w:rsidR="00696293" w:rsidRPr="00861957">
        <w:t>z</w:t>
      </w:r>
      <w:r w:rsidR="00545C1B" w:rsidRPr="00861957">
        <w:t>ations</w:t>
      </w:r>
      <w:r w:rsidR="00BC04A1" w:rsidRPr="00861957">
        <w:t>.</w:t>
      </w:r>
      <w:r w:rsidR="00613BAE" w:rsidRPr="00861957">
        <w:t xml:space="preserve"> About 200</w:t>
      </w:r>
      <w:r w:rsidR="00696293" w:rsidRPr="00861957">
        <w:t xml:space="preserve"> individuals</w:t>
      </w:r>
      <w:r w:rsidR="00613BAE" w:rsidRPr="00861957">
        <w:t xml:space="preserve">, including representatives of vulnerable groups and young people, had an opportunity to express their opinion and advocate different </w:t>
      </w:r>
      <w:r w:rsidR="000374D1" w:rsidRPr="00861957">
        <w:t xml:space="preserve">priorities </w:t>
      </w:r>
      <w:r w:rsidR="00696293" w:rsidRPr="00861957">
        <w:t xml:space="preserve">in </w:t>
      </w:r>
      <w:r w:rsidR="000374D1" w:rsidRPr="00861957">
        <w:t>the presence of g</w:t>
      </w:r>
      <w:r w:rsidR="00613BAE" w:rsidRPr="00861957">
        <w:t>overnment officials.</w:t>
      </w:r>
    </w:p>
    <w:p w14:paraId="05343F0A" w14:textId="77777777" w:rsidR="000C6214" w:rsidRPr="00861957" w:rsidRDefault="000C6214" w:rsidP="000C6214">
      <w:pPr>
        <w:jc w:val="both"/>
      </w:pPr>
    </w:p>
    <w:p w14:paraId="406322EC" w14:textId="785EDD9F" w:rsidR="00612630" w:rsidRPr="00861957" w:rsidRDefault="00613BAE" w:rsidP="00E9179B">
      <w:pPr>
        <w:jc w:val="both"/>
      </w:pPr>
      <w:r w:rsidRPr="00861957">
        <w:rPr>
          <w:b/>
          <w:bCs/>
        </w:rPr>
        <w:t>2</w:t>
      </w:r>
      <w:r w:rsidR="000C6214" w:rsidRPr="00861957">
        <w:rPr>
          <w:b/>
          <w:bCs/>
        </w:rPr>
        <w:t xml:space="preserve">. </w:t>
      </w:r>
      <w:r w:rsidR="00D00E3D" w:rsidRPr="00861957">
        <w:rPr>
          <w:b/>
          <w:bCs/>
        </w:rPr>
        <w:t>Consensus and Ownership</w:t>
      </w:r>
      <w:r w:rsidR="000C6214" w:rsidRPr="00861957">
        <w:t xml:space="preserve">. </w:t>
      </w:r>
      <w:r w:rsidR="00BC04A1" w:rsidRPr="00861957">
        <w:t xml:space="preserve">Every effort was made to ensure that the chosen UNDAF outcomes </w:t>
      </w:r>
      <w:r w:rsidR="00696293" w:rsidRPr="00861957">
        <w:t xml:space="preserve">would </w:t>
      </w:r>
      <w:r w:rsidR="00BC04A1" w:rsidRPr="00861957">
        <w:t xml:space="preserve">reflect a consensus </w:t>
      </w:r>
      <w:r w:rsidR="00696293" w:rsidRPr="00861957">
        <w:t xml:space="preserve">between </w:t>
      </w:r>
      <w:r w:rsidR="00BC04A1" w:rsidRPr="00861957">
        <w:t>different stakeholders, including the Government, t</w:t>
      </w:r>
      <w:r w:rsidR="00CC1CCD" w:rsidRPr="00861957">
        <w:t xml:space="preserve">he UNCT, CSOs, </w:t>
      </w:r>
      <w:r w:rsidR="00696293" w:rsidRPr="00861957">
        <w:t xml:space="preserve">the </w:t>
      </w:r>
      <w:r w:rsidR="00CC1CCD" w:rsidRPr="00861957">
        <w:t>private sector and vulnerable groups.</w:t>
      </w:r>
      <w:r w:rsidR="00BC04A1" w:rsidRPr="00861957">
        <w:t xml:space="preserve"> The</w:t>
      </w:r>
      <w:r w:rsidR="00215E5A" w:rsidRPr="00861957">
        <w:t xml:space="preserve"> involvement of the Government </w:t>
      </w:r>
      <w:r w:rsidR="00BC04A1" w:rsidRPr="00861957">
        <w:t xml:space="preserve">was secured </w:t>
      </w:r>
      <w:r w:rsidR="00696293" w:rsidRPr="00861957">
        <w:t xml:space="preserve">in the </w:t>
      </w:r>
      <w:r w:rsidR="00BC04A1" w:rsidRPr="00861957">
        <w:t xml:space="preserve">early stages, and </w:t>
      </w:r>
      <w:r w:rsidR="00D84CF8" w:rsidRPr="00861957">
        <w:t>drafts of the</w:t>
      </w:r>
      <w:r w:rsidR="00BC04A1" w:rsidRPr="00861957">
        <w:t xml:space="preserve"> results matrix </w:t>
      </w:r>
      <w:r w:rsidR="00D84CF8" w:rsidRPr="00861957">
        <w:t>were</w:t>
      </w:r>
      <w:r w:rsidR="00BC04A1" w:rsidRPr="00861957">
        <w:t xml:space="preserve"> shared</w:t>
      </w:r>
      <w:r w:rsidR="00D84CF8" w:rsidRPr="00861957">
        <w:t xml:space="preserve"> several times</w:t>
      </w:r>
      <w:r w:rsidR="00BC04A1" w:rsidRPr="00861957">
        <w:t xml:space="preserve"> </w:t>
      </w:r>
      <w:r w:rsidR="00696293" w:rsidRPr="00861957">
        <w:t xml:space="preserve">among </w:t>
      </w:r>
      <w:r w:rsidR="00D84CF8" w:rsidRPr="00861957">
        <w:t xml:space="preserve">a wide range of </w:t>
      </w:r>
      <w:r w:rsidR="00313E12" w:rsidRPr="00861957">
        <w:t xml:space="preserve">state bodies </w:t>
      </w:r>
      <w:r w:rsidR="00696293" w:rsidRPr="00861957">
        <w:t xml:space="preserve">in order </w:t>
      </w:r>
      <w:r w:rsidR="00612630" w:rsidRPr="00861957">
        <w:t>to receive and incorporate their feedback and proposals</w:t>
      </w:r>
      <w:r w:rsidR="00696293" w:rsidRPr="00861957">
        <w:t>.</w:t>
      </w:r>
      <w:r w:rsidR="00612630" w:rsidRPr="00861957">
        <w:t xml:space="preserve"> </w:t>
      </w:r>
      <w:r w:rsidR="00696293" w:rsidRPr="00861957">
        <w:t>T</w:t>
      </w:r>
      <w:r w:rsidR="00612630" w:rsidRPr="00861957">
        <w:t>he Ministry of Economy</w:t>
      </w:r>
      <w:r w:rsidR="00696293" w:rsidRPr="00861957">
        <w:t xml:space="preserve"> played a coordinating role</w:t>
      </w:r>
      <w:r w:rsidR="00612630" w:rsidRPr="00861957">
        <w:t>.</w:t>
      </w:r>
    </w:p>
    <w:p w14:paraId="363F8BBB" w14:textId="77777777" w:rsidR="00BC04A1" w:rsidRPr="00861957" w:rsidRDefault="00BC04A1" w:rsidP="00E9179B">
      <w:pPr>
        <w:jc w:val="both"/>
      </w:pPr>
    </w:p>
    <w:p w14:paraId="3EE05029" w14:textId="2B15579E" w:rsidR="00CC1CCD" w:rsidRPr="00861957" w:rsidRDefault="00215E5A" w:rsidP="00822E54">
      <w:pPr>
        <w:jc w:val="both"/>
      </w:pPr>
      <w:r w:rsidRPr="00861957">
        <w:t xml:space="preserve">In June 2014, </w:t>
      </w:r>
      <w:r w:rsidR="00696293" w:rsidRPr="00861957">
        <w:t xml:space="preserve">a </w:t>
      </w:r>
      <w:r w:rsidRPr="00861957">
        <w:t xml:space="preserve">Steering Committee was created to </w:t>
      </w:r>
      <w:r w:rsidR="000F002C" w:rsidRPr="00861957">
        <w:t xml:space="preserve">maintain </w:t>
      </w:r>
      <w:r w:rsidRPr="00861957">
        <w:t xml:space="preserve">high-level strategic oversight and quality assurance of the </w:t>
      </w:r>
      <w:r w:rsidR="000F002C" w:rsidRPr="00861957">
        <w:t xml:space="preserve">development and implementation of the </w:t>
      </w:r>
      <w:r w:rsidRPr="00861957">
        <w:t>UNDAF.</w:t>
      </w:r>
      <w:r w:rsidR="00BC04A1" w:rsidRPr="00861957">
        <w:t xml:space="preserve"> Its first meeting was held at the level of deputy ministers and the heads of UN agencies in Belarus, and was chaired by the UN Resident Coordinator. </w:t>
      </w:r>
      <w:r w:rsidR="0054516C" w:rsidRPr="00861957">
        <w:t>In December 2014, the UN conducted consultations on the draft UNDAF results matrix</w:t>
      </w:r>
      <w:r w:rsidR="000F002C" w:rsidRPr="00861957">
        <w:t xml:space="preserve"> with </w:t>
      </w:r>
      <w:r w:rsidR="00822E54">
        <w:t>international development partners</w:t>
      </w:r>
      <w:r w:rsidR="0054516C" w:rsidRPr="00861957">
        <w:t xml:space="preserve">, and another Steering Committee </w:t>
      </w:r>
      <w:r w:rsidR="000F002C" w:rsidRPr="00861957">
        <w:t xml:space="preserve">meeting </w:t>
      </w:r>
      <w:r w:rsidR="0054516C" w:rsidRPr="00861957">
        <w:t>at the level of deputy ministers was organi</w:t>
      </w:r>
      <w:r w:rsidR="000F002C" w:rsidRPr="00861957">
        <w:t>z</w:t>
      </w:r>
      <w:r w:rsidR="0054516C" w:rsidRPr="00861957">
        <w:t xml:space="preserve">ed in mid-January 2015 to ensure alignment of the results matrix with national priorities. </w:t>
      </w:r>
      <w:r w:rsidR="000F002C" w:rsidRPr="00861957">
        <w:t xml:space="preserve"> </w:t>
      </w:r>
      <w:r w:rsidR="00822E54">
        <w:t>The</w:t>
      </w:r>
      <w:r w:rsidR="00AE0125" w:rsidRPr="00861957">
        <w:t xml:space="preserve"> results matrix of the UNDAF document was presented to the audience</w:t>
      </w:r>
      <w:r w:rsidR="00822E54">
        <w:t xml:space="preserve"> at the</w:t>
      </w:r>
      <w:r w:rsidR="00822E54" w:rsidRPr="00822E54">
        <w:t xml:space="preserve"> </w:t>
      </w:r>
      <w:r w:rsidR="00822E54" w:rsidRPr="00861957">
        <w:t>International Development Partners Conference held on 29</w:t>
      </w:r>
      <w:r w:rsidR="00822E54" w:rsidRPr="00861957">
        <w:rPr>
          <w:vertAlign w:val="superscript"/>
        </w:rPr>
        <w:t>th</w:t>
      </w:r>
      <w:r w:rsidR="00822E54" w:rsidRPr="00861957">
        <w:t xml:space="preserve"> January 2015 in Minsk</w:t>
      </w:r>
      <w:r w:rsidR="00822E54">
        <w:t>.</w:t>
      </w:r>
    </w:p>
    <w:p w14:paraId="3E701CD2" w14:textId="77777777" w:rsidR="00ED0C7D" w:rsidRPr="00861957" w:rsidRDefault="00ED0C7D" w:rsidP="00ED0C7D">
      <w:pPr>
        <w:jc w:val="both"/>
      </w:pPr>
    </w:p>
    <w:p w14:paraId="6E0E7BA7" w14:textId="7695272C" w:rsidR="002D41BD" w:rsidRPr="00861957" w:rsidRDefault="00613BAE" w:rsidP="006B594E">
      <w:pPr>
        <w:jc w:val="both"/>
      </w:pPr>
      <w:r w:rsidRPr="00861957">
        <w:rPr>
          <w:b/>
          <w:bCs/>
        </w:rPr>
        <w:t>3</w:t>
      </w:r>
      <w:r w:rsidR="000C6214" w:rsidRPr="00861957">
        <w:rPr>
          <w:b/>
          <w:bCs/>
        </w:rPr>
        <w:t xml:space="preserve">. </w:t>
      </w:r>
      <w:r w:rsidR="00D571AB" w:rsidRPr="00861957">
        <w:rPr>
          <w:b/>
          <w:bCs/>
        </w:rPr>
        <w:t xml:space="preserve">An </w:t>
      </w:r>
      <w:r w:rsidR="006B594E" w:rsidRPr="00861957">
        <w:rPr>
          <w:b/>
          <w:bCs/>
        </w:rPr>
        <w:t>Evidence-</w:t>
      </w:r>
      <w:r w:rsidR="00D571AB" w:rsidRPr="00861957">
        <w:rPr>
          <w:b/>
          <w:bCs/>
        </w:rPr>
        <w:t>b</w:t>
      </w:r>
      <w:r w:rsidR="006B594E" w:rsidRPr="00861957">
        <w:rPr>
          <w:b/>
          <w:bCs/>
        </w:rPr>
        <w:t>ased</w:t>
      </w:r>
      <w:r w:rsidR="00D571AB" w:rsidRPr="00861957">
        <w:rPr>
          <w:b/>
          <w:bCs/>
        </w:rPr>
        <w:t xml:space="preserve"> Approach</w:t>
      </w:r>
      <w:r w:rsidR="000C6214" w:rsidRPr="00861957">
        <w:t xml:space="preserve">. </w:t>
      </w:r>
      <w:r w:rsidR="002D41BD" w:rsidRPr="00861957">
        <w:t xml:space="preserve">The UN Resident Coordinator in Belarus initiated a number of exercises aimed at strengthening the analytical and </w:t>
      </w:r>
      <w:r w:rsidR="008E485C" w:rsidRPr="00861957">
        <w:t xml:space="preserve">predictive </w:t>
      </w:r>
      <w:r w:rsidR="002D41BD" w:rsidRPr="00861957">
        <w:t>component</w:t>
      </w:r>
      <w:r w:rsidR="008E485C" w:rsidRPr="00861957">
        <w:t>s</w:t>
      </w:r>
      <w:r w:rsidR="002D41BD" w:rsidRPr="00861957">
        <w:t xml:space="preserve"> of the new UNDAF 2016-2020 and </w:t>
      </w:r>
      <w:r w:rsidR="004756FE" w:rsidRPr="00861957">
        <w:t>informing</w:t>
      </w:r>
      <w:r w:rsidR="002D41BD" w:rsidRPr="00861957">
        <w:t xml:space="preserve"> the process of its development through </w:t>
      </w:r>
      <w:r w:rsidR="008E485C" w:rsidRPr="00861957">
        <w:t xml:space="preserve">enhanced </w:t>
      </w:r>
      <w:r w:rsidR="002D41BD" w:rsidRPr="00861957">
        <w:t>understanding of the national context</w:t>
      </w:r>
      <w:r w:rsidR="008E485C" w:rsidRPr="00861957">
        <w:t xml:space="preserve"> and of</w:t>
      </w:r>
      <w:r w:rsidR="002D41BD" w:rsidRPr="00861957">
        <w:t xml:space="preserve"> existing and emerging challenges.</w:t>
      </w:r>
    </w:p>
    <w:p w14:paraId="3CAAADEE" w14:textId="77777777" w:rsidR="006B594E" w:rsidRPr="00861957" w:rsidRDefault="006B594E" w:rsidP="00E9179B">
      <w:pPr>
        <w:jc w:val="both"/>
      </w:pPr>
    </w:p>
    <w:p w14:paraId="7ADF4B77" w14:textId="2CF36B3D" w:rsidR="004756FE" w:rsidRPr="00861957" w:rsidRDefault="007358AC" w:rsidP="00E9179B">
      <w:pPr>
        <w:jc w:val="both"/>
      </w:pPr>
      <w:r w:rsidRPr="00861957">
        <w:t xml:space="preserve">The mid-term review (MTR) of the current UNDAF for 2011-2015 was conducted in 2013, and an additional review of the current UNDAF for 2011-2015 was completed by an external consultant in June 2014. The reviews called for a more balanced and analytical programme document, structured around strategic priorities. </w:t>
      </w:r>
      <w:r w:rsidR="00AE0125" w:rsidRPr="00861957">
        <w:t>Other</w:t>
      </w:r>
      <w:r w:rsidRPr="00861957">
        <w:t xml:space="preserve"> steps in this direction included </w:t>
      </w:r>
      <w:r w:rsidR="00E9179B" w:rsidRPr="00861957">
        <w:t>the UNCT Visioning Exercise in Vilnius (27-29 January 2014) and the UNCT Retreat in Vilnius (12-14 June 2014) where the participants discussed potential risks and the existing challe</w:t>
      </w:r>
      <w:r w:rsidR="00F2128A" w:rsidRPr="00861957">
        <w:t xml:space="preserve">nges for development </w:t>
      </w:r>
      <w:r w:rsidR="008E485C" w:rsidRPr="00861957">
        <w:t>in</w:t>
      </w:r>
      <w:r w:rsidR="00F2128A" w:rsidRPr="00861957">
        <w:t xml:space="preserve"> Belarus.</w:t>
      </w:r>
    </w:p>
    <w:p w14:paraId="635F036C" w14:textId="77777777" w:rsidR="00B11E80" w:rsidRPr="00861957" w:rsidRDefault="00B11E80" w:rsidP="00E9179B">
      <w:pPr>
        <w:jc w:val="both"/>
      </w:pPr>
    </w:p>
    <w:p w14:paraId="4F13355A" w14:textId="1E8E3F99" w:rsidR="009D5183" w:rsidRPr="00861957" w:rsidRDefault="00B11E80" w:rsidP="009D5183">
      <w:pPr>
        <w:jc w:val="both"/>
      </w:pPr>
      <w:r w:rsidRPr="00861957">
        <w:t xml:space="preserve">This UNDAF builds upon the findings and recommendations of the review of the UNDAF for Belarus for 2011-2015. In particular, UNDAF Area of Cooperation 1 </w:t>
      </w:r>
      <w:r w:rsidR="0094104E" w:rsidRPr="00861957">
        <w:t>i</w:t>
      </w:r>
      <w:r w:rsidR="008E485C" w:rsidRPr="00861957">
        <w:t>ncludes</w:t>
      </w:r>
      <w:r w:rsidR="0094104E" w:rsidRPr="00861957">
        <w:t xml:space="preserve"> measures to</w:t>
      </w:r>
      <w:r w:rsidR="008E485C" w:rsidRPr="00861957">
        <w:t>:</w:t>
      </w:r>
      <w:r w:rsidR="0094104E" w:rsidRPr="00861957">
        <w:t xml:space="preserve"> improve </w:t>
      </w:r>
      <w:r w:rsidR="008E485C" w:rsidRPr="00861957">
        <w:t xml:space="preserve">the </w:t>
      </w:r>
      <w:r w:rsidR="0094104E" w:rsidRPr="00861957">
        <w:t>m</w:t>
      </w:r>
      <w:r w:rsidR="00CB1532" w:rsidRPr="00861957">
        <w:t xml:space="preserve">onitoring, assessment and analysis </w:t>
      </w:r>
      <w:r w:rsidR="0094104E" w:rsidRPr="00861957">
        <w:t xml:space="preserve">of </w:t>
      </w:r>
      <w:r w:rsidR="00CB1532" w:rsidRPr="00861957">
        <w:t xml:space="preserve">data </w:t>
      </w:r>
      <w:r w:rsidR="0094104E" w:rsidRPr="00861957">
        <w:t xml:space="preserve">for decision-making; increase cooperation between state </w:t>
      </w:r>
      <w:r w:rsidR="0094104E" w:rsidRPr="00861957">
        <w:lastRenderedPageBreak/>
        <w:t xml:space="preserve">institutions, the private sector and </w:t>
      </w:r>
      <w:r w:rsidR="00743443" w:rsidRPr="00861957">
        <w:t>civil society</w:t>
      </w:r>
      <w:r w:rsidR="0094104E" w:rsidRPr="00861957">
        <w:t xml:space="preserve"> at the national, regional and local levels; </w:t>
      </w:r>
      <w:r w:rsidR="008E485C" w:rsidRPr="00861957">
        <w:t xml:space="preserve">and </w:t>
      </w:r>
      <w:r w:rsidR="0094104E" w:rsidRPr="00861957">
        <w:t>creat</w:t>
      </w:r>
      <w:r w:rsidR="008E485C" w:rsidRPr="00861957">
        <w:t>e</w:t>
      </w:r>
      <w:r w:rsidR="0094104E" w:rsidRPr="00861957">
        <w:t xml:space="preserve"> new mechanisms and improve the existing cooperation modalities between state institutions and </w:t>
      </w:r>
      <w:r w:rsidR="00743443" w:rsidRPr="00861957">
        <w:t>civil society</w:t>
      </w:r>
      <w:r w:rsidR="0094104E" w:rsidRPr="00861957">
        <w:t xml:space="preserve"> on analysing and implementing </w:t>
      </w:r>
      <w:r w:rsidR="00743443" w:rsidRPr="00861957">
        <w:t xml:space="preserve">the </w:t>
      </w:r>
      <w:r w:rsidR="00134D06">
        <w:t xml:space="preserve">recommendations of the </w:t>
      </w:r>
      <w:r w:rsidR="00743443" w:rsidRPr="00861957">
        <w:t>Universal Periodic Review (UPR)</w:t>
      </w:r>
      <w:r w:rsidR="0094104E" w:rsidRPr="00861957">
        <w:t xml:space="preserve">. UNDAF Area of Cooperation </w:t>
      </w:r>
      <w:r w:rsidR="00743443" w:rsidRPr="00861957">
        <w:t xml:space="preserve">2 focuses on structural reforms, </w:t>
      </w:r>
      <w:r w:rsidR="0094104E" w:rsidRPr="00861957">
        <w:t>improv</w:t>
      </w:r>
      <w:r w:rsidR="008E485C" w:rsidRPr="00861957">
        <w:t>ing the</w:t>
      </w:r>
      <w:r w:rsidR="0094104E" w:rsidRPr="00861957">
        <w:t xml:space="preserve"> </w:t>
      </w:r>
      <w:r w:rsidR="00743443" w:rsidRPr="00861957">
        <w:t>competitiveness of the national economy and develop</w:t>
      </w:r>
      <w:r w:rsidR="008E485C" w:rsidRPr="00861957">
        <w:t>ing</w:t>
      </w:r>
      <w:r w:rsidR="00743443" w:rsidRPr="00861957">
        <w:t xml:space="preserve"> </w:t>
      </w:r>
      <w:r w:rsidR="0094104E" w:rsidRPr="00861957">
        <w:t xml:space="preserve">SMEs. UNDAF Area of Cooperation 3 </w:t>
      </w:r>
      <w:r w:rsidR="00D571AB" w:rsidRPr="00861957">
        <w:t xml:space="preserve">envisages </w:t>
      </w:r>
      <w:r w:rsidR="0094104E" w:rsidRPr="00861957">
        <w:t xml:space="preserve">improved </w:t>
      </w:r>
      <w:r w:rsidR="00743443" w:rsidRPr="00861957">
        <w:t>cooperation</w:t>
      </w:r>
      <w:r w:rsidR="0094104E" w:rsidRPr="00861957">
        <w:t xml:space="preserve"> between UN agencies and national partners </w:t>
      </w:r>
      <w:r w:rsidR="009C63D2" w:rsidRPr="00861957">
        <w:t>on environmental matters and ensuring</w:t>
      </w:r>
      <w:r w:rsidR="00D571AB" w:rsidRPr="00861957">
        <w:t xml:space="preserve"> the</w:t>
      </w:r>
      <w:r w:rsidR="009C63D2" w:rsidRPr="00861957">
        <w:t xml:space="preserve"> sustainability of achieved outcomes upon</w:t>
      </w:r>
      <w:r w:rsidR="00134D06">
        <w:t xml:space="preserve"> the</w:t>
      </w:r>
      <w:r w:rsidR="009C63D2" w:rsidRPr="00861957">
        <w:t xml:space="preserve"> completion of </w:t>
      </w:r>
      <w:r w:rsidR="00D571AB" w:rsidRPr="00861957">
        <w:t xml:space="preserve">environmental </w:t>
      </w:r>
      <w:r w:rsidR="009C63D2" w:rsidRPr="00861957">
        <w:t>projects. UNDAF Area of Cooperation 4 addresses numerous recommendations of the UNDAF review, including the need to</w:t>
      </w:r>
      <w:r w:rsidR="00D571AB" w:rsidRPr="00861957">
        <w:t>:</w:t>
      </w:r>
      <w:r w:rsidR="009C63D2" w:rsidRPr="00861957">
        <w:t xml:space="preserve"> develop the National Action Plan on the Control of Non-Infectious Diseases</w:t>
      </w:r>
      <w:r w:rsidR="00D571AB" w:rsidRPr="00861957">
        <w:t>;</w:t>
      </w:r>
      <w:r w:rsidR="009C63D2" w:rsidRPr="00861957">
        <w:t xml:space="preserve"> impro</w:t>
      </w:r>
      <w:r w:rsidR="00D571AB" w:rsidRPr="00861957">
        <w:t>ve</w:t>
      </w:r>
      <w:r w:rsidR="009C63D2" w:rsidRPr="00861957">
        <w:t xml:space="preserve"> the efficiency of health system expenditures through </w:t>
      </w:r>
      <w:r w:rsidR="00D571AB" w:rsidRPr="00861957">
        <w:t xml:space="preserve">a </w:t>
      </w:r>
      <w:r w:rsidR="009C63D2" w:rsidRPr="00861957">
        <w:t>shift to provision of primary healthcare services to the population</w:t>
      </w:r>
      <w:r w:rsidR="00D571AB" w:rsidRPr="00861957">
        <w:t>;</w:t>
      </w:r>
      <w:r w:rsidR="009C63D2" w:rsidRPr="00861957">
        <w:t xml:space="preserve"> strengthen inter-agency cooperation and reinforc</w:t>
      </w:r>
      <w:r w:rsidR="00D571AB" w:rsidRPr="00861957">
        <w:t>e</w:t>
      </w:r>
      <w:r w:rsidR="009C63D2" w:rsidRPr="00861957">
        <w:t xml:space="preserve"> cooperation with </w:t>
      </w:r>
      <w:r w:rsidR="00743443" w:rsidRPr="00861957">
        <w:t>civil society</w:t>
      </w:r>
      <w:r w:rsidR="00D571AB" w:rsidRPr="00861957">
        <w:t>;</w:t>
      </w:r>
      <w:r w:rsidR="009C63D2" w:rsidRPr="00861957">
        <w:t xml:space="preserve"> and expan</w:t>
      </w:r>
      <w:r w:rsidR="00D571AB" w:rsidRPr="00861957">
        <w:t>d</w:t>
      </w:r>
      <w:r w:rsidR="009C63D2" w:rsidRPr="00861957">
        <w:t xml:space="preserve"> preventive program</w:t>
      </w:r>
      <w:r w:rsidR="00D571AB" w:rsidRPr="00861957">
        <w:t>me</w:t>
      </w:r>
      <w:r w:rsidR="009C63D2" w:rsidRPr="00861957">
        <w:t xml:space="preserve">s with </w:t>
      </w:r>
      <w:r w:rsidR="00D571AB" w:rsidRPr="00861957">
        <w:t xml:space="preserve">a </w:t>
      </w:r>
      <w:r w:rsidR="009C63D2" w:rsidRPr="00861957">
        <w:t xml:space="preserve">focus on key affected populations and vulnerable groups. In addition, UNDAF Area of Cooperation 4 aims </w:t>
      </w:r>
      <w:r w:rsidR="00D571AB" w:rsidRPr="00861957">
        <w:t xml:space="preserve">to </w:t>
      </w:r>
      <w:r w:rsidR="009C63D2" w:rsidRPr="00861957">
        <w:t>combi</w:t>
      </w:r>
      <w:r w:rsidR="00D571AB" w:rsidRPr="00861957">
        <w:t>ne</w:t>
      </w:r>
      <w:r w:rsidR="009C63D2" w:rsidRPr="00861957">
        <w:t xml:space="preserve"> the efforts of numerous stakeholders to prevent and combat domestic violence</w:t>
      </w:r>
      <w:r w:rsidR="009D5183" w:rsidRPr="00861957">
        <w:t xml:space="preserve"> and human trafficking</w:t>
      </w:r>
      <w:r w:rsidR="009C63D2" w:rsidRPr="00861957">
        <w:t>, align the national legislation with the provisions of the Convention on the Right</w:t>
      </w:r>
      <w:r w:rsidR="009D5183" w:rsidRPr="00861957">
        <w:t>s of Persons with Disabilities</w:t>
      </w:r>
      <w:r w:rsidR="00D571AB" w:rsidRPr="00861957">
        <w:t>,</w:t>
      </w:r>
      <w:r w:rsidR="009D5183" w:rsidRPr="00861957">
        <w:t xml:space="preserve"> and ensure equal access of vulnerable groups to quality health</w:t>
      </w:r>
      <w:r w:rsidR="00134D06">
        <w:t>care</w:t>
      </w:r>
      <w:r w:rsidR="009D5183" w:rsidRPr="00861957">
        <w:t>, education and social protection services that effectively address their needs.</w:t>
      </w:r>
    </w:p>
    <w:p w14:paraId="2EF2A5D9" w14:textId="77777777" w:rsidR="000A5C2C" w:rsidRPr="00861957" w:rsidRDefault="000A5C2C" w:rsidP="00E9179B">
      <w:pPr>
        <w:jc w:val="both"/>
        <w:rPr>
          <w:highlight w:val="red"/>
        </w:rPr>
      </w:pPr>
    </w:p>
    <w:p w14:paraId="2DD13BBE" w14:textId="6CCF0696" w:rsidR="006B594E" w:rsidRPr="00861957" w:rsidRDefault="004756FE" w:rsidP="00AC151F">
      <w:pPr>
        <w:jc w:val="both"/>
      </w:pPr>
      <w:r w:rsidRPr="00861957">
        <w:t>A</w:t>
      </w:r>
      <w:r w:rsidR="006B594E" w:rsidRPr="00861957">
        <w:t xml:space="preserve"> number of highly professional and speciali</w:t>
      </w:r>
      <w:r w:rsidR="000F002C" w:rsidRPr="00861957">
        <w:t>z</w:t>
      </w:r>
      <w:r w:rsidR="006B594E" w:rsidRPr="00861957">
        <w:t>ed experts</w:t>
      </w:r>
      <w:r w:rsidR="00151DD8">
        <w:t>,</w:t>
      </w:r>
      <w:r w:rsidR="006B594E" w:rsidRPr="00861957">
        <w:t xml:space="preserve"> </w:t>
      </w:r>
      <w:r w:rsidR="00151DD8" w:rsidRPr="00861957">
        <w:t>including heads of leading NGOs and entrepreneurs’ associations</w:t>
      </w:r>
      <w:r w:rsidR="00151DD8">
        <w:t>,</w:t>
      </w:r>
      <w:r w:rsidR="00151DD8" w:rsidRPr="00861957">
        <w:t xml:space="preserve"> </w:t>
      </w:r>
      <w:r w:rsidR="006B594E" w:rsidRPr="00861957">
        <w:t>took part in the UNDAF working groups and provided useful advice</w:t>
      </w:r>
      <w:r w:rsidR="00AC151F">
        <w:t xml:space="preserve"> contributing to the process of UNDAF development.</w:t>
      </w:r>
      <w:r w:rsidR="006B594E" w:rsidRPr="00861957">
        <w:t>.</w:t>
      </w:r>
      <w:r w:rsidR="000A5C2C" w:rsidRPr="00861957">
        <w:t xml:space="preserve"> </w:t>
      </w:r>
    </w:p>
    <w:p w14:paraId="4EEDAD8E" w14:textId="77777777" w:rsidR="00ED0C7D" w:rsidRPr="00861957" w:rsidRDefault="00ED0C7D" w:rsidP="00ED0C7D">
      <w:pPr>
        <w:jc w:val="both"/>
      </w:pPr>
    </w:p>
    <w:p w14:paraId="0F281002" w14:textId="68798651" w:rsidR="00EC3262" w:rsidRPr="00861957" w:rsidRDefault="00613BAE" w:rsidP="00BC04A1">
      <w:pPr>
        <w:jc w:val="both"/>
      </w:pPr>
      <w:r w:rsidRPr="00861957">
        <w:rPr>
          <w:b/>
          <w:bCs/>
        </w:rPr>
        <w:t>4</w:t>
      </w:r>
      <w:r w:rsidR="000C6214" w:rsidRPr="00861957">
        <w:rPr>
          <w:b/>
          <w:bCs/>
        </w:rPr>
        <w:t xml:space="preserve">. </w:t>
      </w:r>
      <w:r w:rsidR="00BC04A1" w:rsidRPr="00861957">
        <w:rPr>
          <w:b/>
          <w:bCs/>
        </w:rPr>
        <w:t>Innovati</w:t>
      </w:r>
      <w:r w:rsidR="00D571AB" w:rsidRPr="00861957">
        <w:rPr>
          <w:b/>
          <w:bCs/>
        </w:rPr>
        <w:t>on</w:t>
      </w:r>
      <w:r w:rsidR="00BC04A1" w:rsidRPr="00861957">
        <w:rPr>
          <w:b/>
          <w:bCs/>
        </w:rPr>
        <w:t xml:space="preserve"> and Transparen</w:t>
      </w:r>
      <w:r w:rsidR="00D571AB" w:rsidRPr="00861957">
        <w:rPr>
          <w:b/>
          <w:bCs/>
        </w:rPr>
        <w:t>cy</w:t>
      </w:r>
      <w:r w:rsidR="000C6214" w:rsidRPr="00861957">
        <w:t>.</w:t>
      </w:r>
      <w:r w:rsidR="00D571AB" w:rsidRPr="00861957">
        <w:t xml:space="preserve"> The</w:t>
      </w:r>
      <w:r w:rsidR="000C6214" w:rsidRPr="00861957">
        <w:t xml:space="preserve"> </w:t>
      </w:r>
      <w:r w:rsidR="00AE191E" w:rsidRPr="00861957">
        <w:t>RCO</w:t>
      </w:r>
      <w:r w:rsidR="00D571AB" w:rsidRPr="00861957">
        <w:t xml:space="preserve"> has</w:t>
      </w:r>
      <w:r w:rsidR="00AE191E" w:rsidRPr="00861957">
        <w:t xml:space="preserve"> created a speciali</w:t>
      </w:r>
      <w:r w:rsidR="000F002C" w:rsidRPr="00861957">
        <w:t>z</w:t>
      </w:r>
      <w:r w:rsidR="00AE191E" w:rsidRPr="00861957">
        <w:t>ed online platform</w:t>
      </w:r>
      <w:r w:rsidR="00BC04A1" w:rsidRPr="00861957">
        <w:t xml:space="preserve"> (http://undaf-belarus.strikingly.com)</w:t>
      </w:r>
      <w:r w:rsidR="00AE191E" w:rsidRPr="00861957">
        <w:t xml:space="preserve"> to provide all stakeholders with latest updates on the UNDAF development process, where results matrices, protocols of meetings, ag</w:t>
      </w:r>
      <w:r w:rsidR="004756FE" w:rsidRPr="00861957">
        <w:t xml:space="preserve">endas and photos </w:t>
      </w:r>
      <w:r w:rsidR="00D571AB" w:rsidRPr="00861957">
        <w:t xml:space="preserve">are </w:t>
      </w:r>
      <w:r w:rsidR="004756FE" w:rsidRPr="00861957">
        <w:t>published online</w:t>
      </w:r>
      <w:r w:rsidR="00AE191E" w:rsidRPr="00861957">
        <w:t>.</w:t>
      </w:r>
    </w:p>
    <w:p w14:paraId="0EFAD407" w14:textId="5F43F85F" w:rsidR="00247D2D" w:rsidRPr="00861957" w:rsidRDefault="00EC698E" w:rsidP="00AF6462">
      <w:pPr>
        <w:pStyle w:val="Heading2"/>
      </w:pPr>
      <w:bookmarkStart w:id="11" w:name="_Toc405745110"/>
      <w:bookmarkStart w:id="12" w:name="_Toc412921071"/>
      <w:r w:rsidRPr="00861957">
        <w:t>I.ii. Devel</w:t>
      </w:r>
      <w:r w:rsidR="00AF6462" w:rsidRPr="00861957">
        <w:t>opment Context</w:t>
      </w:r>
      <w:bookmarkEnd w:id="11"/>
      <w:bookmarkEnd w:id="12"/>
    </w:p>
    <w:p w14:paraId="47A4C5F7" w14:textId="77777777" w:rsidR="00247D2D" w:rsidRPr="00861957" w:rsidRDefault="00247D2D" w:rsidP="00B83DB3">
      <w:pPr>
        <w:jc w:val="both"/>
        <w:rPr>
          <w:b/>
        </w:rPr>
      </w:pPr>
    </w:p>
    <w:p w14:paraId="174B8221" w14:textId="2CDDF254" w:rsidR="00216C24" w:rsidRPr="00861957" w:rsidRDefault="00216C24" w:rsidP="00216C24">
      <w:pPr>
        <w:jc w:val="both"/>
      </w:pPr>
      <w:r w:rsidRPr="00861957">
        <w:t>Belarus is an upper-middle income country</w:t>
      </w:r>
      <w:r w:rsidR="00071916" w:rsidRPr="00861957">
        <w:t>. According to the Human Development Report 2014 (UNDP), the Republic of Belarus had</w:t>
      </w:r>
      <w:r w:rsidRPr="00861957">
        <w:t xml:space="preserve"> </w:t>
      </w:r>
      <w:r w:rsidR="00D571AB" w:rsidRPr="00861957">
        <w:t xml:space="preserve">a </w:t>
      </w:r>
      <w:r w:rsidRPr="00861957">
        <w:t>GNI per ca</w:t>
      </w:r>
      <w:r w:rsidR="00F2128A" w:rsidRPr="00861957">
        <w:t xml:space="preserve">pita (2011 </w:t>
      </w:r>
      <w:r w:rsidR="009B4450">
        <w:t>Purchasing Power Parity (PPP)</w:t>
      </w:r>
      <w:r w:rsidR="00F2128A" w:rsidRPr="00861957">
        <w:t xml:space="preserve"> USD) of USD16,</w:t>
      </w:r>
      <w:r w:rsidR="00071916" w:rsidRPr="00861957">
        <w:t>403</w:t>
      </w:r>
      <w:r w:rsidR="007C0635" w:rsidRPr="00861957">
        <w:t xml:space="preserve"> in 2013</w:t>
      </w:r>
      <w:r w:rsidR="00F2128A" w:rsidRPr="00861957">
        <w:t>.</w:t>
      </w:r>
      <w:r w:rsidRPr="00861957">
        <w:t xml:space="preserve"> </w:t>
      </w:r>
      <w:r w:rsidR="00D571AB" w:rsidRPr="00861957">
        <w:t>This figure</w:t>
      </w:r>
      <w:r w:rsidRPr="00861957">
        <w:t xml:space="preserve"> is higher than the level of GNI per capita in the high human development category of countries (USD13,231)</w:t>
      </w:r>
      <w:r w:rsidR="009B4450">
        <w:t>.</w:t>
      </w:r>
      <w:r w:rsidRPr="00861957">
        <w:t>The Belarusian economy generated impressive</w:t>
      </w:r>
      <w:r w:rsidR="00470795" w:rsidRPr="00861957">
        <w:t xml:space="preserve"> GDP</w:t>
      </w:r>
      <w:r w:rsidRPr="00861957">
        <w:t xml:space="preserve"> growth rates in t</w:t>
      </w:r>
      <w:r w:rsidR="008142EC" w:rsidRPr="00861957">
        <w:t xml:space="preserve">he period from 1996 until 2011. In particular, </w:t>
      </w:r>
      <w:r w:rsidR="006A76CD" w:rsidRPr="00861957">
        <w:t xml:space="preserve">the </w:t>
      </w:r>
      <w:r w:rsidR="008142EC" w:rsidRPr="00861957">
        <w:t>average yearly GDP growth rate in 2004-2008 was 9.92%.</w:t>
      </w:r>
    </w:p>
    <w:p w14:paraId="46CBE6F5" w14:textId="77777777" w:rsidR="00216C24" w:rsidRPr="00861957" w:rsidRDefault="00216C24" w:rsidP="00216C24">
      <w:pPr>
        <w:jc w:val="both"/>
      </w:pPr>
    </w:p>
    <w:p w14:paraId="17681CF9" w14:textId="5ECE3B74" w:rsidR="00216C24" w:rsidRPr="00861957" w:rsidRDefault="00216C24" w:rsidP="00216C24">
      <w:pPr>
        <w:jc w:val="both"/>
      </w:pPr>
      <w:r w:rsidRPr="00861957">
        <w:t xml:space="preserve">As a result, Belarus made significant progress in </w:t>
      </w:r>
      <w:r w:rsidR="006A76CD" w:rsidRPr="00861957">
        <w:t>improving its</w:t>
      </w:r>
      <w:r w:rsidRPr="00861957">
        <w:t xml:space="preserve"> </w:t>
      </w:r>
      <w:r w:rsidR="001366EA" w:rsidRPr="00861957">
        <w:t>Human Development Index</w:t>
      </w:r>
      <w:r w:rsidRPr="00861957">
        <w:t xml:space="preserve"> </w:t>
      </w:r>
      <w:r w:rsidR="006A76CD" w:rsidRPr="00861957">
        <w:t xml:space="preserve">between </w:t>
      </w:r>
      <w:r w:rsidRPr="00861957">
        <w:t>2005</w:t>
      </w:r>
      <w:r w:rsidR="006A76CD" w:rsidRPr="00861957">
        <w:t xml:space="preserve"> and </w:t>
      </w:r>
      <w:r w:rsidRPr="00861957">
        <w:t>2013 – i</w:t>
      </w:r>
      <w:r w:rsidR="007C5E39" w:rsidRPr="00861957">
        <w:t>ts growth was the highest among</w:t>
      </w:r>
      <w:r w:rsidR="00675DD5" w:rsidRPr="00861957">
        <w:t xml:space="preserve"> countries in </w:t>
      </w:r>
      <w:r w:rsidR="004478A5" w:rsidRPr="00861957">
        <w:t>Central and Eastern Europe</w:t>
      </w:r>
      <w:r w:rsidR="00675DD5" w:rsidRPr="00861957">
        <w:t xml:space="preserve">, the Western Balkans </w:t>
      </w:r>
      <w:r w:rsidR="004478A5" w:rsidRPr="00861957">
        <w:t xml:space="preserve">and the Commonwealth of Independent States. </w:t>
      </w:r>
      <w:r w:rsidR="001366EA" w:rsidRPr="00861957">
        <w:t xml:space="preserve">It </w:t>
      </w:r>
      <w:r w:rsidR="006A76CD" w:rsidRPr="00861957">
        <w:t xml:space="preserve">was ranked </w:t>
      </w:r>
      <w:r w:rsidR="001366EA" w:rsidRPr="00861957">
        <w:t>53</w:t>
      </w:r>
      <w:r w:rsidR="001366EA" w:rsidRPr="00861957">
        <w:rPr>
          <w:vertAlign w:val="superscript"/>
        </w:rPr>
        <w:t>rd</w:t>
      </w:r>
      <w:r w:rsidR="001366EA" w:rsidRPr="00861957">
        <w:t xml:space="preserve"> among 187 countries in the Human Development Report 2014.</w:t>
      </w:r>
      <w:r w:rsidR="00A6752A" w:rsidRPr="00861957">
        <w:t xml:space="preserve"> </w:t>
      </w:r>
      <w:r w:rsidRPr="00861957">
        <w:t>Belarus also achieved 28</w:t>
      </w:r>
      <w:r w:rsidRPr="00861957">
        <w:rPr>
          <w:vertAlign w:val="superscript"/>
        </w:rPr>
        <w:t>th</w:t>
      </w:r>
      <w:r w:rsidRPr="00861957">
        <w:t xml:space="preserve"> </w:t>
      </w:r>
      <w:r w:rsidR="006A76CD" w:rsidRPr="00861957">
        <w:t xml:space="preserve">position </w:t>
      </w:r>
      <w:r w:rsidRPr="00861957">
        <w:t>among 187 countries in the Gender Equality Index of the UNDP’s Human Development Report 2014, better than the average in countries with very</w:t>
      </w:r>
      <w:r w:rsidR="00F2128A" w:rsidRPr="00861957">
        <w:t xml:space="preserve"> high human development.</w:t>
      </w:r>
    </w:p>
    <w:p w14:paraId="102C3961" w14:textId="77777777" w:rsidR="00216C24" w:rsidRPr="00861957" w:rsidRDefault="00216C24" w:rsidP="00216C24">
      <w:pPr>
        <w:jc w:val="both"/>
      </w:pPr>
    </w:p>
    <w:p w14:paraId="0BA1E534" w14:textId="28F80A85" w:rsidR="00B5013E" w:rsidRPr="00861957" w:rsidRDefault="00216C24" w:rsidP="00216C24">
      <w:pPr>
        <w:jc w:val="both"/>
      </w:pPr>
      <w:r w:rsidRPr="00861957">
        <w:t xml:space="preserve">At the same time, Belarus </w:t>
      </w:r>
      <w:r w:rsidR="006A76CD" w:rsidRPr="00861957">
        <w:t xml:space="preserve">has </w:t>
      </w:r>
      <w:r w:rsidRPr="00861957">
        <w:t xml:space="preserve">retained a high level of income equality, which can be demonstrated </w:t>
      </w:r>
      <w:r w:rsidR="001B64D2" w:rsidRPr="00861957">
        <w:t>by its Gini coefficient of 0.283 in 2013</w:t>
      </w:r>
      <w:r w:rsidR="006A76CD" w:rsidRPr="00861957">
        <w:t>.</w:t>
      </w:r>
      <w:r w:rsidR="001B64D2" w:rsidRPr="00861957">
        <w:rPr>
          <w:rStyle w:val="FootnoteReference"/>
        </w:rPr>
        <w:footnoteReference w:id="2"/>
      </w:r>
      <w:r w:rsidRPr="00861957">
        <w:t xml:space="preserve"> </w:t>
      </w:r>
      <w:r w:rsidR="00B5013E" w:rsidRPr="00861957">
        <w:t xml:space="preserve">According to the Human Development Report 2014 (UNDP), Belarus has </w:t>
      </w:r>
      <w:r w:rsidRPr="00861957">
        <w:t xml:space="preserve">high values of mean years of schooling (11.5) and one of the highest numbers of expected years of schooling (15.7) among </w:t>
      </w:r>
      <w:r w:rsidR="006A76CD" w:rsidRPr="00861957">
        <w:t xml:space="preserve">the </w:t>
      </w:r>
      <w:r w:rsidR="007C5E39" w:rsidRPr="00861957">
        <w:t>countries of Central and Eastern Europe, the Western Balkans and the Commonwealth of Independent States</w:t>
      </w:r>
      <w:r w:rsidRPr="00861957">
        <w:t xml:space="preserve">. </w:t>
      </w:r>
    </w:p>
    <w:p w14:paraId="5CE2C0C0" w14:textId="77777777" w:rsidR="00B5013E" w:rsidRPr="00861957" w:rsidRDefault="00B5013E" w:rsidP="00216C24">
      <w:pPr>
        <w:jc w:val="both"/>
      </w:pPr>
    </w:p>
    <w:p w14:paraId="02095CD2" w14:textId="7E09F139" w:rsidR="00216C24" w:rsidRPr="00861957" w:rsidRDefault="00770976" w:rsidP="00216C24">
      <w:pPr>
        <w:jc w:val="both"/>
      </w:pPr>
      <w:r w:rsidRPr="00861957">
        <w:t xml:space="preserve">However, Belarus </w:t>
      </w:r>
      <w:r w:rsidR="00B5013E" w:rsidRPr="00861957">
        <w:t>has</w:t>
      </w:r>
      <w:r w:rsidRPr="00861957">
        <w:t xml:space="preserve"> </w:t>
      </w:r>
      <w:r w:rsidR="006A76CD" w:rsidRPr="00861957">
        <w:t xml:space="preserve">a </w:t>
      </w:r>
      <w:r w:rsidR="00B5013E" w:rsidRPr="00861957">
        <w:t>low life expectancy at birth (72.6</w:t>
      </w:r>
      <w:r w:rsidR="00216C24" w:rsidRPr="00861957">
        <w:t xml:space="preserve"> years)</w:t>
      </w:r>
      <w:r w:rsidR="006A76CD" w:rsidRPr="00861957">
        <w:t>,</w:t>
      </w:r>
      <w:r w:rsidR="00216C24" w:rsidRPr="00861957">
        <w:t xml:space="preserve"> with a gap of </w:t>
      </w:r>
      <w:r w:rsidR="00B5013E" w:rsidRPr="00861957">
        <w:t>10</w:t>
      </w:r>
      <w:r w:rsidR="00216C24" w:rsidRPr="00861957">
        <w:t>.6 years between m</w:t>
      </w:r>
      <w:r w:rsidRPr="00861957">
        <w:t xml:space="preserve">ale and female life expectancy. This is </w:t>
      </w:r>
      <w:r w:rsidR="00216C24" w:rsidRPr="00861957">
        <w:t xml:space="preserve">mostly </w:t>
      </w:r>
      <w:r w:rsidR="00192FAF" w:rsidRPr="00861957">
        <w:t>due to high prevalence of NCDs.</w:t>
      </w:r>
    </w:p>
    <w:p w14:paraId="3C3A9A50" w14:textId="77777777" w:rsidR="00216C24" w:rsidRPr="00861957" w:rsidRDefault="00216C24" w:rsidP="00216C24">
      <w:pPr>
        <w:tabs>
          <w:tab w:val="left" w:pos="8430"/>
        </w:tabs>
        <w:jc w:val="both"/>
      </w:pPr>
      <w:r w:rsidRPr="00861957">
        <w:tab/>
      </w:r>
    </w:p>
    <w:p w14:paraId="2F3EC77B" w14:textId="5D3C9F8D" w:rsidR="00216C24" w:rsidRPr="00861957" w:rsidRDefault="00216C24" w:rsidP="0011739D">
      <w:pPr>
        <w:jc w:val="both"/>
      </w:pPr>
      <w:r w:rsidRPr="00861957">
        <w:t xml:space="preserve">Belarus </w:t>
      </w:r>
      <w:r w:rsidR="006A76CD" w:rsidRPr="00861957">
        <w:t xml:space="preserve">has </w:t>
      </w:r>
      <w:r w:rsidRPr="00861957">
        <w:t xml:space="preserve">achieved most of </w:t>
      </w:r>
      <w:r w:rsidR="006A76CD" w:rsidRPr="00861957">
        <w:t xml:space="preserve">the </w:t>
      </w:r>
      <w:r w:rsidR="00D05C0F">
        <w:t>Millennium Development Goals (</w:t>
      </w:r>
      <w:r w:rsidRPr="00861957">
        <w:t>MDGs</w:t>
      </w:r>
      <w:r w:rsidR="00D05C0F">
        <w:t>)</w:t>
      </w:r>
      <w:r w:rsidRPr="00861957">
        <w:t xml:space="preserve">. It </w:t>
      </w:r>
      <w:r w:rsidR="006A76CD" w:rsidRPr="00861957">
        <w:t xml:space="preserve">has </w:t>
      </w:r>
      <w:r w:rsidRPr="00861957">
        <w:t xml:space="preserve">reduced the proportion of </w:t>
      </w:r>
      <w:r w:rsidR="006A76CD" w:rsidRPr="00861957">
        <w:t xml:space="preserve">the </w:t>
      </w:r>
      <w:r w:rsidRPr="00861957">
        <w:t>population with average available resources per person below USD2 and USD4 (</w:t>
      </w:r>
      <w:r w:rsidR="009B4450">
        <w:t>PPP</w:t>
      </w:r>
      <w:r w:rsidRPr="00861957">
        <w:t xml:space="preserve">) per day, </w:t>
      </w:r>
      <w:r w:rsidRPr="00861957">
        <w:lastRenderedPageBreak/>
        <w:t xml:space="preserve">achieved universal primary education, </w:t>
      </w:r>
      <w:r w:rsidR="000C6214" w:rsidRPr="00861957">
        <w:t>a</w:t>
      </w:r>
      <w:r w:rsidR="0011739D">
        <w:t>ttained</w:t>
      </w:r>
      <w:r w:rsidRPr="00861957">
        <w:t xml:space="preserve"> progress in expanding women’s participation in decision-making and promoting gender equality, </w:t>
      </w:r>
      <w:r w:rsidR="006A76CD" w:rsidRPr="00861957">
        <w:t xml:space="preserve">and </w:t>
      </w:r>
      <w:r w:rsidRPr="00861957">
        <w:t xml:space="preserve">reduced the infant, under-five and maternal mortality rate. It </w:t>
      </w:r>
      <w:r w:rsidR="006A76CD" w:rsidRPr="00861957">
        <w:t xml:space="preserve">has </w:t>
      </w:r>
      <w:r w:rsidRPr="00861957">
        <w:t xml:space="preserve">also reduced the tuberculosis incidence rate and the prevalence of active forms of tuberculosis, decreased carbon dioxide emissions, </w:t>
      </w:r>
      <w:r w:rsidR="006A76CD" w:rsidRPr="00861957">
        <w:t xml:space="preserve">expanded the area of </w:t>
      </w:r>
      <w:r w:rsidRPr="00861957">
        <w:t>land protected to maintain biological diversity and forest</w:t>
      </w:r>
      <w:r w:rsidR="006A76CD" w:rsidRPr="00861957">
        <w:t>ed land</w:t>
      </w:r>
      <w:r w:rsidRPr="00861957">
        <w:t>, national parks and nature reserves</w:t>
      </w:r>
      <w:r w:rsidR="006A76CD" w:rsidRPr="00861957">
        <w:t>,</w:t>
      </w:r>
      <w:r w:rsidRPr="00861957">
        <w:t xml:space="preserve"> and improved the availability and conditions</w:t>
      </w:r>
      <w:r w:rsidR="006A76CD" w:rsidRPr="00861957">
        <w:t xml:space="preserve"> of housing</w:t>
      </w:r>
      <w:r w:rsidRPr="00861957">
        <w:t xml:space="preserve">. </w:t>
      </w:r>
    </w:p>
    <w:p w14:paraId="1677910E" w14:textId="77777777" w:rsidR="00216C24" w:rsidRPr="00861957" w:rsidRDefault="00216C24" w:rsidP="00216C24">
      <w:pPr>
        <w:jc w:val="both"/>
      </w:pPr>
    </w:p>
    <w:p w14:paraId="040471A0" w14:textId="596216E3" w:rsidR="00216C24" w:rsidRPr="00861957" w:rsidRDefault="00216C24" w:rsidP="00216C24">
      <w:pPr>
        <w:jc w:val="both"/>
      </w:pPr>
      <w:r w:rsidRPr="00861957">
        <w:t xml:space="preserve">Several important challenges remain with respect </w:t>
      </w:r>
      <w:r w:rsidR="006A76CD" w:rsidRPr="00861957">
        <w:t>to the</w:t>
      </w:r>
      <w:r w:rsidRPr="00861957">
        <w:t xml:space="preserve"> achievement of the MDGs, including an increasing gender pay gap and </w:t>
      </w:r>
      <w:r w:rsidR="006A76CD" w:rsidRPr="00861957">
        <w:t xml:space="preserve">an </w:t>
      </w:r>
      <w:r w:rsidRPr="00861957">
        <w:t xml:space="preserve">increasing prevalence of HIV and MDR-TB. Among other areas </w:t>
      </w:r>
      <w:r w:rsidR="004C3075" w:rsidRPr="00861957">
        <w:t>in which</w:t>
      </w:r>
      <w:r w:rsidRPr="00861957">
        <w:t xml:space="preserve"> improvement</w:t>
      </w:r>
      <w:r w:rsidR="004C3075" w:rsidRPr="00861957">
        <w:t>s</w:t>
      </w:r>
      <w:r w:rsidRPr="00861957">
        <w:t xml:space="preserve"> are</w:t>
      </w:r>
      <w:r w:rsidR="004C3075" w:rsidRPr="00861957">
        <w:t xml:space="preserve"> being sought are:</w:t>
      </w:r>
      <w:r w:rsidRPr="00861957">
        <w:t xml:space="preserve"> </w:t>
      </w:r>
      <w:r w:rsidR="004C3075" w:rsidRPr="00861957">
        <w:t xml:space="preserve">the </w:t>
      </w:r>
      <w:r w:rsidRPr="00861957">
        <w:t>effectiveness of the health system</w:t>
      </w:r>
      <w:r w:rsidR="004C3075" w:rsidRPr="00861957">
        <w:t>,</w:t>
      </w:r>
      <w:r w:rsidRPr="00861957">
        <w:t xml:space="preserve"> with </w:t>
      </w:r>
      <w:r w:rsidR="004C3075" w:rsidRPr="00861957">
        <w:t xml:space="preserve">a </w:t>
      </w:r>
      <w:r w:rsidRPr="00861957">
        <w:t>focus on primary healthcare and impro</w:t>
      </w:r>
      <w:r w:rsidR="004C3075" w:rsidRPr="00861957">
        <w:t>ving</w:t>
      </w:r>
      <w:r w:rsidRPr="00861957">
        <w:t xml:space="preserve"> reproductive health and family planning</w:t>
      </w:r>
      <w:r w:rsidR="004C3075" w:rsidRPr="00861957">
        <w:t>;</w:t>
      </w:r>
      <w:r w:rsidRPr="00861957">
        <w:t xml:space="preserve"> </w:t>
      </w:r>
      <w:r w:rsidR="004C3075" w:rsidRPr="00861957">
        <w:t xml:space="preserve">the </w:t>
      </w:r>
      <w:r w:rsidRPr="00861957">
        <w:t>educational attainments and employment of vulnerable groups</w:t>
      </w:r>
      <w:r w:rsidR="004C3075" w:rsidRPr="00861957">
        <w:t>;</w:t>
      </w:r>
      <w:r w:rsidRPr="00861957">
        <w:t xml:space="preserve"> domestic violence and gender equality</w:t>
      </w:r>
      <w:r w:rsidR="004C3075" w:rsidRPr="00861957">
        <w:t>; and</w:t>
      </w:r>
      <w:r w:rsidRPr="00861957">
        <w:t xml:space="preserve"> ensuring life safety and combatting stigmas, discrimination and negative stereotypes in all areas of life.</w:t>
      </w:r>
    </w:p>
    <w:p w14:paraId="3987A8B2" w14:textId="77777777" w:rsidR="00216C24" w:rsidRPr="00861957" w:rsidRDefault="00216C24" w:rsidP="00216C24">
      <w:pPr>
        <w:jc w:val="both"/>
      </w:pPr>
    </w:p>
    <w:p w14:paraId="245F7687" w14:textId="3BDFCE29" w:rsidR="00D17861" w:rsidRPr="00861957" w:rsidRDefault="00216C24" w:rsidP="00D17861">
      <w:pPr>
        <w:jc w:val="both"/>
      </w:pPr>
      <w:r w:rsidRPr="00861957">
        <w:t>Belarus has adopted</w:t>
      </w:r>
      <w:r w:rsidR="004C3075" w:rsidRPr="00861957">
        <w:t xml:space="preserve"> a</w:t>
      </w:r>
      <w:r w:rsidRPr="00861957">
        <w:t xml:space="preserve"> gradual path to </w:t>
      </w:r>
      <w:r w:rsidR="00192FAF" w:rsidRPr="00861957">
        <w:t>structural</w:t>
      </w:r>
      <w:r w:rsidRPr="00861957">
        <w:t xml:space="preserve"> reform. It has markedly increased its Ease of Doing Business ranking from the 129</w:t>
      </w:r>
      <w:r w:rsidRPr="00861957">
        <w:rPr>
          <w:vertAlign w:val="superscript"/>
        </w:rPr>
        <w:t>th</w:t>
      </w:r>
      <w:r w:rsidRPr="00861957">
        <w:t xml:space="preserve"> in 2007 to 57</w:t>
      </w:r>
      <w:r w:rsidRPr="00861957">
        <w:rPr>
          <w:vertAlign w:val="superscript"/>
        </w:rPr>
        <w:t>th</w:t>
      </w:r>
      <w:r w:rsidRPr="00861957">
        <w:t xml:space="preserve"> in 2015</w:t>
      </w:r>
      <w:r w:rsidR="00192FAF" w:rsidRPr="00861957">
        <w:t xml:space="preserve">. </w:t>
      </w:r>
      <w:r w:rsidR="00D17861" w:rsidRPr="00861957">
        <w:t xml:space="preserve">However, Belarus remains highly vulnerable to external factors and shocks: the country faced a high current account deficit of about </w:t>
      </w:r>
      <w:r w:rsidR="00C03544" w:rsidRPr="00861957">
        <w:t>7</w:t>
      </w:r>
      <w:r w:rsidR="00D17861" w:rsidRPr="00861957">
        <w:t xml:space="preserve">% of GDP in </w:t>
      </w:r>
      <w:r w:rsidR="00C03544" w:rsidRPr="00861957">
        <w:t>2014</w:t>
      </w:r>
      <w:r w:rsidR="004C3075" w:rsidRPr="00861957">
        <w:t>,</w:t>
      </w:r>
      <w:r w:rsidR="00C03544" w:rsidRPr="00861957">
        <w:t xml:space="preserve"> against the background of slowing economic growth in Russia, sharp currency devaluations among main </w:t>
      </w:r>
      <w:r w:rsidR="004C3075" w:rsidRPr="00861957">
        <w:t xml:space="preserve">its </w:t>
      </w:r>
      <w:r w:rsidR="00C03544" w:rsidRPr="00861957">
        <w:t>trade partners and declining oil prices.</w:t>
      </w:r>
      <w:r w:rsidR="00D17861" w:rsidRPr="00861957">
        <w:t xml:space="preserve"> The growth in real household incomes, wages and pensions has slowed down and the country </w:t>
      </w:r>
      <w:r w:rsidR="004C3075" w:rsidRPr="00861957">
        <w:t>was</w:t>
      </w:r>
      <w:r w:rsidR="00D17861" w:rsidRPr="00861957">
        <w:t xml:space="preserve"> combatting a high i</w:t>
      </w:r>
      <w:r w:rsidR="008142EC" w:rsidRPr="00861957">
        <w:t>nflation rate of 16.2% in 2014.</w:t>
      </w:r>
    </w:p>
    <w:p w14:paraId="7D52E5EA" w14:textId="77777777" w:rsidR="00216C24" w:rsidRPr="00861957" w:rsidRDefault="00216C24" w:rsidP="00216C24">
      <w:pPr>
        <w:jc w:val="both"/>
      </w:pPr>
    </w:p>
    <w:p w14:paraId="704B5025" w14:textId="7333D399" w:rsidR="00216C24" w:rsidRPr="00861957" w:rsidRDefault="00216C24" w:rsidP="00216C24">
      <w:pPr>
        <w:jc w:val="both"/>
      </w:pPr>
      <w:r w:rsidRPr="00861957">
        <w:t xml:space="preserve">Reducing macroeconomic imbalances, attracting FDI, improving </w:t>
      </w:r>
      <w:r w:rsidR="004C3075" w:rsidRPr="00861957">
        <w:t>the</w:t>
      </w:r>
      <w:r w:rsidRPr="00861957">
        <w:t xml:space="preserve"> business environment</w:t>
      </w:r>
      <w:r w:rsidR="00E06306" w:rsidRPr="00861957">
        <w:t xml:space="preserve"> for SMEs</w:t>
      </w:r>
      <w:r w:rsidR="00051309" w:rsidRPr="00861957">
        <w:t>,</w:t>
      </w:r>
      <w:r w:rsidR="00E06306" w:rsidRPr="00861957">
        <w:t xml:space="preserve"> </w:t>
      </w:r>
      <w:r w:rsidR="004C3075" w:rsidRPr="00861957">
        <w:t xml:space="preserve">developing </w:t>
      </w:r>
      <w:r w:rsidR="00E06306" w:rsidRPr="00861957">
        <w:t xml:space="preserve">entrepreneurship </w:t>
      </w:r>
      <w:r w:rsidR="004C3075" w:rsidRPr="00861957">
        <w:t xml:space="preserve">and </w:t>
      </w:r>
      <w:r w:rsidR="00E06306" w:rsidRPr="00861957">
        <w:t xml:space="preserve">strengthening </w:t>
      </w:r>
      <w:r w:rsidR="004C3075" w:rsidRPr="00861957">
        <w:t xml:space="preserve">the </w:t>
      </w:r>
      <w:r w:rsidR="00E06306" w:rsidRPr="00861957">
        <w:t>national and r</w:t>
      </w:r>
      <w:r w:rsidR="00C03544" w:rsidRPr="00861957">
        <w:t xml:space="preserve">egional innovation system </w:t>
      </w:r>
      <w:r w:rsidRPr="00861957">
        <w:t xml:space="preserve">will be crucial for sustainable </w:t>
      </w:r>
      <w:r w:rsidR="0011283D" w:rsidRPr="00861957">
        <w:t>economic</w:t>
      </w:r>
      <w:r w:rsidRPr="00861957">
        <w:t xml:space="preserve"> growth in the future. The planned structural reforms accentuate the need for improved social safety nets and other mechanisms of targeted social protection against poverty and the loss of skills for the most vulnerable groups. Belarus has achieved significant progress in combatting corruption</w:t>
      </w:r>
      <w:r w:rsidR="004C3075" w:rsidRPr="00861957">
        <w:t>,</w:t>
      </w:r>
      <w:r w:rsidRPr="00861957">
        <w:t xml:space="preserve"> compared to the majority of </w:t>
      </w:r>
      <w:r w:rsidR="007C5E39" w:rsidRPr="00861957">
        <w:t>countries in the Commonwealth of Independent States</w:t>
      </w:r>
      <w:r w:rsidR="004C3075" w:rsidRPr="00861957">
        <w:t>,</w:t>
      </w:r>
      <w:r w:rsidR="003012AA" w:rsidRPr="00861957">
        <w:rPr>
          <w:rStyle w:val="FootnoteReference"/>
        </w:rPr>
        <w:footnoteReference w:id="3"/>
      </w:r>
      <w:r w:rsidRPr="00861957">
        <w:t xml:space="preserve"> but still needs assistance in reducing the </w:t>
      </w:r>
      <w:r w:rsidR="004C3075" w:rsidRPr="00861957">
        <w:t xml:space="preserve">frequency </w:t>
      </w:r>
      <w:r w:rsidRPr="00861957">
        <w:t xml:space="preserve">of </w:t>
      </w:r>
      <w:r w:rsidR="0011283D" w:rsidRPr="00861957">
        <w:t>informal employment, the shadow economy</w:t>
      </w:r>
      <w:r w:rsidRPr="00861957">
        <w:t xml:space="preserve"> and strengthening its anti-corruption response.</w:t>
      </w:r>
    </w:p>
    <w:p w14:paraId="144E8B50" w14:textId="77777777" w:rsidR="00C03544" w:rsidRPr="00861957" w:rsidRDefault="00C03544" w:rsidP="00216C24">
      <w:pPr>
        <w:jc w:val="both"/>
      </w:pPr>
    </w:p>
    <w:p w14:paraId="244336E2" w14:textId="2DACAC1B" w:rsidR="004E56FC" w:rsidRPr="00861957" w:rsidRDefault="00216C24" w:rsidP="00216C24">
      <w:pPr>
        <w:jc w:val="both"/>
      </w:pPr>
      <w:r w:rsidRPr="00861957">
        <w:t xml:space="preserve">The Government has consistently applied efforts to reduce and terminate the use of ozone-depleting substances in industry and agriculture and achieved a reduction in GHG emissions. Belarus effectively protects biological and landscape diversity and has one of the highest proportions </w:t>
      </w:r>
      <w:r w:rsidR="00051309" w:rsidRPr="00861957">
        <w:t xml:space="preserve">in Europe </w:t>
      </w:r>
      <w:r w:rsidRPr="00861957">
        <w:t>of land area co</w:t>
      </w:r>
      <w:r w:rsidR="0011283D" w:rsidRPr="00861957">
        <w:t>vered by forest</w:t>
      </w:r>
      <w:r w:rsidR="00051309" w:rsidRPr="00861957">
        <w:t>ry</w:t>
      </w:r>
      <w:r w:rsidR="0011283D" w:rsidRPr="00861957">
        <w:t xml:space="preserve"> – 39.4</w:t>
      </w:r>
      <w:r w:rsidRPr="00861957">
        <w:t xml:space="preserve">% of the total land area. </w:t>
      </w:r>
      <w:r w:rsidR="00051309" w:rsidRPr="00861957">
        <w:t xml:space="preserve">Areas in which </w:t>
      </w:r>
      <w:r w:rsidRPr="00861957">
        <w:t>improvement</w:t>
      </w:r>
      <w:r w:rsidR="00051309" w:rsidRPr="00861957">
        <w:t>s</w:t>
      </w:r>
      <w:r w:rsidRPr="00861957">
        <w:t xml:space="preserve"> </w:t>
      </w:r>
      <w:r w:rsidR="00051309" w:rsidRPr="00861957">
        <w:t>can be made including the following:</w:t>
      </w:r>
      <w:r w:rsidRPr="00861957">
        <w:t xml:space="preserve"> </w:t>
      </w:r>
      <w:r w:rsidR="00051309" w:rsidRPr="00861957">
        <w:t xml:space="preserve">raising the effectiveness of </w:t>
      </w:r>
      <w:r w:rsidR="00D55BC6" w:rsidRPr="00861957">
        <w:t xml:space="preserve">water and </w:t>
      </w:r>
      <w:r w:rsidRPr="00861957">
        <w:t>waste management</w:t>
      </w:r>
      <w:r w:rsidR="00051309" w:rsidRPr="00861957">
        <w:t>;</w:t>
      </w:r>
      <w:r w:rsidRPr="00861957">
        <w:t xml:space="preserve"> implementing sustainable agricultural strategies</w:t>
      </w:r>
      <w:r w:rsidR="00D55BC6" w:rsidRPr="00861957">
        <w:t xml:space="preserve"> and cleaner production</w:t>
      </w:r>
      <w:r w:rsidR="00051309" w:rsidRPr="00861957">
        <w:t>;</w:t>
      </w:r>
      <w:r w:rsidRPr="00861957">
        <w:t xml:space="preserve"> overcoming the negative consequences of the Chernobyl accident</w:t>
      </w:r>
      <w:r w:rsidR="00051309" w:rsidRPr="00861957">
        <w:t>;</w:t>
      </w:r>
      <w:r w:rsidRPr="00861957">
        <w:t xml:space="preserve"> </w:t>
      </w:r>
      <w:r w:rsidR="00A9537F" w:rsidRPr="00861957">
        <w:t>fostering energy efficiency</w:t>
      </w:r>
      <w:r w:rsidR="00051309" w:rsidRPr="00861957">
        <w:t xml:space="preserve">, including by </w:t>
      </w:r>
      <w:r w:rsidRPr="00861957">
        <w:t xml:space="preserve">developing renewable </w:t>
      </w:r>
      <w:r w:rsidR="00D318A4" w:rsidRPr="00861957">
        <w:t xml:space="preserve">and other carbon-free </w:t>
      </w:r>
      <w:r w:rsidR="00051309" w:rsidRPr="00861957">
        <w:t xml:space="preserve">sources of </w:t>
      </w:r>
      <w:r w:rsidRPr="00861957">
        <w:t>energy</w:t>
      </w:r>
      <w:r w:rsidR="00051309" w:rsidRPr="00861957">
        <w:t>;</w:t>
      </w:r>
      <w:r w:rsidRPr="00861957">
        <w:t xml:space="preserve"> reducing energy intensity</w:t>
      </w:r>
      <w:r w:rsidR="00051309" w:rsidRPr="00861957">
        <w:t>;</w:t>
      </w:r>
      <w:r w:rsidRPr="00861957">
        <w:t xml:space="preserve"> and raising </w:t>
      </w:r>
      <w:r w:rsidR="00051309" w:rsidRPr="00861957">
        <w:t xml:space="preserve">the </w:t>
      </w:r>
      <w:r w:rsidRPr="00861957">
        <w:t>environmental awarene</w:t>
      </w:r>
      <w:r w:rsidR="004E56FC" w:rsidRPr="00861957">
        <w:t>ss of the population about environmental protection and sustainable natural resources management.</w:t>
      </w:r>
    </w:p>
    <w:p w14:paraId="419D4622" w14:textId="77777777" w:rsidR="00216C24" w:rsidRPr="00861957" w:rsidRDefault="00216C24" w:rsidP="00216C24">
      <w:pPr>
        <w:jc w:val="both"/>
      </w:pPr>
    </w:p>
    <w:p w14:paraId="49984B83" w14:textId="79C1D62F" w:rsidR="000C6214" w:rsidRPr="00861957" w:rsidRDefault="007F4F2E" w:rsidP="00B83DB3">
      <w:pPr>
        <w:jc w:val="both"/>
        <w:rPr>
          <w:color w:val="000000"/>
        </w:rPr>
      </w:pPr>
      <w:r w:rsidRPr="00861957">
        <w:t>Belarus passed the first UPR cycle in 2010 and accepted 69 out of 93 recommendations aimed at improving its human rights protection system</w:t>
      </w:r>
      <w:r w:rsidR="00216C24" w:rsidRPr="00861957">
        <w:t xml:space="preserve">. </w:t>
      </w:r>
      <w:r w:rsidR="00216C24" w:rsidRPr="00861957">
        <w:rPr>
          <w:color w:val="000000"/>
        </w:rPr>
        <w:t xml:space="preserve">The UNCT worked closely with the Government to facilitate inclusive dialogue on the </w:t>
      </w:r>
      <w:r w:rsidR="006D74F6" w:rsidRPr="00861957">
        <w:rPr>
          <w:color w:val="000000"/>
        </w:rPr>
        <w:t xml:space="preserve">recommendations of the </w:t>
      </w:r>
      <w:r w:rsidR="00216C24" w:rsidRPr="00861957">
        <w:rPr>
          <w:color w:val="000000"/>
        </w:rPr>
        <w:t>UPR in 2013-2014. The UNCT has assisted the Government in cons</w:t>
      </w:r>
      <w:r w:rsidR="00AC4B76" w:rsidRPr="00861957">
        <w:rPr>
          <w:color w:val="000000"/>
        </w:rPr>
        <w:t xml:space="preserve">idering the establishment of a national </w:t>
      </w:r>
      <w:r w:rsidR="00216C24" w:rsidRPr="00861957">
        <w:rPr>
          <w:color w:val="000000"/>
        </w:rPr>
        <w:t xml:space="preserve">human rights institution </w:t>
      </w:r>
      <w:r w:rsidR="00AC4B76" w:rsidRPr="00861957">
        <w:rPr>
          <w:color w:val="000000"/>
        </w:rPr>
        <w:t>(NHRI)</w:t>
      </w:r>
      <w:r w:rsidR="00051309" w:rsidRPr="00861957">
        <w:rPr>
          <w:color w:val="000000"/>
        </w:rPr>
        <w:t>,</w:t>
      </w:r>
      <w:r w:rsidR="00AC4B76" w:rsidRPr="00861957">
        <w:rPr>
          <w:color w:val="000000"/>
        </w:rPr>
        <w:t xml:space="preserve"> </w:t>
      </w:r>
      <w:r w:rsidR="00216C24" w:rsidRPr="00861957">
        <w:rPr>
          <w:color w:val="000000"/>
        </w:rPr>
        <w:t>conforming to the Paris Principles</w:t>
      </w:r>
      <w:r w:rsidR="000C6214" w:rsidRPr="00861957">
        <w:rPr>
          <w:color w:val="000000"/>
        </w:rPr>
        <w:t xml:space="preserve"> </w:t>
      </w:r>
      <w:r w:rsidR="00083612" w:rsidRPr="00861957">
        <w:rPr>
          <w:color w:val="000000"/>
        </w:rPr>
        <w:t>in line with recommendation 97.4.</w:t>
      </w:r>
      <w:r w:rsidR="000C6214" w:rsidRPr="00861957">
        <w:rPr>
          <w:color w:val="000000"/>
        </w:rPr>
        <w:t xml:space="preserve"> </w:t>
      </w:r>
    </w:p>
    <w:p w14:paraId="7295AD2A" w14:textId="77777777" w:rsidR="000C6214" w:rsidRPr="00861957" w:rsidRDefault="000C6214" w:rsidP="00B83DB3">
      <w:pPr>
        <w:jc w:val="both"/>
      </w:pPr>
    </w:p>
    <w:p w14:paraId="73211685" w14:textId="6440315E" w:rsidR="00A2532C" w:rsidRPr="00861957" w:rsidRDefault="00216C24" w:rsidP="00B83DB3">
      <w:pPr>
        <w:jc w:val="both"/>
      </w:pPr>
      <w:r w:rsidRPr="00861957">
        <w:t xml:space="preserve">The UNCT has also assisted in expanding cooperation between stakeholders at </w:t>
      </w:r>
      <w:r w:rsidR="00051309" w:rsidRPr="00861957">
        <w:t xml:space="preserve">the </w:t>
      </w:r>
      <w:r w:rsidRPr="00861957">
        <w:t>national, regional and local levels, including by enhancing their skills and developing their capacity for sustainable and productive cooperation. Among the areas for improvement are</w:t>
      </w:r>
      <w:r w:rsidR="00051309" w:rsidRPr="00861957">
        <w:t>:</w:t>
      </w:r>
      <w:r w:rsidRPr="00861957">
        <w:t xml:space="preserve"> raising </w:t>
      </w:r>
      <w:r w:rsidR="00051309" w:rsidRPr="00861957">
        <w:t xml:space="preserve">the </w:t>
      </w:r>
      <w:r w:rsidRPr="00861957">
        <w:t>inclusivity, responsiveness, efficiency and transparency of the public administration system</w:t>
      </w:r>
      <w:r w:rsidR="00051309" w:rsidRPr="00861957">
        <w:t>;</w:t>
      </w:r>
      <w:r w:rsidRPr="00861957">
        <w:t xml:space="preserve"> raising awareness </w:t>
      </w:r>
      <w:r w:rsidR="00051309" w:rsidRPr="00861957">
        <w:t xml:space="preserve">about human rights </w:t>
      </w:r>
      <w:r w:rsidRPr="00861957">
        <w:t xml:space="preserve">and ensuring more effective </w:t>
      </w:r>
      <w:r w:rsidR="00051309" w:rsidRPr="00861957">
        <w:t xml:space="preserve">human rights </w:t>
      </w:r>
      <w:r w:rsidRPr="00861957">
        <w:t xml:space="preserve">protection through national and international </w:t>
      </w:r>
      <w:r w:rsidR="00051309" w:rsidRPr="00861957">
        <w:t xml:space="preserve">mechanisms </w:t>
      </w:r>
      <w:r w:rsidR="004276C2" w:rsidRPr="00861957">
        <w:t>(including the UN and relevant regional</w:t>
      </w:r>
      <w:r w:rsidR="00051309" w:rsidRPr="00861957">
        <w:t xml:space="preserve"> mechanisms</w:t>
      </w:r>
      <w:r w:rsidR="004276C2" w:rsidRPr="00861957">
        <w:t>)</w:t>
      </w:r>
      <w:r w:rsidR="00051309" w:rsidRPr="00861957">
        <w:t>;</w:t>
      </w:r>
      <w:r w:rsidR="004276C2" w:rsidRPr="00861957">
        <w:t xml:space="preserve"> expanding access to justice</w:t>
      </w:r>
      <w:r w:rsidR="00051309" w:rsidRPr="00861957">
        <w:t>;</w:t>
      </w:r>
      <w:r w:rsidR="004276C2" w:rsidRPr="00861957">
        <w:t xml:space="preserve"> and </w:t>
      </w:r>
      <w:r w:rsidRPr="00861957">
        <w:t xml:space="preserve">boosting </w:t>
      </w:r>
      <w:r w:rsidR="00051309" w:rsidRPr="00861957">
        <w:t xml:space="preserve">the </w:t>
      </w:r>
      <w:r w:rsidRPr="00861957">
        <w:t>participation of vul</w:t>
      </w:r>
      <w:r w:rsidR="004276C2" w:rsidRPr="00861957">
        <w:t>nerable groups in policy-making.</w:t>
      </w:r>
    </w:p>
    <w:p w14:paraId="5769ECAB" w14:textId="43F412FF" w:rsidR="00EC698E" w:rsidRPr="00861957" w:rsidRDefault="00EC698E" w:rsidP="00EC698E">
      <w:pPr>
        <w:pStyle w:val="Heading2"/>
      </w:pPr>
      <w:bookmarkStart w:id="13" w:name="_Toc405745111"/>
      <w:bookmarkStart w:id="14" w:name="_Toc412921072"/>
      <w:r w:rsidRPr="00861957">
        <w:lastRenderedPageBreak/>
        <w:t>I.iii. UN Comparative Advantages</w:t>
      </w:r>
      <w:bookmarkEnd w:id="13"/>
      <w:bookmarkEnd w:id="14"/>
    </w:p>
    <w:p w14:paraId="15A93BCF" w14:textId="77777777" w:rsidR="00A2532C" w:rsidRPr="00861957" w:rsidRDefault="00A2532C" w:rsidP="00B83DB3">
      <w:pPr>
        <w:jc w:val="both"/>
        <w:rPr>
          <w:b/>
        </w:rPr>
      </w:pPr>
    </w:p>
    <w:p w14:paraId="186825F4" w14:textId="66217E39" w:rsidR="00EC698E" w:rsidRPr="00861957" w:rsidRDefault="00EC698E" w:rsidP="00EC698E">
      <w:pPr>
        <w:jc w:val="both"/>
      </w:pPr>
      <w:r w:rsidRPr="00861957">
        <w:t xml:space="preserve">The UN has supported Belarus in its development agenda since </w:t>
      </w:r>
      <w:r w:rsidR="004675FE" w:rsidRPr="00861957">
        <w:t>Belarus</w:t>
      </w:r>
      <w:r w:rsidRPr="00861957">
        <w:t xml:space="preserve"> acquired independence in 1991</w:t>
      </w:r>
      <w:r w:rsidR="00D8198F" w:rsidRPr="00861957">
        <w:t>.</w:t>
      </w:r>
      <w:r w:rsidR="004675FE" w:rsidRPr="00861957">
        <w:t xml:space="preserve"> </w:t>
      </w:r>
      <w:r w:rsidR="00D8198F" w:rsidRPr="00861957">
        <w:t>T</w:t>
      </w:r>
      <w:r w:rsidR="004675FE" w:rsidRPr="00861957">
        <w:t xml:space="preserve">he country </w:t>
      </w:r>
      <w:r w:rsidRPr="00861957">
        <w:t>has embarked on the gradual structural transformation of its political, social and economic environment</w:t>
      </w:r>
      <w:r w:rsidR="00D8198F" w:rsidRPr="00861957">
        <w:t>,</w:t>
      </w:r>
      <w:r w:rsidRPr="00861957">
        <w:t xml:space="preserve"> with the aim o</w:t>
      </w:r>
      <w:r w:rsidR="00D8198F" w:rsidRPr="00861957">
        <w:t>f</w:t>
      </w:r>
      <w:r w:rsidRPr="00861957">
        <w:t xml:space="preserve"> p</w:t>
      </w:r>
      <w:r w:rsidR="007A5D49" w:rsidRPr="00861957">
        <w:t>romot</w:t>
      </w:r>
      <w:r w:rsidR="00D8198F" w:rsidRPr="00861957">
        <w:t>ing</w:t>
      </w:r>
      <w:r w:rsidR="007A5D49" w:rsidRPr="00861957">
        <w:t xml:space="preserve"> and protect</w:t>
      </w:r>
      <w:r w:rsidR="00D8198F" w:rsidRPr="00861957">
        <w:t>ing</w:t>
      </w:r>
      <w:r w:rsidR="007A5D49" w:rsidRPr="00861957">
        <w:t xml:space="preserve"> human rights and pursu</w:t>
      </w:r>
      <w:r w:rsidR="00D8198F" w:rsidRPr="00861957">
        <w:t>ing</w:t>
      </w:r>
      <w:r w:rsidR="007A5D49" w:rsidRPr="00861957">
        <w:t xml:space="preserve"> inclusive and sustainable economic development.</w:t>
      </w:r>
    </w:p>
    <w:p w14:paraId="6E84CC7E" w14:textId="77777777" w:rsidR="00E46876" w:rsidRPr="00861957" w:rsidRDefault="00E46876" w:rsidP="00EC698E">
      <w:pPr>
        <w:jc w:val="both"/>
      </w:pPr>
    </w:p>
    <w:p w14:paraId="77A5E938" w14:textId="0DA0710C" w:rsidR="00EC698E" w:rsidRPr="00861957" w:rsidRDefault="00E46876" w:rsidP="00EC698E">
      <w:pPr>
        <w:jc w:val="both"/>
      </w:pPr>
      <w:r w:rsidRPr="00861957">
        <w:t xml:space="preserve">In an environment of decreasing donor interest and support </w:t>
      </w:r>
      <w:r w:rsidR="00D8198F" w:rsidRPr="00861957">
        <w:t xml:space="preserve">as a result of </w:t>
      </w:r>
      <w:r w:rsidRPr="00861957">
        <w:t xml:space="preserve"> Belarus</w:t>
      </w:r>
      <w:r w:rsidR="00D8198F" w:rsidRPr="00861957">
        <w:t>’s status</w:t>
      </w:r>
      <w:r w:rsidRPr="00861957">
        <w:t xml:space="preserve"> as an </w:t>
      </w:r>
      <w:r w:rsidR="00EC698E" w:rsidRPr="00861957">
        <w:t>upper middle-income country</w:t>
      </w:r>
      <w:r w:rsidRPr="00861957">
        <w:t xml:space="preserve">, </w:t>
      </w:r>
      <w:r w:rsidR="00EC698E" w:rsidRPr="00861957">
        <w:t>t</w:t>
      </w:r>
      <w:r w:rsidR="003A5622" w:rsidRPr="00861957">
        <w:t xml:space="preserve">he role of the UN is shifting towards partnership and </w:t>
      </w:r>
      <w:r w:rsidR="00D8198F" w:rsidRPr="00861957">
        <w:t xml:space="preserve">the </w:t>
      </w:r>
      <w:r w:rsidR="00EC698E" w:rsidRPr="00861957">
        <w:t xml:space="preserve">provision of timely high-quality expert advice and </w:t>
      </w:r>
      <w:r w:rsidR="00665AFF" w:rsidRPr="00861957">
        <w:t>capacity building</w:t>
      </w:r>
      <w:r w:rsidR="00EC698E" w:rsidRPr="00861957">
        <w:t xml:space="preserve"> to </w:t>
      </w:r>
      <w:r w:rsidR="00665AFF" w:rsidRPr="00861957">
        <w:t>ensure</w:t>
      </w:r>
      <w:r w:rsidR="00EC698E" w:rsidRPr="00861957">
        <w:t xml:space="preserve"> substantive and constructive cooperation </w:t>
      </w:r>
      <w:r w:rsidRPr="00861957">
        <w:t>between different stakeholders.</w:t>
      </w:r>
    </w:p>
    <w:p w14:paraId="32F0F551" w14:textId="77777777" w:rsidR="00EC698E" w:rsidRPr="00861957" w:rsidRDefault="00EC698E" w:rsidP="00EC698E">
      <w:pPr>
        <w:jc w:val="both"/>
      </w:pPr>
    </w:p>
    <w:p w14:paraId="60FFF486" w14:textId="77777777" w:rsidR="00EC698E" w:rsidRPr="00861957" w:rsidRDefault="00BB0723" w:rsidP="00EC698E">
      <w:pPr>
        <w:jc w:val="both"/>
      </w:pPr>
      <w:r w:rsidRPr="00861957">
        <w:t>The UN</w:t>
      </w:r>
      <w:r w:rsidR="00EC698E" w:rsidRPr="00861957">
        <w:t xml:space="preserve"> in Belarus has five main comparative advantages:</w:t>
      </w:r>
    </w:p>
    <w:p w14:paraId="56549930" w14:textId="77777777" w:rsidR="00EC698E" w:rsidRPr="00861957" w:rsidRDefault="00EC698E" w:rsidP="00EC698E">
      <w:pPr>
        <w:jc w:val="both"/>
      </w:pPr>
    </w:p>
    <w:p w14:paraId="06859E7B" w14:textId="77777777" w:rsidR="00EC698E" w:rsidRPr="00861957" w:rsidRDefault="00EC698E" w:rsidP="00F558D0">
      <w:pPr>
        <w:pStyle w:val="ListParagraph"/>
        <w:numPr>
          <w:ilvl w:val="0"/>
          <w:numId w:val="2"/>
        </w:numPr>
        <w:jc w:val="both"/>
        <w:rPr>
          <w:i/>
          <w:iCs/>
        </w:rPr>
      </w:pPr>
      <w:r w:rsidRPr="00861957">
        <w:rPr>
          <w:i/>
          <w:iCs/>
        </w:rPr>
        <w:t>International law advocacy</w:t>
      </w:r>
    </w:p>
    <w:p w14:paraId="4F1D9891" w14:textId="77777777" w:rsidR="00EC698E" w:rsidRPr="00861957" w:rsidRDefault="00EC698E" w:rsidP="00EC698E">
      <w:pPr>
        <w:jc w:val="both"/>
      </w:pPr>
    </w:p>
    <w:p w14:paraId="3D72E23F" w14:textId="00892F21" w:rsidR="00E46876" w:rsidRPr="00861957" w:rsidRDefault="00EC698E" w:rsidP="00E46876">
      <w:pPr>
        <w:jc w:val="both"/>
      </w:pPr>
      <w:r w:rsidRPr="00861957">
        <w:t xml:space="preserve">The UN is uniquely positioned to promote and support </w:t>
      </w:r>
      <w:r w:rsidR="00E46876" w:rsidRPr="00861957">
        <w:t xml:space="preserve">compliance with </w:t>
      </w:r>
      <w:r w:rsidRPr="00861957">
        <w:t>a wide range of international conventions and treat</w:t>
      </w:r>
      <w:r w:rsidR="00E46876" w:rsidRPr="00861957">
        <w:t xml:space="preserve">ies </w:t>
      </w:r>
      <w:r w:rsidR="00D8198F" w:rsidRPr="00861957">
        <w:t xml:space="preserve">to which </w:t>
      </w:r>
      <w:r w:rsidR="00E46876" w:rsidRPr="00861957">
        <w:t>Belarus is a party</w:t>
      </w:r>
      <w:r w:rsidRPr="00861957">
        <w:t xml:space="preserve">. For example, </w:t>
      </w:r>
      <w:r w:rsidR="00E46876" w:rsidRPr="00861957">
        <w:t>advocacy efforts and peer pressure from the UN system are among the key forces driving Belarus towards accession to the UN Convention on the Rights of Persons with Disabilities</w:t>
      </w:r>
      <w:r w:rsidR="008B489D" w:rsidRPr="00861957">
        <w:t>.</w:t>
      </w:r>
    </w:p>
    <w:p w14:paraId="7B5E501E" w14:textId="77777777" w:rsidR="008B489D" w:rsidRPr="00861957" w:rsidRDefault="008B489D" w:rsidP="00E46876">
      <w:pPr>
        <w:jc w:val="both"/>
      </w:pPr>
    </w:p>
    <w:p w14:paraId="6C3488CE" w14:textId="54741322" w:rsidR="008B489D" w:rsidRPr="00861957" w:rsidRDefault="008B489D" w:rsidP="008B489D">
      <w:pPr>
        <w:jc w:val="both"/>
      </w:pPr>
      <w:r w:rsidRPr="00861957">
        <w:t xml:space="preserve">The UN in Belarus is also well-positioned to promote the </w:t>
      </w:r>
      <w:r w:rsidR="00F07C59" w:rsidRPr="00861957">
        <w:t xml:space="preserve">decisions and/or recommendations of the UN Human Rights Council and the Universal Periodic Review, as well as the UN treaty bodies and special procedures, thus making the UN in Belarus one of the leading promoters of the human rights agenda in the country. </w:t>
      </w:r>
      <w:r w:rsidR="00E71983" w:rsidRPr="00861957">
        <w:t xml:space="preserve">UN agencies apply every effort to </w:t>
      </w:r>
      <w:r w:rsidR="00034E11" w:rsidRPr="00861957">
        <w:t xml:space="preserve">foreground a </w:t>
      </w:r>
      <w:r w:rsidR="00E71983" w:rsidRPr="00861957">
        <w:t>human rights-based approach in their progra</w:t>
      </w:r>
      <w:r w:rsidR="001A6DC8" w:rsidRPr="00861957">
        <w:t>mming documents and activities.</w:t>
      </w:r>
    </w:p>
    <w:p w14:paraId="3671350E" w14:textId="77777777" w:rsidR="008B489D" w:rsidRPr="00861957" w:rsidRDefault="008B489D" w:rsidP="008B489D">
      <w:pPr>
        <w:jc w:val="both"/>
      </w:pPr>
    </w:p>
    <w:p w14:paraId="300D3B6B" w14:textId="7E738D51" w:rsidR="009A276A" w:rsidRPr="00861957" w:rsidRDefault="008B489D" w:rsidP="008B489D">
      <w:pPr>
        <w:jc w:val="both"/>
      </w:pPr>
      <w:r w:rsidRPr="00861957">
        <w:t xml:space="preserve">The Government and the UN also cooperate productively within the framework of international conventions against terrorism, drugs and crime. Belarus is </w:t>
      </w:r>
      <w:r w:rsidR="009A276A" w:rsidRPr="00861957">
        <w:t xml:space="preserve">also one of the initiators and leading supporters </w:t>
      </w:r>
      <w:r w:rsidRPr="00861957">
        <w:t>of the Global Plan of A</w:t>
      </w:r>
      <w:r w:rsidR="009A276A" w:rsidRPr="00861957">
        <w:t>ction against human trafficking, adopted at the 64</w:t>
      </w:r>
      <w:r w:rsidR="009A276A" w:rsidRPr="00861957">
        <w:rPr>
          <w:vertAlign w:val="superscript"/>
        </w:rPr>
        <w:t>th</w:t>
      </w:r>
      <w:r w:rsidR="009A276A" w:rsidRPr="00861957">
        <w:t xml:space="preserve"> session of the UN General Assembly in 2010, and one of the sponsors of the UN Trust Fund for Victims of Human Trafficking</w:t>
      </w:r>
      <w:r w:rsidR="00034E11" w:rsidRPr="00861957">
        <w:t>,</w:t>
      </w:r>
      <w:r w:rsidR="009A276A" w:rsidRPr="00861957">
        <w:t xml:space="preserve"> created in accordance with the Global Plan. </w:t>
      </w:r>
    </w:p>
    <w:p w14:paraId="06AD4FD7" w14:textId="77777777" w:rsidR="00EC698E" w:rsidRPr="00861957" w:rsidRDefault="00EC698E" w:rsidP="00EC698E">
      <w:pPr>
        <w:jc w:val="both"/>
      </w:pPr>
    </w:p>
    <w:p w14:paraId="41DCA806" w14:textId="77777777" w:rsidR="00EC698E" w:rsidRPr="00861957" w:rsidRDefault="00EC698E" w:rsidP="00F558D0">
      <w:pPr>
        <w:pStyle w:val="ListParagraph"/>
        <w:numPr>
          <w:ilvl w:val="0"/>
          <w:numId w:val="2"/>
        </w:numPr>
        <w:jc w:val="both"/>
        <w:rPr>
          <w:i/>
          <w:iCs/>
        </w:rPr>
      </w:pPr>
      <w:r w:rsidRPr="00861957">
        <w:rPr>
          <w:i/>
          <w:iCs/>
        </w:rPr>
        <w:t>Impartiality</w:t>
      </w:r>
    </w:p>
    <w:p w14:paraId="4926BB81" w14:textId="77777777" w:rsidR="00EC698E" w:rsidRPr="00861957" w:rsidRDefault="00EC698E" w:rsidP="00EC698E">
      <w:pPr>
        <w:jc w:val="both"/>
        <w:rPr>
          <w:i/>
          <w:iCs/>
        </w:rPr>
      </w:pPr>
    </w:p>
    <w:p w14:paraId="6DF42F15" w14:textId="0F9A4596" w:rsidR="00B24A1E" w:rsidRPr="00861957" w:rsidRDefault="00EC698E" w:rsidP="00EC698E">
      <w:pPr>
        <w:jc w:val="both"/>
      </w:pPr>
      <w:r w:rsidRPr="00861957">
        <w:t xml:space="preserve">The UN is an impartial player </w:t>
      </w:r>
      <w:r w:rsidR="00034E11" w:rsidRPr="00861957">
        <w:t>which</w:t>
      </w:r>
      <w:r w:rsidRPr="00861957">
        <w:t xml:space="preserve"> is able to work effectively with all parties and </w:t>
      </w:r>
      <w:r w:rsidR="00156507" w:rsidRPr="00861957">
        <w:t>provide impartial policy advice while</w:t>
      </w:r>
      <w:r w:rsidRPr="00861957">
        <w:t xml:space="preserve"> being trusted by all stakeholders. </w:t>
      </w:r>
      <w:r w:rsidR="000C3F9B" w:rsidRPr="00861957">
        <w:t>Th</w:t>
      </w:r>
      <w:r w:rsidRPr="00861957">
        <w:t xml:space="preserve">e UN, which </w:t>
      </w:r>
      <w:r w:rsidR="00034E11" w:rsidRPr="00861957">
        <w:t>wa</w:t>
      </w:r>
      <w:r w:rsidRPr="00861957">
        <w:t xml:space="preserve">s co-founded by Belarus, is </w:t>
      </w:r>
      <w:r w:rsidR="000C3F9B" w:rsidRPr="00861957">
        <w:t>well-</w:t>
      </w:r>
      <w:r w:rsidRPr="00861957">
        <w:t xml:space="preserve">positioned to work effectively with the </w:t>
      </w:r>
      <w:r w:rsidR="000C3F9B" w:rsidRPr="00861957">
        <w:t>G</w:t>
      </w:r>
      <w:r w:rsidRPr="00861957">
        <w:t>overnment</w:t>
      </w:r>
      <w:r w:rsidR="000C3F9B" w:rsidRPr="00861957">
        <w:t xml:space="preserve"> of Belarus</w:t>
      </w:r>
      <w:r w:rsidRPr="00861957">
        <w:t xml:space="preserve">, which helps the UN to facilitate effective partnerships and cooperation. The UN and the Government </w:t>
      </w:r>
      <w:r w:rsidR="00313F54" w:rsidRPr="00861957">
        <w:t>of</w:t>
      </w:r>
      <w:r w:rsidRPr="00861957">
        <w:t xml:space="preserve"> Belarus </w:t>
      </w:r>
      <w:r w:rsidR="00156507" w:rsidRPr="00861957">
        <w:t xml:space="preserve">cooperate at the highest level, </w:t>
      </w:r>
      <w:r w:rsidR="00B24A1E" w:rsidRPr="00861957">
        <w:t>ensuring inclusiv</w:t>
      </w:r>
      <w:r w:rsidR="00034E11" w:rsidRPr="00861957">
        <w:t>ity</w:t>
      </w:r>
      <w:r w:rsidR="00B24A1E" w:rsidRPr="00861957">
        <w:t xml:space="preserve"> in</w:t>
      </w:r>
      <w:r w:rsidR="00034E11" w:rsidRPr="00861957">
        <w:t xml:space="preserve"> the</w:t>
      </w:r>
      <w:r w:rsidR="00B24A1E" w:rsidRPr="00861957">
        <w:t xml:space="preserve"> promotion of the human rights agenda in Belarus.</w:t>
      </w:r>
    </w:p>
    <w:p w14:paraId="4BBF360F" w14:textId="77777777" w:rsidR="00156507" w:rsidRPr="00861957" w:rsidRDefault="00156507" w:rsidP="00EC698E">
      <w:pPr>
        <w:jc w:val="both"/>
      </w:pPr>
    </w:p>
    <w:p w14:paraId="0189B9D7" w14:textId="77777777" w:rsidR="00EC698E" w:rsidRPr="00861957" w:rsidRDefault="00EC698E" w:rsidP="00F558D0">
      <w:pPr>
        <w:pStyle w:val="ListParagraph"/>
        <w:numPr>
          <w:ilvl w:val="0"/>
          <w:numId w:val="2"/>
        </w:numPr>
        <w:jc w:val="both"/>
        <w:rPr>
          <w:i/>
          <w:iCs/>
        </w:rPr>
      </w:pPr>
      <w:r w:rsidRPr="00861957">
        <w:rPr>
          <w:i/>
          <w:iCs/>
        </w:rPr>
        <w:t>Global experience and expertise</w:t>
      </w:r>
    </w:p>
    <w:p w14:paraId="1BAB1F29" w14:textId="77777777" w:rsidR="00EC698E" w:rsidRPr="00861957" w:rsidRDefault="00EC698E" w:rsidP="00EC698E">
      <w:pPr>
        <w:jc w:val="both"/>
        <w:rPr>
          <w:i/>
          <w:iCs/>
        </w:rPr>
      </w:pPr>
    </w:p>
    <w:p w14:paraId="0ED72843" w14:textId="2C6C33BB" w:rsidR="00156507" w:rsidRPr="00861957" w:rsidRDefault="00EC698E" w:rsidP="00EC698E">
      <w:pPr>
        <w:jc w:val="both"/>
      </w:pPr>
      <w:r w:rsidRPr="00861957">
        <w:t>The UN can draw on the collective global assets of the</w:t>
      </w:r>
      <w:r w:rsidR="00C77425" w:rsidRPr="00861957">
        <w:t xml:space="preserve"> UN</w:t>
      </w:r>
      <w:r w:rsidRPr="00861957">
        <w:t xml:space="preserve"> system, </w:t>
      </w:r>
      <w:r w:rsidR="00C77425" w:rsidRPr="00861957">
        <w:t xml:space="preserve">including </w:t>
      </w:r>
      <w:r w:rsidRPr="00861957">
        <w:t>global expertise</w:t>
      </w:r>
      <w:r w:rsidR="00C77425" w:rsidRPr="00861957">
        <w:t xml:space="preserve"> </w:t>
      </w:r>
      <w:r w:rsidRPr="00861957">
        <w:t>and best practices</w:t>
      </w:r>
      <w:r w:rsidR="00C77425" w:rsidRPr="00861957">
        <w:t>,</w:t>
      </w:r>
      <w:r w:rsidRPr="00861957">
        <w:t xml:space="preserve"> to provide technical expertise and exchange of knowledge. Moreover, the UN has been operating in Belarus for over 20 years. As a result, the UN staff is well versed in the local context. The UN staff has an excellent understanding of the complex institutional setup in the cou</w:t>
      </w:r>
      <w:r w:rsidR="00156507" w:rsidRPr="00861957">
        <w:t>n</w:t>
      </w:r>
      <w:r w:rsidR="00734EEA" w:rsidRPr="00861957">
        <w:t xml:space="preserve">try. In addition, the UN has a widely successful </w:t>
      </w:r>
      <w:r w:rsidRPr="00861957">
        <w:t xml:space="preserve">track record of managing </w:t>
      </w:r>
      <w:r w:rsidR="00156507" w:rsidRPr="00861957">
        <w:t>development projects in Belarus.</w:t>
      </w:r>
    </w:p>
    <w:p w14:paraId="6F305270" w14:textId="77777777" w:rsidR="00EC698E" w:rsidRPr="00861957" w:rsidRDefault="00EC698E" w:rsidP="00EC698E">
      <w:pPr>
        <w:jc w:val="both"/>
      </w:pPr>
    </w:p>
    <w:p w14:paraId="2BD78ECF" w14:textId="77777777" w:rsidR="00EC698E" w:rsidRPr="00861957" w:rsidRDefault="00EC698E" w:rsidP="00F558D0">
      <w:pPr>
        <w:pStyle w:val="ListParagraph"/>
        <w:numPr>
          <w:ilvl w:val="0"/>
          <w:numId w:val="2"/>
        </w:numPr>
        <w:jc w:val="both"/>
        <w:rPr>
          <w:i/>
          <w:iCs/>
        </w:rPr>
      </w:pPr>
      <w:r w:rsidRPr="00861957">
        <w:rPr>
          <w:i/>
          <w:iCs/>
        </w:rPr>
        <w:t xml:space="preserve">Coordination and convening power   </w:t>
      </w:r>
    </w:p>
    <w:p w14:paraId="078E5D84" w14:textId="77777777" w:rsidR="00EC698E" w:rsidRPr="00861957" w:rsidRDefault="00EC698E" w:rsidP="00EC698E">
      <w:pPr>
        <w:jc w:val="both"/>
        <w:rPr>
          <w:i/>
          <w:iCs/>
        </w:rPr>
      </w:pPr>
    </w:p>
    <w:p w14:paraId="7BA63AE9" w14:textId="5908F8B8" w:rsidR="00EC698E" w:rsidRPr="00861957" w:rsidRDefault="00EC698E" w:rsidP="00EC698E">
      <w:pPr>
        <w:jc w:val="both"/>
      </w:pPr>
      <w:r w:rsidRPr="00861957">
        <w:t xml:space="preserve">The UN can use its convening power to bring together various stakeholders and provide coordination on critical cross-cutting issues such as gender equality, </w:t>
      </w:r>
      <w:r w:rsidR="002505ED" w:rsidRPr="00861957">
        <w:t xml:space="preserve">NCDs, </w:t>
      </w:r>
      <w:r w:rsidRPr="00861957">
        <w:t>HIV, climate change, regional cooperation</w:t>
      </w:r>
      <w:r w:rsidR="00156507" w:rsidRPr="00861957">
        <w:t xml:space="preserve"> and other problems. The UN also has </w:t>
      </w:r>
      <w:r w:rsidR="00C77425" w:rsidRPr="00861957">
        <w:t>the</w:t>
      </w:r>
      <w:r w:rsidRPr="00861957">
        <w:t xml:space="preserve"> ability to ensure </w:t>
      </w:r>
      <w:r w:rsidR="00C77425" w:rsidRPr="00861957">
        <w:t xml:space="preserve">the implementation of </w:t>
      </w:r>
      <w:r w:rsidRPr="00861957">
        <w:t xml:space="preserve">multi-sectoral and integrated strategies </w:t>
      </w:r>
      <w:r w:rsidR="00C77425" w:rsidRPr="00861957">
        <w:t xml:space="preserve">within </w:t>
      </w:r>
      <w:r w:rsidR="00734EEA" w:rsidRPr="00861957">
        <w:t>partner</w:t>
      </w:r>
      <w:r w:rsidR="00C77425" w:rsidRPr="00861957">
        <w:t>ships</w:t>
      </w:r>
      <w:r w:rsidR="00734EEA" w:rsidRPr="00861957">
        <w:t xml:space="preserve"> with the G</w:t>
      </w:r>
      <w:r w:rsidRPr="00861957">
        <w:t>overnment and civil society stakeholders, includ</w:t>
      </w:r>
      <w:r w:rsidR="00C77425" w:rsidRPr="00861957">
        <w:t xml:space="preserve">ing </w:t>
      </w:r>
      <w:r w:rsidR="00C77425" w:rsidRPr="00861957">
        <w:lastRenderedPageBreak/>
        <w:t>by</w:t>
      </w:r>
      <w:r w:rsidRPr="00861957">
        <w:t xml:space="preserve"> facilitating the participation of </w:t>
      </w:r>
      <w:r w:rsidR="00C77425" w:rsidRPr="00861957">
        <w:t xml:space="preserve">young people </w:t>
      </w:r>
      <w:r w:rsidRPr="00861957">
        <w:t xml:space="preserve">as partners in development and </w:t>
      </w:r>
      <w:r w:rsidR="00C77425" w:rsidRPr="00861957">
        <w:t xml:space="preserve">in </w:t>
      </w:r>
      <w:r w:rsidRPr="00861957">
        <w:t xml:space="preserve">dialogue between </w:t>
      </w:r>
      <w:r w:rsidR="00734EEA" w:rsidRPr="00861957">
        <w:t>the Go</w:t>
      </w:r>
      <w:r w:rsidRPr="00861957">
        <w:t xml:space="preserve">vernment and </w:t>
      </w:r>
      <w:r w:rsidR="00734EEA" w:rsidRPr="00861957">
        <w:t>civil society</w:t>
      </w:r>
      <w:r w:rsidRPr="00861957">
        <w:t xml:space="preserve">. As a result, the </w:t>
      </w:r>
      <w:r w:rsidR="00134321" w:rsidRPr="00861957">
        <w:t>UN</w:t>
      </w:r>
      <w:r w:rsidRPr="00861957">
        <w:t xml:space="preserve"> is able to </w:t>
      </w:r>
      <w:r w:rsidR="00156507" w:rsidRPr="00861957">
        <w:t>effectively</w:t>
      </w:r>
      <w:r w:rsidRPr="00861957">
        <w:t xml:space="preserve"> facilitate the participation of </w:t>
      </w:r>
      <w:r w:rsidR="00156507" w:rsidRPr="00861957">
        <w:t>CSOs</w:t>
      </w:r>
      <w:r w:rsidRPr="00861957">
        <w:t xml:space="preserve"> and the private sector as </w:t>
      </w:r>
      <w:r w:rsidR="00734EEA" w:rsidRPr="00861957">
        <w:t xml:space="preserve">key stakeholders in the design </w:t>
      </w:r>
      <w:r w:rsidRPr="00861957">
        <w:t xml:space="preserve">and implementation of </w:t>
      </w:r>
      <w:r w:rsidR="00156507" w:rsidRPr="00861957">
        <w:t>governmental development plans and sustainable development programmes.</w:t>
      </w:r>
    </w:p>
    <w:p w14:paraId="332EF20F" w14:textId="77777777" w:rsidR="00EC698E" w:rsidRPr="00861957" w:rsidRDefault="00EC698E" w:rsidP="00EC698E">
      <w:pPr>
        <w:jc w:val="both"/>
        <w:rPr>
          <w:i/>
          <w:iCs/>
        </w:rPr>
      </w:pPr>
    </w:p>
    <w:p w14:paraId="2B08F534" w14:textId="77777777" w:rsidR="00EC698E" w:rsidRPr="00861957" w:rsidRDefault="00EC698E" w:rsidP="00F558D0">
      <w:pPr>
        <w:pStyle w:val="ListParagraph"/>
        <w:numPr>
          <w:ilvl w:val="0"/>
          <w:numId w:val="2"/>
        </w:numPr>
        <w:jc w:val="both"/>
        <w:rPr>
          <w:i/>
          <w:iCs/>
        </w:rPr>
      </w:pPr>
      <w:r w:rsidRPr="00861957">
        <w:rPr>
          <w:i/>
          <w:iCs/>
        </w:rPr>
        <w:t xml:space="preserve">Network of partners </w:t>
      </w:r>
    </w:p>
    <w:p w14:paraId="11B397DF" w14:textId="77777777" w:rsidR="00EC698E" w:rsidRPr="00861957" w:rsidRDefault="00EC698E" w:rsidP="00EC698E">
      <w:pPr>
        <w:jc w:val="both"/>
      </w:pPr>
    </w:p>
    <w:p w14:paraId="31D60088" w14:textId="1C42D3D8" w:rsidR="00A2532C" w:rsidRPr="00861957" w:rsidRDefault="00C77425" w:rsidP="00B83DB3">
      <w:pPr>
        <w:jc w:val="both"/>
        <w:rPr>
          <w:b/>
        </w:rPr>
      </w:pPr>
      <w:r w:rsidRPr="00861957">
        <w:t>Another comparative advantage of the UN is its s</w:t>
      </w:r>
      <w:r w:rsidR="00EC698E" w:rsidRPr="00861957">
        <w:t>trong relations</w:t>
      </w:r>
      <w:r w:rsidRPr="00861957">
        <w:t>hip</w:t>
      </w:r>
      <w:r w:rsidR="00EC698E" w:rsidRPr="00861957">
        <w:t xml:space="preserve"> with </w:t>
      </w:r>
      <w:r w:rsidR="00C46078">
        <w:t xml:space="preserve">national and </w:t>
      </w:r>
      <w:r w:rsidR="00EC698E" w:rsidRPr="00861957">
        <w:t>international development partners. The UN has good relations and effective communication with central and local authorities</w:t>
      </w:r>
      <w:r w:rsidR="00C46078">
        <w:t>,</w:t>
      </w:r>
      <w:r w:rsidR="00EC698E" w:rsidRPr="00861957">
        <w:t xml:space="preserve"> as well as with international organi</w:t>
      </w:r>
      <w:r w:rsidR="000F002C" w:rsidRPr="00861957">
        <w:t>z</w:t>
      </w:r>
      <w:r w:rsidR="00EC698E" w:rsidRPr="00861957">
        <w:t xml:space="preserve">ations </w:t>
      </w:r>
      <w:r w:rsidR="000D025F" w:rsidRPr="00861957">
        <w:t xml:space="preserve">and bilateral aid agencies </w:t>
      </w:r>
      <w:r w:rsidR="00EC698E" w:rsidRPr="00861957">
        <w:t xml:space="preserve">such as </w:t>
      </w:r>
      <w:r w:rsidR="00156507" w:rsidRPr="00861957">
        <w:t xml:space="preserve">the </w:t>
      </w:r>
      <w:r w:rsidR="00EC698E" w:rsidRPr="00861957">
        <w:t xml:space="preserve">EU, USAID, </w:t>
      </w:r>
      <w:r w:rsidRPr="00861957">
        <w:t xml:space="preserve">the </w:t>
      </w:r>
      <w:r w:rsidR="00C46078">
        <w:t>GFTAM</w:t>
      </w:r>
      <w:r w:rsidR="00EC698E" w:rsidRPr="00861957">
        <w:t>, and others. These strong relations with partners allow the UN to attract necessary funds, which can be proven by a good track record of programme development and implementation in a number of strategic areas.</w:t>
      </w:r>
    </w:p>
    <w:p w14:paraId="79DF35EC" w14:textId="37C96CB7" w:rsidR="006D5E77" w:rsidRPr="00861957" w:rsidRDefault="006D5E77" w:rsidP="00F558D0">
      <w:pPr>
        <w:pStyle w:val="Heading1"/>
        <w:numPr>
          <w:ilvl w:val="0"/>
          <w:numId w:val="6"/>
        </w:numPr>
        <w:rPr>
          <w:rFonts w:ascii="Times New Roman" w:hAnsi="Times New Roman" w:cs="Times New Roman"/>
          <w:color w:val="548DD4" w:themeColor="text2" w:themeTint="99"/>
          <w:sz w:val="36"/>
          <w:szCs w:val="36"/>
        </w:rPr>
      </w:pPr>
      <w:bookmarkStart w:id="15" w:name="_Toc405745112"/>
      <w:bookmarkStart w:id="16" w:name="_Toc412921073"/>
      <w:r w:rsidRPr="00861957">
        <w:rPr>
          <w:rFonts w:ascii="Times New Roman" w:hAnsi="Times New Roman" w:cs="Times New Roman"/>
          <w:color w:val="548DD4" w:themeColor="text2" w:themeTint="99"/>
          <w:sz w:val="36"/>
          <w:szCs w:val="36"/>
        </w:rPr>
        <w:t>UNDAF Areas of Cooperation</w:t>
      </w:r>
      <w:bookmarkEnd w:id="15"/>
      <w:bookmarkEnd w:id="16"/>
    </w:p>
    <w:p w14:paraId="03249ABF" w14:textId="77777777" w:rsidR="006D5E77" w:rsidRPr="00861957" w:rsidRDefault="006D5E77" w:rsidP="00B83DB3">
      <w:pPr>
        <w:jc w:val="both"/>
        <w:rPr>
          <w:b/>
        </w:rPr>
      </w:pPr>
    </w:p>
    <w:p w14:paraId="2E51362E" w14:textId="438C2D17" w:rsidR="00371DA5" w:rsidRPr="00861957" w:rsidRDefault="00371DA5" w:rsidP="00EC698E">
      <w:pPr>
        <w:jc w:val="both"/>
      </w:pPr>
      <w:r w:rsidRPr="00861957">
        <w:t>The UN can effectively assist</w:t>
      </w:r>
      <w:r w:rsidR="000C6135" w:rsidRPr="00861957">
        <w:t xml:space="preserve"> Belarus</w:t>
      </w:r>
      <w:r w:rsidRPr="00861957">
        <w:t xml:space="preserve"> </w:t>
      </w:r>
      <w:r w:rsidR="000C6135" w:rsidRPr="00861957">
        <w:t>in</w:t>
      </w:r>
      <w:r w:rsidRPr="00861957">
        <w:t xml:space="preserve"> unlock</w:t>
      </w:r>
      <w:r w:rsidR="000C6135" w:rsidRPr="00861957">
        <w:t>ing</w:t>
      </w:r>
      <w:r w:rsidRPr="00861957">
        <w:t xml:space="preserve"> its potential to combat emerging challenges and build </w:t>
      </w:r>
      <w:r w:rsidR="000C6135" w:rsidRPr="00861957">
        <w:t xml:space="preserve">a </w:t>
      </w:r>
      <w:r w:rsidRPr="00861957">
        <w:t xml:space="preserve">sustainable knowledge-based economy </w:t>
      </w:r>
      <w:r w:rsidR="008B348C" w:rsidRPr="00861957">
        <w:t xml:space="preserve">and society that promote and protect human rights </w:t>
      </w:r>
      <w:r w:rsidRPr="00861957">
        <w:t xml:space="preserve">in an inclusive, transparent, responsive, evidence-based and accountable way. This </w:t>
      </w:r>
      <w:r w:rsidR="000C6135" w:rsidRPr="00861957">
        <w:t xml:space="preserve">shared aim </w:t>
      </w:r>
      <w:r w:rsidRPr="00861957">
        <w:t>lays</w:t>
      </w:r>
      <w:r w:rsidR="000C6135" w:rsidRPr="00861957">
        <w:t xml:space="preserve"> the</w:t>
      </w:r>
      <w:r w:rsidRPr="00861957">
        <w:t xml:space="preserve"> foundation for cooperation </w:t>
      </w:r>
      <w:r w:rsidR="000C6135" w:rsidRPr="00861957">
        <w:t>between</w:t>
      </w:r>
      <w:r w:rsidRPr="00861957">
        <w:t xml:space="preserve"> the Government of the Republic of Belarus and the UN </w:t>
      </w:r>
      <w:r w:rsidR="000C6135" w:rsidRPr="00861957">
        <w:t>between</w:t>
      </w:r>
      <w:r w:rsidRPr="00861957">
        <w:t xml:space="preserve"> 2016</w:t>
      </w:r>
      <w:r w:rsidR="000C6135" w:rsidRPr="00861957">
        <w:t xml:space="preserve"> and </w:t>
      </w:r>
      <w:r w:rsidRPr="00861957">
        <w:t>2020.</w:t>
      </w:r>
    </w:p>
    <w:p w14:paraId="7C983D4E" w14:textId="77777777" w:rsidR="00371DA5" w:rsidRPr="00861957" w:rsidRDefault="00371DA5" w:rsidP="00EC698E">
      <w:pPr>
        <w:jc w:val="both"/>
      </w:pPr>
    </w:p>
    <w:p w14:paraId="7774CBD3" w14:textId="34E7B9BB" w:rsidR="00EC698E" w:rsidRPr="00861957" w:rsidRDefault="00EC698E" w:rsidP="00EC698E">
      <w:pPr>
        <w:jc w:val="both"/>
      </w:pPr>
      <w:r w:rsidRPr="00861957">
        <w:t xml:space="preserve">The assessment of the current development situation </w:t>
      </w:r>
      <w:r w:rsidR="00845B00" w:rsidRPr="00861957">
        <w:t>and the UN</w:t>
      </w:r>
      <w:r w:rsidR="000C6135" w:rsidRPr="00861957">
        <w:t>’s</w:t>
      </w:r>
      <w:r w:rsidR="00845B00" w:rsidRPr="00861957">
        <w:t xml:space="preserve"> comparative advantages </w:t>
      </w:r>
      <w:r w:rsidR="000C6135" w:rsidRPr="00861957">
        <w:t xml:space="preserve">have </w:t>
      </w:r>
      <w:r w:rsidR="00845B00" w:rsidRPr="00861957">
        <w:t>highlight</w:t>
      </w:r>
      <w:r w:rsidR="000C6135" w:rsidRPr="00861957">
        <w:t>ed</w:t>
      </w:r>
      <w:r w:rsidRPr="00861957">
        <w:t xml:space="preserve"> the importance of </w:t>
      </w:r>
      <w:r w:rsidR="000C6135" w:rsidRPr="00861957">
        <w:t xml:space="preserve">providing </w:t>
      </w:r>
      <w:r w:rsidRPr="00861957">
        <w:t>assistance in four major focus areas:</w:t>
      </w:r>
    </w:p>
    <w:p w14:paraId="56BC4C78" w14:textId="77777777" w:rsidR="00EC698E" w:rsidRPr="00861957" w:rsidRDefault="00EC698E" w:rsidP="00EC698E">
      <w:pPr>
        <w:jc w:val="both"/>
      </w:pPr>
    </w:p>
    <w:p w14:paraId="10CE8A50" w14:textId="77777777" w:rsidR="001A6DC8" w:rsidRPr="00861957" w:rsidRDefault="001A6DC8" w:rsidP="001A6DC8">
      <w:pPr>
        <w:pStyle w:val="ListParagraph"/>
        <w:numPr>
          <w:ilvl w:val="0"/>
          <w:numId w:val="7"/>
        </w:numPr>
        <w:jc w:val="both"/>
      </w:pPr>
      <w:r w:rsidRPr="00861957">
        <w:t>Inclusive, Responsive and Accountable Governance;</w:t>
      </w:r>
    </w:p>
    <w:p w14:paraId="5E9CD60F" w14:textId="77777777" w:rsidR="00EC698E" w:rsidRPr="00861957" w:rsidRDefault="00EC698E" w:rsidP="00F558D0">
      <w:pPr>
        <w:pStyle w:val="ListParagraph"/>
        <w:numPr>
          <w:ilvl w:val="0"/>
          <w:numId w:val="7"/>
        </w:numPr>
        <w:jc w:val="both"/>
      </w:pPr>
      <w:r w:rsidRPr="00861957">
        <w:t>Sustainable Economic Development;</w:t>
      </w:r>
    </w:p>
    <w:p w14:paraId="41CCE3BA" w14:textId="73AAA0B2" w:rsidR="00EC698E" w:rsidRPr="00861957" w:rsidRDefault="00EC698E" w:rsidP="00F558D0">
      <w:pPr>
        <w:pStyle w:val="ListParagraph"/>
        <w:numPr>
          <w:ilvl w:val="0"/>
          <w:numId w:val="7"/>
        </w:numPr>
        <w:jc w:val="both"/>
      </w:pPr>
      <w:r w:rsidRPr="00861957">
        <w:t xml:space="preserve">Environmental Protection and Sustainable Environmental Management Based on the </w:t>
      </w:r>
      <w:r w:rsidR="00761278" w:rsidRPr="00861957">
        <w:t xml:space="preserve">Principles of </w:t>
      </w:r>
      <w:r w:rsidRPr="00861957">
        <w:t>Green Economy;</w:t>
      </w:r>
    </w:p>
    <w:p w14:paraId="6C492E16" w14:textId="73E3C898" w:rsidR="001A6DC8" w:rsidRPr="00861957" w:rsidRDefault="001A6DC8" w:rsidP="001A6DC8">
      <w:pPr>
        <w:pStyle w:val="ListParagraph"/>
        <w:numPr>
          <w:ilvl w:val="0"/>
          <w:numId w:val="7"/>
        </w:numPr>
        <w:jc w:val="both"/>
      </w:pPr>
      <w:r w:rsidRPr="00861957">
        <w:t xml:space="preserve">Sustainable </w:t>
      </w:r>
      <w:r w:rsidR="00761278" w:rsidRPr="00861957">
        <w:t xml:space="preserve">Development of </w:t>
      </w:r>
      <w:r w:rsidRPr="00861957">
        <w:t>Human Capital: Health, Education, Social Inclusion and Protection</w:t>
      </w:r>
      <w:r w:rsidR="00470795" w:rsidRPr="00861957">
        <w:t>, Comprehensive Post-Chernobyl Development</w:t>
      </w:r>
      <w:r w:rsidRPr="00861957">
        <w:t>.</w:t>
      </w:r>
    </w:p>
    <w:p w14:paraId="4E79E1D3" w14:textId="77777777" w:rsidR="007214B0" w:rsidRPr="00861957" w:rsidRDefault="007214B0" w:rsidP="00B83DB3">
      <w:pPr>
        <w:jc w:val="both"/>
        <w:rPr>
          <w:b/>
        </w:rPr>
      </w:pPr>
    </w:p>
    <w:p w14:paraId="34D941C8" w14:textId="77777777" w:rsidR="006D5E77" w:rsidRPr="00861957" w:rsidRDefault="007214B0" w:rsidP="00B83DB3">
      <w:pPr>
        <w:jc w:val="both"/>
      </w:pPr>
      <w:r w:rsidRPr="00861957">
        <w:t xml:space="preserve">The development outcomes to be achieved by the United Nations through the UNDAF for Belarus for 2016-2020 are briefly described below. The complete UNDAF Results Matrix is presented in </w:t>
      </w:r>
      <w:r w:rsidRPr="00861957">
        <w:rPr>
          <w:i/>
        </w:rPr>
        <w:t>Annex I</w:t>
      </w:r>
      <w:r w:rsidRPr="00861957">
        <w:t>.</w:t>
      </w:r>
    </w:p>
    <w:p w14:paraId="0DBD5F3D" w14:textId="662841B7" w:rsidR="006D5E77" w:rsidRPr="00861957" w:rsidRDefault="006D5E77" w:rsidP="006D5E77">
      <w:pPr>
        <w:pStyle w:val="Heading2"/>
        <w:rPr>
          <w:sz w:val="32"/>
          <w:szCs w:val="32"/>
        </w:rPr>
      </w:pPr>
      <w:bookmarkStart w:id="17" w:name="_Toc405745113"/>
      <w:bookmarkStart w:id="18" w:name="_Toc412921074"/>
      <w:r w:rsidRPr="00861957">
        <w:rPr>
          <w:sz w:val="32"/>
          <w:szCs w:val="32"/>
        </w:rPr>
        <w:t>UNDAF Area of Cooperation 1: Inclusive, Respon</w:t>
      </w:r>
      <w:r w:rsidR="00EB06A2" w:rsidRPr="00861957">
        <w:rPr>
          <w:sz w:val="32"/>
          <w:szCs w:val="32"/>
        </w:rPr>
        <w:t>sive and Accountable Governance</w:t>
      </w:r>
      <w:bookmarkEnd w:id="17"/>
      <w:bookmarkEnd w:id="18"/>
    </w:p>
    <w:p w14:paraId="34FB68E0" w14:textId="77777777" w:rsidR="007214B0" w:rsidRPr="00861957" w:rsidRDefault="007214B0" w:rsidP="007214B0"/>
    <w:p w14:paraId="2BF31851" w14:textId="2C6C7B15" w:rsidR="00EB06A2" w:rsidRPr="00861957" w:rsidRDefault="00580A31" w:rsidP="00580A31">
      <w:pPr>
        <w:pStyle w:val="Caption"/>
        <w:jc w:val="both"/>
        <w:rPr>
          <w:b w:val="0"/>
          <w:sz w:val="24"/>
          <w:szCs w:val="24"/>
        </w:rPr>
      </w:pPr>
      <w:r w:rsidRPr="00861957">
        <w:rPr>
          <w:color w:val="548DD4" w:themeColor="text2" w:themeTint="99"/>
          <w:sz w:val="24"/>
          <w:szCs w:val="24"/>
        </w:rPr>
        <w:t xml:space="preserve">Sustainable Development Goals: </w:t>
      </w:r>
      <w:r w:rsidR="000C6135" w:rsidRPr="00861957">
        <w:rPr>
          <w:b w:val="0"/>
          <w:color w:val="548DD4" w:themeColor="text2" w:themeTint="99"/>
          <w:sz w:val="24"/>
          <w:szCs w:val="24"/>
        </w:rPr>
        <w:t>to</w:t>
      </w:r>
      <w:r w:rsidR="000C6135" w:rsidRPr="00861957">
        <w:rPr>
          <w:color w:val="548DD4" w:themeColor="text2" w:themeTint="99"/>
          <w:sz w:val="24"/>
          <w:szCs w:val="24"/>
        </w:rPr>
        <w:t xml:space="preserve"> </w:t>
      </w:r>
      <w:r w:rsidR="00734EEA" w:rsidRPr="00861957">
        <w:rPr>
          <w:b w:val="0"/>
          <w:sz w:val="24"/>
          <w:szCs w:val="24"/>
        </w:rPr>
        <w:t xml:space="preserve">promote peaceful and inclusive societies for sustainable development, provide access to justice for all and build effective, accountable and inclusive institutions at all levels (16); </w:t>
      </w:r>
      <w:r w:rsidR="000C6135" w:rsidRPr="00861957">
        <w:rPr>
          <w:b w:val="0"/>
          <w:sz w:val="24"/>
          <w:szCs w:val="24"/>
        </w:rPr>
        <w:t xml:space="preserve">to </w:t>
      </w:r>
      <w:r w:rsidRPr="00861957">
        <w:rPr>
          <w:b w:val="0"/>
          <w:sz w:val="24"/>
          <w:szCs w:val="24"/>
        </w:rPr>
        <w:t>achieve gender equality and empower all women and girls</w:t>
      </w:r>
      <w:r w:rsidR="00734EEA" w:rsidRPr="00861957">
        <w:rPr>
          <w:b w:val="0"/>
          <w:sz w:val="24"/>
          <w:szCs w:val="24"/>
        </w:rPr>
        <w:t xml:space="preserve"> (5).</w:t>
      </w:r>
    </w:p>
    <w:p w14:paraId="27F8A515" w14:textId="4AC5C83B" w:rsidR="00580A31" w:rsidRPr="00861957" w:rsidRDefault="000B47C6" w:rsidP="00580A31">
      <w:pPr>
        <w:jc w:val="both"/>
      </w:pPr>
      <w:r>
        <w:rPr>
          <w:b/>
          <w:color w:val="548DD4" w:themeColor="text2" w:themeTint="99"/>
        </w:rPr>
        <w:t>NSSSED</w:t>
      </w:r>
      <w:r w:rsidR="00580A31" w:rsidRPr="00861957">
        <w:rPr>
          <w:b/>
          <w:color w:val="548DD4" w:themeColor="text2" w:themeTint="99"/>
        </w:rPr>
        <w:t>-2030:</w:t>
      </w:r>
      <w:r w:rsidR="00580A31" w:rsidRPr="00861957">
        <w:rPr>
          <w:color w:val="548DD4" w:themeColor="text2" w:themeTint="99"/>
        </w:rPr>
        <w:t xml:space="preserve"> </w:t>
      </w:r>
      <w:r w:rsidR="000C6135" w:rsidRPr="00861957">
        <w:rPr>
          <w:color w:val="548DD4" w:themeColor="text2" w:themeTint="99"/>
        </w:rPr>
        <w:t xml:space="preserve">to </w:t>
      </w:r>
      <w:r w:rsidR="00580A31" w:rsidRPr="00861957">
        <w:t>ensur</w:t>
      </w:r>
      <w:r w:rsidR="000C6135" w:rsidRPr="00861957">
        <w:t>e</w:t>
      </w:r>
      <w:r w:rsidR="00580A31" w:rsidRPr="00861957">
        <w:t xml:space="preserve"> </w:t>
      </w:r>
      <w:r w:rsidR="000C6135" w:rsidRPr="00861957">
        <w:t xml:space="preserve">the </w:t>
      </w:r>
      <w:r w:rsidR="00580A31" w:rsidRPr="00861957">
        <w:t xml:space="preserve">transparency and openness of the public administration bodies (7); </w:t>
      </w:r>
      <w:r w:rsidR="000C6135" w:rsidRPr="00861957">
        <w:t xml:space="preserve">to </w:t>
      </w:r>
      <w:r w:rsidR="00580A31" w:rsidRPr="00861957">
        <w:t>develo</w:t>
      </w:r>
      <w:r w:rsidR="000C6135" w:rsidRPr="00861957">
        <w:t>p</w:t>
      </w:r>
      <w:r w:rsidR="00580A31" w:rsidRPr="00861957">
        <w:t xml:space="preserve"> the public administration system in the interests of sustainable development (8.1).</w:t>
      </w:r>
    </w:p>
    <w:p w14:paraId="08E1DF50" w14:textId="122B78AB" w:rsidR="00580A31" w:rsidRPr="00861957" w:rsidRDefault="00580A31" w:rsidP="00580A31">
      <w:pPr>
        <w:jc w:val="both"/>
      </w:pPr>
      <w:r w:rsidRPr="00861957">
        <w:rPr>
          <w:b/>
          <w:color w:val="548DD4" w:themeColor="text2" w:themeTint="99"/>
        </w:rPr>
        <w:t xml:space="preserve">Post-2015 Consultations: </w:t>
      </w:r>
      <w:r w:rsidR="000C6135" w:rsidRPr="00861957">
        <w:rPr>
          <w:color w:val="548DD4" w:themeColor="text2" w:themeTint="99"/>
        </w:rPr>
        <w:t>to</w:t>
      </w:r>
      <w:r w:rsidR="000C6135" w:rsidRPr="00861957">
        <w:rPr>
          <w:b/>
          <w:color w:val="548DD4" w:themeColor="text2" w:themeTint="99"/>
        </w:rPr>
        <w:t xml:space="preserve"> </w:t>
      </w:r>
      <w:r w:rsidRPr="00861957">
        <w:t xml:space="preserve">ensure more inclusive </w:t>
      </w:r>
      <w:r w:rsidR="00D3159F" w:rsidRPr="00861957">
        <w:t>social and political processes and gender equality.</w:t>
      </w:r>
    </w:p>
    <w:p w14:paraId="5C40BAE1" w14:textId="77777777" w:rsidR="00EB06A2" w:rsidRPr="00861957" w:rsidRDefault="00EB06A2" w:rsidP="002A089F">
      <w:pPr>
        <w:pStyle w:val="Caption"/>
        <w:jc w:val="both"/>
      </w:pPr>
    </w:p>
    <w:p w14:paraId="3A4E3A22" w14:textId="2EC06197" w:rsidR="00B75429" w:rsidRPr="00861957" w:rsidRDefault="00B75429" w:rsidP="00B75429">
      <w:pPr>
        <w:jc w:val="both"/>
      </w:pPr>
      <w:r w:rsidRPr="00861957">
        <w:t>Belarus is a signatory to the International Covenant on Civil and Political Rights (1966), the Optional Protocol to the International Covenant on Civil and Political Rights (1966) and the Freedom of Association and Protection of the Right to Organi</w:t>
      </w:r>
      <w:r w:rsidR="002005A8" w:rsidRPr="00861957">
        <w:t>z</w:t>
      </w:r>
      <w:r w:rsidRPr="00861957">
        <w:t>e Convention (1948). Articles 4, 5, 33, 35 and 36 of the Constitution of the Republic of Belarus guarantee the diversity of political institutions, ideologies and opinions,</w:t>
      </w:r>
      <w:r w:rsidR="002005A8" w:rsidRPr="00861957">
        <w:t xml:space="preserve"> and</w:t>
      </w:r>
      <w:r w:rsidRPr="00861957">
        <w:t xml:space="preserve"> guarantee the freedom of assembly, association, opinion and conviction.</w:t>
      </w:r>
    </w:p>
    <w:p w14:paraId="6618EF82" w14:textId="77777777" w:rsidR="00B75429" w:rsidRPr="00861957" w:rsidRDefault="00B75429" w:rsidP="002A089F">
      <w:pPr>
        <w:jc w:val="both"/>
      </w:pPr>
    </w:p>
    <w:p w14:paraId="65A9412A" w14:textId="4E515232" w:rsidR="00580A31" w:rsidRPr="00861957" w:rsidRDefault="00C360BB" w:rsidP="002A089F">
      <w:pPr>
        <w:jc w:val="both"/>
      </w:pPr>
      <w:r w:rsidRPr="00861957">
        <w:t xml:space="preserve">Good governance, </w:t>
      </w:r>
      <w:r w:rsidR="002005A8" w:rsidRPr="00861957">
        <w:t xml:space="preserve">a </w:t>
      </w:r>
      <w:r w:rsidRPr="00861957">
        <w:t xml:space="preserve">well-functioning public administration, </w:t>
      </w:r>
      <w:r w:rsidR="002005A8" w:rsidRPr="00861957">
        <w:t xml:space="preserve">and </w:t>
      </w:r>
      <w:r w:rsidRPr="00861957">
        <w:t xml:space="preserve">economic and regulatory institutions play an important role in socio-economic development. </w:t>
      </w:r>
      <w:r w:rsidR="002005A8" w:rsidRPr="00861957">
        <w:t>In its resolution 2000/64, t</w:t>
      </w:r>
      <w:r w:rsidR="002A089F" w:rsidRPr="00861957">
        <w:t xml:space="preserve">he UN Commission </w:t>
      </w:r>
      <w:r w:rsidR="002A089F" w:rsidRPr="00861957">
        <w:lastRenderedPageBreak/>
        <w:t xml:space="preserve">on Human Rights identified the key attributes of good governance as transparency, responsibility, accountability, participation and responsiveness. It linked good governance to an enabling environment for </w:t>
      </w:r>
      <w:r w:rsidR="002005A8" w:rsidRPr="00861957">
        <w:t xml:space="preserve">the </w:t>
      </w:r>
      <w:r w:rsidR="002A089F" w:rsidRPr="00861957">
        <w:t xml:space="preserve">enjoyment of human rights and </w:t>
      </w:r>
      <w:r w:rsidR="002005A8" w:rsidRPr="00861957">
        <w:t xml:space="preserve">the </w:t>
      </w:r>
      <w:r w:rsidR="002A089F" w:rsidRPr="00861957">
        <w:t>promotion of sustainable human development</w:t>
      </w:r>
      <w:r w:rsidR="002005A8" w:rsidRPr="00861957">
        <w:t>.</w:t>
      </w:r>
      <w:r w:rsidR="002A089F" w:rsidRPr="00861957">
        <w:rPr>
          <w:rStyle w:val="FootnoteReference"/>
        </w:rPr>
        <w:footnoteReference w:id="4"/>
      </w:r>
      <w:r w:rsidR="002A089F" w:rsidRPr="00861957">
        <w:t xml:space="preserve"> According to the World Bank’s Worldwide Governance Indicators, Belarus has a wide range of opportunities to improve different aspects of its governance system as compared to its neighbours and other countries in the region.</w:t>
      </w:r>
    </w:p>
    <w:p w14:paraId="2935DA86" w14:textId="77777777" w:rsidR="00C44CE6" w:rsidRPr="00861957" w:rsidRDefault="00C44CE6" w:rsidP="00EB06A2">
      <w:pPr>
        <w:rPr>
          <w:b/>
        </w:rPr>
      </w:pPr>
    </w:p>
    <w:p w14:paraId="120D2099" w14:textId="220E826F" w:rsidR="007214B0" w:rsidRPr="00861957" w:rsidRDefault="007214B0" w:rsidP="007214B0">
      <w:pPr>
        <w:pStyle w:val="PlainText"/>
        <w:jc w:val="both"/>
        <w:rPr>
          <w:rFonts w:ascii="Times New Roman" w:hAnsi="Times New Roman" w:cs="Times New Roman"/>
          <w:sz w:val="24"/>
          <w:szCs w:val="24"/>
          <w:lang w:val="en-GB"/>
        </w:rPr>
      </w:pPr>
      <w:r w:rsidRPr="00861957">
        <w:rPr>
          <w:rFonts w:ascii="Times New Roman" w:hAnsi="Times New Roman" w:cs="Times New Roman"/>
          <w:b/>
          <w:sz w:val="24"/>
          <w:szCs w:val="24"/>
          <w:lang w:val="en-GB"/>
        </w:rPr>
        <w:t>Outcome 1.1:</w:t>
      </w:r>
      <w:r w:rsidRPr="00861957">
        <w:rPr>
          <w:rFonts w:ascii="Times New Roman" w:hAnsi="Times New Roman" w:cs="Times New Roman"/>
          <w:sz w:val="24"/>
          <w:szCs w:val="24"/>
          <w:lang w:val="en-GB"/>
        </w:rPr>
        <w:t xml:space="preserve"> </w:t>
      </w:r>
      <w:r w:rsidR="00C90F6C" w:rsidRPr="00861957">
        <w:rPr>
          <w:rFonts w:ascii="Times New Roman" w:hAnsi="Times New Roman" w:cs="Times New Roman"/>
          <w:sz w:val="24"/>
          <w:szCs w:val="24"/>
          <w:lang w:val="en-GB"/>
        </w:rPr>
        <w:t xml:space="preserve">By 2020, effective partnerships </w:t>
      </w:r>
      <w:r w:rsidR="00386939" w:rsidRPr="00861957">
        <w:rPr>
          <w:rFonts w:ascii="Times New Roman" w:hAnsi="Times New Roman" w:cs="Times New Roman"/>
          <w:sz w:val="24"/>
          <w:szCs w:val="24"/>
          <w:lang w:val="en-GB"/>
        </w:rPr>
        <w:t xml:space="preserve">will </w:t>
      </w:r>
      <w:r w:rsidR="002005A8" w:rsidRPr="00861957">
        <w:rPr>
          <w:rFonts w:ascii="Times New Roman" w:hAnsi="Times New Roman" w:cs="Times New Roman"/>
          <w:sz w:val="24"/>
          <w:szCs w:val="24"/>
          <w:lang w:val="en-GB"/>
        </w:rPr>
        <w:t xml:space="preserve">have been </w:t>
      </w:r>
      <w:r w:rsidR="00C90F6C" w:rsidRPr="00861957">
        <w:rPr>
          <w:rFonts w:ascii="Times New Roman" w:hAnsi="Times New Roman" w:cs="Times New Roman"/>
          <w:sz w:val="24"/>
          <w:szCs w:val="24"/>
          <w:lang w:val="en-GB"/>
        </w:rPr>
        <w:t>strengthened between the state, civil society and private sector</w:t>
      </w:r>
      <w:r w:rsidR="002005A8" w:rsidRPr="00861957">
        <w:rPr>
          <w:rFonts w:ascii="Times New Roman" w:hAnsi="Times New Roman" w:cs="Times New Roman"/>
          <w:sz w:val="24"/>
          <w:szCs w:val="24"/>
          <w:lang w:val="en-GB"/>
        </w:rPr>
        <w:t>,</w:t>
      </w:r>
      <w:r w:rsidR="00C90F6C" w:rsidRPr="00861957">
        <w:rPr>
          <w:rFonts w:ascii="Times New Roman" w:hAnsi="Times New Roman" w:cs="Times New Roman"/>
          <w:sz w:val="24"/>
          <w:szCs w:val="24"/>
          <w:lang w:val="en-GB"/>
        </w:rPr>
        <w:t xml:space="preserve"> ensur</w:t>
      </w:r>
      <w:r w:rsidR="002005A8" w:rsidRPr="00861957">
        <w:rPr>
          <w:rFonts w:ascii="Times New Roman" w:hAnsi="Times New Roman" w:cs="Times New Roman"/>
          <w:sz w:val="24"/>
          <w:szCs w:val="24"/>
          <w:lang w:val="en-GB"/>
        </w:rPr>
        <w:t>ing</w:t>
      </w:r>
      <w:r w:rsidR="00C90F6C" w:rsidRPr="00861957">
        <w:rPr>
          <w:rFonts w:ascii="Times New Roman" w:hAnsi="Times New Roman" w:cs="Times New Roman"/>
          <w:sz w:val="24"/>
          <w:szCs w:val="24"/>
          <w:lang w:val="en-GB"/>
        </w:rPr>
        <w:t xml:space="preserve"> reconciliation of their interests</w:t>
      </w:r>
      <w:r w:rsidR="00A24899" w:rsidRPr="00861957">
        <w:rPr>
          <w:rFonts w:ascii="Times New Roman" w:hAnsi="Times New Roman" w:cs="Times New Roman"/>
          <w:sz w:val="24"/>
          <w:szCs w:val="24"/>
          <w:lang w:val="en-GB"/>
        </w:rPr>
        <w:t>.</w:t>
      </w:r>
    </w:p>
    <w:p w14:paraId="1CA83FDD" w14:textId="77777777" w:rsidR="00E67FAF" w:rsidRPr="00861957" w:rsidRDefault="00E67FAF" w:rsidP="0064412C">
      <w:pPr>
        <w:jc w:val="both"/>
      </w:pPr>
    </w:p>
    <w:p w14:paraId="7DA6B030" w14:textId="209F5335" w:rsidR="0064412C" w:rsidRPr="00861957" w:rsidRDefault="0064412C" w:rsidP="0064412C">
      <w:pPr>
        <w:jc w:val="both"/>
      </w:pPr>
      <w:r w:rsidRPr="00861957">
        <w:t xml:space="preserve">The promotion of dialogue and inclusive policy-making was identified as a top priority in the </w:t>
      </w:r>
      <w:r w:rsidR="002005A8" w:rsidRPr="00861957">
        <w:t xml:space="preserve">area of </w:t>
      </w:r>
      <w:r w:rsidRPr="00861957">
        <w:t xml:space="preserve">governance during the Strategic Planning Retreat for UNDAF 2016-2020, and was also supported by a number of research papers and national strategies (Post 2015 Country Consultation; </w:t>
      </w:r>
      <w:r w:rsidR="000B47C6">
        <w:t>NSSSED</w:t>
      </w:r>
      <w:r w:rsidR="006043BD" w:rsidRPr="00861957">
        <w:t xml:space="preserve">-2030). </w:t>
      </w:r>
      <w:r w:rsidRPr="00861957">
        <w:t xml:space="preserve">The UNCT may assist in </w:t>
      </w:r>
      <w:r w:rsidR="006043BD" w:rsidRPr="00861957">
        <w:t xml:space="preserve">building trust and </w:t>
      </w:r>
      <w:r w:rsidRPr="00861957">
        <w:t xml:space="preserve">boosting dialogue between the Government, civil society and private sector at national, regional and local levels, including by enhancing skills and developing </w:t>
      </w:r>
      <w:r w:rsidR="002005A8" w:rsidRPr="00861957">
        <w:t xml:space="preserve">the </w:t>
      </w:r>
      <w:r w:rsidRPr="00861957">
        <w:t>capacity of all stakeholders for sustainable and productive cooperation.</w:t>
      </w:r>
    </w:p>
    <w:p w14:paraId="7EC21666" w14:textId="77777777" w:rsidR="007214B0" w:rsidRPr="00861957" w:rsidRDefault="007214B0" w:rsidP="00EB06A2">
      <w:pPr>
        <w:rPr>
          <w:b/>
        </w:rPr>
      </w:pPr>
    </w:p>
    <w:p w14:paraId="76E235B9" w14:textId="21EC3D44" w:rsidR="00E709C7" w:rsidRPr="00861957" w:rsidRDefault="002A089F" w:rsidP="002A089F">
      <w:pPr>
        <w:jc w:val="both"/>
        <w:rPr>
          <w:color w:val="000000"/>
        </w:rPr>
      </w:pPr>
      <w:r w:rsidRPr="00861957">
        <w:rPr>
          <w:color w:val="000000"/>
        </w:rPr>
        <w:t>The UN maintains a robust partnership with registered national NGOs and community-based organi</w:t>
      </w:r>
      <w:r w:rsidR="000F002C" w:rsidRPr="00861957">
        <w:rPr>
          <w:color w:val="000000"/>
        </w:rPr>
        <w:t>z</w:t>
      </w:r>
      <w:r w:rsidRPr="00861957">
        <w:rPr>
          <w:color w:val="000000"/>
        </w:rPr>
        <w:t>ations</w:t>
      </w:r>
      <w:r w:rsidR="002005A8" w:rsidRPr="00861957">
        <w:rPr>
          <w:color w:val="000000"/>
        </w:rPr>
        <w:t xml:space="preserve"> whose work involves promotion of</w:t>
      </w:r>
      <w:r w:rsidRPr="00861957">
        <w:rPr>
          <w:color w:val="000000"/>
        </w:rPr>
        <w:t xml:space="preserve"> a range of human rights. Th</w:t>
      </w:r>
      <w:r w:rsidR="002005A8" w:rsidRPr="00861957">
        <w:rPr>
          <w:color w:val="000000"/>
        </w:rPr>
        <w:t>is</w:t>
      </w:r>
      <w:r w:rsidRPr="00861957">
        <w:rPr>
          <w:color w:val="000000"/>
        </w:rPr>
        <w:t xml:space="preserve"> partnership is incrementally being extended to academia, </w:t>
      </w:r>
      <w:r w:rsidR="002005A8" w:rsidRPr="00861957">
        <w:rPr>
          <w:color w:val="000000"/>
        </w:rPr>
        <w:t xml:space="preserve">the </w:t>
      </w:r>
      <w:r w:rsidRPr="00861957">
        <w:rPr>
          <w:color w:val="000000"/>
        </w:rPr>
        <w:t>media and the private sector. The modality of working with multiple stakeholders, brokering relationships of trust and mutual respect is a key characterist</w:t>
      </w:r>
      <w:r w:rsidR="006043BD" w:rsidRPr="00861957">
        <w:rPr>
          <w:color w:val="000000"/>
        </w:rPr>
        <w:t>ic of the UN’s work in Belarus.</w:t>
      </w:r>
    </w:p>
    <w:p w14:paraId="5F33DEFC" w14:textId="77777777" w:rsidR="006043BD" w:rsidRPr="00861957" w:rsidRDefault="006043BD" w:rsidP="002A089F">
      <w:pPr>
        <w:jc w:val="both"/>
        <w:rPr>
          <w:color w:val="000000"/>
        </w:rPr>
      </w:pPr>
    </w:p>
    <w:p w14:paraId="63FE4F39" w14:textId="4CC89B93" w:rsidR="006043BD" w:rsidRPr="00861957" w:rsidRDefault="006043BD" w:rsidP="00486DF4">
      <w:pPr>
        <w:jc w:val="both"/>
        <w:rPr>
          <w:color w:val="000000"/>
          <w:kern w:val="24"/>
        </w:rPr>
      </w:pPr>
      <w:r w:rsidRPr="00861957">
        <w:rPr>
          <w:color w:val="000000"/>
          <w:kern w:val="24"/>
        </w:rPr>
        <w:t xml:space="preserve">The Government of the Republic of Belarus intends to expand the participation of civil society and the private sector in the development of public regulatory measures. </w:t>
      </w:r>
      <w:r w:rsidRPr="00861957">
        <w:t>Over recent years, national, regional, district and municipal authorities</w:t>
      </w:r>
      <w:r w:rsidR="00E0561E" w:rsidRPr="00861957">
        <w:t xml:space="preserve"> have</w:t>
      </w:r>
      <w:r w:rsidRPr="00861957">
        <w:t xml:space="preserve"> created public councils under different </w:t>
      </w:r>
      <w:r w:rsidR="00C1260A" w:rsidRPr="00861957">
        <w:t xml:space="preserve">state bodies </w:t>
      </w:r>
      <w:r w:rsidR="00E0561E" w:rsidRPr="00861957">
        <w:t xml:space="preserve">as well as </w:t>
      </w:r>
      <w:r w:rsidR="00C1260A" w:rsidRPr="00861957">
        <w:t>other organi</w:t>
      </w:r>
      <w:r w:rsidR="000F002C" w:rsidRPr="00861957">
        <w:t>z</w:t>
      </w:r>
      <w:r w:rsidR="00C1260A" w:rsidRPr="00861957">
        <w:t>ations</w:t>
      </w:r>
      <w:r w:rsidRPr="00861957">
        <w:t xml:space="preserve"> that address the shortage of systemic institutionali</w:t>
      </w:r>
      <w:r w:rsidR="000F002C" w:rsidRPr="00861957">
        <w:t>z</w:t>
      </w:r>
      <w:r w:rsidRPr="00861957">
        <w:t xml:space="preserve">ed mechanisms </w:t>
      </w:r>
      <w:r w:rsidR="00E0561E" w:rsidRPr="00861957">
        <w:t xml:space="preserve">for the </w:t>
      </w:r>
      <w:r w:rsidRPr="00861957">
        <w:t xml:space="preserve">participation of CSOs in policy-making activities. However, </w:t>
      </w:r>
      <w:r w:rsidRPr="00861957">
        <w:rPr>
          <w:color w:val="000000"/>
          <w:kern w:val="24"/>
        </w:rPr>
        <w:t>there is no comprehensive legislation governing public consultation on draft laws and citizen</w:t>
      </w:r>
      <w:r w:rsidR="00E0561E" w:rsidRPr="00861957">
        <w:rPr>
          <w:color w:val="000000"/>
          <w:kern w:val="24"/>
        </w:rPr>
        <w:t>-led</w:t>
      </w:r>
      <w:r w:rsidRPr="00861957">
        <w:rPr>
          <w:color w:val="000000"/>
          <w:kern w:val="24"/>
        </w:rPr>
        <w:t xml:space="preserve"> law-making initiatives, and the UNCT will assist the Government in developing and enacting </w:t>
      </w:r>
      <w:r w:rsidR="00486DF4" w:rsidRPr="00861957">
        <w:rPr>
          <w:color w:val="000000"/>
          <w:kern w:val="24"/>
        </w:rPr>
        <w:t>such legislation</w:t>
      </w:r>
      <w:r w:rsidR="00E0561E" w:rsidRPr="00861957">
        <w:rPr>
          <w:color w:val="000000"/>
          <w:kern w:val="24"/>
        </w:rPr>
        <w:t>.</w:t>
      </w:r>
      <w:r w:rsidR="00486DF4" w:rsidRPr="00861957">
        <w:rPr>
          <w:color w:val="000000"/>
          <w:kern w:val="24"/>
        </w:rPr>
        <w:t xml:space="preserve"> </w:t>
      </w:r>
      <w:r w:rsidR="00E0561E" w:rsidRPr="00861957">
        <w:rPr>
          <w:color w:val="000000"/>
          <w:kern w:val="24"/>
        </w:rPr>
        <w:t xml:space="preserve">Aims include: </w:t>
      </w:r>
      <w:r w:rsidR="00486DF4" w:rsidRPr="00861957">
        <w:rPr>
          <w:color w:val="000000"/>
          <w:kern w:val="24"/>
        </w:rPr>
        <w:t>expanding the practice of public consultation on draft legal acts and government resolutions</w:t>
      </w:r>
      <w:r w:rsidR="00E0561E" w:rsidRPr="00861957">
        <w:rPr>
          <w:color w:val="000000"/>
          <w:kern w:val="24"/>
        </w:rPr>
        <w:t>;</w:t>
      </w:r>
      <w:r w:rsidR="00486DF4" w:rsidRPr="00861957">
        <w:rPr>
          <w:color w:val="000000"/>
          <w:kern w:val="24"/>
        </w:rPr>
        <w:t xml:space="preserve"> increasing the share and quality of submissions from civil society and </w:t>
      </w:r>
      <w:r w:rsidR="00E0561E" w:rsidRPr="00861957">
        <w:rPr>
          <w:color w:val="000000"/>
          <w:kern w:val="24"/>
        </w:rPr>
        <w:t xml:space="preserve">the </w:t>
      </w:r>
      <w:r w:rsidR="00486DF4" w:rsidRPr="00861957">
        <w:rPr>
          <w:color w:val="000000"/>
          <w:kern w:val="24"/>
        </w:rPr>
        <w:t>private sector</w:t>
      </w:r>
      <w:r w:rsidR="00E0561E" w:rsidRPr="00861957">
        <w:rPr>
          <w:color w:val="000000"/>
          <w:kern w:val="24"/>
        </w:rPr>
        <w:t>;</w:t>
      </w:r>
      <w:r w:rsidR="00486DF4" w:rsidRPr="00861957">
        <w:rPr>
          <w:color w:val="000000"/>
          <w:kern w:val="24"/>
        </w:rPr>
        <w:t xml:space="preserve"> and </w:t>
      </w:r>
      <w:r w:rsidR="00E0561E" w:rsidRPr="00861957">
        <w:rPr>
          <w:color w:val="000000"/>
          <w:kern w:val="24"/>
        </w:rPr>
        <w:t xml:space="preserve">increasing </w:t>
      </w:r>
      <w:r w:rsidR="00486DF4" w:rsidRPr="00861957">
        <w:rPr>
          <w:color w:val="000000"/>
          <w:kern w:val="24"/>
        </w:rPr>
        <w:t xml:space="preserve">the proportion of such recommendations taken into account </w:t>
      </w:r>
      <w:r w:rsidR="00E0561E" w:rsidRPr="00861957">
        <w:rPr>
          <w:color w:val="000000"/>
          <w:kern w:val="24"/>
        </w:rPr>
        <w:t>dur</w:t>
      </w:r>
      <w:r w:rsidR="00486DF4" w:rsidRPr="00861957">
        <w:rPr>
          <w:color w:val="000000"/>
          <w:spacing w:val="4"/>
          <w:kern w:val="24"/>
        </w:rPr>
        <w:t>in</w:t>
      </w:r>
      <w:r w:rsidR="00E0561E" w:rsidRPr="00861957">
        <w:rPr>
          <w:color w:val="000000"/>
          <w:spacing w:val="4"/>
          <w:kern w:val="24"/>
        </w:rPr>
        <w:t>g</w:t>
      </w:r>
      <w:r w:rsidR="00486DF4" w:rsidRPr="00861957">
        <w:rPr>
          <w:color w:val="000000"/>
          <w:spacing w:val="4"/>
          <w:kern w:val="24"/>
        </w:rPr>
        <w:t xml:space="preserve"> the process of amending the legislation.</w:t>
      </w:r>
      <w:r w:rsidR="00214901" w:rsidRPr="00861957">
        <w:rPr>
          <w:color w:val="000000"/>
          <w:spacing w:val="4"/>
          <w:kern w:val="24"/>
        </w:rPr>
        <w:t xml:space="preserve"> </w:t>
      </w:r>
      <w:r w:rsidR="005F14A9" w:rsidRPr="00861957">
        <w:rPr>
          <w:color w:val="000000"/>
          <w:spacing w:val="4"/>
          <w:kern w:val="24"/>
        </w:rPr>
        <w:t xml:space="preserve">UNDP will assist in </w:t>
      </w:r>
      <w:r w:rsidR="00E0561E" w:rsidRPr="00861957">
        <w:rPr>
          <w:color w:val="000000"/>
          <w:spacing w:val="4"/>
          <w:kern w:val="24"/>
        </w:rPr>
        <w:t xml:space="preserve">introducing </w:t>
      </w:r>
      <w:r w:rsidR="005F14A9" w:rsidRPr="00861957">
        <w:rPr>
          <w:color w:val="000000"/>
          <w:spacing w:val="4"/>
          <w:kern w:val="24"/>
        </w:rPr>
        <w:t xml:space="preserve">capacity building measures for public councils and creating feedback mechanisms at the local level to enhance public participation in the regulatory measures. </w:t>
      </w:r>
      <w:r w:rsidR="00214901" w:rsidRPr="00861957">
        <w:t>The UNCT is also positioned to work with the Parliament to improve public engagement in the legislative process.</w:t>
      </w:r>
    </w:p>
    <w:p w14:paraId="2E322A34" w14:textId="77777777" w:rsidR="00E709C7" w:rsidRPr="00861957" w:rsidRDefault="00B0545B" w:rsidP="00695EF2">
      <w:pPr>
        <w:jc w:val="both"/>
      </w:pPr>
      <w:r w:rsidRPr="00861957">
        <w:t xml:space="preserve"> </w:t>
      </w:r>
    </w:p>
    <w:p w14:paraId="5589E754" w14:textId="1B47CE94" w:rsidR="00C44CE6" w:rsidRPr="00861957" w:rsidRDefault="006043BD" w:rsidP="000406CD">
      <w:pPr>
        <w:jc w:val="both"/>
      </w:pPr>
      <w:r w:rsidRPr="00861957">
        <w:t xml:space="preserve">The participation of </w:t>
      </w:r>
      <w:r w:rsidR="00E0561E" w:rsidRPr="00861957">
        <w:t xml:space="preserve">the </w:t>
      </w:r>
      <w:r w:rsidRPr="00861957">
        <w:t xml:space="preserve">private sector in resolving social problems can be enhanced through </w:t>
      </w:r>
      <w:r w:rsidR="00E0561E" w:rsidRPr="00861957">
        <w:t xml:space="preserve">the </w:t>
      </w:r>
      <w:r w:rsidRPr="00861957">
        <w:t xml:space="preserve">adoption and effective enforcement of laws on philanthropy and volunteerism, development of the Global Compact and </w:t>
      </w:r>
      <w:r w:rsidR="00E0561E" w:rsidRPr="00861957">
        <w:t xml:space="preserve">consolidation of </w:t>
      </w:r>
      <w:r w:rsidRPr="00861957">
        <w:t xml:space="preserve">the emerging practice of corporate social responsibility. A draft law on public-private partnerships </w:t>
      </w:r>
      <w:r w:rsidR="00C1260A" w:rsidRPr="00861957">
        <w:t xml:space="preserve">was </w:t>
      </w:r>
      <w:r w:rsidRPr="00861957">
        <w:t xml:space="preserve">assessed by international experts as corresponding to the leading international practices </w:t>
      </w:r>
      <w:r w:rsidR="00E0561E" w:rsidRPr="00861957">
        <w:t>to</w:t>
      </w:r>
      <w:r w:rsidRPr="00861957">
        <w:t xml:space="preserve"> </w:t>
      </w:r>
      <w:r w:rsidR="00E0561E" w:rsidRPr="00861957">
        <w:t xml:space="preserve">a degree of </w:t>
      </w:r>
      <w:r w:rsidRPr="00861957">
        <w:t>81.5%</w:t>
      </w:r>
      <w:r w:rsidR="00773221" w:rsidRPr="00861957">
        <w:t>.</w:t>
      </w:r>
      <w:r w:rsidRPr="00861957">
        <w:t xml:space="preserve"> </w:t>
      </w:r>
      <w:r w:rsidR="00B0545B" w:rsidRPr="00861957">
        <w:t>Its</w:t>
      </w:r>
      <w:r w:rsidRPr="00861957">
        <w:t xml:space="preserve"> effective implementation and </w:t>
      </w:r>
      <w:r w:rsidR="00E0561E" w:rsidRPr="00861957">
        <w:t xml:space="preserve">the </w:t>
      </w:r>
      <w:r w:rsidRPr="00861957">
        <w:t xml:space="preserve">development of </w:t>
      </w:r>
      <w:r w:rsidR="009B4450">
        <w:t>public-private partnership</w:t>
      </w:r>
      <w:r w:rsidRPr="00861957">
        <w:t xml:space="preserve"> practice</w:t>
      </w:r>
      <w:r w:rsidR="00A24899" w:rsidRPr="00861957">
        <w:t>s</w:t>
      </w:r>
      <w:r w:rsidRPr="00861957">
        <w:t xml:space="preserve"> would require joint efforts </w:t>
      </w:r>
      <w:r w:rsidR="00A24899" w:rsidRPr="00861957">
        <w:t>by</w:t>
      </w:r>
      <w:r w:rsidRPr="00861957">
        <w:t xml:space="preserve"> the Government</w:t>
      </w:r>
      <w:r w:rsidR="00B0545B" w:rsidRPr="00861957">
        <w:t>, UNCT</w:t>
      </w:r>
      <w:r w:rsidRPr="00861957">
        <w:t xml:space="preserve"> and </w:t>
      </w:r>
      <w:r w:rsidR="000406CD">
        <w:t xml:space="preserve">the </w:t>
      </w:r>
      <w:r w:rsidRPr="00861957">
        <w:t>private sector.</w:t>
      </w:r>
      <w:r w:rsidR="009864D8" w:rsidRPr="00861957">
        <w:t xml:space="preserve"> UNDP will continue </w:t>
      </w:r>
      <w:r w:rsidR="000406CD">
        <w:t>working</w:t>
      </w:r>
      <w:r w:rsidR="009864D8" w:rsidRPr="00861957">
        <w:t xml:space="preserve"> to take forward the </w:t>
      </w:r>
      <w:r w:rsidR="009B4450">
        <w:t>public-private partnership</w:t>
      </w:r>
      <w:r w:rsidR="009864D8" w:rsidRPr="00861957">
        <w:t xml:space="preserve"> modality and unlock its development benefits for Belarus.</w:t>
      </w:r>
    </w:p>
    <w:p w14:paraId="267C6493" w14:textId="77777777" w:rsidR="00E709C7" w:rsidRPr="00861957" w:rsidRDefault="00E709C7" w:rsidP="00EB06A2"/>
    <w:p w14:paraId="0D2B13D4" w14:textId="656665C3" w:rsidR="00695EF2" w:rsidRPr="00861957" w:rsidRDefault="00695EF2" w:rsidP="00695EF2">
      <w:pPr>
        <w:jc w:val="both"/>
        <w:rPr>
          <w:kern w:val="24"/>
        </w:rPr>
      </w:pPr>
      <w:r w:rsidRPr="00861957">
        <w:t xml:space="preserve">In addition, </w:t>
      </w:r>
      <w:r w:rsidR="00C3217A" w:rsidRPr="00861957">
        <w:t xml:space="preserve">local authorities </w:t>
      </w:r>
      <w:r w:rsidR="00A24899" w:rsidRPr="00861957">
        <w:t xml:space="preserve">will implement, </w:t>
      </w:r>
      <w:r w:rsidR="00C3217A" w:rsidRPr="00861957">
        <w:t>with UNICEF assistance</w:t>
      </w:r>
      <w:r w:rsidR="00A24899" w:rsidRPr="00861957">
        <w:t>,</w:t>
      </w:r>
      <w:r w:rsidR="00C3217A" w:rsidRPr="00861957">
        <w:t xml:space="preserve"> </w:t>
      </w:r>
      <w:r w:rsidRPr="00861957">
        <w:t xml:space="preserve">measures aimed at the expansion of the </w:t>
      </w:r>
      <w:r w:rsidR="00D42647" w:rsidRPr="00861957">
        <w:t>network</w:t>
      </w:r>
      <w:r w:rsidRPr="00861957">
        <w:t xml:space="preserve"> of cities with </w:t>
      </w:r>
      <w:r w:rsidRPr="00861957">
        <w:rPr>
          <w:kern w:val="24"/>
        </w:rPr>
        <w:t>institutionali</w:t>
      </w:r>
      <w:r w:rsidR="000F002C" w:rsidRPr="00861957">
        <w:rPr>
          <w:kern w:val="24"/>
        </w:rPr>
        <w:t>z</w:t>
      </w:r>
      <w:r w:rsidRPr="00861957">
        <w:rPr>
          <w:kern w:val="24"/>
        </w:rPr>
        <w:t xml:space="preserve">ed mechanisms for </w:t>
      </w:r>
      <w:r w:rsidR="00A24899" w:rsidRPr="00861957">
        <w:rPr>
          <w:kern w:val="24"/>
        </w:rPr>
        <w:t xml:space="preserve">the </w:t>
      </w:r>
      <w:r w:rsidRPr="00861957">
        <w:rPr>
          <w:kern w:val="24"/>
        </w:rPr>
        <w:t>participation of children and you</w:t>
      </w:r>
      <w:r w:rsidR="00A24899" w:rsidRPr="00861957">
        <w:rPr>
          <w:kern w:val="24"/>
        </w:rPr>
        <w:t>ng people</w:t>
      </w:r>
      <w:r w:rsidRPr="00861957">
        <w:rPr>
          <w:kern w:val="24"/>
        </w:rPr>
        <w:t xml:space="preserve"> to boost their participation in policy-making concerning their lives and development from 22 cities to 40 cities by 2020.</w:t>
      </w:r>
    </w:p>
    <w:p w14:paraId="48A456E0" w14:textId="77777777" w:rsidR="008437CA" w:rsidRPr="00861957" w:rsidRDefault="008437CA" w:rsidP="00EB06A2">
      <w:pPr>
        <w:rPr>
          <w:b/>
        </w:rPr>
      </w:pPr>
    </w:p>
    <w:p w14:paraId="63A5A551" w14:textId="5AAB6EBC" w:rsidR="00B3459B" w:rsidRPr="00861957" w:rsidRDefault="007214B0" w:rsidP="007214B0">
      <w:pPr>
        <w:pStyle w:val="PlainText"/>
        <w:jc w:val="both"/>
        <w:rPr>
          <w:rFonts w:ascii="Times New Roman" w:hAnsi="Times New Roman" w:cs="Times New Roman"/>
          <w:sz w:val="24"/>
          <w:szCs w:val="24"/>
          <w:lang w:val="en-GB"/>
        </w:rPr>
      </w:pPr>
      <w:r w:rsidRPr="00861957">
        <w:rPr>
          <w:rFonts w:ascii="Times New Roman" w:hAnsi="Times New Roman" w:cs="Times New Roman"/>
          <w:b/>
          <w:sz w:val="24"/>
          <w:szCs w:val="24"/>
          <w:lang w:val="en-GB"/>
        </w:rPr>
        <w:lastRenderedPageBreak/>
        <w:t>Outcome 1.2:</w:t>
      </w:r>
      <w:r w:rsidRPr="00861957">
        <w:rPr>
          <w:rFonts w:ascii="Times New Roman" w:hAnsi="Times New Roman" w:cs="Times New Roman"/>
          <w:sz w:val="24"/>
          <w:szCs w:val="24"/>
          <w:lang w:val="en-GB"/>
        </w:rPr>
        <w:t xml:space="preserve"> </w:t>
      </w:r>
      <w:r w:rsidR="00C90F6C" w:rsidRPr="00861957">
        <w:rPr>
          <w:rFonts w:ascii="Times New Roman" w:hAnsi="Times New Roman" w:cs="Times New Roman"/>
          <w:sz w:val="24"/>
          <w:szCs w:val="24"/>
          <w:lang w:val="en-GB"/>
        </w:rPr>
        <w:t xml:space="preserve">By 2020, state institutions </w:t>
      </w:r>
      <w:r w:rsidR="00A24899" w:rsidRPr="00861957">
        <w:rPr>
          <w:rFonts w:ascii="Times New Roman" w:hAnsi="Times New Roman" w:cs="Times New Roman"/>
          <w:sz w:val="24"/>
          <w:szCs w:val="24"/>
          <w:lang w:val="en-GB"/>
        </w:rPr>
        <w:t xml:space="preserve">will </w:t>
      </w:r>
      <w:r w:rsidR="00C90F6C" w:rsidRPr="00861957">
        <w:rPr>
          <w:rFonts w:ascii="Times New Roman" w:hAnsi="Times New Roman" w:cs="Times New Roman"/>
          <w:sz w:val="24"/>
          <w:szCs w:val="24"/>
          <w:lang w:val="en-GB"/>
        </w:rPr>
        <w:t>ensure responsive, accountable and transparent governance to enable citizens to benefit from all human rights in line with international principles and standards</w:t>
      </w:r>
      <w:r w:rsidR="00A24899" w:rsidRPr="00861957">
        <w:rPr>
          <w:rFonts w:ascii="Times New Roman" w:hAnsi="Times New Roman" w:cs="Times New Roman"/>
          <w:sz w:val="24"/>
          <w:szCs w:val="24"/>
          <w:lang w:val="en-GB"/>
        </w:rPr>
        <w:t>.</w:t>
      </w:r>
    </w:p>
    <w:p w14:paraId="64C3FB60" w14:textId="77777777" w:rsidR="00C90F6C" w:rsidRPr="00861957" w:rsidRDefault="00C90F6C" w:rsidP="007214B0">
      <w:pPr>
        <w:pStyle w:val="PlainText"/>
        <w:jc w:val="both"/>
        <w:rPr>
          <w:rFonts w:ascii="Times New Roman" w:hAnsi="Times New Roman" w:cs="Times New Roman"/>
          <w:sz w:val="24"/>
          <w:szCs w:val="24"/>
          <w:lang w:val="en-GB"/>
        </w:rPr>
      </w:pPr>
    </w:p>
    <w:p w14:paraId="4D8F81BE" w14:textId="2CCCD1B1" w:rsidR="00DF3C2C" w:rsidRPr="00861957" w:rsidRDefault="000B47C6" w:rsidP="00DF3C2C">
      <w:pPr>
        <w:jc w:val="both"/>
        <w:rPr>
          <w:color w:val="000000"/>
          <w:shd w:val="clear" w:color="auto" w:fill="FFFFFF"/>
        </w:rPr>
      </w:pPr>
      <w:r>
        <w:rPr>
          <w:color w:val="000000"/>
          <w:shd w:val="clear" w:color="auto" w:fill="FFFFFF"/>
        </w:rPr>
        <w:t>NSSSED</w:t>
      </w:r>
      <w:r w:rsidR="00AA73DF" w:rsidRPr="00861957">
        <w:rPr>
          <w:color w:val="000000"/>
          <w:shd w:val="clear" w:color="auto" w:fill="FFFFFF"/>
        </w:rPr>
        <w:t>-2030 emphasi</w:t>
      </w:r>
      <w:r w:rsidR="000F002C" w:rsidRPr="00861957">
        <w:rPr>
          <w:color w:val="000000"/>
          <w:shd w:val="clear" w:color="auto" w:fill="FFFFFF"/>
        </w:rPr>
        <w:t>z</w:t>
      </w:r>
      <w:r w:rsidR="00AA73DF" w:rsidRPr="00861957">
        <w:rPr>
          <w:color w:val="000000"/>
          <w:shd w:val="clear" w:color="auto" w:fill="FFFFFF"/>
        </w:rPr>
        <w:t xml:space="preserve">es </w:t>
      </w:r>
      <w:r w:rsidR="00DF3C2C" w:rsidRPr="00861957">
        <w:rPr>
          <w:color w:val="000000"/>
          <w:shd w:val="clear" w:color="auto" w:fill="FFFFFF"/>
        </w:rPr>
        <w:t xml:space="preserve">the </w:t>
      </w:r>
      <w:r w:rsidR="00AA73DF" w:rsidRPr="00861957">
        <w:rPr>
          <w:color w:val="000000"/>
          <w:shd w:val="clear" w:color="auto" w:fill="FFFFFF"/>
        </w:rPr>
        <w:t>importance of restricting state involvement in economic activities and reducing excessive regulat</w:t>
      </w:r>
      <w:r w:rsidR="00A24899" w:rsidRPr="00861957">
        <w:rPr>
          <w:color w:val="000000"/>
          <w:shd w:val="clear" w:color="auto" w:fill="FFFFFF"/>
        </w:rPr>
        <w:t xml:space="preserve">ion by </w:t>
      </w:r>
      <w:r w:rsidR="00AA73DF" w:rsidRPr="00861957">
        <w:rPr>
          <w:color w:val="000000"/>
          <w:shd w:val="clear" w:color="auto" w:fill="FFFFFF"/>
        </w:rPr>
        <w:t>the state where necessary. Such restriction, if implemented, should be based on</w:t>
      </w:r>
      <w:r w:rsidR="00A24899" w:rsidRPr="00861957">
        <w:rPr>
          <w:color w:val="000000"/>
          <w:shd w:val="clear" w:color="auto" w:fill="FFFFFF"/>
        </w:rPr>
        <w:t xml:space="preserve"> a</w:t>
      </w:r>
      <w:r w:rsidR="00AA73DF" w:rsidRPr="00861957">
        <w:rPr>
          <w:color w:val="000000"/>
          <w:shd w:val="clear" w:color="auto" w:fill="FFFFFF"/>
        </w:rPr>
        <w:t xml:space="preserve"> comprehensive analysis of </w:t>
      </w:r>
      <w:r w:rsidR="00A24899" w:rsidRPr="00861957">
        <w:rPr>
          <w:color w:val="000000"/>
          <w:shd w:val="clear" w:color="auto" w:fill="FFFFFF"/>
        </w:rPr>
        <w:t xml:space="preserve">the </w:t>
      </w:r>
      <w:r w:rsidR="00AA73DF" w:rsidRPr="00861957">
        <w:rPr>
          <w:color w:val="000000"/>
          <w:shd w:val="clear" w:color="auto" w:fill="FFFFFF"/>
        </w:rPr>
        <w:t>state</w:t>
      </w:r>
      <w:r w:rsidR="00A24899" w:rsidRPr="00861957">
        <w:rPr>
          <w:color w:val="000000"/>
          <w:shd w:val="clear" w:color="auto" w:fill="FFFFFF"/>
        </w:rPr>
        <w:t>’s</w:t>
      </w:r>
      <w:r w:rsidR="00AA73DF" w:rsidRPr="00861957">
        <w:rPr>
          <w:color w:val="000000"/>
          <w:shd w:val="clear" w:color="auto" w:fill="FFFFFF"/>
        </w:rPr>
        <w:t xml:space="preserve"> functions and delegation of </w:t>
      </w:r>
      <w:r w:rsidR="00A24899" w:rsidRPr="00861957">
        <w:rPr>
          <w:color w:val="000000"/>
          <w:shd w:val="clear" w:color="auto" w:fill="FFFFFF"/>
        </w:rPr>
        <w:t xml:space="preserve">the </w:t>
      </w:r>
      <w:r w:rsidR="00AA73DF" w:rsidRPr="00861957">
        <w:rPr>
          <w:color w:val="000000"/>
          <w:shd w:val="clear" w:color="auto" w:fill="FFFFFF"/>
        </w:rPr>
        <w:t>state</w:t>
      </w:r>
      <w:r w:rsidR="00A24899" w:rsidRPr="00861957">
        <w:rPr>
          <w:color w:val="000000"/>
          <w:shd w:val="clear" w:color="auto" w:fill="FFFFFF"/>
        </w:rPr>
        <w:t>’s</w:t>
      </w:r>
      <w:r w:rsidR="00AA73DF" w:rsidRPr="00861957">
        <w:rPr>
          <w:color w:val="000000"/>
          <w:shd w:val="clear" w:color="auto" w:fill="FFFFFF"/>
        </w:rPr>
        <w:t xml:space="preserve"> functions to the private sector </w:t>
      </w:r>
      <w:r w:rsidR="00A24899" w:rsidRPr="00861957">
        <w:rPr>
          <w:color w:val="000000"/>
          <w:shd w:val="clear" w:color="auto" w:fill="FFFFFF"/>
        </w:rPr>
        <w:t xml:space="preserve">in cases </w:t>
      </w:r>
      <w:r w:rsidR="00AA73DF" w:rsidRPr="00861957">
        <w:rPr>
          <w:color w:val="000000"/>
          <w:shd w:val="clear" w:color="auto" w:fill="FFFFFF"/>
        </w:rPr>
        <w:t xml:space="preserve">where </w:t>
      </w:r>
      <w:r w:rsidR="00A24899" w:rsidRPr="00861957">
        <w:rPr>
          <w:color w:val="000000"/>
          <w:shd w:val="clear" w:color="auto" w:fill="FFFFFF"/>
        </w:rPr>
        <w:t xml:space="preserve">private sector institutions </w:t>
      </w:r>
      <w:r w:rsidR="00AA73DF" w:rsidRPr="00861957">
        <w:rPr>
          <w:color w:val="000000"/>
          <w:shd w:val="clear" w:color="auto" w:fill="FFFFFF"/>
        </w:rPr>
        <w:t xml:space="preserve">can efficiently perform them. </w:t>
      </w:r>
      <w:r w:rsidR="00DF3C2C" w:rsidRPr="00861957">
        <w:rPr>
          <w:color w:val="000000"/>
          <w:shd w:val="clear" w:color="auto" w:fill="FFFFFF"/>
        </w:rPr>
        <w:t xml:space="preserve">UNDP will assist the Government in implementing </w:t>
      </w:r>
      <w:r w:rsidR="00DF3C2C" w:rsidRPr="00861957">
        <w:rPr>
          <w:color w:val="000000"/>
          <w:kern w:val="24"/>
        </w:rPr>
        <w:t xml:space="preserve">an effective methodology for the analysis of </w:t>
      </w:r>
      <w:r w:rsidR="00A24899" w:rsidRPr="00861957">
        <w:rPr>
          <w:color w:val="000000"/>
          <w:kern w:val="24"/>
        </w:rPr>
        <w:t xml:space="preserve">the </w:t>
      </w:r>
      <w:r w:rsidR="00DF3C2C" w:rsidRPr="00861957">
        <w:rPr>
          <w:color w:val="000000"/>
          <w:kern w:val="24"/>
        </w:rPr>
        <w:t>functions and competencies of government bodies and preparing recommendations on optimi</w:t>
      </w:r>
      <w:r w:rsidR="000F002C" w:rsidRPr="00861957">
        <w:rPr>
          <w:color w:val="000000"/>
          <w:kern w:val="24"/>
        </w:rPr>
        <w:t>z</w:t>
      </w:r>
      <w:r w:rsidR="00DF3C2C" w:rsidRPr="00861957">
        <w:rPr>
          <w:color w:val="000000"/>
          <w:kern w:val="24"/>
        </w:rPr>
        <w:t>ing their functions.</w:t>
      </w:r>
    </w:p>
    <w:p w14:paraId="15713722" w14:textId="77777777" w:rsidR="00B3459B" w:rsidRPr="00861957" w:rsidRDefault="00B3459B" w:rsidP="007214B0">
      <w:pPr>
        <w:pStyle w:val="PlainText"/>
        <w:jc w:val="both"/>
        <w:rPr>
          <w:rFonts w:ascii="Times New Roman" w:eastAsia="Times New Roman" w:hAnsi="Times New Roman" w:cs="Times New Roman"/>
          <w:color w:val="000000"/>
          <w:sz w:val="24"/>
          <w:szCs w:val="24"/>
          <w:shd w:val="clear" w:color="auto" w:fill="FFFFFF"/>
          <w:lang w:val="en-GB" w:eastAsia="en-GB"/>
        </w:rPr>
      </w:pPr>
    </w:p>
    <w:p w14:paraId="335CD66A" w14:textId="4895498B" w:rsidR="00E0697E" w:rsidRPr="00861957" w:rsidRDefault="000B47C6" w:rsidP="00DF3C2C">
      <w:pPr>
        <w:jc w:val="both"/>
        <w:rPr>
          <w:color w:val="000000"/>
          <w:kern w:val="24"/>
        </w:rPr>
      </w:pPr>
      <w:r>
        <w:rPr>
          <w:color w:val="000000"/>
          <w:shd w:val="clear" w:color="auto" w:fill="FFFFFF"/>
        </w:rPr>
        <w:t>NSSSED</w:t>
      </w:r>
      <w:r w:rsidR="00DF3C2C" w:rsidRPr="00861957">
        <w:rPr>
          <w:color w:val="000000"/>
          <w:shd w:val="clear" w:color="auto" w:fill="FFFFFF"/>
        </w:rPr>
        <w:t xml:space="preserve">-2030 also proposes further improvements </w:t>
      </w:r>
      <w:r w:rsidR="00C40C3B" w:rsidRPr="00861957">
        <w:rPr>
          <w:color w:val="000000"/>
          <w:shd w:val="clear" w:color="auto" w:fill="FFFFFF"/>
        </w:rPr>
        <w:t>to the</w:t>
      </w:r>
      <w:r w:rsidR="00DF3C2C" w:rsidRPr="00861957">
        <w:rPr>
          <w:color w:val="000000"/>
          <w:shd w:val="clear" w:color="auto" w:fill="FFFFFF"/>
        </w:rPr>
        <w:t xml:space="preserve"> effectiveness and transparency of the public administration system</w:t>
      </w:r>
      <w:r w:rsidR="00C40C3B" w:rsidRPr="00861957">
        <w:rPr>
          <w:color w:val="000000"/>
          <w:shd w:val="clear" w:color="auto" w:fill="FFFFFF"/>
        </w:rPr>
        <w:t>,</w:t>
      </w:r>
      <w:r w:rsidR="00DF3C2C" w:rsidRPr="00861957">
        <w:rPr>
          <w:color w:val="000000"/>
          <w:shd w:val="clear" w:color="auto" w:fill="FFFFFF"/>
        </w:rPr>
        <w:t xml:space="preserve"> based on indicative planning, foresight and the widespread use of IT and telecommunications technologies in public administration. UNDP will assist the Government in expanding the practice of </w:t>
      </w:r>
      <w:r w:rsidR="00DF3C2C" w:rsidRPr="00861957">
        <w:rPr>
          <w:color w:val="000000"/>
          <w:kern w:val="24"/>
        </w:rPr>
        <w:t xml:space="preserve">performing administrative procedures online, </w:t>
      </w:r>
      <w:r w:rsidR="00C40C3B" w:rsidRPr="00861957">
        <w:rPr>
          <w:color w:val="000000"/>
          <w:kern w:val="24"/>
        </w:rPr>
        <w:t xml:space="preserve">for example by </w:t>
      </w:r>
      <w:r w:rsidR="00DF3C2C" w:rsidRPr="00861957">
        <w:rPr>
          <w:color w:val="000000"/>
          <w:kern w:val="24"/>
        </w:rPr>
        <w:t xml:space="preserve">piloting a multifunctional centre </w:t>
      </w:r>
      <w:r w:rsidR="00C40C3B" w:rsidRPr="00861957">
        <w:rPr>
          <w:color w:val="000000"/>
          <w:kern w:val="24"/>
        </w:rPr>
        <w:t xml:space="preserve">that </w:t>
      </w:r>
      <w:r w:rsidR="00DF3C2C" w:rsidRPr="00861957">
        <w:rPr>
          <w:color w:val="000000"/>
          <w:kern w:val="24"/>
        </w:rPr>
        <w:t>accep</w:t>
      </w:r>
      <w:r w:rsidR="00C40C3B" w:rsidRPr="00861957">
        <w:rPr>
          <w:color w:val="000000"/>
          <w:kern w:val="24"/>
        </w:rPr>
        <w:t>ts</w:t>
      </w:r>
      <w:r w:rsidR="00DF3C2C" w:rsidRPr="00861957">
        <w:rPr>
          <w:color w:val="000000"/>
          <w:kern w:val="24"/>
        </w:rPr>
        <w:t xml:space="preserve"> applications to a variety of administrative procedures at one </w:t>
      </w:r>
      <w:r w:rsidR="00C40C3B" w:rsidRPr="00861957">
        <w:rPr>
          <w:color w:val="000000"/>
          <w:kern w:val="24"/>
        </w:rPr>
        <w:t xml:space="preserve">location </w:t>
      </w:r>
      <w:r w:rsidR="00DF3C2C" w:rsidRPr="00861957">
        <w:rPr>
          <w:color w:val="000000"/>
          <w:kern w:val="24"/>
        </w:rPr>
        <w:t>in Minsk and organi</w:t>
      </w:r>
      <w:r w:rsidR="000F002C" w:rsidRPr="00861957">
        <w:rPr>
          <w:color w:val="000000"/>
          <w:kern w:val="24"/>
        </w:rPr>
        <w:t>z</w:t>
      </w:r>
      <w:r w:rsidR="00DF3C2C" w:rsidRPr="00861957">
        <w:rPr>
          <w:color w:val="000000"/>
          <w:kern w:val="24"/>
        </w:rPr>
        <w:t>ing training</w:t>
      </w:r>
      <w:r w:rsidR="00C40C3B" w:rsidRPr="00861957">
        <w:rPr>
          <w:color w:val="000000"/>
          <w:kern w:val="24"/>
        </w:rPr>
        <w:t xml:space="preserve"> workshop</w:t>
      </w:r>
      <w:r w:rsidR="00DF3C2C" w:rsidRPr="00861957">
        <w:rPr>
          <w:color w:val="000000"/>
          <w:kern w:val="24"/>
        </w:rPr>
        <w:t xml:space="preserve">s at the </w:t>
      </w:r>
      <w:r w:rsidR="00C40C3B" w:rsidRPr="00861957">
        <w:rPr>
          <w:color w:val="000000"/>
          <w:kern w:val="24"/>
        </w:rPr>
        <w:t xml:space="preserve">new </w:t>
      </w:r>
      <w:r w:rsidR="00DF3C2C" w:rsidRPr="00861957">
        <w:rPr>
          <w:color w:val="000000"/>
          <w:kern w:val="24"/>
        </w:rPr>
        <w:t>centre to facilitate the creation of similar centres in the regions.</w:t>
      </w:r>
      <w:r w:rsidR="00E0697E" w:rsidRPr="00861957">
        <w:rPr>
          <w:color w:val="000000"/>
          <w:kern w:val="24"/>
        </w:rPr>
        <w:t xml:space="preserve"> The UN will assist in the creation of legislative and technological frameworks for the external trade </w:t>
      </w:r>
      <w:r w:rsidR="00200CC5" w:rsidRPr="00861957">
        <w:rPr>
          <w:color w:val="000000"/>
          <w:kern w:val="24"/>
        </w:rPr>
        <w:t>web portal</w:t>
      </w:r>
      <w:r w:rsidR="00E0697E" w:rsidRPr="00861957">
        <w:rPr>
          <w:color w:val="000000"/>
          <w:kern w:val="24"/>
        </w:rPr>
        <w:t xml:space="preserve"> of the Republic of Belarus</w:t>
      </w:r>
      <w:r w:rsidR="006B7FBE" w:rsidRPr="00861957">
        <w:rPr>
          <w:color w:val="000000"/>
          <w:kern w:val="24"/>
        </w:rPr>
        <w:t>,</w:t>
      </w:r>
      <w:r w:rsidR="00E0697E" w:rsidRPr="00861957">
        <w:rPr>
          <w:color w:val="000000"/>
          <w:kern w:val="24"/>
        </w:rPr>
        <w:t xml:space="preserve"> </w:t>
      </w:r>
      <w:r w:rsidR="00200CC5" w:rsidRPr="00861957">
        <w:rPr>
          <w:color w:val="000000"/>
          <w:kern w:val="24"/>
        </w:rPr>
        <w:t xml:space="preserve">on the basis of an integrated technological platform of the state automated information system (SAIS) </w:t>
      </w:r>
      <w:r w:rsidR="008C07BF" w:rsidRPr="00861957">
        <w:rPr>
          <w:color w:val="000000"/>
          <w:kern w:val="24"/>
        </w:rPr>
        <w:t>in line with</w:t>
      </w:r>
      <w:r w:rsidR="00200CC5" w:rsidRPr="00861957">
        <w:rPr>
          <w:color w:val="000000"/>
          <w:kern w:val="24"/>
        </w:rPr>
        <w:t xml:space="preserve"> the ‘one window’ principle.</w:t>
      </w:r>
    </w:p>
    <w:p w14:paraId="0B9A69CB" w14:textId="77777777" w:rsidR="00DF3C2C" w:rsidRPr="00861957" w:rsidRDefault="00DF3C2C" w:rsidP="00DF3C2C">
      <w:pPr>
        <w:jc w:val="both"/>
        <w:rPr>
          <w:color w:val="000000"/>
          <w:kern w:val="24"/>
        </w:rPr>
      </w:pPr>
    </w:p>
    <w:p w14:paraId="3DD93696" w14:textId="6CB73199" w:rsidR="00195563" w:rsidRPr="00861957" w:rsidRDefault="00DF3C2C" w:rsidP="00DF3C2C">
      <w:pPr>
        <w:jc w:val="both"/>
        <w:rPr>
          <w:color w:val="000000"/>
          <w:shd w:val="clear" w:color="auto" w:fill="FFFFFF"/>
        </w:rPr>
      </w:pPr>
      <w:r w:rsidRPr="00861957">
        <w:rPr>
          <w:color w:val="000000"/>
          <w:kern w:val="24"/>
        </w:rPr>
        <w:t xml:space="preserve">In 2013, </w:t>
      </w:r>
      <w:r w:rsidRPr="00861957">
        <w:rPr>
          <w:color w:val="000000"/>
          <w:shd w:val="clear" w:color="auto" w:fill="FFFFFF"/>
        </w:rPr>
        <w:t xml:space="preserve">UNECE </w:t>
      </w:r>
      <w:r w:rsidR="00470795" w:rsidRPr="00861957">
        <w:rPr>
          <w:color w:val="000000"/>
          <w:shd w:val="clear" w:color="auto" w:fill="FFFFFF"/>
        </w:rPr>
        <w:t xml:space="preserve">experts </w:t>
      </w:r>
      <w:r w:rsidRPr="00861957">
        <w:rPr>
          <w:color w:val="000000"/>
          <w:shd w:val="clear" w:color="auto" w:fill="FFFFFF"/>
        </w:rPr>
        <w:t>conducted the assessment of the Belarusian national statistical system and noted the ongoing moderni</w:t>
      </w:r>
      <w:r w:rsidR="000F002C" w:rsidRPr="00861957">
        <w:rPr>
          <w:color w:val="000000"/>
          <w:shd w:val="clear" w:color="auto" w:fill="FFFFFF"/>
        </w:rPr>
        <w:t>z</w:t>
      </w:r>
      <w:r w:rsidR="006B7FBE" w:rsidRPr="00861957">
        <w:rPr>
          <w:color w:val="000000"/>
          <w:shd w:val="clear" w:color="auto" w:fill="FFFFFF"/>
        </w:rPr>
        <w:t>ation of the</w:t>
      </w:r>
      <w:r w:rsidRPr="00861957">
        <w:rPr>
          <w:color w:val="000000"/>
          <w:shd w:val="clear" w:color="auto" w:fill="FFFFFF"/>
        </w:rPr>
        <w:t xml:space="preserve"> IT infrastructure, improv</w:t>
      </w:r>
      <w:r w:rsidR="006B7FBE" w:rsidRPr="00861957">
        <w:rPr>
          <w:color w:val="000000"/>
          <w:shd w:val="clear" w:color="auto" w:fill="FFFFFF"/>
        </w:rPr>
        <w:t>ement of</w:t>
      </w:r>
      <w:r w:rsidRPr="00861957">
        <w:rPr>
          <w:color w:val="000000"/>
          <w:shd w:val="clear" w:color="auto" w:fill="FFFFFF"/>
        </w:rPr>
        <w:t xml:space="preserve"> the system</w:t>
      </w:r>
      <w:r w:rsidR="00470795" w:rsidRPr="00861957">
        <w:rPr>
          <w:color w:val="000000"/>
          <w:shd w:val="clear" w:color="auto" w:fill="FFFFFF"/>
        </w:rPr>
        <w:t xml:space="preserve"> </w:t>
      </w:r>
      <w:r w:rsidR="006B7FBE" w:rsidRPr="00861957">
        <w:rPr>
          <w:color w:val="000000"/>
          <w:shd w:val="clear" w:color="auto" w:fill="FFFFFF"/>
        </w:rPr>
        <w:t>for</w:t>
      </w:r>
      <w:r w:rsidR="00470795" w:rsidRPr="00861957">
        <w:rPr>
          <w:color w:val="000000"/>
          <w:shd w:val="clear" w:color="auto" w:fill="FFFFFF"/>
        </w:rPr>
        <w:t xml:space="preserve"> collecti</w:t>
      </w:r>
      <w:r w:rsidR="006B7FBE" w:rsidRPr="00861957">
        <w:rPr>
          <w:color w:val="000000"/>
          <w:shd w:val="clear" w:color="auto" w:fill="FFFFFF"/>
        </w:rPr>
        <w:t>ng</w:t>
      </w:r>
      <w:r w:rsidR="00470795" w:rsidRPr="00861957">
        <w:rPr>
          <w:color w:val="000000"/>
          <w:shd w:val="clear" w:color="auto" w:fill="FFFFFF"/>
        </w:rPr>
        <w:t xml:space="preserve"> and </w:t>
      </w:r>
      <w:r w:rsidR="006B7FBE" w:rsidRPr="00861957">
        <w:rPr>
          <w:color w:val="000000"/>
          <w:shd w:val="clear" w:color="auto" w:fill="FFFFFF"/>
        </w:rPr>
        <w:t xml:space="preserve">analysing </w:t>
      </w:r>
      <w:r w:rsidR="00470795" w:rsidRPr="00861957">
        <w:rPr>
          <w:color w:val="000000"/>
          <w:shd w:val="clear" w:color="auto" w:fill="FFFFFF"/>
        </w:rPr>
        <w:t xml:space="preserve">statistical data, </w:t>
      </w:r>
      <w:r w:rsidR="006B7FBE" w:rsidRPr="00861957">
        <w:rPr>
          <w:color w:val="000000"/>
          <w:shd w:val="clear" w:color="auto" w:fill="FFFFFF"/>
        </w:rPr>
        <w:t xml:space="preserve">and </w:t>
      </w:r>
      <w:r w:rsidR="00470795" w:rsidRPr="00861957">
        <w:rPr>
          <w:color w:val="000000"/>
          <w:shd w:val="clear" w:color="auto" w:fill="FFFFFF"/>
        </w:rPr>
        <w:t>optimization of staff numbers</w:t>
      </w:r>
      <w:r w:rsidRPr="00861957">
        <w:rPr>
          <w:color w:val="000000"/>
          <w:shd w:val="clear" w:color="auto" w:fill="FFFFFF"/>
        </w:rPr>
        <w:t xml:space="preserve"> and the organi</w:t>
      </w:r>
      <w:r w:rsidR="000F002C" w:rsidRPr="00861957">
        <w:rPr>
          <w:color w:val="000000"/>
          <w:shd w:val="clear" w:color="auto" w:fill="FFFFFF"/>
        </w:rPr>
        <w:t>z</w:t>
      </w:r>
      <w:r w:rsidRPr="00861957">
        <w:rPr>
          <w:color w:val="000000"/>
          <w:shd w:val="clear" w:color="auto" w:fill="FFFFFF"/>
        </w:rPr>
        <w:t xml:space="preserve">ational structure of the </w:t>
      </w:r>
      <w:r w:rsidR="00470795" w:rsidRPr="00861957">
        <w:rPr>
          <w:color w:val="000000"/>
          <w:shd w:val="clear" w:color="auto" w:fill="FFFFFF"/>
        </w:rPr>
        <w:t>n</w:t>
      </w:r>
      <w:r w:rsidRPr="00861957">
        <w:rPr>
          <w:color w:val="000000"/>
          <w:shd w:val="clear" w:color="auto" w:fill="FFFFFF"/>
        </w:rPr>
        <w:t xml:space="preserve">ational </w:t>
      </w:r>
      <w:r w:rsidR="00470795" w:rsidRPr="00861957">
        <w:rPr>
          <w:color w:val="000000"/>
          <w:shd w:val="clear" w:color="auto" w:fill="FFFFFF"/>
        </w:rPr>
        <w:t>s</w:t>
      </w:r>
      <w:r w:rsidRPr="00861957">
        <w:rPr>
          <w:color w:val="000000"/>
          <w:shd w:val="clear" w:color="auto" w:fill="FFFFFF"/>
        </w:rPr>
        <w:t>tatistical</w:t>
      </w:r>
      <w:r w:rsidR="00470795" w:rsidRPr="00861957">
        <w:rPr>
          <w:color w:val="000000"/>
          <w:shd w:val="clear" w:color="auto" w:fill="FFFFFF"/>
        </w:rPr>
        <w:t xml:space="preserve"> system</w:t>
      </w:r>
      <w:r w:rsidR="006B7FBE" w:rsidRPr="00861957">
        <w:rPr>
          <w:color w:val="000000"/>
          <w:shd w:val="clear" w:color="auto" w:fill="FFFFFF"/>
        </w:rPr>
        <w:t>.</w:t>
      </w:r>
      <w:r w:rsidRPr="00861957">
        <w:rPr>
          <w:rStyle w:val="FootnoteReference"/>
          <w:color w:val="000000"/>
          <w:shd w:val="clear" w:color="auto" w:fill="FFFFFF"/>
        </w:rPr>
        <w:footnoteReference w:id="5"/>
      </w:r>
      <w:r w:rsidRPr="00861957">
        <w:rPr>
          <w:color w:val="000000"/>
          <w:shd w:val="clear" w:color="auto" w:fill="FFFFFF"/>
        </w:rPr>
        <w:t xml:space="preserve"> </w:t>
      </w:r>
      <w:r w:rsidR="00470795" w:rsidRPr="00861957">
        <w:rPr>
          <w:color w:val="000000"/>
          <w:shd w:val="clear" w:color="auto" w:fill="FFFFFF"/>
        </w:rPr>
        <w:t>UNECE’s</w:t>
      </w:r>
      <w:r w:rsidRPr="00861957">
        <w:rPr>
          <w:color w:val="000000"/>
          <w:shd w:val="clear" w:color="auto" w:fill="FFFFFF"/>
        </w:rPr>
        <w:t xml:space="preserve"> assessment team recommended t</w:t>
      </w:r>
      <w:r w:rsidR="006B7FBE" w:rsidRPr="00861957">
        <w:rPr>
          <w:color w:val="000000"/>
          <w:shd w:val="clear" w:color="auto" w:fill="FFFFFF"/>
        </w:rPr>
        <w:t>hat</w:t>
      </w:r>
      <w:r w:rsidRPr="00861957">
        <w:rPr>
          <w:color w:val="000000"/>
          <w:shd w:val="clear" w:color="auto" w:fill="FFFFFF"/>
        </w:rPr>
        <w:t xml:space="preserve"> the emphasis on </w:t>
      </w:r>
      <w:r w:rsidR="006B7FBE" w:rsidRPr="00861957">
        <w:rPr>
          <w:color w:val="000000"/>
          <w:shd w:val="clear" w:color="auto" w:fill="FFFFFF"/>
        </w:rPr>
        <w:t xml:space="preserve">the </w:t>
      </w:r>
      <w:r w:rsidRPr="00861957">
        <w:rPr>
          <w:color w:val="000000"/>
          <w:shd w:val="clear" w:color="auto" w:fill="FFFFFF"/>
        </w:rPr>
        <w:t>quality of analytical products</w:t>
      </w:r>
      <w:r w:rsidR="006B7FBE" w:rsidRPr="00861957">
        <w:rPr>
          <w:color w:val="000000"/>
          <w:shd w:val="clear" w:color="auto" w:fill="FFFFFF"/>
        </w:rPr>
        <w:t xml:space="preserve"> should be strengthened</w:t>
      </w:r>
      <w:r w:rsidRPr="00861957">
        <w:rPr>
          <w:color w:val="000000"/>
          <w:shd w:val="clear" w:color="auto" w:fill="FFFFFF"/>
        </w:rPr>
        <w:t xml:space="preserve">, </w:t>
      </w:r>
      <w:r w:rsidR="006B7FBE" w:rsidRPr="00861957">
        <w:rPr>
          <w:color w:val="000000"/>
          <w:shd w:val="clear" w:color="auto" w:fill="FFFFFF"/>
        </w:rPr>
        <w:t xml:space="preserve">that </w:t>
      </w:r>
      <w:r w:rsidRPr="00861957">
        <w:rPr>
          <w:color w:val="000000"/>
          <w:shd w:val="clear" w:color="auto" w:fill="FFFFFF"/>
        </w:rPr>
        <w:t>all</w:t>
      </w:r>
      <w:r w:rsidR="00470795" w:rsidRPr="00861957">
        <w:rPr>
          <w:color w:val="000000"/>
          <w:shd w:val="clear" w:color="auto" w:fill="FFFFFF"/>
        </w:rPr>
        <w:t xml:space="preserve"> official</w:t>
      </w:r>
      <w:r w:rsidRPr="00861957">
        <w:rPr>
          <w:color w:val="000000"/>
          <w:shd w:val="clear" w:color="auto" w:fill="FFFFFF"/>
        </w:rPr>
        <w:t xml:space="preserve"> statistical information </w:t>
      </w:r>
      <w:r w:rsidR="006B7FBE" w:rsidRPr="00861957">
        <w:rPr>
          <w:color w:val="000000"/>
          <w:shd w:val="clear" w:color="auto" w:fill="FFFFFF"/>
        </w:rPr>
        <w:t xml:space="preserve">should be published </w:t>
      </w:r>
      <w:r w:rsidRPr="00861957">
        <w:rPr>
          <w:color w:val="000000"/>
          <w:shd w:val="clear" w:color="auto" w:fill="FFFFFF"/>
        </w:rPr>
        <w:t xml:space="preserve">as soon as possible and </w:t>
      </w:r>
      <w:r w:rsidR="006B7FBE" w:rsidRPr="00861957">
        <w:rPr>
          <w:color w:val="000000"/>
          <w:shd w:val="clear" w:color="auto" w:fill="FFFFFF"/>
        </w:rPr>
        <w:t xml:space="preserve">that </w:t>
      </w:r>
      <w:r w:rsidRPr="00861957">
        <w:rPr>
          <w:color w:val="000000"/>
          <w:shd w:val="clear" w:color="auto" w:fill="FFFFFF"/>
        </w:rPr>
        <w:t xml:space="preserve">the list of institutions </w:t>
      </w:r>
      <w:r w:rsidR="006B7FBE" w:rsidRPr="00861957">
        <w:rPr>
          <w:color w:val="000000"/>
          <w:shd w:val="clear" w:color="auto" w:fill="FFFFFF"/>
        </w:rPr>
        <w:t xml:space="preserve">that </w:t>
      </w:r>
      <w:r w:rsidRPr="00861957">
        <w:rPr>
          <w:color w:val="000000"/>
          <w:shd w:val="clear" w:color="auto" w:fill="FFFFFF"/>
        </w:rPr>
        <w:t>provide data sets for analysis</w:t>
      </w:r>
      <w:r w:rsidR="006B7FBE" w:rsidRPr="00861957">
        <w:rPr>
          <w:color w:val="000000"/>
          <w:shd w:val="clear" w:color="auto" w:fill="FFFFFF"/>
        </w:rPr>
        <w:t xml:space="preserve"> should be revealed</w:t>
      </w:r>
      <w:r w:rsidRPr="00861957">
        <w:rPr>
          <w:color w:val="000000"/>
          <w:shd w:val="clear" w:color="auto" w:fill="FFFFFF"/>
        </w:rPr>
        <w:t xml:space="preserve">. </w:t>
      </w:r>
    </w:p>
    <w:p w14:paraId="510FE7EA" w14:textId="77777777" w:rsidR="00195563" w:rsidRPr="00861957" w:rsidRDefault="00195563" w:rsidP="00DF3C2C">
      <w:pPr>
        <w:jc w:val="both"/>
        <w:rPr>
          <w:color w:val="000000"/>
          <w:shd w:val="clear" w:color="auto" w:fill="FFFFFF"/>
        </w:rPr>
      </w:pPr>
    </w:p>
    <w:p w14:paraId="6A40EA86" w14:textId="61914416" w:rsidR="00DF3C2C" w:rsidRPr="00861957" w:rsidRDefault="00DF3C2C" w:rsidP="00DF3C2C">
      <w:pPr>
        <w:jc w:val="both"/>
      </w:pPr>
      <w:r w:rsidRPr="00861957">
        <w:rPr>
          <w:color w:val="000000"/>
          <w:shd w:val="clear" w:color="auto" w:fill="FFFFFF"/>
        </w:rPr>
        <w:t>To further strengthen the</w:t>
      </w:r>
      <w:r w:rsidR="00A04359" w:rsidRPr="00861957">
        <w:rPr>
          <w:color w:val="000000"/>
          <w:shd w:val="clear" w:color="auto" w:fill="FFFFFF"/>
        </w:rPr>
        <w:t xml:space="preserve"> capacity of the national statistical system, </w:t>
      </w:r>
      <w:r w:rsidR="00092662" w:rsidRPr="00861957">
        <w:rPr>
          <w:color w:val="000000"/>
          <w:shd w:val="clear" w:color="auto" w:fill="FFFFFF"/>
        </w:rPr>
        <w:t xml:space="preserve">UNICEF, </w:t>
      </w:r>
      <w:r w:rsidRPr="00861957">
        <w:rPr>
          <w:color w:val="000000"/>
          <w:shd w:val="clear" w:color="auto" w:fill="FFFFFF"/>
        </w:rPr>
        <w:t>UNFPA</w:t>
      </w:r>
      <w:r w:rsidR="0071643B" w:rsidRPr="0071643B">
        <w:rPr>
          <w:color w:val="000000"/>
          <w:shd w:val="clear" w:color="auto" w:fill="FFFFFF"/>
          <w:lang w:val="en-US"/>
        </w:rPr>
        <w:t>,</w:t>
      </w:r>
      <w:r w:rsidR="00092662" w:rsidRPr="00861957">
        <w:rPr>
          <w:color w:val="000000"/>
          <w:shd w:val="clear" w:color="auto" w:fill="FFFFFF"/>
        </w:rPr>
        <w:t xml:space="preserve"> UNECE</w:t>
      </w:r>
      <w:r w:rsidR="0071643B" w:rsidRPr="0071643B">
        <w:rPr>
          <w:color w:val="000000"/>
          <w:shd w:val="clear" w:color="auto" w:fill="FFFFFF"/>
          <w:lang w:val="en-US"/>
        </w:rPr>
        <w:t xml:space="preserve"> </w:t>
      </w:r>
      <w:r w:rsidR="0071643B">
        <w:rPr>
          <w:color w:val="000000"/>
          <w:shd w:val="clear" w:color="auto" w:fill="FFFFFF"/>
          <w:lang w:val="en-US"/>
        </w:rPr>
        <w:t>and UNWTO</w:t>
      </w:r>
      <w:r w:rsidRPr="00861957">
        <w:rPr>
          <w:color w:val="000000"/>
          <w:shd w:val="clear" w:color="auto" w:fill="FFFFFF"/>
        </w:rPr>
        <w:t xml:space="preserve"> </w:t>
      </w:r>
      <w:r w:rsidR="00A04359" w:rsidRPr="00861957">
        <w:rPr>
          <w:color w:val="000000"/>
          <w:shd w:val="clear" w:color="auto" w:fill="FFFFFF"/>
        </w:rPr>
        <w:t xml:space="preserve">will assist the Government in aligning </w:t>
      </w:r>
      <w:r w:rsidR="006B7FBE" w:rsidRPr="00861957">
        <w:t xml:space="preserve">survey tools, </w:t>
      </w:r>
      <w:r w:rsidR="00A04359" w:rsidRPr="00861957">
        <w:t xml:space="preserve">procedures and systems for </w:t>
      </w:r>
      <w:r w:rsidR="006B7FBE" w:rsidRPr="00861957">
        <w:t xml:space="preserve">the collection of </w:t>
      </w:r>
      <w:r w:rsidR="00470795" w:rsidRPr="00861957">
        <w:t xml:space="preserve">official </w:t>
      </w:r>
      <w:r w:rsidR="00A04359" w:rsidRPr="00861957">
        <w:t>statistical data</w:t>
      </w:r>
      <w:r w:rsidR="006B7FBE" w:rsidRPr="00861957">
        <w:t>,</w:t>
      </w:r>
      <w:r w:rsidR="00A04359" w:rsidRPr="00861957">
        <w:t xml:space="preserve"> and the distribution modes </w:t>
      </w:r>
      <w:r w:rsidR="006B7FBE" w:rsidRPr="00861957">
        <w:rPr>
          <w:color w:val="000000"/>
          <w:kern w:val="24"/>
        </w:rPr>
        <w:t>for</w:t>
      </w:r>
      <w:r w:rsidR="00A04359" w:rsidRPr="00861957">
        <w:rPr>
          <w:color w:val="000000"/>
          <w:kern w:val="24"/>
        </w:rPr>
        <w:t xml:space="preserve"> official statistical reporting data</w:t>
      </w:r>
      <w:r w:rsidR="00EF587C" w:rsidRPr="00861957">
        <w:rPr>
          <w:color w:val="000000"/>
          <w:kern w:val="24"/>
        </w:rPr>
        <w:t xml:space="preserve"> with </w:t>
      </w:r>
      <w:r w:rsidR="00EF587C" w:rsidRPr="00861957">
        <w:t xml:space="preserve">international standards and </w:t>
      </w:r>
      <w:r w:rsidR="00621DE1" w:rsidRPr="00861957">
        <w:t xml:space="preserve">best </w:t>
      </w:r>
      <w:r w:rsidR="00EF587C" w:rsidRPr="00861957">
        <w:t>practices</w:t>
      </w:r>
      <w:r w:rsidR="00A04359" w:rsidRPr="00861957">
        <w:rPr>
          <w:color w:val="000000"/>
          <w:kern w:val="24"/>
        </w:rPr>
        <w:t>, including gender statistics</w:t>
      </w:r>
      <w:r w:rsidR="00EF587C" w:rsidRPr="00861957">
        <w:rPr>
          <w:color w:val="000000"/>
          <w:kern w:val="24"/>
        </w:rPr>
        <w:t xml:space="preserve">, data on the situation </w:t>
      </w:r>
      <w:r w:rsidR="00621DE1" w:rsidRPr="00861957">
        <w:rPr>
          <w:color w:val="000000"/>
          <w:kern w:val="24"/>
        </w:rPr>
        <w:t>of</w:t>
      </w:r>
      <w:r w:rsidR="00EF587C" w:rsidRPr="00861957">
        <w:rPr>
          <w:color w:val="000000"/>
          <w:kern w:val="24"/>
        </w:rPr>
        <w:t xml:space="preserve"> children</w:t>
      </w:r>
      <w:r w:rsidR="0071643B">
        <w:rPr>
          <w:color w:val="000000"/>
          <w:kern w:val="24"/>
        </w:rPr>
        <w:t>, tourism statistics</w:t>
      </w:r>
      <w:r w:rsidR="00EF587C" w:rsidRPr="00861957">
        <w:rPr>
          <w:color w:val="000000"/>
          <w:kern w:val="24"/>
        </w:rPr>
        <w:t xml:space="preserve"> </w:t>
      </w:r>
      <w:r w:rsidR="00092662" w:rsidRPr="00861957">
        <w:rPr>
          <w:color w:val="000000"/>
          <w:kern w:val="24"/>
        </w:rPr>
        <w:t xml:space="preserve">and indicators for monitoring progress towards the Sustainable Development Goals </w:t>
      </w:r>
      <w:r w:rsidR="006B7FBE" w:rsidRPr="00861957">
        <w:rPr>
          <w:color w:val="000000"/>
          <w:kern w:val="24"/>
        </w:rPr>
        <w:t>(</w:t>
      </w:r>
      <w:r w:rsidR="00092662" w:rsidRPr="00861957">
        <w:rPr>
          <w:color w:val="000000"/>
          <w:kern w:val="24"/>
        </w:rPr>
        <w:t>SDGs</w:t>
      </w:r>
      <w:r w:rsidR="006B7FBE" w:rsidRPr="00861957">
        <w:rPr>
          <w:color w:val="000000"/>
          <w:kern w:val="24"/>
        </w:rPr>
        <w:t>)</w:t>
      </w:r>
      <w:r w:rsidR="000D13B4" w:rsidRPr="00861957">
        <w:t xml:space="preserve">. </w:t>
      </w:r>
      <w:r w:rsidR="006B7FBE" w:rsidRPr="00861957">
        <w:t>In addition</w:t>
      </w:r>
      <w:r w:rsidR="000D13B4" w:rsidRPr="00861957">
        <w:t>, UNFPA will provide expert support in conduct</w:t>
      </w:r>
      <w:r w:rsidR="00A037CA" w:rsidRPr="00861957">
        <w:t xml:space="preserve">ing the national census in 2019, population projections and further disaggregation of population-related data. </w:t>
      </w:r>
      <w:r w:rsidR="00A04359" w:rsidRPr="00861957">
        <w:t xml:space="preserve">This will provide </w:t>
      </w:r>
      <w:r w:rsidRPr="00861957">
        <w:rPr>
          <w:color w:val="000000"/>
          <w:shd w:val="clear" w:color="auto" w:fill="FFFFFF"/>
        </w:rPr>
        <w:t>an opportunity for government institutions to adopt a more eviden</w:t>
      </w:r>
      <w:r w:rsidR="000D13B4" w:rsidRPr="00861957">
        <w:rPr>
          <w:color w:val="000000"/>
          <w:shd w:val="clear" w:color="auto" w:fill="FFFFFF"/>
        </w:rPr>
        <w:t xml:space="preserve">ce-based policy-making approach, including on social and population policies, </w:t>
      </w:r>
      <w:r w:rsidRPr="00861957">
        <w:rPr>
          <w:color w:val="000000"/>
          <w:shd w:val="clear" w:color="auto" w:fill="FFFFFF"/>
        </w:rPr>
        <w:t xml:space="preserve">based on </w:t>
      </w:r>
      <w:r w:rsidR="000D13B4" w:rsidRPr="00861957">
        <w:rPr>
          <w:color w:val="000000"/>
          <w:shd w:val="clear" w:color="auto" w:fill="FFFFFF"/>
        </w:rPr>
        <w:t xml:space="preserve">comprehensive, </w:t>
      </w:r>
      <w:r w:rsidRPr="00861957">
        <w:rPr>
          <w:color w:val="000000"/>
          <w:shd w:val="clear" w:color="auto" w:fill="FFFFFF"/>
        </w:rPr>
        <w:t>timely and disaggregated dat</w:t>
      </w:r>
      <w:r w:rsidR="0041198C" w:rsidRPr="00861957">
        <w:rPr>
          <w:color w:val="000000"/>
          <w:shd w:val="clear" w:color="auto" w:fill="FFFFFF"/>
        </w:rPr>
        <w:t xml:space="preserve">a. Such measures would </w:t>
      </w:r>
      <w:r w:rsidR="006B7FBE" w:rsidRPr="00861957">
        <w:rPr>
          <w:color w:val="000000"/>
          <w:shd w:val="clear" w:color="auto" w:fill="FFFFFF"/>
        </w:rPr>
        <w:t xml:space="preserve">enable </w:t>
      </w:r>
      <w:r w:rsidRPr="00861957">
        <w:rPr>
          <w:color w:val="000000"/>
          <w:shd w:val="clear" w:color="auto" w:fill="FFFFFF"/>
        </w:rPr>
        <w:t xml:space="preserve">the population, civil society and </w:t>
      </w:r>
      <w:r w:rsidR="006B7FBE" w:rsidRPr="00861957">
        <w:rPr>
          <w:color w:val="000000"/>
          <w:shd w:val="clear" w:color="auto" w:fill="FFFFFF"/>
        </w:rPr>
        <w:t xml:space="preserve">the </w:t>
      </w:r>
      <w:r w:rsidRPr="00861957">
        <w:rPr>
          <w:color w:val="000000"/>
          <w:shd w:val="clear" w:color="auto" w:fill="FFFFFF"/>
        </w:rPr>
        <w:t xml:space="preserve">private sector </w:t>
      </w:r>
      <w:r w:rsidR="006B7FBE" w:rsidRPr="00861957">
        <w:rPr>
          <w:color w:val="000000"/>
          <w:shd w:val="clear" w:color="auto" w:fill="FFFFFF"/>
        </w:rPr>
        <w:t xml:space="preserve">to place greater trust </w:t>
      </w:r>
      <w:r w:rsidRPr="00861957">
        <w:rPr>
          <w:color w:val="000000"/>
          <w:shd w:val="clear" w:color="auto" w:fill="FFFFFF"/>
        </w:rPr>
        <w:t xml:space="preserve">in the </w:t>
      </w:r>
      <w:r w:rsidR="00A04359" w:rsidRPr="00861957">
        <w:rPr>
          <w:color w:val="000000"/>
          <w:shd w:val="clear" w:color="auto" w:fill="FFFFFF"/>
        </w:rPr>
        <w:t>state</w:t>
      </w:r>
      <w:r w:rsidRPr="00861957">
        <w:rPr>
          <w:color w:val="000000"/>
          <w:shd w:val="clear" w:color="auto" w:fill="FFFFFF"/>
        </w:rPr>
        <w:t xml:space="preserve"> and </w:t>
      </w:r>
      <w:r w:rsidR="006B7FBE" w:rsidRPr="00861957">
        <w:rPr>
          <w:color w:val="000000"/>
          <w:shd w:val="clear" w:color="auto" w:fill="FFFFFF"/>
        </w:rPr>
        <w:t xml:space="preserve">enhance </w:t>
      </w:r>
      <w:r w:rsidRPr="00861957">
        <w:rPr>
          <w:color w:val="000000"/>
          <w:shd w:val="clear" w:color="auto" w:fill="FFFFFF"/>
        </w:rPr>
        <w:t>their understanding of government priorities.</w:t>
      </w:r>
    </w:p>
    <w:p w14:paraId="577213CF" w14:textId="77777777" w:rsidR="00D276D8" w:rsidRPr="00861957" w:rsidRDefault="00D276D8" w:rsidP="00DF3C2C">
      <w:pPr>
        <w:jc w:val="both"/>
        <w:rPr>
          <w:color w:val="000000"/>
          <w:shd w:val="clear" w:color="auto" w:fill="FFFFFF"/>
        </w:rPr>
      </w:pPr>
    </w:p>
    <w:p w14:paraId="4E6ED313" w14:textId="6C2E7A74" w:rsidR="007D0DEF" w:rsidRPr="00861957" w:rsidRDefault="00D276D8" w:rsidP="00DF3C2C">
      <w:pPr>
        <w:jc w:val="both"/>
        <w:rPr>
          <w:color w:val="000000"/>
        </w:rPr>
      </w:pPr>
      <w:r w:rsidRPr="00861957">
        <w:rPr>
          <w:color w:val="000000"/>
        </w:rPr>
        <w:t>The UNCT has assisted the Government in cons</w:t>
      </w:r>
      <w:r w:rsidR="00AC4B76" w:rsidRPr="00861957">
        <w:rPr>
          <w:color w:val="000000"/>
        </w:rPr>
        <w:t xml:space="preserve">idering the establishment of a national </w:t>
      </w:r>
      <w:r w:rsidRPr="00861957">
        <w:rPr>
          <w:color w:val="000000"/>
        </w:rPr>
        <w:t>human rights institution conforming to the Paris Principles</w:t>
      </w:r>
      <w:r w:rsidR="006B7FBE" w:rsidRPr="00861957">
        <w:rPr>
          <w:color w:val="000000"/>
        </w:rPr>
        <w:t>,</w:t>
      </w:r>
      <w:r w:rsidRPr="00861957">
        <w:rPr>
          <w:rStyle w:val="FootnoteReference"/>
          <w:color w:val="000000"/>
        </w:rPr>
        <w:footnoteReference w:id="6"/>
      </w:r>
      <w:r w:rsidRPr="00861957">
        <w:rPr>
          <w:color w:val="000000"/>
        </w:rPr>
        <w:t xml:space="preserve"> in line with UPR recommendation 97.4. </w:t>
      </w:r>
      <w:r w:rsidRPr="00861957">
        <w:rPr>
          <w:bCs/>
        </w:rPr>
        <w:t xml:space="preserve">In July 2014 the MFA, the RC Office, UNDP and </w:t>
      </w:r>
      <w:r w:rsidRPr="00861957">
        <w:t>the CoE co-organi</w:t>
      </w:r>
      <w:r w:rsidR="000F002C" w:rsidRPr="00861957">
        <w:t>z</w:t>
      </w:r>
      <w:r w:rsidRPr="00861957">
        <w:t xml:space="preserve">ed an international workshop </w:t>
      </w:r>
      <w:r w:rsidR="006B7FBE" w:rsidRPr="00861957">
        <w:t xml:space="preserve">entitled </w:t>
      </w:r>
      <w:r w:rsidRPr="00861957">
        <w:t xml:space="preserve">‘National Human Rights Institutions: Establishment and Functioning’. </w:t>
      </w:r>
      <w:r w:rsidRPr="00861957">
        <w:rPr>
          <w:color w:val="000000"/>
        </w:rPr>
        <w:t xml:space="preserve">At the seminar, it was agreed to conduct </w:t>
      </w:r>
      <w:r w:rsidR="006B7FBE" w:rsidRPr="00861957">
        <w:rPr>
          <w:color w:val="000000"/>
        </w:rPr>
        <w:t xml:space="preserve">a </w:t>
      </w:r>
      <w:r w:rsidRPr="00861957">
        <w:rPr>
          <w:color w:val="000000"/>
        </w:rPr>
        <w:t xml:space="preserve">joint ‘Systematic Research Study to Assess the Added Value of Setting Up a National Human Rights Institution </w:t>
      </w:r>
      <w:r w:rsidR="00E3211A" w:rsidRPr="00861957">
        <w:rPr>
          <w:color w:val="000000"/>
        </w:rPr>
        <w:t xml:space="preserve">(NHRI) </w:t>
      </w:r>
      <w:r w:rsidRPr="00861957">
        <w:rPr>
          <w:color w:val="000000"/>
        </w:rPr>
        <w:t>in Belarus’</w:t>
      </w:r>
      <w:r w:rsidR="006B7FBE" w:rsidRPr="00861957">
        <w:rPr>
          <w:color w:val="000000"/>
        </w:rPr>
        <w:t>,</w:t>
      </w:r>
      <w:r w:rsidRPr="00861957">
        <w:rPr>
          <w:color w:val="000000"/>
        </w:rPr>
        <w:t xml:space="preserve"> under the auspices of the Government and supported by the UN and the </w:t>
      </w:r>
      <w:r w:rsidR="00AC4B76" w:rsidRPr="00861957">
        <w:rPr>
          <w:color w:val="000000"/>
        </w:rPr>
        <w:t>Council of Europe</w:t>
      </w:r>
      <w:r w:rsidR="00DE391C" w:rsidRPr="00861957">
        <w:rPr>
          <w:color w:val="000000"/>
        </w:rPr>
        <w:t>.</w:t>
      </w:r>
      <w:r w:rsidRPr="00861957">
        <w:rPr>
          <w:color w:val="000000"/>
        </w:rPr>
        <w:t xml:space="preserve"> </w:t>
      </w:r>
      <w:r w:rsidR="00E3211A" w:rsidRPr="00861957">
        <w:t>OHCHR is ready to provide technical assistance towards the establishing of a</w:t>
      </w:r>
      <w:r w:rsidR="006B7FBE" w:rsidRPr="00861957">
        <w:t>n</w:t>
      </w:r>
      <w:r w:rsidR="00E3211A" w:rsidRPr="00861957">
        <w:t xml:space="preserve"> NHRI in compliance with the Paris Principles and in line </w:t>
      </w:r>
      <w:r w:rsidR="006D74F6" w:rsidRPr="00861957">
        <w:t xml:space="preserve">with the </w:t>
      </w:r>
      <w:r w:rsidR="006B7FBE" w:rsidRPr="00861957">
        <w:t xml:space="preserve">recommendations of </w:t>
      </w:r>
      <w:r w:rsidR="00E3211A" w:rsidRPr="00861957">
        <w:t>the UPR.</w:t>
      </w:r>
    </w:p>
    <w:p w14:paraId="0CA468CE" w14:textId="77777777" w:rsidR="007D0DEF" w:rsidRPr="00861957" w:rsidRDefault="007D0DEF" w:rsidP="00DF3C2C">
      <w:pPr>
        <w:jc w:val="both"/>
        <w:rPr>
          <w:color w:val="000000"/>
        </w:rPr>
      </w:pPr>
    </w:p>
    <w:p w14:paraId="1A5565B4" w14:textId="701364B4" w:rsidR="00AF3F03" w:rsidRPr="00861957" w:rsidRDefault="00AF3F03" w:rsidP="00DF3C2C">
      <w:pPr>
        <w:jc w:val="both"/>
        <w:rPr>
          <w:color w:val="000000" w:themeColor="text1"/>
        </w:rPr>
      </w:pPr>
      <w:r w:rsidRPr="00861957">
        <w:rPr>
          <w:color w:val="000000" w:themeColor="text1"/>
        </w:rPr>
        <w:t xml:space="preserve">UNICEF will support the </w:t>
      </w:r>
      <w:r w:rsidR="006B7FBE" w:rsidRPr="00861957">
        <w:rPr>
          <w:color w:val="000000" w:themeColor="text1"/>
        </w:rPr>
        <w:t xml:space="preserve">country’s </w:t>
      </w:r>
      <w:r w:rsidRPr="00861957">
        <w:rPr>
          <w:color w:val="000000" w:themeColor="text1"/>
        </w:rPr>
        <w:t xml:space="preserve">efforts </w:t>
      </w:r>
      <w:r w:rsidR="006B7FBE" w:rsidRPr="00861957">
        <w:rPr>
          <w:color w:val="000000" w:themeColor="text1"/>
        </w:rPr>
        <w:t xml:space="preserve">in </w:t>
      </w:r>
      <w:r w:rsidRPr="00861957">
        <w:rPr>
          <w:color w:val="000000" w:themeColor="text1"/>
        </w:rPr>
        <w:t>bringing the national legislation into compliance with international standards in relation to children in conflict with the law and in line with the UN approach</w:t>
      </w:r>
      <w:r w:rsidR="006B7FBE" w:rsidRPr="00861957">
        <w:rPr>
          <w:color w:val="000000" w:themeColor="text1"/>
        </w:rPr>
        <w:t>es</w:t>
      </w:r>
      <w:r w:rsidRPr="00861957">
        <w:rPr>
          <w:color w:val="000000" w:themeColor="text1"/>
        </w:rPr>
        <w:t xml:space="preserve"> to</w:t>
      </w:r>
      <w:r w:rsidR="009B4450">
        <w:rPr>
          <w:color w:val="000000" w:themeColor="text1"/>
        </w:rPr>
        <w:t xml:space="preserve"> bring</w:t>
      </w:r>
      <w:r w:rsidRPr="00861957">
        <w:rPr>
          <w:color w:val="000000" w:themeColor="text1"/>
        </w:rPr>
        <w:t xml:space="preserve"> justice for children, specialization in </w:t>
      </w:r>
      <w:r w:rsidR="006B7FBE" w:rsidRPr="00861957">
        <w:rPr>
          <w:color w:val="000000" w:themeColor="text1"/>
        </w:rPr>
        <w:t xml:space="preserve">the </w:t>
      </w:r>
      <w:r w:rsidRPr="00861957">
        <w:rPr>
          <w:color w:val="000000" w:themeColor="text1"/>
        </w:rPr>
        <w:t xml:space="preserve">justice system, mediation and probation services for </w:t>
      </w:r>
      <w:r w:rsidRPr="00861957">
        <w:rPr>
          <w:color w:val="000000" w:themeColor="text1"/>
        </w:rPr>
        <w:lastRenderedPageBreak/>
        <w:t>juvenile delinquents and their families, establishment of child rights monitoring mechanisms in line with the Paris Principles</w:t>
      </w:r>
      <w:r w:rsidR="009456FB" w:rsidRPr="00861957">
        <w:rPr>
          <w:color w:val="000000" w:themeColor="text1"/>
        </w:rPr>
        <w:t>, and</w:t>
      </w:r>
      <w:r w:rsidRPr="00861957">
        <w:rPr>
          <w:color w:val="000000" w:themeColor="text1"/>
        </w:rPr>
        <w:t xml:space="preserve"> improvement of the legislation in light of the UN Guidelines for the Alternative Care of Children.</w:t>
      </w:r>
    </w:p>
    <w:p w14:paraId="592B6D13" w14:textId="77777777" w:rsidR="00AF3F03" w:rsidRPr="00861957" w:rsidRDefault="00AF3F03" w:rsidP="00DF3C2C">
      <w:pPr>
        <w:jc w:val="both"/>
      </w:pPr>
    </w:p>
    <w:p w14:paraId="72046510" w14:textId="223335F6" w:rsidR="00D276D8" w:rsidRPr="00861957" w:rsidRDefault="007D0DEF" w:rsidP="00011AB9">
      <w:pPr>
        <w:jc w:val="both"/>
      </w:pPr>
      <w:r w:rsidRPr="00861957">
        <w:t xml:space="preserve">UNICEF will continue to support the scaling up of the Child Friendly City Initiative, facilitating </w:t>
      </w:r>
      <w:r w:rsidR="009456FB" w:rsidRPr="00861957">
        <w:t xml:space="preserve">the </w:t>
      </w:r>
      <w:r w:rsidRPr="00861957">
        <w:t xml:space="preserve">creation of </w:t>
      </w:r>
      <w:r w:rsidR="009456FB" w:rsidRPr="00861957">
        <w:t xml:space="preserve">a </w:t>
      </w:r>
      <w:r w:rsidRPr="00861957">
        <w:t xml:space="preserve">conducive environment for children’s development and participation, enhancing </w:t>
      </w:r>
      <w:r w:rsidR="009456FB" w:rsidRPr="00861957">
        <w:t xml:space="preserve">the </w:t>
      </w:r>
      <w:r w:rsidRPr="00861957">
        <w:t>effectiveness of local planning and budgeting, promoting inter-sectoral cooperation and interaction</w:t>
      </w:r>
      <w:r w:rsidR="009456FB" w:rsidRPr="00861957">
        <w:t xml:space="preserve"> at all levels</w:t>
      </w:r>
      <w:r w:rsidRPr="00861957">
        <w:t>.</w:t>
      </w:r>
      <w:r w:rsidR="000D53BB" w:rsidRPr="00861957">
        <w:t xml:space="preserve"> Special efforts will be made to ensure that the voices of children and adolescents are heard </w:t>
      </w:r>
      <w:r w:rsidRPr="00861957">
        <w:t xml:space="preserve">within the child </w:t>
      </w:r>
      <w:r w:rsidR="000D53BB" w:rsidRPr="00861957">
        <w:t>protection</w:t>
      </w:r>
      <w:r w:rsidRPr="00861957">
        <w:t xml:space="preserve"> system and, crucially, that </w:t>
      </w:r>
      <w:r w:rsidR="009456FB" w:rsidRPr="00861957">
        <w:t xml:space="preserve">young people’s </w:t>
      </w:r>
      <w:r w:rsidR="003138AF" w:rsidRPr="00861957">
        <w:t>participation in decision-making</w:t>
      </w:r>
      <w:r w:rsidRPr="00861957">
        <w:t xml:space="preserve"> regarding their lives is given higher priority in the country.</w:t>
      </w:r>
    </w:p>
    <w:p w14:paraId="2DA61DFC" w14:textId="77777777" w:rsidR="00C44CE6" w:rsidRPr="00861957" w:rsidRDefault="00C44CE6" w:rsidP="00C44CE6">
      <w:pPr>
        <w:jc w:val="both"/>
        <w:rPr>
          <w:color w:val="000000"/>
          <w:shd w:val="clear" w:color="auto" w:fill="FFFFFF"/>
        </w:rPr>
      </w:pPr>
    </w:p>
    <w:p w14:paraId="58D91A19" w14:textId="6693A964" w:rsidR="002E1ECE" w:rsidRPr="00861957" w:rsidRDefault="00137625" w:rsidP="007F4F2E">
      <w:pPr>
        <w:jc w:val="both"/>
      </w:pPr>
      <w:r w:rsidRPr="00861957">
        <w:t xml:space="preserve">While presenting its candidature to the Human Rights Council for the term 2007-2010, Belarus made a number of voluntary pledges and commitments pertaining to human rights. In addition, following the first Universal Periodic Review cycle in 2010, Belarus accepted 69 out of 93 recommendations </w:t>
      </w:r>
      <w:r w:rsidR="007F4F2E" w:rsidRPr="00861957">
        <w:t xml:space="preserve">relating to the promotion and protection of economic, social, civil and political rights, as well as </w:t>
      </w:r>
      <w:r w:rsidR="009456FB" w:rsidRPr="00861957">
        <w:t xml:space="preserve">the </w:t>
      </w:r>
      <w:r w:rsidR="007F4F2E" w:rsidRPr="00861957">
        <w:t>rights of women, children, disabled persons, refugees and migrants.</w:t>
      </w:r>
    </w:p>
    <w:p w14:paraId="1BCB0AD9" w14:textId="77777777" w:rsidR="007F4F2E" w:rsidRPr="00861957" w:rsidRDefault="007F4F2E" w:rsidP="00C44CE6">
      <w:pPr>
        <w:jc w:val="both"/>
      </w:pPr>
    </w:p>
    <w:p w14:paraId="576BF189" w14:textId="21A9D764" w:rsidR="002E1ECE" w:rsidRPr="00861957" w:rsidRDefault="002E1ECE" w:rsidP="002E1ECE">
      <w:pPr>
        <w:jc w:val="both"/>
      </w:pPr>
      <w:r w:rsidRPr="00861957">
        <w:rPr>
          <w:color w:val="000000"/>
        </w:rPr>
        <w:t xml:space="preserve">The UNCT </w:t>
      </w:r>
      <w:r w:rsidR="001E209C" w:rsidRPr="00861957">
        <w:rPr>
          <w:color w:val="000000"/>
        </w:rPr>
        <w:t xml:space="preserve">in </w:t>
      </w:r>
      <w:r w:rsidRPr="00861957">
        <w:rPr>
          <w:color w:val="000000"/>
        </w:rPr>
        <w:t xml:space="preserve">Belarus has worked closely with the Government to facilitate inclusive dialogue on the </w:t>
      </w:r>
      <w:r w:rsidR="006D74F6" w:rsidRPr="00861957">
        <w:rPr>
          <w:color w:val="000000"/>
        </w:rPr>
        <w:t xml:space="preserve">recommendations of the </w:t>
      </w:r>
      <w:r w:rsidRPr="00861957">
        <w:rPr>
          <w:color w:val="000000"/>
        </w:rPr>
        <w:t xml:space="preserve">UPR in 2013-2014. </w:t>
      </w:r>
      <w:r w:rsidR="007F4F2E" w:rsidRPr="00861957">
        <w:t>As per</w:t>
      </w:r>
      <w:r w:rsidR="006D74F6" w:rsidRPr="00861957">
        <w:t xml:space="preserve"> </w:t>
      </w:r>
      <w:r w:rsidR="007F4F2E" w:rsidRPr="00861957">
        <w:t xml:space="preserve">recommendation 97.41, the UNCT has supported the Government’s engagement with civil society and </w:t>
      </w:r>
      <w:r w:rsidR="006D74F6" w:rsidRPr="00861957">
        <w:t xml:space="preserve">the </w:t>
      </w:r>
      <w:r w:rsidR="007F4F2E" w:rsidRPr="00861957">
        <w:t xml:space="preserve">private sector on the </w:t>
      </w:r>
      <w:r w:rsidR="006D74F6" w:rsidRPr="00861957">
        <w:t xml:space="preserve">recommendations of the </w:t>
      </w:r>
      <w:r w:rsidR="007F4F2E" w:rsidRPr="00861957">
        <w:t xml:space="preserve">UPR. </w:t>
      </w:r>
      <w:r w:rsidRPr="00861957">
        <w:rPr>
          <w:color w:val="000000"/>
        </w:rPr>
        <w:t xml:space="preserve">The UN Resident Coordinator </w:t>
      </w:r>
      <w:r w:rsidR="00581D7B" w:rsidRPr="00861957">
        <w:rPr>
          <w:color w:val="000000"/>
        </w:rPr>
        <w:t xml:space="preserve">in Belarus </w:t>
      </w:r>
      <w:r w:rsidRPr="00861957">
        <w:rPr>
          <w:color w:val="000000"/>
        </w:rPr>
        <w:t xml:space="preserve">has encouraged the Government to consider the development of a comprehensive national human rights </w:t>
      </w:r>
      <w:r w:rsidR="005F6404" w:rsidRPr="00861957">
        <w:rPr>
          <w:color w:val="000000"/>
        </w:rPr>
        <w:t>action plan</w:t>
      </w:r>
      <w:r w:rsidRPr="00861957">
        <w:rPr>
          <w:color w:val="000000"/>
        </w:rPr>
        <w:t xml:space="preserve"> or a UPR implementation plan and the establishment of an inclusive advisory mechanism led by the Government and involving multiple stakeholders.</w:t>
      </w:r>
    </w:p>
    <w:p w14:paraId="631DF247" w14:textId="77777777" w:rsidR="002E1ECE" w:rsidRPr="00861957" w:rsidRDefault="007C0635" w:rsidP="007C0635">
      <w:pPr>
        <w:tabs>
          <w:tab w:val="left" w:pos="8220"/>
        </w:tabs>
        <w:jc w:val="both"/>
      </w:pPr>
      <w:r w:rsidRPr="00861957">
        <w:tab/>
      </w:r>
    </w:p>
    <w:p w14:paraId="0EE48203" w14:textId="1E872A52" w:rsidR="00880DC3" w:rsidRPr="00861957" w:rsidRDefault="002E1ECE" w:rsidP="00214901">
      <w:pPr>
        <w:jc w:val="both"/>
        <w:rPr>
          <w:color w:val="000000" w:themeColor="text1"/>
          <w:kern w:val="24"/>
        </w:rPr>
      </w:pPr>
      <w:r w:rsidRPr="00861957">
        <w:t>The UNCT plans to strengthen these efforts aimed at promoti</w:t>
      </w:r>
      <w:r w:rsidR="006D74F6" w:rsidRPr="00861957">
        <w:t>ng</w:t>
      </w:r>
      <w:r w:rsidRPr="00861957">
        <w:t xml:space="preserve"> and protecti</w:t>
      </w:r>
      <w:r w:rsidR="006D74F6" w:rsidRPr="00861957">
        <w:t>ng</w:t>
      </w:r>
      <w:r w:rsidRPr="00861957">
        <w:t xml:space="preserve"> human rights in the country through a number of additional measures during the course of the UNDAF 2016-2020. These include assist</w:t>
      </w:r>
      <w:r w:rsidR="006D74F6" w:rsidRPr="00861957">
        <w:t>ing</w:t>
      </w:r>
      <w:r w:rsidRPr="00861957">
        <w:t xml:space="preserve"> the Government in </w:t>
      </w:r>
      <w:r w:rsidRPr="00861957">
        <w:rPr>
          <w:color w:val="000000" w:themeColor="text1"/>
          <w:kern w:val="24"/>
        </w:rPr>
        <w:t xml:space="preserve">implementing the provisions of </w:t>
      </w:r>
      <w:r w:rsidR="006D74F6" w:rsidRPr="00861957">
        <w:rPr>
          <w:color w:val="000000" w:themeColor="text1"/>
          <w:kern w:val="24"/>
        </w:rPr>
        <w:t xml:space="preserve">the </w:t>
      </w:r>
      <w:r w:rsidRPr="00861957">
        <w:rPr>
          <w:color w:val="000000" w:themeColor="text1"/>
          <w:kern w:val="24"/>
        </w:rPr>
        <w:t>international agreements to which Belarus is a party, including implement</w:t>
      </w:r>
      <w:r w:rsidR="006D74F6" w:rsidRPr="00861957">
        <w:rPr>
          <w:color w:val="000000" w:themeColor="text1"/>
          <w:kern w:val="24"/>
        </w:rPr>
        <w:t>ing</w:t>
      </w:r>
      <w:r w:rsidRPr="00861957">
        <w:rPr>
          <w:color w:val="000000" w:themeColor="text1"/>
          <w:kern w:val="24"/>
        </w:rPr>
        <w:t xml:space="preserve"> </w:t>
      </w:r>
      <w:r w:rsidR="006D74F6" w:rsidRPr="00861957">
        <w:rPr>
          <w:color w:val="000000" w:themeColor="text1"/>
          <w:kern w:val="24"/>
        </w:rPr>
        <w:t xml:space="preserve">these </w:t>
      </w:r>
      <w:r w:rsidRPr="00861957">
        <w:rPr>
          <w:color w:val="000000" w:themeColor="text1"/>
          <w:kern w:val="24"/>
        </w:rPr>
        <w:t xml:space="preserve">provisions in judicial and enforcement practices, and </w:t>
      </w:r>
      <w:r w:rsidR="006D74F6" w:rsidRPr="00861957">
        <w:rPr>
          <w:color w:val="000000" w:themeColor="text1"/>
          <w:kern w:val="24"/>
        </w:rPr>
        <w:t xml:space="preserve">in acting on the </w:t>
      </w:r>
      <w:r w:rsidRPr="00861957">
        <w:rPr>
          <w:color w:val="000000" w:themeColor="text1"/>
          <w:kern w:val="24"/>
        </w:rPr>
        <w:t>recommendations of treaty bodies</w:t>
      </w:r>
      <w:r w:rsidR="003D529B" w:rsidRPr="00861957">
        <w:rPr>
          <w:color w:val="000000" w:themeColor="text1"/>
          <w:kern w:val="24"/>
        </w:rPr>
        <w:t xml:space="preserve"> in accordance with the reporting schedule. </w:t>
      </w:r>
      <w:r w:rsidR="00880DC3" w:rsidRPr="00861957">
        <w:t xml:space="preserve">UNFPA will provide expert support in </w:t>
      </w:r>
      <w:r w:rsidR="006D74F6" w:rsidRPr="00861957">
        <w:t xml:space="preserve">the </w:t>
      </w:r>
      <w:r w:rsidR="00880DC3" w:rsidRPr="00861957">
        <w:t>development of a new national programme on ensuring gender equality, capacity building for civil servants on gender-related issues</w:t>
      </w:r>
      <w:r w:rsidR="006D74F6" w:rsidRPr="00861957">
        <w:t>,</w:t>
      </w:r>
      <w:r w:rsidR="00880DC3" w:rsidRPr="00861957">
        <w:t xml:space="preserve"> and </w:t>
      </w:r>
      <w:r w:rsidR="006D74F6" w:rsidRPr="00861957">
        <w:t xml:space="preserve">the </w:t>
      </w:r>
      <w:r w:rsidR="00880DC3" w:rsidRPr="00861957">
        <w:t xml:space="preserve">mainstreaming </w:t>
      </w:r>
      <w:r w:rsidR="006D74F6" w:rsidRPr="00861957">
        <w:t xml:space="preserve">of gender </w:t>
      </w:r>
      <w:r w:rsidR="00880DC3" w:rsidRPr="00861957">
        <w:t>in national policies and programmes</w:t>
      </w:r>
      <w:r w:rsidR="0041198C" w:rsidRPr="00861957">
        <w:t>, including the population policy and its monitoring and evaluation system.</w:t>
      </w:r>
      <w:r w:rsidR="00195563" w:rsidRPr="00861957">
        <w:t xml:space="preserve"> UNICEF will promote </w:t>
      </w:r>
      <w:r w:rsidR="006D74F6" w:rsidRPr="00861957">
        <w:t xml:space="preserve">the </w:t>
      </w:r>
      <w:r w:rsidR="00195563" w:rsidRPr="00861957">
        <w:t>improvemen</w:t>
      </w:r>
      <w:r w:rsidR="006D74F6" w:rsidRPr="00861957">
        <w:t>t</w:t>
      </w:r>
      <w:r w:rsidR="00195563" w:rsidRPr="00861957">
        <w:t xml:space="preserve"> of </w:t>
      </w:r>
      <w:r w:rsidR="006D74F6" w:rsidRPr="00861957">
        <w:t xml:space="preserve">the </w:t>
      </w:r>
      <w:r w:rsidR="00195563" w:rsidRPr="00861957">
        <w:t>policy environment in the interest</w:t>
      </w:r>
      <w:r w:rsidR="006D74F6" w:rsidRPr="00861957">
        <w:t>s</w:t>
      </w:r>
      <w:r w:rsidR="00195563" w:rsidRPr="00861957">
        <w:t xml:space="preserve"> of children and awareness-raising on child rights.</w:t>
      </w:r>
      <w:r w:rsidR="005129A4" w:rsidRPr="00861957">
        <w:t xml:space="preserve"> UNDP will contribute to </w:t>
      </w:r>
      <w:r w:rsidR="006D74F6" w:rsidRPr="00861957">
        <w:t xml:space="preserve">Belarus’s </w:t>
      </w:r>
      <w:r w:rsidR="005129A4" w:rsidRPr="00861957">
        <w:t xml:space="preserve">accession </w:t>
      </w:r>
      <w:r w:rsidR="006D74F6" w:rsidRPr="00861957">
        <w:t xml:space="preserve">to </w:t>
      </w:r>
      <w:r w:rsidR="005129A4" w:rsidRPr="00861957">
        <w:t>the UN Convention on the Rights of Persons with Disabilities</w:t>
      </w:r>
      <w:r w:rsidR="006D74F6" w:rsidRPr="00861957">
        <w:t xml:space="preserve"> and the implementations of its provisions</w:t>
      </w:r>
      <w:r w:rsidR="005129A4" w:rsidRPr="00861957">
        <w:t>.</w:t>
      </w:r>
    </w:p>
    <w:p w14:paraId="6F5C5600" w14:textId="77777777" w:rsidR="00880DC3" w:rsidRPr="00861957" w:rsidRDefault="00880DC3" w:rsidP="00214901">
      <w:pPr>
        <w:jc w:val="both"/>
      </w:pPr>
    </w:p>
    <w:p w14:paraId="445C1E95" w14:textId="436D8CAF" w:rsidR="005916BB" w:rsidRPr="00861957" w:rsidRDefault="002E1ECE" w:rsidP="00214901">
      <w:pPr>
        <w:jc w:val="both"/>
      </w:pPr>
      <w:r w:rsidRPr="00861957">
        <w:t xml:space="preserve">Furthermore, </w:t>
      </w:r>
      <w:r w:rsidR="00214901" w:rsidRPr="00861957">
        <w:t>the UNCT will prioriti</w:t>
      </w:r>
      <w:r w:rsidR="000F002C" w:rsidRPr="00861957">
        <w:t>z</w:t>
      </w:r>
      <w:r w:rsidR="00214901" w:rsidRPr="00861957">
        <w:t xml:space="preserve">e raising awareness </w:t>
      </w:r>
      <w:r w:rsidR="006D74F6" w:rsidRPr="00861957">
        <w:t xml:space="preserve">within </w:t>
      </w:r>
      <w:r w:rsidR="00214901" w:rsidRPr="00861957">
        <w:t xml:space="preserve">government institutions, civil society and </w:t>
      </w:r>
      <w:r w:rsidR="006D74F6" w:rsidRPr="00861957">
        <w:t xml:space="preserve">the </w:t>
      </w:r>
      <w:r w:rsidR="00214901" w:rsidRPr="00861957">
        <w:t xml:space="preserve">private sector about </w:t>
      </w:r>
      <w:r w:rsidR="00214901" w:rsidRPr="00861957">
        <w:rPr>
          <w:color w:val="000000"/>
          <w:kern w:val="24"/>
        </w:rPr>
        <w:t>international reporting mechanisms, including the Universal Periodic Review</w:t>
      </w:r>
      <w:r w:rsidR="006D74F6" w:rsidRPr="00861957">
        <w:rPr>
          <w:color w:val="000000"/>
          <w:kern w:val="24"/>
        </w:rPr>
        <w:t>,</w:t>
      </w:r>
      <w:r w:rsidR="00214901" w:rsidRPr="00861957">
        <w:rPr>
          <w:color w:val="000000"/>
          <w:kern w:val="24"/>
        </w:rPr>
        <w:t xml:space="preserve"> and improved analysis and implementation of </w:t>
      </w:r>
      <w:r w:rsidR="006D74F6" w:rsidRPr="00861957">
        <w:rPr>
          <w:color w:val="000000"/>
          <w:kern w:val="24"/>
        </w:rPr>
        <w:t xml:space="preserve">the </w:t>
      </w:r>
      <w:r w:rsidR="00214901" w:rsidRPr="00861957">
        <w:rPr>
          <w:color w:val="000000"/>
          <w:kern w:val="24"/>
        </w:rPr>
        <w:t>recommendations made by international organi</w:t>
      </w:r>
      <w:r w:rsidR="000F002C" w:rsidRPr="00861957">
        <w:rPr>
          <w:color w:val="000000"/>
          <w:kern w:val="24"/>
        </w:rPr>
        <w:t>z</w:t>
      </w:r>
      <w:r w:rsidR="00214901" w:rsidRPr="00861957">
        <w:rPr>
          <w:color w:val="000000"/>
          <w:kern w:val="24"/>
        </w:rPr>
        <w:t xml:space="preserve">ations in the national practice at the </w:t>
      </w:r>
      <w:r w:rsidR="00214901" w:rsidRPr="00861957">
        <w:t>MFA’s request.</w:t>
      </w:r>
    </w:p>
    <w:p w14:paraId="1D0E1937" w14:textId="4AD3F5D3" w:rsidR="006D5E77" w:rsidRPr="00861957" w:rsidRDefault="006D5E77" w:rsidP="006D5E77">
      <w:pPr>
        <w:pStyle w:val="Heading2"/>
        <w:rPr>
          <w:sz w:val="32"/>
          <w:szCs w:val="32"/>
        </w:rPr>
      </w:pPr>
      <w:bookmarkStart w:id="19" w:name="_Toc405745114"/>
      <w:bookmarkStart w:id="20" w:name="_Toc412921075"/>
      <w:r w:rsidRPr="00861957">
        <w:rPr>
          <w:sz w:val="32"/>
          <w:szCs w:val="32"/>
        </w:rPr>
        <w:t>UNDAF Area of Cooperation 2: Sustainable Economic Development</w:t>
      </w:r>
      <w:bookmarkEnd w:id="19"/>
      <w:bookmarkEnd w:id="20"/>
    </w:p>
    <w:p w14:paraId="40EA19B7" w14:textId="55CB3E15" w:rsidR="007778DF" w:rsidRPr="00861957" w:rsidRDefault="00580A31" w:rsidP="00580A31">
      <w:pPr>
        <w:pStyle w:val="Caption"/>
        <w:jc w:val="both"/>
        <w:rPr>
          <w:color w:val="548DD4" w:themeColor="text2" w:themeTint="99"/>
          <w:sz w:val="24"/>
          <w:szCs w:val="24"/>
        </w:rPr>
      </w:pPr>
      <w:r w:rsidRPr="00861957">
        <w:rPr>
          <w:rFonts w:asciiTheme="majorHAnsi" w:eastAsiaTheme="majorEastAsia" w:hAnsiTheme="majorHAnsi" w:cstheme="majorBidi"/>
          <w:color w:val="4F81BD" w:themeColor="accent1"/>
          <w:sz w:val="32"/>
          <w:szCs w:val="32"/>
        </w:rPr>
        <w:br/>
      </w:r>
      <w:r w:rsidRPr="00861957">
        <w:rPr>
          <w:color w:val="548DD4" w:themeColor="text2" w:themeTint="99"/>
          <w:sz w:val="24"/>
          <w:szCs w:val="24"/>
        </w:rPr>
        <w:t xml:space="preserve">Sustainable Development Goals: </w:t>
      </w:r>
      <w:r w:rsidR="00EE2B9B" w:rsidRPr="00861957">
        <w:rPr>
          <w:b w:val="0"/>
          <w:color w:val="548DD4" w:themeColor="text2" w:themeTint="99"/>
          <w:sz w:val="24"/>
          <w:szCs w:val="24"/>
        </w:rPr>
        <w:t>to</w:t>
      </w:r>
      <w:r w:rsidR="00EE2B9B" w:rsidRPr="00861957">
        <w:rPr>
          <w:color w:val="548DD4" w:themeColor="text2" w:themeTint="99"/>
          <w:sz w:val="24"/>
          <w:szCs w:val="24"/>
        </w:rPr>
        <w:t xml:space="preserve"> </w:t>
      </w:r>
      <w:r w:rsidR="007778DF" w:rsidRPr="00861957">
        <w:rPr>
          <w:b w:val="0"/>
          <w:sz w:val="24"/>
          <w:szCs w:val="24"/>
        </w:rPr>
        <w:t xml:space="preserve">promote inclusive and sustainable economic growth, full and productive employment and decent work for all (8); </w:t>
      </w:r>
      <w:r w:rsidR="00EE2B9B" w:rsidRPr="00861957">
        <w:rPr>
          <w:b w:val="0"/>
          <w:sz w:val="24"/>
          <w:szCs w:val="24"/>
        </w:rPr>
        <w:t xml:space="preserve">to </w:t>
      </w:r>
      <w:r w:rsidR="007778DF" w:rsidRPr="00861957">
        <w:rPr>
          <w:b w:val="0"/>
          <w:sz w:val="24"/>
          <w:szCs w:val="24"/>
        </w:rPr>
        <w:t xml:space="preserve">build resilient infrastructure, promote inclusive and sustainable industrialization and foster innovation (9); </w:t>
      </w:r>
      <w:r w:rsidR="00EE2B9B" w:rsidRPr="00861957">
        <w:rPr>
          <w:b w:val="0"/>
          <w:sz w:val="24"/>
          <w:szCs w:val="24"/>
        </w:rPr>
        <w:t xml:space="preserve">to </w:t>
      </w:r>
      <w:r w:rsidR="007778DF" w:rsidRPr="00861957">
        <w:rPr>
          <w:b w:val="0"/>
          <w:sz w:val="24"/>
          <w:szCs w:val="24"/>
        </w:rPr>
        <w:t>ensure sustainable consumption and production patterns (12);</w:t>
      </w:r>
    </w:p>
    <w:p w14:paraId="6FE946F0" w14:textId="0BB8D393" w:rsidR="007778DF" w:rsidRPr="00861957" w:rsidRDefault="000B47C6" w:rsidP="00580A31">
      <w:pPr>
        <w:jc w:val="both"/>
      </w:pPr>
      <w:r>
        <w:rPr>
          <w:b/>
          <w:color w:val="548DD4" w:themeColor="text2" w:themeTint="99"/>
        </w:rPr>
        <w:t>NSSSED</w:t>
      </w:r>
      <w:r w:rsidR="00580A31" w:rsidRPr="00861957">
        <w:rPr>
          <w:b/>
          <w:color w:val="548DD4" w:themeColor="text2" w:themeTint="99"/>
        </w:rPr>
        <w:t>-2030:</w:t>
      </w:r>
      <w:r w:rsidR="00580A31" w:rsidRPr="00861957">
        <w:rPr>
          <w:color w:val="548DD4" w:themeColor="text2" w:themeTint="99"/>
        </w:rPr>
        <w:t xml:space="preserve"> </w:t>
      </w:r>
      <w:r w:rsidR="007778DF" w:rsidRPr="00861957">
        <w:t>accelerated development of high-tech enterprises and services</w:t>
      </w:r>
      <w:r w:rsidR="00CD1AF8" w:rsidRPr="00861957">
        <w:t xml:space="preserve"> (2); improvement of the institutional environment and formation of </w:t>
      </w:r>
      <w:r w:rsidR="00EE2B9B" w:rsidRPr="00861957">
        <w:t xml:space="preserve">a </w:t>
      </w:r>
      <w:r w:rsidR="00CD1AF8" w:rsidRPr="00861957">
        <w:t>favourable business environment (3)</w:t>
      </w:r>
      <w:r w:rsidR="00D407F8" w:rsidRPr="00861957">
        <w:t xml:space="preserve"> (9)</w:t>
      </w:r>
      <w:r w:rsidR="00CD1AF8" w:rsidRPr="00861957">
        <w:t xml:space="preserve">; an increase in exports (4); transformation of SMEs into the driving force </w:t>
      </w:r>
      <w:r w:rsidR="00B160AB">
        <w:t>for</w:t>
      </w:r>
      <w:r w:rsidR="00CD1AF8" w:rsidRPr="00861957">
        <w:t xml:space="preserve"> the socio-economic development of the country with </w:t>
      </w:r>
      <w:r w:rsidR="00EE2B9B" w:rsidRPr="00861957">
        <w:t xml:space="preserve">a </w:t>
      </w:r>
      <w:r w:rsidR="00CD1AF8" w:rsidRPr="00861957">
        <w:t>focus on increas</w:t>
      </w:r>
      <w:r w:rsidR="00EE2B9B" w:rsidRPr="00861957">
        <w:t>ing</w:t>
      </w:r>
      <w:r w:rsidR="00CD1AF8" w:rsidRPr="00861957">
        <w:t xml:space="preserve"> their innovation-technological acti</w:t>
      </w:r>
      <w:r w:rsidR="004D2C62" w:rsidRPr="00861957">
        <w:t>vities and expan</w:t>
      </w:r>
      <w:r w:rsidR="00EE2B9B" w:rsidRPr="00861957">
        <w:t>ding</w:t>
      </w:r>
      <w:r w:rsidR="004D2C62" w:rsidRPr="00861957">
        <w:t xml:space="preserve"> exports (9).</w:t>
      </w:r>
    </w:p>
    <w:p w14:paraId="63534DA3" w14:textId="4861B223" w:rsidR="004E0E53" w:rsidRPr="00861957" w:rsidRDefault="004E0E53" w:rsidP="00580A31">
      <w:pPr>
        <w:jc w:val="both"/>
      </w:pPr>
      <w:r w:rsidRPr="00861957">
        <w:rPr>
          <w:b/>
          <w:color w:val="548DD4" w:themeColor="text2" w:themeTint="99"/>
        </w:rPr>
        <w:t xml:space="preserve">Post-2015 Consultations: </w:t>
      </w:r>
      <w:r w:rsidR="00EE2B9B" w:rsidRPr="00861957">
        <w:rPr>
          <w:color w:val="548DD4" w:themeColor="text2" w:themeTint="99"/>
        </w:rPr>
        <w:t>the need to</w:t>
      </w:r>
      <w:r w:rsidR="00EE2B9B" w:rsidRPr="00861957">
        <w:rPr>
          <w:b/>
          <w:color w:val="548DD4" w:themeColor="text2" w:themeTint="99"/>
        </w:rPr>
        <w:t xml:space="preserve"> </w:t>
      </w:r>
      <w:r w:rsidRPr="00861957">
        <w:t>hav</w:t>
      </w:r>
      <w:r w:rsidR="00EE2B9B" w:rsidRPr="00861957">
        <w:t>e</w:t>
      </w:r>
      <w:r w:rsidRPr="00861957">
        <w:t xml:space="preserve"> decent </w:t>
      </w:r>
      <w:r w:rsidR="00EE2B9B" w:rsidRPr="00861957">
        <w:t xml:space="preserve">employment opportunities </w:t>
      </w:r>
      <w:r w:rsidRPr="00861957">
        <w:t xml:space="preserve">and </w:t>
      </w:r>
      <w:r w:rsidR="00EE2B9B" w:rsidRPr="00861957">
        <w:t xml:space="preserve">a </w:t>
      </w:r>
      <w:r w:rsidRPr="00861957">
        <w:t>steady income has been prioriti</w:t>
      </w:r>
      <w:r w:rsidR="000F002C" w:rsidRPr="00861957">
        <w:t>z</w:t>
      </w:r>
      <w:r w:rsidRPr="00861957">
        <w:t>ed repeatedly in the discussion meetings and focus groups.</w:t>
      </w:r>
    </w:p>
    <w:p w14:paraId="0DD64800" w14:textId="77777777" w:rsidR="007214B0" w:rsidRPr="00861957" w:rsidRDefault="007214B0" w:rsidP="007214B0">
      <w:pPr>
        <w:jc w:val="both"/>
      </w:pPr>
    </w:p>
    <w:p w14:paraId="7094DD0C" w14:textId="73CA5723" w:rsidR="008142EC" w:rsidRPr="00861957" w:rsidRDefault="00733CE3" w:rsidP="008142EC">
      <w:pPr>
        <w:tabs>
          <w:tab w:val="left" w:pos="3255"/>
        </w:tabs>
        <w:jc w:val="both"/>
      </w:pPr>
      <w:r w:rsidRPr="00861957">
        <w:t>After gaining independence in 1991, Belarus embarked on the path of</w:t>
      </w:r>
      <w:r w:rsidR="00EE2B9B" w:rsidRPr="00861957">
        <w:t xml:space="preserve"> introducing</w:t>
      </w:r>
      <w:r w:rsidRPr="00861957">
        <w:t xml:space="preserve"> </w:t>
      </w:r>
      <w:r w:rsidR="001A349A" w:rsidRPr="00861957">
        <w:t>gradual reforms</w:t>
      </w:r>
      <w:r w:rsidRPr="00861957">
        <w:t xml:space="preserve"> and </w:t>
      </w:r>
      <w:r w:rsidR="001A349A" w:rsidRPr="00861957">
        <w:t xml:space="preserve">preserved </w:t>
      </w:r>
      <w:r w:rsidR="00EE2B9B" w:rsidRPr="00861957">
        <w:t xml:space="preserve">an </w:t>
      </w:r>
      <w:r w:rsidR="001A349A" w:rsidRPr="00861957">
        <w:t xml:space="preserve">economic model based on the dominance of </w:t>
      </w:r>
      <w:r w:rsidR="00EE2B9B" w:rsidRPr="00861957">
        <w:t xml:space="preserve">the </w:t>
      </w:r>
      <w:r w:rsidR="001A349A" w:rsidRPr="00861957">
        <w:t>public sector, broad-based income redistribution and a high level of socio-economic equality. Belarus retained a highly educated and skilled labour force.</w:t>
      </w:r>
      <w:r w:rsidRPr="00861957">
        <w:t xml:space="preserve"> The economy generated </w:t>
      </w:r>
      <w:r w:rsidR="008142EC" w:rsidRPr="00861957">
        <w:t xml:space="preserve">impressive growth rates in the period </w:t>
      </w:r>
      <w:r w:rsidR="00EE2B9B" w:rsidRPr="00861957">
        <w:t xml:space="preserve">between </w:t>
      </w:r>
      <w:r w:rsidR="008142EC" w:rsidRPr="00861957">
        <w:t xml:space="preserve">1996 </w:t>
      </w:r>
      <w:r w:rsidR="00EE2B9B" w:rsidRPr="00861957">
        <w:t xml:space="preserve">and </w:t>
      </w:r>
      <w:r w:rsidR="008142EC" w:rsidRPr="00861957">
        <w:t xml:space="preserve">2011. In particular, </w:t>
      </w:r>
      <w:r w:rsidR="00EE2B9B" w:rsidRPr="00861957">
        <w:t xml:space="preserve">the </w:t>
      </w:r>
      <w:r w:rsidR="008142EC" w:rsidRPr="00861957">
        <w:t xml:space="preserve">average yearly GDP growth rate in </w:t>
      </w:r>
      <w:r w:rsidR="00EE2B9B" w:rsidRPr="00861957">
        <w:t xml:space="preserve">the period </w:t>
      </w:r>
      <w:r w:rsidR="008142EC" w:rsidRPr="00861957">
        <w:t>2004-2008 was 9.92%.</w:t>
      </w:r>
    </w:p>
    <w:p w14:paraId="19F10647" w14:textId="77777777" w:rsidR="001A349A" w:rsidRPr="00861957" w:rsidRDefault="001A349A" w:rsidP="007214B0">
      <w:pPr>
        <w:jc w:val="both"/>
      </w:pPr>
    </w:p>
    <w:p w14:paraId="4E8AA171" w14:textId="57DF236B" w:rsidR="0007645B" w:rsidRPr="00861957" w:rsidRDefault="0007645B" w:rsidP="0007645B">
      <w:pPr>
        <w:tabs>
          <w:tab w:val="left" w:pos="3255"/>
        </w:tabs>
        <w:jc w:val="both"/>
        <w:rPr>
          <w:i/>
        </w:rPr>
      </w:pPr>
      <w:r w:rsidRPr="00861957">
        <w:t xml:space="preserve">Belarus is committed to </w:t>
      </w:r>
      <w:r w:rsidR="00BB0F1F" w:rsidRPr="00861957">
        <w:t xml:space="preserve">pursuing </w:t>
      </w:r>
      <w:r w:rsidRPr="00861957">
        <w:t>inclusive and sustainable industrial development, based on competitiveness and the promotion of a business</w:t>
      </w:r>
      <w:r w:rsidR="00EE2B9B" w:rsidRPr="00861957">
        <w:t>-</w:t>
      </w:r>
      <w:r w:rsidRPr="00861957">
        <w:t>friendly environment and infrastructure, in accordance with best</w:t>
      </w:r>
      <w:r w:rsidR="00EE2B9B" w:rsidRPr="00861957">
        <w:t>-</w:t>
      </w:r>
      <w:r w:rsidRPr="00861957">
        <w:t>practice legislative and system frameworks.</w:t>
      </w:r>
      <w:r w:rsidRPr="00861957">
        <w:rPr>
          <w:i/>
        </w:rPr>
        <w:t xml:space="preserve"> </w:t>
      </w:r>
    </w:p>
    <w:p w14:paraId="3760491D" w14:textId="77777777" w:rsidR="0007645B" w:rsidRPr="00861957" w:rsidRDefault="0007645B" w:rsidP="0007645B">
      <w:pPr>
        <w:tabs>
          <w:tab w:val="left" w:pos="3255"/>
        </w:tabs>
        <w:jc w:val="both"/>
        <w:rPr>
          <w:i/>
        </w:rPr>
      </w:pPr>
    </w:p>
    <w:p w14:paraId="03E1A7F1" w14:textId="5A505BE8" w:rsidR="00555C61" w:rsidRPr="00861957" w:rsidRDefault="0007645B" w:rsidP="00733CE3">
      <w:pPr>
        <w:jc w:val="both"/>
      </w:pPr>
      <w:r w:rsidRPr="00861957">
        <w:t>In</w:t>
      </w:r>
      <w:r w:rsidR="001E79FB" w:rsidRPr="00861957">
        <w:t xml:space="preserve"> 2013, services amounted to 46% of GDP, industry to 26.7</w:t>
      </w:r>
      <w:r w:rsidRPr="00861957">
        <w:t>%</w:t>
      </w:r>
      <w:r w:rsidR="001E79FB" w:rsidRPr="00861957">
        <w:t xml:space="preserve"> of GDP</w:t>
      </w:r>
      <w:r w:rsidR="00EE2B9B" w:rsidRPr="00861957">
        <w:t>,</w:t>
      </w:r>
      <w:r w:rsidR="001E79FB" w:rsidRPr="00861957">
        <w:t xml:space="preserve"> and agriculture to 7</w:t>
      </w:r>
      <w:r w:rsidRPr="00861957">
        <w:t>% of GDP.</w:t>
      </w:r>
      <w:r w:rsidR="00733CE3" w:rsidRPr="00861957">
        <w:t xml:space="preserve"> </w:t>
      </w:r>
      <w:r w:rsidR="00D158FB" w:rsidRPr="00861957">
        <w:t xml:space="preserve">Belarus has </w:t>
      </w:r>
      <w:r w:rsidRPr="00861957">
        <w:t>major manufacturing activities in petroleum and chemical products, food and beve</w:t>
      </w:r>
      <w:r w:rsidR="00D158FB" w:rsidRPr="00861957">
        <w:t>rages, machinery and equipment. The share of Manufacturing Value-Added in GDP (the basic indicator of a country’s level of industriali</w:t>
      </w:r>
      <w:r w:rsidR="000F002C" w:rsidRPr="00861957">
        <w:t>z</w:t>
      </w:r>
      <w:r w:rsidR="00D158FB" w:rsidRPr="00861957">
        <w:t xml:space="preserve">ation) was 23.1% in 2013. </w:t>
      </w:r>
      <w:r w:rsidR="00703F33" w:rsidRPr="00861957">
        <w:t xml:space="preserve">The industrial sector </w:t>
      </w:r>
      <w:r w:rsidR="00EE2B9B" w:rsidRPr="00861957">
        <w:t xml:space="preserve">is in need of </w:t>
      </w:r>
      <w:r w:rsidR="00703F33" w:rsidRPr="00861957">
        <w:t>moderni</w:t>
      </w:r>
      <w:r w:rsidR="000F002C" w:rsidRPr="00861957">
        <w:t>z</w:t>
      </w:r>
      <w:r w:rsidR="00703F33" w:rsidRPr="00861957">
        <w:t xml:space="preserve">ation, </w:t>
      </w:r>
      <w:r w:rsidR="00EE2B9B" w:rsidRPr="00861957">
        <w:t xml:space="preserve">including by </w:t>
      </w:r>
      <w:r w:rsidR="007032D5" w:rsidRPr="00861957">
        <w:t xml:space="preserve">strengthening </w:t>
      </w:r>
      <w:r w:rsidR="00EE2B9B" w:rsidRPr="00861957">
        <w:t xml:space="preserve">personnel </w:t>
      </w:r>
      <w:r w:rsidR="007032D5" w:rsidRPr="00861957">
        <w:t>potential</w:t>
      </w:r>
      <w:r w:rsidR="00703F33" w:rsidRPr="00861957">
        <w:t xml:space="preserve"> and diversification.</w:t>
      </w:r>
      <w:r w:rsidR="00555C61" w:rsidRPr="00861957">
        <w:t xml:space="preserve"> </w:t>
      </w:r>
    </w:p>
    <w:p w14:paraId="02F48A31" w14:textId="77777777" w:rsidR="00555C61" w:rsidRPr="00861957" w:rsidRDefault="00555C61" w:rsidP="00733CE3">
      <w:pPr>
        <w:jc w:val="both"/>
      </w:pPr>
    </w:p>
    <w:p w14:paraId="7A6631C5" w14:textId="2E2C6F08" w:rsidR="0007645B" w:rsidRPr="00861957" w:rsidRDefault="00733CE3" w:rsidP="00733CE3">
      <w:pPr>
        <w:jc w:val="both"/>
      </w:pPr>
      <w:r w:rsidRPr="00861957">
        <w:t xml:space="preserve">Developing </w:t>
      </w:r>
      <w:r w:rsidR="00EE2B9B" w:rsidRPr="00861957">
        <w:t xml:space="preserve">a </w:t>
      </w:r>
      <w:r w:rsidRPr="00861957">
        <w:t xml:space="preserve">knowledge-based economy, increasing productivity and exports and reducing macroeconomic imbalances through structural reforms would greatly contribute to sustainable economic development </w:t>
      </w:r>
      <w:r w:rsidR="00EE2B9B" w:rsidRPr="00861957">
        <w:t>in</w:t>
      </w:r>
      <w:r w:rsidRPr="00861957">
        <w:t xml:space="preserve"> Belarus.</w:t>
      </w:r>
    </w:p>
    <w:p w14:paraId="3D9046B5" w14:textId="77777777" w:rsidR="00733CE3" w:rsidRPr="00861957" w:rsidRDefault="00733CE3" w:rsidP="0007645B">
      <w:pPr>
        <w:tabs>
          <w:tab w:val="left" w:pos="3255"/>
        </w:tabs>
        <w:jc w:val="both"/>
      </w:pPr>
    </w:p>
    <w:p w14:paraId="62F56CFC" w14:textId="607E06A0" w:rsidR="000F735D" w:rsidRPr="00861957" w:rsidRDefault="007214B0" w:rsidP="007214B0">
      <w:pPr>
        <w:jc w:val="both"/>
      </w:pPr>
      <w:r w:rsidRPr="00861957">
        <w:rPr>
          <w:b/>
        </w:rPr>
        <w:t>Outcome 2.1:</w:t>
      </w:r>
      <w:r w:rsidRPr="00861957">
        <w:t xml:space="preserve"> </w:t>
      </w:r>
      <w:r w:rsidR="002F0D95" w:rsidRPr="00861957">
        <w:t xml:space="preserve">By 2020, the economy's competitiveness </w:t>
      </w:r>
      <w:r w:rsidR="00386939" w:rsidRPr="00861957">
        <w:t>will have</w:t>
      </w:r>
      <w:r w:rsidR="00EE2B9B" w:rsidRPr="00861957">
        <w:t xml:space="preserve"> been </w:t>
      </w:r>
      <w:r w:rsidR="002F0D95" w:rsidRPr="00861957">
        <w:t>improved through structural reform, accelerated development of the private sector and integration in the world economy</w:t>
      </w:r>
      <w:r w:rsidR="00EE2B9B" w:rsidRPr="00861957">
        <w:t>.</w:t>
      </w:r>
    </w:p>
    <w:p w14:paraId="7C62FA93" w14:textId="77777777" w:rsidR="002F0D95" w:rsidRPr="00861957" w:rsidRDefault="002F0D95" w:rsidP="007214B0">
      <w:pPr>
        <w:jc w:val="both"/>
        <w:rPr>
          <w:b/>
          <w:bCs/>
        </w:rPr>
      </w:pPr>
    </w:p>
    <w:p w14:paraId="7C33E358" w14:textId="179DECE1" w:rsidR="00895F0D" w:rsidRPr="00861957" w:rsidRDefault="00895F0D" w:rsidP="00895F0D">
      <w:pPr>
        <w:jc w:val="both"/>
      </w:pPr>
      <w:r w:rsidRPr="00861957">
        <w:t xml:space="preserve">According to the EBRD Transition Indicators (measuring </w:t>
      </w:r>
      <w:r w:rsidR="00F85FCE" w:rsidRPr="00861957">
        <w:t xml:space="preserve">the </w:t>
      </w:r>
      <w:r w:rsidRPr="00861957">
        <w:t xml:space="preserve">transition to </w:t>
      </w:r>
      <w:r w:rsidR="00F85FCE" w:rsidRPr="00861957">
        <w:t xml:space="preserve">a </w:t>
      </w:r>
      <w:r w:rsidRPr="00861957">
        <w:t xml:space="preserve">market economy), most indicators </w:t>
      </w:r>
      <w:r w:rsidR="00F85FCE" w:rsidRPr="00861957">
        <w:t xml:space="preserve">for </w:t>
      </w:r>
      <w:r w:rsidRPr="00861957">
        <w:t>Belarus (small-scale and large-scale privati</w:t>
      </w:r>
      <w:r w:rsidR="000F002C" w:rsidRPr="00861957">
        <w:t>z</w:t>
      </w:r>
      <w:r w:rsidRPr="00861957">
        <w:t>ation, governance and enterprise restructuring, price liberali</w:t>
      </w:r>
      <w:r w:rsidR="000F002C" w:rsidRPr="00861957">
        <w:t>z</w:t>
      </w:r>
      <w:r w:rsidRPr="00861957">
        <w:t xml:space="preserve">ation, trade and </w:t>
      </w:r>
      <w:r w:rsidR="00F85FCE" w:rsidRPr="00861957">
        <w:t xml:space="preserve">the </w:t>
      </w:r>
      <w:r w:rsidRPr="00861957">
        <w:t>forex system) are lower than the average in 28 transition countries, with competition policy being at the level of Georgia and Kazakhstan.</w:t>
      </w:r>
    </w:p>
    <w:p w14:paraId="6DA5903E" w14:textId="77777777" w:rsidR="00895F0D" w:rsidRPr="00861957" w:rsidRDefault="00895F0D" w:rsidP="00895F0D">
      <w:pPr>
        <w:jc w:val="both"/>
      </w:pPr>
    </w:p>
    <w:p w14:paraId="039B7C4F" w14:textId="5B152A1F" w:rsidR="00895F0D" w:rsidRPr="00861957" w:rsidRDefault="00895F0D" w:rsidP="00895F0D">
      <w:pPr>
        <w:jc w:val="both"/>
      </w:pPr>
      <w:r w:rsidRPr="00861957">
        <w:t xml:space="preserve">International financial institutions such as the IMF and the World Bank consider </w:t>
      </w:r>
      <w:r w:rsidR="00F85FCE" w:rsidRPr="00861957">
        <w:t>the</w:t>
      </w:r>
      <w:r w:rsidRPr="00861957">
        <w:t xml:space="preserve"> ongoing growth slowdown </w:t>
      </w:r>
      <w:r w:rsidR="00F85FCE" w:rsidRPr="00861957">
        <w:t xml:space="preserve">in Belarus </w:t>
      </w:r>
      <w:r w:rsidRPr="00861957">
        <w:t xml:space="preserve">as partially triggered by </w:t>
      </w:r>
      <w:r w:rsidR="00F85FCE" w:rsidRPr="00861957">
        <w:t xml:space="preserve">a </w:t>
      </w:r>
      <w:r w:rsidRPr="00861957">
        <w:t>lack of structural reforms</w:t>
      </w:r>
      <w:r w:rsidR="00F85FCE" w:rsidRPr="00861957">
        <w:t>,</w:t>
      </w:r>
      <w:r w:rsidRPr="00861957">
        <w:t xml:space="preserve"> and thus advise </w:t>
      </w:r>
      <w:r w:rsidR="00F85FCE" w:rsidRPr="00861957">
        <w:t xml:space="preserve">that reforms should be </w:t>
      </w:r>
      <w:r w:rsidRPr="00861957">
        <w:t>implement</w:t>
      </w:r>
      <w:r w:rsidR="00F85FCE" w:rsidRPr="00861957">
        <w:t>ed</w:t>
      </w:r>
      <w:r w:rsidRPr="00861957">
        <w:t xml:space="preserve"> </w:t>
      </w:r>
      <w:r w:rsidR="00F85FCE" w:rsidRPr="00861957">
        <w:t xml:space="preserve">in order </w:t>
      </w:r>
      <w:r w:rsidRPr="00861957">
        <w:t xml:space="preserve">to improve </w:t>
      </w:r>
      <w:r w:rsidR="00F85FCE" w:rsidRPr="00861957">
        <w:t xml:space="preserve">the </w:t>
      </w:r>
      <w:r w:rsidRPr="00861957">
        <w:t xml:space="preserve">international competitiveness of the Belarusian economy and its long-term growth prospects. In October 2013, the Council of Ministers and the National Bank adopted </w:t>
      </w:r>
      <w:r w:rsidR="00F85FCE" w:rsidRPr="00861957">
        <w:t xml:space="preserve">a </w:t>
      </w:r>
      <w:r w:rsidRPr="00861957">
        <w:t xml:space="preserve">Joint Action Plan on Structural Reforms and Increasing </w:t>
      </w:r>
      <w:r w:rsidR="00F85FCE" w:rsidRPr="00861957">
        <w:t xml:space="preserve">the </w:t>
      </w:r>
      <w:r w:rsidRPr="00861957">
        <w:t>Competitiveness of the Economy of the Republic of Belarus (further amended in August 2014) to tackle the existing macroeconomic problems.</w:t>
      </w:r>
    </w:p>
    <w:p w14:paraId="7EFC97D2" w14:textId="77777777" w:rsidR="00895F0D" w:rsidRPr="00861957" w:rsidRDefault="00895F0D" w:rsidP="00895F0D">
      <w:pPr>
        <w:jc w:val="both"/>
      </w:pPr>
    </w:p>
    <w:p w14:paraId="3B594B2D" w14:textId="64B1B540" w:rsidR="00895F0D" w:rsidRPr="00861957" w:rsidRDefault="00895F0D" w:rsidP="00895F0D">
      <w:pPr>
        <w:jc w:val="both"/>
      </w:pPr>
      <w:r w:rsidRPr="00861957">
        <w:t>The existing economic model has prioriti</w:t>
      </w:r>
      <w:r w:rsidR="000F002C" w:rsidRPr="00861957">
        <w:t>z</w:t>
      </w:r>
      <w:r w:rsidRPr="00861957">
        <w:t xml:space="preserve">ed development of state-owned enterprises (SOEs) while the private sector has remained underdeveloped. </w:t>
      </w:r>
      <w:r w:rsidR="008142EC" w:rsidRPr="00861957">
        <w:t xml:space="preserve">In 2014, the share of </w:t>
      </w:r>
      <w:r w:rsidR="00F85FCE" w:rsidRPr="00861957">
        <w:t xml:space="preserve">the </w:t>
      </w:r>
      <w:r w:rsidR="008142EC" w:rsidRPr="00861957">
        <w:t>public sector in production amounted to about 80%</w:t>
      </w:r>
      <w:r w:rsidRPr="00861957">
        <w:t xml:space="preserve">, </w:t>
      </w:r>
      <w:r w:rsidR="00F85FCE" w:rsidRPr="00861957">
        <w:t xml:space="preserve">a figure </w:t>
      </w:r>
      <w:r w:rsidRPr="00861957">
        <w:t xml:space="preserve">higher than the average </w:t>
      </w:r>
      <w:r w:rsidR="00F85FCE" w:rsidRPr="00861957">
        <w:t xml:space="preserve">for </w:t>
      </w:r>
      <w:r w:rsidRPr="00861957">
        <w:t xml:space="preserve">developed and transition countries. Development of SMEs would </w:t>
      </w:r>
      <w:r w:rsidR="00F85FCE" w:rsidRPr="00861957">
        <w:t>enable change in t</w:t>
      </w:r>
      <w:r w:rsidRPr="00861957">
        <w:t xml:space="preserve">his dynamic, </w:t>
      </w:r>
      <w:r w:rsidR="00F85FCE" w:rsidRPr="00861957">
        <w:t>a</w:t>
      </w:r>
      <w:r w:rsidRPr="00861957">
        <w:t xml:space="preserve"> boost </w:t>
      </w:r>
      <w:r w:rsidR="00F85FCE" w:rsidRPr="00861957">
        <w:t xml:space="preserve">in </w:t>
      </w:r>
      <w:r w:rsidRPr="00861957">
        <w:t xml:space="preserve">employment and </w:t>
      </w:r>
      <w:r w:rsidR="00F85FCE" w:rsidRPr="00861957">
        <w:t xml:space="preserve">increases in </w:t>
      </w:r>
      <w:r w:rsidRPr="00861957">
        <w:t xml:space="preserve">exports. The share of SMEs in GDP has been steadily </w:t>
      </w:r>
      <w:r w:rsidR="003D28CB" w:rsidRPr="00861957">
        <w:t>growing from 18.8% in 2009 to 21</w:t>
      </w:r>
      <w:r w:rsidRPr="00861957">
        <w:t>.</w:t>
      </w:r>
      <w:r w:rsidR="003D28CB" w:rsidRPr="00861957">
        <w:t>9</w:t>
      </w:r>
      <w:r w:rsidRPr="00861957">
        <w:t xml:space="preserve">% in </w:t>
      </w:r>
      <w:r w:rsidR="003D28CB" w:rsidRPr="00861957">
        <w:t>2013</w:t>
      </w:r>
      <w:r w:rsidRPr="00861957">
        <w:t xml:space="preserve">. In </w:t>
      </w:r>
      <w:r w:rsidR="003D28CB" w:rsidRPr="00861957">
        <w:t>2013, SMEs employed 28.4</w:t>
      </w:r>
      <w:r w:rsidRPr="00861957">
        <w:t>% of all workers, as compared to 60.9% in Germany and 66.9% in the EU-27 on average</w:t>
      </w:r>
      <w:r w:rsidR="007032D5" w:rsidRPr="00861957">
        <w:t>.</w:t>
      </w:r>
    </w:p>
    <w:p w14:paraId="6BA5C8CC" w14:textId="77777777" w:rsidR="00895F0D" w:rsidRPr="00861957" w:rsidRDefault="00895F0D" w:rsidP="00895F0D"/>
    <w:p w14:paraId="521536F0" w14:textId="25B611E0" w:rsidR="00895F0D" w:rsidRPr="00861957" w:rsidRDefault="00895F0D" w:rsidP="00895F0D">
      <w:pPr>
        <w:tabs>
          <w:tab w:val="left" w:pos="3255"/>
        </w:tabs>
        <w:jc w:val="both"/>
      </w:pPr>
      <w:r w:rsidRPr="00861957">
        <w:t>In 2010, the President issued Directive №4 ‘On the development of entrepreneurship and stimulating business activity in Belarus’</w:t>
      </w:r>
      <w:r w:rsidR="00F85FCE" w:rsidRPr="00861957">
        <w:t>,</w:t>
      </w:r>
      <w:r w:rsidRPr="00861957">
        <w:rPr>
          <w:rStyle w:val="FootnoteReference"/>
        </w:rPr>
        <w:footnoteReference w:id="7"/>
      </w:r>
      <w:r w:rsidRPr="00861957">
        <w:t xml:space="preserve"> aimed at promoting liberali</w:t>
      </w:r>
      <w:r w:rsidR="000F002C" w:rsidRPr="00861957">
        <w:t>z</w:t>
      </w:r>
      <w:r w:rsidRPr="00861957">
        <w:t xml:space="preserve">ation </w:t>
      </w:r>
      <w:r w:rsidR="00F85FCE" w:rsidRPr="00861957">
        <w:t>in</w:t>
      </w:r>
      <w:r w:rsidRPr="00861957">
        <w:t xml:space="preserve"> the economy, encouraging entrepreneurship and creating </w:t>
      </w:r>
      <w:r w:rsidR="00F85FCE" w:rsidRPr="00861957">
        <w:t xml:space="preserve">a </w:t>
      </w:r>
      <w:r w:rsidRPr="00861957">
        <w:t xml:space="preserve">favourable business environment. </w:t>
      </w:r>
      <w:r w:rsidR="00F85FCE" w:rsidRPr="00861957">
        <w:t xml:space="preserve">In recent </w:t>
      </w:r>
      <w:r w:rsidRPr="00861957">
        <w:t>years, the situation with SMEs and private sector development has significantly improved due to reduced administrative and tax burdens, as evidenced by IFC’s surveys of MSMEs</w:t>
      </w:r>
      <w:r w:rsidR="00F85FCE" w:rsidRPr="00861957">
        <w:t>.</w:t>
      </w:r>
      <w:r w:rsidRPr="00861957">
        <w:rPr>
          <w:rStyle w:val="FootnoteReference"/>
        </w:rPr>
        <w:footnoteReference w:id="8"/>
      </w:r>
    </w:p>
    <w:p w14:paraId="12E9868F" w14:textId="77777777" w:rsidR="00895F0D" w:rsidRPr="00861957" w:rsidRDefault="00895F0D" w:rsidP="00895F0D"/>
    <w:p w14:paraId="23DBC89C" w14:textId="224576CB" w:rsidR="00895F0D" w:rsidRPr="00861957" w:rsidRDefault="00895F0D" w:rsidP="00895F0D">
      <w:pPr>
        <w:jc w:val="both"/>
      </w:pPr>
      <w:r w:rsidRPr="00861957">
        <w:lastRenderedPageBreak/>
        <w:t>These improvements are also reflected in the World Bank’s Doing Business reports, in which Belarus has markedly</w:t>
      </w:r>
      <w:r w:rsidR="00F85FCE" w:rsidRPr="00861957">
        <w:t xml:space="preserve"> improved </w:t>
      </w:r>
      <w:r w:rsidRPr="00861957">
        <w:t xml:space="preserve">its </w:t>
      </w:r>
      <w:r w:rsidR="000A1C51" w:rsidRPr="00861957">
        <w:t>E</w:t>
      </w:r>
      <w:r w:rsidRPr="00861957">
        <w:t>ase of Doing Business ranking from 129</w:t>
      </w:r>
      <w:r w:rsidRPr="00861957">
        <w:rPr>
          <w:vertAlign w:val="superscript"/>
        </w:rPr>
        <w:t>th</w:t>
      </w:r>
      <w:r w:rsidRPr="00861957">
        <w:t xml:space="preserve"> in 2007 to 57</w:t>
      </w:r>
      <w:r w:rsidRPr="00861957">
        <w:rPr>
          <w:vertAlign w:val="superscript"/>
        </w:rPr>
        <w:t>th</w:t>
      </w:r>
      <w:r w:rsidRPr="00861957">
        <w:t xml:space="preserve"> in 2015. In 2011, the President stated </w:t>
      </w:r>
      <w:r w:rsidR="00F85FCE" w:rsidRPr="00861957">
        <w:t xml:space="preserve">that a </w:t>
      </w:r>
      <w:r w:rsidRPr="00861957">
        <w:t xml:space="preserve">priority goal </w:t>
      </w:r>
      <w:r w:rsidR="00F85FCE" w:rsidRPr="00861957">
        <w:t xml:space="preserve">for the country was </w:t>
      </w:r>
      <w:r w:rsidRPr="00861957">
        <w:t>to enter the top 30 performers.</w:t>
      </w:r>
      <w:r w:rsidR="00F85FCE" w:rsidRPr="00861957">
        <w:t xml:space="preserve"> Some of </w:t>
      </w:r>
      <w:r w:rsidRPr="00861957">
        <w:t xml:space="preserve">the most comprehensive measures to date relate to starting a business, </w:t>
      </w:r>
      <w:r w:rsidR="00F85FCE" w:rsidRPr="00861957">
        <w:t xml:space="preserve">including </w:t>
      </w:r>
      <w:r w:rsidRPr="00861957">
        <w:t xml:space="preserve">the creation of a one-stop shop for property registration and </w:t>
      </w:r>
      <w:r w:rsidR="00F85FCE" w:rsidRPr="00861957">
        <w:t xml:space="preserve">the introduction of </w:t>
      </w:r>
      <w:r w:rsidRPr="00861957">
        <w:t>a broad administrative simplification program</w:t>
      </w:r>
      <w:r w:rsidR="00F85FCE" w:rsidRPr="00861957">
        <w:t>me</w:t>
      </w:r>
      <w:r w:rsidRPr="00861957">
        <w:t xml:space="preserve"> that sets strict </w:t>
      </w:r>
      <w:r w:rsidR="000A1C51" w:rsidRPr="00861957">
        <w:t xml:space="preserve">time limits on </w:t>
      </w:r>
      <w:r w:rsidRPr="00861957">
        <w:t xml:space="preserve">registration and implements computerized records. As compared to Central and Eastern Europe, the Western Balkans and the Commonwealth of Independent States, Belarus has good indicators </w:t>
      </w:r>
      <w:r w:rsidR="00F85FCE" w:rsidRPr="00861957">
        <w:t>in</w:t>
      </w:r>
      <w:r w:rsidRPr="00861957">
        <w:t xml:space="preserve"> </w:t>
      </w:r>
      <w:r w:rsidR="00F85FCE" w:rsidRPr="00861957">
        <w:t xml:space="preserve">the </w:t>
      </w:r>
      <w:r w:rsidRPr="00861957">
        <w:t>eas</w:t>
      </w:r>
      <w:r w:rsidR="000A1C51" w:rsidRPr="00861957">
        <w:t>e</w:t>
      </w:r>
      <w:r w:rsidRPr="00861957">
        <w:t xml:space="preserve"> of starting a business, dealing with construction permits, registering property and enforcing contracts. </w:t>
      </w:r>
    </w:p>
    <w:p w14:paraId="41ABC60A" w14:textId="77777777" w:rsidR="00895F0D" w:rsidRPr="00861957" w:rsidRDefault="00895F0D" w:rsidP="00895F0D">
      <w:pPr>
        <w:jc w:val="both"/>
      </w:pPr>
    </w:p>
    <w:p w14:paraId="75D93E67" w14:textId="7B07A1A5" w:rsidR="00077019" w:rsidRPr="00861957" w:rsidRDefault="00895F0D" w:rsidP="00895F0D">
      <w:pPr>
        <w:jc w:val="both"/>
      </w:pPr>
      <w:r w:rsidRPr="00861957">
        <w:t xml:space="preserve">Another comprehensive set of reform measures </w:t>
      </w:r>
      <w:r w:rsidR="00F85FCE" w:rsidRPr="00861957">
        <w:t xml:space="preserve">has </w:t>
      </w:r>
      <w:r w:rsidRPr="00861957">
        <w:t>focused on facilitating cross</w:t>
      </w:r>
      <w:r w:rsidR="00F85FCE" w:rsidRPr="00861957">
        <w:t>-</w:t>
      </w:r>
      <w:r w:rsidRPr="00861957">
        <w:t xml:space="preserve">border trade, with the institutionalization of pre-arrival processing of import documentation and other formalities to speed up </w:t>
      </w:r>
      <w:r w:rsidR="000A1C51" w:rsidRPr="00861957">
        <w:t xml:space="preserve">administration </w:t>
      </w:r>
      <w:r w:rsidRPr="00861957">
        <w:t xml:space="preserve">and </w:t>
      </w:r>
      <w:r w:rsidR="000A1C51" w:rsidRPr="00861957">
        <w:t xml:space="preserve">of </w:t>
      </w:r>
      <w:r w:rsidRPr="00861957">
        <w:t>authori</w:t>
      </w:r>
      <w:r w:rsidR="000F002C" w:rsidRPr="00861957">
        <w:t>z</w:t>
      </w:r>
      <w:r w:rsidRPr="00861957">
        <w:t>ed ‘trusted’ operators.</w:t>
      </w:r>
      <w:r w:rsidRPr="00861957">
        <w:rPr>
          <w:rStyle w:val="FootnoteReference"/>
        </w:rPr>
        <w:footnoteReference w:id="9"/>
      </w:r>
      <w:r w:rsidRPr="00861957">
        <w:t xml:space="preserve"> All </w:t>
      </w:r>
      <w:r w:rsidR="000A1C51" w:rsidRPr="00861957">
        <w:t xml:space="preserve">of </w:t>
      </w:r>
      <w:r w:rsidRPr="00861957">
        <w:t>these measures are in line with the World Trade Organization (WTO) Agreement on Trade Facilitation, and future plans to capitali</w:t>
      </w:r>
      <w:r w:rsidR="000A1C51" w:rsidRPr="00861957">
        <w:t>z</w:t>
      </w:r>
      <w:r w:rsidRPr="00861957">
        <w:t xml:space="preserve">e on </w:t>
      </w:r>
      <w:r w:rsidR="000A1C51" w:rsidRPr="00861957">
        <w:t xml:space="preserve">existing </w:t>
      </w:r>
      <w:r w:rsidRPr="00861957">
        <w:t xml:space="preserve">achievements </w:t>
      </w:r>
      <w:r w:rsidR="000A1C51" w:rsidRPr="00861957">
        <w:t>aim</w:t>
      </w:r>
      <w:r w:rsidRPr="00861957">
        <w:t xml:space="preserve"> to further simplify and streamline the documentary requirements, including</w:t>
      </w:r>
      <w:r w:rsidR="000A1C51" w:rsidRPr="00861957">
        <w:t xml:space="preserve"> by</w:t>
      </w:r>
      <w:r w:rsidRPr="00861957">
        <w:t xml:space="preserve"> migrating from paper-based to paperless systems.</w:t>
      </w:r>
      <w:r w:rsidRPr="00861957">
        <w:rPr>
          <w:rStyle w:val="FootnoteReference"/>
        </w:rPr>
        <w:footnoteReference w:id="10"/>
      </w:r>
      <w:r w:rsidRPr="00861957">
        <w:t xml:space="preserve"> Belarus’</w:t>
      </w:r>
      <w:r w:rsidR="000A1C51" w:rsidRPr="00861957">
        <w:t>s</w:t>
      </w:r>
      <w:r w:rsidRPr="00861957">
        <w:t xml:space="preserve"> accession to the WTO will continue to be </w:t>
      </w:r>
      <w:r w:rsidR="000A1C51" w:rsidRPr="00861957">
        <w:t>a</w:t>
      </w:r>
      <w:r w:rsidRPr="00861957">
        <w:t xml:space="preserve"> focus of UNDP</w:t>
      </w:r>
      <w:r w:rsidR="000A1C51" w:rsidRPr="00861957">
        <w:t>, which will</w:t>
      </w:r>
      <w:r w:rsidRPr="00861957">
        <w:t xml:space="preserve"> </w:t>
      </w:r>
      <w:r w:rsidR="000A1C51" w:rsidRPr="00861957">
        <w:t xml:space="preserve">offer </w:t>
      </w:r>
      <w:r w:rsidRPr="00861957">
        <w:t>dedicated support.</w:t>
      </w:r>
      <w:r w:rsidR="00077019" w:rsidRPr="00861957">
        <w:t xml:space="preserve"> FAO is ready to support Belarus </w:t>
      </w:r>
      <w:r w:rsidR="000A1C51" w:rsidRPr="00861957">
        <w:t>in</w:t>
      </w:r>
      <w:r w:rsidR="00077019" w:rsidRPr="00861957">
        <w:t xml:space="preserve"> enhanc</w:t>
      </w:r>
      <w:r w:rsidR="000A1C51" w:rsidRPr="00861957">
        <w:t>ing</w:t>
      </w:r>
      <w:r w:rsidR="00077019" w:rsidRPr="00861957">
        <w:t xml:space="preserve"> </w:t>
      </w:r>
      <w:r w:rsidR="000A1C51" w:rsidRPr="00861957">
        <w:t xml:space="preserve">its </w:t>
      </w:r>
      <w:r w:rsidR="00077019" w:rsidRPr="00861957">
        <w:t>institutional framework and develop</w:t>
      </w:r>
      <w:r w:rsidR="000A1C51" w:rsidRPr="00861957">
        <w:t>ing</w:t>
      </w:r>
      <w:r w:rsidR="00077019" w:rsidRPr="00861957">
        <w:t xml:space="preserve"> </w:t>
      </w:r>
      <w:r w:rsidR="000A1C51" w:rsidRPr="00861957">
        <w:t xml:space="preserve">its </w:t>
      </w:r>
      <w:r w:rsidR="00077019" w:rsidRPr="00861957">
        <w:t xml:space="preserve">capacity </w:t>
      </w:r>
      <w:r w:rsidR="000A1C51" w:rsidRPr="00861957">
        <w:t>relating to</w:t>
      </w:r>
      <w:r w:rsidR="00077019" w:rsidRPr="00861957">
        <w:t xml:space="preserve"> legal, institutional and technical issues </w:t>
      </w:r>
      <w:r w:rsidR="000A1C51" w:rsidRPr="00861957">
        <w:t xml:space="preserve">of </w:t>
      </w:r>
      <w:r w:rsidR="00077019" w:rsidRPr="00861957">
        <w:t xml:space="preserve">compliance with </w:t>
      </w:r>
      <w:r w:rsidR="00E54D44" w:rsidRPr="00861957">
        <w:t xml:space="preserve">the </w:t>
      </w:r>
      <w:r w:rsidR="00077019" w:rsidRPr="00861957">
        <w:t>WTO SPS Agreement</w:t>
      </w:r>
      <w:r w:rsidR="00E54D44" w:rsidRPr="00861957">
        <w:t>,</w:t>
      </w:r>
      <w:r w:rsidR="00077019" w:rsidRPr="00861957">
        <w:t xml:space="preserve"> in order to facilitate negotiation with </w:t>
      </w:r>
      <w:r w:rsidR="00E54D44" w:rsidRPr="00861957">
        <w:t xml:space="preserve">the </w:t>
      </w:r>
      <w:r w:rsidR="00077019" w:rsidRPr="00861957">
        <w:t xml:space="preserve">WTO and contribute to </w:t>
      </w:r>
      <w:r w:rsidR="006E520E" w:rsidRPr="00861957">
        <w:t xml:space="preserve">an increase in </w:t>
      </w:r>
      <w:r w:rsidR="00077019" w:rsidRPr="00861957">
        <w:t>Belarus</w:t>
      </w:r>
      <w:r w:rsidR="006E520E" w:rsidRPr="00861957">
        <w:t>’s</w:t>
      </w:r>
      <w:r w:rsidR="00077019" w:rsidRPr="00861957">
        <w:t xml:space="preserve"> food export potential and </w:t>
      </w:r>
      <w:r w:rsidR="006E520E" w:rsidRPr="00861957">
        <w:t xml:space="preserve">its </w:t>
      </w:r>
      <w:r w:rsidR="00077019" w:rsidRPr="00861957">
        <w:t>capacity to better protect domestic consumers.</w:t>
      </w:r>
    </w:p>
    <w:p w14:paraId="2A3BEE47" w14:textId="77777777" w:rsidR="00895F0D" w:rsidRPr="00861957" w:rsidRDefault="00895F0D" w:rsidP="00895F0D">
      <w:pPr>
        <w:jc w:val="both"/>
      </w:pPr>
    </w:p>
    <w:p w14:paraId="5830F32E" w14:textId="15E4381C" w:rsidR="00895F0D" w:rsidRPr="00861957" w:rsidRDefault="00895F0D" w:rsidP="00895F0D">
      <w:pPr>
        <w:jc w:val="both"/>
      </w:pPr>
      <w:r w:rsidRPr="00861957">
        <w:t>Significant achievements have also been made in improving technical regulation, standardization and quality control. The Belarusian system of technical regulation and standard</w:t>
      </w:r>
      <w:r w:rsidR="006E520E" w:rsidRPr="00861957">
        <w:t>-</w:t>
      </w:r>
      <w:r w:rsidRPr="00861957">
        <w:t xml:space="preserve">setting provides an exemplary model for other countries with economies in transition. The system </w:t>
      </w:r>
      <w:r w:rsidR="006E520E" w:rsidRPr="00861957">
        <w:t xml:space="preserve">places </w:t>
      </w:r>
      <w:r w:rsidRPr="00861957">
        <w:t>an emphasis on harmonization with international regulations, particularly those of the EU, an effort to ensure a genuine participatory approach, and a preoccupation with transparency; all of which are critical for eliminating non-trade barriers to trade.</w:t>
      </w:r>
      <w:r w:rsidRPr="00861957">
        <w:rPr>
          <w:rStyle w:val="FootnoteReference"/>
        </w:rPr>
        <w:footnoteReference w:id="11"/>
      </w:r>
    </w:p>
    <w:p w14:paraId="68EE204C" w14:textId="77777777" w:rsidR="00895F0D" w:rsidRPr="00861957" w:rsidRDefault="00895F0D" w:rsidP="00895F0D">
      <w:pPr>
        <w:jc w:val="both"/>
      </w:pPr>
    </w:p>
    <w:p w14:paraId="1259F5BA" w14:textId="6725429B" w:rsidR="00895F0D" w:rsidRPr="00861957" w:rsidRDefault="00895F0D" w:rsidP="00895F0D">
      <w:pPr>
        <w:jc w:val="both"/>
      </w:pPr>
      <w:r w:rsidRPr="00861957">
        <w:t>There remains room for improvement. There are still challenges such as access to electricity and capital, protecting investors, export competitiveness and resolving insolvency. IFC surveys demonstrate that 59% of MSMEs consider the following problems as impedi</w:t>
      </w:r>
      <w:r w:rsidR="006E520E" w:rsidRPr="00861957">
        <w:t>ments</w:t>
      </w:r>
      <w:r w:rsidRPr="00861957">
        <w:t xml:space="preserve"> for doing business: inconsistency of legislation (59%), lack of </w:t>
      </w:r>
      <w:r w:rsidR="006E520E" w:rsidRPr="00861957">
        <w:t xml:space="preserve">a </w:t>
      </w:r>
      <w:r w:rsidRPr="00861957">
        <w:t>skilled workforce (55.7%), access to finance (35.2%), inspections (35%), obtaining permits (29.1%), price controls (28.8%), access to land and other resources (20.2%) and licensing (13.4%)</w:t>
      </w:r>
      <w:r w:rsidR="006E520E" w:rsidRPr="00861957">
        <w:t>.</w:t>
      </w:r>
      <w:r w:rsidRPr="00861957">
        <w:rPr>
          <w:rStyle w:val="FootnoteReference"/>
        </w:rPr>
        <w:footnoteReference w:id="12"/>
      </w:r>
    </w:p>
    <w:p w14:paraId="2034AC8D" w14:textId="77777777" w:rsidR="00895F0D" w:rsidRPr="00861957" w:rsidRDefault="00895F0D" w:rsidP="00895F0D">
      <w:pPr>
        <w:tabs>
          <w:tab w:val="left" w:pos="3255"/>
        </w:tabs>
        <w:jc w:val="both"/>
      </w:pPr>
    </w:p>
    <w:p w14:paraId="7D0E9250" w14:textId="0DFED469" w:rsidR="004D4C5F" w:rsidRPr="00861957" w:rsidRDefault="00895F0D" w:rsidP="00895F0D">
      <w:pPr>
        <w:tabs>
          <w:tab w:val="left" w:pos="3255"/>
        </w:tabs>
        <w:jc w:val="both"/>
      </w:pPr>
      <w:r w:rsidRPr="00861957">
        <w:t>SMEs engaged in export and import activities could also benefit from fostering inter-agency cooperation and joint</w:t>
      </w:r>
      <w:r w:rsidR="006E520E" w:rsidRPr="00861957">
        <w:t xml:space="preserve"> </w:t>
      </w:r>
      <w:r w:rsidRPr="00861957">
        <w:t>action at the border and further simplification of trade procedures and streamlin</w:t>
      </w:r>
      <w:r w:rsidR="006E520E" w:rsidRPr="00861957">
        <w:t>ing of</w:t>
      </w:r>
      <w:r w:rsidRPr="00861957">
        <w:t xml:space="preserve"> documentary requirements.</w:t>
      </w:r>
      <w:r w:rsidRPr="00861957">
        <w:rPr>
          <w:rStyle w:val="FootnoteReference"/>
        </w:rPr>
        <w:footnoteReference w:id="13"/>
      </w:r>
      <w:r w:rsidRPr="00861957">
        <w:t xml:space="preserve"> UNECE, UNCTAD, ITC, UNDP and UNIDO, based on their comparative advantages and in cooperation with the Council of Ministers, the Ministry of Economy, the Ministry of Foreign Affairs and the National Bank, are ready to provide policy and technical advice on developing and implementing structural reforms, improving </w:t>
      </w:r>
      <w:r w:rsidR="00695DE0" w:rsidRPr="00861957">
        <w:t>the</w:t>
      </w:r>
      <w:r w:rsidRPr="00861957">
        <w:t xml:space="preserve"> business and regulatory environment and expanding access to credit for SMEs and public access to finance, thus facilitating the development of the private and financial sector and fostering </w:t>
      </w:r>
      <w:r w:rsidR="00695DE0" w:rsidRPr="00861957">
        <w:t xml:space="preserve">the </w:t>
      </w:r>
      <w:r w:rsidRPr="00861957">
        <w:t>international competitiveness of Belarus</w:t>
      </w:r>
      <w:r w:rsidR="00695DE0" w:rsidRPr="00861957">
        <w:t>ian</w:t>
      </w:r>
      <w:r w:rsidRPr="00861957">
        <w:t xml:space="preserve"> products and services. </w:t>
      </w:r>
    </w:p>
    <w:p w14:paraId="0658AB75" w14:textId="77777777" w:rsidR="004D4C5F" w:rsidRPr="00861957" w:rsidRDefault="004D4C5F" w:rsidP="00895F0D">
      <w:pPr>
        <w:tabs>
          <w:tab w:val="left" w:pos="3255"/>
        </w:tabs>
        <w:jc w:val="both"/>
      </w:pPr>
    </w:p>
    <w:p w14:paraId="22FB0233" w14:textId="77777777" w:rsidR="00406E7E" w:rsidRPr="00861957" w:rsidRDefault="00406E7E" w:rsidP="00406E7E">
      <w:pPr>
        <w:jc w:val="both"/>
      </w:pPr>
      <w:r w:rsidRPr="008B2AD6">
        <w:lastRenderedPageBreak/>
        <w:t xml:space="preserve">UNDP and UNWTO will also work to promote development in small and medium towns, including through the development of SMEs. UNDP’s efforts will focus on supporting the country in developing sustainable economic </w:t>
      </w:r>
      <w:r w:rsidRPr="008B2AD6">
        <w:rPr>
          <w:bCs/>
        </w:rPr>
        <w:t>conditions at the regional and local levels, particularly</w:t>
      </w:r>
      <w:r w:rsidRPr="008B2AD6" w:rsidDel="00695DE0">
        <w:rPr>
          <w:bCs/>
        </w:rPr>
        <w:t xml:space="preserve"> </w:t>
      </w:r>
      <w:r w:rsidRPr="008B2AD6">
        <w:rPr>
          <w:bCs/>
        </w:rPr>
        <w:t>in the areas recovering from the Chernobyl disaster, by attracting foreign and local investment, supporting innovation, developing small and medium business, encouraging entrepreneurship and promoting inclusive employment. UNWTO will provide training courses for tourism-related SMEs as well as relevant tourism practitioners and officials, addressing thereby the expressed goal of the National Tourism Development Program for 2016-2020 to improve staffing quality in the tourism industry and to enhance the promotion of Belarus as a tourism destination.</w:t>
      </w:r>
    </w:p>
    <w:p w14:paraId="7D4EE88A" w14:textId="77777777" w:rsidR="00895F0D" w:rsidRPr="00861957" w:rsidRDefault="00895F0D" w:rsidP="000F735D">
      <w:pPr>
        <w:jc w:val="both"/>
        <w:rPr>
          <w:bCs/>
        </w:rPr>
      </w:pPr>
    </w:p>
    <w:p w14:paraId="573BF223" w14:textId="4C996360" w:rsidR="00895F0D" w:rsidRPr="00861957" w:rsidRDefault="00895F0D" w:rsidP="00895F0D">
      <w:pPr>
        <w:jc w:val="both"/>
        <w:rPr>
          <w:bCs/>
        </w:rPr>
      </w:pPr>
      <w:r w:rsidRPr="00861957">
        <w:rPr>
          <w:bCs/>
        </w:rPr>
        <w:t xml:space="preserve">This outcome also corresponds to one of the fundamental goals of the </w:t>
      </w:r>
      <w:r w:rsidR="000B47C6">
        <w:rPr>
          <w:bCs/>
        </w:rPr>
        <w:t>NSSSED</w:t>
      </w:r>
      <w:r w:rsidRPr="00861957">
        <w:rPr>
          <w:bCs/>
        </w:rPr>
        <w:t xml:space="preserve">-2030 Concept that </w:t>
      </w:r>
      <w:r w:rsidRPr="00861957">
        <w:t>recogni</w:t>
      </w:r>
      <w:r w:rsidR="008E485C" w:rsidRPr="00861957">
        <w:t>z</w:t>
      </w:r>
      <w:r w:rsidRPr="00861957">
        <w:t xml:space="preserve">es </w:t>
      </w:r>
      <w:r w:rsidR="00695DE0" w:rsidRPr="00861957">
        <w:t xml:space="preserve">the </w:t>
      </w:r>
      <w:r w:rsidRPr="00861957">
        <w:t xml:space="preserve">promotion of knowledge-based growth and improvement of </w:t>
      </w:r>
      <w:r w:rsidR="00695DE0" w:rsidRPr="00861957">
        <w:t xml:space="preserve">Belarus’s </w:t>
      </w:r>
      <w:r w:rsidRPr="00861957">
        <w:t xml:space="preserve">international competitiveness as development priorities. These are important </w:t>
      </w:r>
      <w:r w:rsidR="00695DE0" w:rsidRPr="00861957">
        <w:t xml:space="preserve">steps </w:t>
      </w:r>
      <w:r w:rsidRPr="00861957">
        <w:t>to rais</w:t>
      </w:r>
      <w:r w:rsidR="00695DE0" w:rsidRPr="00861957">
        <w:t>ing</w:t>
      </w:r>
      <w:r w:rsidRPr="00861957">
        <w:t xml:space="preserve"> </w:t>
      </w:r>
      <w:r w:rsidR="00695DE0" w:rsidRPr="00861957">
        <w:t xml:space="preserve">the </w:t>
      </w:r>
      <w:r w:rsidRPr="00861957">
        <w:t>living standards of Belarusians and creat</w:t>
      </w:r>
      <w:r w:rsidR="00695DE0" w:rsidRPr="00861957">
        <w:t>ing</w:t>
      </w:r>
      <w:r w:rsidRPr="00861957">
        <w:t xml:space="preserve"> prosperity in the country.</w:t>
      </w:r>
    </w:p>
    <w:p w14:paraId="31C51A3B" w14:textId="77777777" w:rsidR="0007645B" w:rsidRPr="00861957" w:rsidRDefault="0007645B" w:rsidP="001A349A"/>
    <w:p w14:paraId="718C2A63" w14:textId="338643D3" w:rsidR="000F735D" w:rsidRPr="00861957" w:rsidRDefault="00695DE0" w:rsidP="000F735D">
      <w:pPr>
        <w:jc w:val="both"/>
      </w:pPr>
      <w:r w:rsidRPr="00861957">
        <w:t>Belarus’s e</w:t>
      </w:r>
      <w:r w:rsidR="000F735D" w:rsidRPr="00861957">
        <w:t xml:space="preserve">xpenditures on R&amp;D </w:t>
      </w:r>
      <w:r w:rsidR="00077019" w:rsidRPr="00861957">
        <w:t>amounted to 0.69% of GDP in 2013</w:t>
      </w:r>
      <w:r w:rsidR="000F735D" w:rsidRPr="00861957">
        <w:t>, while the average Gross Domestic Expenditure on R&amp;D (GERD) in developing countries was 1.11%</w:t>
      </w:r>
      <w:r w:rsidRPr="00861957">
        <w:t>.</w:t>
      </w:r>
      <w:r w:rsidR="000F735D" w:rsidRPr="00861957">
        <w:rPr>
          <w:rStyle w:val="FootnoteReference"/>
        </w:rPr>
        <w:footnoteReference w:id="14"/>
      </w:r>
      <w:r w:rsidR="000F735D" w:rsidRPr="00861957">
        <w:t xml:space="preserve"> </w:t>
      </w:r>
      <w:r w:rsidRPr="00861957">
        <w:t>T</w:t>
      </w:r>
      <w:r w:rsidR="000F735D" w:rsidRPr="00861957">
        <w:t>he EU-28 countries spent</w:t>
      </w:r>
      <w:r w:rsidRPr="00861957">
        <w:t>, on average,</w:t>
      </w:r>
      <w:r w:rsidR="000F735D" w:rsidRPr="00861957">
        <w:t xml:space="preserve"> 2.1% of GDP on R&amp;D. </w:t>
      </w:r>
      <w:r w:rsidR="00077019" w:rsidRPr="00861957">
        <w:t xml:space="preserve">Based on </w:t>
      </w:r>
      <w:r w:rsidR="000B47C6">
        <w:t>NSSSED</w:t>
      </w:r>
      <w:r w:rsidR="00077019" w:rsidRPr="00861957">
        <w:t xml:space="preserve">-2030, spending on R&amp;D </w:t>
      </w:r>
      <w:r w:rsidRPr="00861957">
        <w:t xml:space="preserve">will </w:t>
      </w:r>
      <w:r w:rsidR="00077019" w:rsidRPr="00861957">
        <w:t xml:space="preserve">increase to 1.2% by 2020 </w:t>
      </w:r>
      <w:r w:rsidR="000F735D" w:rsidRPr="00861957">
        <w:t>as a result of the implementation of related national programmes.</w:t>
      </w:r>
    </w:p>
    <w:p w14:paraId="294319D1" w14:textId="77777777" w:rsidR="000F735D" w:rsidRPr="00861957" w:rsidRDefault="000F735D" w:rsidP="000F735D">
      <w:pPr>
        <w:jc w:val="both"/>
      </w:pPr>
    </w:p>
    <w:p w14:paraId="0E423887" w14:textId="40E4C959" w:rsidR="000F735D" w:rsidRPr="00861957" w:rsidRDefault="000F735D" w:rsidP="000F735D">
      <w:pPr>
        <w:tabs>
          <w:tab w:val="left" w:pos="7665"/>
        </w:tabs>
        <w:jc w:val="both"/>
      </w:pPr>
      <w:r w:rsidRPr="00861957">
        <w:t xml:space="preserve">Belarus intends to create a national institutional platform for technology foresight to contribute to the effectiveness of the national innovation system through strengthened institutional capacities in technology foresight and to pursue the priorities identified in national strategies and programmes, including </w:t>
      </w:r>
      <w:r w:rsidR="000B47C6">
        <w:t>NSSSED</w:t>
      </w:r>
      <w:r w:rsidR="00B43670" w:rsidRPr="00861957">
        <w:t xml:space="preserve">-2030, </w:t>
      </w:r>
      <w:r w:rsidRPr="00861957">
        <w:t xml:space="preserve">the Technological Development Strategy of the Republic of Belarus until 2015, the State Programme of Innovation Development </w:t>
      </w:r>
      <w:r w:rsidR="003D0269" w:rsidRPr="00861957">
        <w:t xml:space="preserve">of the Republic of Belarus </w:t>
      </w:r>
      <w:r w:rsidRPr="00861957">
        <w:t>for 2011-2015, the State Programme in Production of New and High Technologies for 2011-2015.</w:t>
      </w:r>
    </w:p>
    <w:p w14:paraId="1D7F3F1A" w14:textId="77777777" w:rsidR="000F735D" w:rsidRPr="00861957" w:rsidRDefault="000F735D" w:rsidP="001A349A"/>
    <w:p w14:paraId="35A49ACB" w14:textId="7B89EECC" w:rsidR="000F735D" w:rsidRPr="00861957" w:rsidRDefault="000F735D" w:rsidP="000F735D">
      <w:pPr>
        <w:jc w:val="both"/>
      </w:pPr>
      <w:r w:rsidRPr="00861957">
        <w:t>UNECE’s pilot ‘Innovation Performance Review of Belarus’</w:t>
      </w:r>
      <w:r w:rsidRPr="00861957">
        <w:rPr>
          <w:rStyle w:val="FootnoteReference"/>
        </w:rPr>
        <w:footnoteReference w:id="15"/>
      </w:r>
      <w:r w:rsidRPr="00861957">
        <w:t xml:space="preserve"> recogni</w:t>
      </w:r>
      <w:r w:rsidR="000F002C" w:rsidRPr="00861957">
        <w:t>z</w:t>
      </w:r>
      <w:r w:rsidRPr="00861957">
        <w:t xml:space="preserve">ed that Belarus </w:t>
      </w:r>
      <w:r w:rsidRPr="00861957">
        <w:rPr>
          <w:i/>
        </w:rPr>
        <w:t xml:space="preserve">‘…has developed a wide range of initiatives to foster innovation’ </w:t>
      </w:r>
      <w:r w:rsidRPr="00CB136E">
        <w:t>and</w:t>
      </w:r>
      <w:r w:rsidRPr="00861957">
        <w:rPr>
          <w:i/>
        </w:rPr>
        <w:t xml:space="preserve"> </w:t>
      </w:r>
      <w:r w:rsidR="00695DE0" w:rsidRPr="00861957">
        <w:t>that</w:t>
      </w:r>
      <w:r w:rsidR="00695DE0" w:rsidRPr="00861957">
        <w:rPr>
          <w:i/>
        </w:rPr>
        <w:t xml:space="preserve"> </w:t>
      </w:r>
      <w:r w:rsidRPr="00861957">
        <w:rPr>
          <w:i/>
        </w:rPr>
        <w:t xml:space="preserve">‘…substantial efforts have been made to organize the institutional element of the national innovation system’. </w:t>
      </w:r>
      <w:r w:rsidRPr="00861957">
        <w:t>UNECE argues that the national innovation system lacks efficient horizontal interactions</w:t>
      </w:r>
      <w:r w:rsidR="009E3BDF" w:rsidRPr="00861957">
        <w:t xml:space="preserve">, </w:t>
      </w:r>
      <w:r w:rsidR="00695DE0" w:rsidRPr="00861957">
        <w:t xml:space="preserve">has an underdeveloped entrepreneurial/SME sector, and </w:t>
      </w:r>
      <w:r w:rsidRPr="00861957">
        <w:t>displays mismatches in statistical methodologies and practices on innovation performance as compared to other European countries</w:t>
      </w:r>
      <w:r w:rsidR="009E3BDF" w:rsidRPr="00861957">
        <w:t>.</w:t>
      </w:r>
    </w:p>
    <w:p w14:paraId="06D32921" w14:textId="77777777" w:rsidR="000F735D" w:rsidRPr="00861957" w:rsidRDefault="000F735D" w:rsidP="000F735D">
      <w:pPr>
        <w:jc w:val="both"/>
      </w:pPr>
    </w:p>
    <w:p w14:paraId="6DDD801F" w14:textId="2ADFEC6F" w:rsidR="00DD7BFB" w:rsidRPr="00861957" w:rsidRDefault="000F735D" w:rsidP="000F735D">
      <w:pPr>
        <w:jc w:val="both"/>
      </w:pPr>
      <w:r w:rsidRPr="00861957">
        <w:t xml:space="preserve">UNECE recommends </w:t>
      </w:r>
      <w:r w:rsidR="00695DE0" w:rsidRPr="00861957">
        <w:t xml:space="preserve">the provision of </w:t>
      </w:r>
      <w:r w:rsidRPr="00861957">
        <w:t>affordable access to external finance in various forms (stock market, business angels, venture capital)</w:t>
      </w:r>
      <w:r w:rsidR="009E3BDF" w:rsidRPr="00861957">
        <w:t xml:space="preserve"> and </w:t>
      </w:r>
      <w:r w:rsidR="00DA4868" w:rsidRPr="00861957">
        <w:t xml:space="preserve">the launching of </w:t>
      </w:r>
      <w:r w:rsidRPr="00861957">
        <w:t xml:space="preserve">awareness campaigns to achieve a cultural shift in the attitudes of the population towards innovation, business and entrepreneurship, to promote international mobility </w:t>
      </w:r>
      <w:r w:rsidR="00DA4868" w:rsidRPr="00861957">
        <w:t xml:space="preserve">for </w:t>
      </w:r>
      <w:r w:rsidRPr="00861957">
        <w:t>scientists and PhD students</w:t>
      </w:r>
      <w:r w:rsidR="00DA4868" w:rsidRPr="00861957">
        <w:t>,</w:t>
      </w:r>
      <w:r w:rsidRPr="00861957">
        <w:t xml:space="preserve"> and to encourage the internationalization of companies engaged in </w:t>
      </w:r>
      <w:r w:rsidR="009E3BDF" w:rsidRPr="00861957">
        <w:t>knowledge-intensive activities</w:t>
      </w:r>
      <w:r w:rsidR="00DA4868" w:rsidRPr="00861957">
        <w:t>.</w:t>
      </w:r>
    </w:p>
    <w:p w14:paraId="65891ABF" w14:textId="77777777" w:rsidR="000F735D" w:rsidRPr="00861957" w:rsidRDefault="000F735D" w:rsidP="000F735D">
      <w:pPr>
        <w:jc w:val="both"/>
      </w:pPr>
    </w:p>
    <w:p w14:paraId="57D40A65" w14:textId="76104AFC" w:rsidR="000F735D" w:rsidRPr="00861957" w:rsidRDefault="000F735D" w:rsidP="00F20907">
      <w:pPr>
        <w:tabs>
          <w:tab w:val="left" w:pos="3255"/>
        </w:tabs>
        <w:jc w:val="both"/>
      </w:pPr>
      <w:r w:rsidRPr="00861957">
        <w:t xml:space="preserve">UNECE (2011) considers FDI a factor that </w:t>
      </w:r>
      <w:r w:rsidRPr="00861957">
        <w:rPr>
          <w:i/>
        </w:rPr>
        <w:t xml:space="preserve">‘can make a significant contribution in raising the innovation potential of the economy and provide access to new technologies and organizational practices’. </w:t>
      </w:r>
      <w:r w:rsidRPr="00861957">
        <w:t>UNECE concludes that knowledge-driven economic growth requires</w:t>
      </w:r>
      <w:r w:rsidR="00DA4868" w:rsidRPr="00861957">
        <w:t xml:space="preserve"> increased</w:t>
      </w:r>
      <w:r w:rsidRPr="00861957">
        <w:t xml:space="preserve"> FDI, facilitation of the integration of domestic innovation stakeholders in global innovation chains, </w:t>
      </w:r>
      <w:r w:rsidR="00DA4868" w:rsidRPr="00861957">
        <w:t xml:space="preserve">and </w:t>
      </w:r>
      <w:r w:rsidRPr="00861957">
        <w:t xml:space="preserve">the promotion of technology acquisition through trade and cooperation with leading foreign partners in innovation processes. Such growth requires </w:t>
      </w:r>
      <w:r w:rsidR="00DA4868" w:rsidRPr="00861957">
        <w:t xml:space="preserve">the </w:t>
      </w:r>
      <w:r w:rsidRPr="00861957">
        <w:t xml:space="preserve">creation of a business environment conducive to FDI, </w:t>
      </w:r>
      <w:r w:rsidR="00DA4868" w:rsidRPr="00861957">
        <w:t xml:space="preserve">with </w:t>
      </w:r>
      <w:r w:rsidRPr="00861957">
        <w:t xml:space="preserve">fewer restrictions </w:t>
      </w:r>
      <w:r w:rsidR="00DA4868" w:rsidRPr="00861957">
        <w:t xml:space="preserve">on </w:t>
      </w:r>
      <w:r w:rsidRPr="00861957">
        <w:t>invest</w:t>
      </w:r>
      <w:r w:rsidR="00DA4868" w:rsidRPr="00861957">
        <w:t>ment</w:t>
      </w:r>
      <w:r w:rsidRPr="00861957">
        <w:t xml:space="preserve">, lower tariffs and </w:t>
      </w:r>
      <w:r w:rsidR="00DA4868" w:rsidRPr="00861957">
        <w:t xml:space="preserve">greater </w:t>
      </w:r>
      <w:r w:rsidRPr="00861957">
        <w:t xml:space="preserve">currency convertibility, and complementary policy measures. </w:t>
      </w:r>
      <w:r w:rsidR="00F20907" w:rsidRPr="00861957">
        <w:t xml:space="preserve">In 2013, Belarus had </w:t>
      </w:r>
      <w:r w:rsidR="00DA4868" w:rsidRPr="00861957">
        <w:t xml:space="preserve">a net </w:t>
      </w:r>
      <w:r w:rsidR="00F20907" w:rsidRPr="00861957">
        <w:t>FDI stock per capita of USD228.9.</w:t>
      </w:r>
    </w:p>
    <w:p w14:paraId="7C9FABF0" w14:textId="77777777" w:rsidR="00F20907" w:rsidRPr="00861957" w:rsidRDefault="00F20907" w:rsidP="00F20907">
      <w:pPr>
        <w:tabs>
          <w:tab w:val="left" w:pos="3255"/>
        </w:tabs>
        <w:jc w:val="both"/>
      </w:pPr>
    </w:p>
    <w:p w14:paraId="149421EF" w14:textId="6A19915E" w:rsidR="006B5273" w:rsidRPr="00861957" w:rsidRDefault="006B5273" w:rsidP="000F735D">
      <w:pPr>
        <w:jc w:val="both"/>
      </w:pPr>
      <w:r w:rsidRPr="00861957">
        <w:t xml:space="preserve">The Government has invited UNECE to carry out a second Innovation Performance Review in 2015-2016 in order to assess </w:t>
      </w:r>
      <w:r w:rsidR="00DA4868" w:rsidRPr="00861957">
        <w:t xml:space="preserve">the </w:t>
      </w:r>
      <w:r w:rsidRPr="00861957">
        <w:t>progress made in innovation policy reform and innovation performance since the first review, and to provide additional recommendations for further improvements in th</w:t>
      </w:r>
      <w:r w:rsidR="00DA4868" w:rsidRPr="00861957">
        <w:t>ese</w:t>
      </w:r>
      <w:r w:rsidRPr="00861957">
        <w:t xml:space="preserve"> area</w:t>
      </w:r>
      <w:r w:rsidR="00DA4868" w:rsidRPr="00861957">
        <w:t>s</w:t>
      </w:r>
      <w:r w:rsidRPr="00861957">
        <w:t>.</w:t>
      </w:r>
    </w:p>
    <w:p w14:paraId="11E67829" w14:textId="77777777" w:rsidR="006B5273" w:rsidRPr="00861957" w:rsidRDefault="006B5273" w:rsidP="000F735D">
      <w:pPr>
        <w:jc w:val="both"/>
      </w:pPr>
    </w:p>
    <w:p w14:paraId="7357E60E" w14:textId="1B238276" w:rsidR="004D4C5F" w:rsidRPr="00861957" w:rsidRDefault="00415CE8" w:rsidP="004D4C5F">
      <w:pPr>
        <w:jc w:val="both"/>
        <w:rPr>
          <w:iCs/>
          <w:color w:val="1F497D"/>
        </w:rPr>
      </w:pPr>
      <w:r w:rsidRPr="00861957">
        <w:t>The UN in Belarus has a proven track record in providing quality policy and technical advice and in promoting innovation through such measure</w:t>
      </w:r>
      <w:r w:rsidR="003B7718" w:rsidRPr="00861957">
        <w:t xml:space="preserve">s as UNDP’s </w:t>
      </w:r>
      <w:r w:rsidR="00011AB9">
        <w:t xml:space="preserve">Social </w:t>
      </w:r>
      <w:r w:rsidR="003B7718" w:rsidRPr="00861957">
        <w:t xml:space="preserve">Innovation Lab and Hack for Social Change </w:t>
      </w:r>
      <w:r w:rsidR="00DA4868" w:rsidRPr="00861957">
        <w:t xml:space="preserve">initiative, </w:t>
      </w:r>
      <w:r w:rsidRPr="00861957">
        <w:t xml:space="preserve">aimed at fostering social entrepreneurship and bringing social innovators such as Edgeryders to Belarus to discover the existing </w:t>
      </w:r>
      <w:r w:rsidR="00010FD4" w:rsidRPr="00861957">
        <w:t xml:space="preserve">innovation scene. UNECE, UNCTAD, </w:t>
      </w:r>
      <w:r w:rsidRPr="00861957">
        <w:t xml:space="preserve">UNDP </w:t>
      </w:r>
      <w:r w:rsidR="00010FD4" w:rsidRPr="00861957">
        <w:t xml:space="preserve">and UNIDO </w:t>
      </w:r>
      <w:r w:rsidRPr="00861957">
        <w:t xml:space="preserve">can promote cooperation between national actors to </w:t>
      </w:r>
      <w:r w:rsidR="00DA4868" w:rsidRPr="00861957">
        <w:t>expand this innovation scene</w:t>
      </w:r>
      <w:r w:rsidRPr="00861957">
        <w:t xml:space="preserve">. </w:t>
      </w:r>
      <w:r w:rsidR="00010FD4" w:rsidRPr="00861957">
        <w:t>UNIDO is committed to work</w:t>
      </w:r>
      <w:r w:rsidR="00DA4868" w:rsidRPr="00861957">
        <w:t>ing</w:t>
      </w:r>
      <w:r w:rsidR="00010FD4" w:rsidRPr="00861957">
        <w:t xml:space="preserve"> with the Government </w:t>
      </w:r>
      <w:r w:rsidR="00DA4868" w:rsidRPr="00861957">
        <w:t xml:space="preserve">on </w:t>
      </w:r>
      <w:r w:rsidR="00010FD4" w:rsidRPr="00861957">
        <w:t xml:space="preserve">fostering inclusive and sustainable industrialization through leveraging multi-stakeholder resources and </w:t>
      </w:r>
      <w:r w:rsidR="003F6778" w:rsidRPr="00861957">
        <w:t>innovative partnership models</w:t>
      </w:r>
      <w:r w:rsidR="004D4C5F" w:rsidRPr="00861957">
        <w:t xml:space="preserve">, </w:t>
      </w:r>
      <w:r w:rsidR="004D4C5F" w:rsidRPr="00861957">
        <w:rPr>
          <w:iCs/>
          <w:color w:val="000000"/>
        </w:rPr>
        <w:t xml:space="preserve">supporting the creation of </w:t>
      </w:r>
      <w:r w:rsidR="004D4C5F" w:rsidRPr="00861957">
        <w:rPr>
          <w:iCs/>
        </w:rPr>
        <w:t xml:space="preserve">modern agro-industrial business infrastructure in </w:t>
      </w:r>
      <w:r w:rsidR="00DA4868" w:rsidRPr="00861957">
        <w:rPr>
          <w:iCs/>
        </w:rPr>
        <w:t>Hrodna Region,</w:t>
      </w:r>
      <w:r w:rsidR="004D4C5F" w:rsidRPr="00861957">
        <w:rPr>
          <w:iCs/>
        </w:rPr>
        <w:t xml:space="preserve"> and ensuring the international competitiveness of suppliers in the automotive component industry.</w:t>
      </w:r>
    </w:p>
    <w:p w14:paraId="519C886C" w14:textId="37326E38" w:rsidR="00895F0D" w:rsidRPr="00861957" w:rsidRDefault="00895F0D" w:rsidP="003F6778">
      <w:pPr>
        <w:jc w:val="both"/>
      </w:pPr>
    </w:p>
    <w:p w14:paraId="7D2A74AB" w14:textId="1421862A" w:rsidR="006D5E77" w:rsidRPr="00861957" w:rsidRDefault="006D5E77" w:rsidP="006D5E77">
      <w:pPr>
        <w:pStyle w:val="Heading2"/>
        <w:rPr>
          <w:sz w:val="32"/>
          <w:szCs w:val="32"/>
        </w:rPr>
      </w:pPr>
      <w:bookmarkStart w:id="21" w:name="_Toc405745115"/>
      <w:bookmarkStart w:id="22" w:name="_Toc412921076"/>
      <w:r w:rsidRPr="00861957">
        <w:rPr>
          <w:sz w:val="32"/>
          <w:szCs w:val="32"/>
        </w:rPr>
        <w:t xml:space="preserve">UNDAF Area of Cooperation 3: Environmental Protection and Sustainable Environmental Management Based on the </w:t>
      </w:r>
      <w:r w:rsidR="00761278" w:rsidRPr="00861957">
        <w:rPr>
          <w:sz w:val="32"/>
          <w:szCs w:val="32"/>
        </w:rPr>
        <w:t xml:space="preserve">Principles of </w:t>
      </w:r>
      <w:r w:rsidRPr="00861957">
        <w:rPr>
          <w:sz w:val="32"/>
          <w:szCs w:val="32"/>
        </w:rPr>
        <w:t>Green Economy</w:t>
      </w:r>
      <w:bookmarkEnd w:id="21"/>
      <w:bookmarkEnd w:id="22"/>
    </w:p>
    <w:p w14:paraId="60CAB15D" w14:textId="77777777" w:rsidR="00264223" w:rsidRPr="00861957" w:rsidRDefault="00264223" w:rsidP="00264223">
      <w:pPr>
        <w:pStyle w:val="Caption"/>
        <w:jc w:val="both"/>
        <w:rPr>
          <w:b w:val="0"/>
          <w:sz w:val="24"/>
          <w:szCs w:val="24"/>
        </w:rPr>
      </w:pPr>
    </w:p>
    <w:p w14:paraId="5B03368B" w14:textId="09EE5292" w:rsidR="00264223" w:rsidRPr="00861957" w:rsidRDefault="00264223" w:rsidP="00264223">
      <w:pPr>
        <w:jc w:val="both"/>
        <w:rPr>
          <w:b/>
          <w:color w:val="548DD4" w:themeColor="text2" w:themeTint="99"/>
        </w:rPr>
      </w:pPr>
      <w:r w:rsidRPr="00861957">
        <w:rPr>
          <w:b/>
          <w:color w:val="548DD4" w:themeColor="text2" w:themeTint="99"/>
        </w:rPr>
        <w:t>Sustainable Development Goals:</w:t>
      </w:r>
      <w:r w:rsidRPr="00861957">
        <w:rPr>
          <w:color w:val="548DD4" w:themeColor="text2" w:themeTint="99"/>
        </w:rPr>
        <w:t xml:space="preserve"> </w:t>
      </w:r>
      <w:r w:rsidR="00DA4868" w:rsidRPr="00861957">
        <w:rPr>
          <w:color w:val="548DD4" w:themeColor="text2" w:themeTint="99"/>
        </w:rPr>
        <w:t xml:space="preserve">to </w:t>
      </w:r>
      <w:r w:rsidRPr="00861957">
        <w:t xml:space="preserve">ensure </w:t>
      </w:r>
      <w:r w:rsidR="00A16EA5" w:rsidRPr="00861957">
        <w:t xml:space="preserve">the </w:t>
      </w:r>
      <w:r w:rsidRPr="00861957">
        <w:t xml:space="preserve">availability and sustainable management of water and sanitation for all (6); </w:t>
      </w:r>
      <w:r w:rsidR="00DA4868" w:rsidRPr="00861957">
        <w:t xml:space="preserve">to </w:t>
      </w:r>
      <w:r w:rsidRPr="00861957">
        <w:t xml:space="preserve">ensure access to affordable, reliable, sustainable, and modern energy for all (7); </w:t>
      </w:r>
      <w:r w:rsidR="00DA4868" w:rsidRPr="00861957">
        <w:t xml:space="preserve">to </w:t>
      </w:r>
      <w:r w:rsidRPr="00861957">
        <w:t xml:space="preserve">take urgent action to combat climate change and its impacts (13); </w:t>
      </w:r>
      <w:r w:rsidR="00DA4868" w:rsidRPr="00861957">
        <w:t xml:space="preserve">to </w:t>
      </w:r>
      <w:r w:rsidRPr="00861957">
        <w:t>protect, restore and promote sustainable use of terrestrial ecosystems, sustainably manage forests, combat desertification, and halt and reverse land degradation and halt biodiversity loss (15).</w:t>
      </w:r>
    </w:p>
    <w:p w14:paraId="255052B5" w14:textId="240D310D" w:rsidR="00264223" w:rsidRPr="00861957" w:rsidRDefault="000B47C6" w:rsidP="00264223">
      <w:pPr>
        <w:jc w:val="both"/>
      </w:pPr>
      <w:r>
        <w:rPr>
          <w:b/>
          <w:color w:val="548DD4" w:themeColor="text2" w:themeTint="99"/>
        </w:rPr>
        <w:t>NSSSED</w:t>
      </w:r>
      <w:r w:rsidR="00264223" w:rsidRPr="00861957">
        <w:rPr>
          <w:b/>
          <w:color w:val="548DD4" w:themeColor="text2" w:themeTint="99"/>
        </w:rPr>
        <w:t>-2030:</w:t>
      </w:r>
      <w:r w:rsidR="00264223" w:rsidRPr="00861957">
        <w:rPr>
          <w:color w:val="548DD4" w:themeColor="text2" w:themeTint="99"/>
        </w:rPr>
        <w:t xml:space="preserve"> </w:t>
      </w:r>
      <w:r w:rsidR="00264223" w:rsidRPr="00861957">
        <w:t>ecologi</w:t>
      </w:r>
      <w:r w:rsidR="000F002C" w:rsidRPr="00861957">
        <w:t>za</w:t>
      </w:r>
      <w:r w:rsidR="00264223" w:rsidRPr="00861957">
        <w:t>tion of production and ensuring ecological security (5).</w:t>
      </w:r>
    </w:p>
    <w:p w14:paraId="1581A5ED" w14:textId="4F112B48" w:rsidR="00264223" w:rsidRPr="00861957" w:rsidRDefault="00264223" w:rsidP="00264223">
      <w:pPr>
        <w:jc w:val="both"/>
        <w:rPr>
          <w:b/>
          <w:color w:val="548DD4" w:themeColor="text2" w:themeTint="99"/>
        </w:rPr>
      </w:pPr>
      <w:r w:rsidRPr="00861957">
        <w:rPr>
          <w:b/>
          <w:color w:val="548DD4" w:themeColor="text2" w:themeTint="99"/>
        </w:rPr>
        <w:t xml:space="preserve">Post-2015 Consultations: </w:t>
      </w:r>
      <w:r w:rsidRPr="00861957">
        <w:t xml:space="preserve">environmental sustainability is among </w:t>
      </w:r>
      <w:r w:rsidR="00A16EA5" w:rsidRPr="00861957">
        <w:t xml:space="preserve">the </w:t>
      </w:r>
      <w:r w:rsidRPr="00861957">
        <w:t>priorities widely discussed during the discussion meetings, echoed by youth consultations and focus groups.</w:t>
      </w:r>
    </w:p>
    <w:p w14:paraId="29C7231B" w14:textId="77777777" w:rsidR="009E5AC4" w:rsidRPr="00861957" w:rsidRDefault="009E5AC4" w:rsidP="007214B0">
      <w:pPr>
        <w:pStyle w:val="PlainText"/>
        <w:jc w:val="both"/>
        <w:rPr>
          <w:rFonts w:ascii="Times New Roman" w:eastAsia="Times New Roman" w:hAnsi="Times New Roman" w:cs="Times New Roman"/>
          <w:sz w:val="24"/>
          <w:szCs w:val="24"/>
          <w:lang w:val="en-GB" w:eastAsia="en-GB"/>
        </w:rPr>
      </w:pPr>
    </w:p>
    <w:p w14:paraId="579A8A84" w14:textId="60B64B03" w:rsidR="009E5AC4" w:rsidRPr="00861957" w:rsidRDefault="009E5AC4" w:rsidP="009E5AC4">
      <w:pPr>
        <w:tabs>
          <w:tab w:val="left" w:pos="3255"/>
        </w:tabs>
        <w:jc w:val="both"/>
      </w:pPr>
      <w:r w:rsidRPr="00861957">
        <w:t>Belarus is a signatory</w:t>
      </w:r>
      <w:r w:rsidR="00326A44" w:rsidRPr="00861957">
        <w:t>/party</w:t>
      </w:r>
      <w:r w:rsidRPr="00861957">
        <w:t xml:space="preserve"> to major international environmental agreements: the Basel Convention – 1999; the Cartagena Protocol – 2003; the CBD – 1993; CITES – 1995; the CMS – 2003; the Kyoto Protocol – 2005; the Montreal Protocol – 1988; the Ramsar Convention – 1991; the Stockholm Convention – 2004; the UNCCD – 2001; the UNFCCC – 2000; the Vienna Convention – 1986 and the World Heritage Convention – 1989</w:t>
      </w:r>
      <w:r w:rsidR="00326A44" w:rsidRPr="00861957">
        <w:t xml:space="preserve">; </w:t>
      </w:r>
      <w:r w:rsidR="00EA17C6" w:rsidRPr="00861957">
        <w:t>the Convention on Long-range Trans</w:t>
      </w:r>
      <w:r w:rsidR="00861957">
        <w:t>-</w:t>
      </w:r>
      <w:r w:rsidR="00EA17C6" w:rsidRPr="00861957">
        <w:t xml:space="preserve">boundary Air Pollution (Air Convention) – 1979, </w:t>
      </w:r>
      <w:r w:rsidR="00326A44" w:rsidRPr="00861957">
        <w:t>the UNECE Convention on the Trans</w:t>
      </w:r>
      <w:r w:rsidR="00861957">
        <w:t>-</w:t>
      </w:r>
      <w:r w:rsidR="00326A44" w:rsidRPr="00861957">
        <w:t xml:space="preserve">boundary Effects of Industrial Accidents  - 2003; the UNECE </w:t>
      </w:r>
      <w:r w:rsidR="00EA17C6" w:rsidRPr="00861957">
        <w:t>Convention on the Protection and Use of Trans</w:t>
      </w:r>
      <w:r w:rsidR="00861957">
        <w:t>-</w:t>
      </w:r>
      <w:r w:rsidR="00EA17C6" w:rsidRPr="00861957">
        <w:t>boundary Watercourses and International Lakes (</w:t>
      </w:r>
      <w:r w:rsidR="00D51589" w:rsidRPr="00861957">
        <w:t xml:space="preserve">the </w:t>
      </w:r>
      <w:r w:rsidR="00326A44" w:rsidRPr="00861957">
        <w:t>Water Convention</w:t>
      </w:r>
      <w:r w:rsidR="00EA17C6" w:rsidRPr="00861957">
        <w:t>)</w:t>
      </w:r>
      <w:r w:rsidR="00326A44" w:rsidRPr="00861957">
        <w:t xml:space="preserve"> – 1992; the UNECE-WHO/Europe Protocol on Water and Health – 1999; the UNECE Convention on Environmental Impact Assessment in a Trans</w:t>
      </w:r>
      <w:r w:rsidR="00861957">
        <w:t>-</w:t>
      </w:r>
      <w:r w:rsidR="00326A44" w:rsidRPr="00861957">
        <w:t>boundary Context (</w:t>
      </w:r>
      <w:r w:rsidR="00D51589" w:rsidRPr="00861957">
        <w:t xml:space="preserve">the </w:t>
      </w:r>
      <w:r w:rsidR="00326A44" w:rsidRPr="00861957">
        <w:t xml:space="preserve">Espoo Convention) – 1991; the UNECE </w:t>
      </w:r>
      <w:r w:rsidR="00EA17C6" w:rsidRPr="00861957">
        <w:t>Convention on Access to Information, Public Participation in Decision-Making and Access to Justice in Environmental Matters (</w:t>
      </w:r>
      <w:r w:rsidR="00D51589" w:rsidRPr="00861957">
        <w:t xml:space="preserve">the </w:t>
      </w:r>
      <w:r w:rsidR="00326A44" w:rsidRPr="00861957">
        <w:t>Aarhus Convention</w:t>
      </w:r>
      <w:r w:rsidR="00EA17C6" w:rsidRPr="00861957">
        <w:t>)</w:t>
      </w:r>
      <w:r w:rsidR="00326A44" w:rsidRPr="00861957">
        <w:t xml:space="preserve"> - 2000.</w:t>
      </w:r>
      <w:r w:rsidR="001D1C7D" w:rsidRPr="00861957">
        <w:t xml:space="preserve"> Belarus also </w:t>
      </w:r>
      <w:r w:rsidR="003F6778" w:rsidRPr="00861957">
        <w:t>signed</w:t>
      </w:r>
      <w:r w:rsidR="001D1C7D" w:rsidRPr="00861957">
        <w:t xml:space="preserve"> the</w:t>
      </w:r>
      <w:r w:rsidR="003F6778" w:rsidRPr="00861957">
        <w:t xml:space="preserve"> Minamata Convention on Mercury and joined the Nagoya Protocol on Access to Genetic Resources and the Fair and Equitable Sharing of Benefits Arising from their Utilization to the Convention on Biological Diversity (22 May 2014).</w:t>
      </w:r>
    </w:p>
    <w:p w14:paraId="5EC0BD46" w14:textId="77777777" w:rsidR="001C06E2" w:rsidRPr="00861957" w:rsidRDefault="001C06E2" w:rsidP="009E5AC4">
      <w:pPr>
        <w:tabs>
          <w:tab w:val="left" w:pos="3255"/>
        </w:tabs>
        <w:jc w:val="both"/>
      </w:pPr>
    </w:p>
    <w:p w14:paraId="2329FFAC" w14:textId="4C689478" w:rsidR="0098470F" w:rsidRPr="00861957" w:rsidRDefault="0098470F" w:rsidP="0098470F">
      <w:pPr>
        <w:tabs>
          <w:tab w:val="left" w:pos="3255"/>
        </w:tabs>
        <w:jc w:val="both"/>
      </w:pPr>
      <w:r w:rsidRPr="00861957">
        <w:t xml:space="preserve">Belarus has approved a large number of policy documents in the field of </w:t>
      </w:r>
      <w:r w:rsidR="00D51589" w:rsidRPr="00861957">
        <w:t xml:space="preserve">the </w:t>
      </w:r>
      <w:r w:rsidRPr="00861957">
        <w:t xml:space="preserve">environment, such as the </w:t>
      </w:r>
      <w:r w:rsidR="00B403C1" w:rsidRPr="00861957">
        <w:t>State Programme for Development of Specially Protected Natural Areas for 2015-2019</w:t>
      </w:r>
      <w:r w:rsidRPr="00861957">
        <w:t>, the Strategy for Implementation of the Ramsar Convention and the Strategy for the Preservation and Sustainable Use of Bio</w:t>
      </w:r>
      <w:r w:rsidR="00B403C1" w:rsidRPr="00861957">
        <w:t xml:space="preserve">logical Diversity for 2011-2020, the Strategy for Reduction of Harmful Impact of Transport on Atmospheric Air of the Republic of Belarus </w:t>
      </w:r>
      <w:r w:rsidR="00D51589" w:rsidRPr="00861957">
        <w:t>until</w:t>
      </w:r>
      <w:r w:rsidR="00B403C1" w:rsidRPr="00861957">
        <w:t xml:space="preserve"> 2020, and the HCFC Phase Out Strategy of the Republic of Belarus until 2020.</w:t>
      </w:r>
    </w:p>
    <w:p w14:paraId="1D4229C6" w14:textId="77777777" w:rsidR="0098470F" w:rsidRPr="00861957" w:rsidRDefault="0098470F" w:rsidP="009E5AC4">
      <w:pPr>
        <w:tabs>
          <w:tab w:val="left" w:pos="3255"/>
        </w:tabs>
        <w:jc w:val="both"/>
      </w:pPr>
    </w:p>
    <w:p w14:paraId="0E4964ED" w14:textId="283613C0" w:rsidR="001C06E2" w:rsidRPr="00861957" w:rsidRDefault="001C06E2" w:rsidP="009E5AC4">
      <w:pPr>
        <w:tabs>
          <w:tab w:val="left" w:pos="3255"/>
        </w:tabs>
        <w:jc w:val="both"/>
      </w:pPr>
      <w:r w:rsidRPr="00861957">
        <w:t>Belarus remains committed to reduc</w:t>
      </w:r>
      <w:r w:rsidR="00D51589" w:rsidRPr="00861957">
        <w:t>ing</w:t>
      </w:r>
      <w:r w:rsidRPr="00861957">
        <w:t xml:space="preserve"> negative anthropogenic effect</w:t>
      </w:r>
      <w:r w:rsidR="00D51589" w:rsidRPr="00861957">
        <w:t>s</w:t>
      </w:r>
      <w:r w:rsidRPr="00861957">
        <w:t xml:space="preserve"> on the environment, mitigat</w:t>
      </w:r>
      <w:r w:rsidR="00D51589" w:rsidRPr="00861957">
        <w:t>ing</w:t>
      </w:r>
      <w:r w:rsidRPr="00861957">
        <w:t xml:space="preserve"> the impact of climate change, protect</w:t>
      </w:r>
      <w:r w:rsidR="00D51589" w:rsidRPr="00861957">
        <w:t>ing</w:t>
      </w:r>
      <w:r w:rsidRPr="00861957">
        <w:t xml:space="preserve"> landscape and biological diversity, increas</w:t>
      </w:r>
      <w:r w:rsidR="00D51589" w:rsidRPr="00861957">
        <w:t>ing</w:t>
      </w:r>
      <w:r w:rsidRPr="00861957">
        <w:t xml:space="preserve"> </w:t>
      </w:r>
      <w:r w:rsidR="006C7977" w:rsidRPr="00861957">
        <w:t xml:space="preserve">material resource and </w:t>
      </w:r>
      <w:r w:rsidR="00C6643B" w:rsidRPr="00861957">
        <w:t xml:space="preserve">energy efficiency, including </w:t>
      </w:r>
      <w:r w:rsidR="00D51589" w:rsidRPr="00861957">
        <w:t xml:space="preserve">through </w:t>
      </w:r>
      <w:r w:rsidRPr="00861957">
        <w:t>the use of local and renewable</w:t>
      </w:r>
      <w:r w:rsidR="00024D2E" w:rsidRPr="00861957">
        <w:t xml:space="preserve"> </w:t>
      </w:r>
      <w:r w:rsidR="00386939" w:rsidRPr="00861957">
        <w:t xml:space="preserve">sources of </w:t>
      </w:r>
      <w:r w:rsidR="00024D2E" w:rsidRPr="00861957">
        <w:t>energy</w:t>
      </w:r>
      <w:r w:rsidRPr="00861957">
        <w:t>.</w:t>
      </w:r>
    </w:p>
    <w:p w14:paraId="30B1A354" w14:textId="77777777" w:rsidR="009E5AC4" w:rsidRPr="00861957" w:rsidRDefault="009E5AC4" w:rsidP="007214B0">
      <w:pPr>
        <w:pStyle w:val="PlainText"/>
        <w:jc w:val="both"/>
        <w:rPr>
          <w:rFonts w:ascii="Times New Roman" w:eastAsia="Times New Roman" w:hAnsi="Times New Roman" w:cs="Times New Roman"/>
          <w:sz w:val="24"/>
          <w:szCs w:val="24"/>
          <w:lang w:val="en-GB" w:eastAsia="en-GB"/>
        </w:rPr>
      </w:pPr>
    </w:p>
    <w:p w14:paraId="29D38F14" w14:textId="51F3850E" w:rsidR="00EE1E8D" w:rsidRPr="00861957" w:rsidRDefault="00EE1E8D" w:rsidP="00EE1E8D">
      <w:pPr>
        <w:autoSpaceDE w:val="0"/>
        <w:autoSpaceDN w:val="0"/>
        <w:adjustRightInd w:val="0"/>
        <w:jc w:val="both"/>
      </w:pPr>
      <w:r w:rsidRPr="00861957">
        <w:t xml:space="preserve">In December 2014, the Ministry of Natural Resources and Environmental Protection of Belarus requested </w:t>
      </w:r>
      <w:r w:rsidR="00386939" w:rsidRPr="00861957">
        <w:t xml:space="preserve">that </w:t>
      </w:r>
      <w:r w:rsidRPr="00861957">
        <w:t xml:space="preserve">UNECE organize a third Environmental Performance Review (EPR) </w:t>
      </w:r>
      <w:r w:rsidR="00386939" w:rsidRPr="00861957">
        <w:t>for</w:t>
      </w:r>
      <w:r w:rsidRPr="00861957">
        <w:t xml:space="preserve"> Belarus. </w:t>
      </w:r>
    </w:p>
    <w:p w14:paraId="3424C9A2" w14:textId="77777777" w:rsidR="00EE1E8D" w:rsidRPr="00861957" w:rsidRDefault="00EE1E8D" w:rsidP="00EE1E8D">
      <w:pPr>
        <w:autoSpaceDE w:val="0"/>
        <w:autoSpaceDN w:val="0"/>
        <w:adjustRightInd w:val="0"/>
        <w:jc w:val="both"/>
        <w:rPr>
          <w:color w:val="000000"/>
          <w:sz w:val="22"/>
          <w:szCs w:val="22"/>
          <w:lang w:eastAsia="ru-RU"/>
        </w:rPr>
      </w:pPr>
    </w:p>
    <w:p w14:paraId="02581DC1" w14:textId="28976A6D" w:rsidR="00103E8D" w:rsidRPr="00861957" w:rsidRDefault="00EE1E8D" w:rsidP="00EE1E8D">
      <w:pPr>
        <w:autoSpaceDE w:val="0"/>
        <w:autoSpaceDN w:val="0"/>
        <w:adjustRightInd w:val="0"/>
        <w:jc w:val="both"/>
      </w:pPr>
      <w:r w:rsidRPr="00861957">
        <w:lastRenderedPageBreak/>
        <w:t xml:space="preserve">UNECE will carry out the third EPR </w:t>
      </w:r>
      <w:r w:rsidR="00386939" w:rsidRPr="00861957">
        <w:t>for</w:t>
      </w:r>
      <w:r w:rsidRPr="00861957">
        <w:t xml:space="preserve"> Belarus in 2015. The review will assess the implementation of the recommendations contained in the second review. This third EPR will cover 13 issues of importance to Belarus related to policymaking, planning and implementation, the financing of environmental policies and projects and the integration of environmental concerns into selected sectors, in particular</w:t>
      </w:r>
      <w:r w:rsidR="00386939" w:rsidRPr="00861957">
        <w:t>:</w:t>
      </w:r>
      <w:r w:rsidRPr="00861957">
        <w:t xml:space="preserve"> the sustainable management and protection of water resources</w:t>
      </w:r>
      <w:r w:rsidR="00386939" w:rsidRPr="00861957">
        <w:t>;</w:t>
      </w:r>
      <w:r w:rsidRPr="00861957">
        <w:t xml:space="preserve"> waste management</w:t>
      </w:r>
      <w:r w:rsidR="00386939" w:rsidRPr="00861957">
        <w:t>;</w:t>
      </w:r>
      <w:r w:rsidRPr="00861957">
        <w:t xml:space="preserve"> biodiversity and protected areas</w:t>
      </w:r>
      <w:r w:rsidR="00386939" w:rsidRPr="00861957">
        <w:t>;</w:t>
      </w:r>
      <w:r w:rsidRPr="00861957">
        <w:t xml:space="preserve"> energy</w:t>
      </w:r>
      <w:r w:rsidR="00386939" w:rsidRPr="00861957">
        <w:t>;</w:t>
      </w:r>
      <w:r w:rsidRPr="00861957">
        <w:t xml:space="preserve"> forestry</w:t>
      </w:r>
      <w:r w:rsidR="00386939" w:rsidRPr="00861957">
        <w:t>;</w:t>
      </w:r>
      <w:r w:rsidRPr="00861957">
        <w:t xml:space="preserve"> and tourism. </w:t>
      </w:r>
      <w:r w:rsidR="00386939" w:rsidRPr="00861957">
        <w:t>The relationship between e</w:t>
      </w:r>
      <w:r w:rsidRPr="00861957">
        <w:t xml:space="preserve">ducation and </w:t>
      </w:r>
      <w:r w:rsidR="00386939" w:rsidRPr="00861957">
        <w:t xml:space="preserve">the </w:t>
      </w:r>
      <w:r w:rsidRPr="00861957">
        <w:t>environment, as well as health</w:t>
      </w:r>
      <w:r w:rsidR="009B4450">
        <w:t>care</w:t>
      </w:r>
      <w:r w:rsidRPr="00861957">
        <w:t xml:space="preserve"> and </w:t>
      </w:r>
      <w:r w:rsidR="00386939" w:rsidRPr="00861957">
        <w:t xml:space="preserve">the </w:t>
      </w:r>
      <w:r w:rsidRPr="00861957">
        <w:t xml:space="preserve">environment, will </w:t>
      </w:r>
      <w:r w:rsidR="00386939" w:rsidRPr="00861957">
        <w:t xml:space="preserve">also </w:t>
      </w:r>
      <w:r w:rsidRPr="00861957">
        <w:t xml:space="preserve">be covered.  The recommendations will be reviewed by the EPR Expert group in October 2015. The report will be approved by the Committee on Environmental Policy at its 20th session in October 2015. It is expected that the EPR will be followed by technical assistance activities </w:t>
      </w:r>
      <w:r w:rsidR="00386939" w:rsidRPr="00861957">
        <w:t xml:space="preserve">in </w:t>
      </w:r>
      <w:r w:rsidR="00C6643B" w:rsidRPr="00861957">
        <w:t>cooperati</w:t>
      </w:r>
      <w:r w:rsidR="00386939" w:rsidRPr="00861957">
        <w:t>on</w:t>
      </w:r>
      <w:r w:rsidR="00C6643B" w:rsidRPr="00861957">
        <w:t xml:space="preserve"> with</w:t>
      </w:r>
      <w:r w:rsidRPr="00861957">
        <w:t xml:space="preserve"> the Government </w:t>
      </w:r>
      <w:r w:rsidR="00386939" w:rsidRPr="00861957">
        <w:t xml:space="preserve">to </w:t>
      </w:r>
      <w:r w:rsidRPr="00861957">
        <w:t>implemen</w:t>
      </w:r>
      <w:r w:rsidR="00386939" w:rsidRPr="00861957">
        <w:t>t</w:t>
      </w:r>
      <w:r w:rsidRPr="00861957">
        <w:t xml:space="preserve"> the policy recommendations.</w:t>
      </w:r>
    </w:p>
    <w:p w14:paraId="097A16AF" w14:textId="77777777" w:rsidR="00EE1E8D" w:rsidRPr="00861957" w:rsidRDefault="00EE1E8D" w:rsidP="007214B0">
      <w:pPr>
        <w:pStyle w:val="PlainText"/>
        <w:jc w:val="both"/>
        <w:rPr>
          <w:rFonts w:ascii="Times New Roman" w:eastAsia="Times New Roman" w:hAnsi="Times New Roman" w:cs="Times New Roman"/>
          <w:sz w:val="24"/>
          <w:szCs w:val="24"/>
          <w:lang w:val="en-GB" w:eastAsia="en-GB"/>
        </w:rPr>
      </w:pPr>
    </w:p>
    <w:p w14:paraId="2BC4F971" w14:textId="272AE394" w:rsidR="007214B0" w:rsidRPr="00861957" w:rsidRDefault="007214B0" w:rsidP="007214B0">
      <w:pPr>
        <w:pStyle w:val="PlainText"/>
        <w:jc w:val="both"/>
        <w:rPr>
          <w:rFonts w:ascii="Times New Roman" w:hAnsi="Times New Roman" w:cs="Times New Roman"/>
          <w:sz w:val="24"/>
          <w:szCs w:val="24"/>
          <w:lang w:val="en-GB"/>
        </w:rPr>
      </w:pPr>
      <w:r w:rsidRPr="00861957">
        <w:rPr>
          <w:rFonts w:ascii="Times New Roman" w:hAnsi="Times New Roman" w:cs="Times New Roman"/>
          <w:b/>
          <w:sz w:val="24"/>
          <w:szCs w:val="24"/>
          <w:lang w:val="en-GB"/>
        </w:rPr>
        <w:t>Outcome 3.1:</w:t>
      </w:r>
      <w:r w:rsidRPr="00861957">
        <w:rPr>
          <w:rFonts w:ascii="Times New Roman" w:hAnsi="Times New Roman" w:cs="Times New Roman"/>
          <w:sz w:val="24"/>
          <w:szCs w:val="24"/>
          <w:lang w:val="en-GB"/>
        </w:rPr>
        <w:t xml:space="preserve"> </w:t>
      </w:r>
      <w:r w:rsidR="002F0D95" w:rsidRPr="00861957">
        <w:rPr>
          <w:rFonts w:ascii="Times New Roman" w:hAnsi="Times New Roman" w:cs="Times New Roman"/>
          <w:sz w:val="24"/>
          <w:szCs w:val="24"/>
          <w:lang w:val="en-GB"/>
        </w:rPr>
        <w:t xml:space="preserve">By 2020, policies </w:t>
      </w:r>
      <w:r w:rsidR="00386939" w:rsidRPr="00861957">
        <w:rPr>
          <w:rFonts w:ascii="Times New Roman" w:hAnsi="Times New Roman" w:cs="Times New Roman"/>
          <w:sz w:val="24"/>
          <w:szCs w:val="24"/>
          <w:lang w:val="en-GB"/>
        </w:rPr>
        <w:t xml:space="preserve">will </w:t>
      </w:r>
      <w:r w:rsidR="002F0D95" w:rsidRPr="00861957">
        <w:rPr>
          <w:rFonts w:ascii="Times New Roman" w:hAnsi="Times New Roman" w:cs="Times New Roman"/>
          <w:sz w:val="24"/>
          <w:szCs w:val="24"/>
          <w:lang w:val="en-GB"/>
        </w:rPr>
        <w:t xml:space="preserve">have been improved and measures </w:t>
      </w:r>
      <w:r w:rsidR="00F23E5A" w:rsidRPr="00861957">
        <w:rPr>
          <w:rFonts w:ascii="Times New Roman" w:hAnsi="Times New Roman" w:cs="Times New Roman"/>
          <w:sz w:val="24"/>
          <w:szCs w:val="24"/>
          <w:lang w:val="en-GB"/>
        </w:rPr>
        <w:t xml:space="preserve">will </w:t>
      </w:r>
      <w:r w:rsidR="002F0D95" w:rsidRPr="00861957">
        <w:rPr>
          <w:rFonts w:ascii="Times New Roman" w:hAnsi="Times New Roman" w:cs="Times New Roman"/>
          <w:sz w:val="24"/>
          <w:szCs w:val="24"/>
          <w:lang w:val="en-GB"/>
        </w:rPr>
        <w:t xml:space="preserve">have been effectively implemented to increase energy efficiency and </w:t>
      </w:r>
      <w:r w:rsidR="00F23E5A" w:rsidRPr="00861957">
        <w:rPr>
          <w:rFonts w:ascii="Times New Roman" w:hAnsi="Times New Roman" w:cs="Times New Roman"/>
          <w:sz w:val="24"/>
          <w:szCs w:val="24"/>
          <w:lang w:val="en-GB"/>
        </w:rPr>
        <w:t xml:space="preserve">the </w:t>
      </w:r>
      <w:r w:rsidR="002F0D95" w:rsidRPr="00861957">
        <w:rPr>
          <w:rFonts w:ascii="Times New Roman" w:hAnsi="Times New Roman" w:cs="Times New Roman"/>
          <w:sz w:val="24"/>
          <w:szCs w:val="24"/>
          <w:lang w:val="en-GB"/>
        </w:rPr>
        <w:t>production of renewable energy,</w:t>
      </w:r>
      <w:r w:rsidR="00F23E5A" w:rsidRPr="00861957">
        <w:rPr>
          <w:rFonts w:ascii="Times New Roman" w:hAnsi="Times New Roman" w:cs="Times New Roman"/>
          <w:sz w:val="24"/>
          <w:szCs w:val="24"/>
          <w:lang w:val="en-GB"/>
        </w:rPr>
        <w:t xml:space="preserve"> to</w:t>
      </w:r>
      <w:r w:rsidR="002F0D95" w:rsidRPr="00861957">
        <w:rPr>
          <w:rFonts w:ascii="Times New Roman" w:hAnsi="Times New Roman" w:cs="Times New Roman"/>
          <w:sz w:val="24"/>
          <w:szCs w:val="24"/>
          <w:lang w:val="en-GB"/>
        </w:rPr>
        <w:t xml:space="preserve"> protect landscape and biological diversity</w:t>
      </w:r>
      <w:r w:rsidR="00F23E5A" w:rsidRPr="00861957">
        <w:rPr>
          <w:rFonts w:ascii="Times New Roman" w:hAnsi="Times New Roman" w:cs="Times New Roman"/>
          <w:sz w:val="24"/>
          <w:szCs w:val="24"/>
          <w:lang w:val="en-GB"/>
        </w:rPr>
        <w:t>,</w:t>
      </w:r>
      <w:r w:rsidR="002F0D95" w:rsidRPr="00861957">
        <w:rPr>
          <w:rFonts w:ascii="Times New Roman" w:hAnsi="Times New Roman" w:cs="Times New Roman"/>
          <w:sz w:val="24"/>
          <w:szCs w:val="24"/>
          <w:lang w:val="en-GB"/>
        </w:rPr>
        <w:t xml:space="preserve"> and </w:t>
      </w:r>
      <w:r w:rsidR="00F23E5A" w:rsidRPr="00861957">
        <w:rPr>
          <w:rFonts w:ascii="Times New Roman" w:hAnsi="Times New Roman" w:cs="Times New Roman"/>
          <w:sz w:val="24"/>
          <w:szCs w:val="24"/>
          <w:lang w:val="en-GB"/>
        </w:rPr>
        <w:t xml:space="preserve">to </w:t>
      </w:r>
      <w:r w:rsidR="002F0D95" w:rsidRPr="00861957">
        <w:rPr>
          <w:rFonts w:ascii="Times New Roman" w:hAnsi="Times New Roman" w:cs="Times New Roman"/>
          <w:sz w:val="24"/>
          <w:szCs w:val="24"/>
          <w:lang w:val="en-GB"/>
        </w:rPr>
        <w:t>reduce the anthropogenic burden on the environment</w:t>
      </w:r>
      <w:r w:rsidR="00F23E5A" w:rsidRPr="00861957">
        <w:rPr>
          <w:rFonts w:ascii="Times New Roman" w:hAnsi="Times New Roman" w:cs="Times New Roman"/>
          <w:sz w:val="24"/>
          <w:szCs w:val="24"/>
          <w:lang w:val="en-GB"/>
        </w:rPr>
        <w:t>.</w:t>
      </w:r>
    </w:p>
    <w:p w14:paraId="3EA2218F" w14:textId="77777777" w:rsidR="009E5AC4" w:rsidRPr="00861957" w:rsidRDefault="009E5AC4" w:rsidP="007214B0">
      <w:pPr>
        <w:pStyle w:val="PlainText"/>
        <w:jc w:val="both"/>
        <w:rPr>
          <w:rFonts w:ascii="Times New Roman" w:hAnsi="Times New Roman" w:cs="Times New Roman"/>
          <w:sz w:val="24"/>
          <w:szCs w:val="24"/>
          <w:lang w:val="en-GB"/>
        </w:rPr>
      </w:pPr>
    </w:p>
    <w:p w14:paraId="6CEE3A69" w14:textId="32BD8216" w:rsidR="00B403C1" w:rsidRPr="00861957" w:rsidRDefault="009E5AC4" w:rsidP="009E5AC4">
      <w:pPr>
        <w:tabs>
          <w:tab w:val="left" w:pos="3255"/>
        </w:tabs>
        <w:jc w:val="both"/>
      </w:pPr>
      <w:r w:rsidRPr="00861957">
        <w:t>The environmental protection measures are regulated by the Law of the Republic of Belarus</w:t>
      </w:r>
      <w:r w:rsidR="00B403C1" w:rsidRPr="00861957">
        <w:t xml:space="preserve"> ‘On Environmental Protection’</w:t>
      </w:r>
      <w:r w:rsidRPr="00861957">
        <w:t xml:space="preserve">. In 2001, Belarus adopted the Law </w:t>
      </w:r>
      <w:r w:rsidR="00B403C1" w:rsidRPr="00861957">
        <w:t xml:space="preserve">of the Republic of Belarus </w:t>
      </w:r>
      <w:r w:rsidRPr="00861957">
        <w:t>on</w:t>
      </w:r>
      <w:r w:rsidR="00F23E5A" w:rsidRPr="00861957">
        <w:t xml:space="preserve"> the</w:t>
      </w:r>
      <w:r w:rsidRPr="00861957">
        <w:t xml:space="preserve"> Protection of the Ozone L</w:t>
      </w:r>
      <w:r w:rsidR="001C06E2" w:rsidRPr="00861957">
        <w:t>ayer</w:t>
      </w:r>
      <w:r w:rsidR="00B403C1" w:rsidRPr="00861957">
        <w:t xml:space="preserve"> (revised in 2014)</w:t>
      </w:r>
      <w:r w:rsidR="001C06E2" w:rsidRPr="00861957">
        <w:t>.</w:t>
      </w:r>
      <w:r w:rsidR="004F2440" w:rsidRPr="00861957">
        <w:t xml:space="preserve"> </w:t>
      </w:r>
      <w:r w:rsidRPr="00861957">
        <w:t xml:space="preserve">In 2006, Belarus created the State Commission on Climate Change to coordinate and enforce government efforts in </w:t>
      </w:r>
      <w:r w:rsidR="00F23E5A" w:rsidRPr="00861957">
        <w:t xml:space="preserve">the </w:t>
      </w:r>
      <w:r w:rsidRPr="00861957">
        <w:t xml:space="preserve">implementation of obligations arising from the UNFCCC and the Kyoto Protocol. In 2008, Belarus adopted the Law </w:t>
      </w:r>
      <w:r w:rsidR="00B403C1" w:rsidRPr="00861957">
        <w:t xml:space="preserve">of the Republic of Belarus </w:t>
      </w:r>
      <w:r w:rsidRPr="00861957">
        <w:t xml:space="preserve">on </w:t>
      </w:r>
      <w:r w:rsidR="00F23E5A" w:rsidRPr="00861957">
        <w:t xml:space="preserve">the </w:t>
      </w:r>
      <w:r w:rsidRPr="00861957">
        <w:t>Protection of Atmospheric Air, and in 2010 the President</w:t>
      </w:r>
      <w:r w:rsidR="00B90684" w:rsidRPr="00861957">
        <w:t xml:space="preserve"> of the Republic of Belarus</w:t>
      </w:r>
      <w:r w:rsidRPr="00861957">
        <w:t xml:space="preserve"> adopted Decree №625 ‘On Some Issues </w:t>
      </w:r>
      <w:r w:rsidR="00F23E5A" w:rsidRPr="00861957">
        <w:t>related to the</w:t>
      </w:r>
      <w:r w:rsidRPr="00861957">
        <w:t xml:space="preserve"> Redu</w:t>
      </w:r>
      <w:r w:rsidR="004F2440" w:rsidRPr="00861957">
        <w:t>c</w:t>
      </w:r>
      <w:r w:rsidR="00F23E5A" w:rsidRPr="00861957">
        <w:t>tion of</w:t>
      </w:r>
      <w:r w:rsidR="004F2440" w:rsidRPr="00861957">
        <w:t xml:space="preserve"> Greenhouse Gas Emissions’.</w:t>
      </w:r>
    </w:p>
    <w:p w14:paraId="0A43AD02" w14:textId="77777777" w:rsidR="009E5AC4" w:rsidRPr="00861957" w:rsidRDefault="009E5AC4" w:rsidP="009E5AC4">
      <w:pPr>
        <w:tabs>
          <w:tab w:val="left" w:pos="3255"/>
        </w:tabs>
        <w:jc w:val="both"/>
      </w:pPr>
    </w:p>
    <w:p w14:paraId="6150D78D" w14:textId="506F0154" w:rsidR="00A80E9F" w:rsidRPr="00861957" w:rsidRDefault="009E5AC4" w:rsidP="00A80E9F">
      <w:pPr>
        <w:jc w:val="both"/>
      </w:pPr>
      <w:r w:rsidRPr="00861957">
        <w:t>The Government has consistently applied efforts to reduce and terminate the use of ozone-depleting substances in industry and agriculture</w:t>
      </w:r>
      <w:r w:rsidR="00F23E5A" w:rsidRPr="00861957">
        <w:t>.</w:t>
      </w:r>
      <w:r w:rsidRPr="00861957">
        <w:rPr>
          <w:rStyle w:val="FootnoteReference"/>
        </w:rPr>
        <w:footnoteReference w:id="16"/>
      </w:r>
      <w:r w:rsidRPr="00861957">
        <w:t xml:space="preserve"> </w:t>
      </w:r>
      <w:r w:rsidR="00F23E5A" w:rsidRPr="00861957">
        <w:t>The i</w:t>
      </w:r>
      <w:r w:rsidRPr="00861957">
        <w:t>nstallation of dust</w:t>
      </w:r>
      <w:r w:rsidR="00F23E5A" w:rsidRPr="00861957">
        <w:t>-</w:t>
      </w:r>
      <w:r w:rsidRPr="00861957">
        <w:t xml:space="preserve"> and gas-traps increased the proportion of trapped and neutrali</w:t>
      </w:r>
      <w:r w:rsidR="000F002C" w:rsidRPr="00861957">
        <w:t>z</w:t>
      </w:r>
      <w:r w:rsidRPr="00861957">
        <w:t>ed emissions from stationary sources from 77% in 1990 to 88% in 2010</w:t>
      </w:r>
      <w:r w:rsidR="004F2440" w:rsidRPr="00861957">
        <w:t xml:space="preserve">. </w:t>
      </w:r>
      <w:r w:rsidR="00F23E5A" w:rsidRPr="00861957">
        <w:t xml:space="preserve">Between </w:t>
      </w:r>
      <w:r w:rsidR="004F2440" w:rsidRPr="00861957">
        <w:t xml:space="preserve">1990 </w:t>
      </w:r>
      <w:r w:rsidR="00F23E5A" w:rsidRPr="00861957">
        <w:t xml:space="preserve">and </w:t>
      </w:r>
      <w:r w:rsidR="004F2440" w:rsidRPr="00861957">
        <w:t>2010, GHG emissions went down from nearly 140 million ton</w:t>
      </w:r>
      <w:r w:rsidR="00F23E5A" w:rsidRPr="00861957">
        <w:t>ne</w:t>
      </w:r>
      <w:r w:rsidR="004F2440" w:rsidRPr="00861957">
        <w:t>s of CO2-equivalent per year to about 90 million ton</w:t>
      </w:r>
      <w:r w:rsidR="00F23E5A" w:rsidRPr="00861957">
        <w:t>ne</w:t>
      </w:r>
      <w:r w:rsidR="004F2440" w:rsidRPr="00861957">
        <w:t>s</w:t>
      </w:r>
      <w:r w:rsidR="00F23E5A" w:rsidRPr="00861957">
        <w:t xml:space="preserve"> of</w:t>
      </w:r>
      <w:r w:rsidR="004F2440" w:rsidRPr="00861957">
        <w:t xml:space="preserve"> CO2-equivalent. The UNCT and the Government will cooperate </w:t>
      </w:r>
      <w:r w:rsidR="0043052C" w:rsidRPr="00861957">
        <w:t xml:space="preserve">to </w:t>
      </w:r>
      <w:r w:rsidR="00A80E9F" w:rsidRPr="00861957">
        <w:t>reduce the amount of pollutants discharged into the atmosphere from 6</w:t>
      </w:r>
      <w:r w:rsidR="00F23E5A" w:rsidRPr="00861957">
        <w:t>.</w:t>
      </w:r>
      <w:r w:rsidR="00A80E9F" w:rsidRPr="00861957">
        <w:t>62 tonnes/km</w:t>
      </w:r>
      <w:r w:rsidR="00A80E9F" w:rsidRPr="00861957">
        <w:rPr>
          <w:vertAlign w:val="superscript"/>
        </w:rPr>
        <w:t xml:space="preserve">2 </w:t>
      </w:r>
      <w:r w:rsidR="00A80E9F" w:rsidRPr="00861957">
        <w:t>in 2013 to 6</w:t>
      </w:r>
      <w:r w:rsidR="00F23E5A" w:rsidRPr="00861957">
        <w:t>.</w:t>
      </w:r>
      <w:r w:rsidR="00A80E9F" w:rsidRPr="00861957">
        <w:t>49 tonnes/km</w:t>
      </w:r>
      <w:r w:rsidR="00A80E9F" w:rsidRPr="00861957">
        <w:rPr>
          <w:vertAlign w:val="superscript"/>
        </w:rPr>
        <w:t>2</w:t>
      </w:r>
      <w:r w:rsidR="00A80E9F" w:rsidRPr="00861957">
        <w:t xml:space="preserve"> in 2020.</w:t>
      </w:r>
    </w:p>
    <w:p w14:paraId="756A3468" w14:textId="77777777" w:rsidR="009E5AC4" w:rsidRPr="00861957" w:rsidRDefault="009E5AC4" w:rsidP="009E5AC4">
      <w:pPr>
        <w:tabs>
          <w:tab w:val="left" w:pos="3255"/>
        </w:tabs>
        <w:jc w:val="both"/>
        <w:rPr>
          <w:b/>
        </w:rPr>
      </w:pPr>
    </w:p>
    <w:p w14:paraId="0669611C" w14:textId="736AE8A1" w:rsidR="00A80E9F" w:rsidRPr="00861957" w:rsidRDefault="001D539B" w:rsidP="009E5AC4">
      <w:pPr>
        <w:tabs>
          <w:tab w:val="left" w:pos="3255"/>
        </w:tabs>
        <w:jc w:val="both"/>
      </w:pPr>
      <w:r w:rsidRPr="00861957">
        <w:t>In 2013, Belarus set national targets in the field of water management</w:t>
      </w:r>
      <w:r w:rsidR="00F23E5A" w:rsidRPr="00861957">
        <w:t>,</w:t>
      </w:r>
      <w:r w:rsidRPr="00861957">
        <w:t xml:space="preserve"> supply and sanitation in order to fulfil </w:t>
      </w:r>
      <w:r w:rsidR="00F23E5A" w:rsidRPr="00861957">
        <w:t xml:space="preserve">its </w:t>
      </w:r>
      <w:r w:rsidRPr="00861957">
        <w:t xml:space="preserve">obligations under </w:t>
      </w:r>
      <w:r w:rsidR="00F23E5A" w:rsidRPr="00861957">
        <w:t xml:space="preserve">the </w:t>
      </w:r>
      <w:r w:rsidRPr="00861957">
        <w:t>Protocol on Water and Health. The</w:t>
      </w:r>
      <w:r w:rsidR="00A80E9F" w:rsidRPr="00861957">
        <w:t xml:space="preserve"> pollution of water by urban wastewater discharges</w:t>
      </w:r>
      <w:r w:rsidR="006B587A" w:rsidRPr="00861957">
        <w:t xml:space="preserve"> and by </w:t>
      </w:r>
      <w:r w:rsidR="00A80E9F" w:rsidRPr="00861957">
        <w:t xml:space="preserve">agricultural and industrial producers remains a challenge. The main pollutants are </w:t>
      </w:r>
      <w:r w:rsidR="00B90684" w:rsidRPr="00861957">
        <w:t xml:space="preserve">biogenic. </w:t>
      </w:r>
      <w:r w:rsidR="00BB0723" w:rsidRPr="00861957">
        <w:t>The UN</w:t>
      </w:r>
      <w:r w:rsidR="00A80E9F" w:rsidRPr="00861957">
        <w:t xml:space="preserve"> will assist the Government in reducing waste water and pollutant discharge</w:t>
      </w:r>
      <w:r w:rsidR="006B587A" w:rsidRPr="00861957">
        <w:t>s</w:t>
      </w:r>
      <w:r w:rsidR="00A80E9F" w:rsidRPr="00861957">
        <w:t xml:space="preserve"> into water objects</w:t>
      </w:r>
      <w:r w:rsidR="00FC6745" w:rsidRPr="00861957">
        <w:t>. UNECE and UNDP will support the Government in trans</w:t>
      </w:r>
      <w:r w:rsidR="00861957">
        <w:t>-</w:t>
      </w:r>
      <w:r w:rsidR="00FC6745" w:rsidRPr="00861957">
        <w:t xml:space="preserve">boundary cooperation on water management and climate change adaptation in the Neman River basin. UNECE </w:t>
      </w:r>
      <w:r w:rsidR="006B587A" w:rsidRPr="00861957">
        <w:t xml:space="preserve">also intends to provide assistance in the </w:t>
      </w:r>
      <w:r w:rsidR="00FC6745" w:rsidRPr="00861957">
        <w:t xml:space="preserve">development of river basin management plans and mechanisms for </w:t>
      </w:r>
      <w:r w:rsidR="006B587A" w:rsidRPr="00861957">
        <w:t xml:space="preserve">the </w:t>
      </w:r>
      <w:r w:rsidR="00FC6745" w:rsidRPr="00861957">
        <w:t>exchange of data in trans</w:t>
      </w:r>
      <w:r w:rsidR="00861957">
        <w:t>-</w:t>
      </w:r>
      <w:r w:rsidR="00FC6745" w:rsidRPr="00861957">
        <w:t xml:space="preserve">boundary basins according to </w:t>
      </w:r>
      <w:r w:rsidR="006B587A" w:rsidRPr="00861957">
        <w:t xml:space="preserve">the </w:t>
      </w:r>
      <w:r w:rsidR="00FC6745" w:rsidRPr="00861957">
        <w:t>principles of the UNECE Water Convention.</w:t>
      </w:r>
      <w:r w:rsidRPr="00861957">
        <w:t xml:space="preserve"> </w:t>
      </w:r>
    </w:p>
    <w:p w14:paraId="13BF353C" w14:textId="77777777" w:rsidR="008779B1" w:rsidRPr="00861957" w:rsidRDefault="008779B1" w:rsidP="009E5AC4">
      <w:pPr>
        <w:tabs>
          <w:tab w:val="left" w:pos="3255"/>
        </w:tabs>
        <w:jc w:val="both"/>
      </w:pPr>
    </w:p>
    <w:p w14:paraId="2969EBE8" w14:textId="1995036C" w:rsidR="00CC3B64" w:rsidRPr="00861957" w:rsidRDefault="00A80E9F" w:rsidP="002960D9">
      <w:pPr>
        <w:jc w:val="both"/>
      </w:pPr>
      <w:r w:rsidRPr="00861957">
        <w:t>Waste management</w:t>
      </w:r>
      <w:r w:rsidR="002505ED" w:rsidRPr="00861957">
        <w:t xml:space="preserve">, </w:t>
      </w:r>
      <w:r w:rsidR="006B587A" w:rsidRPr="00861957">
        <w:t xml:space="preserve">which </w:t>
      </w:r>
      <w:r w:rsidR="002505ED" w:rsidRPr="00861957">
        <w:t>ha</w:t>
      </w:r>
      <w:r w:rsidR="006B587A" w:rsidRPr="00861957">
        <w:t>s</w:t>
      </w:r>
      <w:r w:rsidR="002505ED" w:rsidRPr="00861957">
        <w:t xml:space="preserve"> significant implications for disease burdens,</w:t>
      </w:r>
      <w:r w:rsidRPr="00861957">
        <w:t xml:space="preserve"> remains one of the priority areas in the field of environmental protectio</w:t>
      </w:r>
      <w:r w:rsidR="0078464C" w:rsidRPr="00861957">
        <w:t>n</w:t>
      </w:r>
      <w:r w:rsidRPr="00861957">
        <w:t xml:space="preserve">. The country generates more than 1400 types of waste, including toxic (hazardous) waste whose production </w:t>
      </w:r>
      <w:r w:rsidR="006B587A" w:rsidRPr="00861957">
        <w:t xml:space="preserve">has </w:t>
      </w:r>
      <w:r w:rsidRPr="00861957">
        <w:t xml:space="preserve">slightly increased </w:t>
      </w:r>
      <w:r w:rsidR="006B587A" w:rsidRPr="00861957">
        <w:t xml:space="preserve">in </w:t>
      </w:r>
      <w:r w:rsidRPr="00861957">
        <w:t>recent</w:t>
      </w:r>
      <w:r w:rsidR="006B587A" w:rsidRPr="00861957">
        <w:t xml:space="preserve"> times</w:t>
      </w:r>
      <w:r w:rsidRPr="00861957">
        <w:t>, but whose share in the total generated waste decreased from 3.1% in 2000 to 2% in 2010 and whose processi</w:t>
      </w:r>
      <w:r w:rsidR="006B587A" w:rsidRPr="00861957">
        <w:t>ng</w:t>
      </w:r>
      <w:r w:rsidRPr="00861957">
        <w:t xml:space="preserve"> has exceeded the volume generated</w:t>
      </w:r>
      <w:r w:rsidR="006B587A" w:rsidRPr="00861957">
        <w:t>.</w:t>
      </w:r>
      <w:r w:rsidRPr="00861957">
        <w:rPr>
          <w:rStyle w:val="FootnoteReference"/>
        </w:rPr>
        <w:footnoteReference w:id="17"/>
      </w:r>
      <w:r w:rsidRPr="00861957">
        <w:t xml:space="preserve"> </w:t>
      </w:r>
      <w:r w:rsidR="00CC3B64" w:rsidRPr="00861957">
        <w:t xml:space="preserve">UNDP will assist the country in reducing storage of </w:t>
      </w:r>
      <w:r w:rsidR="006B587A" w:rsidRPr="00861957">
        <w:t xml:space="preserve">waste of hazard class </w:t>
      </w:r>
      <w:r w:rsidR="00CC3B64" w:rsidRPr="00861957">
        <w:t xml:space="preserve">1–3 from 87% in 2013 to 65% of the figure </w:t>
      </w:r>
      <w:r w:rsidR="006B587A" w:rsidRPr="00861957">
        <w:t>for</w:t>
      </w:r>
      <w:r w:rsidR="00CC3B64" w:rsidRPr="00861957">
        <w:t xml:space="preserve"> 2010.</w:t>
      </w:r>
    </w:p>
    <w:p w14:paraId="5A80E953" w14:textId="77777777" w:rsidR="00470795" w:rsidRPr="00861957" w:rsidRDefault="00470795" w:rsidP="002960D9">
      <w:pPr>
        <w:jc w:val="both"/>
      </w:pPr>
    </w:p>
    <w:p w14:paraId="49CD751C" w14:textId="7EA30068" w:rsidR="00470795" w:rsidRPr="00861957" w:rsidRDefault="0098470F" w:rsidP="00470795">
      <w:pPr>
        <w:tabs>
          <w:tab w:val="left" w:pos="3255"/>
        </w:tabs>
        <w:jc w:val="both"/>
      </w:pPr>
      <w:r w:rsidRPr="00861957">
        <w:t xml:space="preserve">The country has </w:t>
      </w:r>
      <w:r w:rsidR="00470795" w:rsidRPr="00861957">
        <w:t xml:space="preserve">1240 </w:t>
      </w:r>
      <w:r w:rsidRPr="00861957">
        <w:t>Speci</w:t>
      </w:r>
      <w:r w:rsidR="0078464C" w:rsidRPr="00861957">
        <w:t xml:space="preserve">ally Protected Areas, including </w:t>
      </w:r>
      <w:r w:rsidR="00470795" w:rsidRPr="00861957">
        <w:t>1</w:t>
      </w:r>
      <w:r w:rsidRPr="00861957">
        <w:t xml:space="preserve"> </w:t>
      </w:r>
      <w:r w:rsidR="00470795" w:rsidRPr="00861957">
        <w:t>natur</w:t>
      </w:r>
      <w:r w:rsidR="006B587A" w:rsidRPr="00861957">
        <w:t>e</w:t>
      </w:r>
      <w:r w:rsidR="00470795" w:rsidRPr="00861957">
        <w:t xml:space="preserve"> reserve, 4 national parks, 94</w:t>
      </w:r>
      <w:r w:rsidR="006B587A" w:rsidRPr="00861957">
        <w:t xml:space="preserve"> </w:t>
      </w:r>
      <w:r w:rsidR="00470795" w:rsidRPr="00861957">
        <w:t>wildlife sanctuaries of national importance, 267 wildlife sanctuaries of local importance,</w:t>
      </w:r>
      <w:r w:rsidRPr="00861957">
        <w:t xml:space="preserve"> </w:t>
      </w:r>
      <w:r w:rsidR="00470795" w:rsidRPr="00861957">
        <w:t>306 natural</w:t>
      </w:r>
      <w:r w:rsidR="006B587A" w:rsidRPr="00861957">
        <w:t xml:space="preserve"> </w:t>
      </w:r>
      <w:r w:rsidR="00470795" w:rsidRPr="00861957">
        <w:t>territories</w:t>
      </w:r>
      <w:r w:rsidRPr="00861957">
        <w:t xml:space="preserve"> of national </w:t>
      </w:r>
      <w:r w:rsidR="00470795" w:rsidRPr="00861957">
        <w:t>importance and 568 natural territories of local importance</w:t>
      </w:r>
      <w:r w:rsidRPr="00861957">
        <w:t xml:space="preserve">. </w:t>
      </w:r>
      <w:r w:rsidR="00470795" w:rsidRPr="00861957">
        <w:t xml:space="preserve">As of 1 March 2015, Specially </w:t>
      </w:r>
      <w:r w:rsidR="00470795" w:rsidRPr="00861957">
        <w:lastRenderedPageBreak/>
        <w:t xml:space="preserve">Protected Areas </w:t>
      </w:r>
      <w:r w:rsidR="006B587A" w:rsidRPr="00861957">
        <w:t xml:space="preserve">covered </w:t>
      </w:r>
      <w:r w:rsidR="00470795" w:rsidRPr="00861957">
        <w:t>1797 thousand hectares (8</w:t>
      </w:r>
      <w:r w:rsidR="006B587A" w:rsidRPr="00861957">
        <w:t>.</w:t>
      </w:r>
      <w:r w:rsidR="00470795" w:rsidRPr="00861957">
        <w:t>6% of the country</w:t>
      </w:r>
      <w:r w:rsidR="006B587A" w:rsidRPr="00861957">
        <w:t>’s total</w:t>
      </w:r>
      <w:r w:rsidR="00470795" w:rsidRPr="00861957">
        <w:t xml:space="preserve"> area), </w:t>
      </w:r>
      <w:r w:rsidR="00FE4A56" w:rsidRPr="00861957">
        <w:t xml:space="preserve">of which the </w:t>
      </w:r>
      <w:r w:rsidR="00470795" w:rsidRPr="00861957">
        <w:t>natur</w:t>
      </w:r>
      <w:r w:rsidR="00FE4A56" w:rsidRPr="00861957">
        <w:t>e</w:t>
      </w:r>
      <w:r w:rsidR="00470795" w:rsidRPr="00861957">
        <w:t xml:space="preserve"> reserve and national parks </w:t>
      </w:r>
      <w:r w:rsidR="00FE4A56" w:rsidRPr="00861957">
        <w:t>made up</w:t>
      </w:r>
      <w:r w:rsidR="00470795" w:rsidRPr="00861957">
        <w:t xml:space="preserve"> 475 thousand hectares; wildlife </w:t>
      </w:r>
      <w:r w:rsidR="00FE4A56" w:rsidRPr="00861957">
        <w:t xml:space="preserve">sanctuaries </w:t>
      </w:r>
      <w:r w:rsidR="00470795" w:rsidRPr="00861957">
        <w:t>1307 thousand hectares and natu</w:t>
      </w:r>
      <w:r w:rsidR="00FE4A56" w:rsidRPr="00861957">
        <w:t xml:space="preserve">ral territories </w:t>
      </w:r>
      <w:r w:rsidR="00470795" w:rsidRPr="00861957">
        <w:t>15</w:t>
      </w:r>
      <w:r w:rsidR="009B4450">
        <w:t xml:space="preserve"> thousand</w:t>
      </w:r>
      <w:r w:rsidR="00470795" w:rsidRPr="00861957">
        <w:t xml:space="preserve"> hectares. Besides the development of a system of Specially Protected Areas</w:t>
      </w:r>
      <w:r w:rsidR="00FE4A56" w:rsidRPr="00861957">
        <w:t>,</w:t>
      </w:r>
      <w:r w:rsidR="00470795" w:rsidRPr="00861957">
        <w:t xml:space="preserve"> a wide range of measures is being used for</w:t>
      </w:r>
      <w:r w:rsidR="00FE4A56" w:rsidRPr="00861957">
        <w:t xml:space="preserve"> the</w:t>
      </w:r>
      <w:r w:rsidR="00470795" w:rsidRPr="00861957">
        <w:t xml:space="preserve"> preservation of natural ecosystems and </w:t>
      </w:r>
      <w:r w:rsidR="00FE4A56" w:rsidRPr="00861957">
        <w:t xml:space="preserve">the </w:t>
      </w:r>
      <w:r w:rsidR="00470795" w:rsidRPr="00861957">
        <w:t>protection of biological and landscape diversity, including</w:t>
      </w:r>
      <w:r w:rsidR="00FE4A56" w:rsidRPr="00861957">
        <w:t>:</w:t>
      </w:r>
      <w:r w:rsidR="00470795" w:rsidRPr="00861957">
        <w:t xml:space="preserve"> </w:t>
      </w:r>
      <w:r w:rsidR="00FE4A56" w:rsidRPr="00861957">
        <w:t xml:space="preserve">the </w:t>
      </w:r>
      <w:r w:rsidR="00470795" w:rsidRPr="00861957">
        <w:t>development of a national ecological network</w:t>
      </w:r>
      <w:r w:rsidR="00FE4A56" w:rsidRPr="00861957">
        <w:t>;</w:t>
      </w:r>
      <w:r w:rsidR="00470795" w:rsidRPr="00861957">
        <w:t xml:space="preserve"> transfer to users of water objects and land plots of rare and typical biotopes that will be protected by such users</w:t>
      </w:r>
      <w:r w:rsidR="00FE4A56" w:rsidRPr="00861957">
        <w:t>;</w:t>
      </w:r>
      <w:r w:rsidR="00470795" w:rsidRPr="00861957">
        <w:t xml:space="preserve"> </w:t>
      </w:r>
      <w:r w:rsidR="00FE4A56" w:rsidRPr="00861957">
        <w:t xml:space="preserve">the inclusion of </w:t>
      </w:r>
      <w:r w:rsidR="00470795" w:rsidRPr="00861957">
        <w:t>areas of wild plant</w:t>
      </w:r>
      <w:r w:rsidR="00FE4A56" w:rsidRPr="00861957">
        <w:t xml:space="preserve"> growth</w:t>
      </w:r>
      <w:r w:rsidR="00470795" w:rsidRPr="00861957">
        <w:t xml:space="preserve"> and dwellings of wild animals in the Red List of the Republic of Belarus.</w:t>
      </w:r>
    </w:p>
    <w:p w14:paraId="6B4A86C3" w14:textId="77777777" w:rsidR="00470795" w:rsidRPr="00861957" w:rsidRDefault="00470795" w:rsidP="0098470F">
      <w:pPr>
        <w:tabs>
          <w:tab w:val="left" w:pos="3255"/>
        </w:tabs>
        <w:jc w:val="both"/>
        <w:rPr>
          <w:highlight w:val="yellow"/>
        </w:rPr>
      </w:pPr>
    </w:p>
    <w:p w14:paraId="58A5C17B" w14:textId="291F91C5" w:rsidR="00F84DFE" w:rsidRPr="00861957" w:rsidRDefault="009E5AC4" w:rsidP="0043052C">
      <w:pPr>
        <w:jc w:val="both"/>
      </w:pPr>
      <w:r w:rsidRPr="00861957">
        <w:t xml:space="preserve">Raising environmental awareness and promoting measures aimed at ensuring sustainable behavioural change </w:t>
      </w:r>
      <w:r w:rsidR="00FE4A56" w:rsidRPr="00861957">
        <w:t>within</w:t>
      </w:r>
      <w:r w:rsidRPr="00861957">
        <w:t xml:space="preserve"> the population with regard to the environment are cross-cutting priorities</w:t>
      </w:r>
      <w:r w:rsidR="004F2440" w:rsidRPr="00861957">
        <w:t>. UNDP, UNECE</w:t>
      </w:r>
      <w:r w:rsidR="00CC3B64" w:rsidRPr="00861957">
        <w:t>, UNICEF</w:t>
      </w:r>
      <w:r w:rsidR="000D5D9E" w:rsidRPr="00861957">
        <w:t>, UNIDO</w:t>
      </w:r>
      <w:r w:rsidR="004F2440" w:rsidRPr="00861957">
        <w:t xml:space="preserve"> and UNESCO will implement measures </w:t>
      </w:r>
      <w:r w:rsidR="00CC3B64" w:rsidRPr="00861957">
        <w:t>aimed at environmental education and awareness</w:t>
      </w:r>
      <w:r w:rsidR="00FE4A56" w:rsidRPr="00861957">
        <w:t>-raising</w:t>
      </w:r>
      <w:r w:rsidR="00CC3B64" w:rsidRPr="00861957">
        <w:t xml:space="preserve"> about environmental protection and </w:t>
      </w:r>
      <w:r w:rsidR="00FE4A56" w:rsidRPr="00861957">
        <w:t xml:space="preserve">the </w:t>
      </w:r>
      <w:r w:rsidR="00CC3B64" w:rsidRPr="00861957">
        <w:t xml:space="preserve">sustainable </w:t>
      </w:r>
      <w:r w:rsidR="00FE4A56" w:rsidRPr="00861957">
        <w:t xml:space="preserve">management of </w:t>
      </w:r>
      <w:r w:rsidR="00CC3B64" w:rsidRPr="00861957">
        <w:t>natural resources</w:t>
      </w:r>
      <w:r w:rsidR="0043052C" w:rsidRPr="00861957">
        <w:t>.</w:t>
      </w:r>
    </w:p>
    <w:p w14:paraId="69FC70C2" w14:textId="77777777" w:rsidR="00983159" w:rsidRPr="00861957" w:rsidRDefault="00983159" w:rsidP="00983159">
      <w:pPr>
        <w:tabs>
          <w:tab w:val="left" w:pos="3255"/>
        </w:tabs>
        <w:jc w:val="both"/>
      </w:pPr>
    </w:p>
    <w:p w14:paraId="147EC3F5" w14:textId="591E1863" w:rsidR="0094565B" w:rsidRPr="00861957" w:rsidRDefault="00983159" w:rsidP="0094565B">
      <w:pPr>
        <w:jc w:val="both"/>
      </w:pPr>
      <w:r w:rsidRPr="00861957">
        <w:t xml:space="preserve">Belarus </w:t>
      </w:r>
      <w:r w:rsidR="00FE4A56" w:rsidRPr="00861957">
        <w:t xml:space="preserve">has </w:t>
      </w:r>
      <w:r w:rsidRPr="00861957">
        <w:t xml:space="preserve">established more than 120 technical standards and regulations for fuel, energy resources and energy-consuming products. </w:t>
      </w:r>
      <w:r w:rsidR="00656A64">
        <w:t xml:space="preserve">Between 1990 and 2012 </w:t>
      </w:r>
      <w:r w:rsidRPr="00861957">
        <w:t>Belarus reduced its energy intensity from 0.69 ton</w:t>
      </w:r>
      <w:r w:rsidR="00FE4A56" w:rsidRPr="00861957">
        <w:t>ne</w:t>
      </w:r>
      <w:r w:rsidRPr="00861957">
        <w:t xml:space="preserve">s of oil equivalent per thousand USD </w:t>
      </w:r>
      <w:r w:rsidR="00FE4A56" w:rsidRPr="00861957">
        <w:t xml:space="preserve">(2005 value) </w:t>
      </w:r>
      <w:r w:rsidRPr="00861957">
        <w:t>of GDP (</w:t>
      </w:r>
      <w:r w:rsidR="009B4450">
        <w:t>PPP</w:t>
      </w:r>
      <w:r w:rsidRPr="00861957">
        <w:t>) in 1990 to about 0.2</w:t>
      </w:r>
      <w:r w:rsidR="00656A64">
        <w:t>1</w:t>
      </w:r>
      <w:r w:rsidRPr="00861957">
        <w:t xml:space="preserve"> t.o.e.</w:t>
      </w:r>
      <w:r w:rsidRPr="00861957">
        <w:rPr>
          <w:rStyle w:val="FootnoteReference"/>
        </w:rPr>
        <w:footnoteReference w:id="18"/>
      </w:r>
      <w:r w:rsidRPr="00861957">
        <w:t xml:space="preserve"> </w:t>
      </w:r>
      <w:r w:rsidR="0094565B" w:rsidRPr="00861957">
        <w:t xml:space="preserve">UNECE estimated that the measures with the greatest potential for improving energy efficiency are the use of EE technologies in industries, beneficial use of secondary material and energy resources (use of RES), </w:t>
      </w:r>
      <w:r w:rsidR="00FE4A56" w:rsidRPr="00861957">
        <w:t xml:space="preserve">optimization of </w:t>
      </w:r>
      <w:r w:rsidR="0094565B" w:rsidRPr="00861957">
        <w:t>heat suppl</w:t>
      </w:r>
      <w:r w:rsidR="00FE4A56" w:rsidRPr="00861957">
        <w:t>ies</w:t>
      </w:r>
      <w:r w:rsidR="0094565B" w:rsidRPr="00861957">
        <w:t xml:space="preserve">, </w:t>
      </w:r>
      <w:r w:rsidR="000877CC" w:rsidRPr="00861957">
        <w:t xml:space="preserve">use of </w:t>
      </w:r>
      <w:r w:rsidR="0094565B" w:rsidRPr="00861957">
        <w:t xml:space="preserve">high efficiency power generation installations and </w:t>
      </w:r>
      <w:r w:rsidR="000877CC" w:rsidRPr="00861957">
        <w:t xml:space="preserve">measures to </w:t>
      </w:r>
      <w:r w:rsidR="0094565B" w:rsidRPr="00861957">
        <w:t xml:space="preserve">increase </w:t>
      </w:r>
      <w:r w:rsidR="000877CC" w:rsidRPr="00861957">
        <w:t xml:space="preserve">the </w:t>
      </w:r>
      <w:r w:rsidR="0094565B" w:rsidRPr="00861957">
        <w:t>efficiency of boilers and furnaces. During the cour</w:t>
      </w:r>
      <w:r w:rsidR="0098470F" w:rsidRPr="00861957">
        <w:t xml:space="preserve">se of the UNDAF 2016-2020, UNDP, UNEP </w:t>
      </w:r>
      <w:r w:rsidR="0094565B" w:rsidRPr="00861957">
        <w:t xml:space="preserve">and other UN agencies will cooperate with the Government, state bodies, enterprises and </w:t>
      </w:r>
      <w:r w:rsidR="0098470F" w:rsidRPr="00861957">
        <w:t>NGOs</w:t>
      </w:r>
      <w:r w:rsidR="0094565B" w:rsidRPr="00861957">
        <w:t xml:space="preserve"> to assist in reducing GDP energy intensity.</w:t>
      </w:r>
    </w:p>
    <w:p w14:paraId="5E303CAF" w14:textId="77777777" w:rsidR="0094565B" w:rsidRPr="00861957" w:rsidRDefault="0094565B" w:rsidP="00983159">
      <w:pPr>
        <w:tabs>
          <w:tab w:val="left" w:pos="3255"/>
        </w:tabs>
        <w:jc w:val="both"/>
      </w:pPr>
    </w:p>
    <w:p w14:paraId="7B94E5A1" w14:textId="3A8987AB" w:rsidR="0098470F" w:rsidRPr="00861957" w:rsidRDefault="0094565B" w:rsidP="0094565B">
      <w:pPr>
        <w:tabs>
          <w:tab w:val="left" w:pos="3255"/>
        </w:tabs>
        <w:jc w:val="both"/>
      </w:pPr>
      <w:r w:rsidRPr="00861957">
        <w:t xml:space="preserve">Belarus has significant potential </w:t>
      </w:r>
      <w:r w:rsidR="000877CC" w:rsidRPr="00861957">
        <w:t xml:space="preserve">for </w:t>
      </w:r>
      <w:r w:rsidRPr="00861957">
        <w:t>develop</w:t>
      </w:r>
      <w:r w:rsidR="000877CC" w:rsidRPr="00861957">
        <w:t>ing</w:t>
      </w:r>
      <w:r w:rsidRPr="00861957">
        <w:t xml:space="preserve"> renewable </w:t>
      </w:r>
      <w:r w:rsidR="000877CC" w:rsidRPr="00861957">
        <w:t xml:space="preserve">sources </w:t>
      </w:r>
      <w:r w:rsidRPr="00861957">
        <w:t xml:space="preserve">energy. Belarus has joined the International Renewable Energy Agency </w:t>
      </w:r>
      <w:r w:rsidR="000877CC" w:rsidRPr="00861957">
        <w:t xml:space="preserve">and </w:t>
      </w:r>
      <w:r w:rsidRPr="00861957">
        <w:t xml:space="preserve">has adopted </w:t>
      </w:r>
      <w:r w:rsidR="000877CC" w:rsidRPr="00861957">
        <w:t xml:space="preserve">a </w:t>
      </w:r>
      <w:r w:rsidRPr="00861957">
        <w:t>Law on Renewable Energy</w:t>
      </w:r>
      <w:r w:rsidR="00BA263D" w:rsidRPr="00861957">
        <w:t xml:space="preserve"> (2010)</w:t>
      </w:r>
      <w:r w:rsidRPr="00861957">
        <w:t xml:space="preserve"> and </w:t>
      </w:r>
      <w:r w:rsidR="000877CC" w:rsidRPr="00861957">
        <w:t xml:space="preserve">a </w:t>
      </w:r>
      <w:r w:rsidR="00BA263D" w:rsidRPr="00861957">
        <w:t xml:space="preserve">National </w:t>
      </w:r>
      <w:r w:rsidRPr="00861957">
        <w:t xml:space="preserve">Programme for </w:t>
      </w:r>
      <w:r w:rsidR="000877CC" w:rsidRPr="00861957">
        <w:t xml:space="preserve">the </w:t>
      </w:r>
      <w:r w:rsidR="00BA263D" w:rsidRPr="00861957">
        <w:t xml:space="preserve">Development of </w:t>
      </w:r>
      <w:r w:rsidRPr="00861957">
        <w:t>Local and Renewable Energy Sources for 2011-2015</w:t>
      </w:r>
      <w:r w:rsidR="000877CC" w:rsidRPr="00861957">
        <w:t>.</w:t>
      </w:r>
      <w:r w:rsidRPr="00861957">
        <w:rPr>
          <w:rStyle w:val="FootnoteReference"/>
        </w:rPr>
        <w:footnoteReference w:id="19"/>
      </w:r>
      <w:r w:rsidRPr="00861957">
        <w:t xml:space="preserve"> </w:t>
      </w:r>
      <w:r w:rsidR="000877CC" w:rsidRPr="00861957">
        <w:t>Nonetheless</w:t>
      </w:r>
      <w:r w:rsidRPr="00861957">
        <w:t xml:space="preserve">, the share of renewable </w:t>
      </w:r>
      <w:r w:rsidR="000877CC" w:rsidRPr="00861957">
        <w:t xml:space="preserve">sources of </w:t>
      </w:r>
      <w:r w:rsidRPr="00861957">
        <w:t xml:space="preserve">energy </w:t>
      </w:r>
      <w:r w:rsidR="000877CC" w:rsidRPr="00861957">
        <w:t xml:space="preserve">has </w:t>
      </w:r>
      <w:r w:rsidRPr="00861957">
        <w:t>increased only slight</w:t>
      </w:r>
      <w:r w:rsidR="00BA263D" w:rsidRPr="00861957">
        <w:t xml:space="preserve">ly </w:t>
      </w:r>
      <w:r w:rsidR="000877CC" w:rsidRPr="00861957">
        <w:t xml:space="preserve">in recent </w:t>
      </w:r>
      <w:r w:rsidR="00BA263D" w:rsidRPr="00861957">
        <w:t>years: from 4.5% in 2005 to 5.6</w:t>
      </w:r>
      <w:r w:rsidRPr="00861957">
        <w:t xml:space="preserve">% in </w:t>
      </w:r>
      <w:r w:rsidR="00BA263D" w:rsidRPr="00861957">
        <w:t>2013</w:t>
      </w:r>
      <w:r w:rsidRPr="00861957">
        <w:t xml:space="preserve"> in gross </w:t>
      </w:r>
      <w:r w:rsidR="000877CC" w:rsidRPr="00861957">
        <w:t xml:space="preserve">consumption of </w:t>
      </w:r>
      <w:r w:rsidRPr="00861957">
        <w:t xml:space="preserve">energy resources. </w:t>
      </w:r>
      <w:r w:rsidR="00D902C1" w:rsidRPr="00861957">
        <w:t>UN agencies will mobili</w:t>
      </w:r>
      <w:r w:rsidR="000877CC" w:rsidRPr="00861957">
        <w:t>ze</w:t>
      </w:r>
      <w:r w:rsidR="00D902C1" w:rsidRPr="00861957">
        <w:t xml:space="preserve"> resources to assist in increasing the share of primary energy produced from renewable </w:t>
      </w:r>
      <w:r w:rsidR="000877CC" w:rsidRPr="00861957">
        <w:t xml:space="preserve">sources of </w:t>
      </w:r>
      <w:r w:rsidR="00D902C1" w:rsidRPr="00861957">
        <w:t>energy in the total amount of energy consumed from 5.5% in 2015 to 6% by 2020.</w:t>
      </w:r>
    </w:p>
    <w:p w14:paraId="1A3A4C73" w14:textId="77777777" w:rsidR="00C90BDE" w:rsidRPr="00861957" w:rsidRDefault="00C90BDE" w:rsidP="0094565B">
      <w:pPr>
        <w:tabs>
          <w:tab w:val="left" w:pos="3255"/>
        </w:tabs>
        <w:jc w:val="both"/>
      </w:pPr>
    </w:p>
    <w:p w14:paraId="49938E1A" w14:textId="3152AF53" w:rsidR="00983159" w:rsidRPr="00861957" w:rsidRDefault="000877CC" w:rsidP="0098470F">
      <w:pPr>
        <w:tabs>
          <w:tab w:val="left" w:pos="3255"/>
        </w:tabs>
        <w:jc w:val="both"/>
      </w:pPr>
      <w:r w:rsidRPr="00861957">
        <w:t>The Energy Security Concept of the Republic of Belarus was adopted i</w:t>
      </w:r>
      <w:r w:rsidR="00C90BDE" w:rsidRPr="00861957">
        <w:t xml:space="preserve">n order to increase </w:t>
      </w:r>
      <w:r w:rsidRPr="00861957">
        <w:t>the country’s</w:t>
      </w:r>
      <w:r w:rsidR="00C90BDE" w:rsidRPr="00861957">
        <w:t xml:space="preserve"> energy se</w:t>
      </w:r>
      <w:r w:rsidR="0059660E" w:rsidRPr="00861957">
        <w:t xml:space="preserve">curity and further decrease </w:t>
      </w:r>
      <w:r w:rsidR="00C90BDE" w:rsidRPr="00861957">
        <w:t>GHG emission</w:t>
      </w:r>
      <w:r w:rsidR="0059660E" w:rsidRPr="00861957">
        <w:t>s</w:t>
      </w:r>
      <w:r w:rsidRPr="00861957">
        <w:t>.</w:t>
      </w:r>
      <w:r w:rsidR="0059660E" w:rsidRPr="00861957">
        <w:t xml:space="preserve"> </w:t>
      </w:r>
      <w:r w:rsidRPr="00861957">
        <w:t xml:space="preserve">In addition, </w:t>
      </w:r>
      <w:r w:rsidR="0059660E" w:rsidRPr="00861957">
        <w:t>Belarus decided to introduce nuclear po</w:t>
      </w:r>
      <w:r w:rsidR="0059660E" w:rsidRPr="001456F1">
        <w:t xml:space="preserve">wer in its energy production mix </w:t>
      </w:r>
      <w:r w:rsidRPr="00C451A3">
        <w:t xml:space="preserve">through </w:t>
      </w:r>
      <w:r w:rsidR="0059660E" w:rsidRPr="00C451A3">
        <w:t>Presidential D</w:t>
      </w:r>
      <w:r w:rsidR="00C90BDE" w:rsidRPr="001456F1">
        <w:t xml:space="preserve">ecree No. </w:t>
      </w:r>
      <w:r w:rsidR="0059660E" w:rsidRPr="001456F1">
        <w:t>499</w:t>
      </w:r>
      <w:r w:rsidR="00C90BDE" w:rsidRPr="001456F1">
        <w:t xml:space="preserve"> </w:t>
      </w:r>
      <w:r w:rsidR="0059660E" w:rsidRPr="001456F1">
        <w:t>(2013)</w:t>
      </w:r>
      <w:r w:rsidRPr="001456F1">
        <w:t>,</w:t>
      </w:r>
      <w:r w:rsidR="0059660E" w:rsidRPr="001456F1">
        <w:t xml:space="preserve"> </w:t>
      </w:r>
      <w:r w:rsidRPr="001456F1">
        <w:t xml:space="preserve">which </w:t>
      </w:r>
      <w:r w:rsidR="00C90BDE" w:rsidRPr="001456F1">
        <w:t>commission</w:t>
      </w:r>
      <w:r w:rsidRPr="001456F1">
        <w:t>ed</w:t>
      </w:r>
      <w:r w:rsidR="00C90BDE" w:rsidRPr="00607B79">
        <w:t xml:space="preserve"> </w:t>
      </w:r>
      <w:r w:rsidRPr="00607B79">
        <w:t xml:space="preserve">the construction of </w:t>
      </w:r>
      <w:r w:rsidR="00C90BDE" w:rsidRPr="00607B79">
        <w:t xml:space="preserve">two nuclear power units </w:t>
      </w:r>
      <w:r w:rsidR="0059660E" w:rsidRPr="001456F1">
        <w:t xml:space="preserve">(2 х 1170) </w:t>
      </w:r>
      <w:r w:rsidR="00C90BDE" w:rsidRPr="00607B79">
        <w:t xml:space="preserve">with </w:t>
      </w:r>
      <w:r w:rsidRPr="00607B79">
        <w:t xml:space="preserve">a </w:t>
      </w:r>
      <w:r w:rsidR="00C90BDE" w:rsidRPr="00607B79">
        <w:t xml:space="preserve">total power capacity of </w:t>
      </w:r>
      <w:r w:rsidR="0059660E" w:rsidRPr="00607B79">
        <w:t>2340</w:t>
      </w:r>
      <w:r w:rsidR="00C90BDE" w:rsidRPr="00607B79">
        <w:t xml:space="preserve"> MWe by </w:t>
      </w:r>
      <w:r w:rsidR="0059660E" w:rsidRPr="00607B79">
        <w:t>2021</w:t>
      </w:r>
      <w:r w:rsidR="00C90BDE" w:rsidRPr="00607B79">
        <w:t>. Through the technical cooperation mechanism</w:t>
      </w:r>
      <w:r w:rsidRPr="00607B79">
        <w:t>,</w:t>
      </w:r>
      <w:r w:rsidR="00C90BDE" w:rsidRPr="00607B79">
        <w:t xml:space="preserve"> the IAEA </w:t>
      </w:r>
      <w:r w:rsidRPr="00607B79">
        <w:t xml:space="preserve">is </w:t>
      </w:r>
      <w:r w:rsidR="00C90BDE" w:rsidRPr="00607B79">
        <w:t>support</w:t>
      </w:r>
      <w:r w:rsidRPr="00607B79">
        <w:t>ing</w:t>
      </w:r>
      <w:r w:rsidR="00C90BDE" w:rsidRPr="00607B79">
        <w:t xml:space="preserve"> Belarus by </w:t>
      </w:r>
      <w:r w:rsidRPr="00607B79">
        <w:t xml:space="preserve">helping to </w:t>
      </w:r>
      <w:r w:rsidR="00C90BDE" w:rsidRPr="00607B79">
        <w:t xml:space="preserve">strengthen its human resources and </w:t>
      </w:r>
      <w:r w:rsidRPr="00607B79">
        <w:t>development its</w:t>
      </w:r>
      <w:r w:rsidRPr="00607B79">
        <w:rPr>
          <w:i/>
        </w:rPr>
        <w:t xml:space="preserve"> </w:t>
      </w:r>
      <w:r w:rsidR="00C90BDE" w:rsidRPr="00607B79">
        <w:t xml:space="preserve">nuclear power infrastructure, by enhancing national capacities for efficient regulatory oversight and by providing its specialized services to review </w:t>
      </w:r>
      <w:r w:rsidRPr="00607B79">
        <w:t xml:space="preserve">the </w:t>
      </w:r>
      <w:r w:rsidR="00C90BDE" w:rsidRPr="00607B79">
        <w:t xml:space="preserve">country’s preparedness for </w:t>
      </w:r>
      <w:r w:rsidRPr="00607B79">
        <w:t xml:space="preserve">the </w:t>
      </w:r>
      <w:r w:rsidR="00C90BDE" w:rsidRPr="00607B79">
        <w:t>safe and secure deployment of nuclear power.</w:t>
      </w:r>
    </w:p>
    <w:p w14:paraId="3CBF495F" w14:textId="77777777" w:rsidR="0097237E" w:rsidRPr="00861957" w:rsidRDefault="0097237E" w:rsidP="0098470F">
      <w:pPr>
        <w:tabs>
          <w:tab w:val="left" w:pos="3255"/>
        </w:tabs>
        <w:jc w:val="both"/>
        <w:rPr>
          <w:sz w:val="23"/>
          <w:szCs w:val="23"/>
        </w:rPr>
      </w:pPr>
    </w:p>
    <w:p w14:paraId="116E97C2" w14:textId="0948596D" w:rsidR="0097237E" w:rsidRPr="00C677A4" w:rsidRDefault="00B16573" w:rsidP="001702ED">
      <w:pPr>
        <w:tabs>
          <w:tab w:val="left" w:pos="3255"/>
        </w:tabs>
        <w:jc w:val="both"/>
      </w:pPr>
      <w:r w:rsidRPr="00C677A4">
        <w:t xml:space="preserve">FAO is ready </w:t>
      </w:r>
      <w:r w:rsidR="0097237E" w:rsidRPr="00C677A4">
        <w:t xml:space="preserve">to provide support in creating opportunities for biodiesel production </w:t>
      </w:r>
      <w:r w:rsidR="000877CC" w:rsidRPr="00C677A4">
        <w:t>using</w:t>
      </w:r>
      <w:r w:rsidR="0097237E" w:rsidRPr="00C677A4">
        <w:t xml:space="preserve"> rapeseed </w:t>
      </w:r>
      <w:r w:rsidR="000877CC" w:rsidRPr="00C677A4">
        <w:t>in the</w:t>
      </w:r>
      <w:r w:rsidR="0097237E" w:rsidRPr="00C677A4">
        <w:t xml:space="preserve"> Chernobyl-affected territories. The implementation of such measures would facilitate land rehabilitation and allow </w:t>
      </w:r>
      <w:r w:rsidR="000877CC" w:rsidRPr="00C677A4">
        <w:t xml:space="preserve">the creation of </w:t>
      </w:r>
      <w:r w:rsidR="0097237E" w:rsidRPr="00C677A4">
        <w:t xml:space="preserve">new workplaces and </w:t>
      </w:r>
      <w:r w:rsidR="000877CC" w:rsidRPr="00C677A4">
        <w:t xml:space="preserve">sources of </w:t>
      </w:r>
      <w:r w:rsidR="0097237E" w:rsidRPr="00C677A4">
        <w:t>income in rural areas</w:t>
      </w:r>
      <w:r w:rsidR="000877CC" w:rsidRPr="00C677A4">
        <w:t>, as well as the</w:t>
      </w:r>
      <w:r w:rsidR="0097237E" w:rsidRPr="00C677A4">
        <w:t xml:space="preserve"> improvement of the local and global environmental situation</w:t>
      </w:r>
      <w:r w:rsidR="0097237E" w:rsidRPr="008B2AD6">
        <w:t>.</w:t>
      </w:r>
      <w:r w:rsidR="009B4450" w:rsidRPr="008B2AD6">
        <w:t xml:space="preserve"> </w:t>
      </w:r>
      <w:r w:rsidR="001702ED" w:rsidRPr="001702ED">
        <w:t>FAO will support the Republic of Belarus in advancing the system of sustainable management of forests. The Ministry of Forestry of the Republic of Belarus will act as FAO’s main partner in these activities.</w:t>
      </w:r>
      <w:r w:rsidR="009B4450" w:rsidRPr="008B2AD6">
        <w:t>.</w:t>
      </w:r>
    </w:p>
    <w:p w14:paraId="5AC0A393" w14:textId="09A0E67D" w:rsidR="006D5E77" w:rsidRPr="00861957" w:rsidRDefault="006D5E77" w:rsidP="006D5E77">
      <w:pPr>
        <w:pStyle w:val="Heading2"/>
        <w:rPr>
          <w:sz w:val="32"/>
          <w:szCs w:val="32"/>
        </w:rPr>
      </w:pPr>
      <w:bookmarkStart w:id="23" w:name="_Toc405745116"/>
      <w:bookmarkStart w:id="24" w:name="_Toc412921077"/>
      <w:r w:rsidRPr="00861957">
        <w:rPr>
          <w:sz w:val="32"/>
          <w:szCs w:val="32"/>
        </w:rPr>
        <w:lastRenderedPageBreak/>
        <w:t xml:space="preserve">UNDAF Area of Cooperation 4: Sustainable </w:t>
      </w:r>
      <w:r w:rsidR="00761278" w:rsidRPr="00861957">
        <w:rPr>
          <w:sz w:val="32"/>
          <w:szCs w:val="32"/>
        </w:rPr>
        <w:t xml:space="preserve">Development of </w:t>
      </w:r>
      <w:r w:rsidRPr="00861957">
        <w:rPr>
          <w:sz w:val="32"/>
          <w:szCs w:val="32"/>
        </w:rPr>
        <w:t>Human Capital: Health, Education, Social Inclusion and Protection</w:t>
      </w:r>
      <w:bookmarkEnd w:id="23"/>
      <w:bookmarkEnd w:id="24"/>
      <w:r w:rsidR="00470795" w:rsidRPr="00861957">
        <w:rPr>
          <w:sz w:val="32"/>
          <w:szCs w:val="32"/>
        </w:rPr>
        <w:t>, Comprehensive Post-Chernobyl Development</w:t>
      </w:r>
    </w:p>
    <w:p w14:paraId="2B501DCA" w14:textId="77777777" w:rsidR="006D5E77" w:rsidRPr="00861957" w:rsidRDefault="006D5E77" w:rsidP="00B83DB3">
      <w:pPr>
        <w:jc w:val="both"/>
        <w:rPr>
          <w:b/>
        </w:rPr>
      </w:pPr>
    </w:p>
    <w:p w14:paraId="3B938AA0" w14:textId="7CB6EC66" w:rsidR="00F6570F" w:rsidRPr="00861957" w:rsidRDefault="00F6570F" w:rsidP="00F6570F">
      <w:pPr>
        <w:jc w:val="both"/>
        <w:rPr>
          <w:b/>
          <w:color w:val="548DD4" w:themeColor="text2" w:themeTint="99"/>
        </w:rPr>
      </w:pPr>
      <w:r w:rsidRPr="00861957">
        <w:rPr>
          <w:b/>
          <w:color w:val="548DD4" w:themeColor="text2" w:themeTint="99"/>
        </w:rPr>
        <w:t>Sustainable Development Goals:</w:t>
      </w:r>
      <w:r w:rsidRPr="00861957">
        <w:rPr>
          <w:color w:val="548DD4" w:themeColor="text2" w:themeTint="99"/>
        </w:rPr>
        <w:t xml:space="preserve"> </w:t>
      </w:r>
      <w:r w:rsidR="006D041D" w:rsidRPr="00861957">
        <w:rPr>
          <w:color w:val="548DD4" w:themeColor="text2" w:themeTint="99"/>
        </w:rPr>
        <w:t xml:space="preserve">to </w:t>
      </w:r>
      <w:r w:rsidRPr="00861957">
        <w:t>ensure healthy lives and promote well-being for all at all ages</w:t>
      </w:r>
      <w:r w:rsidR="008D1945" w:rsidRPr="00861957">
        <w:t xml:space="preserve"> (3)</w:t>
      </w:r>
      <w:r w:rsidR="006D041D" w:rsidRPr="00861957">
        <w:t>; to</w:t>
      </w:r>
      <w:r w:rsidR="008D1945" w:rsidRPr="00861957">
        <w:t xml:space="preserve"> </w:t>
      </w:r>
      <w:r w:rsidR="00B861B6" w:rsidRPr="00861957">
        <w:t xml:space="preserve">ensure inclusive and equitable </w:t>
      </w:r>
      <w:r w:rsidR="006D041D" w:rsidRPr="00861957">
        <w:t>high-</w:t>
      </w:r>
      <w:r w:rsidR="00B861B6" w:rsidRPr="00861957">
        <w:t>quality education and promote life-long learning opportunities for all (4)</w:t>
      </w:r>
      <w:r w:rsidR="007230D0" w:rsidRPr="00861957">
        <w:t>.</w:t>
      </w:r>
    </w:p>
    <w:p w14:paraId="2639F777" w14:textId="3B28086F" w:rsidR="00F6570F" w:rsidRPr="00861957" w:rsidRDefault="000B47C6" w:rsidP="00F6570F">
      <w:pPr>
        <w:jc w:val="both"/>
      </w:pPr>
      <w:r>
        <w:rPr>
          <w:b/>
          <w:color w:val="548DD4" w:themeColor="text2" w:themeTint="99"/>
        </w:rPr>
        <w:t>NSSSED</w:t>
      </w:r>
      <w:r w:rsidR="00B861B6" w:rsidRPr="00861957">
        <w:rPr>
          <w:b/>
          <w:color w:val="548DD4" w:themeColor="text2" w:themeTint="99"/>
        </w:rPr>
        <w:t>-2030:</w:t>
      </w:r>
      <w:r w:rsidR="00B861B6" w:rsidRPr="00861957">
        <w:rPr>
          <w:color w:val="548DD4" w:themeColor="text2" w:themeTint="99"/>
        </w:rPr>
        <w:t xml:space="preserve"> </w:t>
      </w:r>
      <w:r w:rsidR="00746165" w:rsidRPr="00861957">
        <w:t xml:space="preserve">human capital development and the </w:t>
      </w:r>
      <w:r w:rsidR="00B861B6" w:rsidRPr="00861957">
        <w:t>efficient use</w:t>
      </w:r>
      <w:r w:rsidR="00746165" w:rsidRPr="00861957">
        <w:t xml:space="preserve"> of human potential</w:t>
      </w:r>
      <w:r w:rsidR="006D041D" w:rsidRPr="00861957">
        <w:t>.</w:t>
      </w:r>
    </w:p>
    <w:p w14:paraId="18D753D2" w14:textId="78D5976C" w:rsidR="00F6570F" w:rsidRPr="00861957" w:rsidRDefault="00F6570F" w:rsidP="00F6570F">
      <w:pPr>
        <w:jc w:val="both"/>
        <w:rPr>
          <w:b/>
          <w:color w:val="548DD4" w:themeColor="text2" w:themeTint="99"/>
        </w:rPr>
      </w:pPr>
      <w:r w:rsidRPr="00861957">
        <w:rPr>
          <w:b/>
          <w:color w:val="548DD4" w:themeColor="text2" w:themeTint="99"/>
        </w:rPr>
        <w:t xml:space="preserve">Post-2015 Consultations: </w:t>
      </w:r>
      <w:r w:rsidR="006D041D" w:rsidRPr="00861957">
        <w:rPr>
          <w:color w:val="548DD4" w:themeColor="text2" w:themeTint="99"/>
        </w:rPr>
        <w:t>the</w:t>
      </w:r>
      <w:r w:rsidR="006D041D" w:rsidRPr="00861957">
        <w:rPr>
          <w:b/>
          <w:color w:val="548DD4" w:themeColor="text2" w:themeTint="99"/>
        </w:rPr>
        <w:t xml:space="preserve"> </w:t>
      </w:r>
      <w:r w:rsidRPr="00861957">
        <w:t xml:space="preserve">quality of education and healthcare </w:t>
      </w:r>
      <w:r w:rsidR="006D041D" w:rsidRPr="00861957">
        <w:t xml:space="preserve">has </w:t>
      </w:r>
      <w:r w:rsidRPr="00861957">
        <w:t xml:space="preserve">emerged as </w:t>
      </w:r>
      <w:r w:rsidR="006D041D" w:rsidRPr="00861957">
        <w:t xml:space="preserve">a </w:t>
      </w:r>
      <w:r w:rsidRPr="00861957">
        <w:t xml:space="preserve">priority </w:t>
      </w:r>
      <w:r w:rsidR="006D041D" w:rsidRPr="00861957">
        <w:t xml:space="preserve">at </w:t>
      </w:r>
      <w:r w:rsidRPr="00861957">
        <w:t>all level</w:t>
      </w:r>
      <w:r w:rsidR="006D041D" w:rsidRPr="00861957">
        <w:t>s</w:t>
      </w:r>
      <w:r w:rsidRPr="00861957">
        <w:t xml:space="preserve"> of consultations in Belarus; both issues were </w:t>
      </w:r>
      <w:r w:rsidR="006D041D" w:rsidRPr="00861957">
        <w:t xml:space="preserve">ranked highest </w:t>
      </w:r>
      <w:r w:rsidRPr="00861957">
        <w:t>in the preliminary results of the My World 2015 Survey in Belarus; greater inclusion and empowerment of vulnerable groups were encouraged during the discussion meetings and in the focus groups.</w:t>
      </w:r>
    </w:p>
    <w:p w14:paraId="17B74CA0" w14:textId="77777777" w:rsidR="0033052C" w:rsidRPr="00861957" w:rsidRDefault="0033052C" w:rsidP="00B83DB3">
      <w:pPr>
        <w:jc w:val="both"/>
        <w:rPr>
          <w:b/>
        </w:rPr>
      </w:pPr>
    </w:p>
    <w:p w14:paraId="6E03457A" w14:textId="0746E84F" w:rsidR="007214B0" w:rsidRPr="00861957" w:rsidRDefault="007214B0" w:rsidP="007214B0">
      <w:pPr>
        <w:pStyle w:val="PlainText"/>
        <w:jc w:val="both"/>
        <w:rPr>
          <w:rFonts w:ascii="Times New Roman" w:hAnsi="Times New Roman" w:cs="Times New Roman"/>
          <w:sz w:val="24"/>
          <w:szCs w:val="24"/>
          <w:lang w:val="en-GB"/>
        </w:rPr>
      </w:pPr>
      <w:r w:rsidRPr="00861957">
        <w:rPr>
          <w:rFonts w:ascii="Times New Roman" w:hAnsi="Times New Roman" w:cs="Times New Roman"/>
          <w:b/>
          <w:sz w:val="24"/>
          <w:szCs w:val="24"/>
          <w:lang w:val="en-GB"/>
        </w:rPr>
        <w:t>Outcome 4.1:</w:t>
      </w:r>
      <w:r w:rsidRPr="00861957">
        <w:rPr>
          <w:rFonts w:ascii="Times New Roman" w:hAnsi="Times New Roman" w:cs="Times New Roman"/>
          <w:sz w:val="24"/>
          <w:szCs w:val="24"/>
          <w:lang w:val="en-GB"/>
        </w:rPr>
        <w:t xml:space="preserve"> </w:t>
      </w:r>
      <w:r w:rsidR="002F0D95" w:rsidRPr="00861957">
        <w:rPr>
          <w:rFonts w:ascii="Times New Roman" w:hAnsi="Times New Roman" w:cs="Times New Roman"/>
          <w:sz w:val="24"/>
          <w:szCs w:val="24"/>
          <w:lang w:val="en-GB"/>
        </w:rPr>
        <w:t xml:space="preserve">By 2020, the health system </w:t>
      </w:r>
      <w:r w:rsidR="006D041D" w:rsidRPr="00861957">
        <w:rPr>
          <w:rFonts w:ascii="Times New Roman" w:hAnsi="Times New Roman" w:cs="Times New Roman"/>
          <w:sz w:val="24"/>
          <w:szCs w:val="24"/>
          <w:lang w:val="en-GB"/>
        </w:rPr>
        <w:t>will have</w:t>
      </w:r>
      <w:r w:rsidR="00C82D3C" w:rsidRPr="00861957">
        <w:rPr>
          <w:rFonts w:ascii="Times New Roman" w:hAnsi="Times New Roman" w:cs="Times New Roman"/>
          <w:sz w:val="24"/>
          <w:szCs w:val="24"/>
          <w:lang w:val="en-GB"/>
        </w:rPr>
        <w:t xml:space="preserve"> been</w:t>
      </w:r>
      <w:r w:rsidR="006D041D" w:rsidRPr="00861957">
        <w:rPr>
          <w:rFonts w:ascii="Times New Roman" w:hAnsi="Times New Roman" w:cs="Times New Roman"/>
          <w:sz w:val="24"/>
          <w:szCs w:val="24"/>
          <w:lang w:val="en-GB"/>
        </w:rPr>
        <w:t xml:space="preserve"> </w:t>
      </w:r>
      <w:r w:rsidR="002F0D95" w:rsidRPr="00861957">
        <w:rPr>
          <w:rFonts w:ascii="Times New Roman" w:hAnsi="Times New Roman" w:cs="Times New Roman"/>
          <w:sz w:val="24"/>
          <w:szCs w:val="24"/>
          <w:lang w:val="en-GB"/>
        </w:rPr>
        <w:t xml:space="preserve">strengthened to ensure </w:t>
      </w:r>
      <w:r w:rsidR="006D041D" w:rsidRPr="00861957">
        <w:rPr>
          <w:rFonts w:ascii="Times New Roman" w:hAnsi="Times New Roman" w:cs="Times New Roman"/>
          <w:sz w:val="24"/>
          <w:szCs w:val="24"/>
          <w:lang w:val="en-GB"/>
        </w:rPr>
        <w:t xml:space="preserve">a </w:t>
      </w:r>
      <w:r w:rsidR="002F0D95" w:rsidRPr="00861957">
        <w:rPr>
          <w:rFonts w:ascii="Times New Roman" w:hAnsi="Times New Roman" w:cs="Times New Roman"/>
          <w:sz w:val="24"/>
          <w:szCs w:val="24"/>
          <w:lang w:val="en-GB"/>
        </w:rPr>
        <w:t xml:space="preserve">sustained reduction in premature deaths from </w:t>
      </w:r>
      <w:r w:rsidR="00C82D3C" w:rsidRPr="00861957">
        <w:rPr>
          <w:rFonts w:ascii="Times New Roman" w:hAnsi="Times New Roman" w:cs="Times New Roman"/>
          <w:sz w:val="24"/>
          <w:szCs w:val="24"/>
          <w:lang w:val="en-GB"/>
        </w:rPr>
        <w:t>four</w:t>
      </w:r>
      <w:r w:rsidR="002F0D95" w:rsidRPr="00861957">
        <w:rPr>
          <w:rFonts w:ascii="Times New Roman" w:hAnsi="Times New Roman" w:cs="Times New Roman"/>
          <w:sz w:val="24"/>
          <w:szCs w:val="24"/>
          <w:lang w:val="en-GB"/>
        </w:rPr>
        <w:t xml:space="preserve"> major non-communicable disease</w:t>
      </w:r>
      <w:r w:rsidR="006D041D" w:rsidRPr="00861957">
        <w:rPr>
          <w:rFonts w:ascii="Times New Roman" w:hAnsi="Times New Roman" w:cs="Times New Roman"/>
          <w:sz w:val="24"/>
          <w:szCs w:val="24"/>
          <w:lang w:val="en-GB"/>
        </w:rPr>
        <w:t xml:space="preserve"> type</w:t>
      </w:r>
      <w:r w:rsidR="002F0D95" w:rsidRPr="00861957">
        <w:rPr>
          <w:rFonts w:ascii="Times New Roman" w:hAnsi="Times New Roman" w:cs="Times New Roman"/>
          <w:sz w:val="24"/>
          <w:szCs w:val="24"/>
          <w:lang w:val="en-GB"/>
        </w:rPr>
        <w:t xml:space="preserve">s (cardiovascular, cancers, diabetes and respiratory) through </w:t>
      </w:r>
      <w:r w:rsidR="006D041D" w:rsidRPr="00861957">
        <w:rPr>
          <w:rFonts w:ascii="Times New Roman" w:hAnsi="Times New Roman" w:cs="Times New Roman"/>
          <w:sz w:val="24"/>
          <w:szCs w:val="24"/>
          <w:lang w:val="en-GB"/>
        </w:rPr>
        <w:t xml:space="preserve">the </w:t>
      </w:r>
      <w:r w:rsidR="002F0D95" w:rsidRPr="00861957">
        <w:rPr>
          <w:rFonts w:ascii="Times New Roman" w:hAnsi="Times New Roman" w:cs="Times New Roman"/>
          <w:sz w:val="24"/>
          <w:szCs w:val="24"/>
          <w:lang w:val="en-GB"/>
        </w:rPr>
        <w:t>creation of a comprehensive preventive environment and universal access to primary healthcare services</w:t>
      </w:r>
      <w:r w:rsidR="006D041D" w:rsidRPr="00861957">
        <w:rPr>
          <w:rFonts w:ascii="Times New Roman" w:hAnsi="Times New Roman" w:cs="Times New Roman"/>
          <w:sz w:val="24"/>
          <w:szCs w:val="24"/>
          <w:lang w:val="en-GB"/>
        </w:rPr>
        <w:t>.</w:t>
      </w:r>
    </w:p>
    <w:p w14:paraId="0E8D51BC" w14:textId="77777777" w:rsidR="00FA7874" w:rsidRPr="00861957" w:rsidRDefault="00FA7874" w:rsidP="007214B0">
      <w:pPr>
        <w:pStyle w:val="PlainText"/>
        <w:jc w:val="both"/>
        <w:rPr>
          <w:rFonts w:ascii="Times New Roman" w:hAnsi="Times New Roman" w:cs="Times New Roman"/>
          <w:sz w:val="24"/>
          <w:szCs w:val="24"/>
          <w:lang w:val="en-GB"/>
        </w:rPr>
      </w:pPr>
    </w:p>
    <w:p w14:paraId="5E8548E0" w14:textId="1A262408" w:rsidR="00510812" w:rsidRPr="00861957" w:rsidRDefault="00510812" w:rsidP="00510812">
      <w:pPr>
        <w:pStyle w:val="PlainText"/>
        <w:jc w:val="both"/>
        <w:rPr>
          <w:rFonts w:ascii="Times New Roman" w:hAnsi="Times New Roman" w:cs="Times New Roman"/>
          <w:sz w:val="24"/>
          <w:szCs w:val="24"/>
          <w:lang w:val="en-GB"/>
        </w:rPr>
      </w:pPr>
      <w:r w:rsidRPr="00861957">
        <w:rPr>
          <w:rFonts w:ascii="Times New Roman" w:hAnsi="Times New Roman" w:cs="Times New Roman"/>
          <w:sz w:val="24"/>
          <w:szCs w:val="24"/>
          <w:lang w:val="en-GB"/>
        </w:rPr>
        <w:t>In 2000, WHO ranked the Belarusian healthcare system 53rd out of 190 countries</w:t>
      </w:r>
      <w:r w:rsidR="006D041D" w:rsidRPr="00861957">
        <w:rPr>
          <w:rFonts w:ascii="Times New Roman" w:hAnsi="Times New Roman" w:cs="Times New Roman"/>
          <w:sz w:val="24"/>
          <w:szCs w:val="24"/>
          <w:lang w:val="en-GB"/>
        </w:rPr>
        <w:t xml:space="preserve"> in terms of the </w:t>
      </w:r>
      <w:r w:rsidRPr="00861957">
        <w:rPr>
          <w:rFonts w:ascii="Times New Roman" w:hAnsi="Times New Roman" w:cs="Times New Roman"/>
          <w:sz w:val="24"/>
          <w:szCs w:val="24"/>
          <w:lang w:val="en-GB"/>
        </w:rPr>
        <w:t xml:space="preserve">overall </w:t>
      </w:r>
      <w:r w:rsidR="006D041D" w:rsidRPr="00861957">
        <w:rPr>
          <w:rFonts w:ascii="Times New Roman" w:hAnsi="Times New Roman" w:cs="Times New Roman"/>
          <w:sz w:val="24"/>
          <w:szCs w:val="24"/>
          <w:lang w:val="en-GB"/>
        </w:rPr>
        <w:t xml:space="preserve">attainment of the </w:t>
      </w:r>
      <w:r w:rsidRPr="00861957">
        <w:rPr>
          <w:rFonts w:ascii="Times New Roman" w:hAnsi="Times New Roman" w:cs="Times New Roman"/>
          <w:sz w:val="24"/>
          <w:szCs w:val="24"/>
          <w:lang w:val="en-GB"/>
        </w:rPr>
        <w:t>health</w:t>
      </w:r>
      <w:r w:rsidR="006D041D" w:rsidRPr="00861957">
        <w:rPr>
          <w:rFonts w:ascii="Times New Roman" w:hAnsi="Times New Roman" w:cs="Times New Roman"/>
          <w:sz w:val="24"/>
          <w:szCs w:val="24"/>
          <w:lang w:val="en-GB"/>
        </w:rPr>
        <w:t>care</w:t>
      </w:r>
      <w:r w:rsidRPr="00861957">
        <w:rPr>
          <w:rFonts w:ascii="Times New Roman" w:hAnsi="Times New Roman" w:cs="Times New Roman"/>
          <w:sz w:val="24"/>
          <w:szCs w:val="24"/>
          <w:lang w:val="en-GB"/>
        </w:rPr>
        <w:t xml:space="preserve"> system– the best ranking </w:t>
      </w:r>
      <w:r w:rsidR="006D041D" w:rsidRPr="00861957">
        <w:rPr>
          <w:rFonts w:ascii="Times New Roman" w:hAnsi="Times New Roman" w:cs="Times New Roman"/>
          <w:sz w:val="24"/>
          <w:szCs w:val="24"/>
          <w:lang w:val="en-GB"/>
        </w:rPr>
        <w:t xml:space="preserve">among </w:t>
      </w:r>
      <w:r w:rsidRPr="00861957">
        <w:rPr>
          <w:rFonts w:ascii="Times New Roman" w:hAnsi="Times New Roman" w:cs="Times New Roman"/>
          <w:sz w:val="24"/>
          <w:szCs w:val="24"/>
          <w:lang w:val="en-GB"/>
        </w:rPr>
        <w:t>the CIS</w:t>
      </w:r>
      <w:r w:rsidR="006D041D" w:rsidRPr="00861957">
        <w:rPr>
          <w:rFonts w:ascii="Times New Roman" w:hAnsi="Times New Roman" w:cs="Times New Roman"/>
          <w:sz w:val="24"/>
          <w:szCs w:val="24"/>
          <w:lang w:val="en-GB"/>
        </w:rPr>
        <w:t xml:space="preserve"> countries</w:t>
      </w:r>
      <w:r w:rsidRPr="00861957">
        <w:rPr>
          <w:rFonts w:ascii="Times New Roman" w:hAnsi="Times New Roman" w:cs="Times New Roman"/>
          <w:sz w:val="24"/>
          <w:szCs w:val="24"/>
          <w:lang w:val="en-GB"/>
        </w:rPr>
        <w:t xml:space="preserve">. Belarus </w:t>
      </w:r>
      <w:r w:rsidR="006D041D" w:rsidRPr="00861957">
        <w:rPr>
          <w:rFonts w:ascii="Times New Roman" w:hAnsi="Times New Roman" w:cs="Times New Roman"/>
          <w:sz w:val="24"/>
          <w:szCs w:val="24"/>
          <w:lang w:val="en-GB"/>
        </w:rPr>
        <w:t xml:space="preserve">has </w:t>
      </w:r>
      <w:r w:rsidRPr="00861957">
        <w:rPr>
          <w:rFonts w:ascii="Times New Roman" w:hAnsi="Times New Roman" w:cs="Times New Roman"/>
          <w:sz w:val="24"/>
          <w:szCs w:val="24"/>
          <w:lang w:val="en-GB"/>
        </w:rPr>
        <w:t>preserved the publicly controlled Semashko healthcare system, organi</w:t>
      </w:r>
      <w:r w:rsidR="000F002C" w:rsidRPr="00861957">
        <w:rPr>
          <w:rFonts w:ascii="Times New Roman" w:hAnsi="Times New Roman" w:cs="Times New Roman"/>
          <w:sz w:val="24"/>
          <w:szCs w:val="24"/>
          <w:lang w:val="en-GB"/>
        </w:rPr>
        <w:t>z</w:t>
      </w:r>
      <w:r w:rsidRPr="00861957">
        <w:rPr>
          <w:rFonts w:ascii="Times New Roman" w:hAnsi="Times New Roman" w:cs="Times New Roman"/>
          <w:sz w:val="24"/>
          <w:szCs w:val="24"/>
          <w:lang w:val="en-GB"/>
        </w:rPr>
        <w:t>ed on a territorial basis and in a hierarchical way. Public spendi</w:t>
      </w:r>
      <w:r w:rsidR="00A93777" w:rsidRPr="00861957">
        <w:rPr>
          <w:rFonts w:ascii="Times New Roman" w:hAnsi="Times New Roman" w:cs="Times New Roman"/>
          <w:sz w:val="24"/>
          <w:szCs w:val="24"/>
          <w:lang w:val="en-GB"/>
        </w:rPr>
        <w:t>ng on healthcare amounted to 3.8</w:t>
      </w:r>
      <w:r w:rsidRPr="00861957">
        <w:rPr>
          <w:rFonts w:ascii="Times New Roman" w:hAnsi="Times New Roman" w:cs="Times New Roman"/>
          <w:sz w:val="24"/>
          <w:szCs w:val="24"/>
          <w:lang w:val="en-GB"/>
        </w:rPr>
        <w:t>% of GDP in 2012</w:t>
      </w:r>
      <w:r w:rsidR="00A93777" w:rsidRPr="00861957">
        <w:rPr>
          <w:rFonts w:ascii="Times New Roman" w:hAnsi="Times New Roman" w:cs="Times New Roman"/>
          <w:sz w:val="24"/>
          <w:szCs w:val="24"/>
          <w:lang w:val="en-GB"/>
        </w:rPr>
        <w:t xml:space="preserve"> (2013 - 4.0%)</w:t>
      </w:r>
      <w:r w:rsidRPr="00861957">
        <w:rPr>
          <w:rFonts w:ascii="Times New Roman" w:hAnsi="Times New Roman" w:cs="Times New Roman"/>
          <w:sz w:val="24"/>
          <w:szCs w:val="24"/>
          <w:lang w:val="en-GB"/>
        </w:rPr>
        <w:t>, above the CIS average of 2.7% of GDP but below the OECD average of 6.8% of GDP</w:t>
      </w:r>
      <w:r w:rsidR="006D041D" w:rsidRPr="00861957">
        <w:rPr>
          <w:rFonts w:ascii="Times New Roman" w:hAnsi="Times New Roman" w:cs="Times New Roman"/>
          <w:sz w:val="24"/>
          <w:szCs w:val="24"/>
          <w:lang w:val="en-GB"/>
        </w:rPr>
        <w:t>.</w:t>
      </w:r>
      <w:r w:rsidRPr="00861957">
        <w:rPr>
          <w:rStyle w:val="FootnoteReference"/>
          <w:rFonts w:ascii="Times New Roman" w:hAnsi="Times New Roman"/>
          <w:sz w:val="24"/>
          <w:szCs w:val="24"/>
          <w:lang w:val="en-GB"/>
        </w:rPr>
        <w:footnoteReference w:id="20"/>
      </w:r>
    </w:p>
    <w:p w14:paraId="3A49A054" w14:textId="77777777" w:rsidR="00510812" w:rsidRPr="00861957" w:rsidRDefault="00510812" w:rsidP="00510812">
      <w:pPr>
        <w:pStyle w:val="PlainText"/>
        <w:jc w:val="both"/>
        <w:rPr>
          <w:lang w:val="en-GB"/>
        </w:rPr>
      </w:pPr>
    </w:p>
    <w:p w14:paraId="35988005" w14:textId="4342AC58" w:rsidR="00510812" w:rsidRPr="00861957" w:rsidRDefault="00510812" w:rsidP="00510812">
      <w:pPr>
        <w:jc w:val="both"/>
      </w:pPr>
      <w:r w:rsidRPr="00861957">
        <w:t xml:space="preserve">Healthcare services are generally more accessible than in other countries of the region. The Government has adopted an incremental approach to reforms in the healthcare system and to date has upheld </w:t>
      </w:r>
      <w:r w:rsidR="001E433F" w:rsidRPr="00861957">
        <w:t xml:space="preserve">its </w:t>
      </w:r>
      <w:r w:rsidRPr="00861957">
        <w:t xml:space="preserve">commitment to provide universal </w:t>
      </w:r>
      <w:r w:rsidR="001E433F" w:rsidRPr="00861957">
        <w:t xml:space="preserve">free </w:t>
      </w:r>
      <w:r w:rsidRPr="00861957">
        <w:t>access to healthcare</w:t>
      </w:r>
      <w:r w:rsidR="001E433F" w:rsidRPr="00861957">
        <w:t>,</w:t>
      </w:r>
      <w:r w:rsidRPr="00861957">
        <w:t xml:space="preserve"> irrespective </w:t>
      </w:r>
      <w:r w:rsidR="001E433F" w:rsidRPr="00861957">
        <w:t xml:space="preserve">of </w:t>
      </w:r>
      <w:r w:rsidRPr="00861957">
        <w:t>income</w:t>
      </w:r>
      <w:r w:rsidR="001E433F" w:rsidRPr="00861957">
        <w:t>,</w:t>
      </w:r>
      <w:r w:rsidRPr="00861957">
        <w:t xml:space="preserve"> through mostly public</w:t>
      </w:r>
      <w:r w:rsidR="00A93777" w:rsidRPr="00861957">
        <w:t>ly-owned healthcare facilities.</w:t>
      </w:r>
    </w:p>
    <w:p w14:paraId="367420ED" w14:textId="77777777" w:rsidR="00510812" w:rsidRPr="00861957" w:rsidRDefault="00510812" w:rsidP="00510812">
      <w:pPr>
        <w:pStyle w:val="PlainText"/>
        <w:jc w:val="both"/>
        <w:rPr>
          <w:rFonts w:ascii="Times New Roman" w:hAnsi="Times New Roman" w:cs="Times New Roman"/>
          <w:sz w:val="24"/>
          <w:szCs w:val="24"/>
          <w:lang w:val="en-GB"/>
        </w:rPr>
      </w:pPr>
    </w:p>
    <w:p w14:paraId="201FE729" w14:textId="79CC6526" w:rsidR="00510812" w:rsidRPr="00861957" w:rsidRDefault="00510812" w:rsidP="00510812">
      <w:pPr>
        <w:jc w:val="both"/>
      </w:pPr>
      <w:r w:rsidRPr="00861957">
        <w:t>The healthcare system is focused on</w:t>
      </w:r>
      <w:r w:rsidR="001E433F" w:rsidRPr="00861957">
        <w:t xml:space="preserve"> the</w:t>
      </w:r>
      <w:r w:rsidRPr="00861957">
        <w:t xml:space="preserve"> provision of highly speciali</w:t>
      </w:r>
      <w:r w:rsidR="000F002C" w:rsidRPr="00861957">
        <w:t>ze</w:t>
      </w:r>
      <w:r w:rsidRPr="00861957">
        <w:t>d tertiary care</w:t>
      </w:r>
      <w:r w:rsidR="001E433F" w:rsidRPr="00861957">
        <w:t xml:space="preserve"> and</w:t>
      </w:r>
      <w:r w:rsidRPr="00861957">
        <w:t xml:space="preserve"> hospital-based services</w:t>
      </w:r>
      <w:r w:rsidR="001E433F" w:rsidRPr="00861957">
        <w:t>.</w:t>
      </w:r>
      <w:r w:rsidRPr="00861957">
        <w:rPr>
          <w:rStyle w:val="FootnoteReference"/>
        </w:rPr>
        <w:footnoteReference w:id="21"/>
      </w:r>
      <w:r w:rsidRPr="00861957">
        <w:t xml:space="preserve"> Belarusians use hospitals more frequently and for a longer period of time than in </w:t>
      </w:r>
      <w:r w:rsidR="00A93777" w:rsidRPr="00861957">
        <w:t xml:space="preserve">many other European countries. </w:t>
      </w:r>
      <w:r w:rsidRPr="00861957">
        <w:t>Belarus had 37.6 physicians per 10,000 people in 2003-2012</w:t>
      </w:r>
      <w:r w:rsidRPr="00861957">
        <w:rPr>
          <w:rStyle w:val="FootnoteReference"/>
        </w:rPr>
        <w:footnoteReference w:id="22"/>
      </w:r>
      <w:r w:rsidRPr="00861957">
        <w:t xml:space="preserve"> </w:t>
      </w:r>
      <w:r w:rsidR="00A93777" w:rsidRPr="00861957">
        <w:t xml:space="preserve">(2013 – 39.4) </w:t>
      </w:r>
      <w:r w:rsidRPr="00861957">
        <w:t xml:space="preserve">and </w:t>
      </w:r>
      <w:r w:rsidR="00A93777" w:rsidRPr="00861957">
        <w:t>8.9</w:t>
      </w:r>
      <w:r w:rsidRPr="00861957">
        <w:t xml:space="preserve"> hospital beds per 1,000 people in </w:t>
      </w:r>
      <w:r w:rsidR="00A93777" w:rsidRPr="00861957">
        <w:t>2013</w:t>
      </w:r>
      <w:r w:rsidRPr="00861957">
        <w:t xml:space="preserve">. This number is higher than the average </w:t>
      </w:r>
      <w:r w:rsidR="001E433F" w:rsidRPr="00861957">
        <w:t>for</w:t>
      </w:r>
      <w:r w:rsidRPr="00861957">
        <w:t xml:space="preserve"> the CIS and Western countries, but it does not translate into quality health outcomes, as Belarus does not sufficiently prioriti</w:t>
      </w:r>
      <w:r w:rsidR="001E433F" w:rsidRPr="00861957">
        <w:t>ze</w:t>
      </w:r>
      <w:r w:rsidRPr="00861957">
        <w:t xml:space="preserve"> preventive and primary care services. Only about 33% of the healthcare budget is spent on primary healthcare.</w:t>
      </w:r>
    </w:p>
    <w:p w14:paraId="02F3D92E" w14:textId="77777777" w:rsidR="00510812" w:rsidRPr="00861957" w:rsidRDefault="00510812" w:rsidP="00510812">
      <w:pPr>
        <w:jc w:val="both"/>
      </w:pPr>
    </w:p>
    <w:p w14:paraId="5FDF5F8C" w14:textId="64E65375" w:rsidR="00233FB1" w:rsidRPr="00861957" w:rsidRDefault="00510812" w:rsidP="00510812">
      <w:pPr>
        <w:pStyle w:val="PlainText"/>
        <w:jc w:val="both"/>
        <w:rPr>
          <w:rFonts w:ascii="Times New Roman" w:hAnsi="Times New Roman" w:cs="Times New Roman"/>
          <w:kern w:val="24"/>
          <w:sz w:val="24"/>
          <w:szCs w:val="24"/>
          <w:lang w:val="en-GB"/>
        </w:rPr>
      </w:pPr>
      <w:r w:rsidRPr="00861957">
        <w:rPr>
          <w:rFonts w:ascii="Times New Roman" w:hAnsi="Times New Roman" w:cs="Times New Roman"/>
          <w:sz w:val="24"/>
          <w:szCs w:val="24"/>
          <w:lang w:val="en-GB"/>
        </w:rPr>
        <w:t xml:space="preserve">Therefore, Belarus needs to consider reforming its healthcare system towards ensuring efficiency with </w:t>
      </w:r>
      <w:r w:rsidR="001E433F" w:rsidRPr="00861957">
        <w:rPr>
          <w:rFonts w:ascii="Times New Roman" w:hAnsi="Times New Roman" w:cs="Times New Roman"/>
          <w:sz w:val="24"/>
          <w:szCs w:val="24"/>
          <w:lang w:val="en-GB"/>
        </w:rPr>
        <w:t xml:space="preserve">a </w:t>
      </w:r>
      <w:r w:rsidRPr="00861957">
        <w:rPr>
          <w:rFonts w:ascii="Times New Roman" w:hAnsi="Times New Roman" w:cs="Times New Roman"/>
          <w:sz w:val="24"/>
          <w:szCs w:val="24"/>
          <w:lang w:val="en-GB"/>
        </w:rPr>
        <w:t>focus on preventive and primary care services</w:t>
      </w:r>
      <w:r w:rsidR="001E433F" w:rsidRPr="00861957">
        <w:rPr>
          <w:rFonts w:ascii="Times New Roman" w:hAnsi="Times New Roman" w:cs="Times New Roman"/>
          <w:sz w:val="24"/>
          <w:szCs w:val="24"/>
          <w:lang w:val="en-GB"/>
        </w:rPr>
        <w:t>,</w:t>
      </w:r>
      <w:r w:rsidR="00222023" w:rsidRPr="00861957">
        <w:rPr>
          <w:rFonts w:ascii="Times New Roman" w:hAnsi="Times New Roman" w:cs="Times New Roman"/>
          <w:sz w:val="24"/>
          <w:szCs w:val="24"/>
          <w:lang w:val="en-GB"/>
        </w:rPr>
        <w:t xml:space="preserve"> in line </w:t>
      </w:r>
      <w:r w:rsidR="00222023" w:rsidRPr="00861957">
        <w:rPr>
          <w:rFonts w:ascii="Times New Roman" w:hAnsi="Times New Roman" w:cs="Times New Roman"/>
          <w:kern w:val="24"/>
          <w:sz w:val="24"/>
          <w:szCs w:val="24"/>
          <w:lang w:val="en-GB"/>
        </w:rPr>
        <w:t xml:space="preserve">with the Health 2020 policy framework that supports action across government and society to </w:t>
      </w:r>
      <w:r w:rsidR="00222023" w:rsidRPr="00861957">
        <w:rPr>
          <w:rFonts w:ascii="Times New Roman" w:hAnsi="Times New Roman" w:cs="Times New Roman"/>
          <w:i/>
          <w:kern w:val="24"/>
          <w:sz w:val="24"/>
          <w:szCs w:val="24"/>
          <w:lang w:val="en-GB"/>
        </w:rPr>
        <w:t>‘</w:t>
      </w:r>
      <w:r w:rsidR="00222023" w:rsidRPr="00861957">
        <w:rPr>
          <w:rFonts w:ascii="Times New Roman" w:hAnsi="Times New Roman"/>
          <w:i/>
          <w:sz w:val="24"/>
          <w:szCs w:val="24"/>
          <w:lang w:val="en-GB"/>
        </w:rPr>
        <w:t>significantly improve the health and well-being of populations, reduce health inequalities, strengthen public health and ensure people-centred health systems that are universal, equitable, sustainable and of high quality’</w:t>
      </w:r>
      <w:r w:rsidR="001E433F" w:rsidRPr="00861957">
        <w:rPr>
          <w:rFonts w:ascii="Times New Roman" w:hAnsi="Times New Roman"/>
          <w:i/>
          <w:sz w:val="24"/>
          <w:szCs w:val="24"/>
          <w:lang w:val="en-GB"/>
        </w:rPr>
        <w:t>.</w:t>
      </w:r>
      <w:r w:rsidR="00222023" w:rsidRPr="00861957">
        <w:rPr>
          <w:rStyle w:val="FootnoteReference"/>
          <w:rFonts w:ascii="Times New Roman" w:hAnsi="Times New Roman"/>
          <w:sz w:val="24"/>
          <w:szCs w:val="24"/>
          <w:lang w:val="en-GB"/>
        </w:rPr>
        <w:footnoteReference w:id="23"/>
      </w:r>
      <w:r w:rsidRPr="00861957">
        <w:rPr>
          <w:rFonts w:ascii="Times New Roman" w:hAnsi="Times New Roman" w:cs="Times New Roman"/>
          <w:sz w:val="24"/>
          <w:szCs w:val="24"/>
          <w:lang w:val="en-GB"/>
        </w:rPr>
        <w:t xml:space="preserve"> Over the course of the UNDAF 2016-2020, WHO and UNFPA will </w:t>
      </w:r>
      <w:r w:rsidR="001E433F" w:rsidRPr="00861957">
        <w:rPr>
          <w:rFonts w:ascii="Times New Roman" w:hAnsi="Times New Roman" w:cs="Times New Roman"/>
          <w:sz w:val="24"/>
          <w:szCs w:val="24"/>
          <w:lang w:val="en-GB"/>
        </w:rPr>
        <w:t xml:space="preserve">combine </w:t>
      </w:r>
      <w:r w:rsidRPr="00861957">
        <w:rPr>
          <w:rFonts w:ascii="Times New Roman" w:hAnsi="Times New Roman" w:cs="Times New Roman"/>
          <w:sz w:val="24"/>
          <w:szCs w:val="24"/>
          <w:lang w:val="en-GB"/>
        </w:rPr>
        <w:t xml:space="preserve">their efforts with the Government to increase the </w:t>
      </w:r>
      <w:r w:rsidR="00233FB1" w:rsidRPr="00861957">
        <w:rPr>
          <w:rFonts w:ascii="Times New Roman" w:hAnsi="Times New Roman" w:cs="Times New Roman"/>
          <w:kern w:val="24"/>
          <w:sz w:val="24"/>
          <w:szCs w:val="24"/>
          <w:lang w:val="en-GB"/>
        </w:rPr>
        <w:t xml:space="preserve">proportion </w:t>
      </w:r>
      <w:r w:rsidR="00233FB1" w:rsidRPr="00861957">
        <w:rPr>
          <w:rFonts w:ascii="Times New Roman" w:hAnsi="Times New Roman" w:cs="Times New Roman"/>
          <w:kern w:val="24"/>
          <w:sz w:val="24"/>
          <w:szCs w:val="24"/>
          <w:lang w:val="en-GB"/>
        </w:rPr>
        <w:lastRenderedPageBreak/>
        <w:t xml:space="preserve">of practitioners working as general practitioners in the primary healthcare services system </w:t>
      </w:r>
      <w:r w:rsidRPr="00861957">
        <w:rPr>
          <w:rFonts w:ascii="Times New Roman" w:hAnsi="Times New Roman" w:cs="Times New Roman"/>
          <w:kern w:val="24"/>
          <w:sz w:val="24"/>
          <w:szCs w:val="24"/>
          <w:lang w:val="en-GB"/>
        </w:rPr>
        <w:t>from 20% to 100% by 2020.</w:t>
      </w:r>
    </w:p>
    <w:p w14:paraId="176173A7" w14:textId="77777777" w:rsidR="003528FE" w:rsidRPr="00861957" w:rsidRDefault="003528FE" w:rsidP="00510812">
      <w:pPr>
        <w:pStyle w:val="PlainText"/>
        <w:jc w:val="both"/>
        <w:rPr>
          <w:rFonts w:ascii="Times New Roman" w:hAnsi="Times New Roman" w:cs="Times New Roman"/>
          <w:kern w:val="24"/>
          <w:sz w:val="24"/>
          <w:szCs w:val="24"/>
          <w:lang w:val="en-GB"/>
        </w:rPr>
      </w:pPr>
    </w:p>
    <w:p w14:paraId="109E8678" w14:textId="5C711334" w:rsidR="001C0112" w:rsidRPr="00861957" w:rsidRDefault="001C0112" w:rsidP="001C0112">
      <w:pPr>
        <w:jc w:val="both"/>
      </w:pPr>
      <w:r w:rsidRPr="00861957">
        <w:t xml:space="preserve">Non-communicable diseases (NCDs) </w:t>
      </w:r>
      <w:r w:rsidR="001E433F" w:rsidRPr="00861957">
        <w:t xml:space="preserve">are </w:t>
      </w:r>
      <w:r w:rsidRPr="00861957">
        <w:t xml:space="preserve">a significant issue </w:t>
      </w:r>
      <w:r w:rsidR="001E433F" w:rsidRPr="00861957">
        <w:t xml:space="preserve">affecting </w:t>
      </w:r>
      <w:r w:rsidRPr="00861957">
        <w:t>the quality of life of Belarusians</w:t>
      </w:r>
      <w:r w:rsidR="004C2A6C" w:rsidRPr="00861957">
        <w:t>;</w:t>
      </w:r>
      <w:r w:rsidRPr="00861957">
        <w:t xml:space="preserve"> </w:t>
      </w:r>
      <w:r w:rsidR="004C2A6C" w:rsidRPr="00861957">
        <w:t xml:space="preserve">they also </w:t>
      </w:r>
      <w:r w:rsidRPr="00861957">
        <w:t>increase the burden on the country’s economy and budget. It is estimated that for every 10% increase in NCD mortality, economic growth is reduced by 0.5%</w:t>
      </w:r>
      <w:r w:rsidR="004C2A6C" w:rsidRPr="00861957">
        <w:t>.</w:t>
      </w:r>
      <w:r w:rsidR="00233FB1" w:rsidRPr="00861957">
        <w:rPr>
          <w:rStyle w:val="FootnoteReference"/>
        </w:rPr>
        <w:footnoteReference w:id="24"/>
      </w:r>
    </w:p>
    <w:p w14:paraId="2C9950EF" w14:textId="77777777" w:rsidR="00D21696" w:rsidRPr="00861957" w:rsidRDefault="00D21696" w:rsidP="001C0112">
      <w:pPr>
        <w:jc w:val="both"/>
      </w:pPr>
    </w:p>
    <w:p w14:paraId="10C2A22A" w14:textId="6B36B3D3" w:rsidR="00C63972" w:rsidRPr="00861957" w:rsidRDefault="00D21696" w:rsidP="00D21696">
      <w:pPr>
        <w:jc w:val="both"/>
      </w:pPr>
      <w:r w:rsidRPr="00861957">
        <w:t>According to WHO</w:t>
      </w:r>
      <w:r w:rsidR="004C2A6C" w:rsidRPr="00861957">
        <w:t>,</w:t>
      </w:r>
      <w:r w:rsidRPr="00861957">
        <w:rPr>
          <w:rStyle w:val="FootnoteReference"/>
        </w:rPr>
        <w:footnoteReference w:id="25"/>
      </w:r>
      <w:r w:rsidRPr="00861957">
        <w:t xml:space="preserve"> the age-standardized mortality rate was 802 per 100,000 population in 2012, with 28 deaths (3.4%) caused by communicable and other Group I diseases, 683 deaths (85.1%) caused by NCDs and 91 deaths (11.3%) caused by injuries. </w:t>
      </w:r>
      <w:r w:rsidR="004C2A6C" w:rsidRPr="00861957">
        <w:t>The p</w:t>
      </w:r>
      <w:r w:rsidRPr="00861957">
        <w:t>roportional mortality (% of total deaths) was 63% for cardiovascular diseases, 14% for cancers and 9% for injuries</w:t>
      </w:r>
      <w:r w:rsidR="004C2A6C" w:rsidRPr="00861957">
        <w:t>.</w:t>
      </w:r>
      <w:r w:rsidRPr="00861957">
        <w:rPr>
          <w:rStyle w:val="FootnoteReference"/>
        </w:rPr>
        <w:footnoteReference w:id="26"/>
      </w:r>
      <w:r w:rsidRPr="00861957">
        <w:t xml:space="preserve"> Belarus has recently seen a reduction in cardiovascular mortality. The probability of dying </w:t>
      </w:r>
      <w:r w:rsidR="004C2A6C" w:rsidRPr="00861957">
        <w:t xml:space="preserve">of the 4 main NCDs </w:t>
      </w:r>
      <w:r w:rsidRPr="00861957">
        <w:t xml:space="preserve">between </w:t>
      </w:r>
      <w:r w:rsidR="004C2A6C" w:rsidRPr="00861957">
        <w:t xml:space="preserve">the </w:t>
      </w:r>
      <w:r w:rsidRPr="00861957">
        <w:t xml:space="preserve">ages </w:t>
      </w:r>
      <w:r w:rsidR="004C2A6C" w:rsidRPr="00861957">
        <w:t xml:space="preserve">of </w:t>
      </w:r>
      <w:r w:rsidRPr="00861957">
        <w:t xml:space="preserve">30 and 70 years is 26%. Men are about twice </w:t>
      </w:r>
      <w:r w:rsidR="004C2A6C" w:rsidRPr="00861957">
        <w:t>as</w:t>
      </w:r>
      <w:r w:rsidR="00212D96" w:rsidRPr="00861957">
        <w:t xml:space="preserve"> </w:t>
      </w:r>
      <w:r w:rsidRPr="00861957">
        <w:t xml:space="preserve">likely to die from major NCDs </w:t>
      </w:r>
      <w:r w:rsidR="00212D96" w:rsidRPr="00861957">
        <w:t xml:space="preserve">as </w:t>
      </w:r>
      <w:r w:rsidRPr="00861957">
        <w:t>women</w:t>
      </w:r>
      <w:r w:rsidR="00212D96" w:rsidRPr="00861957">
        <w:t>.</w:t>
      </w:r>
      <w:r w:rsidRPr="00861957">
        <w:rPr>
          <w:rStyle w:val="FootnoteReference"/>
        </w:rPr>
        <w:footnoteReference w:id="27"/>
      </w:r>
    </w:p>
    <w:p w14:paraId="15D3E7B9" w14:textId="77777777" w:rsidR="00D21696" w:rsidRPr="00861957" w:rsidRDefault="00D21696" w:rsidP="00D21696">
      <w:pPr>
        <w:jc w:val="both"/>
      </w:pPr>
    </w:p>
    <w:p w14:paraId="7D6D5C1A" w14:textId="09D86A50" w:rsidR="00D21696" w:rsidRPr="00861957" w:rsidRDefault="00D21696" w:rsidP="00D21696">
      <w:pPr>
        <w:jc w:val="both"/>
        <w:rPr>
          <w:color w:val="000000"/>
        </w:rPr>
      </w:pPr>
      <w:r w:rsidRPr="00861957">
        <w:t xml:space="preserve">This </w:t>
      </w:r>
      <w:r w:rsidR="002A69C1" w:rsidRPr="00861957">
        <w:t>contributes to a large gap of 1</w:t>
      </w:r>
      <w:r w:rsidR="00FE365C" w:rsidRPr="00861957">
        <w:t>0</w:t>
      </w:r>
      <w:r w:rsidR="002A69C1" w:rsidRPr="00861957">
        <w:t>.6</w:t>
      </w:r>
      <w:r w:rsidRPr="00861957">
        <w:t xml:space="preserve"> years </w:t>
      </w:r>
      <w:r w:rsidR="00212D96" w:rsidRPr="00861957">
        <w:t xml:space="preserve">in </w:t>
      </w:r>
      <w:r w:rsidRPr="00861957">
        <w:t>lif</w:t>
      </w:r>
      <w:r w:rsidR="002A69C1" w:rsidRPr="00861957">
        <w:t xml:space="preserve">e expectancy at birth </w:t>
      </w:r>
      <w:r w:rsidR="00212D96" w:rsidRPr="00861957">
        <w:t>between</w:t>
      </w:r>
      <w:r w:rsidR="002A69C1" w:rsidRPr="00861957">
        <w:t xml:space="preserve"> men (</w:t>
      </w:r>
      <w:r w:rsidR="00FE365C" w:rsidRPr="00861957">
        <w:t>67</w:t>
      </w:r>
      <w:r w:rsidRPr="00861957">
        <w:t>.</w:t>
      </w:r>
      <w:r w:rsidR="00FE365C" w:rsidRPr="00861957">
        <w:t>3</w:t>
      </w:r>
      <w:r w:rsidR="00212D96" w:rsidRPr="00861957">
        <w:t xml:space="preserve"> years</w:t>
      </w:r>
      <w:r w:rsidR="002A69C1" w:rsidRPr="00861957">
        <w:t>) and women (</w:t>
      </w:r>
      <w:r w:rsidR="00FE365C" w:rsidRPr="00861957">
        <w:t>77.9</w:t>
      </w:r>
      <w:r w:rsidR="00212D96" w:rsidRPr="00861957">
        <w:t xml:space="preserve"> years</w:t>
      </w:r>
      <w:r w:rsidR="00770976" w:rsidRPr="00861957">
        <w:t>)</w:t>
      </w:r>
      <w:r w:rsidR="002A69C1" w:rsidRPr="00861957">
        <w:t xml:space="preserve">, </w:t>
      </w:r>
      <w:r w:rsidR="00E0525F" w:rsidRPr="00861957">
        <w:t>which is lower than the averag</w:t>
      </w:r>
      <w:r w:rsidR="00FE365C" w:rsidRPr="00861957">
        <w:t>e in Central and Eastern Europe</w:t>
      </w:r>
      <w:r w:rsidR="002A69C1" w:rsidRPr="00861957">
        <w:rPr>
          <w:color w:val="000000"/>
        </w:rPr>
        <w:t xml:space="preserve">. </w:t>
      </w:r>
      <w:r w:rsidRPr="00861957">
        <w:rPr>
          <w:color w:val="000000"/>
        </w:rPr>
        <w:t xml:space="preserve">In rural areas male life expectancy </w:t>
      </w:r>
      <w:r w:rsidR="002555A9" w:rsidRPr="00861957">
        <w:rPr>
          <w:color w:val="000000"/>
        </w:rPr>
        <w:t>was</w:t>
      </w:r>
      <w:r w:rsidR="00581D7B" w:rsidRPr="00861957">
        <w:rPr>
          <w:color w:val="000000"/>
        </w:rPr>
        <w:t xml:space="preserve"> as low </w:t>
      </w:r>
      <w:r w:rsidR="00233FB1" w:rsidRPr="00861957">
        <w:rPr>
          <w:color w:val="000000"/>
        </w:rPr>
        <w:t xml:space="preserve">as 63.3 </w:t>
      </w:r>
      <w:r w:rsidR="00581D7B" w:rsidRPr="00861957">
        <w:rPr>
          <w:color w:val="000000"/>
        </w:rPr>
        <w:t>years</w:t>
      </w:r>
      <w:r w:rsidR="002555A9" w:rsidRPr="00861957">
        <w:rPr>
          <w:color w:val="000000"/>
        </w:rPr>
        <w:t xml:space="preserve"> in 2013</w:t>
      </w:r>
      <w:r w:rsidR="00233FB1" w:rsidRPr="00861957">
        <w:rPr>
          <w:color w:val="000000"/>
        </w:rPr>
        <w:t>.</w:t>
      </w:r>
      <w:r w:rsidR="00910682" w:rsidRPr="00861957">
        <w:rPr>
          <w:color w:val="000000"/>
        </w:rPr>
        <w:t xml:space="preserve"> </w:t>
      </w:r>
      <w:r w:rsidR="00770976" w:rsidRPr="00861957">
        <w:rPr>
          <w:color w:val="000000"/>
        </w:rPr>
        <w:t>According to the Human Development Report (2014), t</w:t>
      </w:r>
      <w:r w:rsidRPr="00861957">
        <w:rPr>
          <w:color w:val="000000"/>
        </w:rPr>
        <w:t xml:space="preserve">here is also almost a threefold disparity between men (307) and women (103) in terms of the mortality rate per 1,000 people. The lack of timely medical examination, </w:t>
      </w:r>
      <w:r w:rsidR="00212D96" w:rsidRPr="00861957">
        <w:rPr>
          <w:color w:val="000000"/>
        </w:rPr>
        <w:t xml:space="preserve">together with </w:t>
      </w:r>
      <w:r w:rsidRPr="00861957">
        <w:rPr>
          <w:color w:val="000000"/>
        </w:rPr>
        <w:t>unhealthy, addictive and risky m</w:t>
      </w:r>
      <w:r w:rsidR="00212D96" w:rsidRPr="00861957">
        <w:rPr>
          <w:color w:val="000000"/>
        </w:rPr>
        <w:t>ale</w:t>
      </w:r>
      <w:r w:rsidRPr="00861957">
        <w:rPr>
          <w:color w:val="000000"/>
        </w:rPr>
        <w:t xml:space="preserve"> </w:t>
      </w:r>
      <w:r w:rsidR="00212D96" w:rsidRPr="00861957">
        <w:rPr>
          <w:color w:val="000000"/>
        </w:rPr>
        <w:t>behaviour,</w:t>
      </w:r>
      <w:r w:rsidRPr="00861957">
        <w:rPr>
          <w:color w:val="000000"/>
        </w:rPr>
        <w:t xml:space="preserve"> lead to much higher mortality rates from cardio-vascular diseases, injuries, suicides, drugs overdose</w:t>
      </w:r>
      <w:r w:rsidR="00212D96" w:rsidRPr="00861957">
        <w:rPr>
          <w:color w:val="000000"/>
        </w:rPr>
        <w:t>s</w:t>
      </w:r>
      <w:r w:rsidRPr="00861957">
        <w:rPr>
          <w:color w:val="000000"/>
        </w:rPr>
        <w:t xml:space="preserve"> and intentional self-harm.</w:t>
      </w:r>
    </w:p>
    <w:p w14:paraId="67733E9D" w14:textId="77777777" w:rsidR="00D21696" w:rsidRPr="00861957" w:rsidRDefault="00D21696" w:rsidP="00D21696">
      <w:pPr>
        <w:jc w:val="both"/>
        <w:rPr>
          <w:color w:val="000000"/>
        </w:rPr>
      </w:pPr>
    </w:p>
    <w:p w14:paraId="4B35FFE6" w14:textId="24C0B195" w:rsidR="00D21696" w:rsidRPr="00861957" w:rsidRDefault="00D21696" w:rsidP="00D21696">
      <w:pPr>
        <w:jc w:val="both"/>
      </w:pPr>
      <w:r w:rsidRPr="00861957">
        <w:t>NCDs are one of the main reason</w:t>
      </w:r>
      <w:r w:rsidR="00233FB1" w:rsidRPr="00861957">
        <w:t>s of low life expectancy</w:t>
      </w:r>
      <w:r w:rsidRPr="00861957">
        <w:t xml:space="preserve"> at 60</w:t>
      </w:r>
      <w:r w:rsidR="00A32ABF" w:rsidRPr="00861957">
        <w:t>: 18.8 years (</w:t>
      </w:r>
      <w:r w:rsidR="00233FB1" w:rsidRPr="00861957">
        <w:t>2013</w:t>
      </w:r>
      <w:r w:rsidR="00A32ABF" w:rsidRPr="00861957">
        <w:t>), which is</w:t>
      </w:r>
      <w:r w:rsidRPr="00861957">
        <w:t xml:space="preserve"> one of the lowest indicator values in the region with the exception of Kazakhstan (16.5), Turkmenistan (17.0), Kyrgyzstan (16.8) and Moldova (16.2). The health-adjusted life expectancy was 65.6 for women and 56.4 for men in 2010</w:t>
      </w:r>
      <w:r w:rsidR="00A32ABF" w:rsidRPr="00861957">
        <w:t>.</w:t>
      </w:r>
      <w:r w:rsidRPr="00861957">
        <w:rPr>
          <w:rStyle w:val="FootnoteReference"/>
        </w:rPr>
        <w:footnoteReference w:id="28"/>
      </w:r>
    </w:p>
    <w:p w14:paraId="71A705D9" w14:textId="77777777" w:rsidR="00D21696" w:rsidRPr="00861957" w:rsidRDefault="00D21696" w:rsidP="00D21696">
      <w:pPr>
        <w:jc w:val="both"/>
      </w:pPr>
    </w:p>
    <w:p w14:paraId="2F985A3B" w14:textId="14BF7CE0" w:rsidR="00B849D5" w:rsidRPr="00861957" w:rsidRDefault="00D21696" w:rsidP="00D21696">
      <w:pPr>
        <w:jc w:val="both"/>
      </w:pPr>
      <w:r w:rsidRPr="00861957">
        <w:t>Smoki</w:t>
      </w:r>
      <w:r w:rsidR="00B849D5" w:rsidRPr="00861957">
        <w:t xml:space="preserve">ng among men has </w:t>
      </w:r>
      <w:r w:rsidR="00A32ABF" w:rsidRPr="00861957">
        <w:t xml:space="preserve">decreased </w:t>
      </w:r>
      <w:r w:rsidR="00B849D5" w:rsidRPr="00861957">
        <w:t>from 54.8</w:t>
      </w:r>
      <w:r w:rsidRPr="00861957">
        <w:t xml:space="preserve">% in </w:t>
      </w:r>
      <w:r w:rsidR="00B849D5" w:rsidRPr="00861957">
        <w:t>1995 to 48</w:t>
      </w:r>
      <w:r w:rsidRPr="00861957">
        <w:t xml:space="preserve">% in </w:t>
      </w:r>
      <w:r w:rsidR="00B849D5" w:rsidRPr="00861957">
        <w:t>2014</w:t>
      </w:r>
      <w:r w:rsidR="00A32ABF" w:rsidRPr="00861957">
        <w:t>,</w:t>
      </w:r>
      <w:r w:rsidRPr="00861957">
        <w:t xml:space="preserve"> while smoking among women has increased from 3.6% in 1995 to </w:t>
      </w:r>
      <w:r w:rsidR="00B849D5" w:rsidRPr="00861957">
        <w:t>8.9</w:t>
      </w:r>
      <w:r w:rsidRPr="00861957">
        <w:t xml:space="preserve">% in </w:t>
      </w:r>
      <w:r w:rsidR="00B849D5" w:rsidRPr="00861957">
        <w:t>2014</w:t>
      </w:r>
      <w:r w:rsidRPr="00861957">
        <w:t xml:space="preserve">. According to </w:t>
      </w:r>
      <w:r w:rsidR="00B849D5" w:rsidRPr="00861957">
        <w:t>preliminary data provided by the National Statistical Committee, retail organi</w:t>
      </w:r>
      <w:r w:rsidR="000F002C" w:rsidRPr="00861957">
        <w:t>z</w:t>
      </w:r>
      <w:r w:rsidR="00B849D5" w:rsidRPr="00861957">
        <w:t xml:space="preserve">ations and cafes sold 10.47 litres of absolute alcohol per capita in 2014. </w:t>
      </w:r>
      <w:r w:rsidRPr="00861957">
        <w:t>In 2008, the age-standardi</w:t>
      </w:r>
      <w:r w:rsidR="000F002C" w:rsidRPr="00861957">
        <w:t>z</w:t>
      </w:r>
      <w:r w:rsidRPr="00861957">
        <w:t>ed death rate from alcohol use was 3.1 per 100,000 people, and the death rate from drug use was 2.3</w:t>
      </w:r>
      <w:r w:rsidR="00A32ABF" w:rsidRPr="00861957">
        <w:t xml:space="preserve"> per 100,000</w:t>
      </w:r>
      <w:r w:rsidRPr="00861957">
        <w:t>.</w:t>
      </w:r>
      <w:r w:rsidR="00B849D5" w:rsidRPr="00861957">
        <w:t xml:space="preserve"> At the end of 2013, </w:t>
      </w:r>
      <w:r w:rsidR="00E64D22" w:rsidRPr="00861957">
        <w:t>the list of persons under prophylactic and dispensary observation</w:t>
      </w:r>
      <w:r w:rsidR="00E25E68" w:rsidRPr="00861957">
        <w:t xml:space="preserve"> </w:t>
      </w:r>
      <w:r w:rsidR="00A32ABF" w:rsidRPr="00861957">
        <w:t>by</w:t>
      </w:r>
      <w:r w:rsidR="00E25E68" w:rsidRPr="00861957">
        <w:t xml:space="preserve"> psychiatrists and narcologists </w:t>
      </w:r>
      <w:r w:rsidR="00E64D22" w:rsidRPr="00861957">
        <w:t xml:space="preserve">included </w:t>
      </w:r>
      <w:r w:rsidR="00470795" w:rsidRPr="00861957">
        <w:t>296</w:t>
      </w:r>
      <w:r w:rsidR="00E64D22" w:rsidRPr="00861957">
        <w:t>,</w:t>
      </w:r>
      <w:r w:rsidR="00470795" w:rsidRPr="00861957">
        <w:t>1</w:t>
      </w:r>
      <w:r w:rsidR="00E64D22" w:rsidRPr="00861957">
        <w:t>00 people</w:t>
      </w:r>
      <w:r w:rsidR="00E25E68" w:rsidRPr="00861957">
        <w:t xml:space="preserve">, 15,734 </w:t>
      </w:r>
      <w:r w:rsidR="00A32ABF" w:rsidRPr="00861957">
        <w:t xml:space="preserve">of whom were </w:t>
      </w:r>
      <w:r w:rsidR="00E25E68" w:rsidRPr="00861957">
        <w:t>children</w:t>
      </w:r>
      <w:r w:rsidR="00E64D22" w:rsidRPr="00861957">
        <w:t xml:space="preserve">. </w:t>
      </w:r>
      <w:r w:rsidR="00172A32" w:rsidRPr="00861957">
        <w:t xml:space="preserve">Substance abuse poses a threat </w:t>
      </w:r>
      <w:r w:rsidR="00A32ABF" w:rsidRPr="00861957">
        <w:t xml:space="preserve">to the </w:t>
      </w:r>
      <w:r w:rsidR="00172A32" w:rsidRPr="00861957">
        <w:t>health</w:t>
      </w:r>
      <w:r w:rsidR="00E25E68" w:rsidRPr="00861957">
        <w:t xml:space="preserve"> of </w:t>
      </w:r>
      <w:r w:rsidR="00A32ABF" w:rsidRPr="00861957">
        <w:t xml:space="preserve">both </w:t>
      </w:r>
      <w:r w:rsidR="00E25E68" w:rsidRPr="00861957">
        <w:t>adults and children</w:t>
      </w:r>
      <w:r w:rsidR="00172A32" w:rsidRPr="00861957">
        <w:t xml:space="preserve">. </w:t>
      </w:r>
    </w:p>
    <w:p w14:paraId="02CA61C7" w14:textId="77777777" w:rsidR="00D21696" w:rsidRPr="00861957" w:rsidRDefault="00D21696" w:rsidP="00D21696">
      <w:pPr>
        <w:jc w:val="both"/>
      </w:pPr>
    </w:p>
    <w:p w14:paraId="2915C8B1" w14:textId="076B5C30" w:rsidR="00D21696" w:rsidRPr="00861957" w:rsidRDefault="00D21696" w:rsidP="00D21696">
      <w:pPr>
        <w:jc w:val="both"/>
      </w:pPr>
      <w:r w:rsidRPr="00861957">
        <w:t xml:space="preserve">41.8% of Belarusians (45.0% of men and 39.3% of women) had high blood pressure in 2008. Every fourth adult (23.4% </w:t>
      </w:r>
      <w:r w:rsidR="00A32ABF" w:rsidRPr="00861957">
        <w:t>overall;</w:t>
      </w:r>
      <w:r w:rsidR="00861957">
        <w:t xml:space="preserve"> </w:t>
      </w:r>
      <w:r w:rsidRPr="00861957">
        <w:t>l</w:t>
      </w:r>
      <w:r w:rsidRPr="00861957">
        <w:rPr>
          <w:rStyle w:val="FootnoteReference"/>
        </w:rPr>
        <w:footnoteReference w:id="29"/>
      </w:r>
      <w:r w:rsidRPr="00861957">
        <w:t xml:space="preserve"> 20.0% of men and 27.8% of women) was obese in 2008. The share of the population older than 16 years old who were involved in physical activiti</w:t>
      </w:r>
      <w:r w:rsidR="00E64D22" w:rsidRPr="00861957">
        <w:t>es grew from 19.8% in 2005 to 25</w:t>
      </w:r>
      <w:r w:rsidRPr="00861957">
        <w:t>.</w:t>
      </w:r>
      <w:r w:rsidR="00E64D22" w:rsidRPr="00861957">
        <w:t xml:space="preserve">6% in 2014. However, </w:t>
      </w:r>
      <w:r w:rsidR="00470795" w:rsidRPr="00861957">
        <w:t xml:space="preserve">in 2014, </w:t>
      </w:r>
      <w:r w:rsidR="00E64D22" w:rsidRPr="00861957">
        <w:t>only 14.9</w:t>
      </w:r>
      <w:r w:rsidRPr="00861957">
        <w:t>% of people living in rural areas did physical ex</w:t>
      </w:r>
      <w:r w:rsidR="00E64D22" w:rsidRPr="00861957">
        <w:t>ercise in 2013 as compared to 29.3</w:t>
      </w:r>
      <w:r w:rsidRPr="00861957">
        <w:t>% in urban areas.</w:t>
      </w:r>
    </w:p>
    <w:p w14:paraId="43C0E706" w14:textId="77777777" w:rsidR="00D614CB" w:rsidRPr="00861957" w:rsidRDefault="00D614CB" w:rsidP="00D21696">
      <w:pPr>
        <w:jc w:val="both"/>
        <w:rPr>
          <w:color w:val="000000"/>
        </w:rPr>
      </w:pPr>
    </w:p>
    <w:p w14:paraId="5A6BAEEA" w14:textId="1D5BDDAE" w:rsidR="0041198C" w:rsidRPr="00861957" w:rsidRDefault="00D21696" w:rsidP="00D21696">
      <w:pPr>
        <w:jc w:val="both"/>
      </w:pPr>
      <w:r w:rsidRPr="00861957">
        <w:rPr>
          <w:color w:val="000000"/>
        </w:rPr>
        <w:t xml:space="preserve">In 2014, UNDP, UNFPA, UNICEF and WHO assisted the Ministry of Health </w:t>
      </w:r>
      <w:r w:rsidR="00A32ABF" w:rsidRPr="00861957">
        <w:rPr>
          <w:color w:val="000000"/>
        </w:rPr>
        <w:t>in</w:t>
      </w:r>
      <w:r w:rsidRPr="00861957">
        <w:rPr>
          <w:color w:val="000000"/>
        </w:rPr>
        <w:t xml:space="preserve"> start</w:t>
      </w:r>
      <w:r w:rsidR="00A32ABF" w:rsidRPr="00861957">
        <w:rPr>
          <w:color w:val="000000"/>
        </w:rPr>
        <w:t>ing to</w:t>
      </w:r>
      <w:r w:rsidRPr="00861957">
        <w:rPr>
          <w:color w:val="000000"/>
        </w:rPr>
        <w:t xml:space="preserve"> develop a comprehensive programme </w:t>
      </w:r>
      <w:r w:rsidR="00A32ABF" w:rsidRPr="00861957">
        <w:rPr>
          <w:color w:val="000000"/>
        </w:rPr>
        <w:t xml:space="preserve">for the reduction of </w:t>
      </w:r>
      <w:r w:rsidRPr="00861957">
        <w:rPr>
          <w:color w:val="000000"/>
        </w:rPr>
        <w:t>NCDs.</w:t>
      </w:r>
      <w:r w:rsidRPr="00861957">
        <w:t xml:space="preserve"> Belarus has currently been preparing </w:t>
      </w:r>
      <w:r w:rsidR="00A32ABF" w:rsidRPr="00861957">
        <w:t>a</w:t>
      </w:r>
      <w:r w:rsidRPr="00861957">
        <w:t xml:space="preserve"> </w:t>
      </w:r>
      <w:r w:rsidR="00A32ABF" w:rsidRPr="00861957">
        <w:t>c</w:t>
      </w:r>
      <w:r w:rsidRPr="00861957">
        <w:t xml:space="preserve">oncept </w:t>
      </w:r>
      <w:r w:rsidR="00A32ABF" w:rsidRPr="00861957">
        <w:t>for</w:t>
      </w:r>
      <w:r w:rsidRPr="00861957">
        <w:t xml:space="preserve"> </w:t>
      </w:r>
      <w:r w:rsidR="00A32ABF" w:rsidRPr="00861957">
        <w:t xml:space="preserve">a </w:t>
      </w:r>
      <w:r w:rsidRPr="00861957">
        <w:t>State Programme o</w:t>
      </w:r>
      <w:r w:rsidR="00A32ABF" w:rsidRPr="00861957">
        <w:t>n</w:t>
      </w:r>
      <w:r w:rsidRPr="00861957">
        <w:t xml:space="preserve"> Prevention, Care and Control of NCDs 2015-2020</w:t>
      </w:r>
      <w:r w:rsidR="00A32ABF" w:rsidRPr="00861957">
        <w:t>.</w:t>
      </w:r>
      <w:r w:rsidRPr="00861957">
        <w:t xml:space="preserve"> </w:t>
      </w:r>
      <w:r w:rsidR="00A32ABF" w:rsidRPr="00861957">
        <w:t xml:space="preserve">The country also </w:t>
      </w:r>
      <w:r w:rsidRPr="00861957">
        <w:t>plan</w:t>
      </w:r>
      <w:r w:rsidR="00A32ABF" w:rsidRPr="00861957">
        <w:t>s</w:t>
      </w:r>
      <w:r w:rsidRPr="00861957">
        <w:t xml:space="preserve"> to </w:t>
      </w:r>
      <w:r w:rsidR="00A32ABF" w:rsidRPr="00861957">
        <w:t xml:space="preserve">conduct </w:t>
      </w:r>
      <w:r w:rsidRPr="00861957">
        <w:t xml:space="preserve">the STEPS survey in 2015 to estimate the </w:t>
      </w:r>
      <w:r w:rsidR="00A32ABF" w:rsidRPr="00861957">
        <w:t xml:space="preserve">prevalence of </w:t>
      </w:r>
      <w:r w:rsidRPr="00861957">
        <w:t>NCD risk factors.</w:t>
      </w:r>
      <w:r w:rsidR="00D614CB" w:rsidRPr="00861957">
        <w:t xml:space="preserve"> The UN system in Belarus will provide necessary assistance in implementing measures to achieve a reduction in </w:t>
      </w:r>
      <w:r w:rsidR="0050494E" w:rsidRPr="00861957">
        <w:t xml:space="preserve">the </w:t>
      </w:r>
      <w:r w:rsidR="00D614CB" w:rsidRPr="00861957">
        <w:t xml:space="preserve">probability of death at age 30-70 from four major NCDs, alcohol abuse at age 15+, </w:t>
      </w:r>
      <w:r w:rsidR="0050494E" w:rsidRPr="00861957">
        <w:t xml:space="preserve">the </w:t>
      </w:r>
      <w:r w:rsidR="00D614CB" w:rsidRPr="00861957">
        <w:t xml:space="preserve">relative prevalence of tobacco use at age 15+ and </w:t>
      </w:r>
      <w:r w:rsidR="0050494E" w:rsidRPr="00861957">
        <w:t xml:space="preserve">the </w:t>
      </w:r>
      <w:r w:rsidR="00D614CB" w:rsidRPr="00861957">
        <w:t xml:space="preserve">relative prevalence of insufficient physical activity. In </w:t>
      </w:r>
      <w:r w:rsidR="00D614CB" w:rsidRPr="00861957">
        <w:lastRenderedPageBreak/>
        <w:t>addition, the UN will assist in increasing</w:t>
      </w:r>
      <w:r w:rsidR="0050494E" w:rsidRPr="00861957">
        <w:t xml:space="preserve"> the</w:t>
      </w:r>
      <w:r w:rsidR="00D614CB" w:rsidRPr="00861957">
        <w:t xml:space="preserve"> </w:t>
      </w:r>
      <w:r w:rsidR="00E25E68" w:rsidRPr="00861957">
        <w:t xml:space="preserve">coverage </w:t>
      </w:r>
      <w:r w:rsidR="00D614CB" w:rsidRPr="00861957">
        <w:t xml:space="preserve">of </w:t>
      </w:r>
      <w:r w:rsidR="00D614CB" w:rsidRPr="00861957">
        <w:rPr>
          <w:color w:val="000000" w:themeColor="text1"/>
          <w:kern w:val="24"/>
        </w:rPr>
        <w:t xml:space="preserve">girls aged </w:t>
      </w:r>
      <w:r w:rsidR="0041198C" w:rsidRPr="00861957">
        <w:rPr>
          <w:color w:val="000000" w:themeColor="text1"/>
          <w:kern w:val="24"/>
        </w:rPr>
        <w:t>10</w:t>
      </w:r>
      <w:r w:rsidR="00CE5BCD" w:rsidRPr="00861957">
        <w:rPr>
          <w:color w:val="000000" w:themeColor="text1"/>
          <w:kern w:val="24"/>
        </w:rPr>
        <w:t>-</w:t>
      </w:r>
      <w:r w:rsidR="00D614CB" w:rsidRPr="00861957">
        <w:rPr>
          <w:color w:val="000000" w:themeColor="text1"/>
          <w:kern w:val="24"/>
        </w:rPr>
        <w:t xml:space="preserve">18 </w:t>
      </w:r>
      <w:r w:rsidR="0050494E" w:rsidRPr="00861957">
        <w:rPr>
          <w:color w:val="000000" w:themeColor="text1"/>
          <w:kern w:val="24"/>
        </w:rPr>
        <w:t>by</w:t>
      </w:r>
      <w:r w:rsidR="00D614CB" w:rsidRPr="00861957">
        <w:rPr>
          <w:color w:val="000000" w:themeColor="text1"/>
          <w:kern w:val="24"/>
        </w:rPr>
        <w:t xml:space="preserve"> cervical cancer vaccination</w:t>
      </w:r>
      <w:r w:rsidR="0050494E" w:rsidRPr="00861957">
        <w:rPr>
          <w:color w:val="000000" w:themeColor="text1"/>
          <w:kern w:val="24"/>
        </w:rPr>
        <w:t>s</w:t>
      </w:r>
      <w:r w:rsidR="00D614CB" w:rsidRPr="00861957">
        <w:rPr>
          <w:color w:val="000000" w:themeColor="text1"/>
          <w:kern w:val="24"/>
        </w:rPr>
        <w:t xml:space="preserve"> and </w:t>
      </w:r>
      <w:r w:rsidR="0050494E" w:rsidRPr="00861957">
        <w:rPr>
          <w:color w:val="000000" w:themeColor="text1"/>
          <w:kern w:val="24"/>
        </w:rPr>
        <w:t xml:space="preserve">the </w:t>
      </w:r>
      <w:r w:rsidR="00D614CB" w:rsidRPr="00861957">
        <w:rPr>
          <w:color w:val="000000" w:themeColor="text1"/>
          <w:kern w:val="24"/>
        </w:rPr>
        <w:t xml:space="preserve">access of </w:t>
      </w:r>
      <w:r w:rsidR="00D614CB" w:rsidRPr="00861957">
        <w:t>women aged 25-60 to complex, preventive, diagnostic and curative ca</w:t>
      </w:r>
      <w:r w:rsidR="003D5CBB" w:rsidRPr="00861957">
        <w:t>re for early diagnosis of cervical</w:t>
      </w:r>
      <w:r w:rsidR="00D614CB" w:rsidRPr="00861957">
        <w:t xml:space="preserve"> cancer.</w:t>
      </w:r>
      <w:r w:rsidR="0041198C" w:rsidRPr="00861957">
        <w:t xml:space="preserve"> UNFPA will promote behavioural change campaigns ensuring the involvement of women in breast cancer screening</w:t>
      </w:r>
      <w:r w:rsidR="0050494E" w:rsidRPr="00861957">
        <w:t>.</w:t>
      </w:r>
      <w:r w:rsidR="0041198C" w:rsidRPr="00861957">
        <w:t xml:space="preserve"> </w:t>
      </w:r>
      <w:r w:rsidR="0050494E" w:rsidRPr="00861957">
        <w:t xml:space="preserve">It </w:t>
      </w:r>
      <w:r w:rsidR="0041198C" w:rsidRPr="00861957">
        <w:t xml:space="preserve">will </w:t>
      </w:r>
      <w:r w:rsidR="0050494E" w:rsidRPr="00861957">
        <w:t xml:space="preserve">also </w:t>
      </w:r>
      <w:r w:rsidR="0041198C" w:rsidRPr="00861957">
        <w:t xml:space="preserve">provide expert support </w:t>
      </w:r>
      <w:r w:rsidR="0050494E" w:rsidRPr="00861957">
        <w:t>for</w:t>
      </w:r>
      <w:r w:rsidR="0041198C" w:rsidRPr="00861957">
        <w:t xml:space="preserve"> protocol revisions</w:t>
      </w:r>
      <w:r w:rsidR="0050494E" w:rsidRPr="00861957">
        <w:t xml:space="preserve"> </w:t>
      </w:r>
      <w:r w:rsidR="0041198C" w:rsidRPr="00861957">
        <w:t>in the area of breast cancer.</w:t>
      </w:r>
    </w:p>
    <w:p w14:paraId="702229C3" w14:textId="77777777" w:rsidR="0041198C" w:rsidRPr="00861957" w:rsidRDefault="0041198C" w:rsidP="00D21696">
      <w:pPr>
        <w:jc w:val="both"/>
      </w:pPr>
    </w:p>
    <w:p w14:paraId="69A9071D" w14:textId="7EC891BC" w:rsidR="00A25178" w:rsidRPr="00861957" w:rsidRDefault="00A25178" w:rsidP="00D21696">
      <w:pPr>
        <w:jc w:val="both"/>
      </w:pPr>
      <w:r w:rsidRPr="00861957">
        <w:t xml:space="preserve">In addition to </w:t>
      </w:r>
      <w:r w:rsidR="0050494E" w:rsidRPr="00861957">
        <w:t>providing</w:t>
      </w:r>
      <w:r w:rsidRPr="00861957">
        <w:t xml:space="preserve"> continuous support to Belarus in </w:t>
      </w:r>
      <w:r w:rsidR="0050494E" w:rsidRPr="00861957">
        <w:t xml:space="preserve">the </w:t>
      </w:r>
      <w:r w:rsidRPr="00861957">
        <w:t>us</w:t>
      </w:r>
      <w:r w:rsidR="0050494E" w:rsidRPr="00861957">
        <w:t>e of</w:t>
      </w:r>
      <w:r w:rsidRPr="00861957">
        <w:t xml:space="preserve"> ionizing radiation methods in </w:t>
      </w:r>
      <w:r w:rsidR="0050494E" w:rsidRPr="00861957">
        <w:t xml:space="preserve">the </w:t>
      </w:r>
      <w:r w:rsidRPr="00861957">
        <w:t>diagnos</w:t>
      </w:r>
      <w:r w:rsidR="0050494E" w:rsidRPr="00861957">
        <w:t>is</w:t>
      </w:r>
      <w:r w:rsidRPr="00861957">
        <w:t xml:space="preserve"> and treatment of malignant diseases, the IAEA will contribute to the creation of a comprehensive preventive environment by supporting </w:t>
      </w:r>
      <w:r w:rsidR="0050494E" w:rsidRPr="00861957">
        <w:t xml:space="preserve">the establishment </w:t>
      </w:r>
      <w:r w:rsidRPr="00861957">
        <w:t>of the first Positron Emission Tomography (PET) Centre</w:t>
      </w:r>
      <w:r w:rsidR="0050494E" w:rsidRPr="00861957">
        <w:t>,</w:t>
      </w:r>
      <w:r w:rsidRPr="00861957">
        <w:t xml:space="preserve"> with autonomous cyclotron-production of radiopharmaceuticals for use in medical diagnostics</w:t>
      </w:r>
      <w:r w:rsidR="0050494E" w:rsidRPr="00861957">
        <w:t>,</w:t>
      </w:r>
      <w:r w:rsidRPr="00861957">
        <w:t xml:space="preserve"> at the Alexandrov National Cancer Centre in Minsk. In addition, through the Programme of Action for Cancer Therapy (PACT) and within the framework of the WHO-IAEA Joint Programme on Cancer Control, the IAEA is planning to conduct </w:t>
      </w:r>
      <w:r w:rsidR="0050494E" w:rsidRPr="00861957">
        <w:t>an</w:t>
      </w:r>
      <w:r w:rsidRPr="00861957">
        <w:t xml:space="preserve"> imPACT Review mission in 2015, which will assess </w:t>
      </w:r>
      <w:r w:rsidR="0050494E" w:rsidRPr="00861957">
        <w:t xml:space="preserve">Belarus’s </w:t>
      </w:r>
      <w:r w:rsidRPr="00861957">
        <w:t xml:space="preserve">national cancer-related capacity and needs in terms of </w:t>
      </w:r>
      <w:r w:rsidR="0050494E" w:rsidRPr="00861957">
        <w:t xml:space="preserve">its </w:t>
      </w:r>
      <w:r w:rsidRPr="00861957">
        <w:t>systems and structures</w:t>
      </w:r>
      <w:r w:rsidR="00A13A5E" w:rsidRPr="00861957">
        <w:t>,</w:t>
      </w:r>
      <w:r w:rsidRPr="00861957">
        <w:t xml:space="preserve"> a</w:t>
      </w:r>
      <w:r w:rsidR="00A13A5E" w:rsidRPr="00861957">
        <w:t>s well as</w:t>
      </w:r>
      <w:r w:rsidRPr="00861957">
        <w:t xml:space="preserve"> recommend</w:t>
      </w:r>
      <w:r w:rsidR="00A13A5E" w:rsidRPr="00861957">
        <w:t xml:space="preserve"> measures </w:t>
      </w:r>
      <w:r w:rsidRPr="00861957">
        <w:t xml:space="preserve">to ensure that radiation medicine investments are integrated into the </w:t>
      </w:r>
      <w:r w:rsidR="00A13A5E" w:rsidRPr="00861957">
        <w:t xml:space="preserve">country’s </w:t>
      </w:r>
      <w:r w:rsidRPr="00861957">
        <w:t>comprehensive cancer control system.</w:t>
      </w:r>
    </w:p>
    <w:p w14:paraId="1482C552" w14:textId="77777777" w:rsidR="00D614CB" w:rsidRPr="00861957" w:rsidRDefault="00D614CB" w:rsidP="00D21696">
      <w:pPr>
        <w:jc w:val="both"/>
      </w:pPr>
    </w:p>
    <w:p w14:paraId="77D88FD6" w14:textId="713F93DB" w:rsidR="00D614CB" w:rsidRPr="00861957" w:rsidRDefault="00D614CB" w:rsidP="00D21696">
      <w:pPr>
        <w:jc w:val="both"/>
      </w:pPr>
      <w:r w:rsidRPr="00861957">
        <w:t xml:space="preserve">The </w:t>
      </w:r>
      <w:r w:rsidR="00134321" w:rsidRPr="00861957">
        <w:t>UN</w:t>
      </w:r>
      <w:r w:rsidRPr="00861957">
        <w:t xml:space="preserve"> will advocate the importance of establishing an inter-ministerial dialogue and a national coordination platform on NCDs</w:t>
      </w:r>
      <w:r w:rsidR="00A13A5E" w:rsidRPr="00861957">
        <w:t>,</w:t>
      </w:r>
      <w:r w:rsidRPr="00861957">
        <w:t xml:space="preserve"> as recommended by the Joint Mission of the UN Interagency Task Force on the Prevention and Control of NCDs, the European Policy Framework and Strategy for the 21</w:t>
      </w:r>
      <w:r w:rsidRPr="00861957">
        <w:rPr>
          <w:vertAlign w:val="superscript"/>
        </w:rPr>
        <w:t>st</w:t>
      </w:r>
      <w:r w:rsidRPr="00861957">
        <w:t xml:space="preserve"> Century and the Ashgabat Declaration on NCDs.</w:t>
      </w:r>
    </w:p>
    <w:p w14:paraId="4A12F5A9" w14:textId="77777777" w:rsidR="007214B0" w:rsidRPr="00861957" w:rsidRDefault="007214B0" w:rsidP="007214B0">
      <w:pPr>
        <w:jc w:val="both"/>
        <w:rPr>
          <w:b/>
        </w:rPr>
      </w:pPr>
    </w:p>
    <w:p w14:paraId="5467240B" w14:textId="44351BD7" w:rsidR="007214B0" w:rsidRPr="00861957" w:rsidRDefault="007214B0" w:rsidP="007214B0">
      <w:pPr>
        <w:pStyle w:val="PlainText"/>
        <w:jc w:val="both"/>
        <w:rPr>
          <w:rFonts w:ascii="Times New Roman" w:hAnsi="Times New Roman" w:cs="Times New Roman"/>
          <w:sz w:val="24"/>
          <w:szCs w:val="24"/>
          <w:lang w:val="en-GB"/>
        </w:rPr>
      </w:pPr>
      <w:r w:rsidRPr="00861957">
        <w:rPr>
          <w:rFonts w:ascii="Times New Roman" w:hAnsi="Times New Roman" w:cs="Times New Roman"/>
          <w:b/>
          <w:sz w:val="24"/>
          <w:szCs w:val="24"/>
          <w:lang w:val="en-GB"/>
        </w:rPr>
        <w:t>Outcome 4.2:</w:t>
      </w:r>
      <w:r w:rsidRPr="00861957">
        <w:rPr>
          <w:rFonts w:ascii="Times New Roman" w:hAnsi="Times New Roman" w:cs="Times New Roman"/>
          <w:sz w:val="24"/>
          <w:szCs w:val="24"/>
          <w:lang w:val="en-GB"/>
        </w:rPr>
        <w:t xml:space="preserve"> </w:t>
      </w:r>
      <w:r w:rsidR="002F0D95" w:rsidRPr="00861957">
        <w:rPr>
          <w:rFonts w:ascii="Times New Roman" w:hAnsi="Times New Roman" w:cs="Times New Roman"/>
          <w:sz w:val="24"/>
          <w:szCs w:val="24"/>
          <w:lang w:val="en-GB"/>
        </w:rPr>
        <w:t>By 2020, key populations</w:t>
      </w:r>
      <w:r w:rsidR="00A13A5E" w:rsidRPr="00861957">
        <w:rPr>
          <w:rFonts w:ascii="Times New Roman" w:hAnsi="Times New Roman" w:cs="Times New Roman"/>
          <w:sz w:val="24"/>
          <w:szCs w:val="24"/>
          <w:lang w:val="en-GB"/>
        </w:rPr>
        <w:t xml:space="preserve"> will</w:t>
      </w:r>
      <w:r w:rsidR="002F0D95" w:rsidRPr="00861957">
        <w:rPr>
          <w:rFonts w:ascii="Times New Roman" w:hAnsi="Times New Roman" w:cs="Times New Roman"/>
          <w:sz w:val="24"/>
          <w:szCs w:val="24"/>
          <w:lang w:val="en-GB"/>
        </w:rPr>
        <w:t xml:space="preserve"> have universal access to integrated services for </w:t>
      </w:r>
      <w:r w:rsidR="00A13A5E" w:rsidRPr="00861957">
        <w:rPr>
          <w:rFonts w:ascii="Times New Roman" w:hAnsi="Times New Roman" w:cs="Times New Roman"/>
          <w:sz w:val="24"/>
          <w:szCs w:val="24"/>
          <w:lang w:val="en-GB"/>
        </w:rPr>
        <w:t xml:space="preserve">the </w:t>
      </w:r>
      <w:r w:rsidR="002F0D95" w:rsidRPr="00861957">
        <w:rPr>
          <w:rFonts w:ascii="Times New Roman" w:hAnsi="Times New Roman" w:cs="Times New Roman"/>
          <w:sz w:val="24"/>
          <w:szCs w:val="24"/>
          <w:lang w:val="en-GB"/>
        </w:rPr>
        <w:t>prevention, diagnosis, treatment and care of major communicable diseases (HIV, TB)</w:t>
      </w:r>
      <w:r w:rsidR="007411C6" w:rsidRPr="00861957">
        <w:rPr>
          <w:rFonts w:ascii="Times New Roman" w:hAnsi="Times New Roman" w:cs="Times New Roman"/>
          <w:sz w:val="24"/>
          <w:szCs w:val="24"/>
          <w:lang w:val="en-GB"/>
        </w:rPr>
        <w:t>.</w:t>
      </w:r>
    </w:p>
    <w:p w14:paraId="13DE970F" w14:textId="77777777" w:rsidR="00756345" w:rsidRPr="00861957" w:rsidRDefault="00756345" w:rsidP="007214B0">
      <w:pPr>
        <w:pStyle w:val="PlainText"/>
        <w:jc w:val="both"/>
        <w:rPr>
          <w:rFonts w:ascii="Times New Roman" w:hAnsi="Times New Roman" w:cs="Times New Roman"/>
          <w:sz w:val="24"/>
          <w:szCs w:val="24"/>
          <w:lang w:val="en-GB"/>
        </w:rPr>
      </w:pPr>
    </w:p>
    <w:p w14:paraId="5D55E4DA" w14:textId="6227CB59" w:rsidR="00756345" w:rsidRPr="00861957" w:rsidRDefault="007411C6" w:rsidP="007214B0">
      <w:pPr>
        <w:pStyle w:val="PlainText"/>
        <w:jc w:val="both"/>
        <w:rPr>
          <w:rFonts w:ascii="Times New Roman" w:hAnsi="Times New Roman" w:cs="Times New Roman"/>
          <w:sz w:val="24"/>
          <w:szCs w:val="24"/>
          <w:lang w:val="en-GB"/>
        </w:rPr>
      </w:pPr>
      <w:r w:rsidRPr="00861957">
        <w:rPr>
          <w:rFonts w:ascii="Times New Roman" w:hAnsi="Times New Roman" w:cs="Times New Roman"/>
          <w:sz w:val="24"/>
          <w:szCs w:val="24"/>
          <w:lang w:val="en-GB"/>
        </w:rPr>
        <w:t xml:space="preserve">The </w:t>
      </w:r>
      <w:r w:rsidR="00756345" w:rsidRPr="00861957">
        <w:rPr>
          <w:rFonts w:ascii="Times New Roman" w:hAnsi="Times New Roman" w:cs="Times New Roman"/>
          <w:sz w:val="24"/>
          <w:szCs w:val="24"/>
          <w:lang w:val="en-GB"/>
        </w:rPr>
        <w:t>HIV epidemic in Belarus is characterized as concentrated</w:t>
      </w:r>
      <w:r w:rsidRPr="00861957">
        <w:rPr>
          <w:rFonts w:ascii="Times New Roman" w:hAnsi="Times New Roman" w:cs="Times New Roman"/>
          <w:sz w:val="24"/>
          <w:szCs w:val="24"/>
          <w:lang w:val="en-GB"/>
        </w:rPr>
        <w:t>,</w:t>
      </w:r>
      <w:r w:rsidR="00756345" w:rsidRPr="00861957">
        <w:rPr>
          <w:rFonts w:ascii="Times New Roman" w:hAnsi="Times New Roman" w:cs="Times New Roman"/>
          <w:sz w:val="24"/>
          <w:szCs w:val="24"/>
          <w:lang w:val="en-GB"/>
        </w:rPr>
        <w:t xml:space="preserve"> with </w:t>
      </w:r>
      <w:r w:rsidRPr="00861957">
        <w:rPr>
          <w:rFonts w:ascii="Times New Roman" w:hAnsi="Times New Roman" w:cs="Times New Roman"/>
          <w:sz w:val="24"/>
          <w:szCs w:val="24"/>
          <w:lang w:val="en-GB"/>
        </w:rPr>
        <w:t xml:space="preserve">a </w:t>
      </w:r>
      <w:r w:rsidR="00756345" w:rsidRPr="00861957">
        <w:rPr>
          <w:rFonts w:ascii="Times New Roman" w:hAnsi="Times New Roman" w:cs="Times New Roman"/>
          <w:sz w:val="24"/>
          <w:szCs w:val="24"/>
          <w:lang w:val="en-GB"/>
        </w:rPr>
        <w:t xml:space="preserve">low prevalence among </w:t>
      </w:r>
      <w:r w:rsidRPr="00861957">
        <w:rPr>
          <w:rFonts w:ascii="Times New Roman" w:hAnsi="Times New Roman" w:cs="Times New Roman"/>
          <w:sz w:val="24"/>
          <w:szCs w:val="24"/>
          <w:lang w:val="en-GB"/>
        </w:rPr>
        <w:t xml:space="preserve">the </w:t>
      </w:r>
      <w:r w:rsidR="00756345" w:rsidRPr="00861957">
        <w:rPr>
          <w:rFonts w:ascii="Times New Roman" w:hAnsi="Times New Roman" w:cs="Times New Roman"/>
          <w:sz w:val="24"/>
          <w:szCs w:val="24"/>
          <w:lang w:val="en-GB"/>
        </w:rPr>
        <w:t>general population (0.</w:t>
      </w:r>
      <w:r w:rsidR="00FA2770" w:rsidRPr="00861957">
        <w:rPr>
          <w:rFonts w:ascii="Times New Roman" w:hAnsi="Times New Roman" w:cs="Times New Roman"/>
          <w:sz w:val="24"/>
          <w:szCs w:val="24"/>
          <w:lang w:val="en-GB"/>
        </w:rPr>
        <w:t>1</w:t>
      </w:r>
      <w:r w:rsidR="00756345" w:rsidRPr="00861957">
        <w:rPr>
          <w:rFonts w:ascii="Times New Roman" w:hAnsi="Times New Roman" w:cs="Times New Roman"/>
          <w:sz w:val="24"/>
          <w:szCs w:val="24"/>
          <w:lang w:val="en-GB"/>
        </w:rPr>
        <w:t xml:space="preserve">4%, </w:t>
      </w:r>
      <w:r w:rsidR="00FA2770" w:rsidRPr="00861957">
        <w:rPr>
          <w:rFonts w:ascii="Times New Roman" w:hAnsi="Times New Roman" w:cs="Times New Roman"/>
          <w:sz w:val="24"/>
          <w:szCs w:val="24"/>
          <w:lang w:val="en-GB"/>
        </w:rPr>
        <w:t>2014</w:t>
      </w:r>
      <w:r w:rsidR="00756345" w:rsidRPr="00861957">
        <w:rPr>
          <w:rFonts w:ascii="Times New Roman" w:hAnsi="Times New Roman" w:cs="Times New Roman"/>
          <w:sz w:val="24"/>
          <w:szCs w:val="24"/>
          <w:lang w:val="en-GB"/>
        </w:rPr>
        <w:t>) and higher rates among the key affected populations (KAPs), particularly among PWID (14.2%, 2013)</w:t>
      </w:r>
      <w:r w:rsidRPr="00861957">
        <w:rPr>
          <w:rFonts w:ascii="Times New Roman" w:hAnsi="Times New Roman" w:cs="Times New Roman"/>
          <w:sz w:val="24"/>
          <w:szCs w:val="24"/>
          <w:lang w:val="en-GB"/>
        </w:rPr>
        <w:t>.</w:t>
      </w:r>
      <w:r w:rsidR="00756345" w:rsidRPr="00861957">
        <w:rPr>
          <w:rFonts w:ascii="Times New Roman" w:hAnsi="Times New Roman" w:cs="Times New Roman"/>
          <w:sz w:val="24"/>
          <w:szCs w:val="24"/>
          <w:lang w:val="en-GB"/>
        </w:rPr>
        <w:t xml:space="preserve"> </w:t>
      </w:r>
      <w:r w:rsidRPr="00861957">
        <w:rPr>
          <w:rFonts w:ascii="Times New Roman" w:hAnsi="Times New Roman" w:cs="Times New Roman"/>
          <w:sz w:val="24"/>
          <w:szCs w:val="24"/>
          <w:lang w:val="en-GB"/>
        </w:rPr>
        <w:t>F</w:t>
      </w:r>
      <w:r w:rsidR="00756345" w:rsidRPr="00861957">
        <w:rPr>
          <w:rFonts w:ascii="Times New Roman" w:hAnsi="Times New Roman" w:cs="Times New Roman"/>
          <w:sz w:val="24"/>
          <w:szCs w:val="24"/>
          <w:lang w:val="en-GB"/>
        </w:rPr>
        <w:t>emale sex workers and men having sex with men are also affected</w:t>
      </w:r>
      <w:r w:rsidRPr="00861957">
        <w:rPr>
          <w:rFonts w:ascii="Times New Roman" w:hAnsi="Times New Roman" w:cs="Times New Roman"/>
          <w:sz w:val="24"/>
          <w:szCs w:val="24"/>
          <w:lang w:val="en-GB"/>
        </w:rPr>
        <w:t>:</w:t>
      </w:r>
      <w:r w:rsidR="00756345" w:rsidRPr="00861957">
        <w:rPr>
          <w:rFonts w:ascii="Times New Roman" w:hAnsi="Times New Roman" w:cs="Times New Roman"/>
          <w:sz w:val="24"/>
          <w:szCs w:val="24"/>
          <w:lang w:val="en-GB"/>
        </w:rPr>
        <w:t xml:space="preserve"> HIV prevalence </w:t>
      </w:r>
      <w:r w:rsidRPr="00861957">
        <w:rPr>
          <w:rFonts w:ascii="Times New Roman" w:hAnsi="Times New Roman" w:cs="Times New Roman"/>
          <w:sz w:val="24"/>
          <w:szCs w:val="24"/>
          <w:lang w:val="en-GB"/>
        </w:rPr>
        <w:t xml:space="preserve">in these groups </w:t>
      </w:r>
      <w:r w:rsidR="00756345" w:rsidRPr="00861957">
        <w:rPr>
          <w:rFonts w:ascii="Times New Roman" w:hAnsi="Times New Roman" w:cs="Times New Roman"/>
          <w:sz w:val="24"/>
          <w:szCs w:val="24"/>
          <w:lang w:val="en-GB"/>
        </w:rPr>
        <w:t>is 5.8% and 4.5% respectively (IBBS, Minsk, 2013).</w:t>
      </w:r>
    </w:p>
    <w:p w14:paraId="43396732" w14:textId="77777777" w:rsidR="00756345" w:rsidRPr="00861957" w:rsidRDefault="00756345" w:rsidP="007214B0">
      <w:pPr>
        <w:pStyle w:val="PlainText"/>
        <w:jc w:val="both"/>
        <w:rPr>
          <w:rFonts w:ascii="Times New Roman" w:hAnsi="Times New Roman" w:cs="Times New Roman"/>
          <w:sz w:val="24"/>
          <w:szCs w:val="24"/>
          <w:lang w:val="en-GB"/>
        </w:rPr>
      </w:pPr>
    </w:p>
    <w:p w14:paraId="0C38C781" w14:textId="4B74FD3B" w:rsidR="00552887" w:rsidRPr="00861957" w:rsidRDefault="00756345" w:rsidP="00756345">
      <w:pPr>
        <w:pStyle w:val="PlainText"/>
        <w:jc w:val="both"/>
        <w:rPr>
          <w:rFonts w:ascii="Times New Roman" w:hAnsi="Times New Roman" w:cs="Times New Roman"/>
          <w:sz w:val="24"/>
          <w:szCs w:val="24"/>
          <w:lang w:val="en-GB"/>
        </w:rPr>
      </w:pPr>
      <w:r w:rsidRPr="00861957">
        <w:rPr>
          <w:rFonts w:ascii="Times New Roman" w:hAnsi="Times New Roman" w:cs="Times New Roman"/>
          <w:sz w:val="24"/>
          <w:szCs w:val="24"/>
          <w:lang w:val="en-GB"/>
        </w:rPr>
        <w:t>As of 1 November 2014, Belarus reported 17,102 officially registered HIV cases (</w:t>
      </w:r>
      <w:r w:rsidR="00AE0C9F" w:rsidRPr="00861957">
        <w:rPr>
          <w:rFonts w:ascii="Times New Roman" w:hAnsi="Times New Roman" w:cs="Times New Roman"/>
          <w:sz w:val="24"/>
          <w:szCs w:val="24"/>
          <w:lang w:val="en-GB"/>
        </w:rPr>
        <w:t>180</w:t>
      </w:r>
      <w:r w:rsidRPr="00861957">
        <w:rPr>
          <w:rFonts w:ascii="Times New Roman" w:hAnsi="Times New Roman" w:cs="Times New Roman"/>
          <w:sz w:val="24"/>
          <w:szCs w:val="24"/>
          <w:lang w:val="en-GB"/>
        </w:rPr>
        <w:t>.</w:t>
      </w:r>
      <w:r w:rsidR="00AE0C9F" w:rsidRPr="00861957">
        <w:rPr>
          <w:rFonts w:ascii="Times New Roman" w:hAnsi="Times New Roman" w:cs="Times New Roman"/>
          <w:sz w:val="24"/>
          <w:szCs w:val="24"/>
          <w:lang w:val="en-GB"/>
        </w:rPr>
        <w:t>5</w:t>
      </w:r>
      <w:r w:rsidRPr="00861957">
        <w:rPr>
          <w:rFonts w:ascii="Times New Roman" w:hAnsi="Times New Roman" w:cs="Times New Roman"/>
          <w:sz w:val="24"/>
          <w:szCs w:val="24"/>
          <w:lang w:val="en-GB"/>
        </w:rPr>
        <w:t xml:space="preserve"> per 100,000 people), of </w:t>
      </w:r>
      <w:r w:rsidR="007411C6" w:rsidRPr="00861957">
        <w:rPr>
          <w:rFonts w:ascii="Times New Roman" w:hAnsi="Times New Roman" w:cs="Times New Roman"/>
          <w:sz w:val="24"/>
          <w:szCs w:val="24"/>
          <w:lang w:val="en-GB"/>
        </w:rPr>
        <w:t xml:space="preserve">whom </w:t>
      </w:r>
      <w:r w:rsidRPr="00861957">
        <w:rPr>
          <w:rFonts w:ascii="Times New Roman" w:hAnsi="Times New Roman" w:cs="Times New Roman"/>
          <w:sz w:val="24"/>
          <w:szCs w:val="24"/>
          <w:lang w:val="en-GB"/>
        </w:rPr>
        <w:t xml:space="preserve">13,208 are currently living with HIV. </w:t>
      </w:r>
      <w:r w:rsidR="007411C6" w:rsidRPr="00861957">
        <w:rPr>
          <w:rFonts w:ascii="Times New Roman" w:hAnsi="Times New Roman" w:cs="Times New Roman"/>
          <w:sz w:val="24"/>
          <w:szCs w:val="24"/>
          <w:lang w:val="en-GB"/>
        </w:rPr>
        <w:t xml:space="preserve">Between </w:t>
      </w:r>
      <w:r w:rsidRPr="00861957">
        <w:rPr>
          <w:rFonts w:ascii="Times New Roman" w:hAnsi="Times New Roman" w:cs="Times New Roman"/>
          <w:sz w:val="24"/>
          <w:szCs w:val="24"/>
          <w:lang w:val="en-GB"/>
        </w:rPr>
        <w:t>2012</w:t>
      </w:r>
      <w:r w:rsidR="007411C6" w:rsidRPr="00861957">
        <w:rPr>
          <w:rFonts w:ascii="Times New Roman" w:hAnsi="Times New Roman" w:cs="Times New Roman"/>
          <w:sz w:val="24"/>
          <w:szCs w:val="24"/>
          <w:lang w:val="en-GB"/>
        </w:rPr>
        <w:t xml:space="preserve"> and </w:t>
      </w:r>
      <w:r w:rsidRPr="00861957">
        <w:rPr>
          <w:rFonts w:ascii="Times New Roman" w:hAnsi="Times New Roman" w:cs="Times New Roman"/>
          <w:sz w:val="24"/>
          <w:szCs w:val="24"/>
          <w:lang w:val="en-GB"/>
        </w:rPr>
        <w:t>2014 HIV incidence increased from 10.2 per 100,000 population in 2007 to 14.</w:t>
      </w:r>
      <w:r w:rsidR="00470795" w:rsidRPr="00861957">
        <w:rPr>
          <w:rFonts w:ascii="Times New Roman" w:hAnsi="Times New Roman" w:cs="Times New Roman"/>
          <w:sz w:val="24"/>
          <w:szCs w:val="24"/>
          <w:lang w:val="en-GB"/>
        </w:rPr>
        <w:t>7</w:t>
      </w:r>
      <w:r w:rsidRPr="00861957">
        <w:rPr>
          <w:rFonts w:ascii="Times New Roman" w:hAnsi="Times New Roman" w:cs="Times New Roman"/>
          <w:sz w:val="24"/>
          <w:szCs w:val="24"/>
          <w:lang w:val="en-GB"/>
        </w:rPr>
        <w:t xml:space="preserve"> per 100</w:t>
      </w:r>
      <w:r w:rsidR="007411C6" w:rsidRPr="00861957">
        <w:rPr>
          <w:rFonts w:ascii="Times New Roman" w:hAnsi="Times New Roman" w:cs="Times New Roman"/>
          <w:sz w:val="24"/>
          <w:szCs w:val="24"/>
          <w:lang w:val="en-GB"/>
        </w:rPr>
        <w:t>,</w:t>
      </w:r>
      <w:r w:rsidRPr="00861957">
        <w:rPr>
          <w:rFonts w:ascii="Times New Roman" w:hAnsi="Times New Roman" w:cs="Times New Roman"/>
          <w:sz w:val="24"/>
          <w:szCs w:val="24"/>
          <w:lang w:val="en-GB"/>
        </w:rPr>
        <w:t xml:space="preserve">000 population </w:t>
      </w:r>
      <w:r w:rsidR="00AE0C9F" w:rsidRPr="00861957">
        <w:rPr>
          <w:rFonts w:ascii="Times New Roman" w:hAnsi="Times New Roman" w:cs="Times New Roman"/>
          <w:sz w:val="24"/>
          <w:szCs w:val="24"/>
          <w:lang w:val="en-GB"/>
        </w:rPr>
        <w:t>as of 1 November</w:t>
      </w:r>
      <w:r w:rsidRPr="00861957">
        <w:rPr>
          <w:rFonts w:ascii="Times New Roman" w:hAnsi="Times New Roman" w:cs="Times New Roman"/>
          <w:sz w:val="24"/>
          <w:szCs w:val="24"/>
          <w:lang w:val="en-GB"/>
        </w:rPr>
        <w:t xml:space="preserve"> 2014. </w:t>
      </w:r>
      <w:r w:rsidR="00552887" w:rsidRPr="00861957">
        <w:rPr>
          <w:rFonts w:ascii="Times New Roman" w:hAnsi="Times New Roman" w:cs="Times New Roman"/>
          <w:sz w:val="24"/>
          <w:szCs w:val="24"/>
          <w:lang w:val="en-GB"/>
        </w:rPr>
        <w:t>Nevertheless, Belarus achieved progress in decreasing the share of HIV-infected children born by HIV-infected mothers from 12</w:t>
      </w:r>
      <w:r w:rsidR="00B34BE3" w:rsidRPr="00861957">
        <w:rPr>
          <w:rFonts w:ascii="Times New Roman" w:hAnsi="Times New Roman" w:cs="Times New Roman"/>
          <w:sz w:val="24"/>
          <w:szCs w:val="24"/>
          <w:lang w:val="en-GB"/>
        </w:rPr>
        <w:t>%</w:t>
      </w:r>
      <w:r w:rsidR="00552887" w:rsidRPr="00861957">
        <w:rPr>
          <w:rFonts w:ascii="Times New Roman" w:hAnsi="Times New Roman" w:cs="Times New Roman"/>
          <w:sz w:val="24"/>
          <w:szCs w:val="24"/>
          <w:lang w:val="en-GB"/>
        </w:rPr>
        <w:t xml:space="preserve"> in</w:t>
      </w:r>
      <w:r w:rsidR="004B38D9" w:rsidRPr="00861957">
        <w:rPr>
          <w:rFonts w:ascii="Times New Roman" w:hAnsi="Times New Roman" w:cs="Times New Roman"/>
          <w:sz w:val="24"/>
          <w:szCs w:val="24"/>
          <w:lang w:val="en-GB"/>
        </w:rPr>
        <w:t xml:space="preserve"> 2003 to 1</w:t>
      </w:r>
      <w:r w:rsidR="00B34BE3" w:rsidRPr="00861957">
        <w:rPr>
          <w:rFonts w:ascii="Times New Roman" w:hAnsi="Times New Roman" w:cs="Times New Roman"/>
          <w:sz w:val="24"/>
          <w:szCs w:val="24"/>
          <w:lang w:val="en-GB"/>
        </w:rPr>
        <w:t>.</w:t>
      </w:r>
      <w:r w:rsidR="004B38D9" w:rsidRPr="00861957">
        <w:rPr>
          <w:rFonts w:ascii="Times New Roman" w:hAnsi="Times New Roman" w:cs="Times New Roman"/>
          <w:sz w:val="24"/>
          <w:szCs w:val="24"/>
          <w:lang w:val="en-GB"/>
        </w:rPr>
        <w:t>9</w:t>
      </w:r>
      <w:r w:rsidR="00B34BE3" w:rsidRPr="00861957">
        <w:rPr>
          <w:rFonts w:ascii="Times New Roman" w:hAnsi="Times New Roman" w:cs="Times New Roman"/>
          <w:sz w:val="24"/>
          <w:szCs w:val="24"/>
          <w:lang w:val="en-GB"/>
        </w:rPr>
        <w:t>%</w:t>
      </w:r>
      <w:r w:rsidR="00552887" w:rsidRPr="00861957">
        <w:rPr>
          <w:rFonts w:ascii="Times New Roman" w:hAnsi="Times New Roman" w:cs="Times New Roman"/>
          <w:sz w:val="24"/>
          <w:szCs w:val="24"/>
          <w:lang w:val="en-GB"/>
        </w:rPr>
        <w:t xml:space="preserve"> in </w:t>
      </w:r>
      <w:r w:rsidR="004B38D9" w:rsidRPr="00861957">
        <w:rPr>
          <w:rFonts w:ascii="Times New Roman" w:hAnsi="Times New Roman" w:cs="Times New Roman"/>
          <w:sz w:val="24"/>
          <w:szCs w:val="24"/>
          <w:lang w:val="en-GB"/>
        </w:rPr>
        <w:t>2014</w:t>
      </w:r>
      <w:r w:rsidR="00552887" w:rsidRPr="00861957">
        <w:rPr>
          <w:rFonts w:ascii="Times New Roman" w:hAnsi="Times New Roman" w:cs="Times New Roman"/>
          <w:sz w:val="24"/>
          <w:szCs w:val="24"/>
          <w:lang w:val="en-GB"/>
        </w:rPr>
        <w:t xml:space="preserve">. </w:t>
      </w:r>
      <w:r w:rsidR="004D6A63" w:rsidRPr="00861957">
        <w:rPr>
          <w:rFonts w:ascii="Times New Roman" w:hAnsi="Times New Roman" w:cs="Times New Roman"/>
          <w:sz w:val="24"/>
          <w:szCs w:val="24"/>
          <w:lang w:val="en-GB"/>
        </w:rPr>
        <w:t xml:space="preserve">UNICEF and UNAIDS will assist the Government </w:t>
      </w:r>
      <w:r w:rsidR="007411C6" w:rsidRPr="00861957">
        <w:rPr>
          <w:rFonts w:ascii="Times New Roman" w:hAnsi="Times New Roman" w:cs="Times New Roman"/>
          <w:sz w:val="24"/>
          <w:szCs w:val="24"/>
          <w:lang w:val="en-GB"/>
        </w:rPr>
        <w:t>in</w:t>
      </w:r>
      <w:r w:rsidR="004D6A63" w:rsidRPr="00861957">
        <w:rPr>
          <w:rFonts w:ascii="Times New Roman" w:hAnsi="Times New Roman" w:cs="Times New Roman"/>
          <w:sz w:val="24"/>
          <w:szCs w:val="24"/>
          <w:lang w:val="en-GB"/>
        </w:rPr>
        <w:t xml:space="preserve"> decreas</w:t>
      </w:r>
      <w:r w:rsidR="007411C6" w:rsidRPr="00861957">
        <w:rPr>
          <w:rFonts w:ascii="Times New Roman" w:hAnsi="Times New Roman" w:cs="Times New Roman"/>
          <w:sz w:val="24"/>
          <w:szCs w:val="24"/>
          <w:lang w:val="en-GB"/>
        </w:rPr>
        <w:t>ing</w:t>
      </w:r>
      <w:r w:rsidR="004D6A63" w:rsidRPr="00861957">
        <w:rPr>
          <w:rFonts w:ascii="Times New Roman" w:hAnsi="Times New Roman" w:cs="Times New Roman"/>
          <w:sz w:val="24"/>
          <w:szCs w:val="24"/>
          <w:lang w:val="en-GB"/>
        </w:rPr>
        <w:t xml:space="preserve"> this share to less than 1% by 2020.</w:t>
      </w:r>
      <w:r w:rsidRPr="00861957">
        <w:rPr>
          <w:rFonts w:ascii="Times New Roman" w:hAnsi="Times New Roman" w:cs="Times New Roman"/>
          <w:sz w:val="24"/>
          <w:szCs w:val="24"/>
          <w:lang w:val="en-GB"/>
        </w:rPr>
        <w:t xml:space="preserve"> Belarus is one of the countries in the EECA region </w:t>
      </w:r>
      <w:r w:rsidR="007411C6" w:rsidRPr="00861957">
        <w:rPr>
          <w:rFonts w:ascii="Times New Roman" w:hAnsi="Times New Roman" w:cs="Times New Roman"/>
          <w:sz w:val="24"/>
          <w:szCs w:val="24"/>
          <w:lang w:val="en-GB"/>
        </w:rPr>
        <w:t xml:space="preserve">that </w:t>
      </w:r>
      <w:r w:rsidRPr="00861957">
        <w:rPr>
          <w:rFonts w:ascii="Times New Roman" w:hAnsi="Times New Roman" w:cs="Times New Roman"/>
          <w:sz w:val="24"/>
          <w:szCs w:val="24"/>
          <w:lang w:val="en-GB"/>
        </w:rPr>
        <w:t xml:space="preserve">can achieve </w:t>
      </w:r>
      <w:r w:rsidR="007411C6" w:rsidRPr="00861957">
        <w:rPr>
          <w:rFonts w:ascii="Times New Roman" w:hAnsi="Times New Roman" w:cs="Times New Roman"/>
          <w:sz w:val="24"/>
          <w:szCs w:val="24"/>
          <w:lang w:val="en-GB"/>
        </w:rPr>
        <w:t xml:space="preserve">the </w:t>
      </w:r>
      <w:r w:rsidRPr="00861957">
        <w:rPr>
          <w:rFonts w:ascii="Times New Roman" w:hAnsi="Times New Roman" w:cs="Times New Roman"/>
          <w:sz w:val="24"/>
          <w:szCs w:val="24"/>
          <w:lang w:val="en-GB"/>
        </w:rPr>
        <w:t>elimination of vertical HIV transmission.</w:t>
      </w:r>
    </w:p>
    <w:p w14:paraId="794A4746" w14:textId="77777777" w:rsidR="00552887" w:rsidRPr="00861957" w:rsidRDefault="00552887" w:rsidP="007214B0">
      <w:pPr>
        <w:pStyle w:val="PlainText"/>
        <w:jc w:val="both"/>
        <w:rPr>
          <w:rFonts w:ascii="Times New Roman" w:hAnsi="Times New Roman" w:cs="Times New Roman"/>
          <w:sz w:val="24"/>
          <w:szCs w:val="24"/>
          <w:lang w:val="en-GB"/>
        </w:rPr>
      </w:pPr>
    </w:p>
    <w:p w14:paraId="319D371A" w14:textId="1D91E376" w:rsidR="0028381B" w:rsidRPr="00861957" w:rsidRDefault="00552887" w:rsidP="007214B0">
      <w:pPr>
        <w:pStyle w:val="PlainText"/>
        <w:jc w:val="both"/>
        <w:rPr>
          <w:rFonts w:ascii="Times New Roman" w:hAnsi="Times New Roman" w:cs="Times New Roman"/>
          <w:sz w:val="24"/>
          <w:szCs w:val="24"/>
          <w:lang w:val="en-GB"/>
        </w:rPr>
      </w:pPr>
      <w:r w:rsidRPr="00861957">
        <w:rPr>
          <w:rFonts w:ascii="Times New Roman" w:hAnsi="Times New Roman" w:cs="Times New Roman"/>
          <w:sz w:val="24"/>
          <w:szCs w:val="24"/>
          <w:lang w:val="en-GB"/>
        </w:rPr>
        <w:t>The state</w:t>
      </w:r>
      <w:r w:rsidR="007411C6" w:rsidRPr="00861957">
        <w:rPr>
          <w:rFonts w:ascii="Times New Roman" w:hAnsi="Times New Roman" w:cs="Times New Roman"/>
          <w:sz w:val="24"/>
          <w:szCs w:val="24"/>
          <w:lang w:val="en-GB"/>
        </w:rPr>
        <w:t>’s</w:t>
      </w:r>
      <w:r w:rsidRPr="00861957">
        <w:rPr>
          <w:rFonts w:ascii="Times New Roman" w:hAnsi="Times New Roman" w:cs="Times New Roman"/>
          <w:sz w:val="24"/>
          <w:szCs w:val="24"/>
          <w:lang w:val="en-GB"/>
        </w:rPr>
        <w:t xml:space="preserve"> response to HIV is regulated by the State Programme on HIV Prevention for 2011-2015</w:t>
      </w:r>
      <w:r w:rsidR="0065423C" w:rsidRPr="00861957">
        <w:rPr>
          <w:rFonts w:ascii="Times New Roman" w:hAnsi="Times New Roman" w:cs="Times New Roman"/>
          <w:sz w:val="24"/>
          <w:szCs w:val="24"/>
          <w:lang w:val="en-GB"/>
        </w:rPr>
        <w:t>, and the priorities of the next programme – for 2016-2020 – are included in the current UNDAF.</w:t>
      </w:r>
      <w:r w:rsidR="00326907" w:rsidRPr="00861957">
        <w:rPr>
          <w:rFonts w:ascii="Times New Roman" w:hAnsi="Times New Roman" w:cs="Times New Roman"/>
          <w:sz w:val="24"/>
          <w:szCs w:val="24"/>
          <w:lang w:val="en-GB"/>
        </w:rPr>
        <w:t xml:space="preserve"> </w:t>
      </w:r>
      <w:r w:rsidR="007411C6" w:rsidRPr="00861957">
        <w:rPr>
          <w:rFonts w:ascii="Times New Roman" w:hAnsi="Times New Roman" w:cs="Times New Roman"/>
          <w:sz w:val="24"/>
          <w:szCs w:val="24"/>
          <w:lang w:val="en-GB"/>
        </w:rPr>
        <w:t xml:space="preserve">In recent </w:t>
      </w:r>
      <w:r w:rsidR="00326907" w:rsidRPr="00861957">
        <w:rPr>
          <w:rFonts w:ascii="Times New Roman" w:hAnsi="Times New Roman" w:cs="Times New Roman"/>
          <w:sz w:val="24"/>
          <w:szCs w:val="24"/>
          <w:lang w:val="en-GB"/>
        </w:rPr>
        <w:t xml:space="preserve">years, UNAIDS </w:t>
      </w:r>
      <w:r w:rsidR="00247208" w:rsidRPr="00861957">
        <w:rPr>
          <w:rFonts w:ascii="Times New Roman" w:hAnsi="Times New Roman" w:cs="Times New Roman"/>
          <w:sz w:val="24"/>
          <w:szCs w:val="24"/>
          <w:lang w:val="en-GB"/>
        </w:rPr>
        <w:t xml:space="preserve">has </w:t>
      </w:r>
      <w:r w:rsidR="00326907" w:rsidRPr="00861957">
        <w:rPr>
          <w:rFonts w:ascii="Times New Roman" w:hAnsi="Times New Roman" w:cs="Times New Roman"/>
          <w:sz w:val="24"/>
          <w:szCs w:val="24"/>
          <w:lang w:val="en-GB"/>
        </w:rPr>
        <w:t>worked with the Government to develop an evidence-based investment case that reorient</w:t>
      </w:r>
      <w:r w:rsidR="00247208" w:rsidRPr="00861957">
        <w:rPr>
          <w:rFonts w:ascii="Times New Roman" w:hAnsi="Times New Roman" w:cs="Times New Roman"/>
          <w:sz w:val="24"/>
          <w:szCs w:val="24"/>
          <w:lang w:val="en-GB"/>
        </w:rPr>
        <w:t>s</w:t>
      </w:r>
      <w:r w:rsidR="00326907" w:rsidRPr="00861957">
        <w:rPr>
          <w:rFonts w:ascii="Times New Roman" w:hAnsi="Times New Roman" w:cs="Times New Roman"/>
          <w:sz w:val="24"/>
          <w:szCs w:val="24"/>
          <w:lang w:val="en-GB"/>
        </w:rPr>
        <w:t xml:space="preserve"> the </w:t>
      </w:r>
      <w:r w:rsidR="00247208" w:rsidRPr="00861957">
        <w:rPr>
          <w:rFonts w:ascii="Times New Roman" w:hAnsi="Times New Roman" w:cs="Times New Roman"/>
          <w:sz w:val="24"/>
          <w:szCs w:val="24"/>
          <w:lang w:val="en-GB"/>
        </w:rPr>
        <w:t xml:space="preserve">country’s </w:t>
      </w:r>
      <w:r w:rsidR="00326907" w:rsidRPr="00861957">
        <w:rPr>
          <w:rFonts w:ascii="Times New Roman" w:hAnsi="Times New Roman" w:cs="Times New Roman"/>
          <w:sz w:val="24"/>
          <w:szCs w:val="24"/>
          <w:lang w:val="en-GB"/>
        </w:rPr>
        <w:t>approach to</w:t>
      </w:r>
      <w:r w:rsidR="00247208" w:rsidRPr="00861957">
        <w:rPr>
          <w:rFonts w:ascii="Times New Roman" w:hAnsi="Times New Roman" w:cs="Times New Roman"/>
          <w:sz w:val="24"/>
          <w:szCs w:val="24"/>
          <w:lang w:val="en-GB"/>
        </w:rPr>
        <w:t>wards</w:t>
      </w:r>
      <w:r w:rsidR="00326907" w:rsidRPr="00861957">
        <w:rPr>
          <w:rFonts w:ascii="Times New Roman" w:hAnsi="Times New Roman" w:cs="Times New Roman"/>
          <w:sz w:val="24"/>
          <w:szCs w:val="24"/>
          <w:lang w:val="en-GB"/>
        </w:rPr>
        <w:t xml:space="preserve"> investment in </w:t>
      </w:r>
      <w:r w:rsidR="00247208" w:rsidRPr="00861957">
        <w:rPr>
          <w:rFonts w:ascii="Times New Roman" w:hAnsi="Times New Roman" w:cs="Times New Roman"/>
          <w:sz w:val="24"/>
          <w:szCs w:val="24"/>
          <w:lang w:val="en-GB"/>
        </w:rPr>
        <w:t xml:space="preserve">an </w:t>
      </w:r>
      <w:r w:rsidR="00326907" w:rsidRPr="00861957">
        <w:rPr>
          <w:rFonts w:ascii="Times New Roman" w:hAnsi="Times New Roman" w:cs="Times New Roman"/>
          <w:sz w:val="24"/>
          <w:szCs w:val="24"/>
          <w:lang w:val="en-GB"/>
        </w:rPr>
        <w:t>HIV prevention and treatment programme t</w:t>
      </w:r>
      <w:r w:rsidR="00247208" w:rsidRPr="00861957">
        <w:rPr>
          <w:rFonts w:ascii="Times New Roman" w:hAnsi="Times New Roman" w:cs="Times New Roman"/>
          <w:sz w:val="24"/>
          <w:szCs w:val="24"/>
          <w:lang w:val="en-GB"/>
        </w:rPr>
        <w:t>hat</w:t>
      </w:r>
      <w:r w:rsidR="00326907" w:rsidRPr="00861957">
        <w:rPr>
          <w:rFonts w:ascii="Times New Roman" w:hAnsi="Times New Roman" w:cs="Times New Roman"/>
          <w:sz w:val="24"/>
          <w:szCs w:val="24"/>
          <w:lang w:val="en-GB"/>
        </w:rPr>
        <w:t xml:space="preserve"> maximize</w:t>
      </w:r>
      <w:r w:rsidR="00247208" w:rsidRPr="00861957">
        <w:rPr>
          <w:rFonts w:ascii="Times New Roman" w:hAnsi="Times New Roman" w:cs="Times New Roman"/>
          <w:sz w:val="24"/>
          <w:szCs w:val="24"/>
          <w:lang w:val="en-GB"/>
        </w:rPr>
        <w:t>s</w:t>
      </w:r>
      <w:r w:rsidR="00326907" w:rsidRPr="00861957">
        <w:rPr>
          <w:rFonts w:ascii="Times New Roman" w:hAnsi="Times New Roman" w:cs="Times New Roman"/>
          <w:sz w:val="24"/>
          <w:szCs w:val="24"/>
          <w:lang w:val="en-GB"/>
        </w:rPr>
        <w:t xml:space="preserve"> impact and sustainability. Based on the results of this analysis, Belarus</w:t>
      </w:r>
      <w:r w:rsidR="00247208" w:rsidRPr="00861957">
        <w:rPr>
          <w:rFonts w:ascii="Times New Roman" w:hAnsi="Times New Roman" w:cs="Times New Roman"/>
          <w:sz w:val="24"/>
          <w:szCs w:val="24"/>
          <w:lang w:val="en-GB"/>
        </w:rPr>
        <w:t xml:space="preserve"> has</w:t>
      </w:r>
      <w:r w:rsidR="00326907" w:rsidRPr="00861957">
        <w:rPr>
          <w:rFonts w:ascii="Times New Roman" w:hAnsi="Times New Roman" w:cs="Times New Roman"/>
          <w:sz w:val="24"/>
          <w:szCs w:val="24"/>
          <w:lang w:val="en-GB"/>
        </w:rPr>
        <w:t xml:space="preserve"> </w:t>
      </w:r>
      <w:r w:rsidRPr="00861957">
        <w:rPr>
          <w:rFonts w:ascii="Times New Roman" w:hAnsi="Times New Roman" w:cs="Times New Roman"/>
          <w:sz w:val="24"/>
          <w:szCs w:val="24"/>
          <w:lang w:val="en-GB"/>
        </w:rPr>
        <w:t xml:space="preserve">changed its HIV response from providing services for the general population to </w:t>
      </w:r>
      <w:r w:rsidR="00247208" w:rsidRPr="00861957">
        <w:rPr>
          <w:rFonts w:ascii="Times New Roman" w:hAnsi="Times New Roman" w:cs="Times New Roman"/>
          <w:sz w:val="24"/>
          <w:szCs w:val="24"/>
          <w:lang w:val="en-GB"/>
        </w:rPr>
        <w:t xml:space="preserve">expanding the treatment </w:t>
      </w:r>
      <w:r w:rsidRPr="00861957">
        <w:rPr>
          <w:rFonts w:ascii="Times New Roman" w:hAnsi="Times New Roman" w:cs="Times New Roman"/>
          <w:sz w:val="24"/>
          <w:szCs w:val="24"/>
          <w:lang w:val="en-GB"/>
        </w:rPr>
        <w:t xml:space="preserve">of PLHIV by ART and </w:t>
      </w:r>
      <w:r w:rsidR="00247208" w:rsidRPr="00861957">
        <w:rPr>
          <w:rFonts w:ascii="Times New Roman" w:hAnsi="Times New Roman" w:cs="Times New Roman"/>
          <w:sz w:val="24"/>
          <w:szCs w:val="24"/>
          <w:lang w:val="en-GB"/>
        </w:rPr>
        <w:t xml:space="preserve">increasing </w:t>
      </w:r>
      <w:r w:rsidRPr="00861957">
        <w:rPr>
          <w:rFonts w:ascii="Times New Roman" w:hAnsi="Times New Roman" w:cs="Times New Roman"/>
          <w:sz w:val="24"/>
          <w:szCs w:val="24"/>
          <w:lang w:val="en-GB"/>
        </w:rPr>
        <w:t xml:space="preserve">spending on programmes for </w:t>
      </w:r>
      <w:r w:rsidR="00326907" w:rsidRPr="00861957">
        <w:rPr>
          <w:rFonts w:ascii="Times New Roman" w:hAnsi="Times New Roman" w:cs="Times New Roman"/>
          <w:sz w:val="24"/>
          <w:szCs w:val="24"/>
          <w:lang w:val="en-GB"/>
        </w:rPr>
        <w:t>key populations</w:t>
      </w:r>
      <w:r w:rsidRPr="00861957">
        <w:rPr>
          <w:rFonts w:ascii="Times New Roman" w:hAnsi="Times New Roman" w:cs="Times New Roman"/>
          <w:sz w:val="24"/>
          <w:szCs w:val="24"/>
          <w:lang w:val="en-GB"/>
        </w:rPr>
        <w:t>.</w:t>
      </w:r>
      <w:r w:rsidR="00B34BE3" w:rsidRPr="00861957">
        <w:rPr>
          <w:rFonts w:ascii="Times New Roman" w:hAnsi="Times New Roman" w:cs="Times New Roman"/>
          <w:sz w:val="24"/>
          <w:szCs w:val="24"/>
          <w:lang w:val="en-GB"/>
        </w:rPr>
        <w:t xml:space="preserve"> </w:t>
      </w:r>
    </w:p>
    <w:p w14:paraId="77579EDC" w14:textId="77777777" w:rsidR="0028381B" w:rsidRPr="00861957" w:rsidRDefault="0028381B" w:rsidP="007214B0">
      <w:pPr>
        <w:pStyle w:val="PlainText"/>
        <w:jc w:val="both"/>
        <w:rPr>
          <w:rFonts w:ascii="Times New Roman" w:hAnsi="Times New Roman" w:cs="Times New Roman"/>
          <w:sz w:val="24"/>
          <w:szCs w:val="24"/>
          <w:lang w:val="en-GB"/>
        </w:rPr>
      </w:pPr>
    </w:p>
    <w:p w14:paraId="77764386" w14:textId="7E4D6E55" w:rsidR="00756345" w:rsidRPr="00656A64" w:rsidRDefault="00326907" w:rsidP="007214B0">
      <w:pPr>
        <w:pStyle w:val="PlainText"/>
        <w:jc w:val="both"/>
        <w:rPr>
          <w:rFonts w:ascii="Times New Roman" w:hAnsi="Times New Roman" w:cs="Times New Roman"/>
          <w:sz w:val="24"/>
          <w:szCs w:val="24"/>
          <w:lang w:val="en-US"/>
        </w:rPr>
      </w:pPr>
      <w:r w:rsidRPr="00861957">
        <w:rPr>
          <w:rFonts w:ascii="Times New Roman" w:hAnsi="Times New Roman" w:cs="Times New Roman"/>
          <w:sz w:val="24"/>
          <w:szCs w:val="24"/>
          <w:lang w:val="en-GB"/>
        </w:rPr>
        <w:t xml:space="preserve">UNAIDS together with its co-sponsors (mainly WHO, UNICEF, UNDP, UNFPA and UNODC) will provide assistance to the Government in taking </w:t>
      </w:r>
      <w:r w:rsidR="00247208" w:rsidRPr="00861957">
        <w:rPr>
          <w:rFonts w:ascii="Times New Roman" w:hAnsi="Times New Roman" w:cs="Times New Roman"/>
          <w:sz w:val="24"/>
          <w:szCs w:val="24"/>
          <w:lang w:val="en-GB"/>
        </w:rPr>
        <w:t xml:space="preserve">a </w:t>
      </w:r>
      <w:r w:rsidRPr="00861957">
        <w:rPr>
          <w:rFonts w:ascii="Times New Roman" w:hAnsi="Times New Roman" w:cs="Times New Roman"/>
          <w:sz w:val="24"/>
          <w:szCs w:val="24"/>
          <w:lang w:val="en-GB"/>
        </w:rPr>
        <w:t xml:space="preserve">Fast-Track approach over the next five years to achieve the goals of the State Programme </w:t>
      </w:r>
      <w:r w:rsidR="002976CA" w:rsidRPr="00861957">
        <w:rPr>
          <w:rFonts w:ascii="Times New Roman" w:hAnsi="Times New Roman" w:cs="Times New Roman"/>
          <w:sz w:val="24"/>
          <w:szCs w:val="24"/>
          <w:lang w:val="en-GB"/>
        </w:rPr>
        <w:t xml:space="preserve">on HIV Prevention </w:t>
      </w:r>
      <w:r w:rsidRPr="00861957">
        <w:rPr>
          <w:rFonts w:ascii="Times New Roman" w:hAnsi="Times New Roman" w:cs="Times New Roman"/>
          <w:sz w:val="24"/>
          <w:szCs w:val="24"/>
          <w:lang w:val="en-GB"/>
        </w:rPr>
        <w:t>for 2016-2020</w:t>
      </w:r>
      <w:r w:rsidR="00B53AB0" w:rsidRPr="00861957">
        <w:rPr>
          <w:rFonts w:ascii="Times New Roman" w:hAnsi="Times New Roman" w:cs="Times New Roman"/>
          <w:sz w:val="24"/>
          <w:szCs w:val="24"/>
          <w:lang w:val="en-GB"/>
        </w:rPr>
        <w:t xml:space="preserve">. These will be achieved through the provision of universal access </w:t>
      </w:r>
      <w:r w:rsidR="00247208" w:rsidRPr="00861957">
        <w:rPr>
          <w:rFonts w:ascii="Times New Roman" w:hAnsi="Times New Roman" w:cs="Times New Roman"/>
          <w:sz w:val="24"/>
          <w:szCs w:val="24"/>
          <w:lang w:val="en-GB"/>
        </w:rPr>
        <w:t>for</w:t>
      </w:r>
      <w:r w:rsidR="00B53AB0" w:rsidRPr="00861957">
        <w:rPr>
          <w:rFonts w:ascii="Times New Roman" w:hAnsi="Times New Roman" w:cs="Times New Roman"/>
          <w:sz w:val="24"/>
          <w:szCs w:val="24"/>
          <w:lang w:val="en-GB"/>
        </w:rPr>
        <w:t xml:space="preserve"> key populations to a comprehensive package</w:t>
      </w:r>
      <w:r w:rsidR="00B53AB0" w:rsidRPr="00861957">
        <w:rPr>
          <w:rStyle w:val="FootnoteReference"/>
          <w:rFonts w:ascii="Times New Roman" w:hAnsi="Times New Roman"/>
          <w:sz w:val="24"/>
          <w:szCs w:val="24"/>
          <w:lang w:val="en-GB"/>
        </w:rPr>
        <w:footnoteReference w:id="30"/>
      </w:r>
      <w:r w:rsidR="00B53AB0" w:rsidRPr="00861957">
        <w:rPr>
          <w:rFonts w:ascii="Times New Roman" w:hAnsi="Times New Roman" w:cs="Times New Roman"/>
          <w:sz w:val="24"/>
          <w:szCs w:val="24"/>
          <w:lang w:val="en-GB"/>
        </w:rPr>
        <w:t xml:space="preserve"> of interventions on HIV prevention and treatment, closing a treatment gap and increasing</w:t>
      </w:r>
      <w:r w:rsidR="00756345" w:rsidRPr="00861957">
        <w:rPr>
          <w:rFonts w:ascii="Times New Roman" w:hAnsi="Times New Roman" w:cs="Times New Roman"/>
          <w:sz w:val="24"/>
          <w:szCs w:val="24"/>
          <w:lang w:val="en-GB"/>
        </w:rPr>
        <w:t xml:space="preserve"> ART coverage to 80% of </w:t>
      </w:r>
      <w:r w:rsidR="00247208" w:rsidRPr="00861957">
        <w:rPr>
          <w:rFonts w:ascii="Times New Roman" w:hAnsi="Times New Roman" w:cs="Times New Roman"/>
          <w:sz w:val="24"/>
          <w:szCs w:val="24"/>
          <w:lang w:val="en-GB"/>
        </w:rPr>
        <w:t xml:space="preserve">the </w:t>
      </w:r>
      <w:r w:rsidR="00756345" w:rsidRPr="00861957">
        <w:rPr>
          <w:rFonts w:ascii="Times New Roman" w:hAnsi="Times New Roman" w:cs="Times New Roman"/>
          <w:sz w:val="24"/>
          <w:szCs w:val="24"/>
          <w:lang w:val="en-GB"/>
        </w:rPr>
        <w:t>esti</w:t>
      </w:r>
      <w:r w:rsidRPr="00861957">
        <w:rPr>
          <w:rFonts w:ascii="Times New Roman" w:hAnsi="Times New Roman" w:cs="Times New Roman"/>
          <w:sz w:val="24"/>
          <w:szCs w:val="24"/>
          <w:lang w:val="en-GB"/>
        </w:rPr>
        <w:t>mated number of those in need</w:t>
      </w:r>
      <w:r w:rsidR="00247208" w:rsidRPr="00861957">
        <w:rPr>
          <w:rFonts w:ascii="Times New Roman" w:hAnsi="Times New Roman" w:cs="Times New Roman"/>
          <w:sz w:val="24"/>
          <w:szCs w:val="24"/>
          <w:lang w:val="en-GB"/>
        </w:rPr>
        <w:t>, as well as</w:t>
      </w:r>
      <w:r w:rsidR="00756345" w:rsidRPr="00861957">
        <w:rPr>
          <w:rFonts w:ascii="Times New Roman" w:hAnsi="Times New Roman" w:cs="Times New Roman"/>
          <w:sz w:val="24"/>
          <w:szCs w:val="24"/>
          <w:lang w:val="en-GB"/>
        </w:rPr>
        <w:t xml:space="preserve"> assisting </w:t>
      </w:r>
      <w:r w:rsidRPr="00861957">
        <w:rPr>
          <w:rFonts w:ascii="Times New Roman" w:hAnsi="Times New Roman" w:cs="Times New Roman"/>
          <w:sz w:val="24"/>
          <w:szCs w:val="24"/>
          <w:lang w:val="en-GB"/>
        </w:rPr>
        <w:t xml:space="preserve">the </w:t>
      </w:r>
      <w:r w:rsidR="00756345" w:rsidRPr="00861957">
        <w:rPr>
          <w:rFonts w:ascii="Times New Roman" w:hAnsi="Times New Roman" w:cs="Times New Roman"/>
          <w:sz w:val="24"/>
          <w:szCs w:val="24"/>
          <w:lang w:val="en-GB"/>
        </w:rPr>
        <w:t xml:space="preserve">country </w:t>
      </w:r>
      <w:r w:rsidR="00B53AB0" w:rsidRPr="00861957">
        <w:rPr>
          <w:rFonts w:ascii="Times New Roman" w:hAnsi="Times New Roman" w:cs="Times New Roman"/>
          <w:sz w:val="24"/>
          <w:szCs w:val="24"/>
          <w:lang w:val="en-GB"/>
        </w:rPr>
        <w:t>in</w:t>
      </w:r>
      <w:r w:rsidR="00756345" w:rsidRPr="00861957">
        <w:rPr>
          <w:rFonts w:ascii="Times New Roman" w:hAnsi="Times New Roman" w:cs="Times New Roman"/>
          <w:sz w:val="24"/>
          <w:szCs w:val="24"/>
          <w:lang w:val="en-GB"/>
        </w:rPr>
        <w:t xml:space="preserve"> </w:t>
      </w:r>
      <w:r w:rsidR="00B53AB0" w:rsidRPr="00861957">
        <w:rPr>
          <w:rFonts w:ascii="Times New Roman" w:hAnsi="Times New Roman" w:cs="Times New Roman"/>
          <w:sz w:val="24"/>
          <w:szCs w:val="24"/>
          <w:lang w:val="en-GB"/>
        </w:rPr>
        <w:t>creating</w:t>
      </w:r>
      <w:r w:rsidRPr="00861957">
        <w:rPr>
          <w:rFonts w:ascii="Times New Roman" w:hAnsi="Times New Roman" w:cs="Times New Roman"/>
          <w:sz w:val="24"/>
          <w:szCs w:val="24"/>
          <w:lang w:val="en-GB"/>
        </w:rPr>
        <w:t xml:space="preserve"> an</w:t>
      </w:r>
      <w:r w:rsidR="00756345" w:rsidRPr="00861957">
        <w:rPr>
          <w:rFonts w:ascii="Times New Roman" w:hAnsi="Times New Roman" w:cs="Times New Roman"/>
          <w:sz w:val="24"/>
          <w:szCs w:val="24"/>
          <w:lang w:val="en-GB"/>
        </w:rPr>
        <w:t xml:space="preserve"> enabling environment essen</w:t>
      </w:r>
      <w:r w:rsidRPr="00861957">
        <w:rPr>
          <w:rFonts w:ascii="Times New Roman" w:hAnsi="Times New Roman" w:cs="Times New Roman"/>
          <w:sz w:val="24"/>
          <w:szCs w:val="24"/>
          <w:lang w:val="en-GB"/>
        </w:rPr>
        <w:t xml:space="preserve">tial </w:t>
      </w:r>
      <w:r w:rsidRPr="00861957">
        <w:rPr>
          <w:rFonts w:ascii="Times New Roman" w:hAnsi="Times New Roman" w:cs="Times New Roman"/>
          <w:sz w:val="24"/>
          <w:szCs w:val="24"/>
          <w:lang w:val="en-GB"/>
        </w:rPr>
        <w:lastRenderedPageBreak/>
        <w:t>for an effective HIV response.</w:t>
      </w:r>
      <w:r w:rsidR="007C0CE5" w:rsidRPr="00861957">
        <w:rPr>
          <w:rFonts w:ascii="Times New Roman" w:hAnsi="Times New Roman" w:cs="Times New Roman"/>
          <w:sz w:val="24"/>
          <w:szCs w:val="24"/>
          <w:lang w:val="en-GB"/>
        </w:rPr>
        <w:t xml:space="preserve"> UNDP will continue to provide capacity building to the relevant governmental and non-governmental entities </w:t>
      </w:r>
      <w:r w:rsidR="00DA1EC9" w:rsidRPr="00861957">
        <w:rPr>
          <w:rFonts w:ascii="Times New Roman" w:hAnsi="Times New Roman" w:cs="Times New Roman"/>
          <w:sz w:val="24"/>
          <w:szCs w:val="24"/>
          <w:lang w:val="en-GB"/>
        </w:rPr>
        <w:t xml:space="preserve">for </w:t>
      </w:r>
      <w:r w:rsidR="007C0CE5" w:rsidRPr="00861957">
        <w:rPr>
          <w:rFonts w:ascii="Times New Roman" w:hAnsi="Times New Roman" w:cs="Times New Roman"/>
          <w:sz w:val="24"/>
          <w:szCs w:val="24"/>
          <w:lang w:val="en-GB"/>
        </w:rPr>
        <w:t>the achievement of these goals.</w:t>
      </w:r>
    </w:p>
    <w:p w14:paraId="3659CDFF" w14:textId="77777777" w:rsidR="009B4450" w:rsidRPr="00656A64" w:rsidRDefault="009B4450" w:rsidP="007214B0">
      <w:pPr>
        <w:pStyle w:val="PlainText"/>
        <w:jc w:val="both"/>
        <w:rPr>
          <w:rFonts w:ascii="Times New Roman" w:hAnsi="Times New Roman" w:cs="Times New Roman"/>
          <w:sz w:val="24"/>
          <w:szCs w:val="24"/>
          <w:lang w:val="en-US"/>
        </w:rPr>
      </w:pPr>
    </w:p>
    <w:p w14:paraId="7A09DFF8" w14:textId="67E2158B" w:rsidR="009B4450" w:rsidRDefault="009B4450" w:rsidP="009B4450">
      <w:pPr>
        <w:pStyle w:val="PlainText"/>
        <w:jc w:val="both"/>
        <w:rPr>
          <w:rFonts w:ascii="Times New Roman" w:hAnsi="Times New Roman" w:cs="Times New Roman"/>
          <w:sz w:val="24"/>
          <w:szCs w:val="24"/>
          <w:lang w:val="en-US"/>
        </w:rPr>
      </w:pPr>
      <w:r w:rsidRPr="008B2AD6">
        <w:rPr>
          <w:rFonts w:ascii="Times New Roman" w:hAnsi="Times New Roman" w:cs="Times New Roman"/>
          <w:sz w:val="24"/>
          <w:szCs w:val="24"/>
          <w:lang w:val="en-US"/>
        </w:rPr>
        <w:t xml:space="preserve">UNODC will focus on provision of assistance to the Ministry of Internal Affairs  on capacity building and raising awareness of the law enforcement officers on the issues of drug dependence and HIV;  and will also facilitate cooperation between law enforcement, health and social services to ensure coordination and  recognition of the comprehensive package of interventions aimed at the HIV prevention, treatment and care among people who inject drugs, including those  in the prison settings, and  advocate for the alternative measures to imprisonment. </w:t>
      </w:r>
    </w:p>
    <w:p w14:paraId="0F095136" w14:textId="77777777" w:rsidR="004D6A63" w:rsidRPr="00861957" w:rsidRDefault="004D6A63" w:rsidP="00B34BE3">
      <w:pPr>
        <w:pStyle w:val="PlainText"/>
        <w:jc w:val="both"/>
        <w:rPr>
          <w:rFonts w:ascii="Times New Roman" w:hAnsi="Times New Roman" w:cs="Times New Roman"/>
          <w:sz w:val="24"/>
          <w:szCs w:val="24"/>
          <w:lang w:val="en-GB"/>
        </w:rPr>
      </w:pPr>
    </w:p>
    <w:p w14:paraId="737D3CE3" w14:textId="2D47F511" w:rsidR="004D6A63" w:rsidRPr="00861957" w:rsidRDefault="00B34BE3" w:rsidP="00B34BE3">
      <w:pPr>
        <w:pStyle w:val="PlainText"/>
        <w:jc w:val="both"/>
        <w:rPr>
          <w:rFonts w:ascii="Times New Roman" w:hAnsi="Times New Roman" w:cs="Times New Roman"/>
          <w:sz w:val="24"/>
          <w:szCs w:val="24"/>
          <w:lang w:val="en-GB"/>
        </w:rPr>
      </w:pPr>
      <w:r w:rsidRPr="00861957">
        <w:rPr>
          <w:rFonts w:ascii="Times New Roman" w:hAnsi="Times New Roman" w:cs="Times New Roman"/>
          <w:sz w:val="24"/>
          <w:szCs w:val="24"/>
          <w:lang w:val="en-GB"/>
        </w:rPr>
        <w:t xml:space="preserve">The Ministry of Health regulates TB/HIV coordination and the TB response </w:t>
      </w:r>
      <w:r w:rsidR="00DA1EC9" w:rsidRPr="00861957">
        <w:rPr>
          <w:rFonts w:ascii="Times New Roman" w:hAnsi="Times New Roman" w:cs="Times New Roman"/>
          <w:sz w:val="24"/>
          <w:szCs w:val="24"/>
          <w:lang w:val="en-GB"/>
        </w:rPr>
        <w:t xml:space="preserve">in Belarus </w:t>
      </w:r>
      <w:r w:rsidRPr="00861957">
        <w:rPr>
          <w:rFonts w:ascii="Times New Roman" w:hAnsi="Times New Roman" w:cs="Times New Roman"/>
          <w:sz w:val="24"/>
          <w:szCs w:val="24"/>
          <w:lang w:val="en-GB"/>
        </w:rPr>
        <w:t>through the Republican Scientific and Practical Centre fo</w:t>
      </w:r>
      <w:r w:rsidR="00D77169" w:rsidRPr="00861957">
        <w:rPr>
          <w:rFonts w:ascii="Times New Roman" w:hAnsi="Times New Roman" w:cs="Times New Roman"/>
          <w:sz w:val="24"/>
          <w:szCs w:val="24"/>
          <w:lang w:val="en-GB"/>
        </w:rPr>
        <w:t xml:space="preserve">r Pulmonology and Phthisiology </w:t>
      </w:r>
      <w:r w:rsidRPr="00861957">
        <w:rPr>
          <w:rFonts w:ascii="Times New Roman" w:hAnsi="Times New Roman" w:cs="Times New Roman"/>
          <w:sz w:val="24"/>
          <w:szCs w:val="24"/>
          <w:lang w:val="en-GB"/>
        </w:rPr>
        <w:t>in Minsk and regional health departments.</w:t>
      </w:r>
      <w:r w:rsidR="004D6A63" w:rsidRPr="00861957">
        <w:rPr>
          <w:rFonts w:ascii="Times New Roman" w:hAnsi="Times New Roman" w:cs="Times New Roman"/>
          <w:sz w:val="24"/>
          <w:szCs w:val="24"/>
          <w:lang w:val="en-GB"/>
        </w:rPr>
        <w:t xml:space="preserve"> </w:t>
      </w:r>
    </w:p>
    <w:p w14:paraId="2695BA1E" w14:textId="77777777" w:rsidR="004D6A63" w:rsidRPr="00861957" w:rsidRDefault="004D6A63" w:rsidP="00B34BE3">
      <w:pPr>
        <w:pStyle w:val="PlainText"/>
        <w:jc w:val="both"/>
        <w:rPr>
          <w:rFonts w:ascii="Times New Roman" w:hAnsi="Times New Roman" w:cs="Times New Roman"/>
          <w:sz w:val="24"/>
          <w:szCs w:val="24"/>
          <w:lang w:val="en-GB"/>
        </w:rPr>
      </w:pPr>
    </w:p>
    <w:p w14:paraId="5911C8B8" w14:textId="3C915170" w:rsidR="00B34BE3" w:rsidRPr="00861957" w:rsidRDefault="00B34BE3" w:rsidP="00B34BE3">
      <w:pPr>
        <w:pStyle w:val="PlainText"/>
        <w:jc w:val="both"/>
        <w:rPr>
          <w:rFonts w:ascii="Times New Roman" w:hAnsi="Times New Roman" w:cs="Times New Roman"/>
          <w:sz w:val="24"/>
          <w:szCs w:val="24"/>
          <w:lang w:val="en-GB"/>
        </w:rPr>
      </w:pPr>
      <w:r w:rsidRPr="00861957">
        <w:rPr>
          <w:rFonts w:ascii="Times New Roman" w:hAnsi="Times New Roman" w:cs="Times New Roman"/>
          <w:sz w:val="24"/>
          <w:szCs w:val="24"/>
          <w:lang w:val="en-GB"/>
        </w:rPr>
        <w:t xml:space="preserve">Belarus managed to reduce the prevalence of active forms of tuberculosis (TB) per 100,000 people from </w:t>
      </w:r>
      <w:r w:rsidR="00C96934" w:rsidRPr="00861957">
        <w:rPr>
          <w:rFonts w:ascii="Times New Roman" w:hAnsi="Times New Roman" w:cs="Times New Roman"/>
          <w:sz w:val="24"/>
          <w:szCs w:val="24"/>
          <w:lang w:val="en-GB"/>
        </w:rPr>
        <w:t>20</w:t>
      </w:r>
      <w:r w:rsidR="00470795" w:rsidRPr="00861957">
        <w:rPr>
          <w:rFonts w:ascii="Times New Roman" w:hAnsi="Times New Roman" w:cs="Times New Roman"/>
          <w:sz w:val="24"/>
          <w:szCs w:val="24"/>
          <w:lang w:val="en-GB"/>
        </w:rPr>
        <w:t>8</w:t>
      </w:r>
      <w:r w:rsidR="00C96934" w:rsidRPr="00861957">
        <w:rPr>
          <w:rFonts w:ascii="Times New Roman" w:hAnsi="Times New Roman" w:cs="Times New Roman"/>
          <w:sz w:val="24"/>
          <w:szCs w:val="24"/>
          <w:lang w:val="en-GB"/>
        </w:rPr>
        <w:t>.</w:t>
      </w:r>
      <w:r w:rsidR="00470795" w:rsidRPr="00861957">
        <w:rPr>
          <w:rFonts w:ascii="Times New Roman" w:hAnsi="Times New Roman" w:cs="Times New Roman"/>
          <w:sz w:val="24"/>
          <w:szCs w:val="24"/>
          <w:lang w:val="en-GB"/>
        </w:rPr>
        <w:t>4</w:t>
      </w:r>
      <w:r w:rsidRPr="00861957">
        <w:rPr>
          <w:rFonts w:ascii="Times New Roman" w:hAnsi="Times New Roman" w:cs="Times New Roman"/>
          <w:sz w:val="24"/>
          <w:szCs w:val="24"/>
          <w:lang w:val="en-GB"/>
        </w:rPr>
        <w:t xml:space="preserve"> in </w:t>
      </w:r>
      <w:r w:rsidR="00C96934" w:rsidRPr="00861957">
        <w:rPr>
          <w:rFonts w:ascii="Times New Roman" w:hAnsi="Times New Roman" w:cs="Times New Roman"/>
          <w:sz w:val="24"/>
          <w:szCs w:val="24"/>
          <w:lang w:val="en-GB"/>
        </w:rPr>
        <w:t xml:space="preserve">2000 to </w:t>
      </w:r>
      <w:r w:rsidR="00470795" w:rsidRPr="00861957">
        <w:rPr>
          <w:rFonts w:ascii="Times New Roman" w:hAnsi="Times New Roman" w:cs="Times New Roman"/>
          <w:sz w:val="24"/>
          <w:szCs w:val="24"/>
          <w:lang w:val="en-GB"/>
        </w:rPr>
        <w:t>82</w:t>
      </w:r>
      <w:r w:rsidR="00C96934" w:rsidRPr="00861957">
        <w:rPr>
          <w:rFonts w:ascii="Times New Roman" w:hAnsi="Times New Roman" w:cs="Times New Roman"/>
          <w:sz w:val="24"/>
          <w:szCs w:val="24"/>
          <w:lang w:val="en-GB"/>
        </w:rPr>
        <w:t>.</w:t>
      </w:r>
      <w:r w:rsidR="00470795" w:rsidRPr="00861957">
        <w:rPr>
          <w:rFonts w:ascii="Times New Roman" w:hAnsi="Times New Roman" w:cs="Times New Roman"/>
          <w:sz w:val="24"/>
          <w:szCs w:val="24"/>
          <w:lang w:val="en-GB"/>
        </w:rPr>
        <w:t>9</w:t>
      </w:r>
      <w:r w:rsidRPr="00861957">
        <w:rPr>
          <w:rFonts w:ascii="Times New Roman" w:hAnsi="Times New Roman" w:cs="Times New Roman"/>
          <w:sz w:val="24"/>
          <w:szCs w:val="24"/>
          <w:lang w:val="en-GB"/>
        </w:rPr>
        <w:t xml:space="preserve"> in </w:t>
      </w:r>
      <w:r w:rsidR="00C96934" w:rsidRPr="00861957">
        <w:rPr>
          <w:rFonts w:ascii="Times New Roman" w:hAnsi="Times New Roman" w:cs="Times New Roman"/>
          <w:sz w:val="24"/>
          <w:szCs w:val="24"/>
          <w:lang w:val="en-GB"/>
        </w:rPr>
        <w:t>2014</w:t>
      </w:r>
      <w:r w:rsidRPr="00861957">
        <w:rPr>
          <w:rFonts w:ascii="Times New Roman" w:hAnsi="Times New Roman" w:cs="Times New Roman"/>
          <w:sz w:val="24"/>
          <w:szCs w:val="24"/>
          <w:lang w:val="en-GB"/>
        </w:rPr>
        <w:t xml:space="preserve">, but the problem still remains substantial, placing a burden on public health and the national economy. The number of newly diagnosed cases of active tuberculosis of all </w:t>
      </w:r>
      <w:r w:rsidR="00C96934" w:rsidRPr="00861957">
        <w:rPr>
          <w:rFonts w:ascii="Times New Roman" w:hAnsi="Times New Roman" w:cs="Times New Roman"/>
          <w:sz w:val="24"/>
          <w:szCs w:val="24"/>
          <w:lang w:val="en-GB"/>
        </w:rPr>
        <w:t>forms was 3</w:t>
      </w:r>
      <w:r w:rsidR="00470795" w:rsidRPr="00861957">
        <w:rPr>
          <w:rFonts w:ascii="Times New Roman" w:hAnsi="Times New Roman" w:cs="Times New Roman"/>
          <w:sz w:val="24"/>
          <w:szCs w:val="24"/>
          <w:lang w:val="en-GB"/>
        </w:rPr>
        <w:t>4</w:t>
      </w:r>
      <w:r w:rsidR="00C96934" w:rsidRPr="00861957">
        <w:rPr>
          <w:rFonts w:ascii="Times New Roman" w:hAnsi="Times New Roman" w:cs="Times New Roman"/>
          <w:sz w:val="24"/>
          <w:szCs w:val="24"/>
          <w:lang w:val="en-GB"/>
        </w:rPr>
        <w:t>.</w:t>
      </w:r>
      <w:r w:rsidR="00470795" w:rsidRPr="00861957">
        <w:rPr>
          <w:rFonts w:ascii="Times New Roman" w:hAnsi="Times New Roman" w:cs="Times New Roman"/>
          <w:sz w:val="24"/>
          <w:szCs w:val="24"/>
          <w:lang w:val="en-GB"/>
        </w:rPr>
        <w:t>5</w:t>
      </w:r>
      <w:r w:rsidRPr="00861957">
        <w:rPr>
          <w:rFonts w:ascii="Times New Roman" w:hAnsi="Times New Roman" w:cs="Times New Roman"/>
          <w:sz w:val="24"/>
          <w:szCs w:val="24"/>
          <w:lang w:val="en-GB"/>
        </w:rPr>
        <w:t xml:space="preserve"> per 100,000 in </w:t>
      </w:r>
      <w:r w:rsidR="00C96934" w:rsidRPr="00861957">
        <w:rPr>
          <w:rFonts w:ascii="Times New Roman" w:hAnsi="Times New Roman" w:cs="Times New Roman"/>
          <w:sz w:val="24"/>
          <w:szCs w:val="24"/>
          <w:lang w:val="en-GB"/>
        </w:rPr>
        <w:t>2014 (including 2</w:t>
      </w:r>
      <w:r w:rsidR="00470795" w:rsidRPr="00861957">
        <w:rPr>
          <w:rFonts w:ascii="Times New Roman" w:hAnsi="Times New Roman" w:cs="Times New Roman"/>
          <w:sz w:val="24"/>
          <w:szCs w:val="24"/>
          <w:lang w:val="en-GB"/>
        </w:rPr>
        <w:t>8</w:t>
      </w:r>
      <w:r w:rsidR="00C96934" w:rsidRPr="00861957">
        <w:rPr>
          <w:rFonts w:ascii="Times New Roman" w:hAnsi="Times New Roman" w:cs="Times New Roman"/>
          <w:sz w:val="24"/>
          <w:szCs w:val="24"/>
          <w:lang w:val="en-GB"/>
        </w:rPr>
        <w:t>.</w:t>
      </w:r>
      <w:r w:rsidR="00470795" w:rsidRPr="00861957">
        <w:rPr>
          <w:rFonts w:ascii="Times New Roman" w:hAnsi="Times New Roman" w:cs="Times New Roman"/>
          <w:sz w:val="24"/>
          <w:szCs w:val="24"/>
          <w:lang w:val="en-GB"/>
        </w:rPr>
        <w:t>5</w:t>
      </w:r>
      <w:r w:rsidRPr="00861957">
        <w:rPr>
          <w:rFonts w:ascii="Times New Roman" w:hAnsi="Times New Roman" w:cs="Times New Roman"/>
          <w:sz w:val="24"/>
          <w:szCs w:val="24"/>
          <w:lang w:val="en-GB"/>
        </w:rPr>
        <w:t xml:space="preserve"> a</w:t>
      </w:r>
      <w:r w:rsidR="00C96934" w:rsidRPr="00861957">
        <w:rPr>
          <w:rFonts w:ascii="Times New Roman" w:hAnsi="Times New Roman" w:cs="Times New Roman"/>
          <w:sz w:val="24"/>
          <w:szCs w:val="24"/>
          <w:lang w:val="en-GB"/>
        </w:rPr>
        <w:t xml:space="preserve">mong the </w:t>
      </w:r>
      <w:r w:rsidR="00F3282E" w:rsidRPr="00861957">
        <w:rPr>
          <w:rFonts w:ascii="Times New Roman" w:hAnsi="Times New Roman" w:cs="Times New Roman"/>
          <w:sz w:val="24"/>
          <w:szCs w:val="24"/>
          <w:lang w:val="en-GB"/>
        </w:rPr>
        <w:t>urban</w:t>
      </w:r>
      <w:r w:rsidR="00C96934" w:rsidRPr="00861957">
        <w:rPr>
          <w:rFonts w:ascii="Times New Roman" w:hAnsi="Times New Roman" w:cs="Times New Roman"/>
          <w:sz w:val="24"/>
          <w:szCs w:val="24"/>
          <w:lang w:val="en-GB"/>
        </w:rPr>
        <w:t xml:space="preserve"> population and 5</w:t>
      </w:r>
      <w:r w:rsidR="00470795" w:rsidRPr="00861957">
        <w:rPr>
          <w:rFonts w:ascii="Times New Roman" w:hAnsi="Times New Roman" w:cs="Times New Roman"/>
          <w:sz w:val="24"/>
          <w:szCs w:val="24"/>
          <w:lang w:val="en-GB"/>
        </w:rPr>
        <w:t>4</w:t>
      </w:r>
      <w:r w:rsidR="00C96934" w:rsidRPr="00861957">
        <w:rPr>
          <w:rFonts w:ascii="Times New Roman" w:hAnsi="Times New Roman" w:cs="Times New Roman"/>
          <w:sz w:val="24"/>
          <w:szCs w:val="24"/>
          <w:lang w:val="en-GB"/>
        </w:rPr>
        <w:t>.</w:t>
      </w:r>
      <w:r w:rsidR="00470795" w:rsidRPr="00861957">
        <w:rPr>
          <w:rFonts w:ascii="Times New Roman" w:hAnsi="Times New Roman" w:cs="Times New Roman"/>
          <w:sz w:val="24"/>
          <w:szCs w:val="24"/>
          <w:lang w:val="en-GB"/>
        </w:rPr>
        <w:t>6</w:t>
      </w:r>
      <w:r w:rsidRPr="00861957">
        <w:rPr>
          <w:rFonts w:ascii="Times New Roman" w:hAnsi="Times New Roman" w:cs="Times New Roman"/>
          <w:sz w:val="24"/>
          <w:szCs w:val="24"/>
          <w:lang w:val="en-GB"/>
        </w:rPr>
        <w:t xml:space="preserve"> among the rural population).</w:t>
      </w:r>
    </w:p>
    <w:p w14:paraId="1A4E210C" w14:textId="77777777" w:rsidR="004D6A63" w:rsidRPr="00861957" w:rsidRDefault="004D6A63" w:rsidP="00B34BE3">
      <w:pPr>
        <w:pStyle w:val="PlainText"/>
        <w:jc w:val="both"/>
        <w:rPr>
          <w:rFonts w:ascii="Times New Roman" w:hAnsi="Times New Roman" w:cs="Times New Roman"/>
          <w:sz w:val="24"/>
          <w:szCs w:val="24"/>
          <w:lang w:val="en-GB"/>
        </w:rPr>
      </w:pPr>
    </w:p>
    <w:p w14:paraId="425699E8" w14:textId="4D4BFEBA" w:rsidR="003F60E3" w:rsidRPr="00861957" w:rsidRDefault="00B34BE3" w:rsidP="00B34BE3">
      <w:pPr>
        <w:jc w:val="both"/>
      </w:pPr>
      <w:r w:rsidRPr="00861957">
        <w:t>The TB incidence rate (new cases per 100,000 people)</w:t>
      </w:r>
      <w:r w:rsidR="003F60E3" w:rsidRPr="00861957">
        <w:t xml:space="preserve"> </w:t>
      </w:r>
      <w:r w:rsidR="00DA1EC9" w:rsidRPr="00861957">
        <w:t xml:space="preserve">was </w:t>
      </w:r>
      <w:r w:rsidR="003F60E3" w:rsidRPr="00861957">
        <w:t>reduced from 6</w:t>
      </w:r>
      <w:r w:rsidR="00470795" w:rsidRPr="00861957">
        <w:t>1</w:t>
      </w:r>
      <w:r w:rsidR="003F60E3" w:rsidRPr="00861957">
        <w:t>.</w:t>
      </w:r>
      <w:r w:rsidR="00470795" w:rsidRPr="00861957">
        <w:t>7</w:t>
      </w:r>
      <w:r w:rsidR="003F60E3" w:rsidRPr="00861957">
        <w:t xml:space="preserve"> in 2000 to 3</w:t>
      </w:r>
      <w:r w:rsidR="00470795" w:rsidRPr="00861957">
        <w:t>4</w:t>
      </w:r>
      <w:r w:rsidR="003F60E3" w:rsidRPr="00861957">
        <w:t>.</w:t>
      </w:r>
      <w:r w:rsidR="00470795" w:rsidRPr="00861957">
        <w:t>5</w:t>
      </w:r>
      <w:r w:rsidR="003F60E3" w:rsidRPr="00861957">
        <w:t xml:space="preserve"> in 2014</w:t>
      </w:r>
      <w:r w:rsidRPr="00861957">
        <w:t xml:space="preserve">. </w:t>
      </w:r>
      <w:r w:rsidR="00DA1EC9" w:rsidRPr="00861957">
        <w:t>M</w:t>
      </w:r>
      <w:r w:rsidR="004D6A63" w:rsidRPr="00861957">
        <w:t>ortality from TB</w:t>
      </w:r>
      <w:r w:rsidRPr="00861957">
        <w:t xml:space="preserve"> </w:t>
      </w:r>
      <w:r w:rsidR="003F60E3" w:rsidRPr="00861957">
        <w:t>decreased to 4.7</w:t>
      </w:r>
      <w:r w:rsidRPr="00861957">
        <w:t xml:space="preserve"> </w:t>
      </w:r>
      <w:r w:rsidR="004D6A63" w:rsidRPr="00861957">
        <w:t xml:space="preserve">per 100,000 people in </w:t>
      </w:r>
      <w:r w:rsidR="002F19C9" w:rsidRPr="00861957">
        <w:t>2013</w:t>
      </w:r>
      <w:r w:rsidR="003F60E3" w:rsidRPr="00861957">
        <w:t xml:space="preserve">. </w:t>
      </w:r>
      <w:r w:rsidR="004D6A63" w:rsidRPr="00861957">
        <w:t xml:space="preserve">WHO and UNDP will assist the Ministry of Health in reducing the TB incidence rate by 10% and the mortality rate by 5% </w:t>
      </w:r>
      <w:r w:rsidR="00DA1EC9" w:rsidRPr="00861957">
        <w:t>between</w:t>
      </w:r>
      <w:r w:rsidR="003F60E3" w:rsidRPr="00861957">
        <w:t xml:space="preserve"> 2016 </w:t>
      </w:r>
      <w:r w:rsidR="00DA1EC9" w:rsidRPr="00861957">
        <w:t xml:space="preserve">and </w:t>
      </w:r>
      <w:r w:rsidR="003F60E3" w:rsidRPr="00861957">
        <w:t>2020</w:t>
      </w:r>
      <w:r w:rsidR="004D6A63" w:rsidRPr="00861957">
        <w:t xml:space="preserve">, based on the assumption </w:t>
      </w:r>
      <w:r w:rsidR="00DA1EC9" w:rsidRPr="00861957">
        <w:t xml:space="preserve">that the </w:t>
      </w:r>
      <w:r w:rsidR="004D6A63" w:rsidRPr="00861957">
        <w:t xml:space="preserve">expected funding from GFATM </w:t>
      </w:r>
      <w:r w:rsidR="00DA1EC9" w:rsidRPr="00861957">
        <w:t xml:space="preserve">will be </w:t>
      </w:r>
      <w:r w:rsidR="004D6A63" w:rsidRPr="00861957">
        <w:t>available for 2016-2018 to support a project on the implementation of the state programme ‘Tuberculosis’ for 2015-2020.</w:t>
      </w:r>
    </w:p>
    <w:p w14:paraId="0F5B3D3D" w14:textId="77777777" w:rsidR="004D6A63" w:rsidRPr="00861957" w:rsidRDefault="004D6A63" w:rsidP="004D6A63">
      <w:pPr>
        <w:pStyle w:val="PlainText"/>
        <w:jc w:val="both"/>
        <w:rPr>
          <w:rFonts w:ascii="Times New Roman" w:eastAsia="Times New Roman" w:hAnsi="Times New Roman" w:cs="Times New Roman"/>
          <w:sz w:val="24"/>
          <w:szCs w:val="24"/>
          <w:lang w:val="en-GB" w:eastAsia="en-GB"/>
        </w:rPr>
      </w:pPr>
    </w:p>
    <w:p w14:paraId="3A490C7A" w14:textId="534BBCC5" w:rsidR="009D5FE6" w:rsidRPr="00861957" w:rsidRDefault="004D6A63" w:rsidP="007214B0">
      <w:pPr>
        <w:pStyle w:val="PlainText"/>
        <w:jc w:val="both"/>
        <w:rPr>
          <w:rFonts w:ascii="Times New Roman" w:hAnsi="Times New Roman" w:cs="Times New Roman"/>
          <w:sz w:val="24"/>
          <w:szCs w:val="24"/>
          <w:lang w:val="en-GB"/>
        </w:rPr>
      </w:pPr>
      <w:r w:rsidRPr="00861957">
        <w:rPr>
          <w:rFonts w:ascii="Times New Roman" w:hAnsi="Times New Roman" w:cs="Times New Roman"/>
          <w:sz w:val="24"/>
          <w:szCs w:val="24"/>
          <w:lang w:val="en-GB"/>
        </w:rPr>
        <w:t xml:space="preserve">The UN system in Belarus will also provide </w:t>
      </w:r>
      <w:r w:rsidR="00DA1EC9" w:rsidRPr="00861957">
        <w:rPr>
          <w:rFonts w:ascii="Times New Roman" w:hAnsi="Times New Roman" w:cs="Times New Roman"/>
          <w:sz w:val="24"/>
          <w:szCs w:val="24"/>
          <w:lang w:val="en-GB"/>
        </w:rPr>
        <w:t xml:space="preserve">the </w:t>
      </w:r>
      <w:r w:rsidRPr="00861957">
        <w:rPr>
          <w:rFonts w:ascii="Times New Roman" w:hAnsi="Times New Roman" w:cs="Times New Roman"/>
          <w:sz w:val="24"/>
          <w:szCs w:val="24"/>
          <w:lang w:val="en-GB"/>
        </w:rPr>
        <w:t xml:space="preserve">necessary support to increase the coverage </w:t>
      </w:r>
      <w:r w:rsidR="00D16AEE" w:rsidRPr="00861957">
        <w:rPr>
          <w:rFonts w:ascii="Times New Roman" w:hAnsi="Times New Roman" w:cs="Times New Roman"/>
          <w:sz w:val="24"/>
          <w:szCs w:val="24"/>
          <w:lang w:val="en-GB"/>
        </w:rPr>
        <w:t xml:space="preserve">of </w:t>
      </w:r>
      <w:r w:rsidRPr="00861957">
        <w:rPr>
          <w:rFonts w:ascii="Times New Roman" w:hAnsi="Times New Roman" w:cs="Times New Roman"/>
          <w:sz w:val="24"/>
          <w:szCs w:val="24"/>
          <w:lang w:val="en-GB"/>
        </w:rPr>
        <w:t>patients wi</w:t>
      </w:r>
      <w:r w:rsidR="00E37E38" w:rsidRPr="00861957">
        <w:rPr>
          <w:rFonts w:ascii="Times New Roman" w:hAnsi="Times New Roman" w:cs="Times New Roman"/>
          <w:sz w:val="24"/>
          <w:szCs w:val="24"/>
          <w:lang w:val="en-GB"/>
        </w:rPr>
        <w:t xml:space="preserve">th TB/HIV </w:t>
      </w:r>
      <w:r w:rsidR="00D16AEE" w:rsidRPr="00861957">
        <w:rPr>
          <w:rFonts w:ascii="Times New Roman" w:hAnsi="Times New Roman" w:cs="Times New Roman"/>
          <w:sz w:val="24"/>
          <w:szCs w:val="24"/>
          <w:lang w:val="en-GB"/>
        </w:rPr>
        <w:t xml:space="preserve">by ARV treatment </w:t>
      </w:r>
      <w:r w:rsidR="00E37E38" w:rsidRPr="00861957">
        <w:rPr>
          <w:rFonts w:ascii="Times New Roman" w:hAnsi="Times New Roman" w:cs="Times New Roman"/>
          <w:sz w:val="24"/>
          <w:szCs w:val="24"/>
          <w:lang w:val="en-GB"/>
        </w:rPr>
        <w:t>from 67% in 2013 to 90</w:t>
      </w:r>
      <w:r w:rsidRPr="00861957">
        <w:rPr>
          <w:rFonts w:ascii="Times New Roman" w:hAnsi="Times New Roman" w:cs="Times New Roman"/>
          <w:sz w:val="24"/>
          <w:szCs w:val="24"/>
          <w:lang w:val="en-GB"/>
        </w:rPr>
        <w:t xml:space="preserve">% by 2020 and the coverage of PLHIV </w:t>
      </w:r>
      <w:r w:rsidRPr="00861957">
        <w:rPr>
          <w:rFonts w:ascii="Times New Roman" w:hAnsi="Times New Roman"/>
          <w:kern w:val="24"/>
          <w:lang w:val="en-GB"/>
        </w:rPr>
        <w:t>by Isoniazid preventive treatment from 26.3% in 2013 to 75% in 2020.</w:t>
      </w:r>
    </w:p>
    <w:p w14:paraId="1F706A75" w14:textId="77777777" w:rsidR="00C63972" w:rsidRPr="00861957" w:rsidRDefault="00C63972" w:rsidP="007214B0">
      <w:pPr>
        <w:jc w:val="both"/>
        <w:rPr>
          <w:b/>
          <w:bCs/>
        </w:rPr>
      </w:pPr>
    </w:p>
    <w:p w14:paraId="36B0BE94" w14:textId="3F555664" w:rsidR="007214B0" w:rsidRPr="00861957" w:rsidRDefault="00EC3DB9" w:rsidP="007214B0">
      <w:pPr>
        <w:pStyle w:val="PlainText"/>
        <w:jc w:val="both"/>
        <w:rPr>
          <w:rFonts w:ascii="Times New Roman" w:hAnsi="Times New Roman" w:cs="Times New Roman"/>
          <w:sz w:val="24"/>
          <w:szCs w:val="24"/>
          <w:lang w:val="en-GB"/>
        </w:rPr>
      </w:pPr>
      <w:r w:rsidRPr="00861957">
        <w:rPr>
          <w:rFonts w:ascii="Times New Roman" w:hAnsi="Times New Roman" w:cs="Times New Roman"/>
          <w:b/>
          <w:sz w:val="24"/>
          <w:szCs w:val="24"/>
          <w:lang w:val="en-GB"/>
        </w:rPr>
        <w:t>Outcome 4.3</w:t>
      </w:r>
      <w:r w:rsidR="007214B0" w:rsidRPr="00861957">
        <w:rPr>
          <w:rFonts w:ascii="Times New Roman" w:hAnsi="Times New Roman" w:cs="Times New Roman"/>
          <w:b/>
          <w:sz w:val="24"/>
          <w:szCs w:val="24"/>
          <w:lang w:val="en-GB"/>
        </w:rPr>
        <w:t>:</w:t>
      </w:r>
      <w:r w:rsidR="007214B0" w:rsidRPr="00861957">
        <w:rPr>
          <w:rFonts w:ascii="Times New Roman" w:hAnsi="Times New Roman" w:cs="Times New Roman"/>
          <w:sz w:val="24"/>
          <w:szCs w:val="24"/>
          <w:lang w:val="en-GB"/>
        </w:rPr>
        <w:t xml:space="preserve"> </w:t>
      </w:r>
      <w:r w:rsidRPr="00861957">
        <w:rPr>
          <w:rFonts w:ascii="Times New Roman" w:hAnsi="Times New Roman" w:cs="Times New Roman"/>
          <w:sz w:val="24"/>
          <w:szCs w:val="24"/>
          <w:lang w:val="en-GB"/>
        </w:rPr>
        <w:t xml:space="preserve">By 2020, vulnerable groups and the population at large </w:t>
      </w:r>
      <w:r w:rsidR="007411C6" w:rsidRPr="00861957">
        <w:rPr>
          <w:rFonts w:ascii="Times New Roman" w:hAnsi="Times New Roman" w:cs="Times New Roman"/>
          <w:sz w:val="24"/>
          <w:szCs w:val="24"/>
          <w:lang w:val="en-GB"/>
        </w:rPr>
        <w:t xml:space="preserve">will </w:t>
      </w:r>
      <w:r w:rsidRPr="00861957">
        <w:rPr>
          <w:rFonts w:ascii="Times New Roman" w:hAnsi="Times New Roman" w:cs="Times New Roman"/>
          <w:sz w:val="24"/>
          <w:szCs w:val="24"/>
          <w:lang w:val="en-GB"/>
        </w:rPr>
        <w:t xml:space="preserve">have equal access to </w:t>
      </w:r>
      <w:r w:rsidR="007411C6" w:rsidRPr="00861957">
        <w:rPr>
          <w:rFonts w:ascii="Times New Roman" w:hAnsi="Times New Roman" w:cs="Times New Roman"/>
          <w:sz w:val="24"/>
          <w:szCs w:val="24"/>
          <w:lang w:val="en-GB"/>
        </w:rPr>
        <w:t>high-</w:t>
      </w:r>
      <w:r w:rsidRPr="00861957">
        <w:rPr>
          <w:rFonts w:ascii="Times New Roman" w:hAnsi="Times New Roman" w:cs="Times New Roman"/>
          <w:sz w:val="24"/>
          <w:szCs w:val="24"/>
          <w:lang w:val="en-GB"/>
        </w:rPr>
        <w:t>quality health</w:t>
      </w:r>
      <w:r w:rsidR="00D16AEE" w:rsidRPr="00861957">
        <w:rPr>
          <w:rFonts w:ascii="Times New Roman" w:hAnsi="Times New Roman" w:cs="Times New Roman"/>
          <w:sz w:val="24"/>
          <w:szCs w:val="24"/>
          <w:lang w:val="en-GB"/>
        </w:rPr>
        <w:t>care</w:t>
      </w:r>
      <w:r w:rsidRPr="00861957">
        <w:rPr>
          <w:rFonts w:ascii="Times New Roman" w:hAnsi="Times New Roman" w:cs="Times New Roman"/>
          <w:sz w:val="24"/>
          <w:szCs w:val="24"/>
          <w:lang w:val="en-GB"/>
        </w:rPr>
        <w:t>, education and social protection services that effectively address their needs</w:t>
      </w:r>
      <w:r w:rsidR="00D16AEE" w:rsidRPr="00861957">
        <w:rPr>
          <w:rFonts w:ascii="Times New Roman" w:hAnsi="Times New Roman" w:cs="Times New Roman"/>
          <w:sz w:val="24"/>
          <w:szCs w:val="24"/>
          <w:lang w:val="en-GB"/>
        </w:rPr>
        <w:t>.</w:t>
      </w:r>
    </w:p>
    <w:p w14:paraId="358C16D2" w14:textId="77777777" w:rsidR="00510812" w:rsidRPr="00861957" w:rsidRDefault="00510812" w:rsidP="007214B0">
      <w:pPr>
        <w:pStyle w:val="PlainText"/>
        <w:jc w:val="both"/>
        <w:rPr>
          <w:rFonts w:ascii="Times New Roman" w:hAnsi="Times New Roman" w:cs="Times New Roman"/>
          <w:sz w:val="24"/>
          <w:szCs w:val="24"/>
          <w:lang w:val="en-GB"/>
        </w:rPr>
      </w:pPr>
    </w:p>
    <w:p w14:paraId="5A545512" w14:textId="2DC3DDA2" w:rsidR="00227017" w:rsidRPr="00861957" w:rsidRDefault="00D16AEE" w:rsidP="00227017">
      <w:pPr>
        <w:jc w:val="both"/>
      </w:pPr>
      <w:r w:rsidRPr="00861957">
        <w:t>The p</w:t>
      </w:r>
      <w:r w:rsidR="00E25E68" w:rsidRPr="00861957">
        <w:t xml:space="preserve">reservation of </w:t>
      </w:r>
      <w:r w:rsidRPr="00861957">
        <w:t xml:space="preserve">the </w:t>
      </w:r>
      <w:r w:rsidR="00E25E68" w:rsidRPr="00861957">
        <w:t>affordability of education, health</w:t>
      </w:r>
      <w:r w:rsidRPr="00861957">
        <w:t>care</w:t>
      </w:r>
      <w:r w:rsidR="00E25E68" w:rsidRPr="00861957">
        <w:t xml:space="preserve"> and social services is one of the main country priorities for the </w:t>
      </w:r>
      <w:r w:rsidRPr="00861957">
        <w:t xml:space="preserve">coming </w:t>
      </w:r>
      <w:r w:rsidR="00E25E68" w:rsidRPr="00861957">
        <w:t xml:space="preserve">years. </w:t>
      </w:r>
      <w:r w:rsidR="00227017" w:rsidRPr="00861957">
        <w:t>The UN will intensely advocate for</w:t>
      </w:r>
      <w:r w:rsidRPr="00861957">
        <w:t xml:space="preserve"> the</w:t>
      </w:r>
      <w:r w:rsidR="00227017" w:rsidRPr="00861957">
        <w:t xml:space="preserve"> maint</w:t>
      </w:r>
      <w:r w:rsidRPr="00861957">
        <w:t>enance</w:t>
      </w:r>
      <w:r w:rsidR="00227017" w:rsidRPr="00861957">
        <w:t xml:space="preserve"> and expan</w:t>
      </w:r>
      <w:r w:rsidRPr="00861957">
        <w:t>sion</w:t>
      </w:r>
      <w:r w:rsidR="00227017" w:rsidRPr="00861957">
        <w:t xml:space="preserve"> </w:t>
      </w:r>
      <w:r w:rsidRPr="00861957">
        <w:t xml:space="preserve">of </w:t>
      </w:r>
      <w:r w:rsidR="00227017" w:rsidRPr="00861957">
        <w:t xml:space="preserve">the scope of </w:t>
      </w:r>
      <w:r w:rsidRPr="00861957">
        <w:t xml:space="preserve">available </w:t>
      </w:r>
      <w:r w:rsidR="00227017" w:rsidRPr="00861957">
        <w:t>services</w:t>
      </w:r>
      <w:r w:rsidRPr="00861957">
        <w:t xml:space="preserve">, </w:t>
      </w:r>
      <w:r w:rsidR="00227017" w:rsidRPr="00861957">
        <w:t>particularly for families with children</w:t>
      </w:r>
      <w:r w:rsidRPr="00861957">
        <w:t>. It will also</w:t>
      </w:r>
      <w:r w:rsidR="00227017" w:rsidRPr="00861957">
        <w:t xml:space="preserve"> support cost-effective and innovative approaches and call for the applica</w:t>
      </w:r>
      <w:r w:rsidRPr="00861957">
        <w:t>tion of</w:t>
      </w:r>
      <w:r w:rsidR="00227017" w:rsidRPr="00861957">
        <w:t xml:space="preserve"> international best practices.</w:t>
      </w:r>
    </w:p>
    <w:p w14:paraId="70508B1F" w14:textId="77777777" w:rsidR="00227017" w:rsidRPr="00861957" w:rsidRDefault="00227017" w:rsidP="00227017">
      <w:pPr>
        <w:jc w:val="both"/>
        <w:rPr>
          <w:highlight w:val="yellow"/>
        </w:rPr>
      </w:pPr>
    </w:p>
    <w:p w14:paraId="5CF62091" w14:textId="4E732653" w:rsidR="00227017" w:rsidRPr="00861957" w:rsidRDefault="00227017" w:rsidP="00227017">
      <w:pPr>
        <w:jc w:val="both"/>
        <w:rPr>
          <w:color w:val="000000" w:themeColor="text1"/>
          <w:kern w:val="24"/>
        </w:rPr>
      </w:pPr>
      <w:r w:rsidRPr="00861957">
        <w:t xml:space="preserve">To further improve the healthcare system and strengthen its focus on primary healthcare and reproductive health and family planning services, UNICEF and UNFPA will advocate extension of the network of youth-friendly health service centres and will invest funds, time and expertise into raising the proportion of </w:t>
      </w:r>
      <w:r w:rsidRPr="00861957">
        <w:rPr>
          <w:color w:val="000000" w:themeColor="text1"/>
          <w:kern w:val="24"/>
        </w:rPr>
        <w:t>young men and women (aged 14</w:t>
      </w:r>
      <w:r w:rsidR="00CE5BCD" w:rsidRPr="00861957">
        <w:rPr>
          <w:color w:val="000000" w:themeColor="text1"/>
          <w:kern w:val="24"/>
        </w:rPr>
        <w:t>-</w:t>
      </w:r>
      <w:r w:rsidRPr="00861957">
        <w:rPr>
          <w:color w:val="000000" w:themeColor="text1"/>
          <w:kern w:val="24"/>
        </w:rPr>
        <w:t xml:space="preserve">18) </w:t>
      </w:r>
      <w:r w:rsidR="00D16AEE" w:rsidRPr="00861957">
        <w:rPr>
          <w:color w:val="000000" w:themeColor="text1"/>
          <w:kern w:val="24"/>
        </w:rPr>
        <w:t xml:space="preserve">who use </w:t>
      </w:r>
      <w:r w:rsidRPr="00861957">
        <w:rPr>
          <w:color w:val="000000" w:themeColor="text1"/>
          <w:kern w:val="24"/>
        </w:rPr>
        <w:t>such</w:t>
      </w:r>
      <w:r w:rsidR="00E25E68" w:rsidRPr="00861957">
        <w:rPr>
          <w:color w:val="000000" w:themeColor="text1"/>
          <w:kern w:val="24"/>
        </w:rPr>
        <w:t xml:space="preserve"> </w:t>
      </w:r>
      <w:r w:rsidR="00E25E68" w:rsidRPr="00861957">
        <w:t>centres</w:t>
      </w:r>
      <w:r w:rsidRPr="00861957">
        <w:rPr>
          <w:color w:val="000000" w:themeColor="text1"/>
          <w:kern w:val="24"/>
        </w:rPr>
        <w:t xml:space="preserve"> from 5% to 20% by 2020. The population will receive more high-quality data and information on issues of family planning</w:t>
      </w:r>
      <w:r w:rsidR="00D16AEE" w:rsidRPr="00861957">
        <w:rPr>
          <w:color w:val="000000" w:themeColor="text1"/>
          <w:kern w:val="24"/>
        </w:rPr>
        <w:t>,</w:t>
      </w:r>
      <w:r w:rsidRPr="00861957">
        <w:rPr>
          <w:color w:val="000000" w:themeColor="text1"/>
          <w:kern w:val="24"/>
        </w:rPr>
        <w:t xml:space="preserve"> while </w:t>
      </w:r>
      <w:r w:rsidR="00D16AEE" w:rsidRPr="00861957">
        <w:rPr>
          <w:color w:val="000000" w:themeColor="text1"/>
          <w:kern w:val="24"/>
        </w:rPr>
        <w:t xml:space="preserve">the </w:t>
      </w:r>
      <w:r w:rsidRPr="00861957">
        <w:rPr>
          <w:color w:val="000000" w:themeColor="text1"/>
          <w:kern w:val="24"/>
        </w:rPr>
        <w:t xml:space="preserve">capacity of medical staff to provide quality advice in this area will be strengthened. Besides, UNFPA will assist in </w:t>
      </w:r>
      <w:r w:rsidR="00733492" w:rsidRPr="00861957">
        <w:rPr>
          <w:color w:val="000000" w:themeColor="text1"/>
          <w:kern w:val="24"/>
        </w:rPr>
        <w:t xml:space="preserve">the </w:t>
      </w:r>
      <w:r w:rsidRPr="00861957">
        <w:rPr>
          <w:color w:val="000000" w:themeColor="text1"/>
          <w:kern w:val="24"/>
        </w:rPr>
        <w:t xml:space="preserve">development and adoption of </w:t>
      </w:r>
      <w:r w:rsidR="00733492" w:rsidRPr="00861957">
        <w:rPr>
          <w:color w:val="000000" w:themeColor="text1"/>
          <w:kern w:val="24"/>
        </w:rPr>
        <w:t xml:space="preserve">a </w:t>
      </w:r>
      <w:r w:rsidRPr="00861957">
        <w:rPr>
          <w:color w:val="000000" w:themeColor="dark1"/>
          <w:kern w:val="24"/>
        </w:rPr>
        <w:t xml:space="preserve">National Reproductive Health Concept at </w:t>
      </w:r>
      <w:r w:rsidR="00733492" w:rsidRPr="00861957">
        <w:rPr>
          <w:color w:val="000000" w:themeColor="dark1"/>
          <w:kern w:val="24"/>
        </w:rPr>
        <w:t>the</w:t>
      </w:r>
      <w:r w:rsidRPr="00861957">
        <w:rPr>
          <w:color w:val="000000" w:themeColor="dark1"/>
          <w:kern w:val="24"/>
        </w:rPr>
        <w:t xml:space="preserve"> national level and the revision of </w:t>
      </w:r>
      <w:r w:rsidR="00733492" w:rsidRPr="00861957">
        <w:rPr>
          <w:color w:val="000000" w:themeColor="dark1"/>
          <w:kern w:val="24"/>
        </w:rPr>
        <w:t xml:space="preserve">existing </w:t>
      </w:r>
      <w:r w:rsidRPr="00861957">
        <w:rPr>
          <w:color w:val="000000" w:themeColor="dark1"/>
          <w:kern w:val="24"/>
        </w:rPr>
        <w:t>protocols related to sexual and reproductive health.</w:t>
      </w:r>
    </w:p>
    <w:p w14:paraId="694C41B3" w14:textId="77777777" w:rsidR="00227017" w:rsidRPr="00861957" w:rsidRDefault="00227017" w:rsidP="00227017">
      <w:pPr>
        <w:pStyle w:val="PlainText"/>
        <w:jc w:val="both"/>
        <w:rPr>
          <w:rFonts w:ascii="Times New Roman" w:hAnsi="Times New Roman" w:cs="Times New Roman"/>
          <w:sz w:val="24"/>
          <w:szCs w:val="24"/>
          <w:lang w:val="en-GB"/>
        </w:rPr>
      </w:pPr>
    </w:p>
    <w:p w14:paraId="2D8166DD" w14:textId="32921EE3" w:rsidR="00227017" w:rsidRPr="00861957" w:rsidRDefault="00E25E68" w:rsidP="000E6238">
      <w:pPr>
        <w:jc w:val="both"/>
      </w:pPr>
      <w:r w:rsidRPr="00861957">
        <w:t>Enhanced s</w:t>
      </w:r>
      <w:r w:rsidR="00227017" w:rsidRPr="00861957">
        <w:t>exual education</w:t>
      </w:r>
      <w:r w:rsidRPr="00861957">
        <w:t xml:space="preserve"> among young people </w:t>
      </w:r>
      <w:r w:rsidR="00733492" w:rsidRPr="00861957">
        <w:t xml:space="preserve">about </w:t>
      </w:r>
      <w:r w:rsidRPr="00861957">
        <w:t xml:space="preserve">safe sexual behaviour, modern methods of contraception and </w:t>
      </w:r>
      <w:r w:rsidR="00733492" w:rsidRPr="00861957">
        <w:t xml:space="preserve">the </w:t>
      </w:r>
      <w:r w:rsidRPr="00861957">
        <w:t>use of condoms</w:t>
      </w:r>
      <w:r w:rsidR="00227017" w:rsidRPr="00861957">
        <w:t xml:space="preserve"> </w:t>
      </w:r>
      <w:r w:rsidR="00733492" w:rsidRPr="00861957">
        <w:t xml:space="preserve">is </w:t>
      </w:r>
      <w:r w:rsidR="00227017" w:rsidRPr="00861957">
        <w:t xml:space="preserve">considered to be </w:t>
      </w:r>
      <w:r w:rsidR="00733492" w:rsidRPr="00861957">
        <w:t xml:space="preserve">an </w:t>
      </w:r>
      <w:r w:rsidR="00227017" w:rsidRPr="00861957">
        <w:t>important</w:t>
      </w:r>
      <w:r w:rsidRPr="00861957">
        <w:t xml:space="preserve"> factor</w:t>
      </w:r>
      <w:r w:rsidR="00227017" w:rsidRPr="00861957">
        <w:t xml:space="preserve"> </w:t>
      </w:r>
      <w:r w:rsidR="00733492" w:rsidRPr="00861957">
        <w:t>in the</w:t>
      </w:r>
      <w:r w:rsidR="00227017" w:rsidRPr="00861957">
        <w:t xml:space="preserve"> prevent</w:t>
      </w:r>
      <w:r w:rsidR="00733492" w:rsidRPr="00861957">
        <w:t>ion</w:t>
      </w:r>
      <w:r w:rsidRPr="00861957">
        <w:t xml:space="preserve"> </w:t>
      </w:r>
      <w:r w:rsidR="00733492" w:rsidRPr="00861957">
        <w:t xml:space="preserve">of </w:t>
      </w:r>
      <w:r w:rsidRPr="00861957">
        <w:t>unintended pregnancies</w:t>
      </w:r>
      <w:r w:rsidR="00733492" w:rsidRPr="00861957">
        <w:t xml:space="preserve"> and the </w:t>
      </w:r>
      <w:r w:rsidR="00227017" w:rsidRPr="00861957">
        <w:t>sexual transmission of HIV and other sexually transmitted infections (STIs). UNICEF and UNFPA will provide support in increasing the prevalence of modern methods of contraception from 51.2% to 58% and reducing the number of pregnancies and abortions per 1,000 adolescents aged 15-19 by 25% by 2020.</w:t>
      </w:r>
    </w:p>
    <w:p w14:paraId="58540945" w14:textId="77777777" w:rsidR="00227017" w:rsidRPr="00861957" w:rsidRDefault="00227017" w:rsidP="000E6238">
      <w:pPr>
        <w:jc w:val="both"/>
      </w:pPr>
    </w:p>
    <w:p w14:paraId="2AF485DE" w14:textId="1A56AD15" w:rsidR="00F80258" w:rsidRPr="00861957" w:rsidRDefault="00F80258" w:rsidP="000E6238">
      <w:pPr>
        <w:jc w:val="both"/>
      </w:pPr>
      <w:r w:rsidRPr="00861957">
        <w:lastRenderedPageBreak/>
        <w:t xml:space="preserve">The focus of </w:t>
      </w:r>
      <w:r w:rsidR="00733492" w:rsidRPr="00861957">
        <w:t xml:space="preserve">the </w:t>
      </w:r>
      <w:r w:rsidRPr="00861957">
        <w:t>UN’s programme support and advocacy is on the most vulnerable population groups</w:t>
      </w:r>
      <w:r w:rsidR="00733492" w:rsidRPr="00861957">
        <w:t>,</w:t>
      </w:r>
      <w:r w:rsidRPr="00861957">
        <w:t xml:space="preserve"> such as</w:t>
      </w:r>
      <w:r w:rsidR="00733492" w:rsidRPr="00861957">
        <w:t>:</w:t>
      </w:r>
      <w:r w:rsidRPr="00861957">
        <w:t xml:space="preserve"> people with disabilities; children deprived of parental care; juveniles in contact with the law (victims, witnesses); children and women survivors and witnesses of violence; adolescents practi</w:t>
      </w:r>
      <w:r w:rsidR="00733492" w:rsidRPr="00861957">
        <w:t>s</w:t>
      </w:r>
      <w:r w:rsidRPr="00861957">
        <w:t>ing risky behaviour</w:t>
      </w:r>
      <w:r w:rsidR="00733492" w:rsidRPr="00861957">
        <w:t>;</w:t>
      </w:r>
      <w:r w:rsidRPr="00861957">
        <w:t xml:space="preserve"> and people living with HIV/AIDS.</w:t>
      </w:r>
      <w:r w:rsidR="00501C3F" w:rsidRPr="00861957">
        <w:t xml:space="preserve"> To reduce stigma and persistent negative perceptions in society towards people with disabilities, people living with HIV/AIDS, children in conflict with the law and </w:t>
      </w:r>
      <w:r w:rsidR="00733492" w:rsidRPr="00861957">
        <w:t xml:space="preserve">people </w:t>
      </w:r>
      <w:r w:rsidR="00501C3F" w:rsidRPr="00861957">
        <w:t>practi</w:t>
      </w:r>
      <w:r w:rsidR="00733492" w:rsidRPr="00861957">
        <w:t>s</w:t>
      </w:r>
      <w:r w:rsidR="00501C3F" w:rsidRPr="00861957">
        <w:t>ing risky behaviour, the UN along with other partners will provide support to facilitate behaviour</w:t>
      </w:r>
      <w:r w:rsidR="007D5560" w:rsidRPr="00861957">
        <w:t>al</w:t>
      </w:r>
      <w:r w:rsidR="00501C3F" w:rsidRPr="00861957">
        <w:t xml:space="preserve"> and social change,</w:t>
      </w:r>
      <w:r w:rsidR="00E25E68" w:rsidRPr="00861957">
        <w:t xml:space="preserve"> as well as</w:t>
      </w:r>
      <w:r w:rsidR="00501C3F" w:rsidRPr="00861957">
        <w:t xml:space="preserve"> </w:t>
      </w:r>
      <w:r w:rsidR="00733492" w:rsidRPr="00861957">
        <w:t xml:space="preserve">to </w:t>
      </w:r>
      <w:r w:rsidR="00501C3F" w:rsidRPr="00861957">
        <w:t>transform</w:t>
      </w:r>
      <w:r w:rsidR="007D5560" w:rsidRPr="00861957">
        <w:t xml:space="preserve"> social norms that stigmati</w:t>
      </w:r>
      <w:r w:rsidR="000F002C" w:rsidRPr="00861957">
        <w:t>z</w:t>
      </w:r>
      <w:r w:rsidR="00733492" w:rsidRPr="00861957">
        <w:t>e</w:t>
      </w:r>
      <w:r w:rsidR="00501C3F" w:rsidRPr="00861957">
        <w:t xml:space="preserve"> vulnerable </w:t>
      </w:r>
      <w:r w:rsidR="00733492" w:rsidRPr="00861957">
        <w:t xml:space="preserve">population </w:t>
      </w:r>
      <w:r w:rsidR="00501C3F" w:rsidRPr="00861957">
        <w:t>groups.</w:t>
      </w:r>
    </w:p>
    <w:p w14:paraId="01C05B69" w14:textId="77777777" w:rsidR="00862A18" w:rsidRPr="00861957" w:rsidRDefault="00862A18" w:rsidP="00C63972">
      <w:pPr>
        <w:jc w:val="both"/>
      </w:pPr>
    </w:p>
    <w:p w14:paraId="4B7F82BE" w14:textId="1B19659A" w:rsidR="00A035A7" w:rsidRPr="00861957" w:rsidRDefault="002E24E6" w:rsidP="00A035A7">
      <w:pPr>
        <w:jc w:val="both"/>
      </w:pPr>
      <w:r w:rsidRPr="00861957">
        <w:t xml:space="preserve">As of 1 January </w:t>
      </w:r>
      <w:r w:rsidR="002F19C9" w:rsidRPr="00861957">
        <w:t>2014, Belarus had 1,761.3 thousand children (18.6</w:t>
      </w:r>
      <w:r w:rsidRPr="00861957">
        <w:t>% of the total population)</w:t>
      </w:r>
      <w:r w:rsidR="00733492" w:rsidRPr="00861957">
        <w:t>,</w:t>
      </w:r>
      <w:r w:rsidR="002F19C9" w:rsidRPr="00861957">
        <w:t xml:space="preserve"> </w:t>
      </w:r>
      <w:r w:rsidR="00E25E68" w:rsidRPr="00861957">
        <w:t xml:space="preserve">among </w:t>
      </w:r>
      <w:r w:rsidR="00733492" w:rsidRPr="00861957">
        <w:t xml:space="preserve">whom were </w:t>
      </w:r>
      <w:r w:rsidR="002F19C9" w:rsidRPr="00861957">
        <w:t>2</w:t>
      </w:r>
      <w:r w:rsidR="009B4450" w:rsidRPr="009B4450">
        <w:rPr>
          <w:lang w:val="en-US"/>
        </w:rPr>
        <w:t>2</w:t>
      </w:r>
      <w:r w:rsidR="002F19C9" w:rsidRPr="00861957">
        <w:t>.1 thousand</w:t>
      </w:r>
      <w:r w:rsidRPr="00861957">
        <w:t xml:space="preserve"> orp</w:t>
      </w:r>
      <w:r w:rsidR="002F19C9" w:rsidRPr="00861957">
        <w:t>haned children</w:t>
      </w:r>
      <w:r w:rsidR="00733492" w:rsidRPr="00861957">
        <w:t xml:space="preserve">, of </w:t>
      </w:r>
      <w:r w:rsidR="00E25E68" w:rsidRPr="00861957">
        <w:t xml:space="preserve">whom </w:t>
      </w:r>
      <w:r w:rsidR="009B4450" w:rsidRPr="009B4450">
        <w:rPr>
          <w:lang w:val="en-US"/>
        </w:rPr>
        <w:t>17</w:t>
      </w:r>
      <w:r w:rsidR="002F19C9" w:rsidRPr="00861957">
        <w:t>.</w:t>
      </w:r>
      <w:r w:rsidR="009B4450" w:rsidRPr="009B4450">
        <w:rPr>
          <w:lang w:val="en-US"/>
        </w:rPr>
        <w:t>8</w:t>
      </w:r>
      <w:r w:rsidR="002F19C9" w:rsidRPr="00861957">
        <w:t xml:space="preserve"> thousand (8</w:t>
      </w:r>
      <w:r w:rsidR="009B4450" w:rsidRPr="009B4450">
        <w:rPr>
          <w:lang w:val="en-US"/>
        </w:rPr>
        <w:t>0</w:t>
      </w:r>
      <w:r w:rsidR="002F19C9" w:rsidRPr="00861957">
        <w:t>.</w:t>
      </w:r>
      <w:r w:rsidR="009B4450" w:rsidRPr="009B4450">
        <w:rPr>
          <w:lang w:val="en-US"/>
        </w:rPr>
        <w:t>3</w:t>
      </w:r>
      <w:r w:rsidRPr="00861957">
        <w:t xml:space="preserve">%) were </w:t>
      </w:r>
      <w:r w:rsidR="002F19C9" w:rsidRPr="00861957">
        <w:t xml:space="preserve">brought up in families and </w:t>
      </w:r>
      <w:r w:rsidR="009B4450" w:rsidRPr="009B4450">
        <w:rPr>
          <w:lang w:val="en-US"/>
        </w:rPr>
        <w:t>4</w:t>
      </w:r>
      <w:r w:rsidR="002F19C9" w:rsidRPr="00861957">
        <w:t>.</w:t>
      </w:r>
      <w:r w:rsidR="009B4450" w:rsidRPr="009B4450">
        <w:rPr>
          <w:lang w:val="en-US"/>
        </w:rPr>
        <w:t>4</w:t>
      </w:r>
      <w:r w:rsidR="002F19C9" w:rsidRPr="00861957">
        <w:t xml:space="preserve"> thousand (1</w:t>
      </w:r>
      <w:r w:rsidR="009B4450" w:rsidRPr="009B4450">
        <w:rPr>
          <w:lang w:val="en-US"/>
        </w:rPr>
        <w:t>9</w:t>
      </w:r>
      <w:r w:rsidR="002F19C9" w:rsidRPr="00861957">
        <w:t>.</w:t>
      </w:r>
      <w:r w:rsidR="009B4450" w:rsidRPr="009B4450">
        <w:rPr>
          <w:lang w:val="en-US"/>
        </w:rPr>
        <w:t>7</w:t>
      </w:r>
      <w:r w:rsidRPr="00861957">
        <w:t xml:space="preserve">%) were brought up in residential care institutions (a decrease from 41.5% in 2005). </w:t>
      </w:r>
      <w:r w:rsidR="002F19C9" w:rsidRPr="00861957">
        <w:rPr>
          <w:color w:val="000000"/>
        </w:rPr>
        <w:t>At the end of 2013, 20.7 thousand</w:t>
      </w:r>
      <w:r w:rsidR="00A035A7" w:rsidRPr="00861957">
        <w:rPr>
          <w:color w:val="000000"/>
        </w:rPr>
        <w:t xml:space="preserve"> children were recogni</w:t>
      </w:r>
      <w:r w:rsidR="000F002C" w:rsidRPr="00861957">
        <w:rPr>
          <w:color w:val="000000"/>
        </w:rPr>
        <w:t>z</w:t>
      </w:r>
      <w:r w:rsidR="00A035A7" w:rsidRPr="00861957">
        <w:rPr>
          <w:color w:val="000000"/>
        </w:rPr>
        <w:t>ed as being at social risk due to their families’ d</w:t>
      </w:r>
      <w:r w:rsidR="009F4C5F" w:rsidRPr="00861957">
        <w:rPr>
          <w:color w:val="000000"/>
        </w:rPr>
        <w:t>y</w:t>
      </w:r>
      <w:r w:rsidR="00A035A7" w:rsidRPr="00861957">
        <w:rPr>
          <w:color w:val="000000"/>
        </w:rPr>
        <w:t xml:space="preserve">sfunctionality </w:t>
      </w:r>
      <w:r w:rsidR="009F4C5F" w:rsidRPr="00861957">
        <w:rPr>
          <w:color w:val="000000"/>
        </w:rPr>
        <w:t xml:space="preserve">resulting from </w:t>
      </w:r>
      <w:r w:rsidR="00A035A7" w:rsidRPr="00861957">
        <w:rPr>
          <w:color w:val="000000"/>
        </w:rPr>
        <w:t>alcohol and substance abuse</w:t>
      </w:r>
      <w:r w:rsidR="00E25E68" w:rsidRPr="00861957">
        <w:rPr>
          <w:color w:val="000000"/>
        </w:rPr>
        <w:t xml:space="preserve"> by parents</w:t>
      </w:r>
      <w:r w:rsidR="00A035A7" w:rsidRPr="00861957">
        <w:rPr>
          <w:color w:val="000000"/>
        </w:rPr>
        <w:t xml:space="preserve">. Children </w:t>
      </w:r>
      <w:r w:rsidR="00E25E68" w:rsidRPr="00861957">
        <w:rPr>
          <w:color w:val="000000"/>
        </w:rPr>
        <w:t xml:space="preserve">often </w:t>
      </w:r>
      <w:r w:rsidR="00A035A7" w:rsidRPr="00861957">
        <w:rPr>
          <w:color w:val="000000"/>
        </w:rPr>
        <w:t xml:space="preserve">become social orphans </w:t>
      </w:r>
      <w:r w:rsidR="00E25E68" w:rsidRPr="00861957">
        <w:rPr>
          <w:color w:val="000000"/>
        </w:rPr>
        <w:t>because</w:t>
      </w:r>
      <w:r w:rsidR="00A035A7" w:rsidRPr="00861957">
        <w:rPr>
          <w:color w:val="000000"/>
        </w:rPr>
        <w:t xml:space="preserve"> their parents are deprived of parental rights.</w:t>
      </w:r>
    </w:p>
    <w:p w14:paraId="75C78452" w14:textId="77777777" w:rsidR="00A035A7" w:rsidRPr="00861957" w:rsidRDefault="00A035A7" w:rsidP="00A035A7">
      <w:pPr>
        <w:jc w:val="both"/>
        <w:rPr>
          <w:rFonts w:cs="Calibri"/>
          <w:color w:val="000000"/>
        </w:rPr>
      </w:pPr>
    </w:p>
    <w:p w14:paraId="022C31B5" w14:textId="052E7343" w:rsidR="00501C3F" w:rsidRPr="00861957" w:rsidRDefault="009F4C5F" w:rsidP="00A035A7">
      <w:pPr>
        <w:jc w:val="both"/>
        <w:rPr>
          <w:rFonts w:cs="Calibri"/>
          <w:color w:val="000000"/>
        </w:rPr>
      </w:pPr>
      <w:r w:rsidRPr="00861957">
        <w:rPr>
          <w:rFonts w:cs="Calibri"/>
          <w:color w:val="000000"/>
        </w:rPr>
        <w:t>The s</w:t>
      </w:r>
      <w:r w:rsidR="00A035A7" w:rsidRPr="00861957">
        <w:rPr>
          <w:rFonts w:cs="Calibri"/>
          <w:color w:val="000000"/>
        </w:rPr>
        <w:t xml:space="preserve">trong commitment </w:t>
      </w:r>
      <w:r w:rsidRPr="00861957">
        <w:rPr>
          <w:rFonts w:cs="Calibri"/>
          <w:color w:val="000000"/>
        </w:rPr>
        <w:t xml:space="preserve">of the Government </w:t>
      </w:r>
      <w:r w:rsidR="00A035A7" w:rsidRPr="00861957">
        <w:rPr>
          <w:rFonts w:cs="Calibri"/>
          <w:color w:val="000000"/>
        </w:rPr>
        <w:t>to de-institutionali</w:t>
      </w:r>
      <w:r w:rsidR="000F002C" w:rsidRPr="00861957">
        <w:rPr>
          <w:rFonts w:cs="Calibri"/>
          <w:color w:val="000000"/>
        </w:rPr>
        <w:t>z</w:t>
      </w:r>
      <w:r w:rsidR="00A035A7" w:rsidRPr="00861957">
        <w:rPr>
          <w:rFonts w:cs="Calibri"/>
          <w:color w:val="000000"/>
        </w:rPr>
        <w:t xml:space="preserve">ation </w:t>
      </w:r>
      <w:r w:rsidRPr="00861957">
        <w:rPr>
          <w:rFonts w:cs="Calibri"/>
          <w:color w:val="000000"/>
        </w:rPr>
        <w:t xml:space="preserve">has </w:t>
      </w:r>
      <w:r w:rsidR="00A035A7" w:rsidRPr="00861957">
        <w:rPr>
          <w:rFonts w:cs="Calibri"/>
          <w:color w:val="000000"/>
        </w:rPr>
        <w:t xml:space="preserve">resulted in </w:t>
      </w:r>
      <w:r w:rsidRPr="00861957">
        <w:rPr>
          <w:rFonts w:cs="Calibri"/>
          <w:color w:val="000000"/>
        </w:rPr>
        <w:t xml:space="preserve">a </w:t>
      </w:r>
      <w:r w:rsidR="00A035A7" w:rsidRPr="00861957">
        <w:rPr>
          <w:rFonts w:cs="Calibri"/>
          <w:color w:val="000000"/>
        </w:rPr>
        <w:t>reduc</w:t>
      </w:r>
      <w:r w:rsidRPr="00861957">
        <w:rPr>
          <w:rFonts w:cs="Calibri"/>
          <w:color w:val="000000"/>
        </w:rPr>
        <w:t>tion</w:t>
      </w:r>
      <w:r w:rsidR="00A035A7" w:rsidRPr="00861957">
        <w:rPr>
          <w:rFonts w:cs="Calibri"/>
          <w:color w:val="000000"/>
        </w:rPr>
        <w:t xml:space="preserve"> </w:t>
      </w:r>
      <w:r w:rsidRPr="00861957">
        <w:rPr>
          <w:rFonts w:cs="Calibri"/>
          <w:color w:val="000000"/>
        </w:rPr>
        <w:t xml:space="preserve">in </w:t>
      </w:r>
      <w:r w:rsidR="00A035A7" w:rsidRPr="00861957">
        <w:rPr>
          <w:rFonts w:cs="Calibri"/>
          <w:color w:val="000000"/>
        </w:rPr>
        <w:t xml:space="preserve">the number of orphans and children deprived of parental care </w:t>
      </w:r>
      <w:r w:rsidRPr="00861957">
        <w:rPr>
          <w:rFonts w:cs="Calibri"/>
          <w:color w:val="000000"/>
        </w:rPr>
        <w:t xml:space="preserve">who are </w:t>
      </w:r>
      <w:r w:rsidR="00A035A7" w:rsidRPr="00861957">
        <w:rPr>
          <w:rFonts w:cs="Calibri"/>
          <w:color w:val="000000"/>
        </w:rPr>
        <w:t>raised in res</w:t>
      </w:r>
      <w:r w:rsidR="002F19C9" w:rsidRPr="00861957">
        <w:rPr>
          <w:rFonts w:cs="Calibri"/>
          <w:color w:val="000000"/>
        </w:rPr>
        <w:t>idential care institutions by 5</w:t>
      </w:r>
      <w:r w:rsidR="009B4450" w:rsidRPr="009B4450">
        <w:rPr>
          <w:rFonts w:cs="Calibri"/>
          <w:color w:val="000000"/>
          <w:lang w:val="en-US"/>
        </w:rPr>
        <w:t>3</w:t>
      </w:r>
      <w:r w:rsidR="00A035A7" w:rsidRPr="00861957">
        <w:rPr>
          <w:rFonts w:cs="Calibri"/>
          <w:color w:val="000000"/>
        </w:rPr>
        <w:t xml:space="preserve">% </w:t>
      </w:r>
      <w:r w:rsidRPr="00861957">
        <w:rPr>
          <w:rFonts w:cs="Calibri"/>
          <w:color w:val="000000"/>
        </w:rPr>
        <w:t xml:space="preserve">between </w:t>
      </w:r>
      <w:r w:rsidR="00A035A7" w:rsidRPr="00861957">
        <w:rPr>
          <w:rFonts w:cs="Calibri"/>
          <w:color w:val="000000"/>
        </w:rPr>
        <w:t xml:space="preserve">2005 </w:t>
      </w:r>
      <w:r w:rsidRPr="00861957">
        <w:rPr>
          <w:rFonts w:cs="Calibri"/>
          <w:color w:val="000000"/>
        </w:rPr>
        <w:t xml:space="preserve">and </w:t>
      </w:r>
      <w:r w:rsidR="002F19C9" w:rsidRPr="00861957">
        <w:rPr>
          <w:rFonts w:cs="Calibri"/>
          <w:color w:val="000000"/>
        </w:rPr>
        <w:t>201</w:t>
      </w:r>
      <w:r w:rsidR="009B4450" w:rsidRPr="009B4450">
        <w:rPr>
          <w:rFonts w:cs="Calibri"/>
          <w:color w:val="000000"/>
          <w:lang w:val="en-US"/>
        </w:rPr>
        <w:t>4</w:t>
      </w:r>
      <w:r w:rsidRPr="00861957">
        <w:rPr>
          <w:rFonts w:cs="Calibri"/>
          <w:color w:val="000000"/>
        </w:rPr>
        <w:t>.</w:t>
      </w:r>
      <w:r w:rsidR="00E25E68" w:rsidRPr="00861957">
        <w:rPr>
          <w:rFonts w:cs="Calibri"/>
          <w:color w:val="000000"/>
        </w:rPr>
        <w:t xml:space="preserve"> </w:t>
      </w:r>
      <w:r w:rsidRPr="00861957">
        <w:rPr>
          <w:rFonts w:cs="Calibri"/>
          <w:color w:val="000000"/>
        </w:rPr>
        <w:t xml:space="preserve">This </w:t>
      </w:r>
      <w:r w:rsidR="00E25E68" w:rsidRPr="00861957">
        <w:rPr>
          <w:rFonts w:cs="Calibri"/>
          <w:color w:val="000000"/>
        </w:rPr>
        <w:t>proves that the country took into account</w:t>
      </w:r>
      <w:r w:rsidR="00A035A7" w:rsidRPr="00861957">
        <w:rPr>
          <w:rFonts w:cs="Calibri"/>
          <w:color w:val="000000"/>
        </w:rPr>
        <w:t xml:space="preserve"> </w:t>
      </w:r>
      <w:r w:rsidR="007F4F2E" w:rsidRPr="00861957">
        <w:rPr>
          <w:rFonts w:cs="Calibri"/>
          <w:color w:val="000000"/>
        </w:rPr>
        <w:t>UPR recommendation 97.35</w:t>
      </w:r>
      <w:r w:rsidR="00574528" w:rsidRPr="00861957">
        <w:rPr>
          <w:rFonts w:cs="Calibri"/>
          <w:color w:val="000000"/>
        </w:rPr>
        <w:t>.</w:t>
      </w:r>
      <w:r w:rsidR="00574528" w:rsidRPr="00861957">
        <w:t xml:space="preserve"> </w:t>
      </w:r>
      <w:r w:rsidR="00574528" w:rsidRPr="00861957">
        <w:rPr>
          <w:rFonts w:cs="Calibri"/>
          <w:color w:val="000000"/>
        </w:rPr>
        <w:t>The diversity of family-type arrangements (adoption, custody, foster family, family-type children’s home) significantly enlarges the</w:t>
      </w:r>
      <w:r w:rsidRPr="00861957">
        <w:rPr>
          <w:rFonts w:cs="Calibri"/>
          <w:color w:val="000000"/>
        </w:rPr>
        <w:t xml:space="preserve"> ways of</w:t>
      </w:r>
      <w:r w:rsidR="00574528" w:rsidRPr="00861957">
        <w:rPr>
          <w:rFonts w:cs="Calibri"/>
          <w:color w:val="000000"/>
        </w:rPr>
        <w:t xml:space="preserve"> fulfill</w:t>
      </w:r>
      <w:r w:rsidRPr="00861957">
        <w:rPr>
          <w:rFonts w:cs="Calibri"/>
          <w:color w:val="000000"/>
        </w:rPr>
        <w:t>ing</w:t>
      </w:r>
      <w:r w:rsidR="00574528" w:rsidRPr="00861957">
        <w:rPr>
          <w:rFonts w:cs="Calibri"/>
          <w:color w:val="000000"/>
        </w:rPr>
        <w:t xml:space="preserve"> the right of the child </w:t>
      </w:r>
      <w:r w:rsidRPr="00861957">
        <w:rPr>
          <w:rFonts w:cs="Calibri"/>
          <w:color w:val="000000"/>
        </w:rPr>
        <w:t xml:space="preserve">to </w:t>
      </w:r>
      <w:r w:rsidR="00574528" w:rsidRPr="00861957">
        <w:rPr>
          <w:rFonts w:cs="Calibri"/>
          <w:color w:val="000000"/>
        </w:rPr>
        <w:t>a family environment.</w:t>
      </w:r>
      <w:r w:rsidR="00501C3F" w:rsidRPr="00861957">
        <w:rPr>
          <w:rFonts w:cs="Calibri"/>
          <w:color w:val="000000"/>
        </w:rPr>
        <w:t xml:space="preserve"> Special efforts will be dedicated to strengthening the national child protection system </w:t>
      </w:r>
      <w:r w:rsidRPr="00861957">
        <w:rPr>
          <w:rFonts w:cs="Calibri"/>
          <w:color w:val="000000"/>
        </w:rPr>
        <w:t xml:space="preserve">by </w:t>
      </w:r>
      <w:r w:rsidR="00E25E68" w:rsidRPr="00861957">
        <w:rPr>
          <w:rFonts w:cs="Calibri"/>
          <w:color w:val="000000"/>
        </w:rPr>
        <w:t>further</w:t>
      </w:r>
      <w:r w:rsidR="00501C3F" w:rsidRPr="00861957">
        <w:rPr>
          <w:rFonts w:cs="Calibri"/>
          <w:color w:val="000000"/>
        </w:rPr>
        <w:t xml:space="preserve"> refining the national de-institutionali</w:t>
      </w:r>
      <w:r w:rsidR="000F002C" w:rsidRPr="00861957">
        <w:rPr>
          <w:rFonts w:cs="Calibri"/>
          <w:color w:val="000000"/>
        </w:rPr>
        <w:t>z</w:t>
      </w:r>
      <w:r w:rsidR="00501C3F" w:rsidRPr="00861957">
        <w:rPr>
          <w:rFonts w:cs="Calibri"/>
          <w:color w:val="000000"/>
        </w:rPr>
        <w:t>ation policy, develop</w:t>
      </w:r>
      <w:r w:rsidRPr="00861957">
        <w:rPr>
          <w:rFonts w:cs="Calibri"/>
          <w:color w:val="000000"/>
        </w:rPr>
        <w:t>ing the capacity</w:t>
      </w:r>
      <w:r w:rsidR="00501C3F" w:rsidRPr="00861957">
        <w:rPr>
          <w:rFonts w:cs="Calibri"/>
          <w:color w:val="000000"/>
        </w:rPr>
        <w:t xml:space="preserve"> of professionals and enhancing </w:t>
      </w:r>
      <w:r w:rsidRPr="00861957">
        <w:rPr>
          <w:rFonts w:cs="Calibri"/>
          <w:color w:val="000000"/>
        </w:rPr>
        <w:t xml:space="preserve">the practices employed by </w:t>
      </w:r>
      <w:r w:rsidR="00501C3F" w:rsidRPr="00861957">
        <w:rPr>
          <w:rFonts w:cs="Calibri"/>
          <w:color w:val="000000"/>
        </w:rPr>
        <w:t>local agencies</w:t>
      </w:r>
      <w:r w:rsidRPr="00861957">
        <w:rPr>
          <w:rFonts w:cs="Calibri"/>
          <w:color w:val="000000"/>
        </w:rPr>
        <w:t>,</w:t>
      </w:r>
      <w:r w:rsidR="00501C3F" w:rsidRPr="00861957">
        <w:rPr>
          <w:rFonts w:cs="Calibri"/>
          <w:color w:val="000000"/>
        </w:rPr>
        <w:t xml:space="preserve"> with </w:t>
      </w:r>
      <w:r w:rsidRPr="00861957">
        <w:rPr>
          <w:rFonts w:cs="Calibri"/>
          <w:color w:val="000000"/>
        </w:rPr>
        <w:t xml:space="preserve">a </w:t>
      </w:r>
      <w:r w:rsidR="00501C3F" w:rsidRPr="00861957">
        <w:rPr>
          <w:rFonts w:cs="Calibri"/>
          <w:color w:val="000000"/>
        </w:rPr>
        <w:t xml:space="preserve">special focus on children under </w:t>
      </w:r>
      <w:r w:rsidRPr="00861957">
        <w:rPr>
          <w:rFonts w:cs="Calibri"/>
          <w:color w:val="000000"/>
        </w:rPr>
        <w:t xml:space="preserve">the age of </w:t>
      </w:r>
      <w:r w:rsidR="00690FA1" w:rsidRPr="00861957">
        <w:rPr>
          <w:rFonts w:cs="Calibri"/>
          <w:color w:val="000000"/>
        </w:rPr>
        <w:t xml:space="preserve">three </w:t>
      </w:r>
      <w:r w:rsidR="00501C3F" w:rsidRPr="00861957">
        <w:rPr>
          <w:rFonts w:cs="Calibri"/>
          <w:color w:val="000000"/>
        </w:rPr>
        <w:t xml:space="preserve">and </w:t>
      </w:r>
      <w:r w:rsidRPr="00861957">
        <w:rPr>
          <w:rFonts w:cs="Calibri"/>
          <w:color w:val="000000"/>
        </w:rPr>
        <w:t xml:space="preserve">children </w:t>
      </w:r>
      <w:r w:rsidR="00501C3F" w:rsidRPr="00861957">
        <w:rPr>
          <w:rFonts w:cs="Calibri"/>
          <w:color w:val="000000"/>
        </w:rPr>
        <w:t>with</w:t>
      </w:r>
      <w:r w:rsidR="00E25E68" w:rsidRPr="00861957">
        <w:rPr>
          <w:rFonts w:cs="Calibri"/>
          <w:color w:val="000000"/>
        </w:rPr>
        <w:t xml:space="preserve"> psychophysical</w:t>
      </w:r>
      <w:r w:rsidR="00501C3F" w:rsidRPr="00861957">
        <w:rPr>
          <w:rFonts w:cs="Calibri"/>
          <w:color w:val="000000"/>
        </w:rPr>
        <w:t xml:space="preserve"> disabilities.</w:t>
      </w:r>
    </w:p>
    <w:p w14:paraId="747BA03A" w14:textId="77777777" w:rsidR="00A035A7" w:rsidRPr="00861957" w:rsidRDefault="00A035A7" w:rsidP="00A035A7">
      <w:pPr>
        <w:jc w:val="both"/>
        <w:rPr>
          <w:rFonts w:cs="Calibri"/>
          <w:color w:val="000000"/>
        </w:rPr>
      </w:pPr>
    </w:p>
    <w:p w14:paraId="1661251E" w14:textId="3CDBACB2" w:rsidR="00E25E68" w:rsidRPr="00861957" w:rsidRDefault="00A035A7" w:rsidP="00AA281A">
      <w:pPr>
        <w:jc w:val="both"/>
        <w:rPr>
          <w:color w:val="000000"/>
        </w:rPr>
      </w:pPr>
      <w:r w:rsidRPr="00861957">
        <w:t xml:space="preserve">The Committee on Economic, Social and Cultural Rights (E/C.12/BLR/CO/4-6; 2013) recommended </w:t>
      </w:r>
      <w:r w:rsidR="009F4C5F" w:rsidRPr="00861957">
        <w:t xml:space="preserve">that </w:t>
      </w:r>
      <w:r w:rsidRPr="00861957">
        <w:t>the principle of the best interests of the child</w:t>
      </w:r>
      <w:r w:rsidR="009F4C5F" w:rsidRPr="00861957">
        <w:t xml:space="preserve"> is foregrounded</w:t>
      </w:r>
      <w:r w:rsidRPr="00861957">
        <w:t xml:space="preserve">, </w:t>
      </w:r>
      <w:r w:rsidR="009F4C5F" w:rsidRPr="00861957">
        <w:t xml:space="preserve">in order </w:t>
      </w:r>
      <w:r w:rsidRPr="00861957">
        <w:t>to provide children with opportunit</w:t>
      </w:r>
      <w:r w:rsidR="009F4C5F" w:rsidRPr="00861957">
        <w:t>ies</w:t>
      </w:r>
      <w:r w:rsidRPr="00861957">
        <w:t xml:space="preserve"> to be heard in all judicial and administrative proceedings</w:t>
      </w:r>
      <w:r w:rsidR="009F4C5F" w:rsidRPr="00861957">
        <w:t xml:space="preserve"> that</w:t>
      </w:r>
      <w:r w:rsidRPr="00861957">
        <w:t xml:space="preserve"> affect them, and to make the termination of parental responsibility a measure of last resort.</w:t>
      </w:r>
      <w:r w:rsidRPr="00861957">
        <w:rPr>
          <w:color w:val="000000"/>
        </w:rPr>
        <w:t xml:space="preserve"> </w:t>
      </w:r>
    </w:p>
    <w:p w14:paraId="64EA19B3" w14:textId="77777777" w:rsidR="00E25E68" w:rsidRPr="00861957" w:rsidRDefault="00E25E68" w:rsidP="00AA281A">
      <w:pPr>
        <w:jc w:val="both"/>
        <w:rPr>
          <w:color w:val="000000"/>
        </w:rPr>
      </w:pPr>
    </w:p>
    <w:p w14:paraId="03742117" w14:textId="5A3B5F80" w:rsidR="00E25E68" w:rsidRPr="00861957" w:rsidRDefault="009F4C5F" w:rsidP="00AA281A">
      <w:pPr>
        <w:jc w:val="both"/>
        <w:rPr>
          <w:color w:val="000000" w:themeColor="text1"/>
        </w:rPr>
      </w:pPr>
      <w:r w:rsidRPr="00861957">
        <w:rPr>
          <w:color w:val="000000" w:themeColor="text1"/>
        </w:rPr>
        <w:t>Measure that would help protect children’s rights include: the d</w:t>
      </w:r>
      <w:r w:rsidR="00A035A7" w:rsidRPr="00861957">
        <w:rPr>
          <w:color w:val="000000" w:themeColor="text1"/>
        </w:rPr>
        <w:t xml:space="preserve">evelopment of inter-sectoral mechanisms </w:t>
      </w:r>
      <w:r w:rsidRPr="00861957">
        <w:rPr>
          <w:color w:val="000000" w:themeColor="text1"/>
        </w:rPr>
        <w:t>for the</w:t>
      </w:r>
      <w:r w:rsidR="00A035A7" w:rsidRPr="00861957">
        <w:rPr>
          <w:color w:val="000000" w:themeColor="text1"/>
        </w:rPr>
        <w:t xml:space="preserve"> early identification of families at risk of child abuse and neglect</w:t>
      </w:r>
      <w:r w:rsidRPr="00861957">
        <w:rPr>
          <w:color w:val="000000" w:themeColor="text1"/>
        </w:rPr>
        <w:t>;</w:t>
      </w:r>
      <w:r w:rsidR="00A035A7" w:rsidRPr="00861957">
        <w:rPr>
          <w:color w:val="000000" w:themeColor="text1"/>
        </w:rPr>
        <w:t xml:space="preserve"> </w:t>
      </w:r>
      <w:r w:rsidR="00AA281A" w:rsidRPr="00861957">
        <w:rPr>
          <w:color w:val="000000" w:themeColor="text1"/>
        </w:rPr>
        <w:t>proper assessment of the situation of child</w:t>
      </w:r>
      <w:r w:rsidRPr="00861957">
        <w:rPr>
          <w:color w:val="000000" w:themeColor="text1"/>
        </w:rPr>
        <w:t>ren</w:t>
      </w:r>
      <w:r w:rsidR="00AA281A" w:rsidRPr="00861957">
        <w:rPr>
          <w:color w:val="000000" w:themeColor="text1"/>
        </w:rPr>
        <w:t xml:space="preserve"> in famil</w:t>
      </w:r>
      <w:r w:rsidRPr="00861957">
        <w:rPr>
          <w:color w:val="000000" w:themeColor="text1"/>
        </w:rPr>
        <w:t>ies</w:t>
      </w:r>
      <w:r w:rsidR="00AA281A" w:rsidRPr="00861957">
        <w:rPr>
          <w:color w:val="000000" w:themeColor="text1"/>
        </w:rPr>
        <w:t xml:space="preserve"> in crisis</w:t>
      </w:r>
      <w:r w:rsidRPr="00861957">
        <w:rPr>
          <w:color w:val="000000" w:themeColor="text1"/>
        </w:rPr>
        <w:t>, in order</w:t>
      </w:r>
      <w:r w:rsidR="00AA281A" w:rsidRPr="00861957">
        <w:rPr>
          <w:color w:val="000000" w:themeColor="text1"/>
        </w:rPr>
        <w:t xml:space="preserve"> to ensure an objective decision </w:t>
      </w:r>
      <w:r w:rsidRPr="00861957">
        <w:rPr>
          <w:color w:val="000000" w:themeColor="text1"/>
        </w:rPr>
        <w:t xml:space="preserve">regarding </w:t>
      </w:r>
      <w:r w:rsidR="00AA281A" w:rsidRPr="00861957">
        <w:rPr>
          <w:color w:val="000000" w:themeColor="text1"/>
        </w:rPr>
        <w:t>child separation</w:t>
      </w:r>
      <w:r w:rsidRPr="00861957">
        <w:rPr>
          <w:color w:val="000000" w:themeColor="text1"/>
        </w:rPr>
        <w:t xml:space="preserve">; </w:t>
      </w:r>
      <w:r w:rsidR="00AA281A" w:rsidRPr="00861957">
        <w:rPr>
          <w:color w:val="000000" w:themeColor="text1"/>
        </w:rPr>
        <w:t>strengthening of gatekeeping mechanisms</w:t>
      </w:r>
      <w:r w:rsidRPr="00861957">
        <w:rPr>
          <w:color w:val="000000" w:themeColor="text1"/>
        </w:rPr>
        <w:t>;</w:t>
      </w:r>
      <w:r w:rsidR="00AA281A" w:rsidRPr="00861957">
        <w:rPr>
          <w:color w:val="000000" w:themeColor="text1"/>
        </w:rPr>
        <w:t xml:space="preserve"> and </w:t>
      </w:r>
      <w:r w:rsidRPr="00861957">
        <w:rPr>
          <w:color w:val="000000" w:themeColor="text1"/>
        </w:rPr>
        <w:t xml:space="preserve">the </w:t>
      </w:r>
      <w:r w:rsidR="00AA281A" w:rsidRPr="00861957">
        <w:rPr>
          <w:color w:val="000000" w:themeColor="text1"/>
        </w:rPr>
        <w:t xml:space="preserve">development of </w:t>
      </w:r>
      <w:r w:rsidR="005F53C5" w:rsidRPr="00861957">
        <w:rPr>
          <w:color w:val="000000" w:themeColor="text1"/>
        </w:rPr>
        <w:t xml:space="preserve">the capacity of </w:t>
      </w:r>
      <w:r w:rsidR="00AA281A" w:rsidRPr="00861957">
        <w:rPr>
          <w:color w:val="000000" w:themeColor="text1"/>
        </w:rPr>
        <w:t xml:space="preserve">child care specialists. </w:t>
      </w:r>
    </w:p>
    <w:p w14:paraId="43360120" w14:textId="77777777" w:rsidR="00A035A7" w:rsidRPr="00861957" w:rsidRDefault="00A035A7" w:rsidP="009955A4">
      <w:pPr>
        <w:jc w:val="both"/>
        <w:rPr>
          <w:color w:val="000000"/>
        </w:rPr>
      </w:pPr>
    </w:p>
    <w:p w14:paraId="09D60D2F" w14:textId="1D4D1DAE" w:rsidR="00A035A7" w:rsidRPr="00861957" w:rsidRDefault="00A035A7" w:rsidP="009955A4">
      <w:pPr>
        <w:jc w:val="both"/>
        <w:rPr>
          <w:color w:val="000000" w:themeColor="dark1"/>
          <w:kern w:val="24"/>
        </w:rPr>
      </w:pPr>
      <w:r w:rsidRPr="00861957">
        <w:rPr>
          <w:color w:val="000000"/>
        </w:rPr>
        <w:t xml:space="preserve">During the course of the UNDAF 2016-2020, UNICEF will provide assistance to the Government </w:t>
      </w:r>
      <w:r w:rsidR="005F53C5" w:rsidRPr="00861957">
        <w:rPr>
          <w:color w:val="000000"/>
        </w:rPr>
        <w:t>in</w:t>
      </w:r>
      <w:r w:rsidRPr="00861957">
        <w:rPr>
          <w:color w:val="000000"/>
        </w:rPr>
        <w:t xml:space="preserve"> increas</w:t>
      </w:r>
      <w:r w:rsidR="005F53C5" w:rsidRPr="00861957">
        <w:rPr>
          <w:color w:val="000000"/>
        </w:rPr>
        <w:t>ing</w:t>
      </w:r>
      <w:r w:rsidRPr="00861957">
        <w:rPr>
          <w:color w:val="000000"/>
        </w:rPr>
        <w:t xml:space="preserve"> </w:t>
      </w:r>
      <w:r w:rsidRPr="00861957">
        <w:rPr>
          <w:color w:val="000000" w:themeColor="dark1"/>
          <w:kern w:val="24"/>
        </w:rPr>
        <w:t>the proportion of children with</w:t>
      </w:r>
      <w:r w:rsidR="00E25E68" w:rsidRPr="00861957">
        <w:rPr>
          <w:color w:val="000000" w:themeColor="dark1"/>
          <w:kern w:val="24"/>
        </w:rPr>
        <w:t xml:space="preserve"> </w:t>
      </w:r>
      <w:r w:rsidR="00E25E68" w:rsidRPr="00861957">
        <w:rPr>
          <w:rFonts w:cs="Calibri"/>
          <w:color w:val="000000"/>
        </w:rPr>
        <w:t>psychophysical</w:t>
      </w:r>
      <w:r w:rsidRPr="00861957">
        <w:rPr>
          <w:color w:val="000000" w:themeColor="dark1"/>
          <w:kern w:val="24"/>
        </w:rPr>
        <w:t xml:space="preserve"> disabilities under </w:t>
      </w:r>
      <w:r w:rsidR="005F53C5" w:rsidRPr="00861957">
        <w:rPr>
          <w:color w:val="000000" w:themeColor="dark1"/>
          <w:kern w:val="24"/>
        </w:rPr>
        <w:t xml:space="preserve">the </w:t>
      </w:r>
      <w:r w:rsidRPr="00861957">
        <w:rPr>
          <w:color w:val="000000" w:themeColor="dark1"/>
          <w:kern w:val="24"/>
        </w:rPr>
        <w:t xml:space="preserve">age </w:t>
      </w:r>
      <w:r w:rsidR="005F53C5" w:rsidRPr="00861957">
        <w:rPr>
          <w:color w:val="000000" w:themeColor="dark1"/>
          <w:kern w:val="24"/>
        </w:rPr>
        <w:t xml:space="preserve">of three who have </w:t>
      </w:r>
      <w:r w:rsidRPr="00861957">
        <w:rPr>
          <w:color w:val="000000" w:themeColor="dark1"/>
          <w:kern w:val="24"/>
        </w:rPr>
        <w:t>access to appropriate early intervention services in their communities from 67.5% to 90%</w:t>
      </w:r>
      <w:r w:rsidR="005F53C5" w:rsidRPr="00861957">
        <w:rPr>
          <w:color w:val="000000" w:themeColor="dark1"/>
          <w:kern w:val="24"/>
        </w:rPr>
        <w:t>,</w:t>
      </w:r>
      <w:r w:rsidRPr="00861957">
        <w:rPr>
          <w:color w:val="000000" w:themeColor="dark1"/>
          <w:kern w:val="24"/>
        </w:rPr>
        <w:t xml:space="preserve"> and </w:t>
      </w:r>
      <w:r w:rsidR="005F53C5" w:rsidRPr="00861957">
        <w:rPr>
          <w:color w:val="000000" w:themeColor="dark1"/>
          <w:kern w:val="24"/>
        </w:rPr>
        <w:t xml:space="preserve">in </w:t>
      </w:r>
      <w:r w:rsidRPr="00861957">
        <w:rPr>
          <w:color w:val="000000" w:themeColor="dark1"/>
          <w:kern w:val="24"/>
        </w:rPr>
        <w:t>increas</w:t>
      </w:r>
      <w:r w:rsidR="005F53C5" w:rsidRPr="00861957">
        <w:rPr>
          <w:color w:val="000000" w:themeColor="dark1"/>
          <w:kern w:val="24"/>
        </w:rPr>
        <w:t>ing</w:t>
      </w:r>
      <w:r w:rsidRPr="00861957">
        <w:rPr>
          <w:color w:val="000000" w:themeColor="dark1"/>
          <w:kern w:val="24"/>
        </w:rPr>
        <w:t xml:space="preserve"> the proportion of orphans and children without parental support </w:t>
      </w:r>
      <w:r w:rsidR="005F53C5" w:rsidRPr="00861957">
        <w:rPr>
          <w:color w:val="000000" w:themeColor="dark1"/>
          <w:kern w:val="24"/>
        </w:rPr>
        <w:t xml:space="preserve">who are </w:t>
      </w:r>
      <w:r w:rsidRPr="00861957">
        <w:rPr>
          <w:color w:val="000000" w:themeColor="dark1"/>
          <w:kern w:val="24"/>
        </w:rPr>
        <w:t>placed in family care from 80% in 2015 to 85% by 2020.</w:t>
      </w:r>
    </w:p>
    <w:p w14:paraId="73C46E68" w14:textId="77777777" w:rsidR="00A035A7" w:rsidRPr="00861957" w:rsidRDefault="00A035A7" w:rsidP="00A035A7">
      <w:pPr>
        <w:rPr>
          <w:color w:val="000000" w:themeColor="dark1"/>
          <w:kern w:val="24"/>
        </w:rPr>
      </w:pPr>
    </w:p>
    <w:p w14:paraId="51CC7DAC" w14:textId="06EBB207" w:rsidR="00862A18" w:rsidRPr="00861957" w:rsidRDefault="005F53C5" w:rsidP="0059087B">
      <w:pPr>
        <w:autoSpaceDE w:val="0"/>
        <w:autoSpaceDN w:val="0"/>
        <w:adjustRightInd w:val="0"/>
        <w:jc w:val="both"/>
        <w:rPr>
          <w:rFonts w:cs="Arial"/>
          <w:color w:val="000000"/>
        </w:rPr>
      </w:pPr>
      <w:r w:rsidRPr="00861957">
        <w:rPr>
          <w:rFonts w:cs="Arial"/>
          <w:color w:val="000000"/>
        </w:rPr>
        <w:t xml:space="preserve">A </w:t>
      </w:r>
      <w:r w:rsidR="00CF611C" w:rsidRPr="00861957">
        <w:rPr>
          <w:rFonts w:cs="Arial"/>
          <w:color w:val="000000"/>
        </w:rPr>
        <w:t xml:space="preserve">concept </w:t>
      </w:r>
      <w:r w:rsidR="003C2BC7" w:rsidRPr="00861957">
        <w:rPr>
          <w:rFonts w:cs="Arial"/>
          <w:color w:val="000000"/>
        </w:rPr>
        <w:t xml:space="preserve">paper on </w:t>
      </w:r>
      <w:r w:rsidR="00CF611C" w:rsidRPr="00861957">
        <w:rPr>
          <w:rFonts w:cs="Arial"/>
          <w:color w:val="000000"/>
        </w:rPr>
        <w:t xml:space="preserve">juvenile justice </w:t>
      </w:r>
      <w:r w:rsidRPr="00861957">
        <w:rPr>
          <w:rFonts w:cs="Arial"/>
          <w:color w:val="000000"/>
        </w:rPr>
        <w:t xml:space="preserve">has been </w:t>
      </w:r>
      <w:r w:rsidR="00CF611C" w:rsidRPr="00861957">
        <w:rPr>
          <w:rFonts w:cs="Arial"/>
          <w:color w:val="000000"/>
        </w:rPr>
        <w:t>under consideration by the Government since 201</w:t>
      </w:r>
      <w:r w:rsidR="003C2BC7" w:rsidRPr="00861957">
        <w:rPr>
          <w:rFonts w:cs="Arial"/>
          <w:color w:val="000000"/>
        </w:rPr>
        <w:t>0</w:t>
      </w:r>
      <w:r w:rsidR="00CF611C" w:rsidRPr="00861957">
        <w:rPr>
          <w:rFonts w:cs="Arial"/>
          <w:color w:val="000000"/>
        </w:rPr>
        <w:t xml:space="preserve">. In 2012, UNICEF conducted </w:t>
      </w:r>
      <w:r w:rsidRPr="00861957">
        <w:rPr>
          <w:rFonts w:cs="Arial"/>
          <w:color w:val="000000"/>
        </w:rPr>
        <w:t xml:space="preserve">a </w:t>
      </w:r>
      <w:r w:rsidR="00CF611C" w:rsidRPr="00861957">
        <w:rPr>
          <w:rFonts w:cs="Arial"/>
          <w:color w:val="000000"/>
        </w:rPr>
        <w:t xml:space="preserve">national study </w:t>
      </w:r>
      <w:r w:rsidR="00E34608" w:rsidRPr="00861957">
        <w:rPr>
          <w:rFonts w:cs="Arial"/>
          <w:color w:val="000000" w:themeColor="text1"/>
        </w:rPr>
        <w:t xml:space="preserve">of the efficiency of </w:t>
      </w:r>
      <w:r w:rsidR="00E34608" w:rsidRPr="00861957">
        <w:rPr>
          <w:rFonts w:cs="Arial"/>
          <w:color w:val="000000"/>
        </w:rPr>
        <w:t>preventive work among</w:t>
      </w:r>
      <w:r w:rsidR="00CF611C" w:rsidRPr="00861957">
        <w:rPr>
          <w:rFonts w:cs="Arial"/>
          <w:color w:val="000000"/>
        </w:rPr>
        <w:t xml:space="preserve"> children in conflict with the law and found that the juvenile justice system</w:t>
      </w:r>
      <w:r w:rsidR="00D63468" w:rsidRPr="00861957">
        <w:rPr>
          <w:rFonts w:cs="Arial"/>
          <w:color w:val="000000"/>
        </w:rPr>
        <w:t xml:space="preserve"> does not fully correspond to</w:t>
      </w:r>
      <w:r w:rsidR="0099604E" w:rsidRPr="00861957">
        <w:rPr>
          <w:rFonts w:cs="Arial"/>
          <w:color w:val="000000"/>
        </w:rPr>
        <w:t xml:space="preserve"> </w:t>
      </w:r>
      <w:r w:rsidR="00D63468" w:rsidRPr="00861957">
        <w:rPr>
          <w:rFonts w:cs="Arial"/>
          <w:color w:val="000000"/>
        </w:rPr>
        <w:t>international standards</w:t>
      </w:r>
      <w:r w:rsidR="00CF611C" w:rsidRPr="00861957">
        <w:rPr>
          <w:rFonts w:cs="Arial"/>
          <w:color w:val="000000"/>
        </w:rPr>
        <w:t xml:space="preserve">. </w:t>
      </w:r>
      <w:r w:rsidR="005F40E9" w:rsidRPr="00861957">
        <w:rPr>
          <w:rFonts w:cs="Arial"/>
          <w:color w:val="000000"/>
        </w:rPr>
        <w:t>The main challenges are</w:t>
      </w:r>
      <w:r w:rsidRPr="00861957">
        <w:rPr>
          <w:rFonts w:cs="Arial"/>
          <w:color w:val="000000"/>
        </w:rPr>
        <w:t>:</w:t>
      </w:r>
      <w:r w:rsidR="005F40E9" w:rsidRPr="00861957">
        <w:rPr>
          <w:rFonts w:cs="Arial"/>
          <w:color w:val="000000"/>
        </w:rPr>
        <w:t xml:space="preserve"> </w:t>
      </w:r>
      <w:r w:rsidRPr="00861957">
        <w:rPr>
          <w:rFonts w:cs="Arial"/>
          <w:color w:val="000000"/>
        </w:rPr>
        <w:t xml:space="preserve">a </w:t>
      </w:r>
      <w:r w:rsidR="005F40E9" w:rsidRPr="00861957">
        <w:rPr>
          <w:rFonts w:cs="Arial"/>
          <w:color w:val="000000"/>
        </w:rPr>
        <w:t>lack of juvenile speciali</w:t>
      </w:r>
      <w:r w:rsidR="000F002C" w:rsidRPr="00861957">
        <w:rPr>
          <w:rFonts w:cs="Arial"/>
          <w:color w:val="000000"/>
        </w:rPr>
        <w:t>z</w:t>
      </w:r>
      <w:r w:rsidR="005F40E9" w:rsidRPr="00861957">
        <w:rPr>
          <w:rFonts w:cs="Arial"/>
          <w:color w:val="000000"/>
        </w:rPr>
        <w:t>ation in the judiciary</w:t>
      </w:r>
      <w:r w:rsidRPr="00861957">
        <w:rPr>
          <w:rFonts w:cs="Arial"/>
          <w:color w:val="000000"/>
        </w:rPr>
        <w:t>;</w:t>
      </w:r>
      <w:r w:rsidR="005F40E9" w:rsidRPr="00861957">
        <w:rPr>
          <w:rFonts w:cs="Arial"/>
          <w:color w:val="000000"/>
        </w:rPr>
        <w:t xml:space="preserve"> insufficient application of restorative mechanisms and out-of court </w:t>
      </w:r>
      <w:r w:rsidRPr="00861957">
        <w:rPr>
          <w:rFonts w:cs="Arial"/>
          <w:color w:val="000000"/>
        </w:rPr>
        <w:t xml:space="preserve">models of </w:t>
      </w:r>
      <w:r w:rsidR="005F40E9" w:rsidRPr="00861957">
        <w:rPr>
          <w:rFonts w:cs="Arial"/>
          <w:color w:val="000000"/>
        </w:rPr>
        <w:t>dispute settlement</w:t>
      </w:r>
      <w:r w:rsidRPr="00861957">
        <w:rPr>
          <w:rFonts w:cs="Arial"/>
          <w:color w:val="000000"/>
        </w:rPr>
        <w:t>;</w:t>
      </w:r>
      <w:r w:rsidR="005F40E9" w:rsidRPr="00861957">
        <w:rPr>
          <w:rFonts w:cs="Arial"/>
          <w:color w:val="000000"/>
        </w:rPr>
        <w:t xml:space="preserve"> poor use of mediation</w:t>
      </w:r>
      <w:r w:rsidRPr="00861957">
        <w:rPr>
          <w:rFonts w:cs="Arial"/>
          <w:color w:val="000000"/>
        </w:rPr>
        <w:t>; and the</w:t>
      </w:r>
      <w:r w:rsidR="005F40E9" w:rsidRPr="00861957">
        <w:rPr>
          <w:rFonts w:cs="Arial"/>
          <w:color w:val="000000"/>
        </w:rPr>
        <w:t xml:space="preserve"> non-existence of </w:t>
      </w:r>
      <w:r w:rsidRPr="00861957">
        <w:rPr>
          <w:rFonts w:cs="Arial"/>
          <w:color w:val="000000"/>
        </w:rPr>
        <w:t xml:space="preserve">a </w:t>
      </w:r>
      <w:r w:rsidR="005F40E9" w:rsidRPr="00861957">
        <w:rPr>
          <w:rFonts w:cs="Arial"/>
          <w:color w:val="000000"/>
        </w:rPr>
        <w:t>probation service.</w:t>
      </w:r>
      <w:r w:rsidR="0023436D" w:rsidRPr="00861957">
        <w:rPr>
          <w:rFonts w:cs="Arial"/>
          <w:color w:val="000000"/>
        </w:rPr>
        <w:t xml:space="preserve"> </w:t>
      </w:r>
      <w:r w:rsidR="00CF611C" w:rsidRPr="00861957">
        <w:t>The law enforcement agencies listed more than 14,000 minors on file for committing offences and crimes</w:t>
      </w:r>
      <w:r w:rsidRPr="00861957">
        <w:t>.</w:t>
      </w:r>
      <w:r w:rsidR="00CF611C" w:rsidRPr="00861957">
        <w:t xml:space="preserve"> </w:t>
      </w:r>
      <w:r w:rsidRPr="00861957">
        <w:t>S</w:t>
      </w:r>
      <w:r w:rsidR="00CF611C" w:rsidRPr="00861957">
        <w:t xml:space="preserve">ignificant progress </w:t>
      </w:r>
      <w:r w:rsidRPr="00861957">
        <w:t xml:space="preserve">has been </w:t>
      </w:r>
      <w:r w:rsidR="00CF611C" w:rsidRPr="00861957">
        <w:t xml:space="preserve">achieved by the state in reducing </w:t>
      </w:r>
      <w:r w:rsidR="00CF611C" w:rsidRPr="00861957">
        <w:rPr>
          <w:color w:val="000000"/>
        </w:rPr>
        <w:t xml:space="preserve">the number of juvenile offenders from 5,664 persons in 2007 to </w:t>
      </w:r>
      <w:r w:rsidR="006815E4" w:rsidRPr="00861957">
        <w:rPr>
          <w:color w:val="000000"/>
        </w:rPr>
        <w:t>1,983 persons (10.4% females and 89.6</w:t>
      </w:r>
      <w:r w:rsidR="00CF611C" w:rsidRPr="00861957">
        <w:rPr>
          <w:color w:val="000000"/>
        </w:rPr>
        <w:t xml:space="preserve">% males) in </w:t>
      </w:r>
      <w:r w:rsidR="006815E4" w:rsidRPr="00861957">
        <w:rPr>
          <w:color w:val="000000"/>
        </w:rPr>
        <w:t>2013</w:t>
      </w:r>
      <w:r w:rsidR="00CF611C" w:rsidRPr="00861957">
        <w:rPr>
          <w:color w:val="000000"/>
        </w:rPr>
        <w:t xml:space="preserve">. </w:t>
      </w:r>
      <w:r w:rsidR="00CF611C" w:rsidRPr="00861957">
        <w:rPr>
          <w:rFonts w:cs="Arial"/>
          <w:color w:val="000000"/>
        </w:rPr>
        <w:t>UNICEF aims to provide</w:t>
      </w:r>
      <w:r w:rsidRPr="00861957">
        <w:rPr>
          <w:rFonts w:cs="Arial"/>
          <w:color w:val="000000"/>
        </w:rPr>
        <w:t xml:space="preserve"> the</w:t>
      </w:r>
      <w:r w:rsidR="00CF611C" w:rsidRPr="00861957">
        <w:rPr>
          <w:rFonts w:cs="Arial"/>
          <w:color w:val="000000"/>
        </w:rPr>
        <w:t xml:space="preserve"> necessary assistance to the Government and courts to increase the proportion </w:t>
      </w:r>
      <w:r w:rsidR="00CF611C" w:rsidRPr="00861957">
        <w:rPr>
          <w:color w:val="000000" w:themeColor="dark1"/>
          <w:kern w:val="24"/>
        </w:rPr>
        <w:t>of alternative penalties on juvenile offenders’ cases from 82.2% in 2012 to 90% by 2020.</w:t>
      </w:r>
    </w:p>
    <w:p w14:paraId="2CFE0CEC" w14:textId="77777777" w:rsidR="00CF611C" w:rsidRPr="00861957" w:rsidRDefault="00CF611C" w:rsidP="00CF611C">
      <w:pPr>
        <w:jc w:val="both"/>
        <w:rPr>
          <w:color w:val="000000" w:themeColor="dark1"/>
          <w:kern w:val="24"/>
        </w:rPr>
      </w:pPr>
    </w:p>
    <w:p w14:paraId="2942809E" w14:textId="2220BFC2" w:rsidR="004F443B" w:rsidRPr="00861957" w:rsidRDefault="004F443B" w:rsidP="004F443B">
      <w:pPr>
        <w:jc w:val="both"/>
        <w:rPr>
          <w:color w:val="000000" w:themeColor="dark1"/>
          <w:kern w:val="24"/>
        </w:rPr>
      </w:pPr>
      <w:r w:rsidRPr="00861957">
        <w:lastRenderedPageBreak/>
        <w:t xml:space="preserve">According to the </w:t>
      </w:r>
      <w:r w:rsidR="00D747CE" w:rsidRPr="00861957">
        <w:t xml:space="preserve">Ministry of </w:t>
      </w:r>
      <w:r w:rsidRPr="00861957">
        <w:t xml:space="preserve">Labour and Social Protection, there were 531,338 registered people with disabilities in May 2014. In line with </w:t>
      </w:r>
      <w:r w:rsidR="00D747CE" w:rsidRPr="00861957">
        <w:t xml:space="preserve">UPR </w:t>
      </w:r>
      <w:r w:rsidRPr="00861957">
        <w:t xml:space="preserve">recommendations 97.2 and 98.2, the Government has indicated </w:t>
      </w:r>
      <w:r w:rsidR="00D747CE" w:rsidRPr="00861957">
        <w:t xml:space="preserve">that </w:t>
      </w:r>
      <w:r w:rsidRPr="00861957">
        <w:t xml:space="preserve">Belarus will soon join the Convention on the Rights of Persons with Disabilities (2006). </w:t>
      </w:r>
      <w:r w:rsidRPr="00861957">
        <w:rPr>
          <w:color w:val="000000"/>
        </w:rPr>
        <w:t xml:space="preserve">The Government has formally requested the UN to support the process of accession and </w:t>
      </w:r>
      <w:r w:rsidR="00D747CE" w:rsidRPr="00861957">
        <w:rPr>
          <w:color w:val="000000"/>
        </w:rPr>
        <w:t xml:space="preserve">the </w:t>
      </w:r>
      <w:r w:rsidRPr="00861957">
        <w:rPr>
          <w:color w:val="000000"/>
        </w:rPr>
        <w:t xml:space="preserve">implementation of the Convention. </w:t>
      </w:r>
      <w:r w:rsidR="00D747CE" w:rsidRPr="00861957">
        <w:rPr>
          <w:color w:val="000000"/>
        </w:rPr>
        <w:t xml:space="preserve">A </w:t>
      </w:r>
      <w:r w:rsidRPr="00861957">
        <w:t xml:space="preserve">UNDP-funded assessment </w:t>
      </w:r>
      <w:r w:rsidR="00D747CE" w:rsidRPr="00861957">
        <w:t xml:space="preserve">has found that Belarus’s </w:t>
      </w:r>
      <w:r w:rsidRPr="00861957">
        <w:t xml:space="preserve">disability-related legislation largely complies with the formal requirements of the Convention, and the UN will assist Belarus in </w:t>
      </w:r>
      <w:r w:rsidR="00D747CE" w:rsidRPr="00861957">
        <w:t xml:space="preserve">further </w:t>
      </w:r>
      <w:r w:rsidRPr="00861957">
        <w:t xml:space="preserve">aligning the national legislation with the provisions </w:t>
      </w:r>
      <w:r w:rsidRPr="00861957">
        <w:rPr>
          <w:color w:val="000000" w:themeColor="dark1"/>
          <w:kern w:val="24"/>
        </w:rPr>
        <w:t>of the Convention.</w:t>
      </w:r>
    </w:p>
    <w:p w14:paraId="774D00CA" w14:textId="77777777" w:rsidR="004F443B" w:rsidRPr="00861957" w:rsidRDefault="004F443B" w:rsidP="004F443B">
      <w:pPr>
        <w:jc w:val="both"/>
      </w:pPr>
    </w:p>
    <w:p w14:paraId="60244BF4" w14:textId="70323B34" w:rsidR="004F443B" w:rsidRPr="00861957" w:rsidRDefault="004F443B" w:rsidP="004F443B">
      <w:pPr>
        <w:jc w:val="both"/>
        <w:rPr>
          <w:color w:val="000000" w:themeColor="dark1"/>
          <w:kern w:val="24"/>
        </w:rPr>
      </w:pPr>
      <w:r w:rsidRPr="00861957">
        <w:t xml:space="preserve">As of 2012, there were 131,717 children with </w:t>
      </w:r>
      <w:r w:rsidR="00E25E68" w:rsidRPr="00861957">
        <w:rPr>
          <w:rFonts w:cs="Calibri"/>
          <w:color w:val="000000"/>
        </w:rPr>
        <w:t>psychophysical disabilities</w:t>
      </w:r>
      <w:r w:rsidR="00E25E68" w:rsidRPr="00861957" w:rsidDel="00E25E68">
        <w:t xml:space="preserve"> </w:t>
      </w:r>
      <w:r w:rsidRPr="00861957">
        <w:t>and 26,077 children with disabilities in Belarus</w:t>
      </w:r>
      <w:r w:rsidR="00D747CE" w:rsidRPr="00861957">
        <w:t>.</w:t>
      </w:r>
      <w:r w:rsidRPr="00861957">
        <w:rPr>
          <w:rStyle w:val="FootnoteReference"/>
        </w:rPr>
        <w:footnoteReference w:id="31"/>
      </w:r>
      <w:r w:rsidRPr="00861957">
        <w:t xml:space="preserve"> The Government adopted the Programme for the Development of Special Education in the Republic of Belarus for 2012-2016.</w:t>
      </w:r>
      <w:r w:rsidRPr="00861957">
        <w:rPr>
          <w:color w:val="000000" w:themeColor="dark1"/>
          <w:kern w:val="24"/>
        </w:rPr>
        <w:t xml:space="preserve"> Reducing equity gaps for children with disabilities will be a cross-cutting UNDAF priority requiring significant advocacy efforts to move towards a paradigm shift from a medical to </w:t>
      </w:r>
      <w:r w:rsidR="00D747CE" w:rsidRPr="00861957">
        <w:rPr>
          <w:color w:val="000000" w:themeColor="dark1"/>
          <w:kern w:val="24"/>
        </w:rPr>
        <w:t xml:space="preserve">a </w:t>
      </w:r>
      <w:r w:rsidRPr="00861957">
        <w:rPr>
          <w:color w:val="000000" w:themeColor="dark1"/>
          <w:kern w:val="24"/>
        </w:rPr>
        <w:t xml:space="preserve">social model of disability. Assistance will be provided to enhance </w:t>
      </w:r>
      <w:r w:rsidR="00D747CE" w:rsidRPr="00861957">
        <w:rPr>
          <w:color w:val="000000" w:themeColor="dark1"/>
          <w:kern w:val="24"/>
        </w:rPr>
        <w:t xml:space="preserve">the </w:t>
      </w:r>
      <w:r w:rsidRPr="00861957">
        <w:rPr>
          <w:color w:val="000000" w:themeColor="dark1"/>
          <w:kern w:val="24"/>
        </w:rPr>
        <w:t xml:space="preserve">health system’s capacity </w:t>
      </w:r>
      <w:r w:rsidR="00D747CE" w:rsidRPr="00861957">
        <w:rPr>
          <w:color w:val="000000" w:themeColor="dark1"/>
          <w:kern w:val="24"/>
        </w:rPr>
        <w:t>for</w:t>
      </w:r>
      <w:r w:rsidRPr="00861957">
        <w:rPr>
          <w:color w:val="000000" w:themeColor="dark1"/>
          <w:kern w:val="24"/>
        </w:rPr>
        <w:t xml:space="preserve"> early diagnosis, quality intervention and rehabilitation services for children with disabilities.</w:t>
      </w:r>
      <w:r w:rsidR="00653EF7" w:rsidRPr="00861957">
        <w:rPr>
          <w:color w:val="000000" w:themeColor="dark1"/>
          <w:kern w:val="24"/>
        </w:rPr>
        <w:t xml:space="preserve"> </w:t>
      </w:r>
      <w:r w:rsidR="00D747CE" w:rsidRPr="00861957">
        <w:rPr>
          <w:color w:val="000000" w:themeColor="dark1"/>
          <w:kern w:val="24"/>
        </w:rPr>
        <w:t xml:space="preserve">The aim stated in the </w:t>
      </w:r>
      <w:r w:rsidR="00D747CE" w:rsidRPr="00861957">
        <w:t>Concept Paper of Inclusive Education in the Republic of Belarus</w:t>
      </w:r>
      <w:r w:rsidR="00D747CE" w:rsidRPr="00861957">
        <w:rPr>
          <w:color w:val="000000" w:themeColor="dark1"/>
          <w:kern w:val="24"/>
        </w:rPr>
        <w:t xml:space="preserve"> is </w:t>
      </w:r>
      <w:r w:rsidRPr="00861957">
        <w:t xml:space="preserve">to achieve 80% coverage of children with disabilities with </w:t>
      </w:r>
      <w:r w:rsidR="00E0307F" w:rsidRPr="00861957">
        <w:t>inclusive education by 2020</w:t>
      </w:r>
      <w:r w:rsidRPr="00861957">
        <w:t xml:space="preserve">. </w:t>
      </w:r>
    </w:p>
    <w:p w14:paraId="6B82B22B" w14:textId="77777777" w:rsidR="004F443B" w:rsidRPr="00861957" w:rsidRDefault="004F443B" w:rsidP="00CF611C">
      <w:pPr>
        <w:jc w:val="both"/>
        <w:rPr>
          <w:color w:val="000000" w:themeColor="dark1"/>
          <w:kern w:val="24"/>
        </w:rPr>
      </w:pPr>
    </w:p>
    <w:p w14:paraId="0FFA165B" w14:textId="5399FD49" w:rsidR="00CF611C" w:rsidRPr="00861957" w:rsidRDefault="00CF611C" w:rsidP="00CF611C">
      <w:pPr>
        <w:jc w:val="both"/>
        <w:rPr>
          <w:color w:val="000000" w:themeColor="dark1"/>
          <w:kern w:val="24"/>
        </w:rPr>
      </w:pPr>
      <w:r w:rsidRPr="00861957">
        <w:rPr>
          <w:color w:val="000000" w:themeColor="dark1"/>
          <w:kern w:val="24"/>
        </w:rPr>
        <w:t xml:space="preserve">Additional efforts will be </w:t>
      </w:r>
      <w:r w:rsidR="00D747CE" w:rsidRPr="00861957">
        <w:rPr>
          <w:color w:val="000000" w:themeColor="dark1"/>
          <w:kern w:val="24"/>
        </w:rPr>
        <w:t>under</w:t>
      </w:r>
      <w:r w:rsidRPr="00861957">
        <w:rPr>
          <w:color w:val="000000" w:themeColor="dark1"/>
          <w:kern w:val="24"/>
        </w:rPr>
        <w:t xml:space="preserve">taken by the UNCT to provide assistance to the Government </w:t>
      </w:r>
      <w:r w:rsidR="00D747CE" w:rsidRPr="00861957">
        <w:rPr>
          <w:color w:val="000000" w:themeColor="dark1"/>
          <w:kern w:val="24"/>
        </w:rPr>
        <w:t>in</w:t>
      </w:r>
      <w:r w:rsidRPr="00861957">
        <w:rPr>
          <w:color w:val="000000" w:themeColor="dark1"/>
          <w:kern w:val="24"/>
        </w:rPr>
        <w:t xml:space="preserve"> establish</w:t>
      </w:r>
      <w:r w:rsidR="00D747CE" w:rsidRPr="00861957">
        <w:rPr>
          <w:color w:val="000000" w:themeColor="dark1"/>
          <w:kern w:val="24"/>
        </w:rPr>
        <w:t>ing</w:t>
      </w:r>
      <w:r w:rsidRPr="00861957">
        <w:rPr>
          <w:color w:val="000000" w:themeColor="dark1"/>
          <w:kern w:val="24"/>
        </w:rPr>
        <w:t xml:space="preserve"> and implement</w:t>
      </w:r>
      <w:r w:rsidR="00D747CE" w:rsidRPr="00861957">
        <w:rPr>
          <w:color w:val="000000" w:themeColor="dark1"/>
          <w:kern w:val="24"/>
        </w:rPr>
        <w:t>ing</w:t>
      </w:r>
      <w:r w:rsidRPr="00861957">
        <w:rPr>
          <w:color w:val="000000" w:themeColor="dark1"/>
          <w:kern w:val="24"/>
        </w:rPr>
        <w:t xml:space="preserve"> </w:t>
      </w:r>
      <w:r w:rsidR="00D747CE" w:rsidRPr="00861957">
        <w:rPr>
          <w:color w:val="000000" w:themeColor="dark1"/>
          <w:kern w:val="24"/>
        </w:rPr>
        <w:t xml:space="preserve">a </w:t>
      </w:r>
      <w:r w:rsidRPr="00861957">
        <w:rPr>
          <w:color w:val="000000" w:themeColor="dark1"/>
          <w:kern w:val="24"/>
        </w:rPr>
        <w:t xml:space="preserve">uniform state programme </w:t>
      </w:r>
      <w:r w:rsidR="00D747CE" w:rsidRPr="00861957">
        <w:rPr>
          <w:color w:val="000000" w:themeColor="dark1"/>
          <w:kern w:val="24"/>
        </w:rPr>
        <w:t xml:space="preserve">for the </w:t>
      </w:r>
      <w:r w:rsidRPr="00861957">
        <w:rPr>
          <w:color w:val="000000" w:themeColor="dark1"/>
          <w:kern w:val="24"/>
        </w:rPr>
        <w:t>teach</w:t>
      </w:r>
      <w:r w:rsidR="00D747CE" w:rsidRPr="00861957">
        <w:rPr>
          <w:color w:val="000000" w:themeColor="dark1"/>
          <w:kern w:val="24"/>
        </w:rPr>
        <w:t>ing of</w:t>
      </w:r>
      <w:r w:rsidRPr="00861957">
        <w:rPr>
          <w:color w:val="000000" w:themeColor="dark1"/>
          <w:kern w:val="24"/>
        </w:rPr>
        <w:t xml:space="preserve"> the state languages to migrants, including refugees and asylum-seekers</w:t>
      </w:r>
      <w:r w:rsidR="00D747CE" w:rsidRPr="00861957">
        <w:rPr>
          <w:color w:val="000000" w:themeColor="dark1"/>
          <w:kern w:val="24"/>
        </w:rPr>
        <w:t>, and</w:t>
      </w:r>
      <w:r w:rsidRPr="00861957">
        <w:rPr>
          <w:color w:val="000000" w:themeColor="dark1"/>
          <w:kern w:val="24"/>
        </w:rPr>
        <w:t xml:space="preserve"> </w:t>
      </w:r>
      <w:r w:rsidR="00D747CE" w:rsidRPr="00861957">
        <w:rPr>
          <w:color w:val="000000" w:themeColor="dark1"/>
          <w:kern w:val="24"/>
        </w:rPr>
        <w:t xml:space="preserve">in </w:t>
      </w:r>
      <w:r w:rsidRPr="00861957">
        <w:rPr>
          <w:color w:val="000000" w:themeColor="dark1"/>
          <w:kern w:val="24"/>
        </w:rPr>
        <w:t>develop</w:t>
      </w:r>
      <w:r w:rsidR="00D747CE" w:rsidRPr="00861957">
        <w:rPr>
          <w:color w:val="000000" w:themeColor="dark1"/>
          <w:kern w:val="24"/>
        </w:rPr>
        <w:t>ing</w:t>
      </w:r>
      <w:r w:rsidRPr="00861957">
        <w:rPr>
          <w:color w:val="000000" w:themeColor="dark1"/>
          <w:kern w:val="24"/>
        </w:rPr>
        <w:t xml:space="preserve"> and implement</w:t>
      </w:r>
      <w:r w:rsidR="00D747CE" w:rsidRPr="00861957">
        <w:rPr>
          <w:color w:val="000000" w:themeColor="dark1"/>
          <w:kern w:val="24"/>
        </w:rPr>
        <w:t>ing</w:t>
      </w:r>
      <w:r w:rsidRPr="00861957">
        <w:rPr>
          <w:color w:val="000000" w:themeColor="dark1"/>
          <w:kern w:val="24"/>
        </w:rPr>
        <w:t xml:space="preserve"> the national redirecting mechanism f</w:t>
      </w:r>
      <w:r w:rsidR="00E27BDD" w:rsidRPr="00861957">
        <w:rPr>
          <w:color w:val="000000" w:themeColor="dark1"/>
          <w:kern w:val="24"/>
        </w:rPr>
        <w:t>or victims of human trafficking.</w:t>
      </w:r>
    </w:p>
    <w:p w14:paraId="083868C5" w14:textId="77777777" w:rsidR="00C63972" w:rsidRPr="00861957" w:rsidRDefault="00C63972" w:rsidP="00C63972">
      <w:pPr>
        <w:jc w:val="both"/>
        <w:rPr>
          <w:b/>
          <w:bCs/>
        </w:rPr>
      </w:pPr>
    </w:p>
    <w:p w14:paraId="7717FA85" w14:textId="10C4E999" w:rsidR="007214B0" w:rsidRPr="00861957" w:rsidRDefault="00F12439" w:rsidP="007214B0">
      <w:pPr>
        <w:pStyle w:val="PlainText"/>
        <w:jc w:val="both"/>
        <w:rPr>
          <w:rFonts w:ascii="Times New Roman" w:hAnsi="Times New Roman" w:cs="Times New Roman"/>
          <w:sz w:val="24"/>
          <w:szCs w:val="24"/>
          <w:lang w:val="en-GB"/>
        </w:rPr>
      </w:pPr>
      <w:r w:rsidRPr="00861957">
        <w:rPr>
          <w:rFonts w:ascii="Times New Roman" w:hAnsi="Times New Roman" w:cs="Times New Roman"/>
          <w:b/>
          <w:sz w:val="24"/>
          <w:szCs w:val="24"/>
          <w:lang w:val="en-GB"/>
        </w:rPr>
        <w:t>Outcome 4.4</w:t>
      </w:r>
      <w:r w:rsidR="007214B0" w:rsidRPr="00861957">
        <w:rPr>
          <w:rFonts w:ascii="Times New Roman" w:hAnsi="Times New Roman" w:cs="Times New Roman"/>
          <w:b/>
          <w:sz w:val="24"/>
          <w:szCs w:val="24"/>
          <w:lang w:val="en-GB"/>
        </w:rPr>
        <w:t>:</w:t>
      </w:r>
      <w:r w:rsidR="007214B0" w:rsidRPr="00861957">
        <w:rPr>
          <w:rFonts w:ascii="Times New Roman" w:hAnsi="Times New Roman" w:cs="Times New Roman"/>
          <w:sz w:val="24"/>
          <w:szCs w:val="24"/>
          <w:lang w:val="en-GB"/>
        </w:rPr>
        <w:t xml:space="preserve"> </w:t>
      </w:r>
      <w:r w:rsidR="00EC3DB9" w:rsidRPr="00861957">
        <w:rPr>
          <w:rFonts w:ascii="Times New Roman" w:hAnsi="Times New Roman" w:cs="Times New Roman"/>
          <w:sz w:val="24"/>
          <w:szCs w:val="24"/>
          <w:lang w:val="en-GB"/>
        </w:rPr>
        <w:t xml:space="preserve">By 2020, the system </w:t>
      </w:r>
      <w:r w:rsidR="007411C6" w:rsidRPr="00861957">
        <w:rPr>
          <w:rFonts w:ascii="Times New Roman" w:hAnsi="Times New Roman" w:cs="Times New Roman"/>
          <w:sz w:val="24"/>
          <w:szCs w:val="24"/>
          <w:lang w:val="en-GB"/>
        </w:rPr>
        <w:t xml:space="preserve">for </w:t>
      </w:r>
      <w:r w:rsidR="00EC3DB9" w:rsidRPr="00861957">
        <w:rPr>
          <w:rFonts w:ascii="Times New Roman" w:hAnsi="Times New Roman" w:cs="Times New Roman"/>
          <w:sz w:val="24"/>
          <w:szCs w:val="24"/>
          <w:lang w:val="en-GB"/>
        </w:rPr>
        <w:t xml:space="preserve">ensuring </w:t>
      </w:r>
      <w:r w:rsidR="007411C6" w:rsidRPr="00861957">
        <w:rPr>
          <w:rFonts w:ascii="Times New Roman" w:hAnsi="Times New Roman" w:cs="Times New Roman"/>
          <w:sz w:val="24"/>
          <w:szCs w:val="24"/>
          <w:lang w:val="en-GB"/>
        </w:rPr>
        <w:t xml:space="preserve">the </w:t>
      </w:r>
      <w:r w:rsidR="00EC3DB9" w:rsidRPr="00861957">
        <w:rPr>
          <w:rFonts w:ascii="Times New Roman" w:hAnsi="Times New Roman" w:cs="Times New Roman"/>
          <w:sz w:val="24"/>
          <w:szCs w:val="24"/>
          <w:lang w:val="en-GB"/>
        </w:rPr>
        <w:t xml:space="preserve">life safety of children and adults </w:t>
      </w:r>
      <w:r w:rsidR="007411C6" w:rsidRPr="00861957">
        <w:rPr>
          <w:rFonts w:ascii="Times New Roman" w:hAnsi="Times New Roman" w:cs="Times New Roman"/>
          <w:sz w:val="24"/>
          <w:szCs w:val="24"/>
          <w:lang w:val="en-GB"/>
        </w:rPr>
        <w:t xml:space="preserve">will be </w:t>
      </w:r>
      <w:r w:rsidR="00EC3DB9" w:rsidRPr="00861957">
        <w:rPr>
          <w:rFonts w:ascii="Times New Roman" w:hAnsi="Times New Roman" w:cs="Times New Roman"/>
          <w:sz w:val="24"/>
          <w:szCs w:val="24"/>
          <w:lang w:val="en-GB"/>
        </w:rPr>
        <w:t>significantly enhanced</w:t>
      </w:r>
      <w:r w:rsidR="007411C6" w:rsidRPr="00861957">
        <w:rPr>
          <w:rFonts w:ascii="Times New Roman" w:hAnsi="Times New Roman" w:cs="Times New Roman"/>
          <w:sz w:val="24"/>
          <w:szCs w:val="24"/>
          <w:lang w:val="en-GB"/>
        </w:rPr>
        <w:t>.</w:t>
      </w:r>
    </w:p>
    <w:p w14:paraId="6DF2BFEB" w14:textId="77777777" w:rsidR="000C04A0" w:rsidRPr="00861957" w:rsidRDefault="000C04A0" w:rsidP="007214B0">
      <w:pPr>
        <w:pStyle w:val="PlainText"/>
        <w:jc w:val="both"/>
        <w:rPr>
          <w:rFonts w:ascii="Times New Roman" w:hAnsi="Times New Roman" w:cs="Times New Roman"/>
          <w:sz w:val="24"/>
          <w:szCs w:val="24"/>
          <w:lang w:val="en-GB"/>
        </w:rPr>
      </w:pPr>
    </w:p>
    <w:p w14:paraId="14B9811A" w14:textId="77777777" w:rsidR="00023D27" w:rsidRPr="00861957" w:rsidRDefault="00023D27" w:rsidP="00BC6087">
      <w:pPr>
        <w:pStyle w:val="PlainText"/>
        <w:jc w:val="both"/>
        <w:rPr>
          <w:rFonts w:ascii="Times New Roman" w:hAnsi="Times New Roman" w:cs="Times New Roman"/>
          <w:i/>
          <w:color w:val="000000" w:themeColor="text1"/>
          <w:sz w:val="24"/>
          <w:szCs w:val="24"/>
          <w:lang w:val="en-GB"/>
        </w:rPr>
      </w:pPr>
      <w:r w:rsidRPr="00861957">
        <w:rPr>
          <w:rFonts w:ascii="Times New Roman" w:hAnsi="Times New Roman" w:cs="Times New Roman"/>
          <w:i/>
          <w:color w:val="000000" w:themeColor="text1"/>
          <w:sz w:val="24"/>
          <w:szCs w:val="24"/>
          <w:lang w:val="en-GB"/>
        </w:rPr>
        <w:t xml:space="preserve">Child traumatism and mortality from external causes </w:t>
      </w:r>
    </w:p>
    <w:p w14:paraId="2B9A771F" w14:textId="77777777" w:rsidR="00023D27" w:rsidRPr="00861957" w:rsidRDefault="00023D27" w:rsidP="00BC6087">
      <w:pPr>
        <w:pStyle w:val="PlainText"/>
        <w:jc w:val="both"/>
        <w:rPr>
          <w:rFonts w:ascii="Times New Roman" w:hAnsi="Times New Roman" w:cs="Times New Roman"/>
          <w:i/>
          <w:color w:val="000000" w:themeColor="text1"/>
          <w:sz w:val="24"/>
          <w:szCs w:val="24"/>
          <w:lang w:val="en-GB"/>
        </w:rPr>
      </w:pPr>
    </w:p>
    <w:p w14:paraId="5FD8AE56" w14:textId="64B10536" w:rsidR="00D13729" w:rsidRPr="00861957" w:rsidRDefault="003D02BC" w:rsidP="00BC6087">
      <w:pPr>
        <w:pStyle w:val="PlainText"/>
        <w:jc w:val="both"/>
        <w:rPr>
          <w:rFonts w:ascii="Times New Roman" w:hAnsi="Times New Roman" w:cs="Times New Roman"/>
          <w:color w:val="000000" w:themeColor="text1"/>
          <w:sz w:val="24"/>
          <w:szCs w:val="24"/>
          <w:lang w:val="en-GB"/>
        </w:rPr>
      </w:pPr>
      <w:r w:rsidRPr="00861957">
        <w:rPr>
          <w:rFonts w:ascii="Times New Roman" w:hAnsi="Times New Roman" w:cs="Times New Roman"/>
          <w:color w:val="000000" w:themeColor="text1"/>
          <w:sz w:val="24"/>
          <w:szCs w:val="24"/>
          <w:lang w:val="en-GB"/>
        </w:rPr>
        <w:t>L</w:t>
      </w:r>
      <w:r w:rsidR="001C0112" w:rsidRPr="00861957">
        <w:rPr>
          <w:rFonts w:ascii="Times New Roman" w:hAnsi="Times New Roman" w:cs="Times New Roman"/>
          <w:color w:val="000000" w:themeColor="text1"/>
          <w:sz w:val="24"/>
          <w:szCs w:val="24"/>
          <w:lang w:val="en-GB"/>
        </w:rPr>
        <w:t>ife safety problems represent a significant issue for the quality of life of Belarusians</w:t>
      </w:r>
      <w:r w:rsidR="00D13729" w:rsidRPr="00861957">
        <w:rPr>
          <w:rFonts w:ascii="Times New Roman" w:hAnsi="Times New Roman" w:cs="Times New Roman"/>
          <w:color w:val="000000" w:themeColor="text1"/>
          <w:sz w:val="24"/>
          <w:szCs w:val="24"/>
          <w:lang w:val="en-GB"/>
        </w:rPr>
        <w:t xml:space="preserve">. </w:t>
      </w:r>
      <w:r w:rsidR="00D13729" w:rsidRPr="00861957">
        <w:rPr>
          <w:rFonts w:ascii="Times New Roman" w:hAnsi="Times New Roman" w:cs="Times New Roman"/>
          <w:sz w:val="24"/>
          <w:szCs w:val="24"/>
          <w:lang w:val="en-GB"/>
        </w:rPr>
        <w:t xml:space="preserve">Among the main causes of child mortality, external causes were </w:t>
      </w:r>
      <w:r w:rsidR="00920D02" w:rsidRPr="00861957">
        <w:rPr>
          <w:rFonts w:ascii="Times New Roman" w:hAnsi="Times New Roman" w:cs="Times New Roman"/>
          <w:sz w:val="24"/>
          <w:szCs w:val="24"/>
          <w:lang w:val="en-GB"/>
        </w:rPr>
        <w:t>the most common,</w:t>
      </w:r>
      <w:r w:rsidR="00D13729" w:rsidRPr="00861957">
        <w:rPr>
          <w:rFonts w:ascii="Times New Roman" w:hAnsi="Times New Roman" w:cs="Times New Roman"/>
          <w:sz w:val="24"/>
          <w:szCs w:val="24"/>
          <w:lang w:val="en-GB"/>
        </w:rPr>
        <w:t xml:space="preserve"> account</w:t>
      </w:r>
      <w:r w:rsidR="00920D02" w:rsidRPr="00861957">
        <w:rPr>
          <w:rFonts w:ascii="Times New Roman" w:hAnsi="Times New Roman" w:cs="Times New Roman"/>
          <w:sz w:val="24"/>
          <w:szCs w:val="24"/>
          <w:lang w:val="en-GB"/>
        </w:rPr>
        <w:t>ing</w:t>
      </w:r>
      <w:r w:rsidR="00D13729" w:rsidRPr="00861957">
        <w:rPr>
          <w:rFonts w:ascii="Times New Roman" w:hAnsi="Times New Roman" w:cs="Times New Roman"/>
          <w:sz w:val="24"/>
          <w:szCs w:val="24"/>
          <w:lang w:val="en-GB"/>
        </w:rPr>
        <w:t xml:space="preserve"> for 30.5% of all child deaths</w:t>
      </w:r>
      <w:r w:rsidR="006815E4" w:rsidRPr="00861957">
        <w:rPr>
          <w:rFonts w:ascii="Times New Roman" w:hAnsi="Times New Roman" w:cs="Times New Roman"/>
          <w:sz w:val="24"/>
          <w:szCs w:val="24"/>
          <w:lang w:val="en-GB"/>
        </w:rPr>
        <w:t xml:space="preserve"> within the age range 0-17</w:t>
      </w:r>
      <w:r w:rsidR="00D13729" w:rsidRPr="00861957">
        <w:rPr>
          <w:rFonts w:ascii="Times New Roman" w:hAnsi="Times New Roman" w:cs="Times New Roman"/>
          <w:sz w:val="24"/>
          <w:szCs w:val="24"/>
          <w:lang w:val="en-GB"/>
        </w:rPr>
        <w:t>, including 23.4% of all child deaths among children age</w:t>
      </w:r>
      <w:r w:rsidR="00920D02" w:rsidRPr="00861957">
        <w:rPr>
          <w:rFonts w:ascii="Times New Roman" w:hAnsi="Times New Roman" w:cs="Times New Roman"/>
          <w:sz w:val="24"/>
          <w:szCs w:val="24"/>
          <w:lang w:val="en-GB"/>
        </w:rPr>
        <w:t>d</w:t>
      </w:r>
      <w:r w:rsidR="00D13729" w:rsidRPr="00861957">
        <w:rPr>
          <w:rFonts w:ascii="Times New Roman" w:hAnsi="Times New Roman" w:cs="Times New Roman"/>
          <w:sz w:val="24"/>
          <w:szCs w:val="24"/>
          <w:lang w:val="en-GB"/>
        </w:rPr>
        <w:t xml:space="preserve"> 0-14 and 67.4% of all child deaths in the age </w:t>
      </w:r>
      <w:r w:rsidR="00920D02" w:rsidRPr="00861957">
        <w:rPr>
          <w:rFonts w:ascii="Times New Roman" w:hAnsi="Times New Roman" w:cs="Times New Roman"/>
          <w:sz w:val="24"/>
          <w:szCs w:val="24"/>
          <w:lang w:val="en-GB"/>
        </w:rPr>
        <w:t xml:space="preserve">range </w:t>
      </w:r>
      <w:r w:rsidR="00D13729" w:rsidRPr="00861957">
        <w:rPr>
          <w:rFonts w:ascii="Times New Roman" w:hAnsi="Times New Roman" w:cs="Times New Roman"/>
          <w:sz w:val="24"/>
          <w:szCs w:val="24"/>
          <w:lang w:val="en-GB"/>
        </w:rPr>
        <w:t xml:space="preserve">15-17. Among the </w:t>
      </w:r>
      <w:r w:rsidR="00920D02" w:rsidRPr="00861957">
        <w:rPr>
          <w:rFonts w:ascii="Times New Roman" w:hAnsi="Times New Roman" w:cs="Times New Roman"/>
          <w:sz w:val="24"/>
          <w:szCs w:val="24"/>
          <w:lang w:val="en-GB"/>
        </w:rPr>
        <w:t xml:space="preserve">main </w:t>
      </w:r>
      <w:r w:rsidR="00D13729" w:rsidRPr="00861957">
        <w:rPr>
          <w:rFonts w:ascii="Times New Roman" w:hAnsi="Times New Roman" w:cs="Times New Roman"/>
          <w:sz w:val="24"/>
          <w:szCs w:val="24"/>
          <w:lang w:val="en-GB"/>
        </w:rPr>
        <w:t>external causes of child mortality</w:t>
      </w:r>
      <w:r w:rsidR="00920D02" w:rsidRPr="00861957">
        <w:rPr>
          <w:rFonts w:ascii="Times New Roman" w:hAnsi="Times New Roman" w:cs="Times New Roman"/>
          <w:sz w:val="24"/>
          <w:szCs w:val="24"/>
          <w:lang w:val="en-GB"/>
        </w:rPr>
        <w:t xml:space="preserve"> </w:t>
      </w:r>
      <w:r w:rsidR="00D13729" w:rsidRPr="00861957">
        <w:rPr>
          <w:rFonts w:ascii="Times New Roman" w:hAnsi="Times New Roman" w:cs="Times New Roman"/>
          <w:sz w:val="24"/>
          <w:szCs w:val="24"/>
          <w:lang w:val="en-GB"/>
        </w:rPr>
        <w:t xml:space="preserve">are road accidents (23.7%), drowning (21.2%), asphyxiation (10.6%), suicide (9.8%), falls (5.7%), </w:t>
      </w:r>
      <w:r w:rsidR="00920D02" w:rsidRPr="00861957">
        <w:rPr>
          <w:rFonts w:ascii="Times New Roman" w:hAnsi="Times New Roman" w:cs="Times New Roman"/>
          <w:sz w:val="24"/>
          <w:szCs w:val="24"/>
          <w:lang w:val="en-GB"/>
        </w:rPr>
        <w:t xml:space="preserve">the </w:t>
      </w:r>
      <w:r w:rsidR="00D13729" w:rsidRPr="00861957">
        <w:rPr>
          <w:rFonts w:ascii="Times New Roman" w:hAnsi="Times New Roman" w:cs="Times New Roman"/>
          <w:sz w:val="24"/>
          <w:szCs w:val="24"/>
          <w:lang w:val="en-GB"/>
        </w:rPr>
        <w:t xml:space="preserve">impact of smoke and fires (4.5%), poisoning (3.7%) and murders (3.3%). </w:t>
      </w:r>
    </w:p>
    <w:p w14:paraId="16A4FD6D" w14:textId="77777777" w:rsidR="00D13729" w:rsidRPr="00861957" w:rsidRDefault="00D13729" w:rsidP="00D13729">
      <w:pPr>
        <w:jc w:val="both"/>
      </w:pPr>
    </w:p>
    <w:p w14:paraId="529AEC74" w14:textId="4D049F49" w:rsidR="009A5AB4" w:rsidRPr="00861957" w:rsidRDefault="009A5AB4" w:rsidP="009A5AB4">
      <w:pPr>
        <w:autoSpaceDE w:val="0"/>
        <w:autoSpaceDN w:val="0"/>
        <w:adjustRightInd w:val="0"/>
        <w:jc w:val="both"/>
        <w:rPr>
          <w:color w:val="FF0000"/>
        </w:rPr>
      </w:pPr>
      <w:r w:rsidRPr="00861957">
        <w:t xml:space="preserve">UNICEF and WHO will assist in the implementation of the </w:t>
      </w:r>
      <w:r w:rsidRPr="00861957">
        <w:rPr>
          <w:kern w:val="24"/>
        </w:rPr>
        <w:t xml:space="preserve">inter-ministerial action plan for 2014-2018 on </w:t>
      </w:r>
      <w:r w:rsidR="006A1E21" w:rsidRPr="00861957">
        <w:rPr>
          <w:kern w:val="24"/>
        </w:rPr>
        <w:t xml:space="preserve">the </w:t>
      </w:r>
      <w:r w:rsidRPr="00861957">
        <w:rPr>
          <w:kern w:val="24"/>
        </w:rPr>
        <w:t>prevention of injuries and trauma among children</w:t>
      </w:r>
      <w:r w:rsidR="006A1E21" w:rsidRPr="00861957">
        <w:rPr>
          <w:kern w:val="24"/>
        </w:rPr>
        <w:t>,</w:t>
      </w:r>
      <w:r w:rsidRPr="00861957">
        <w:rPr>
          <w:kern w:val="24"/>
        </w:rPr>
        <w:t xml:space="preserve"> with the aim </w:t>
      </w:r>
      <w:r w:rsidR="006A1E21" w:rsidRPr="00861957">
        <w:rPr>
          <w:kern w:val="24"/>
        </w:rPr>
        <w:t xml:space="preserve">of </w:t>
      </w:r>
      <w:r w:rsidRPr="00861957">
        <w:rPr>
          <w:kern w:val="24"/>
        </w:rPr>
        <w:t>decreas</w:t>
      </w:r>
      <w:r w:rsidR="006A1E21" w:rsidRPr="00861957">
        <w:rPr>
          <w:kern w:val="24"/>
        </w:rPr>
        <w:t>ing</w:t>
      </w:r>
      <w:r w:rsidRPr="00861957">
        <w:rPr>
          <w:kern w:val="24"/>
        </w:rPr>
        <w:t xml:space="preserve"> child disability </w:t>
      </w:r>
      <w:r w:rsidRPr="00861957">
        <w:rPr>
          <w:color w:val="000000" w:themeColor="dark1"/>
          <w:kern w:val="24"/>
        </w:rPr>
        <w:t>from external causes per 10,000 child population (aged 0-17) from 0.47 in 2012 to 0.4 in 2019</w:t>
      </w:r>
      <w:r w:rsidR="006A1E21" w:rsidRPr="00861957">
        <w:rPr>
          <w:color w:val="000000" w:themeColor="dark1"/>
          <w:kern w:val="24"/>
        </w:rPr>
        <w:t>,</w:t>
      </w:r>
      <w:r w:rsidRPr="00861957">
        <w:rPr>
          <w:color w:val="000000" w:themeColor="dark1"/>
          <w:kern w:val="24"/>
        </w:rPr>
        <w:t xml:space="preserve"> and </w:t>
      </w:r>
      <w:r w:rsidR="006A1E21" w:rsidRPr="00861957">
        <w:rPr>
          <w:color w:val="000000" w:themeColor="dark1"/>
          <w:kern w:val="24"/>
        </w:rPr>
        <w:t xml:space="preserve">of </w:t>
      </w:r>
      <w:r w:rsidRPr="00861957">
        <w:rPr>
          <w:color w:val="000000" w:themeColor="dark1"/>
          <w:kern w:val="24"/>
        </w:rPr>
        <w:t>decreas</w:t>
      </w:r>
      <w:r w:rsidR="006A1E21" w:rsidRPr="00861957">
        <w:rPr>
          <w:color w:val="000000" w:themeColor="dark1"/>
          <w:kern w:val="24"/>
        </w:rPr>
        <w:t>ing</w:t>
      </w:r>
      <w:r w:rsidRPr="00861957">
        <w:rPr>
          <w:color w:val="000000" w:themeColor="dark1"/>
          <w:kern w:val="24"/>
        </w:rPr>
        <w:t xml:space="preserve"> mortality among children (aged 0-17) from external causes from 14.1 per 100,000 children in 2012 to 12.0 per 100,000 children in 2019</w:t>
      </w:r>
      <w:r w:rsidRPr="00861957">
        <w:rPr>
          <w:color w:val="FF0000"/>
        </w:rPr>
        <w:t>.</w:t>
      </w:r>
    </w:p>
    <w:p w14:paraId="1C6DFE47" w14:textId="77777777" w:rsidR="00271F1A" w:rsidRPr="00861957" w:rsidRDefault="00271F1A" w:rsidP="009A5AB4">
      <w:pPr>
        <w:autoSpaceDE w:val="0"/>
        <w:autoSpaceDN w:val="0"/>
        <w:adjustRightInd w:val="0"/>
        <w:jc w:val="both"/>
        <w:rPr>
          <w:color w:val="FF0000"/>
        </w:rPr>
      </w:pPr>
    </w:p>
    <w:p w14:paraId="42C09EFE" w14:textId="3C61B7A4" w:rsidR="00271F1A" w:rsidRPr="00861957" w:rsidRDefault="00271F1A" w:rsidP="009A5AB4">
      <w:pPr>
        <w:autoSpaceDE w:val="0"/>
        <w:autoSpaceDN w:val="0"/>
        <w:adjustRightInd w:val="0"/>
        <w:jc w:val="both"/>
        <w:rPr>
          <w:color w:val="000000" w:themeColor="text1"/>
        </w:rPr>
      </w:pPr>
      <w:r w:rsidRPr="00861957">
        <w:rPr>
          <w:color w:val="000000" w:themeColor="text1"/>
        </w:rPr>
        <w:t>To ensure the reduction of child mortality and disability from external causes, UNICEF will support the development of a well-functioning system of child injury prevention</w:t>
      </w:r>
      <w:r w:rsidR="006A1E21" w:rsidRPr="00861957">
        <w:rPr>
          <w:color w:val="000000" w:themeColor="text1"/>
        </w:rPr>
        <w:t>,</w:t>
      </w:r>
      <w:r w:rsidRPr="00861957">
        <w:rPr>
          <w:color w:val="000000" w:themeColor="text1"/>
        </w:rPr>
        <w:t xml:space="preserve"> focusing on</w:t>
      </w:r>
      <w:r w:rsidR="006A1E21" w:rsidRPr="00861957">
        <w:rPr>
          <w:color w:val="000000" w:themeColor="text1"/>
        </w:rPr>
        <w:t>:</w:t>
      </w:r>
      <w:r w:rsidRPr="00861957">
        <w:rPr>
          <w:color w:val="000000" w:themeColor="text1"/>
        </w:rPr>
        <w:t xml:space="preserve"> effective inter-sectoral cooperation; capacity development of professionals; implementation of advanced preventive measures; enhancing safe behaviour skills among adolescents and youth</w:t>
      </w:r>
      <w:r w:rsidR="006A1E21" w:rsidRPr="00861957">
        <w:rPr>
          <w:color w:val="000000" w:themeColor="text1"/>
        </w:rPr>
        <w:t>;</w:t>
      </w:r>
      <w:r w:rsidRPr="00861957">
        <w:rPr>
          <w:color w:val="000000" w:themeColor="text1"/>
        </w:rPr>
        <w:t xml:space="preserve"> </w:t>
      </w:r>
      <w:r w:rsidR="006A1E21" w:rsidRPr="00861957">
        <w:rPr>
          <w:color w:val="000000" w:themeColor="text1"/>
        </w:rPr>
        <w:t xml:space="preserve">and </w:t>
      </w:r>
      <w:r w:rsidRPr="00861957">
        <w:rPr>
          <w:color w:val="000000" w:themeColor="text1"/>
        </w:rPr>
        <w:t>improv</w:t>
      </w:r>
      <w:r w:rsidR="006A1E21" w:rsidRPr="00861957">
        <w:rPr>
          <w:color w:val="000000" w:themeColor="text1"/>
        </w:rPr>
        <w:t>ing</w:t>
      </w:r>
      <w:r w:rsidRPr="00861957">
        <w:rPr>
          <w:color w:val="000000" w:themeColor="text1"/>
        </w:rPr>
        <w:t xml:space="preserve"> parents’ knowledge and skills </w:t>
      </w:r>
      <w:r w:rsidR="006A1E21" w:rsidRPr="00861957">
        <w:rPr>
          <w:color w:val="000000" w:themeColor="text1"/>
        </w:rPr>
        <w:t xml:space="preserve">about the </w:t>
      </w:r>
      <w:r w:rsidRPr="00861957">
        <w:rPr>
          <w:color w:val="000000" w:themeColor="text1"/>
        </w:rPr>
        <w:t xml:space="preserve">creation of </w:t>
      </w:r>
      <w:r w:rsidR="006A1E21" w:rsidRPr="00861957">
        <w:rPr>
          <w:color w:val="000000" w:themeColor="text1"/>
        </w:rPr>
        <w:t xml:space="preserve">a </w:t>
      </w:r>
      <w:r w:rsidRPr="00861957">
        <w:rPr>
          <w:color w:val="000000" w:themeColor="text1"/>
        </w:rPr>
        <w:t>safe living environment for children.</w:t>
      </w:r>
    </w:p>
    <w:p w14:paraId="72A04EC3" w14:textId="77777777" w:rsidR="00023D27" w:rsidRPr="00861957" w:rsidRDefault="00023D27" w:rsidP="00BC6087">
      <w:pPr>
        <w:jc w:val="both"/>
        <w:rPr>
          <w:color w:val="000000" w:themeColor="dark1"/>
          <w:kern w:val="24"/>
        </w:rPr>
      </w:pPr>
    </w:p>
    <w:p w14:paraId="0AFA7C8A" w14:textId="77777777" w:rsidR="00023D27" w:rsidRPr="00861957" w:rsidRDefault="00023D27" w:rsidP="00BC6087">
      <w:pPr>
        <w:jc w:val="both"/>
        <w:rPr>
          <w:i/>
          <w:color w:val="000000" w:themeColor="dark1"/>
          <w:kern w:val="24"/>
        </w:rPr>
      </w:pPr>
      <w:r w:rsidRPr="00861957">
        <w:rPr>
          <w:i/>
          <w:color w:val="000000" w:themeColor="dark1"/>
          <w:kern w:val="24"/>
        </w:rPr>
        <w:t>Drug abuse among children and adults</w:t>
      </w:r>
    </w:p>
    <w:p w14:paraId="46886A9D" w14:textId="77777777" w:rsidR="00BC6087" w:rsidRPr="00861957" w:rsidRDefault="00BC6087" w:rsidP="00BC6087">
      <w:pPr>
        <w:jc w:val="both"/>
        <w:rPr>
          <w:color w:val="000000" w:themeColor="dark1"/>
          <w:kern w:val="24"/>
        </w:rPr>
      </w:pPr>
    </w:p>
    <w:p w14:paraId="7A6ED083" w14:textId="0BCED085" w:rsidR="00BC6087" w:rsidRPr="00861957" w:rsidRDefault="00BC6087" w:rsidP="00BC6087">
      <w:pPr>
        <w:jc w:val="both"/>
      </w:pPr>
      <w:r w:rsidRPr="00861957">
        <w:rPr>
          <w:color w:val="000000" w:themeColor="dark1"/>
          <w:kern w:val="24"/>
        </w:rPr>
        <w:t>Another important life safety problem among children and adults is drug abuse</w:t>
      </w:r>
      <w:r w:rsidR="00B16F57" w:rsidRPr="00861957">
        <w:rPr>
          <w:color w:val="000000" w:themeColor="dark1"/>
          <w:kern w:val="24"/>
        </w:rPr>
        <w:t>, which has public health consequences such as</w:t>
      </w:r>
      <w:r w:rsidR="006A1E21" w:rsidRPr="00861957">
        <w:rPr>
          <w:color w:val="000000" w:themeColor="dark1"/>
          <w:kern w:val="24"/>
        </w:rPr>
        <w:t xml:space="preserve"> an</w:t>
      </w:r>
      <w:r w:rsidR="00B16F57" w:rsidRPr="00861957">
        <w:rPr>
          <w:color w:val="000000" w:themeColor="dark1"/>
          <w:kern w:val="24"/>
        </w:rPr>
        <w:t xml:space="preserve"> increased risk of </w:t>
      </w:r>
      <w:r w:rsidR="006A1E21" w:rsidRPr="00861957">
        <w:rPr>
          <w:color w:val="000000" w:themeColor="dark1"/>
          <w:kern w:val="24"/>
        </w:rPr>
        <w:t xml:space="preserve">the </w:t>
      </w:r>
      <w:r w:rsidR="00B16F57" w:rsidRPr="00861957">
        <w:rPr>
          <w:color w:val="000000" w:themeColor="dark1"/>
          <w:kern w:val="24"/>
        </w:rPr>
        <w:t>transmission of HIV, TB and hepatitis</w:t>
      </w:r>
      <w:r w:rsidRPr="00861957">
        <w:rPr>
          <w:color w:val="000000" w:themeColor="dark1"/>
          <w:kern w:val="24"/>
        </w:rPr>
        <w:t xml:space="preserve">. </w:t>
      </w:r>
      <w:r w:rsidRPr="00861957">
        <w:t xml:space="preserve">The official register of </w:t>
      </w:r>
      <w:r w:rsidR="009E6762" w:rsidRPr="00861957">
        <w:t>PWID</w:t>
      </w:r>
      <w:r w:rsidRPr="00861957">
        <w:t xml:space="preserve"> in</w:t>
      </w:r>
      <w:r w:rsidR="007B468A" w:rsidRPr="00861957">
        <w:t>cludes more than 15</w:t>
      </w:r>
      <w:r w:rsidRPr="00861957">
        <w:t>,000 peopl</w:t>
      </w:r>
      <w:r w:rsidR="007B468A" w:rsidRPr="00861957">
        <w:t>e.</w:t>
      </w:r>
      <w:r w:rsidR="006A1E21" w:rsidRPr="00861957">
        <w:t xml:space="preserve"> In addition</w:t>
      </w:r>
      <w:r w:rsidR="007B468A" w:rsidRPr="00861957">
        <w:t xml:space="preserve">, several thousand former PWID </w:t>
      </w:r>
      <w:r w:rsidRPr="00861957">
        <w:t>are in prison.</w:t>
      </w:r>
    </w:p>
    <w:p w14:paraId="08423CBC" w14:textId="77777777" w:rsidR="00BC6087" w:rsidRPr="00861957" w:rsidRDefault="00BC6087" w:rsidP="00BC6087">
      <w:pPr>
        <w:jc w:val="both"/>
        <w:rPr>
          <w:color w:val="000000" w:themeColor="dark1"/>
          <w:kern w:val="24"/>
        </w:rPr>
      </w:pPr>
    </w:p>
    <w:p w14:paraId="7020B79C" w14:textId="0C36BC6C" w:rsidR="00023D27" w:rsidRPr="00861957" w:rsidRDefault="0065423C" w:rsidP="0065423C">
      <w:pPr>
        <w:jc w:val="both"/>
        <w:rPr>
          <w:color w:val="000000" w:themeColor="dark1"/>
          <w:kern w:val="24"/>
        </w:rPr>
      </w:pPr>
      <w:r w:rsidRPr="00861957">
        <w:rPr>
          <w:color w:val="000000" w:themeColor="dark1"/>
          <w:kern w:val="24"/>
        </w:rPr>
        <w:lastRenderedPageBreak/>
        <w:t xml:space="preserve">UNICEF, </w:t>
      </w:r>
      <w:r w:rsidR="00BC6087" w:rsidRPr="00861957">
        <w:rPr>
          <w:color w:val="000000" w:themeColor="dark1"/>
          <w:kern w:val="24"/>
        </w:rPr>
        <w:t xml:space="preserve">UNAIDS and UNODC </w:t>
      </w:r>
      <w:r w:rsidR="006A1E21" w:rsidRPr="00861957">
        <w:rPr>
          <w:color w:val="000000" w:themeColor="dark1"/>
          <w:kern w:val="24"/>
        </w:rPr>
        <w:t xml:space="preserve">are </w:t>
      </w:r>
      <w:r w:rsidR="00023D27" w:rsidRPr="00861957">
        <w:rPr>
          <w:color w:val="000000" w:themeColor="dark1"/>
          <w:kern w:val="24"/>
        </w:rPr>
        <w:t>committed</w:t>
      </w:r>
      <w:r w:rsidR="00BC6087" w:rsidRPr="00861957">
        <w:rPr>
          <w:color w:val="000000" w:themeColor="dark1"/>
          <w:kern w:val="24"/>
        </w:rPr>
        <w:t xml:space="preserve"> to assist</w:t>
      </w:r>
      <w:r w:rsidR="006A1E21" w:rsidRPr="00861957">
        <w:rPr>
          <w:color w:val="000000" w:themeColor="dark1"/>
          <w:kern w:val="24"/>
        </w:rPr>
        <w:t>ing</w:t>
      </w:r>
      <w:r w:rsidR="00BC6087" w:rsidRPr="00861957">
        <w:rPr>
          <w:color w:val="000000" w:themeColor="dark1"/>
          <w:kern w:val="24"/>
        </w:rPr>
        <w:t xml:space="preserve"> the country </w:t>
      </w:r>
      <w:r w:rsidR="007B468A" w:rsidRPr="00861957">
        <w:rPr>
          <w:color w:val="000000" w:themeColor="dark1"/>
          <w:kern w:val="24"/>
        </w:rPr>
        <w:t>in</w:t>
      </w:r>
      <w:r w:rsidR="00BC6087" w:rsidRPr="00861957">
        <w:rPr>
          <w:color w:val="000000" w:themeColor="dark1"/>
          <w:kern w:val="24"/>
        </w:rPr>
        <w:t xml:space="preserve"> </w:t>
      </w:r>
      <w:r w:rsidR="007B468A" w:rsidRPr="00861957">
        <w:rPr>
          <w:color w:val="000000" w:themeColor="dark1"/>
          <w:kern w:val="24"/>
        </w:rPr>
        <w:t>increasing</w:t>
      </w:r>
      <w:r w:rsidR="00023D27" w:rsidRPr="00861957">
        <w:rPr>
          <w:color w:val="000000" w:themeColor="dark1"/>
          <w:kern w:val="24"/>
        </w:rPr>
        <w:t xml:space="preserve"> the number of </w:t>
      </w:r>
      <w:r w:rsidR="00351963" w:rsidRPr="00861957">
        <w:rPr>
          <w:color w:val="000000" w:themeColor="dark1"/>
          <w:kern w:val="24"/>
        </w:rPr>
        <w:t>adolescents</w:t>
      </w:r>
      <w:r w:rsidR="00023D27" w:rsidRPr="00861957">
        <w:rPr>
          <w:color w:val="000000" w:themeColor="dark1"/>
          <w:kern w:val="24"/>
        </w:rPr>
        <w:t xml:space="preserve"> </w:t>
      </w:r>
      <w:r w:rsidR="00023D27" w:rsidRPr="00861957">
        <w:rPr>
          <w:kern w:val="24"/>
        </w:rPr>
        <w:t>delisted from</w:t>
      </w:r>
      <w:r w:rsidR="00BC6087" w:rsidRPr="00861957">
        <w:rPr>
          <w:kern w:val="24"/>
        </w:rPr>
        <w:t xml:space="preserve"> the narcological register</w:t>
      </w:r>
      <w:r w:rsidR="00023D27" w:rsidRPr="00861957">
        <w:rPr>
          <w:kern w:val="24"/>
        </w:rPr>
        <w:t xml:space="preserve"> due to the</w:t>
      </w:r>
      <w:r w:rsidR="006A1E21" w:rsidRPr="00861957">
        <w:rPr>
          <w:kern w:val="24"/>
        </w:rPr>
        <w:t>ir</w:t>
      </w:r>
      <w:r w:rsidR="00023D27" w:rsidRPr="00861957">
        <w:rPr>
          <w:kern w:val="24"/>
        </w:rPr>
        <w:t xml:space="preserve"> discontinuation of the use of psyc</w:t>
      </w:r>
      <w:r w:rsidR="007B468A" w:rsidRPr="00861957">
        <w:rPr>
          <w:kern w:val="24"/>
        </w:rPr>
        <w:t>hoactive substances by 50%</w:t>
      </w:r>
      <w:r w:rsidR="006A1E21" w:rsidRPr="00861957">
        <w:rPr>
          <w:kern w:val="24"/>
        </w:rPr>
        <w:t>,</w:t>
      </w:r>
      <w:r w:rsidR="007B468A" w:rsidRPr="00861957">
        <w:rPr>
          <w:kern w:val="24"/>
        </w:rPr>
        <w:t xml:space="preserve"> and in creating</w:t>
      </w:r>
      <w:r w:rsidR="00023D27" w:rsidRPr="00861957">
        <w:rPr>
          <w:kern w:val="24"/>
        </w:rPr>
        <w:t xml:space="preserve"> an operational modern system </w:t>
      </w:r>
      <w:r w:rsidR="006A1E21" w:rsidRPr="00861957">
        <w:rPr>
          <w:kern w:val="24"/>
        </w:rPr>
        <w:t xml:space="preserve">for the </w:t>
      </w:r>
      <w:r w:rsidR="00023D27" w:rsidRPr="00861957">
        <w:rPr>
          <w:kern w:val="24"/>
        </w:rPr>
        <w:t xml:space="preserve">psychosocial rehabilitation of drug-dependent individuals, including </w:t>
      </w:r>
      <w:r w:rsidR="00351963" w:rsidRPr="00861957">
        <w:rPr>
          <w:kern w:val="24"/>
        </w:rPr>
        <w:t>adolescent</w:t>
      </w:r>
      <w:r w:rsidR="00023D27" w:rsidRPr="00861957">
        <w:rPr>
          <w:kern w:val="24"/>
        </w:rPr>
        <w:t xml:space="preserve"> users, by 2020. These agencies will also implement measures to assist in </w:t>
      </w:r>
      <w:r w:rsidR="006A1E21" w:rsidRPr="00861957">
        <w:rPr>
          <w:kern w:val="24"/>
        </w:rPr>
        <w:t xml:space="preserve">the </w:t>
      </w:r>
      <w:r w:rsidR="00874855" w:rsidRPr="00861957">
        <w:rPr>
          <w:kern w:val="24"/>
        </w:rPr>
        <w:t>humaniz</w:t>
      </w:r>
      <w:r w:rsidR="00023D27" w:rsidRPr="00861957">
        <w:rPr>
          <w:kern w:val="24"/>
        </w:rPr>
        <w:t xml:space="preserve">ation of the criminal law </w:t>
      </w:r>
      <w:r w:rsidR="006A1E21" w:rsidRPr="00861957">
        <w:rPr>
          <w:kern w:val="24"/>
        </w:rPr>
        <w:t xml:space="preserve">system </w:t>
      </w:r>
      <w:r w:rsidR="009E6762" w:rsidRPr="00861957">
        <w:rPr>
          <w:kern w:val="24"/>
        </w:rPr>
        <w:t xml:space="preserve">by creating provisions </w:t>
      </w:r>
      <w:r w:rsidR="006A1E21" w:rsidRPr="00861957">
        <w:rPr>
          <w:kern w:val="24"/>
        </w:rPr>
        <w:t xml:space="preserve">for </w:t>
      </w:r>
      <w:r w:rsidR="00023D27" w:rsidRPr="00861957">
        <w:rPr>
          <w:color w:val="000000" w:themeColor="dark1"/>
          <w:kern w:val="24"/>
        </w:rPr>
        <w:t xml:space="preserve">individuals </w:t>
      </w:r>
      <w:r w:rsidR="006A1E21" w:rsidRPr="00861957">
        <w:rPr>
          <w:color w:val="000000" w:themeColor="dark1"/>
          <w:kern w:val="24"/>
        </w:rPr>
        <w:t xml:space="preserve">with drug dependencies </w:t>
      </w:r>
      <w:r w:rsidR="00023D27" w:rsidRPr="00861957">
        <w:rPr>
          <w:color w:val="000000" w:themeColor="dark1"/>
          <w:kern w:val="24"/>
        </w:rPr>
        <w:t>who</w:t>
      </w:r>
      <w:r w:rsidR="006A1E21" w:rsidRPr="00861957">
        <w:rPr>
          <w:color w:val="000000" w:themeColor="dark1"/>
          <w:kern w:val="24"/>
        </w:rPr>
        <w:t xml:space="preserve"> a</w:t>
      </w:r>
      <w:r w:rsidR="00023D27" w:rsidRPr="00861957">
        <w:rPr>
          <w:color w:val="000000" w:themeColor="dark1"/>
          <w:kern w:val="24"/>
        </w:rPr>
        <w:t xml:space="preserve">re convicted of a drug-related crime for the first time to </w:t>
      </w:r>
      <w:r w:rsidR="006A1E21" w:rsidRPr="00861957">
        <w:rPr>
          <w:color w:val="000000" w:themeColor="dark1"/>
          <w:kern w:val="24"/>
        </w:rPr>
        <w:t xml:space="preserve">be offered </w:t>
      </w:r>
      <w:r w:rsidR="00023D27" w:rsidRPr="00861957">
        <w:rPr>
          <w:color w:val="000000" w:themeColor="dark1"/>
          <w:kern w:val="24"/>
        </w:rPr>
        <w:t>treatment as an alternative to imprisonment by 2020.</w:t>
      </w:r>
    </w:p>
    <w:p w14:paraId="3230C82B" w14:textId="77777777" w:rsidR="007B468A" w:rsidRPr="00861957" w:rsidRDefault="007B468A" w:rsidP="0065423C">
      <w:pPr>
        <w:jc w:val="both"/>
        <w:rPr>
          <w:color w:val="000000" w:themeColor="dark1"/>
          <w:kern w:val="24"/>
        </w:rPr>
      </w:pPr>
    </w:p>
    <w:p w14:paraId="147BF410" w14:textId="77777777" w:rsidR="007B468A" w:rsidRPr="00861957" w:rsidRDefault="007B468A" w:rsidP="007B468A">
      <w:pPr>
        <w:jc w:val="both"/>
        <w:rPr>
          <w:i/>
          <w:color w:val="000000"/>
        </w:rPr>
      </w:pPr>
      <w:r w:rsidRPr="00861957">
        <w:rPr>
          <w:i/>
          <w:color w:val="000000"/>
        </w:rPr>
        <w:t>Domestic violence</w:t>
      </w:r>
    </w:p>
    <w:p w14:paraId="724EC680" w14:textId="77777777" w:rsidR="00BC6087" w:rsidRPr="00861957" w:rsidRDefault="00BC6087" w:rsidP="00BC6087">
      <w:pPr>
        <w:jc w:val="both"/>
        <w:rPr>
          <w:color w:val="000000" w:themeColor="dark1"/>
          <w:kern w:val="24"/>
        </w:rPr>
      </w:pPr>
    </w:p>
    <w:p w14:paraId="532221A6" w14:textId="3D317F37" w:rsidR="00CC214E" w:rsidRPr="00861957" w:rsidRDefault="00CC214E" w:rsidP="00CC214E">
      <w:pPr>
        <w:jc w:val="both"/>
        <w:rPr>
          <w:color w:val="000000"/>
        </w:rPr>
      </w:pPr>
      <w:r w:rsidRPr="00861957">
        <w:rPr>
          <w:color w:val="000000"/>
        </w:rPr>
        <w:t xml:space="preserve">In 2013, the Ministry </w:t>
      </w:r>
      <w:r w:rsidR="006A1E21" w:rsidRPr="00861957">
        <w:rPr>
          <w:color w:val="000000"/>
        </w:rPr>
        <w:t xml:space="preserve">of Internal Affairs </w:t>
      </w:r>
      <w:r w:rsidRPr="00861957">
        <w:rPr>
          <w:color w:val="000000"/>
        </w:rPr>
        <w:t>registered 2</w:t>
      </w:r>
      <w:r w:rsidR="006A1E21" w:rsidRPr="00861957">
        <w:rPr>
          <w:color w:val="000000"/>
        </w:rPr>
        <w:t>,</w:t>
      </w:r>
      <w:r w:rsidRPr="00861957">
        <w:rPr>
          <w:color w:val="000000"/>
        </w:rPr>
        <w:t>008 crimes in the sphere of family and</w:t>
      </w:r>
      <w:r w:rsidR="007B468A" w:rsidRPr="00861957">
        <w:rPr>
          <w:color w:val="000000"/>
        </w:rPr>
        <w:t xml:space="preserve"> domestic relations (up by 12.2</w:t>
      </w:r>
      <w:r w:rsidRPr="00861957">
        <w:rPr>
          <w:color w:val="000000"/>
        </w:rPr>
        <w:t>% from 1</w:t>
      </w:r>
      <w:r w:rsidR="006A1E21" w:rsidRPr="00861957">
        <w:rPr>
          <w:color w:val="000000"/>
        </w:rPr>
        <w:t>,</w:t>
      </w:r>
      <w:r w:rsidRPr="00861957">
        <w:rPr>
          <w:color w:val="000000"/>
        </w:rPr>
        <w:t xml:space="preserve">790 crimes in 2012). According to </w:t>
      </w:r>
      <w:r w:rsidR="006A1E21" w:rsidRPr="00861957">
        <w:rPr>
          <w:color w:val="000000"/>
        </w:rPr>
        <w:t>a</w:t>
      </w:r>
      <w:r w:rsidRPr="00861957">
        <w:rPr>
          <w:color w:val="000000"/>
        </w:rPr>
        <w:t xml:space="preserve"> national survey conducted by the Centre of Sociological and Political Research of the Belarusian State University in 2008, four out of five women experienced psychological violence in their own families. </w:t>
      </w:r>
      <w:r w:rsidR="006A1E21" w:rsidRPr="00861957">
        <w:rPr>
          <w:color w:val="000000"/>
        </w:rPr>
        <w:t xml:space="preserve">A quarter of </w:t>
      </w:r>
      <w:r w:rsidRPr="00861957">
        <w:rPr>
          <w:color w:val="000000"/>
        </w:rPr>
        <w:t>wom</w:t>
      </w:r>
      <w:r w:rsidR="006A1E21" w:rsidRPr="00861957">
        <w:rPr>
          <w:color w:val="000000"/>
        </w:rPr>
        <w:t>en</w:t>
      </w:r>
      <w:r w:rsidRPr="00861957">
        <w:rPr>
          <w:color w:val="000000"/>
        </w:rPr>
        <w:t xml:space="preserve"> suffer</w:t>
      </w:r>
      <w:r w:rsidR="00B56670" w:rsidRPr="00861957">
        <w:rPr>
          <w:color w:val="000000"/>
        </w:rPr>
        <w:t>ed</w:t>
      </w:r>
      <w:r w:rsidRPr="00861957">
        <w:rPr>
          <w:color w:val="000000"/>
        </w:rPr>
        <w:t xml:space="preserve"> from physical violence, 22.4% of </w:t>
      </w:r>
      <w:r w:rsidR="006A1E21" w:rsidRPr="00861957">
        <w:rPr>
          <w:color w:val="000000"/>
        </w:rPr>
        <w:t xml:space="preserve">female </w:t>
      </w:r>
      <w:r w:rsidRPr="00861957">
        <w:rPr>
          <w:color w:val="000000"/>
        </w:rPr>
        <w:t>respondents experience</w:t>
      </w:r>
      <w:r w:rsidR="00B56670" w:rsidRPr="00861957">
        <w:rPr>
          <w:color w:val="000000"/>
        </w:rPr>
        <w:t>d</w:t>
      </w:r>
      <w:r w:rsidRPr="00861957">
        <w:rPr>
          <w:color w:val="000000"/>
        </w:rPr>
        <w:t xml:space="preserve"> economic </w:t>
      </w:r>
      <w:r w:rsidR="00B56670" w:rsidRPr="00861957">
        <w:rPr>
          <w:color w:val="000000"/>
        </w:rPr>
        <w:t xml:space="preserve">violence, </w:t>
      </w:r>
      <w:r w:rsidRPr="00861957">
        <w:rPr>
          <w:color w:val="000000"/>
        </w:rPr>
        <w:t>and 13% experience</w:t>
      </w:r>
      <w:r w:rsidR="00B56670" w:rsidRPr="00861957">
        <w:rPr>
          <w:color w:val="000000"/>
        </w:rPr>
        <w:t>d</w:t>
      </w:r>
      <w:r w:rsidRPr="00861957">
        <w:rPr>
          <w:color w:val="000000"/>
        </w:rPr>
        <w:t xml:space="preserve"> sexual violence at home.</w:t>
      </w:r>
    </w:p>
    <w:p w14:paraId="5F71AE9A" w14:textId="77777777" w:rsidR="00CC214E" w:rsidRPr="00861957" w:rsidRDefault="00CC214E" w:rsidP="003D02BC">
      <w:pPr>
        <w:jc w:val="both"/>
        <w:rPr>
          <w:color w:val="000000"/>
        </w:rPr>
      </w:pPr>
    </w:p>
    <w:p w14:paraId="274426DC" w14:textId="058A02D0" w:rsidR="003D02BC" w:rsidRPr="00861957" w:rsidRDefault="00CC214E" w:rsidP="003D02BC">
      <w:pPr>
        <w:jc w:val="both"/>
        <w:rPr>
          <w:color w:val="000000"/>
        </w:rPr>
      </w:pPr>
      <w:r w:rsidRPr="00861957">
        <w:rPr>
          <w:color w:val="000000"/>
        </w:rPr>
        <w:t>During the course of the UNDAF 2011-2015, the</w:t>
      </w:r>
      <w:r w:rsidR="003D02BC" w:rsidRPr="00861957">
        <w:rPr>
          <w:color w:val="000000"/>
        </w:rPr>
        <w:t xml:space="preserve"> Government and the UNCT increased their joint efforts to tackle the problem </w:t>
      </w:r>
      <w:r w:rsidR="00764EF8" w:rsidRPr="00861957">
        <w:rPr>
          <w:color w:val="000000"/>
        </w:rPr>
        <w:t>of domestic and sexual violence</w:t>
      </w:r>
      <w:r w:rsidR="003D02BC" w:rsidRPr="00861957">
        <w:rPr>
          <w:color w:val="000000"/>
        </w:rPr>
        <w:t xml:space="preserve">. </w:t>
      </w:r>
      <w:r w:rsidR="007F4F2E" w:rsidRPr="00861957">
        <w:rPr>
          <w:color w:val="000000"/>
        </w:rPr>
        <w:t>In line with UPR recommendations 97.20 and 97.24</w:t>
      </w:r>
      <w:r w:rsidR="003D02BC" w:rsidRPr="00861957">
        <w:rPr>
          <w:color w:val="000000"/>
        </w:rPr>
        <w:t xml:space="preserve">, </w:t>
      </w:r>
      <w:r w:rsidR="004C5E7C" w:rsidRPr="00861957">
        <w:rPr>
          <w:color w:val="000000"/>
        </w:rPr>
        <w:t xml:space="preserve">the UNCT and Government </w:t>
      </w:r>
      <w:r w:rsidR="00764EF8" w:rsidRPr="00861957">
        <w:rPr>
          <w:color w:val="000000"/>
        </w:rPr>
        <w:t>j</w:t>
      </w:r>
      <w:r w:rsidR="00764EF8" w:rsidRPr="00861957">
        <w:rPr>
          <w:bCs/>
          <w:color w:val="000000"/>
        </w:rPr>
        <w:t>oin</w:t>
      </w:r>
      <w:r w:rsidR="004C5E7C" w:rsidRPr="00861957">
        <w:rPr>
          <w:bCs/>
          <w:color w:val="000000"/>
        </w:rPr>
        <w:t xml:space="preserve">ed forces </w:t>
      </w:r>
      <w:r w:rsidR="00764EF8" w:rsidRPr="00861957">
        <w:rPr>
          <w:bCs/>
          <w:color w:val="000000"/>
        </w:rPr>
        <w:t xml:space="preserve">with UNFPA, UNICEF and IOM </w:t>
      </w:r>
      <w:r w:rsidR="004C5E7C" w:rsidRPr="00861957">
        <w:rPr>
          <w:bCs/>
          <w:color w:val="000000"/>
        </w:rPr>
        <w:t xml:space="preserve">to </w:t>
      </w:r>
      <w:r w:rsidR="00764EF8" w:rsidRPr="00861957">
        <w:rPr>
          <w:bCs/>
          <w:color w:val="000000"/>
        </w:rPr>
        <w:t xml:space="preserve">support </w:t>
      </w:r>
      <w:r w:rsidR="004C5E7C" w:rsidRPr="00861957">
        <w:rPr>
          <w:bCs/>
          <w:color w:val="000000"/>
        </w:rPr>
        <w:t xml:space="preserve">their </w:t>
      </w:r>
      <w:r w:rsidR="00764EF8" w:rsidRPr="00861957">
        <w:rPr>
          <w:bCs/>
          <w:color w:val="000000"/>
        </w:rPr>
        <w:t xml:space="preserve">national counterparts in strengthening </w:t>
      </w:r>
      <w:r w:rsidR="004C5E7C" w:rsidRPr="00861957">
        <w:rPr>
          <w:bCs/>
          <w:color w:val="000000"/>
        </w:rPr>
        <w:t xml:space="preserve">the </w:t>
      </w:r>
      <w:r w:rsidR="00764EF8" w:rsidRPr="00861957">
        <w:rPr>
          <w:bCs/>
          <w:color w:val="000000"/>
        </w:rPr>
        <w:t>capacities of key government service providers</w:t>
      </w:r>
      <w:r w:rsidR="00B56670" w:rsidRPr="00861957">
        <w:rPr>
          <w:bCs/>
          <w:color w:val="000000"/>
        </w:rPr>
        <w:t xml:space="preserve"> </w:t>
      </w:r>
      <w:r w:rsidR="00764EF8" w:rsidRPr="00861957">
        <w:rPr>
          <w:bCs/>
          <w:color w:val="000000"/>
        </w:rPr>
        <w:t>in</w:t>
      </w:r>
      <w:r w:rsidR="00B56670" w:rsidRPr="00861957">
        <w:rPr>
          <w:bCs/>
          <w:color w:val="000000"/>
        </w:rPr>
        <w:t xml:space="preserve"> the following areas</w:t>
      </w:r>
      <w:r w:rsidR="004C5E7C" w:rsidRPr="00861957">
        <w:rPr>
          <w:bCs/>
          <w:color w:val="000000"/>
        </w:rPr>
        <w:t>:</w:t>
      </w:r>
      <w:r w:rsidR="00764EF8" w:rsidRPr="00861957">
        <w:rPr>
          <w:bCs/>
          <w:color w:val="000000"/>
        </w:rPr>
        <w:t xml:space="preserve"> </w:t>
      </w:r>
      <w:r w:rsidR="004C5E7C" w:rsidRPr="00861957">
        <w:rPr>
          <w:bCs/>
          <w:color w:val="000000"/>
        </w:rPr>
        <w:t xml:space="preserve">the </w:t>
      </w:r>
      <w:r w:rsidR="00764EF8" w:rsidRPr="00861957">
        <w:rPr>
          <w:bCs/>
          <w:color w:val="000000"/>
        </w:rPr>
        <w:t>preventi</w:t>
      </w:r>
      <w:r w:rsidR="004C5E7C" w:rsidRPr="00861957">
        <w:rPr>
          <w:bCs/>
          <w:color w:val="000000"/>
        </w:rPr>
        <w:t>on</w:t>
      </w:r>
      <w:r w:rsidR="00764EF8" w:rsidRPr="00861957">
        <w:rPr>
          <w:bCs/>
          <w:color w:val="000000"/>
        </w:rPr>
        <w:t xml:space="preserve"> and counteracti</w:t>
      </w:r>
      <w:r w:rsidR="00B56670" w:rsidRPr="00861957">
        <w:rPr>
          <w:bCs/>
          <w:color w:val="000000"/>
        </w:rPr>
        <w:t>on</w:t>
      </w:r>
      <w:r w:rsidR="00764EF8" w:rsidRPr="00861957">
        <w:rPr>
          <w:bCs/>
          <w:color w:val="000000"/>
        </w:rPr>
        <w:t xml:space="preserve"> </w:t>
      </w:r>
      <w:r w:rsidR="004C5E7C" w:rsidRPr="00861957">
        <w:rPr>
          <w:bCs/>
          <w:color w:val="000000"/>
        </w:rPr>
        <w:t xml:space="preserve">of </w:t>
      </w:r>
      <w:r w:rsidR="00764EF8" w:rsidRPr="00861957">
        <w:rPr>
          <w:bCs/>
          <w:color w:val="000000"/>
        </w:rPr>
        <w:t xml:space="preserve">domestic violence; </w:t>
      </w:r>
      <w:r w:rsidR="004C5E7C" w:rsidRPr="00861957">
        <w:rPr>
          <w:bCs/>
          <w:color w:val="000000"/>
        </w:rPr>
        <w:t xml:space="preserve">the establishment of </w:t>
      </w:r>
      <w:r w:rsidR="00764EF8" w:rsidRPr="00861957">
        <w:rPr>
          <w:bCs/>
          <w:color w:val="000000"/>
        </w:rPr>
        <w:t>an inter-sectoral collaboration model involving state and non-</w:t>
      </w:r>
      <w:r w:rsidR="004C5E7C" w:rsidRPr="00861957">
        <w:rPr>
          <w:bCs/>
          <w:color w:val="000000"/>
        </w:rPr>
        <w:t>state</w:t>
      </w:r>
      <w:r w:rsidR="00764EF8" w:rsidRPr="00861957">
        <w:rPr>
          <w:bCs/>
          <w:color w:val="000000"/>
        </w:rPr>
        <w:t xml:space="preserve"> service providers at local community level; </w:t>
      </w:r>
      <w:r w:rsidR="00B56670" w:rsidRPr="00861957">
        <w:rPr>
          <w:bCs/>
          <w:color w:val="000000"/>
        </w:rPr>
        <w:t xml:space="preserve">the maintenance of </w:t>
      </w:r>
      <w:r w:rsidR="00764EF8" w:rsidRPr="00861957">
        <w:rPr>
          <w:bCs/>
          <w:color w:val="000000"/>
        </w:rPr>
        <w:t xml:space="preserve">a free hotline for </w:t>
      </w:r>
      <w:r w:rsidR="00B56670" w:rsidRPr="00861957">
        <w:rPr>
          <w:bCs/>
          <w:color w:val="000000"/>
        </w:rPr>
        <w:t xml:space="preserve">victims </w:t>
      </w:r>
      <w:r w:rsidR="00764EF8" w:rsidRPr="00861957">
        <w:rPr>
          <w:bCs/>
          <w:color w:val="000000"/>
        </w:rPr>
        <w:t xml:space="preserve">of domestic violence, as well as a crisis counselling line for children and adolescents; and conducting </w:t>
      </w:r>
      <w:r w:rsidR="004C5E7C" w:rsidRPr="00861957">
        <w:rPr>
          <w:bCs/>
          <w:color w:val="000000"/>
        </w:rPr>
        <w:t xml:space="preserve">of </w:t>
      </w:r>
      <w:r w:rsidR="00764EF8" w:rsidRPr="00861957">
        <w:rPr>
          <w:bCs/>
          <w:color w:val="000000"/>
        </w:rPr>
        <w:t xml:space="preserve">public awareness campaigns </w:t>
      </w:r>
      <w:r w:rsidR="004C5E7C" w:rsidRPr="00861957">
        <w:rPr>
          <w:bCs/>
          <w:color w:val="000000"/>
        </w:rPr>
        <w:t>about</w:t>
      </w:r>
      <w:r w:rsidR="00764EF8" w:rsidRPr="00861957">
        <w:rPr>
          <w:bCs/>
          <w:color w:val="000000"/>
        </w:rPr>
        <w:t xml:space="preserve"> </w:t>
      </w:r>
      <w:r w:rsidR="004C5E7C" w:rsidRPr="00861957">
        <w:rPr>
          <w:bCs/>
          <w:color w:val="000000"/>
        </w:rPr>
        <w:t xml:space="preserve">the phenomenon of </w:t>
      </w:r>
      <w:r w:rsidR="00764EF8" w:rsidRPr="00861957">
        <w:rPr>
          <w:bCs/>
          <w:color w:val="000000"/>
        </w:rPr>
        <w:t>domestic violence. Targeted efforts at the local level resulted in the approval of Special Regulations on inter-sectoral data collection and information exchange on children in ‘social danger’</w:t>
      </w:r>
      <w:r w:rsidR="004C5E7C" w:rsidRPr="00861957">
        <w:rPr>
          <w:bCs/>
          <w:color w:val="000000"/>
        </w:rPr>
        <w:t xml:space="preserve"> who</w:t>
      </w:r>
      <w:r w:rsidR="00764EF8" w:rsidRPr="00861957">
        <w:rPr>
          <w:bCs/>
          <w:color w:val="000000"/>
        </w:rPr>
        <w:t xml:space="preserve"> suffer from abuse and neglect in the family in Brest </w:t>
      </w:r>
      <w:r w:rsidR="00DA4868" w:rsidRPr="00861957">
        <w:rPr>
          <w:bCs/>
          <w:color w:val="000000"/>
        </w:rPr>
        <w:t>Region</w:t>
      </w:r>
      <w:r w:rsidR="00764EF8" w:rsidRPr="00861957">
        <w:rPr>
          <w:bCs/>
          <w:color w:val="000000"/>
        </w:rPr>
        <w:t>.</w:t>
      </w:r>
    </w:p>
    <w:p w14:paraId="7C938263" w14:textId="77777777" w:rsidR="003D02BC" w:rsidRPr="00861957" w:rsidRDefault="003D02BC" w:rsidP="003D02BC">
      <w:pPr>
        <w:jc w:val="both"/>
        <w:rPr>
          <w:color w:val="000000"/>
        </w:rPr>
      </w:pPr>
    </w:p>
    <w:p w14:paraId="41FE0035" w14:textId="640FF73E" w:rsidR="00CC214E" w:rsidRPr="00861957" w:rsidRDefault="007B468A" w:rsidP="00B60BC2">
      <w:pPr>
        <w:jc w:val="both"/>
        <w:rPr>
          <w:color w:val="000000"/>
        </w:rPr>
      </w:pPr>
      <w:r w:rsidRPr="00861957">
        <w:rPr>
          <w:color w:val="000000"/>
        </w:rPr>
        <w:t>The</w:t>
      </w:r>
      <w:r w:rsidR="003D02BC" w:rsidRPr="00861957">
        <w:rPr>
          <w:color w:val="000000"/>
        </w:rPr>
        <w:t xml:space="preserve"> </w:t>
      </w:r>
      <w:r w:rsidR="00B60BC2" w:rsidRPr="00861957">
        <w:rPr>
          <w:color w:val="000000"/>
        </w:rPr>
        <w:t xml:space="preserve">adopted </w:t>
      </w:r>
      <w:r w:rsidR="003D02BC" w:rsidRPr="00861957">
        <w:rPr>
          <w:color w:val="000000"/>
        </w:rPr>
        <w:t xml:space="preserve">Law </w:t>
      </w:r>
      <w:r w:rsidRPr="00861957">
        <w:rPr>
          <w:color w:val="000000"/>
        </w:rPr>
        <w:t xml:space="preserve">of the Republic of Belarus </w:t>
      </w:r>
      <w:r w:rsidR="003D02BC" w:rsidRPr="00861957">
        <w:rPr>
          <w:color w:val="000000"/>
        </w:rPr>
        <w:t>‘On Basic Activities Aimed at Offence Prevention’</w:t>
      </w:r>
      <w:r w:rsidRPr="00861957">
        <w:rPr>
          <w:color w:val="000000"/>
        </w:rPr>
        <w:t xml:space="preserve">  </w:t>
      </w:r>
      <w:r w:rsidR="003D02BC" w:rsidRPr="00861957">
        <w:rPr>
          <w:color w:val="000000"/>
        </w:rPr>
        <w:t xml:space="preserve">specified prosecution and punishment for perpetrators, increased protection of victims through </w:t>
      </w:r>
      <w:r w:rsidR="00B56670" w:rsidRPr="00861957">
        <w:rPr>
          <w:color w:val="000000"/>
        </w:rPr>
        <w:t xml:space="preserve">the </w:t>
      </w:r>
      <w:r w:rsidR="003D02BC" w:rsidRPr="00861957">
        <w:rPr>
          <w:color w:val="000000"/>
        </w:rPr>
        <w:t>introduction of a protection order</w:t>
      </w:r>
      <w:r w:rsidR="00B56670" w:rsidRPr="00861957">
        <w:rPr>
          <w:color w:val="000000"/>
        </w:rPr>
        <w:t>,</w:t>
      </w:r>
      <w:r w:rsidR="003D02BC" w:rsidRPr="00861957">
        <w:rPr>
          <w:color w:val="000000"/>
        </w:rPr>
        <w:t xml:space="preserve"> and facilitated multi-sectoral approaches to cases of domestic violence. In 2014, the Administrative Offences Code </w:t>
      </w:r>
      <w:r w:rsidRPr="00861957">
        <w:rPr>
          <w:color w:val="000000"/>
        </w:rPr>
        <w:t xml:space="preserve">of the Republic of Belarus </w:t>
      </w:r>
      <w:r w:rsidR="003D02BC" w:rsidRPr="00861957">
        <w:rPr>
          <w:color w:val="000000"/>
        </w:rPr>
        <w:t xml:space="preserve">was amended, </w:t>
      </w:r>
      <w:r w:rsidR="003D02BC" w:rsidRPr="00861957">
        <w:rPr>
          <w:bCs/>
          <w:color w:val="000000"/>
        </w:rPr>
        <w:t xml:space="preserve">stipulating liability for violent actions against close relatives and family members, </w:t>
      </w:r>
      <w:r w:rsidR="00B56670" w:rsidRPr="00861957">
        <w:rPr>
          <w:bCs/>
          <w:color w:val="000000"/>
        </w:rPr>
        <w:t xml:space="preserve">even </w:t>
      </w:r>
      <w:r w:rsidR="003D02BC" w:rsidRPr="00861957">
        <w:rPr>
          <w:bCs/>
          <w:color w:val="000000"/>
        </w:rPr>
        <w:t>if these actions do not constitute a crime.</w:t>
      </w:r>
      <w:r w:rsidR="003D02BC" w:rsidRPr="00861957">
        <w:rPr>
          <w:color w:val="000000"/>
        </w:rPr>
        <w:t xml:space="preserve"> </w:t>
      </w:r>
    </w:p>
    <w:p w14:paraId="485ACED7" w14:textId="77777777" w:rsidR="00D51682" w:rsidRPr="00861957" w:rsidRDefault="00D51682" w:rsidP="003D02BC">
      <w:pPr>
        <w:jc w:val="both"/>
        <w:rPr>
          <w:color w:val="000000"/>
        </w:rPr>
      </w:pPr>
    </w:p>
    <w:p w14:paraId="5EBDE2EC" w14:textId="79553ACB" w:rsidR="00D51682" w:rsidRPr="00861957" w:rsidRDefault="00D51682" w:rsidP="00D51682">
      <w:pPr>
        <w:jc w:val="both"/>
        <w:rPr>
          <w:color w:val="000000"/>
        </w:rPr>
      </w:pPr>
      <w:r w:rsidRPr="00861957">
        <w:rPr>
          <w:color w:val="000000"/>
        </w:rPr>
        <w:t xml:space="preserve">A new inter-sectoral </w:t>
      </w:r>
      <w:r w:rsidR="00B56670" w:rsidRPr="00861957">
        <w:rPr>
          <w:color w:val="000000"/>
        </w:rPr>
        <w:t xml:space="preserve">model of </w:t>
      </w:r>
      <w:r w:rsidRPr="00861957">
        <w:rPr>
          <w:color w:val="000000"/>
        </w:rPr>
        <w:t xml:space="preserve">collaboration </w:t>
      </w:r>
      <w:r w:rsidR="00E44AE9" w:rsidRPr="00861957">
        <w:rPr>
          <w:color w:val="000000"/>
        </w:rPr>
        <w:t xml:space="preserve">for preventing and responding to </w:t>
      </w:r>
      <w:r w:rsidRPr="00861957">
        <w:rPr>
          <w:color w:val="000000"/>
        </w:rPr>
        <w:t xml:space="preserve">domestic violence </w:t>
      </w:r>
      <w:r w:rsidR="00E44AE9" w:rsidRPr="00861957">
        <w:rPr>
          <w:color w:val="000000"/>
        </w:rPr>
        <w:t xml:space="preserve">was </w:t>
      </w:r>
      <w:r w:rsidRPr="00861957">
        <w:rPr>
          <w:color w:val="000000"/>
        </w:rPr>
        <w:t xml:space="preserve">piloted in one region during the previous programming cycle. </w:t>
      </w:r>
      <w:r w:rsidR="00E44AE9" w:rsidRPr="00861957">
        <w:rPr>
          <w:color w:val="000000"/>
        </w:rPr>
        <w:t xml:space="preserve">The new model involves state and non-governmental service providers. </w:t>
      </w:r>
      <w:r w:rsidRPr="00861957">
        <w:rPr>
          <w:color w:val="000000"/>
        </w:rPr>
        <w:t xml:space="preserve">UNICEF and UNFPA aim to expand such cooperation mechanisms in different regions </w:t>
      </w:r>
      <w:r w:rsidR="00E44AE9" w:rsidRPr="00861957">
        <w:rPr>
          <w:color w:val="000000"/>
        </w:rPr>
        <w:t xml:space="preserve">from 2% to 25% by 2020, in order </w:t>
      </w:r>
      <w:r w:rsidRPr="00861957">
        <w:rPr>
          <w:color w:val="000000"/>
        </w:rPr>
        <w:t xml:space="preserve">to ensure timeliness, consistency and a holistic approach to all actions </w:t>
      </w:r>
      <w:r w:rsidR="00E44AE9" w:rsidRPr="00861957">
        <w:rPr>
          <w:color w:val="000000"/>
        </w:rPr>
        <w:t xml:space="preserve">that </w:t>
      </w:r>
      <w:r w:rsidRPr="00861957">
        <w:rPr>
          <w:color w:val="000000"/>
        </w:rPr>
        <w:t>aim to prevent and counteract domestic violence</w:t>
      </w:r>
      <w:r w:rsidR="00E44AE9" w:rsidRPr="00861957">
        <w:rPr>
          <w:color w:val="000000"/>
        </w:rPr>
        <w:t xml:space="preserve">. They also aim </w:t>
      </w:r>
      <w:r w:rsidRPr="00861957">
        <w:rPr>
          <w:color w:val="000000"/>
        </w:rPr>
        <w:t>to increase the number of victims of domestic violence benefit</w:t>
      </w:r>
      <w:r w:rsidR="00E44AE9" w:rsidRPr="00861957">
        <w:rPr>
          <w:color w:val="000000"/>
        </w:rPr>
        <w:t>ting</w:t>
      </w:r>
      <w:r w:rsidRPr="00861957">
        <w:rPr>
          <w:color w:val="000000"/>
        </w:rPr>
        <w:t xml:space="preserve"> from social services such as temporary shelter and social patronage by 10% by 2020.</w:t>
      </w:r>
    </w:p>
    <w:p w14:paraId="35B76940" w14:textId="77777777" w:rsidR="00CC214E" w:rsidRPr="00861957" w:rsidRDefault="00CC214E" w:rsidP="003D02BC">
      <w:pPr>
        <w:jc w:val="both"/>
        <w:rPr>
          <w:color w:val="000000"/>
        </w:rPr>
      </w:pPr>
    </w:p>
    <w:p w14:paraId="584D9D35" w14:textId="73039A22" w:rsidR="00CC214E" w:rsidRPr="00861957" w:rsidRDefault="00CC214E" w:rsidP="00CC214E">
      <w:pPr>
        <w:jc w:val="both"/>
        <w:rPr>
          <w:color w:val="000000"/>
        </w:rPr>
      </w:pPr>
      <w:r w:rsidRPr="00861957">
        <w:rPr>
          <w:color w:val="000000"/>
        </w:rPr>
        <w:t xml:space="preserve">During the course of the UNDAF 2016-2020, the UNCT will assist the Government in implementing further legal initiatives aimed at </w:t>
      </w:r>
      <w:r w:rsidRPr="00861957">
        <w:rPr>
          <w:color w:val="000000" w:themeColor="dark1"/>
          <w:kern w:val="24"/>
        </w:rPr>
        <w:t>ensuring systematic action</w:t>
      </w:r>
      <w:r w:rsidR="00E44AE9" w:rsidRPr="00861957">
        <w:rPr>
          <w:color w:val="000000" w:themeColor="dark1"/>
          <w:kern w:val="24"/>
        </w:rPr>
        <w:t xml:space="preserve"> against</w:t>
      </w:r>
      <w:r w:rsidRPr="00861957">
        <w:rPr>
          <w:color w:val="000000" w:themeColor="dark1"/>
          <w:kern w:val="24"/>
        </w:rPr>
        <w:t xml:space="preserve"> domestic violence</w:t>
      </w:r>
      <w:r w:rsidR="00E44AE9" w:rsidRPr="00861957">
        <w:rPr>
          <w:color w:val="000000" w:themeColor="dark1"/>
          <w:kern w:val="24"/>
        </w:rPr>
        <w:t>,</w:t>
      </w:r>
      <w:r w:rsidRPr="00861957">
        <w:rPr>
          <w:color w:val="000000" w:themeColor="dark1"/>
          <w:kern w:val="24"/>
        </w:rPr>
        <w:t xml:space="preserve"> in accordance with relevant international standards</w:t>
      </w:r>
      <w:r w:rsidR="002009A0" w:rsidRPr="00861957">
        <w:rPr>
          <w:color w:val="000000" w:themeColor="dark1"/>
          <w:kern w:val="24"/>
        </w:rPr>
        <w:t xml:space="preserve"> and conventions, such as the Istanbul Convention</w:t>
      </w:r>
      <w:r w:rsidRPr="00861957">
        <w:rPr>
          <w:color w:val="000000" w:themeColor="dark1"/>
          <w:kern w:val="24"/>
        </w:rPr>
        <w:t xml:space="preserve">. In particular, </w:t>
      </w:r>
      <w:r w:rsidR="00E44AE9" w:rsidRPr="00861957">
        <w:rPr>
          <w:color w:val="000000" w:themeColor="dark1"/>
          <w:kern w:val="24"/>
        </w:rPr>
        <w:t xml:space="preserve">plans are in place for </w:t>
      </w:r>
      <w:r w:rsidRPr="00861957">
        <w:rPr>
          <w:color w:val="000000"/>
        </w:rPr>
        <w:t xml:space="preserve">a separate law on domestic violence to be considered by the </w:t>
      </w:r>
      <w:r w:rsidR="00D51682" w:rsidRPr="00861957">
        <w:rPr>
          <w:color w:val="000000"/>
        </w:rPr>
        <w:t>National Assembly of the Republic of Belarus</w:t>
      </w:r>
      <w:r w:rsidRPr="00861957">
        <w:rPr>
          <w:color w:val="000000"/>
        </w:rPr>
        <w:t xml:space="preserve"> in 2018.</w:t>
      </w:r>
      <w:r w:rsidR="002009A0" w:rsidRPr="00861957">
        <w:rPr>
          <w:color w:val="000000"/>
        </w:rPr>
        <w:t xml:space="preserve"> In addition, more assistance will be provided to strengthen </w:t>
      </w:r>
      <w:r w:rsidR="00E44AE9" w:rsidRPr="00861957">
        <w:rPr>
          <w:color w:val="000000"/>
        </w:rPr>
        <w:t xml:space="preserve">the </w:t>
      </w:r>
      <w:r w:rsidR="002009A0" w:rsidRPr="00861957">
        <w:rPr>
          <w:color w:val="000000"/>
        </w:rPr>
        <w:t>capacities and organi</w:t>
      </w:r>
      <w:r w:rsidR="000F002C" w:rsidRPr="00861957">
        <w:rPr>
          <w:color w:val="000000"/>
        </w:rPr>
        <w:t>z</w:t>
      </w:r>
      <w:r w:rsidR="002009A0" w:rsidRPr="00861957">
        <w:rPr>
          <w:color w:val="000000"/>
        </w:rPr>
        <w:t xml:space="preserve">ational mechanisms </w:t>
      </w:r>
      <w:r w:rsidR="00E44AE9" w:rsidRPr="00861957">
        <w:rPr>
          <w:color w:val="000000"/>
        </w:rPr>
        <w:t>for</w:t>
      </w:r>
      <w:r w:rsidR="002009A0" w:rsidRPr="00861957">
        <w:rPr>
          <w:color w:val="000000"/>
        </w:rPr>
        <w:t xml:space="preserve"> </w:t>
      </w:r>
      <w:r w:rsidR="00D630A3" w:rsidRPr="00861957">
        <w:rPr>
          <w:color w:val="000000"/>
        </w:rPr>
        <w:t>counteract</w:t>
      </w:r>
      <w:r w:rsidR="00E44AE9" w:rsidRPr="00861957">
        <w:rPr>
          <w:color w:val="000000"/>
        </w:rPr>
        <w:t>ing</w:t>
      </w:r>
      <w:r w:rsidR="00D630A3" w:rsidRPr="00861957">
        <w:rPr>
          <w:color w:val="000000"/>
        </w:rPr>
        <w:t xml:space="preserve"> domestic violence, support</w:t>
      </w:r>
      <w:r w:rsidR="00E44AE9" w:rsidRPr="00861957">
        <w:rPr>
          <w:color w:val="000000"/>
        </w:rPr>
        <w:t>ing</w:t>
      </w:r>
      <w:r w:rsidR="00D630A3" w:rsidRPr="00861957">
        <w:rPr>
          <w:color w:val="000000"/>
        </w:rPr>
        <w:t xml:space="preserve"> its victims </w:t>
      </w:r>
      <w:r w:rsidR="002009A0" w:rsidRPr="00861957">
        <w:rPr>
          <w:color w:val="000000"/>
        </w:rPr>
        <w:t>and enhanc</w:t>
      </w:r>
      <w:r w:rsidR="00E44AE9" w:rsidRPr="00861957">
        <w:rPr>
          <w:color w:val="000000"/>
        </w:rPr>
        <w:t>ing</w:t>
      </w:r>
      <w:r w:rsidR="002009A0" w:rsidRPr="00861957">
        <w:rPr>
          <w:color w:val="000000"/>
        </w:rPr>
        <w:t xml:space="preserve"> public knowledge and awareness of this issue.</w:t>
      </w:r>
    </w:p>
    <w:p w14:paraId="3494D5BE" w14:textId="77777777" w:rsidR="00CC214E" w:rsidRPr="00861957" w:rsidRDefault="00CC214E" w:rsidP="003D02BC">
      <w:pPr>
        <w:jc w:val="both"/>
        <w:rPr>
          <w:color w:val="000000"/>
        </w:rPr>
      </w:pPr>
    </w:p>
    <w:p w14:paraId="2F39E550" w14:textId="674E7140" w:rsidR="00125621" w:rsidRPr="00861957" w:rsidRDefault="00470795" w:rsidP="00B83DB3">
      <w:pPr>
        <w:jc w:val="both"/>
        <w:rPr>
          <w:i/>
          <w:color w:val="000000"/>
        </w:rPr>
      </w:pPr>
      <w:r w:rsidRPr="00861957">
        <w:rPr>
          <w:i/>
          <w:color w:val="000000"/>
        </w:rPr>
        <w:t>Comprehensive Post-Chernobyl Development</w:t>
      </w:r>
    </w:p>
    <w:p w14:paraId="5B1F0487" w14:textId="77777777" w:rsidR="004D0F00" w:rsidRPr="00861957" w:rsidRDefault="004D0F00" w:rsidP="00B83DB3">
      <w:pPr>
        <w:jc w:val="both"/>
        <w:rPr>
          <w:color w:val="000000"/>
        </w:rPr>
      </w:pPr>
    </w:p>
    <w:p w14:paraId="76F16431" w14:textId="799DEDCE" w:rsidR="00470795" w:rsidRPr="00861957" w:rsidRDefault="00470795" w:rsidP="00470795">
      <w:pPr>
        <w:jc w:val="both"/>
      </w:pPr>
      <w:r w:rsidRPr="00861957">
        <w:lastRenderedPageBreak/>
        <w:t xml:space="preserve">The UN system in Belarus regularly provides assistance in resolving other development challenges not included in the UNDAF results matrices, including timely and effective assistance to people living in the areas contaminated as a result of the Chernobyl nuclear accident. For example, the Inter-Agency Task Force on Chernobyl (held in Belarus on 30 May 2014 under </w:t>
      </w:r>
      <w:r w:rsidR="00E44AE9" w:rsidRPr="00861957">
        <w:t xml:space="preserve">the </w:t>
      </w:r>
      <w:r w:rsidRPr="00861957">
        <w:t xml:space="preserve">leadership of the UNDP Administrator, Ms. Helen Clark) marked the beginning of a substantive dialogue on the future conceptual framework </w:t>
      </w:r>
      <w:r w:rsidR="00E44AE9" w:rsidRPr="00861957">
        <w:t>for</w:t>
      </w:r>
      <w:r w:rsidRPr="00861957">
        <w:t xml:space="preserve"> long-term international cooperation on Chernobyl. Within its mandate, the IAEA will also continue to render assistance in monitoring </w:t>
      </w:r>
      <w:r w:rsidR="00E44AE9" w:rsidRPr="00861957">
        <w:t xml:space="preserve">the products of the </w:t>
      </w:r>
      <w:r w:rsidRPr="00861957">
        <w:t>forest and agriculture industries, manag</w:t>
      </w:r>
      <w:r w:rsidR="00E44AE9" w:rsidRPr="00861957">
        <w:t>ing</w:t>
      </w:r>
      <w:r w:rsidRPr="00861957">
        <w:t xml:space="preserve"> exclusion zones and alienated territories, accumulating best practices and developing national approaches to </w:t>
      </w:r>
      <w:r w:rsidR="00E44AE9" w:rsidRPr="00861957">
        <w:t xml:space="preserve">the </w:t>
      </w:r>
      <w:r w:rsidRPr="00861957">
        <w:t xml:space="preserve">gradual </w:t>
      </w:r>
      <w:r w:rsidR="00E44AE9" w:rsidRPr="00861957">
        <w:t>restoration of the</w:t>
      </w:r>
      <w:r w:rsidRPr="00861957">
        <w:t xml:space="preserve"> affected territories. UNDP will support </w:t>
      </w:r>
      <w:r w:rsidR="00E44AE9" w:rsidRPr="00861957">
        <w:t xml:space="preserve">the </w:t>
      </w:r>
      <w:r w:rsidRPr="00861957">
        <w:t xml:space="preserve">development of sustainable economic conditions in regional areas, including those recovering from </w:t>
      </w:r>
      <w:r w:rsidR="00E44AE9" w:rsidRPr="00861957">
        <w:t xml:space="preserve">the </w:t>
      </w:r>
      <w:r w:rsidRPr="00861957">
        <w:t>Chernobyl disaster, through the support of SMEs, entrepreneurship and employment.</w:t>
      </w:r>
    </w:p>
    <w:p w14:paraId="259D9BD2" w14:textId="77777777" w:rsidR="00470795" w:rsidRPr="00861957" w:rsidRDefault="00470795" w:rsidP="00470795">
      <w:pPr>
        <w:jc w:val="both"/>
      </w:pPr>
    </w:p>
    <w:p w14:paraId="2A6F900C" w14:textId="538CF637" w:rsidR="00470795" w:rsidRPr="008B2AD6" w:rsidRDefault="00470795" w:rsidP="00E51D11">
      <w:pPr>
        <w:jc w:val="both"/>
      </w:pPr>
      <w:r w:rsidRPr="00861957">
        <w:t xml:space="preserve">Belarus has demonstrated </w:t>
      </w:r>
      <w:r w:rsidR="00E51D11" w:rsidRPr="00861957">
        <w:t xml:space="preserve">a </w:t>
      </w:r>
      <w:r w:rsidRPr="00861957">
        <w:t xml:space="preserve">strong commitment to Disaster Risk Reduction (DRR). The National Platform for DRR </w:t>
      </w:r>
      <w:r w:rsidR="00E44AE9" w:rsidRPr="00861957">
        <w:t xml:space="preserve">was </w:t>
      </w:r>
      <w:r w:rsidRPr="00861957">
        <w:t>established in 2012 and has proved to be a</w:t>
      </w:r>
      <w:r w:rsidR="00902FFD">
        <w:t>n</w:t>
      </w:r>
      <w:r w:rsidRPr="00861957">
        <w:t xml:space="preserve"> effective tool for </w:t>
      </w:r>
      <w:r w:rsidR="00902FFD">
        <w:t xml:space="preserve">enhancing </w:t>
      </w:r>
      <w:r w:rsidRPr="00861957">
        <w:t>coordinat</w:t>
      </w:r>
      <w:r w:rsidR="00902FFD">
        <w:t>ion,</w:t>
      </w:r>
      <w:r w:rsidRPr="00861957">
        <w:t xml:space="preserve"> planning and implementation of DRR policies. UNISDR will continue its cooperation with the Ministry of Emergency</w:t>
      </w:r>
      <w:r w:rsidR="00E44AE9" w:rsidRPr="00861957">
        <w:t xml:space="preserve"> Situations</w:t>
      </w:r>
      <w:r w:rsidRPr="00861957">
        <w:t xml:space="preserve"> to strengthen the country’s capacity to manage</w:t>
      </w:r>
      <w:r w:rsidR="00902FFD">
        <w:t xml:space="preserve"> natural and</w:t>
      </w:r>
      <w:r w:rsidRPr="00861957">
        <w:t xml:space="preserve"> technological hazards, enhance </w:t>
      </w:r>
      <w:r w:rsidR="00E44AE9" w:rsidRPr="00861957">
        <w:t xml:space="preserve">the </w:t>
      </w:r>
      <w:r w:rsidRPr="00861957">
        <w:t>capacity of state institutions for DRR at national, regional and local level and align national DRR policies and arrangements with international best practice</w:t>
      </w:r>
      <w:r w:rsidR="00E44AE9" w:rsidRPr="00861957">
        <w:t>s</w:t>
      </w:r>
      <w:r w:rsidRPr="00861957">
        <w:t xml:space="preserve">, as set by the Hyogo Framework for Action 2005-2015 and the </w:t>
      </w:r>
      <w:r w:rsidRPr="008B2AD6">
        <w:t xml:space="preserve">ongoing </w:t>
      </w:r>
      <w:r w:rsidR="009B4450" w:rsidRPr="008B2AD6">
        <w:t>Sendai Framework for Disaster Risk Reduction 2015-2030</w:t>
      </w:r>
      <w:r w:rsidRPr="008B2AD6">
        <w:t>.</w:t>
      </w:r>
    </w:p>
    <w:p w14:paraId="1F48A982" w14:textId="36556411" w:rsidR="006D5E77" w:rsidRPr="008B2AD6" w:rsidRDefault="00624F0A" w:rsidP="00F558D0">
      <w:pPr>
        <w:pStyle w:val="Heading1"/>
        <w:numPr>
          <w:ilvl w:val="0"/>
          <w:numId w:val="6"/>
        </w:numPr>
        <w:rPr>
          <w:rFonts w:ascii="Times New Roman" w:hAnsi="Times New Roman" w:cs="Times New Roman"/>
          <w:color w:val="548DD4" w:themeColor="text2" w:themeTint="99"/>
          <w:sz w:val="36"/>
          <w:szCs w:val="36"/>
        </w:rPr>
      </w:pPr>
      <w:bookmarkStart w:id="25" w:name="_Toc405745117"/>
      <w:bookmarkStart w:id="26" w:name="_Toc412921078"/>
      <w:r w:rsidRPr="008B2AD6">
        <w:rPr>
          <w:rFonts w:ascii="Times New Roman" w:hAnsi="Times New Roman" w:cs="Times New Roman"/>
          <w:color w:val="548DD4" w:themeColor="text2" w:themeTint="99"/>
          <w:sz w:val="36"/>
          <w:szCs w:val="36"/>
        </w:rPr>
        <w:t>E</w:t>
      </w:r>
      <w:r w:rsidR="00583338" w:rsidRPr="008B2AD6">
        <w:rPr>
          <w:rFonts w:ascii="Times New Roman" w:hAnsi="Times New Roman" w:cs="Times New Roman"/>
          <w:color w:val="548DD4" w:themeColor="text2" w:themeTint="99"/>
          <w:sz w:val="36"/>
          <w:szCs w:val="36"/>
        </w:rPr>
        <w:t xml:space="preserve">stimated Financial </w:t>
      </w:r>
      <w:r w:rsidR="006D5E77" w:rsidRPr="008B2AD6">
        <w:rPr>
          <w:rFonts w:ascii="Times New Roman" w:hAnsi="Times New Roman" w:cs="Times New Roman"/>
          <w:color w:val="548DD4" w:themeColor="text2" w:themeTint="99"/>
          <w:sz w:val="36"/>
          <w:szCs w:val="36"/>
        </w:rPr>
        <w:t>Resources</w:t>
      </w:r>
      <w:bookmarkEnd w:id="25"/>
      <w:bookmarkEnd w:id="26"/>
    </w:p>
    <w:p w14:paraId="419B9CD8" w14:textId="77777777" w:rsidR="009D7E32" w:rsidRPr="00861957" w:rsidRDefault="009D7E32" w:rsidP="00B83DB3">
      <w:pPr>
        <w:jc w:val="both"/>
      </w:pPr>
    </w:p>
    <w:p w14:paraId="09DCE24A" w14:textId="1B6B8890" w:rsidR="009D7E32" w:rsidRPr="00861957" w:rsidRDefault="00313B80" w:rsidP="009D7E32">
      <w:pPr>
        <w:jc w:val="both"/>
      </w:pPr>
      <w:r w:rsidRPr="00861957">
        <w:t>The estimated financial resource</w:t>
      </w:r>
      <w:r w:rsidR="00E44AE9" w:rsidRPr="00861957">
        <w:t>s</w:t>
      </w:r>
      <w:r w:rsidRPr="00861957">
        <w:t xml:space="preserve"> require</w:t>
      </w:r>
      <w:r w:rsidR="00E44AE9" w:rsidRPr="00861957">
        <w:t>d</w:t>
      </w:r>
      <w:r w:rsidRPr="00861957">
        <w:t xml:space="preserve"> by the United Nations system in Belarus to achieve the </w:t>
      </w:r>
      <w:r w:rsidR="00E44AE9" w:rsidRPr="00861957">
        <w:t xml:space="preserve">above </w:t>
      </w:r>
      <w:r w:rsidRPr="00861957">
        <w:t xml:space="preserve">outcomes are </w:t>
      </w:r>
      <w:r w:rsidRPr="008B2AD6">
        <w:t>presented in detail in the Results Matrix (</w:t>
      </w:r>
      <w:r w:rsidRPr="008B2AD6">
        <w:rPr>
          <w:i/>
        </w:rPr>
        <w:t>Annex I</w:t>
      </w:r>
      <w:r w:rsidRPr="008B2AD6">
        <w:t xml:space="preserve">). The total resources </w:t>
      </w:r>
      <w:r w:rsidR="005B3D73" w:rsidRPr="008B2AD6">
        <w:t xml:space="preserve">required are estimated at USD </w:t>
      </w:r>
      <w:r w:rsidR="0069379D" w:rsidRPr="003F294F">
        <w:t>111,328,000</w:t>
      </w:r>
      <w:r w:rsidR="0069379D" w:rsidRPr="008B2AD6">
        <w:t xml:space="preserve"> </w:t>
      </w:r>
      <w:r w:rsidRPr="008B2AD6">
        <w:t xml:space="preserve">for 2016-2020, of which USD </w:t>
      </w:r>
      <w:r w:rsidR="00CB7407" w:rsidRPr="008B2AD6">
        <w:rPr>
          <w:lang w:val="en-US"/>
        </w:rPr>
        <w:t>3</w:t>
      </w:r>
      <w:r w:rsidR="0069379D">
        <w:rPr>
          <w:lang w:val="en-US"/>
        </w:rPr>
        <w:t>8</w:t>
      </w:r>
      <w:r w:rsidRPr="008B2AD6">
        <w:t>,</w:t>
      </w:r>
      <w:r w:rsidR="00CB7407" w:rsidRPr="008B2AD6">
        <w:rPr>
          <w:lang w:val="en-US"/>
        </w:rPr>
        <w:t>9</w:t>
      </w:r>
      <w:r w:rsidR="0069379D">
        <w:rPr>
          <w:lang w:val="en-US"/>
        </w:rPr>
        <w:t>6</w:t>
      </w:r>
      <w:r w:rsidR="00294FF8">
        <w:rPr>
          <w:lang w:val="en-US"/>
        </w:rPr>
        <w:t>4</w:t>
      </w:r>
      <w:r w:rsidRPr="008B2AD6">
        <w:t>,</w:t>
      </w:r>
      <w:r w:rsidR="0069379D">
        <w:t>992</w:t>
      </w:r>
      <w:r w:rsidRPr="008B2AD6">
        <w:t xml:space="preserve"> </w:t>
      </w:r>
      <w:r w:rsidR="00AA1FD3" w:rsidRPr="008B2AD6">
        <w:t xml:space="preserve">are available </w:t>
      </w:r>
      <w:r w:rsidR="00E44AE9" w:rsidRPr="008B2AD6">
        <w:t>to</w:t>
      </w:r>
      <w:r w:rsidR="00AA1FD3" w:rsidRPr="008B2AD6">
        <w:t xml:space="preserve"> the agencies </w:t>
      </w:r>
      <w:r w:rsidRPr="008B2AD6">
        <w:t xml:space="preserve">and USD </w:t>
      </w:r>
      <w:r w:rsidR="00470795" w:rsidRPr="008B2AD6">
        <w:t>7</w:t>
      </w:r>
      <w:r w:rsidR="0069379D">
        <w:t>2</w:t>
      </w:r>
      <w:r w:rsidRPr="008B2AD6">
        <w:t>,</w:t>
      </w:r>
      <w:r w:rsidR="00227A1D" w:rsidRPr="008B2AD6">
        <w:t>3</w:t>
      </w:r>
      <w:r w:rsidR="0069379D">
        <w:rPr>
          <w:lang w:val="en-US"/>
        </w:rPr>
        <w:t>63</w:t>
      </w:r>
      <w:r w:rsidRPr="008B2AD6">
        <w:t>,00</w:t>
      </w:r>
      <w:r w:rsidR="0069379D">
        <w:t>8</w:t>
      </w:r>
      <w:r w:rsidRPr="008B2AD6">
        <w:t xml:space="preserve"> will need to be mobili</w:t>
      </w:r>
      <w:r w:rsidR="000F002C" w:rsidRPr="008B2AD6">
        <w:t>z</w:t>
      </w:r>
      <w:r w:rsidRPr="008B2AD6">
        <w:t xml:space="preserve">ed during the </w:t>
      </w:r>
      <w:r w:rsidR="00CA0D3E" w:rsidRPr="008B2AD6">
        <w:t>programming cycle</w:t>
      </w:r>
      <w:r w:rsidRPr="008B2AD6">
        <w:t>.</w:t>
      </w:r>
      <w:r w:rsidR="00CA0D3E" w:rsidRPr="008B2AD6">
        <w:t xml:space="preserve"> </w:t>
      </w:r>
      <w:r w:rsidR="009D7E32" w:rsidRPr="008B2AD6">
        <w:t>The followi</w:t>
      </w:r>
      <w:r w:rsidR="00CA0D3E" w:rsidRPr="008B2AD6">
        <w:t>ng table summari</w:t>
      </w:r>
      <w:r w:rsidR="000F002C" w:rsidRPr="008B2AD6">
        <w:t>z</w:t>
      </w:r>
      <w:r w:rsidR="00CA0D3E" w:rsidRPr="008B2AD6">
        <w:t xml:space="preserve">es resource requirements for all </w:t>
      </w:r>
      <w:r w:rsidR="007A7744" w:rsidRPr="008B2AD6">
        <w:t>eight</w:t>
      </w:r>
      <w:r w:rsidR="00823C37" w:rsidRPr="008B2AD6">
        <w:t xml:space="preserve"> UNDAF outcomes:</w:t>
      </w:r>
    </w:p>
    <w:p w14:paraId="79E1DFDC" w14:textId="77777777" w:rsidR="009D7E32" w:rsidRPr="00861957" w:rsidRDefault="009D7E32" w:rsidP="00B83DB3">
      <w:pPr>
        <w:jc w:val="both"/>
      </w:pPr>
    </w:p>
    <w:tbl>
      <w:tblPr>
        <w:tblStyle w:val="TableGrid"/>
        <w:tblW w:w="0" w:type="auto"/>
        <w:tblLook w:val="04A0" w:firstRow="1" w:lastRow="0" w:firstColumn="1" w:lastColumn="0" w:noHBand="0" w:noVBand="1"/>
      </w:tblPr>
      <w:tblGrid>
        <w:gridCol w:w="1997"/>
        <w:gridCol w:w="1972"/>
        <w:gridCol w:w="1977"/>
        <w:gridCol w:w="1980"/>
        <w:gridCol w:w="1985"/>
      </w:tblGrid>
      <w:tr w:rsidR="009D7E32" w:rsidRPr="00861957" w14:paraId="375EEBD6" w14:textId="77777777" w:rsidTr="003D5FEE">
        <w:tc>
          <w:tcPr>
            <w:tcW w:w="2027" w:type="dxa"/>
            <w:vAlign w:val="center"/>
          </w:tcPr>
          <w:p w14:paraId="6955F6DA" w14:textId="77777777" w:rsidR="009D7E32" w:rsidRPr="00861957" w:rsidRDefault="009D7E32" w:rsidP="009D7E32">
            <w:pPr>
              <w:jc w:val="center"/>
              <w:rPr>
                <w:b/>
                <w:sz w:val="20"/>
                <w:szCs w:val="20"/>
              </w:rPr>
            </w:pPr>
            <w:r w:rsidRPr="00861957">
              <w:rPr>
                <w:b/>
                <w:sz w:val="20"/>
                <w:szCs w:val="20"/>
              </w:rPr>
              <w:t>Focus Area</w:t>
            </w:r>
          </w:p>
        </w:tc>
        <w:tc>
          <w:tcPr>
            <w:tcW w:w="2027" w:type="dxa"/>
            <w:vAlign w:val="center"/>
          </w:tcPr>
          <w:p w14:paraId="21EBF3AC" w14:textId="77777777" w:rsidR="009D7E32" w:rsidRPr="00861957" w:rsidRDefault="009D7E32" w:rsidP="009D7E32">
            <w:pPr>
              <w:jc w:val="center"/>
              <w:rPr>
                <w:b/>
                <w:sz w:val="20"/>
                <w:szCs w:val="20"/>
              </w:rPr>
            </w:pPr>
            <w:r w:rsidRPr="00861957">
              <w:rPr>
                <w:b/>
                <w:sz w:val="20"/>
                <w:szCs w:val="20"/>
              </w:rPr>
              <w:t>Outcome</w:t>
            </w:r>
          </w:p>
        </w:tc>
        <w:tc>
          <w:tcPr>
            <w:tcW w:w="2027" w:type="dxa"/>
            <w:vAlign w:val="center"/>
          </w:tcPr>
          <w:p w14:paraId="73EFC53A" w14:textId="77777777" w:rsidR="009D7E32" w:rsidRPr="00861957" w:rsidRDefault="006718B8" w:rsidP="009D7E32">
            <w:pPr>
              <w:jc w:val="center"/>
              <w:rPr>
                <w:b/>
                <w:sz w:val="20"/>
                <w:szCs w:val="20"/>
              </w:rPr>
            </w:pPr>
            <w:r w:rsidRPr="00861957">
              <w:rPr>
                <w:b/>
                <w:sz w:val="20"/>
                <w:szCs w:val="20"/>
              </w:rPr>
              <w:t>Available Resources</w:t>
            </w:r>
          </w:p>
        </w:tc>
        <w:tc>
          <w:tcPr>
            <w:tcW w:w="2028" w:type="dxa"/>
            <w:vAlign w:val="center"/>
          </w:tcPr>
          <w:p w14:paraId="506E47AB" w14:textId="7171FFE9" w:rsidR="009D7E32" w:rsidRPr="00861957" w:rsidRDefault="006718B8" w:rsidP="006718B8">
            <w:pPr>
              <w:jc w:val="center"/>
              <w:rPr>
                <w:b/>
                <w:sz w:val="20"/>
                <w:szCs w:val="20"/>
              </w:rPr>
            </w:pPr>
            <w:r w:rsidRPr="00861957">
              <w:rPr>
                <w:b/>
                <w:sz w:val="20"/>
                <w:szCs w:val="20"/>
              </w:rPr>
              <w:t>Resources to B</w:t>
            </w:r>
            <w:r w:rsidR="009D7E32" w:rsidRPr="00861957">
              <w:rPr>
                <w:b/>
                <w:sz w:val="20"/>
                <w:szCs w:val="20"/>
              </w:rPr>
              <w:t>e</w:t>
            </w:r>
            <w:r w:rsidRPr="00861957">
              <w:rPr>
                <w:b/>
                <w:sz w:val="20"/>
                <w:szCs w:val="20"/>
              </w:rPr>
              <w:t xml:space="preserve"> Mobili</w:t>
            </w:r>
            <w:r w:rsidR="000F002C" w:rsidRPr="00861957">
              <w:rPr>
                <w:b/>
                <w:sz w:val="20"/>
                <w:szCs w:val="20"/>
              </w:rPr>
              <w:t>z</w:t>
            </w:r>
            <w:r w:rsidRPr="00861957">
              <w:rPr>
                <w:b/>
                <w:sz w:val="20"/>
                <w:szCs w:val="20"/>
              </w:rPr>
              <w:t>ed</w:t>
            </w:r>
          </w:p>
        </w:tc>
        <w:tc>
          <w:tcPr>
            <w:tcW w:w="2028" w:type="dxa"/>
            <w:vAlign w:val="center"/>
          </w:tcPr>
          <w:p w14:paraId="31C03FDE" w14:textId="77777777" w:rsidR="009D7E32" w:rsidRPr="00861957" w:rsidRDefault="009D7E32" w:rsidP="009D7E32">
            <w:pPr>
              <w:jc w:val="center"/>
              <w:rPr>
                <w:b/>
                <w:sz w:val="20"/>
                <w:szCs w:val="20"/>
              </w:rPr>
            </w:pPr>
            <w:r w:rsidRPr="00861957">
              <w:rPr>
                <w:b/>
                <w:sz w:val="20"/>
                <w:szCs w:val="20"/>
              </w:rPr>
              <w:t>Total</w:t>
            </w:r>
          </w:p>
        </w:tc>
      </w:tr>
      <w:tr w:rsidR="0069379D" w:rsidRPr="00861957" w14:paraId="38460FA4" w14:textId="77777777" w:rsidTr="003D5FEE">
        <w:tc>
          <w:tcPr>
            <w:tcW w:w="2027" w:type="dxa"/>
            <w:vMerge w:val="restart"/>
          </w:tcPr>
          <w:p w14:paraId="4F8A2F75" w14:textId="77777777" w:rsidR="0069379D" w:rsidRPr="00861957" w:rsidRDefault="0069379D" w:rsidP="0022048D">
            <w:pPr>
              <w:rPr>
                <w:sz w:val="20"/>
                <w:szCs w:val="20"/>
              </w:rPr>
            </w:pPr>
            <w:r w:rsidRPr="00861957">
              <w:rPr>
                <w:sz w:val="20"/>
                <w:szCs w:val="20"/>
              </w:rPr>
              <w:t>Inclusive, Responsive, and Accountable Governance</w:t>
            </w:r>
          </w:p>
        </w:tc>
        <w:tc>
          <w:tcPr>
            <w:tcW w:w="2027" w:type="dxa"/>
          </w:tcPr>
          <w:p w14:paraId="034B769F" w14:textId="77777777" w:rsidR="0069379D" w:rsidRPr="00861957" w:rsidRDefault="0069379D" w:rsidP="0022048D">
            <w:pPr>
              <w:pStyle w:val="PlainText"/>
              <w:rPr>
                <w:rFonts w:ascii="Times New Roman" w:hAnsi="Times New Roman" w:cs="Times New Roman"/>
                <w:sz w:val="20"/>
                <w:szCs w:val="20"/>
                <w:lang w:val="en-GB"/>
              </w:rPr>
            </w:pPr>
            <w:r w:rsidRPr="00861957">
              <w:rPr>
                <w:rFonts w:ascii="Times New Roman" w:hAnsi="Times New Roman" w:cs="Times New Roman"/>
                <w:sz w:val="20"/>
                <w:szCs w:val="20"/>
                <w:lang w:val="en-GB"/>
              </w:rPr>
              <w:t>Outcome 1.1</w:t>
            </w:r>
          </w:p>
        </w:tc>
        <w:tc>
          <w:tcPr>
            <w:tcW w:w="2027" w:type="dxa"/>
          </w:tcPr>
          <w:p w14:paraId="01126072" w14:textId="7D0FAB89" w:rsidR="0069379D" w:rsidRPr="00861957" w:rsidRDefault="0069379D" w:rsidP="00F554F0">
            <w:pPr>
              <w:jc w:val="both"/>
              <w:rPr>
                <w:sz w:val="20"/>
                <w:szCs w:val="20"/>
              </w:rPr>
            </w:pPr>
            <w:r>
              <w:rPr>
                <w:sz w:val="20"/>
                <w:szCs w:val="20"/>
              </w:rPr>
              <w:t> 999</w:t>
            </w:r>
            <w:r>
              <w:rPr>
                <w:sz w:val="20"/>
                <w:szCs w:val="20"/>
                <w:lang w:val="ru-RU"/>
              </w:rPr>
              <w:t> </w:t>
            </w:r>
            <w:r>
              <w:rPr>
                <w:sz w:val="20"/>
                <w:szCs w:val="20"/>
              </w:rPr>
              <w:t>000</w:t>
            </w:r>
          </w:p>
        </w:tc>
        <w:tc>
          <w:tcPr>
            <w:tcW w:w="2028" w:type="dxa"/>
          </w:tcPr>
          <w:p w14:paraId="390AAF1D" w14:textId="45AC0A96" w:rsidR="0069379D" w:rsidRPr="00861957" w:rsidRDefault="0069379D" w:rsidP="0071643B">
            <w:pPr>
              <w:jc w:val="both"/>
              <w:rPr>
                <w:sz w:val="20"/>
                <w:szCs w:val="20"/>
              </w:rPr>
            </w:pPr>
            <w:r>
              <w:rPr>
                <w:sz w:val="20"/>
                <w:szCs w:val="20"/>
              </w:rPr>
              <w:t>4</w:t>
            </w:r>
            <w:r>
              <w:rPr>
                <w:sz w:val="20"/>
                <w:szCs w:val="20"/>
                <w:lang w:val="ru-RU"/>
              </w:rPr>
              <w:t> </w:t>
            </w:r>
            <w:r>
              <w:rPr>
                <w:sz w:val="20"/>
                <w:szCs w:val="20"/>
              </w:rPr>
              <w:t>2</w:t>
            </w:r>
            <w:r>
              <w:rPr>
                <w:sz w:val="20"/>
                <w:szCs w:val="20"/>
                <w:lang w:val="ru-RU"/>
              </w:rPr>
              <w:t>3</w:t>
            </w:r>
            <w:r>
              <w:rPr>
                <w:sz w:val="20"/>
                <w:szCs w:val="20"/>
              </w:rPr>
              <w:t>0</w:t>
            </w:r>
            <w:r>
              <w:rPr>
                <w:sz w:val="20"/>
                <w:szCs w:val="20"/>
                <w:lang w:val="ru-RU"/>
              </w:rPr>
              <w:t> </w:t>
            </w:r>
            <w:r>
              <w:rPr>
                <w:sz w:val="20"/>
                <w:szCs w:val="20"/>
              </w:rPr>
              <w:t>000</w:t>
            </w:r>
          </w:p>
        </w:tc>
        <w:tc>
          <w:tcPr>
            <w:tcW w:w="2028" w:type="dxa"/>
          </w:tcPr>
          <w:p w14:paraId="69ECB0C3" w14:textId="635886FD" w:rsidR="0069379D" w:rsidRPr="00861957" w:rsidRDefault="0069379D" w:rsidP="00F554F0">
            <w:pPr>
              <w:jc w:val="both"/>
              <w:rPr>
                <w:sz w:val="20"/>
                <w:szCs w:val="20"/>
              </w:rPr>
            </w:pPr>
            <w:r>
              <w:rPr>
                <w:sz w:val="20"/>
                <w:szCs w:val="20"/>
              </w:rPr>
              <w:t>5</w:t>
            </w:r>
            <w:r>
              <w:rPr>
                <w:sz w:val="20"/>
                <w:szCs w:val="20"/>
                <w:lang w:val="ru-RU"/>
              </w:rPr>
              <w:t> </w:t>
            </w:r>
            <w:r>
              <w:rPr>
                <w:sz w:val="20"/>
                <w:szCs w:val="20"/>
              </w:rPr>
              <w:t>229</w:t>
            </w:r>
            <w:r>
              <w:rPr>
                <w:sz w:val="20"/>
                <w:szCs w:val="20"/>
                <w:lang w:val="ru-RU"/>
              </w:rPr>
              <w:t> </w:t>
            </w:r>
            <w:r>
              <w:rPr>
                <w:sz w:val="20"/>
                <w:szCs w:val="20"/>
              </w:rPr>
              <w:t>000</w:t>
            </w:r>
          </w:p>
        </w:tc>
      </w:tr>
      <w:tr w:rsidR="0069379D" w:rsidRPr="00861957" w14:paraId="464285F5" w14:textId="77777777" w:rsidTr="003D5FEE">
        <w:tc>
          <w:tcPr>
            <w:tcW w:w="2027" w:type="dxa"/>
            <w:vMerge/>
          </w:tcPr>
          <w:p w14:paraId="72D2E882" w14:textId="77777777" w:rsidR="0069379D" w:rsidRPr="00861957" w:rsidRDefault="0069379D" w:rsidP="0022048D">
            <w:pPr>
              <w:rPr>
                <w:sz w:val="20"/>
                <w:szCs w:val="20"/>
              </w:rPr>
            </w:pPr>
          </w:p>
        </w:tc>
        <w:tc>
          <w:tcPr>
            <w:tcW w:w="2027" w:type="dxa"/>
            <w:vAlign w:val="center"/>
          </w:tcPr>
          <w:p w14:paraId="202EAC94" w14:textId="77777777" w:rsidR="0069379D" w:rsidRPr="00861957" w:rsidRDefault="0069379D" w:rsidP="003D5FEE">
            <w:pPr>
              <w:pStyle w:val="PlainText"/>
              <w:rPr>
                <w:rFonts w:ascii="Times New Roman" w:hAnsi="Times New Roman" w:cs="Times New Roman"/>
                <w:sz w:val="20"/>
                <w:szCs w:val="20"/>
                <w:lang w:val="en-GB"/>
              </w:rPr>
            </w:pPr>
            <w:r w:rsidRPr="00861957">
              <w:rPr>
                <w:rFonts w:ascii="Times New Roman" w:hAnsi="Times New Roman" w:cs="Times New Roman"/>
                <w:sz w:val="20"/>
                <w:szCs w:val="20"/>
                <w:lang w:val="en-GB"/>
              </w:rPr>
              <w:t>Outcome 1.2</w:t>
            </w:r>
          </w:p>
        </w:tc>
        <w:tc>
          <w:tcPr>
            <w:tcW w:w="2027" w:type="dxa"/>
            <w:vAlign w:val="center"/>
          </w:tcPr>
          <w:p w14:paraId="399F6C14" w14:textId="5D1DCBD9" w:rsidR="0069379D" w:rsidRPr="00861957" w:rsidRDefault="0069379D" w:rsidP="003D5FEE">
            <w:pPr>
              <w:rPr>
                <w:sz w:val="20"/>
                <w:szCs w:val="20"/>
              </w:rPr>
            </w:pPr>
            <w:r>
              <w:rPr>
                <w:sz w:val="20"/>
                <w:szCs w:val="20"/>
              </w:rPr>
              <w:t>2</w:t>
            </w:r>
            <w:r>
              <w:rPr>
                <w:sz w:val="20"/>
                <w:szCs w:val="20"/>
                <w:lang w:val="ru-RU"/>
              </w:rPr>
              <w:t> </w:t>
            </w:r>
            <w:r>
              <w:rPr>
                <w:sz w:val="20"/>
                <w:szCs w:val="20"/>
              </w:rPr>
              <w:t>836</w:t>
            </w:r>
            <w:r>
              <w:rPr>
                <w:sz w:val="20"/>
                <w:szCs w:val="20"/>
                <w:lang w:val="ru-RU"/>
              </w:rPr>
              <w:t> </w:t>
            </w:r>
            <w:r>
              <w:rPr>
                <w:sz w:val="20"/>
                <w:szCs w:val="20"/>
              </w:rPr>
              <w:t>992</w:t>
            </w:r>
          </w:p>
        </w:tc>
        <w:tc>
          <w:tcPr>
            <w:tcW w:w="2028" w:type="dxa"/>
            <w:vAlign w:val="center"/>
          </w:tcPr>
          <w:p w14:paraId="34020B97" w14:textId="4A2BFAE0" w:rsidR="0069379D" w:rsidRPr="00861957" w:rsidRDefault="0069379D" w:rsidP="0071643B">
            <w:pPr>
              <w:rPr>
                <w:sz w:val="20"/>
                <w:szCs w:val="20"/>
              </w:rPr>
            </w:pPr>
            <w:r>
              <w:rPr>
                <w:sz w:val="20"/>
                <w:szCs w:val="20"/>
              </w:rPr>
              <w:t>10 </w:t>
            </w:r>
            <w:r>
              <w:rPr>
                <w:sz w:val="20"/>
                <w:szCs w:val="20"/>
                <w:lang w:val="en-US"/>
              </w:rPr>
              <w:t>495</w:t>
            </w:r>
            <w:r>
              <w:rPr>
                <w:sz w:val="20"/>
                <w:szCs w:val="20"/>
                <w:lang w:val="ru-RU"/>
              </w:rPr>
              <w:t> </w:t>
            </w:r>
            <w:r>
              <w:rPr>
                <w:sz w:val="20"/>
                <w:szCs w:val="20"/>
              </w:rPr>
              <w:t>008</w:t>
            </w:r>
          </w:p>
        </w:tc>
        <w:tc>
          <w:tcPr>
            <w:tcW w:w="2028" w:type="dxa"/>
            <w:vAlign w:val="center"/>
          </w:tcPr>
          <w:p w14:paraId="4D836EE8" w14:textId="1A06EBFB" w:rsidR="0069379D" w:rsidRPr="00861957" w:rsidRDefault="0069379D" w:rsidP="0071643B">
            <w:pPr>
              <w:rPr>
                <w:sz w:val="20"/>
                <w:szCs w:val="20"/>
              </w:rPr>
            </w:pPr>
            <w:r>
              <w:rPr>
                <w:sz w:val="20"/>
                <w:szCs w:val="20"/>
              </w:rPr>
              <w:t>13</w:t>
            </w:r>
            <w:r>
              <w:rPr>
                <w:sz w:val="20"/>
                <w:szCs w:val="20"/>
                <w:lang w:val="ru-RU"/>
              </w:rPr>
              <w:t> </w:t>
            </w:r>
            <w:r>
              <w:rPr>
                <w:sz w:val="20"/>
                <w:szCs w:val="20"/>
                <w:lang w:val="en-US"/>
              </w:rPr>
              <w:t>332</w:t>
            </w:r>
            <w:r>
              <w:rPr>
                <w:sz w:val="20"/>
                <w:szCs w:val="20"/>
                <w:lang w:val="ru-RU"/>
              </w:rPr>
              <w:t> </w:t>
            </w:r>
            <w:r>
              <w:rPr>
                <w:sz w:val="20"/>
                <w:szCs w:val="20"/>
              </w:rPr>
              <w:t>000</w:t>
            </w:r>
          </w:p>
        </w:tc>
      </w:tr>
      <w:tr w:rsidR="0069379D" w:rsidRPr="00861957" w14:paraId="528B1B5A" w14:textId="77777777" w:rsidTr="003D5FEE">
        <w:tc>
          <w:tcPr>
            <w:tcW w:w="2027" w:type="dxa"/>
          </w:tcPr>
          <w:p w14:paraId="0119F361" w14:textId="77777777" w:rsidR="0069379D" w:rsidRPr="00861957" w:rsidRDefault="0069379D" w:rsidP="0022048D">
            <w:pPr>
              <w:rPr>
                <w:b/>
                <w:sz w:val="20"/>
                <w:szCs w:val="20"/>
              </w:rPr>
            </w:pPr>
            <w:r w:rsidRPr="00861957">
              <w:rPr>
                <w:b/>
                <w:sz w:val="20"/>
                <w:szCs w:val="20"/>
              </w:rPr>
              <w:t>Subtotal</w:t>
            </w:r>
          </w:p>
        </w:tc>
        <w:tc>
          <w:tcPr>
            <w:tcW w:w="2027" w:type="dxa"/>
          </w:tcPr>
          <w:p w14:paraId="5B9A8EE1" w14:textId="77777777" w:rsidR="0069379D" w:rsidRPr="00861957" w:rsidRDefault="0069379D" w:rsidP="0022048D">
            <w:pPr>
              <w:pStyle w:val="PlainText"/>
              <w:rPr>
                <w:rFonts w:ascii="Times New Roman" w:hAnsi="Times New Roman" w:cs="Times New Roman"/>
                <w:sz w:val="20"/>
                <w:szCs w:val="20"/>
                <w:lang w:val="en-GB"/>
              </w:rPr>
            </w:pPr>
          </w:p>
        </w:tc>
        <w:tc>
          <w:tcPr>
            <w:tcW w:w="2027" w:type="dxa"/>
          </w:tcPr>
          <w:p w14:paraId="536821E2" w14:textId="56E1198B" w:rsidR="0069379D" w:rsidRPr="00861957" w:rsidRDefault="0069379D" w:rsidP="00F554F0">
            <w:pPr>
              <w:jc w:val="both"/>
              <w:rPr>
                <w:b/>
                <w:sz w:val="20"/>
                <w:szCs w:val="20"/>
              </w:rPr>
            </w:pPr>
            <w:r>
              <w:rPr>
                <w:b/>
                <w:bCs/>
                <w:sz w:val="20"/>
                <w:szCs w:val="20"/>
              </w:rPr>
              <w:t>3</w:t>
            </w:r>
            <w:r>
              <w:rPr>
                <w:b/>
                <w:bCs/>
                <w:sz w:val="20"/>
                <w:szCs w:val="20"/>
                <w:lang w:val="ru-RU"/>
              </w:rPr>
              <w:t> </w:t>
            </w:r>
            <w:r>
              <w:rPr>
                <w:b/>
                <w:bCs/>
                <w:sz w:val="20"/>
                <w:szCs w:val="20"/>
              </w:rPr>
              <w:t>835</w:t>
            </w:r>
            <w:r>
              <w:rPr>
                <w:b/>
                <w:bCs/>
                <w:sz w:val="20"/>
                <w:szCs w:val="20"/>
                <w:lang w:val="ru-RU"/>
              </w:rPr>
              <w:t> </w:t>
            </w:r>
            <w:r>
              <w:rPr>
                <w:b/>
                <w:bCs/>
                <w:sz w:val="20"/>
                <w:szCs w:val="20"/>
              </w:rPr>
              <w:t>992</w:t>
            </w:r>
          </w:p>
        </w:tc>
        <w:tc>
          <w:tcPr>
            <w:tcW w:w="2028" w:type="dxa"/>
          </w:tcPr>
          <w:p w14:paraId="5CE8BFBB" w14:textId="0704A1C2" w:rsidR="0069379D" w:rsidRPr="00861957" w:rsidRDefault="0069379D" w:rsidP="0071643B">
            <w:pPr>
              <w:jc w:val="both"/>
              <w:rPr>
                <w:b/>
                <w:sz w:val="20"/>
                <w:szCs w:val="20"/>
              </w:rPr>
            </w:pPr>
            <w:r>
              <w:rPr>
                <w:b/>
                <w:bCs/>
                <w:sz w:val="20"/>
                <w:szCs w:val="20"/>
              </w:rPr>
              <w:t>14</w:t>
            </w:r>
            <w:r>
              <w:rPr>
                <w:b/>
                <w:bCs/>
                <w:sz w:val="20"/>
                <w:szCs w:val="20"/>
                <w:lang w:val="ru-RU"/>
              </w:rPr>
              <w:t> </w:t>
            </w:r>
            <w:r>
              <w:rPr>
                <w:b/>
                <w:bCs/>
                <w:sz w:val="20"/>
                <w:szCs w:val="20"/>
              </w:rPr>
              <w:t>725</w:t>
            </w:r>
            <w:r>
              <w:rPr>
                <w:b/>
                <w:bCs/>
                <w:sz w:val="20"/>
                <w:szCs w:val="20"/>
                <w:lang w:val="ru-RU"/>
              </w:rPr>
              <w:t> </w:t>
            </w:r>
            <w:r>
              <w:rPr>
                <w:b/>
                <w:bCs/>
                <w:sz w:val="20"/>
                <w:szCs w:val="20"/>
              </w:rPr>
              <w:t>008</w:t>
            </w:r>
          </w:p>
        </w:tc>
        <w:tc>
          <w:tcPr>
            <w:tcW w:w="2028" w:type="dxa"/>
          </w:tcPr>
          <w:p w14:paraId="68104099" w14:textId="38ED5E62" w:rsidR="0069379D" w:rsidRPr="00861957" w:rsidRDefault="0069379D" w:rsidP="00F554F0">
            <w:pPr>
              <w:jc w:val="both"/>
              <w:rPr>
                <w:b/>
                <w:sz w:val="20"/>
                <w:szCs w:val="20"/>
              </w:rPr>
            </w:pPr>
            <w:r>
              <w:rPr>
                <w:b/>
                <w:bCs/>
                <w:sz w:val="20"/>
                <w:szCs w:val="20"/>
              </w:rPr>
              <w:t>18</w:t>
            </w:r>
            <w:r>
              <w:rPr>
                <w:b/>
                <w:bCs/>
                <w:sz w:val="20"/>
                <w:szCs w:val="20"/>
                <w:lang w:val="ru-RU"/>
              </w:rPr>
              <w:t> </w:t>
            </w:r>
            <w:r>
              <w:rPr>
                <w:b/>
                <w:bCs/>
                <w:sz w:val="20"/>
                <w:szCs w:val="20"/>
              </w:rPr>
              <w:t>561</w:t>
            </w:r>
            <w:r>
              <w:rPr>
                <w:b/>
                <w:bCs/>
                <w:sz w:val="20"/>
                <w:szCs w:val="20"/>
                <w:lang w:val="ru-RU"/>
              </w:rPr>
              <w:t> </w:t>
            </w:r>
            <w:r>
              <w:rPr>
                <w:b/>
                <w:bCs/>
                <w:sz w:val="20"/>
                <w:szCs w:val="20"/>
              </w:rPr>
              <w:t>000</w:t>
            </w:r>
          </w:p>
        </w:tc>
      </w:tr>
      <w:tr w:rsidR="0069379D" w:rsidRPr="00861957" w14:paraId="001A2AE2" w14:textId="77777777" w:rsidTr="003D5FEE">
        <w:trPr>
          <w:trHeight w:val="470"/>
        </w:trPr>
        <w:tc>
          <w:tcPr>
            <w:tcW w:w="2027" w:type="dxa"/>
          </w:tcPr>
          <w:p w14:paraId="3DA52982" w14:textId="77777777" w:rsidR="0069379D" w:rsidRPr="00861957" w:rsidRDefault="0069379D" w:rsidP="0022048D">
            <w:pPr>
              <w:rPr>
                <w:sz w:val="20"/>
                <w:szCs w:val="20"/>
              </w:rPr>
            </w:pPr>
            <w:r w:rsidRPr="00861957">
              <w:rPr>
                <w:sz w:val="20"/>
                <w:szCs w:val="20"/>
              </w:rPr>
              <w:t>Sustainable Economic Development</w:t>
            </w:r>
          </w:p>
        </w:tc>
        <w:tc>
          <w:tcPr>
            <w:tcW w:w="2027" w:type="dxa"/>
            <w:vAlign w:val="center"/>
          </w:tcPr>
          <w:p w14:paraId="04362397" w14:textId="3D7391F8" w:rsidR="0069379D" w:rsidRPr="00861957" w:rsidRDefault="0069379D" w:rsidP="003D5FEE">
            <w:pPr>
              <w:rPr>
                <w:sz w:val="20"/>
                <w:szCs w:val="20"/>
              </w:rPr>
            </w:pPr>
            <w:r w:rsidRPr="00861957">
              <w:rPr>
                <w:sz w:val="20"/>
                <w:szCs w:val="20"/>
              </w:rPr>
              <w:t>Outcome 2.1</w:t>
            </w:r>
          </w:p>
        </w:tc>
        <w:tc>
          <w:tcPr>
            <w:tcW w:w="2027" w:type="dxa"/>
            <w:vAlign w:val="center"/>
          </w:tcPr>
          <w:p w14:paraId="2C0016A6" w14:textId="1B8A2720" w:rsidR="0069379D" w:rsidRPr="00861957" w:rsidRDefault="0069379D" w:rsidP="003D5FEE">
            <w:pPr>
              <w:rPr>
                <w:sz w:val="20"/>
                <w:szCs w:val="20"/>
              </w:rPr>
            </w:pPr>
            <w:r>
              <w:rPr>
                <w:sz w:val="20"/>
                <w:szCs w:val="20"/>
              </w:rPr>
              <w:t>8 700</w:t>
            </w:r>
            <w:r>
              <w:rPr>
                <w:sz w:val="20"/>
                <w:szCs w:val="20"/>
                <w:lang w:val="ru-RU"/>
              </w:rPr>
              <w:t> </w:t>
            </w:r>
            <w:r>
              <w:rPr>
                <w:sz w:val="20"/>
                <w:szCs w:val="20"/>
              </w:rPr>
              <w:t>000</w:t>
            </w:r>
          </w:p>
        </w:tc>
        <w:tc>
          <w:tcPr>
            <w:tcW w:w="2028" w:type="dxa"/>
            <w:vAlign w:val="center"/>
          </w:tcPr>
          <w:p w14:paraId="1A719A06" w14:textId="411EF264" w:rsidR="0069379D" w:rsidRPr="00861957" w:rsidRDefault="0069379D" w:rsidP="00F554F0">
            <w:pPr>
              <w:rPr>
                <w:sz w:val="20"/>
                <w:szCs w:val="20"/>
              </w:rPr>
            </w:pPr>
            <w:r>
              <w:rPr>
                <w:sz w:val="20"/>
                <w:szCs w:val="20"/>
              </w:rPr>
              <w:t>22</w:t>
            </w:r>
            <w:r>
              <w:rPr>
                <w:sz w:val="20"/>
                <w:szCs w:val="20"/>
                <w:lang w:val="ru-RU"/>
              </w:rPr>
              <w:t> </w:t>
            </w:r>
            <w:r>
              <w:rPr>
                <w:sz w:val="20"/>
                <w:szCs w:val="20"/>
                <w:lang w:val="en-US"/>
              </w:rPr>
              <w:t xml:space="preserve">538 </w:t>
            </w:r>
            <w:r>
              <w:rPr>
                <w:sz w:val="20"/>
                <w:szCs w:val="20"/>
              </w:rPr>
              <w:t>000</w:t>
            </w:r>
          </w:p>
        </w:tc>
        <w:tc>
          <w:tcPr>
            <w:tcW w:w="2028" w:type="dxa"/>
            <w:vAlign w:val="center"/>
          </w:tcPr>
          <w:p w14:paraId="132EA91B" w14:textId="203A28A7" w:rsidR="0069379D" w:rsidRPr="00861957" w:rsidRDefault="0069379D" w:rsidP="003D5FEE">
            <w:pPr>
              <w:rPr>
                <w:sz w:val="20"/>
                <w:szCs w:val="20"/>
              </w:rPr>
            </w:pPr>
            <w:r>
              <w:rPr>
                <w:sz w:val="20"/>
                <w:szCs w:val="20"/>
              </w:rPr>
              <w:t>23</w:t>
            </w:r>
            <w:r>
              <w:rPr>
                <w:sz w:val="20"/>
                <w:szCs w:val="20"/>
                <w:lang w:val="ru-RU"/>
              </w:rPr>
              <w:t> </w:t>
            </w:r>
            <w:r>
              <w:rPr>
                <w:sz w:val="20"/>
                <w:szCs w:val="20"/>
                <w:lang w:val="en-US"/>
              </w:rPr>
              <w:t>03</w:t>
            </w:r>
            <w:r>
              <w:rPr>
                <w:sz w:val="20"/>
                <w:szCs w:val="20"/>
              </w:rPr>
              <w:t>8</w:t>
            </w:r>
            <w:r>
              <w:rPr>
                <w:sz w:val="20"/>
                <w:szCs w:val="20"/>
                <w:lang w:val="ru-RU"/>
              </w:rPr>
              <w:t> </w:t>
            </w:r>
            <w:r>
              <w:rPr>
                <w:sz w:val="20"/>
                <w:szCs w:val="20"/>
              </w:rPr>
              <w:t>000</w:t>
            </w:r>
          </w:p>
        </w:tc>
      </w:tr>
      <w:tr w:rsidR="0069379D" w:rsidRPr="00861957" w14:paraId="7787CB0B" w14:textId="77777777" w:rsidTr="003D5FEE">
        <w:tc>
          <w:tcPr>
            <w:tcW w:w="2027" w:type="dxa"/>
          </w:tcPr>
          <w:p w14:paraId="06EBCAD1" w14:textId="77777777" w:rsidR="0069379D" w:rsidRPr="00861957" w:rsidRDefault="0069379D" w:rsidP="0022048D">
            <w:pPr>
              <w:rPr>
                <w:b/>
                <w:sz w:val="20"/>
                <w:szCs w:val="20"/>
              </w:rPr>
            </w:pPr>
            <w:r w:rsidRPr="00861957">
              <w:rPr>
                <w:b/>
                <w:sz w:val="20"/>
                <w:szCs w:val="20"/>
              </w:rPr>
              <w:t>Subtotal</w:t>
            </w:r>
          </w:p>
        </w:tc>
        <w:tc>
          <w:tcPr>
            <w:tcW w:w="2027" w:type="dxa"/>
          </w:tcPr>
          <w:p w14:paraId="1ED05593" w14:textId="77777777" w:rsidR="0069379D" w:rsidRPr="00861957" w:rsidRDefault="0069379D" w:rsidP="0022048D">
            <w:pPr>
              <w:rPr>
                <w:sz w:val="20"/>
                <w:szCs w:val="20"/>
              </w:rPr>
            </w:pPr>
          </w:p>
        </w:tc>
        <w:tc>
          <w:tcPr>
            <w:tcW w:w="2027" w:type="dxa"/>
          </w:tcPr>
          <w:p w14:paraId="396F993F" w14:textId="2B851E36" w:rsidR="0069379D" w:rsidRPr="00861957" w:rsidRDefault="0069379D" w:rsidP="00B83DB3">
            <w:pPr>
              <w:jc w:val="both"/>
              <w:rPr>
                <w:b/>
                <w:sz w:val="20"/>
                <w:szCs w:val="20"/>
              </w:rPr>
            </w:pPr>
            <w:r>
              <w:rPr>
                <w:b/>
                <w:bCs/>
                <w:sz w:val="20"/>
                <w:szCs w:val="20"/>
              </w:rPr>
              <w:t>8 700</w:t>
            </w:r>
            <w:r>
              <w:rPr>
                <w:b/>
                <w:bCs/>
                <w:sz w:val="20"/>
                <w:szCs w:val="20"/>
                <w:lang w:val="ru-RU"/>
              </w:rPr>
              <w:t> </w:t>
            </w:r>
            <w:r>
              <w:rPr>
                <w:b/>
                <w:bCs/>
                <w:sz w:val="20"/>
                <w:szCs w:val="20"/>
              </w:rPr>
              <w:t>000</w:t>
            </w:r>
          </w:p>
        </w:tc>
        <w:tc>
          <w:tcPr>
            <w:tcW w:w="2028" w:type="dxa"/>
          </w:tcPr>
          <w:p w14:paraId="0956E0F7" w14:textId="6092478A" w:rsidR="0069379D" w:rsidRPr="00861957" w:rsidRDefault="0069379D" w:rsidP="00F554F0">
            <w:pPr>
              <w:jc w:val="both"/>
              <w:rPr>
                <w:b/>
                <w:sz w:val="20"/>
                <w:szCs w:val="20"/>
              </w:rPr>
            </w:pPr>
            <w:r>
              <w:rPr>
                <w:b/>
                <w:bCs/>
                <w:sz w:val="20"/>
                <w:szCs w:val="20"/>
              </w:rPr>
              <w:t>14 338</w:t>
            </w:r>
            <w:r>
              <w:rPr>
                <w:b/>
                <w:bCs/>
                <w:sz w:val="20"/>
                <w:szCs w:val="20"/>
                <w:lang w:val="ru-RU"/>
              </w:rPr>
              <w:t> </w:t>
            </w:r>
            <w:r>
              <w:rPr>
                <w:b/>
                <w:bCs/>
                <w:sz w:val="20"/>
                <w:szCs w:val="20"/>
              </w:rPr>
              <w:t>000</w:t>
            </w:r>
          </w:p>
        </w:tc>
        <w:tc>
          <w:tcPr>
            <w:tcW w:w="2028" w:type="dxa"/>
          </w:tcPr>
          <w:p w14:paraId="65012225" w14:textId="3C135C18" w:rsidR="0069379D" w:rsidRPr="00861957" w:rsidRDefault="0069379D" w:rsidP="00B83DB3">
            <w:pPr>
              <w:jc w:val="both"/>
              <w:rPr>
                <w:b/>
                <w:sz w:val="20"/>
                <w:szCs w:val="20"/>
              </w:rPr>
            </w:pPr>
            <w:r>
              <w:rPr>
                <w:b/>
                <w:bCs/>
                <w:sz w:val="20"/>
                <w:szCs w:val="20"/>
              </w:rPr>
              <w:t>23</w:t>
            </w:r>
            <w:r>
              <w:rPr>
                <w:b/>
                <w:bCs/>
                <w:sz w:val="20"/>
                <w:szCs w:val="20"/>
                <w:lang w:val="ru-RU"/>
              </w:rPr>
              <w:t> </w:t>
            </w:r>
            <w:r>
              <w:rPr>
                <w:b/>
                <w:bCs/>
                <w:sz w:val="20"/>
                <w:szCs w:val="20"/>
                <w:lang w:val="en-US"/>
              </w:rPr>
              <w:t>03</w:t>
            </w:r>
            <w:r>
              <w:rPr>
                <w:b/>
                <w:bCs/>
                <w:sz w:val="20"/>
                <w:szCs w:val="20"/>
              </w:rPr>
              <w:t>8</w:t>
            </w:r>
            <w:r>
              <w:rPr>
                <w:b/>
                <w:bCs/>
                <w:sz w:val="20"/>
                <w:szCs w:val="20"/>
                <w:lang w:val="ru-RU"/>
              </w:rPr>
              <w:t> </w:t>
            </w:r>
            <w:r>
              <w:rPr>
                <w:b/>
                <w:bCs/>
                <w:sz w:val="20"/>
                <w:szCs w:val="20"/>
              </w:rPr>
              <w:t>000</w:t>
            </w:r>
          </w:p>
        </w:tc>
      </w:tr>
      <w:tr w:rsidR="0069379D" w:rsidRPr="00861957" w14:paraId="6641E5E5" w14:textId="77777777" w:rsidTr="003D5FEE">
        <w:trPr>
          <w:trHeight w:val="1610"/>
        </w:trPr>
        <w:tc>
          <w:tcPr>
            <w:tcW w:w="2027" w:type="dxa"/>
          </w:tcPr>
          <w:p w14:paraId="2F854A86" w14:textId="15B3A865" w:rsidR="0069379D" w:rsidRPr="00861957" w:rsidRDefault="0069379D" w:rsidP="00761278">
            <w:pPr>
              <w:rPr>
                <w:sz w:val="20"/>
                <w:szCs w:val="20"/>
              </w:rPr>
            </w:pPr>
            <w:r w:rsidRPr="00861957">
              <w:rPr>
                <w:sz w:val="20"/>
                <w:szCs w:val="20"/>
              </w:rPr>
              <w:t>Environmental Protection and Sustainable Environmental Management Based on the Principles of Green Economy</w:t>
            </w:r>
          </w:p>
        </w:tc>
        <w:tc>
          <w:tcPr>
            <w:tcW w:w="2027" w:type="dxa"/>
            <w:vAlign w:val="center"/>
          </w:tcPr>
          <w:p w14:paraId="2788D551" w14:textId="77777777" w:rsidR="0069379D" w:rsidRPr="00656A64" w:rsidRDefault="0069379D" w:rsidP="003D5FEE">
            <w:pPr>
              <w:rPr>
                <w:sz w:val="20"/>
                <w:szCs w:val="20"/>
              </w:rPr>
            </w:pPr>
            <w:r w:rsidRPr="00656A64">
              <w:rPr>
                <w:sz w:val="20"/>
                <w:szCs w:val="20"/>
              </w:rPr>
              <w:t>Outcome 3.1</w:t>
            </w:r>
          </w:p>
        </w:tc>
        <w:tc>
          <w:tcPr>
            <w:tcW w:w="2027" w:type="dxa"/>
            <w:vAlign w:val="center"/>
          </w:tcPr>
          <w:p w14:paraId="476C47B6" w14:textId="35FE5D8E" w:rsidR="0069379D" w:rsidRPr="00656A64" w:rsidRDefault="0069379D" w:rsidP="00464C45">
            <w:pPr>
              <w:rPr>
                <w:sz w:val="20"/>
                <w:szCs w:val="20"/>
              </w:rPr>
            </w:pPr>
            <w:r w:rsidRPr="00656A64">
              <w:rPr>
                <w:sz w:val="20"/>
                <w:szCs w:val="20"/>
                <w:lang w:val="ru-RU"/>
              </w:rPr>
              <w:t>1</w:t>
            </w:r>
            <w:r w:rsidR="00464C45">
              <w:rPr>
                <w:sz w:val="20"/>
                <w:szCs w:val="20"/>
                <w:lang w:val="en-US"/>
              </w:rPr>
              <w:t>4 459 000</w:t>
            </w:r>
          </w:p>
        </w:tc>
        <w:tc>
          <w:tcPr>
            <w:tcW w:w="2028" w:type="dxa"/>
            <w:vAlign w:val="center"/>
          </w:tcPr>
          <w:p w14:paraId="2007EF4E" w14:textId="34ECEAE3" w:rsidR="0069379D" w:rsidRPr="00656A64" w:rsidRDefault="00464C45" w:rsidP="003D5FEE">
            <w:pPr>
              <w:rPr>
                <w:sz w:val="20"/>
                <w:szCs w:val="20"/>
              </w:rPr>
            </w:pPr>
            <w:r>
              <w:rPr>
                <w:sz w:val="20"/>
                <w:szCs w:val="20"/>
              </w:rPr>
              <w:t>26 655 000</w:t>
            </w:r>
          </w:p>
        </w:tc>
        <w:tc>
          <w:tcPr>
            <w:tcW w:w="2028" w:type="dxa"/>
            <w:vAlign w:val="center"/>
          </w:tcPr>
          <w:p w14:paraId="6B74432C" w14:textId="6AEAFF2F" w:rsidR="0069379D" w:rsidRPr="00656A64" w:rsidRDefault="0069379D" w:rsidP="003D5FEE">
            <w:pPr>
              <w:rPr>
                <w:sz w:val="20"/>
                <w:szCs w:val="20"/>
              </w:rPr>
            </w:pPr>
            <w:r>
              <w:rPr>
                <w:sz w:val="20"/>
                <w:szCs w:val="20"/>
              </w:rPr>
              <w:t>41</w:t>
            </w:r>
            <w:r w:rsidRPr="00656A64">
              <w:rPr>
                <w:sz w:val="20"/>
                <w:szCs w:val="20"/>
                <w:lang w:val="ru-RU"/>
              </w:rPr>
              <w:t> </w:t>
            </w:r>
            <w:r>
              <w:rPr>
                <w:sz w:val="20"/>
                <w:szCs w:val="20"/>
                <w:lang w:val="en-US"/>
              </w:rPr>
              <w:t>114</w:t>
            </w:r>
            <w:r w:rsidRPr="00656A64">
              <w:rPr>
                <w:sz w:val="20"/>
                <w:szCs w:val="20"/>
                <w:lang w:val="ru-RU"/>
              </w:rPr>
              <w:t> </w:t>
            </w:r>
            <w:r w:rsidRPr="00656A64">
              <w:rPr>
                <w:sz w:val="20"/>
                <w:szCs w:val="20"/>
              </w:rPr>
              <w:t>000</w:t>
            </w:r>
          </w:p>
        </w:tc>
      </w:tr>
      <w:tr w:rsidR="0069379D" w:rsidRPr="00861957" w14:paraId="68E393C2" w14:textId="77777777" w:rsidTr="003D5FEE">
        <w:tc>
          <w:tcPr>
            <w:tcW w:w="2027" w:type="dxa"/>
          </w:tcPr>
          <w:p w14:paraId="091D6639" w14:textId="77777777" w:rsidR="0069379D" w:rsidRPr="00861957" w:rsidRDefault="0069379D" w:rsidP="0022048D">
            <w:pPr>
              <w:rPr>
                <w:b/>
                <w:sz w:val="20"/>
                <w:szCs w:val="20"/>
              </w:rPr>
            </w:pPr>
            <w:r w:rsidRPr="00861957">
              <w:rPr>
                <w:b/>
                <w:sz w:val="20"/>
                <w:szCs w:val="20"/>
              </w:rPr>
              <w:t>Subtotal</w:t>
            </w:r>
          </w:p>
        </w:tc>
        <w:tc>
          <w:tcPr>
            <w:tcW w:w="2027" w:type="dxa"/>
          </w:tcPr>
          <w:p w14:paraId="47E75EFD" w14:textId="77777777" w:rsidR="0069379D" w:rsidRPr="00656A64" w:rsidRDefault="0069379D" w:rsidP="0022048D">
            <w:pPr>
              <w:rPr>
                <w:sz w:val="20"/>
                <w:szCs w:val="20"/>
              </w:rPr>
            </w:pPr>
          </w:p>
        </w:tc>
        <w:tc>
          <w:tcPr>
            <w:tcW w:w="2027" w:type="dxa"/>
          </w:tcPr>
          <w:p w14:paraId="1233F84A" w14:textId="6FC1E058" w:rsidR="0069379D" w:rsidRPr="00656A64" w:rsidRDefault="00464C45" w:rsidP="00F554F0">
            <w:pPr>
              <w:jc w:val="both"/>
              <w:rPr>
                <w:b/>
                <w:sz w:val="20"/>
                <w:szCs w:val="20"/>
              </w:rPr>
            </w:pPr>
            <w:r w:rsidRPr="00464C45">
              <w:rPr>
                <w:b/>
                <w:sz w:val="20"/>
                <w:szCs w:val="20"/>
                <w:lang w:val="ru-RU"/>
              </w:rPr>
              <w:t>14 459 000</w:t>
            </w:r>
          </w:p>
        </w:tc>
        <w:tc>
          <w:tcPr>
            <w:tcW w:w="2028" w:type="dxa"/>
          </w:tcPr>
          <w:p w14:paraId="6EC8E355" w14:textId="55A5974D" w:rsidR="0069379D" w:rsidRPr="00656A64" w:rsidRDefault="0069379D" w:rsidP="00464C45">
            <w:pPr>
              <w:jc w:val="both"/>
              <w:rPr>
                <w:b/>
                <w:sz w:val="20"/>
                <w:szCs w:val="20"/>
              </w:rPr>
            </w:pPr>
            <w:r w:rsidRPr="00CB43C8">
              <w:rPr>
                <w:b/>
                <w:sz w:val="20"/>
                <w:szCs w:val="20"/>
              </w:rPr>
              <w:t>25 </w:t>
            </w:r>
            <w:r w:rsidR="00464C45">
              <w:rPr>
                <w:b/>
                <w:sz w:val="20"/>
                <w:szCs w:val="20"/>
              </w:rPr>
              <w:t>655</w:t>
            </w:r>
            <w:r w:rsidRPr="00CB43C8">
              <w:rPr>
                <w:b/>
                <w:sz w:val="20"/>
                <w:szCs w:val="20"/>
                <w:lang w:val="ru-RU"/>
              </w:rPr>
              <w:t> </w:t>
            </w:r>
            <w:r w:rsidRPr="00CB43C8">
              <w:rPr>
                <w:b/>
                <w:sz w:val="20"/>
                <w:szCs w:val="20"/>
              </w:rPr>
              <w:t>000</w:t>
            </w:r>
          </w:p>
        </w:tc>
        <w:tc>
          <w:tcPr>
            <w:tcW w:w="2028" w:type="dxa"/>
          </w:tcPr>
          <w:p w14:paraId="2BC6136A" w14:textId="259F10E2" w:rsidR="0069379D" w:rsidRPr="00656A64" w:rsidRDefault="0069379D" w:rsidP="00F554F0">
            <w:pPr>
              <w:jc w:val="both"/>
              <w:rPr>
                <w:b/>
                <w:sz w:val="20"/>
                <w:szCs w:val="20"/>
              </w:rPr>
            </w:pPr>
            <w:r w:rsidRPr="00CB43C8">
              <w:rPr>
                <w:b/>
                <w:sz w:val="20"/>
                <w:szCs w:val="20"/>
              </w:rPr>
              <w:t>41</w:t>
            </w:r>
            <w:r w:rsidRPr="00CB43C8">
              <w:rPr>
                <w:b/>
                <w:sz w:val="20"/>
                <w:szCs w:val="20"/>
                <w:lang w:val="ru-RU"/>
              </w:rPr>
              <w:t> </w:t>
            </w:r>
            <w:r w:rsidRPr="00CB43C8">
              <w:rPr>
                <w:b/>
                <w:sz w:val="20"/>
                <w:szCs w:val="20"/>
                <w:lang w:val="en-US"/>
              </w:rPr>
              <w:t>114</w:t>
            </w:r>
            <w:r w:rsidRPr="00CB43C8">
              <w:rPr>
                <w:b/>
                <w:sz w:val="20"/>
                <w:szCs w:val="20"/>
                <w:lang w:val="ru-RU"/>
              </w:rPr>
              <w:t> </w:t>
            </w:r>
            <w:r w:rsidRPr="00CB43C8">
              <w:rPr>
                <w:b/>
                <w:sz w:val="20"/>
                <w:szCs w:val="20"/>
              </w:rPr>
              <w:t>000</w:t>
            </w:r>
          </w:p>
        </w:tc>
      </w:tr>
      <w:tr w:rsidR="0069379D" w:rsidRPr="00861957" w14:paraId="2A737C04" w14:textId="77777777" w:rsidTr="003D5FEE">
        <w:tc>
          <w:tcPr>
            <w:tcW w:w="2027" w:type="dxa"/>
            <w:vMerge w:val="restart"/>
          </w:tcPr>
          <w:p w14:paraId="7DA879E6" w14:textId="284FE13E" w:rsidR="0069379D" w:rsidRPr="00861957" w:rsidRDefault="0069379D" w:rsidP="00761278">
            <w:pPr>
              <w:rPr>
                <w:sz w:val="20"/>
                <w:szCs w:val="20"/>
              </w:rPr>
            </w:pPr>
            <w:r w:rsidRPr="00861957">
              <w:rPr>
                <w:sz w:val="20"/>
                <w:szCs w:val="20"/>
              </w:rPr>
              <w:t>Sustainable Development of Human Capital: Health, Education, Social Inclusion and Protection, Comprehensive Post-Chernobyl Development</w:t>
            </w:r>
          </w:p>
        </w:tc>
        <w:tc>
          <w:tcPr>
            <w:tcW w:w="2027" w:type="dxa"/>
          </w:tcPr>
          <w:p w14:paraId="4359797F" w14:textId="1B80C3FE" w:rsidR="0069379D" w:rsidRPr="00656A64" w:rsidRDefault="0069379D" w:rsidP="0022048D">
            <w:pPr>
              <w:rPr>
                <w:sz w:val="20"/>
                <w:szCs w:val="20"/>
              </w:rPr>
            </w:pPr>
            <w:r w:rsidRPr="00656A64">
              <w:rPr>
                <w:sz w:val="20"/>
                <w:szCs w:val="20"/>
              </w:rPr>
              <w:t>Outcome 4.1</w:t>
            </w:r>
          </w:p>
        </w:tc>
        <w:tc>
          <w:tcPr>
            <w:tcW w:w="2027" w:type="dxa"/>
          </w:tcPr>
          <w:p w14:paraId="5A96CA3D" w14:textId="50271B54" w:rsidR="0069379D" w:rsidRPr="00656A64" w:rsidRDefault="0069379D" w:rsidP="00B83DB3">
            <w:pPr>
              <w:jc w:val="both"/>
              <w:rPr>
                <w:sz w:val="20"/>
                <w:szCs w:val="20"/>
              </w:rPr>
            </w:pPr>
            <w:r>
              <w:rPr>
                <w:sz w:val="20"/>
                <w:szCs w:val="20"/>
              </w:rPr>
              <w:t>5</w:t>
            </w:r>
            <w:r w:rsidRPr="00656A64">
              <w:rPr>
                <w:sz w:val="20"/>
                <w:szCs w:val="20"/>
              </w:rPr>
              <w:t> </w:t>
            </w:r>
            <w:r>
              <w:rPr>
                <w:sz w:val="20"/>
                <w:szCs w:val="20"/>
              </w:rPr>
              <w:t>42</w:t>
            </w:r>
            <w:r w:rsidRPr="00656A64">
              <w:rPr>
                <w:sz w:val="20"/>
                <w:szCs w:val="20"/>
              </w:rPr>
              <w:t>5 000</w:t>
            </w:r>
          </w:p>
        </w:tc>
        <w:tc>
          <w:tcPr>
            <w:tcW w:w="2028" w:type="dxa"/>
          </w:tcPr>
          <w:p w14:paraId="65D95C7A" w14:textId="2F69F766" w:rsidR="0069379D" w:rsidRPr="00656A64" w:rsidRDefault="0069379D" w:rsidP="00B83DB3">
            <w:pPr>
              <w:jc w:val="both"/>
              <w:rPr>
                <w:sz w:val="20"/>
                <w:szCs w:val="20"/>
              </w:rPr>
            </w:pPr>
            <w:r w:rsidRPr="00656A64">
              <w:rPr>
                <w:sz w:val="20"/>
                <w:szCs w:val="20"/>
              </w:rPr>
              <w:t>870 000</w:t>
            </w:r>
          </w:p>
        </w:tc>
        <w:tc>
          <w:tcPr>
            <w:tcW w:w="2028" w:type="dxa"/>
          </w:tcPr>
          <w:p w14:paraId="5EBD97C0" w14:textId="60C4E311" w:rsidR="0069379D" w:rsidRPr="00656A64" w:rsidRDefault="0069379D" w:rsidP="00B83DB3">
            <w:pPr>
              <w:jc w:val="both"/>
              <w:rPr>
                <w:sz w:val="20"/>
                <w:szCs w:val="20"/>
              </w:rPr>
            </w:pPr>
            <w:r>
              <w:rPr>
                <w:sz w:val="20"/>
                <w:szCs w:val="20"/>
              </w:rPr>
              <w:t>6</w:t>
            </w:r>
            <w:r w:rsidRPr="00656A64">
              <w:rPr>
                <w:sz w:val="20"/>
                <w:szCs w:val="20"/>
              </w:rPr>
              <w:t> </w:t>
            </w:r>
            <w:r>
              <w:rPr>
                <w:sz w:val="20"/>
                <w:szCs w:val="20"/>
              </w:rPr>
              <w:t>29</w:t>
            </w:r>
            <w:r w:rsidRPr="00656A64">
              <w:rPr>
                <w:sz w:val="20"/>
                <w:szCs w:val="20"/>
              </w:rPr>
              <w:t>5 000</w:t>
            </w:r>
          </w:p>
        </w:tc>
      </w:tr>
      <w:tr w:rsidR="0069379D" w:rsidRPr="00861957" w14:paraId="4BB1F3EE" w14:textId="77777777" w:rsidTr="003D5FEE">
        <w:tc>
          <w:tcPr>
            <w:tcW w:w="2027" w:type="dxa"/>
            <w:vMerge/>
          </w:tcPr>
          <w:p w14:paraId="2B696212" w14:textId="77777777" w:rsidR="0069379D" w:rsidRPr="00861957" w:rsidRDefault="0069379D" w:rsidP="0022048D">
            <w:pPr>
              <w:rPr>
                <w:sz w:val="20"/>
                <w:szCs w:val="20"/>
              </w:rPr>
            </w:pPr>
          </w:p>
        </w:tc>
        <w:tc>
          <w:tcPr>
            <w:tcW w:w="2027" w:type="dxa"/>
          </w:tcPr>
          <w:p w14:paraId="04E4245C" w14:textId="35EBB127" w:rsidR="0069379D" w:rsidRPr="00656A64" w:rsidRDefault="0069379D" w:rsidP="0022048D">
            <w:pPr>
              <w:rPr>
                <w:sz w:val="20"/>
                <w:szCs w:val="20"/>
              </w:rPr>
            </w:pPr>
            <w:r w:rsidRPr="00656A64">
              <w:rPr>
                <w:sz w:val="20"/>
                <w:szCs w:val="20"/>
              </w:rPr>
              <w:t>Outcome 4.2</w:t>
            </w:r>
          </w:p>
        </w:tc>
        <w:tc>
          <w:tcPr>
            <w:tcW w:w="2027" w:type="dxa"/>
          </w:tcPr>
          <w:p w14:paraId="3F538C67" w14:textId="6FE4C6DC" w:rsidR="0069379D" w:rsidRPr="00656A64" w:rsidRDefault="0069379D" w:rsidP="00B83DB3">
            <w:pPr>
              <w:jc w:val="both"/>
              <w:rPr>
                <w:sz w:val="20"/>
                <w:szCs w:val="20"/>
              </w:rPr>
            </w:pPr>
            <w:r w:rsidRPr="00656A64">
              <w:rPr>
                <w:sz w:val="20"/>
                <w:szCs w:val="20"/>
              </w:rPr>
              <w:t>750 000</w:t>
            </w:r>
          </w:p>
        </w:tc>
        <w:tc>
          <w:tcPr>
            <w:tcW w:w="2028" w:type="dxa"/>
          </w:tcPr>
          <w:p w14:paraId="033E20FD" w14:textId="44E153B9" w:rsidR="0069379D" w:rsidRPr="00656A64" w:rsidRDefault="0069379D" w:rsidP="00B83DB3">
            <w:pPr>
              <w:jc w:val="both"/>
              <w:rPr>
                <w:sz w:val="20"/>
                <w:szCs w:val="20"/>
              </w:rPr>
            </w:pPr>
            <w:r w:rsidRPr="00656A64">
              <w:rPr>
                <w:sz w:val="20"/>
                <w:szCs w:val="20"/>
              </w:rPr>
              <w:t xml:space="preserve">9 </w:t>
            </w:r>
            <w:r>
              <w:rPr>
                <w:sz w:val="20"/>
                <w:szCs w:val="20"/>
              </w:rPr>
              <w:t>00</w:t>
            </w:r>
            <w:r w:rsidRPr="00656A64">
              <w:rPr>
                <w:sz w:val="20"/>
                <w:szCs w:val="20"/>
              </w:rPr>
              <w:t>5 000</w:t>
            </w:r>
          </w:p>
        </w:tc>
        <w:tc>
          <w:tcPr>
            <w:tcW w:w="2028" w:type="dxa"/>
          </w:tcPr>
          <w:p w14:paraId="01844E06" w14:textId="590064DA" w:rsidR="0069379D" w:rsidRPr="00656A64" w:rsidRDefault="0069379D" w:rsidP="00B83DB3">
            <w:pPr>
              <w:jc w:val="both"/>
              <w:rPr>
                <w:sz w:val="20"/>
                <w:szCs w:val="20"/>
              </w:rPr>
            </w:pPr>
            <w:r>
              <w:rPr>
                <w:sz w:val="20"/>
                <w:szCs w:val="20"/>
              </w:rPr>
              <w:t>9</w:t>
            </w:r>
            <w:r w:rsidRPr="00656A64">
              <w:rPr>
                <w:sz w:val="20"/>
                <w:szCs w:val="20"/>
              </w:rPr>
              <w:t xml:space="preserve"> </w:t>
            </w:r>
            <w:r>
              <w:rPr>
                <w:sz w:val="20"/>
                <w:szCs w:val="20"/>
              </w:rPr>
              <w:t>755</w:t>
            </w:r>
            <w:r w:rsidRPr="00656A64">
              <w:rPr>
                <w:sz w:val="20"/>
                <w:szCs w:val="20"/>
              </w:rPr>
              <w:t xml:space="preserve"> 000</w:t>
            </w:r>
          </w:p>
        </w:tc>
      </w:tr>
      <w:tr w:rsidR="0069379D" w:rsidRPr="00861957" w14:paraId="638FB0B6" w14:textId="77777777" w:rsidTr="003D5FEE">
        <w:tc>
          <w:tcPr>
            <w:tcW w:w="2027" w:type="dxa"/>
            <w:vMerge/>
          </w:tcPr>
          <w:p w14:paraId="04E7C155" w14:textId="77777777" w:rsidR="0069379D" w:rsidRPr="00861957" w:rsidRDefault="0069379D" w:rsidP="0022048D">
            <w:pPr>
              <w:rPr>
                <w:sz w:val="20"/>
                <w:szCs w:val="20"/>
              </w:rPr>
            </w:pPr>
          </w:p>
        </w:tc>
        <w:tc>
          <w:tcPr>
            <w:tcW w:w="2027" w:type="dxa"/>
          </w:tcPr>
          <w:p w14:paraId="49F09260" w14:textId="2DF802C1" w:rsidR="0069379D" w:rsidRPr="00656A64" w:rsidRDefault="0069379D" w:rsidP="0022048D">
            <w:pPr>
              <w:rPr>
                <w:sz w:val="20"/>
                <w:szCs w:val="20"/>
              </w:rPr>
            </w:pPr>
            <w:r w:rsidRPr="00656A64">
              <w:rPr>
                <w:sz w:val="20"/>
                <w:szCs w:val="20"/>
              </w:rPr>
              <w:t>Outcome 4.3</w:t>
            </w:r>
          </w:p>
        </w:tc>
        <w:tc>
          <w:tcPr>
            <w:tcW w:w="2027" w:type="dxa"/>
          </w:tcPr>
          <w:p w14:paraId="2D2C4511" w14:textId="0518CD31" w:rsidR="0069379D" w:rsidRPr="00656A64" w:rsidRDefault="0069379D" w:rsidP="00B83DB3">
            <w:pPr>
              <w:jc w:val="both"/>
              <w:rPr>
                <w:sz w:val="20"/>
                <w:szCs w:val="20"/>
              </w:rPr>
            </w:pPr>
            <w:r w:rsidRPr="00656A64">
              <w:rPr>
                <w:sz w:val="20"/>
                <w:szCs w:val="20"/>
              </w:rPr>
              <w:t>2 915 000</w:t>
            </w:r>
          </w:p>
        </w:tc>
        <w:tc>
          <w:tcPr>
            <w:tcW w:w="2028" w:type="dxa"/>
          </w:tcPr>
          <w:p w14:paraId="16626F00" w14:textId="3034CE0D" w:rsidR="0069379D" w:rsidRPr="00656A64" w:rsidRDefault="0069379D" w:rsidP="00B83DB3">
            <w:pPr>
              <w:jc w:val="both"/>
              <w:rPr>
                <w:sz w:val="20"/>
                <w:szCs w:val="20"/>
              </w:rPr>
            </w:pPr>
            <w:r w:rsidRPr="00656A64">
              <w:rPr>
                <w:sz w:val="20"/>
                <w:szCs w:val="20"/>
              </w:rPr>
              <w:t>3 340 000</w:t>
            </w:r>
          </w:p>
        </w:tc>
        <w:tc>
          <w:tcPr>
            <w:tcW w:w="2028" w:type="dxa"/>
          </w:tcPr>
          <w:p w14:paraId="594913F6" w14:textId="24D2B3FA" w:rsidR="0069379D" w:rsidRPr="00656A64" w:rsidRDefault="0069379D" w:rsidP="00B83DB3">
            <w:pPr>
              <w:jc w:val="both"/>
              <w:rPr>
                <w:sz w:val="20"/>
                <w:szCs w:val="20"/>
              </w:rPr>
            </w:pPr>
            <w:r w:rsidRPr="00656A64">
              <w:rPr>
                <w:sz w:val="20"/>
                <w:szCs w:val="20"/>
              </w:rPr>
              <w:t>6 255 000</w:t>
            </w:r>
          </w:p>
        </w:tc>
      </w:tr>
      <w:tr w:rsidR="0069379D" w:rsidRPr="00861957" w14:paraId="47650DDB" w14:textId="77777777" w:rsidTr="003D5FEE">
        <w:tc>
          <w:tcPr>
            <w:tcW w:w="2027" w:type="dxa"/>
            <w:vMerge/>
          </w:tcPr>
          <w:p w14:paraId="1A7B28FC" w14:textId="77777777" w:rsidR="0069379D" w:rsidRPr="00861957" w:rsidRDefault="0069379D" w:rsidP="0022048D">
            <w:pPr>
              <w:rPr>
                <w:sz w:val="20"/>
                <w:szCs w:val="20"/>
              </w:rPr>
            </w:pPr>
          </w:p>
        </w:tc>
        <w:tc>
          <w:tcPr>
            <w:tcW w:w="2027" w:type="dxa"/>
          </w:tcPr>
          <w:p w14:paraId="01E0107C" w14:textId="1E8E7AEF" w:rsidR="0069379D" w:rsidRPr="00656A64" w:rsidRDefault="0069379D" w:rsidP="0022048D">
            <w:pPr>
              <w:rPr>
                <w:sz w:val="20"/>
                <w:szCs w:val="20"/>
              </w:rPr>
            </w:pPr>
            <w:r w:rsidRPr="00656A64">
              <w:rPr>
                <w:sz w:val="20"/>
                <w:szCs w:val="20"/>
              </w:rPr>
              <w:t>Outcome 4.4</w:t>
            </w:r>
          </w:p>
        </w:tc>
        <w:tc>
          <w:tcPr>
            <w:tcW w:w="2027" w:type="dxa"/>
          </w:tcPr>
          <w:p w14:paraId="0BE51CB9" w14:textId="741FF6E6" w:rsidR="0069379D" w:rsidRPr="00656A64" w:rsidRDefault="0069379D" w:rsidP="00B83DB3">
            <w:pPr>
              <w:jc w:val="both"/>
              <w:rPr>
                <w:sz w:val="20"/>
                <w:szCs w:val="20"/>
              </w:rPr>
            </w:pPr>
            <w:r w:rsidRPr="00656A64">
              <w:rPr>
                <w:sz w:val="20"/>
                <w:szCs w:val="20"/>
              </w:rPr>
              <w:t>2 160 000</w:t>
            </w:r>
          </w:p>
        </w:tc>
        <w:tc>
          <w:tcPr>
            <w:tcW w:w="2028" w:type="dxa"/>
          </w:tcPr>
          <w:p w14:paraId="6F8B971C" w14:textId="541C2401" w:rsidR="0069379D" w:rsidRPr="00656A64" w:rsidRDefault="0069379D" w:rsidP="00B83DB3">
            <w:pPr>
              <w:jc w:val="both"/>
              <w:rPr>
                <w:sz w:val="20"/>
                <w:szCs w:val="20"/>
              </w:rPr>
            </w:pPr>
            <w:r w:rsidRPr="00656A64">
              <w:rPr>
                <w:sz w:val="20"/>
                <w:szCs w:val="20"/>
              </w:rPr>
              <w:t>4 150 000</w:t>
            </w:r>
          </w:p>
        </w:tc>
        <w:tc>
          <w:tcPr>
            <w:tcW w:w="2028" w:type="dxa"/>
          </w:tcPr>
          <w:p w14:paraId="5930FCF4" w14:textId="07F5D206" w:rsidR="0069379D" w:rsidRPr="00656A64" w:rsidRDefault="0069379D" w:rsidP="00B83DB3">
            <w:pPr>
              <w:jc w:val="both"/>
              <w:rPr>
                <w:sz w:val="20"/>
                <w:szCs w:val="20"/>
              </w:rPr>
            </w:pPr>
            <w:r w:rsidRPr="00656A64">
              <w:rPr>
                <w:sz w:val="20"/>
                <w:szCs w:val="20"/>
              </w:rPr>
              <w:t>6 310 000</w:t>
            </w:r>
          </w:p>
        </w:tc>
      </w:tr>
      <w:tr w:rsidR="0069379D" w:rsidRPr="00861957" w14:paraId="40243A73" w14:textId="77777777" w:rsidTr="003D5FEE">
        <w:tc>
          <w:tcPr>
            <w:tcW w:w="2027" w:type="dxa"/>
          </w:tcPr>
          <w:p w14:paraId="0AD17602" w14:textId="77777777" w:rsidR="0069379D" w:rsidRPr="00861957" w:rsidRDefault="0069379D" w:rsidP="0022048D">
            <w:pPr>
              <w:rPr>
                <w:sz w:val="20"/>
                <w:szCs w:val="20"/>
              </w:rPr>
            </w:pPr>
            <w:r w:rsidRPr="00861957">
              <w:rPr>
                <w:b/>
                <w:sz w:val="20"/>
                <w:szCs w:val="20"/>
              </w:rPr>
              <w:t>Subtotal</w:t>
            </w:r>
          </w:p>
        </w:tc>
        <w:tc>
          <w:tcPr>
            <w:tcW w:w="2027" w:type="dxa"/>
          </w:tcPr>
          <w:p w14:paraId="20A8F056" w14:textId="77777777" w:rsidR="0069379D" w:rsidRPr="00656A64" w:rsidRDefault="0069379D" w:rsidP="0022048D">
            <w:pPr>
              <w:rPr>
                <w:sz w:val="20"/>
                <w:szCs w:val="20"/>
              </w:rPr>
            </w:pPr>
          </w:p>
        </w:tc>
        <w:tc>
          <w:tcPr>
            <w:tcW w:w="2027" w:type="dxa"/>
          </w:tcPr>
          <w:p w14:paraId="0C18E345" w14:textId="60A9F53E" w:rsidR="0069379D" w:rsidRPr="00656A64" w:rsidRDefault="0069379D" w:rsidP="00B83DB3">
            <w:pPr>
              <w:jc w:val="both"/>
              <w:rPr>
                <w:b/>
                <w:sz w:val="20"/>
                <w:szCs w:val="20"/>
              </w:rPr>
            </w:pPr>
            <w:r w:rsidRPr="00656A64">
              <w:rPr>
                <w:b/>
                <w:bCs/>
                <w:sz w:val="20"/>
                <w:szCs w:val="20"/>
              </w:rPr>
              <w:t>1</w:t>
            </w:r>
            <w:r>
              <w:rPr>
                <w:b/>
                <w:bCs/>
                <w:sz w:val="20"/>
                <w:szCs w:val="20"/>
              </w:rPr>
              <w:t>1</w:t>
            </w:r>
            <w:r w:rsidRPr="00656A64">
              <w:rPr>
                <w:b/>
                <w:bCs/>
                <w:sz w:val="20"/>
                <w:szCs w:val="20"/>
              </w:rPr>
              <w:t xml:space="preserve"> </w:t>
            </w:r>
            <w:r>
              <w:rPr>
                <w:b/>
                <w:bCs/>
                <w:sz w:val="20"/>
                <w:szCs w:val="20"/>
              </w:rPr>
              <w:t>250</w:t>
            </w:r>
            <w:r w:rsidRPr="00656A64">
              <w:rPr>
                <w:b/>
                <w:bCs/>
                <w:sz w:val="20"/>
                <w:szCs w:val="20"/>
              </w:rPr>
              <w:t xml:space="preserve"> 000</w:t>
            </w:r>
          </w:p>
        </w:tc>
        <w:tc>
          <w:tcPr>
            <w:tcW w:w="2028" w:type="dxa"/>
          </w:tcPr>
          <w:p w14:paraId="31D3813E" w14:textId="65F870A5" w:rsidR="0069379D" w:rsidRPr="00656A64" w:rsidRDefault="0069379D" w:rsidP="00B83DB3">
            <w:pPr>
              <w:jc w:val="both"/>
              <w:rPr>
                <w:b/>
                <w:sz w:val="20"/>
                <w:szCs w:val="20"/>
              </w:rPr>
            </w:pPr>
            <w:r w:rsidRPr="00656A64">
              <w:rPr>
                <w:b/>
                <w:bCs/>
                <w:sz w:val="20"/>
                <w:szCs w:val="20"/>
              </w:rPr>
              <w:t>1</w:t>
            </w:r>
            <w:r>
              <w:rPr>
                <w:b/>
                <w:bCs/>
                <w:sz w:val="20"/>
                <w:szCs w:val="20"/>
              </w:rPr>
              <w:t>7</w:t>
            </w:r>
            <w:r w:rsidRPr="00656A64">
              <w:rPr>
                <w:b/>
                <w:bCs/>
                <w:sz w:val="20"/>
                <w:szCs w:val="20"/>
              </w:rPr>
              <w:t xml:space="preserve"> </w:t>
            </w:r>
            <w:r>
              <w:rPr>
                <w:b/>
                <w:bCs/>
                <w:sz w:val="20"/>
                <w:szCs w:val="20"/>
              </w:rPr>
              <w:t>365</w:t>
            </w:r>
            <w:r w:rsidRPr="00656A64">
              <w:rPr>
                <w:b/>
                <w:bCs/>
                <w:sz w:val="20"/>
                <w:szCs w:val="20"/>
              </w:rPr>
              <w:t xml:space="preserve"> 000</w:t>
            </w:r>
          </w:p>
        </w:tc>
        <w:tc>
          <w:tcPr>
            <w:tcW w:w="2028" w:type="dxa"/>
          </w:tcPr>
          <w:p w14:paraId="1A1203B0" w14:textId="192C0142" w:rsidR="0069379D" w:rsidRPr="00656A64" w:rsidRDefault="0069379D" w:rsidP="00B83DB3">
            <w:pPr>
              <w:jc w:val="both"/>
              <w:rPr>
                <w:b/>
                <w:sz w:val="20"/>
                <w:szCs w:val="20"/>
              </w:rPr>
            </w:pPr>
            <w:r w:rsidRPr="00656A64">
              <w:rPr>
                <w:b/>
                <w:bCs/>
                <w:sz w:val="20"/>
                <w:szCs w:val="20"/>
              </w:rPr>
              <w:t>28 615 000</w:t>
            </w:r>
          </w:p>
        </w:tc>
      </w:tr>
      <w:tr w:rsidR="0069379D" w:rsidRPr="00861957" w14:paraId="363BEDA7" w14:textId="77777777" w:rsidTr="00823C37">
        <w:trPr>
          <w:trHeight w:val="77"/>
        </w:trPr>
        <w:tc>
          <w:tcPr>
            <w:tcW w:w="2027" w:type="dxa"/>
          </w:tcPr>
          <w:p w14:paraId="48E31A81" w14:textId="77777777" w:rsidR="0069379D" w:rsidRPr="00861957" w:rsidRDefault="0069379D" w:rsidP="00B83DB3">
            <w:pPr>
              <w:jc w:val="both"/>
              <w:rPr>
                <w:b/>
                <w:sz w:val="20"/>
                <w:szCs w:val="20"/>
              </w:rPr>
            </w:pPr>
            <w:r w:rsidRPr="00861957">
              <w:rPr>
                <w:b/>
                <w:sz w:val="20"/>
                <w:szCs w:val="20"/>
                <w:u w:val="single"/>
              </w:rPr>
              <w:lastRenderedPageBreak/>
              <w:t>Total</w:t>
            </w:r>
          </w:p>
        </w:tc>
        <w:tc>
          <w:tcPr>
            <w:tcW w:w="2027" w:type="dxa"/>
          </w:tcPr>
          <w:p w14:paraId="4B7CA0B4" w14:textId="77777777" w:rsidR="0069379D" w:rsidRPr="00656A64" w:rsidRDefault="0069379D" w:rsidP="00B83DB3">
            <w:pPr>
              <w:jc w:val="both"/>
              <w:rPr>
                <w:sz w:val="20"/>
                <w:szCs w:val="20"/>
              </w:rPr>
            </w:pPr>
          </w:p>
        </w:tc>
        <w:tc>
          <w:tcPr>
            <w:tcW w:w="2027" w:type="dxa"/>
          </w:tcPr>
          <w:p w14:paraId="072DEB11" w14:textId="11D55FA1" w:rsidR="0069379D" w:rsidRPr="00464C45" w:rsidRDefault="0069379D" w:rsidP="00464C45">
            <w:pPr>
              <w:jc w:val="both"/>
              <w:rPr>
                <w:b/>
                <w:sz w:val="20"/>
                <w:szCs w:val="20"/>
                <w:lang w:val="en-US"/>
              </w:rPr>
            </w:pPr>
            <w:r>
              <w:rPr>
                <w:b/>
                <w:bCs/>
                <w:sz w:val="20"/>
                <w:szCs w:val="20"/>
              </w:rPr>
              <w:t>38</w:t>
            </w:r>
            <w:r w:rsidRPr="0090416A">
              <w:rPr>
                <w:b/>
                <w:bCs/>
                <w:sz w:val="20"/>
                <w:szCs w:val="20"/>
              </w:rPr>
              <w:t> </w:t>
            </w:r>
            <w:r w:rsidR="00464C45">
              <w:rPr>
                <w:b/>
                <w:bCs/>
                <w:sz w:val="20"/>
                <w:szCs w:val="20"/>
                <w:lang w:val="en-US"/>
              </w:rPr>
              <w:t>244 992</w:t>
            </w:r>
          </w:p>
        </w:tc>
        <w:tc>
          <w:tcPr>
            <w:tcW w:w="2028" w:type="dxa"/>
          </w:tcPr>
          <w:p w14:paraId="079F9E35" w14:textId="74C14F5B" w:rsidR="0069379D" w:rsidRPr="00656A64" w:rsidRDefault="00464C45" w:rsidP="00464C45">
            <w:pPr>
              <w:jc w:val="both"/>
              <w:rPr>
                <w:b/>
                <w:sz w:val="20"/>
                <w:szCs w:val="20"/>
              </w:rPr>
            </w:pPr>
            <w:r>
              <w:rPr>
                <w:b/>
                <w:bCs/>
                <w:sz w:val="20"/>
                <w:szCs w:val="20"/>
              </w:rPr>
              <w:t>73 083</w:t>
            </w:r>
            <w:r w:rsidR="0069379D" w:rsidRPr="0090416A">
              <w:rPr>
                <w:b/>
                <w:bCs/>
                <w:sz w:val="20"/>
                <w:szCs w:val="20"/>
                <w:lang w:val="ru-RU"/>
              </w:rPr>
              <w:t> </w:t>
            </w:r>
            <w:r w:rsidR="0069379D" w:rsidRPr="0090416A">
              <w:rPr>
                <w:b/>
                <w:bCs/>
                <w:sz w:val="20"/>
                <w:szCs w:val="20"/>
              </w:rPr>
              <w:t>00</w:t>
            </w:r>
            <w:r w:rsidR="0069379D">
              <w:rPr>
                <w:b/>
                <w:bCs/>
                <w:sz w:val="20"/>
                <w:szCs w:val="20"/>
              </w:rPr>
              <w:t>8</w:t>
            </w:r>
          </w:p>
        </w:tc>
        <w:tc>
          <w:tcPr>
            <w:tcW w:w="2028" w:type="dxa"/>
          </w:tcPr>
          <w:p w14:paraId="1184FF1E" w14:textId="7F8DF9D0" w:rsidR="0069379D" w:rsidRPr="00656A64" w:rsidRDefault="0069379D" w:rsidP="00F554F0">
            <w:pPr>
              <w:jc w:val="both"/>
              <w:rPr>
                <w:b/>
                <w:sz w:val="20"/>
                <w:szCs w:val="20"/>
              </w:rPr>
            </w:pPr>
            <w:r>
              <w:rPr>
                <w:b/>
                <w:bCs/>
                <w:sz w:val="20"/>
                <w:szCs w:val="20"/>
              </w:rPr>
              <w:t>111</w:t>
            </w:r>
            <w:r w:rsidRPr="0090416A">
              <w:rPr>
                <w:b/>
                <w:bCs/>
                <w:sz w:val="20"/>
                <w:szCs w:val="20"/>
              </w:rPr>
              <w:t> </w:t>
            </w:r>
            <w:r>
              <w:rPr>
                <w:b/>
                <w:bCs/>
                <w:sz w:val="20"/>
                <w:szCs w:val="20"/>
                <w:lang w:val="en-US"/>
              </w:rPr>
              <w:t>328</w:t>
            </w:r>
            <w:r w:rsidRPr="0090416A">
              <w:rPr>
                <w:b/>
                <w:bCs/>
                <w:sz w:val="20"/>
                <w:szCs w:val="20"/>
                <w:lang w:val="ru-RU"/>
              </w:rPr>
              <w:t> </w:t>
            </w:r>
            <w:r w:rsidRPr="0090416A">
              <w:rPr>
                <w:b/>
                <w:bCs/>
                <w:sz w:val="20"/>
                <w:szCs w:val="20"/>
              </w:rPr>
              <w:t>000</w:t>
            </w:r>
          </w:p>
        </w:tc>
      </w:tr>
    </w:tbl>
    <w:p w14:paraId="3418EBA5" w14:textId="77777777" w:rsidR="009D7E32" w:rsidRPr="00861957" w:rsidRDefault="009D7E32" w:rsidP="00B83DB3">
      <w:pPr>
        <w:jc w:val="both"/>
      </w:pPr>
    </w:p>
    <w:p w14:paraId="3B14F9D3" w14:textId="5B0EEDFA" w:rsidR="00A07442" w:rsidRPr="00861957" w:rsidRDefault="00CA0D3E" w:rsidP="00943AC6">
      <w:pPr>
        <w:jc w:val="both"/>
        <w:rPr>
          <w:b/>
        </w:rPr>
      </w:pPr>
      <w:r w:rsidRPr="00861957">
        <w:rPr>
          <w:b/>
        </w:rPr>
        <w:t>The financial contribution of e</w:t>
      </w:r>
      <w:r w:rsidR="00823C37" w:rsidRPr="00861957">
        <w:rPr>
          <w:b/>
        </w:rPr>
        <w:t>ach organi</w:t>
      </w:r>
      <w:r w:rsidR="000F002C" w:rsidRPr="00861957">
        <w:rPr>
          <w:b/>
        </w:rPr>
        <w:t>z</w:t>
      </w:r>
      <w:r w:rsidR="00823C37" w:rsidRPr="00861957">
        <w:rPr>
          <w:b/>
        </w:rPr>
        <w:t>ation is as follows:</w:t>
      </w:r>
    </w:p>
    <w:tbl>
      <w:tblPr>
        <w:tblStyle w:val="TableGrid"/>
        <w:tblW w:w="0" w:type="auto"/>
        <w:tblLook w:val="04A0" w:firstRow="1" w:lastRow="0" w:firstColumn="1" w:lastColumn="0" w:noHBand="0" w:noVBand="1"/>
      </w:tblPr>
      <w:tblGrid>
        <w:gridCol w:w="1901"/>
        <w:gridCol w:w="2510"/>
        <w:gridCol w:w="3275"/>
        <w:gridCol w:w="2225"/>
      </w:tblGrid>
      <w:tr w:rsidR="002B0303" w:rsidRPr="00861957" w14:paraId="5388295E" w14:textId="77777777" w:rsidTr="007E2FE7">
        <w:trPr>
          <w:trHeight w:val="409"/>
        </w:trPr>
        <w:tc>
          <w:tcPr>
            <w:tcW w:w="1936" w:type="dxa"/>
          </w:tcPr>
          <w:p w14:paraId="2EC0E82C" w14:textId="77777777" w:rsidR="002B0303" w:rsidRPr="00861957" w:rsidRDefault="002B0303" w:rsidP="00943AC6">
            <w:pPr>
              <w:jc w:val="center"/>
              <w:rPr>
                <w:b/>
                <w:sz w:val="20"/>
                <w:szCs w:val="20"/>
              </w:rPr>
            </w:pPr>
            <w:r w:rsidRPr="00861957">
              <w:rPr>
                <w:b/>
                <w:sz w:val="20"/>
                <w:szCs w:val="20"/>
              </w:rPr>
              <w:t>Agency</w:t>
            </w:r>
          </w:p>
        </w:tc>
        <w:tc>
          <w:tcPr>
            <w:tcW w:w="2567" w:type="dxa"/>
          </w:tcPr>
          <w:p w14:paraId="3997B5A1" w14:textId="77777777" w:rsidR="002B0303" w:rsidRPr="00861957" w:rsidRDefault="006718B8" w:rsidP="00943AC6">
            <w:pPr>
              <w:jc w:val="center"/>
              <w:rPr>
                <w:b/>
                <w:sz w:val="20"/>
                <w:szCs w:val="20"/>
              </w:rPr>
            </w:pPr>
            <w:r w:rsidRPr="00861957">
              <w:rPr>
                <w:b/>
                <w:sz w:val="20"/>
                <w:szCs w:val="20"/>
              </w:rPr>
              <w:t>Available Resources</w:t>
            </w:r>
          </w:p>
        </w:tc>
        <w:tc>
          <w:tcPr>
            <w:tcW w:w="3364" w:type="dxa"/>
          </w:tcPr>
          <w:p w14:paraId="0C1FAC92" w14:textId="66CC70C7" w:rsidR="002B0303" w:rsidRPr="00861957" w:rsidRDefault="006718B8" w:rsidP="00943AC6">
            <w:pPr>
              <w:jc w:val="center"/>
              <w:rPr>
                <w:b/>
                <w:sz w:val="20"/>
                <w:szCs w:val="20"/>
              </w:rPr>
            </w:pPr>
            <w:r w:rsidRPr="00861957">
              <w:rPr>
                <w:b/>
                <w:sz w:val="20"/>
                <w:szCs w:val="20"/>
              </w:rPr>
              <w:t>Resources to Be Mobili</w:t>
            </w:r>
            <w:r w:rsidR="000F002C" w:rsidRPr="00861957">
              <w:rPr>
                <w:b/>
                <w:sz w:val="20"/>
                <w:szCs w:val="20"/>
              </w:rPr>
              <w:t>ze</w:t>
            </w:r>
            <w:r w:rsidRPr="00861957">
              <w:rPr>
                <w:b/>
                <w:sz w:val="20"/>
                <w:szCs w:val="20"/>
              </w:rPr>
              <w:t>d</w:t>
            </w:r>
          </w:p>
        </w:tc>
        <w:tc>
          <w:tcPr>
            <w:tcW w:w="2270" w:type="dxa"/>
          </w:tcPr>
          <w:p w14:paraId="362C10AA" w14:textId="77777777" w:rsidR="002B0303" w:rsidRPr="00861957" w:rsidRDefault="002B0303" w:rsidP="00943AC6">
            <w:pPr>
              <w:jc w:val="center"/>
              <w:rPr>
                <w:b/>
                <w:sz w:val="20"/>
                <w:szCs w:val="20"/>
              </w:rPr>
            </w:pPr>
            <w:r w:rsidRPr="00861957">
              <w:rPr>
                <w:b/>
                <w:sz w:val="20"/>
                <w:szCs w:val="20"/>
              </w:rPr>
              <w:t>Total</w:t>
            </w:r>
          </w:p>
        </w:tc>
      </w:tr>
      <w:tr w:rsidR="00F153E7" w:rsidRPr="00861957" w14:paraId="7E496571" w14:textId="77777777" w:rsidTr="007E2FE7">
        <w:tc>
          <w:tcPr>
            <w:tcW w:w="1936" w:type="dxa"/>
          </w:tcPr>
          <w:p w14:paraId="29A7CC4C" w14:textId="77777777" w:rsidR="00F153E7" w:rsidRPr="00861957" w:rsidRDefault="00F153E7" w:rsidP="00943AC6">
            <w:pPr>
              <w:jc w:val="both"/>
              <w:rPr>
                <w:sz w:val="20"/>
                <w:szCs w:val="20"/>
              </w:rPr>
            </w:pPr>
            <w:r w:rsidRPr="00861957">
              <w:rPr>
                <w:sz w:val="20"/>
                <w:szCs w:val="20"/>
              </w:rPr>
              <w:t>FAO</w:t>
            </w:r>
          </w:p>
        </w:tc>
        <w:tc>
          <w:tcPr>
            <w:tcW w:w="2567" w:type="dxa"/>
          </w:tcPr>
          <w:p w14:paraId="25554E96" w14:textId="7FFBE4B9" w:rsidR="00F153E7" w:rsidRPr="00CB7407" w:rsidRDefault="00F153E7" w:rsidP="00943AC6">
            <w:pPr>
              <w:jc w:val="both"/>
              <w:rPr>
                <w:sz w:val="20"/>
                <w:szCs w:val="20"/>
                <w:lang w:val="ru-RU"/>
              </w:rPr>
            </w:pPr>
          </w:p>
        </w:tc>
        <w:tc>
          <w:tcPr>
            <w:tcW w:w="3364" w:type="dxa"/>
          </w:tcPr>
          <w:p w14:paraId="54B49533" w14:textId="6176EFC7" w:rsidR="00F153E7" w:rsidRPr="00861957" w:rsidRDefault="007E2FE7" w:rsidP="00A450F8">
            <w:pPr>
              <w:jc w:val="both"/>
              <w:rPr>
                <w:sz w:val="20"/>
                <w:szCs w:val="20"/>
              </w:rPr>
            </w:pPr>
            <w:r>
              <w:rPr>
                <w:sz w:val="20"/>
                <w:szCs w:val="20"/>
              </w:rPr>
              <w:t>94</w:t>
            </w:r>
            <w:r w:rsidR="00F153E7" w:rsidRPr="00861957">
              <w:rPr>
                <w:sz w:val="20"/>
                <w:szCs w:val="20"/>
              </w:rPr>
              <w:t>5,000</w:t>
            </w:r>
          </w:p>
        </w:tc>
        <w:tc>
          <w:tcPr>
            <w:tcW w:w="2270" w:type="dxa"/>
          </w:tcPr>
          <w:p w14:paraId="2ECCB506" w14:textId="50E00689" w:rsidR="00F153E7" w:rsidRPr="00861957" w:rsidRDefault="007E2FE7" w:rsidP="00A450F8">
            <w:pPr>
              <w:jc w:val="both"/>
              <w:rPr>
                <w:sz w:val="20"/>
                <w:szCs w:val="20"/>
              </w:rPr>
            </w:pPr>
            <w:r>
              <w:rPr>
                <w:sz w:val="20"/>
                <w:szCs w:val="20"/>
                <w:lang w:val="en-US"/>
              </w:rPr>
              <w:t>945</w:t>
            </w:r>
            <w:r w:rsidR="002378C7" w:rsidRPr="00861957">
              <w:rPr>
                <w:sz w:val="20"/>
                <w:szCs w:val="20"/>
              </w:rPr>
              <w:t>,000</w:t>
            </w:r>
          </w:p>
        </w:tc>
      </w:tr>
      <w:tr w:rsidR="002B0303" w:rsidRPr="00861957" w14:paraId="258DE511" w14:textId="77777777" w:rsidTr="007E2FE7">
        <w:tc>
          <w:tcPr>
            <w:tcW w:w="1936" w:type="dxa"/>
          </w:tcPr>
          <w:p w14:paraId="60C59E14" w14:textId="77777777" w:rsidR="002B0303" w:rsidRPr="00861957" w:rsidRDefault="00335D72" w:rsidP="00943AC6">
            <w:pPr>
              <w:jc w:val="both"/>
              <w:rPr>
                <w:sz w:val="20"/>
                <w:szCs w:val="20"/>
              </w:rPr>
            </w:pPr>
            <w:r w:rsidRPr="00861957">
              <w:rPr>
                <w:sz w:val="20"/>
                <w:szCs w:val="20"/>
              </w:rPr>
              <w:t>IAEA</w:t>
            </w:r>
          </w:p>
        </w:tc>
        <w:tc>
          <w:tcPr>
            <w:tcW w:w="2567" w:type="dxa"/>
          </w:tcPr>
          <w:p w14:paraId="184E530A" w14:textId="2B126656" w:rsidR="002B0303" w:rsidRPr="00861957" w:rsidRDefault="00F153E7" w:rsidP="00470795">
            <w:pPr>
              <w:jc w:val="both"/>
              <w:rPr>
                <w:sz w:val="20"/>
                <w:szCs w:val="20"/>
              </w:rPr>
            </w:pPr>
            <w:r w:rsidRPr="00861957">
              <w:rPr>
                <w:sz w:val="20"/>
                <w:szCs w:val="20"/>
              </w:rPr>
              <w:t>2,</w:t>
            </w:r>
            <w:r w:rsidR="00470795" w:rsidRPr="00861957">
              <w:rPr>
                <w:sz w:val="20"/>
                <w:szCs w:val="20"/>
              </w:rPr>
              <w:t>30</w:t>
            </w:r>
            <w:r w:rsidRPr="00861957">
              <w:rPr>
                <w:sz w:val="20"/>
                <w:szCs w:val="20"/>
              </w:rPr>
              <w:t>0,000</w:t>
            </w:r>
          </w:p>
        </w:tc>
        <w:tc>
          <w:tcPr>
            <w:tcW w:w="3364" w:type="dxa"/>
          </w:tcPr>
          <w:p w14:paraId="0FD45E15" w14:textId="77777777" w:rsidR="002B0303" w:rsidRPr="00861957" w:rsidRDefault="002B0303" w:rsidP="00A450F8">
            <w:pPr>
              <w:jc w:val="both"/>
              <w:rPr>
                <w:sz w:val="20"/>
                <w:szCs w:val="20"/>
              </w:rPr>
            </w:pPr>
          </w:p>
        </w:tc>
        <w:tc>
          <w:tcPr>
            <w:tcW w:w="2270" w:type="dxa"/>
          </w:tcPr>
          <w:p w14:paraId="612A0EFD" w14:textId="0321A994" w:rsidR="002B0303" w:rsidRPr="00861957" w:rsidRDefault="002378C7" w:rsidP="00470795">
            <w:pPr>
              <w:jc w:val="both"/>
              <w:rPr>
                <w:sz w:val="20"/>
                <w:szCs w:val="20"/>
              </w:rPr>
            </w:pPr>
            <w:r w:rsidRPr="00861957">
              <w:rPr>
                <w:sz w:val="20"/>
                <w:szCs w:val="20"/>
              </w:rPr>
              <w:t>2,</w:t>
            </w:r>
            <w:r w:rsidR="00470795" w:rsidRPr="00861957">
              <w:rPr>
                <w:sz w:val="20"/>
                <w:szCs w:val="20"/>
              </w:rPr>
              <w:t>300</w:t>
            </w:r>
            <w:r w:rsidRPr="00861957">
              <w:rPr>
                <w:sz w:val="20"/>
                <w:szCs w:val="20"/>
              </w:rPr>
              <w:t>,000</w:t>
            </w:r>
          </w:p>
        </w:tc>
      </w:tr>
      <w:tr w:rsidR="002B0303" w:rsidRPr="00861957" w14:paraId="426902A1" w14:textId="77777777" w:rsidTr="007E2FE7">
        <w:tc>
          <w:tcPr>
            <w:tcW w:w="1936" w:type="dxa"/>
          </w:tcPr>
          <w:p w14:paraId="4F9978E5" w14:textId="77777777" w:rsidR="002B0303" w:rsidRPr="00861957" w:rsidRDefault="00335D72" w:rsidP="00943AC6">
            <w:pPr>
              <w:jc w:val="both"/>
              <w:rPr>
                <w:sz w:val="20"/>
                <w:szCs w:val="20"/>
              </w:rPr>
            </w:pPr>
            <w:r w:rsidRPr="00861957">
              <w:rPr>
                <w:sz w:val="20"/>
                <w:szCs w:val="20"/>
              </w:rPr>
              <w:t>IOM</w:t>
            </w:r>
          </w:p>
        </w:tc>
        <w:tc>
          <w:tcPr>
            <w:tcW w:w="2567" w:type="dxa"/>
          </w:tcPr>
          <w:p w14:paraId="4DBFBA1D" w14:textId="77777777" w:rsidR="002B0303" w:rsidRPr="00861957" w:rsidRDefault="00F153E7" w:rsidP="00EC698E">
            <w:pPr>
              <w:jc w:val="both"/>
              <w:rPr>
                <w:sz w:val="20"/>
                <w:szCs w:val="20"/>
              </w:rPr>
            </w:pPr>
            <w:r w:rsidRPr="00861957">
              <w:rPr>
                <w:sz w:val="20"/>
                <w:szCs w:val="20"/>
              </w:rPr>
              <w:t>320,000</w:t>
            </w:r>
          </w:p>
        </w:tc>
        <w:tc>
          <w:tcPr>
            <w:tcW w:w="3364" w:type="dxa"/>
          </w:tcPr>
          <w:p w14:paraId="4F53CAF8" w14:textId="77777777" w:rsidR="002B0303" w:rsidRPr="00861957" w:rsidRDefault="00F153E7" w:rsidP="00EC698E">
            <w:pPr>
              <w:jc w:val="both"/>
              <w:rPr>
                <w:sz w:val="20"/>
                <w:szCs w:val="20"/>
              </w:rPr>
            </w:pPr>
            <w:r w:rsidRPr="00861957">
              <w:rPr>
                <w:sz w:val="20"/>
                <w:szCs w:val="20"/>
              </w:rPr>
              <w:t>850,000</w:t>
            </w:r>
          </w:p>
        </w:tc>
        <w:tc>
          <w:tcPr>
            <w:tcW w:w="2270" w:type="dxa"/>
          </w:tcPr>
          <w:p w14:paraId="5C9E5D2A" w14:textId="77777777" w:rsidR="002B0303" w:rsidRPr="00861957" w:rsidRDefault="002378C7" w:rsidP="00EC698E">
            <w:pPr>
              <w:jc w:val="both"/>
              <w:rPr>
                <w:sz w:val="20"/>
                <w:szCs w:val="20"/>
              </w:rPr>
            </w:pPr>
            <w:r w:rsidRPr="00861957">
              <w:rPr>
                <w:sz w:val="20"/>
                <w:szCs w:val="20"/>
              </w:rPr>
              <w:t>1,170,000</w:t>
            </w:r>
          </w:p>
        </w:tc>
      </w:tr>
      <w:tr w:rsidR="00CA0D3E" w:rsidRPr="00861957" w14:paraId="12CC5A84" w14:textId="77777777" w:rsidTr="007E2FE7">
        <w:tc>
          <w:tcPr>
            <w:tcW w:w="1936" w:type="dxa"/>
          </w:tcPr>
          <w:p w14:paraId="5196A351" w14:textId="77777777" w:rsidR="00CA0D3E" w:rsidRPr="00861957" w:rsidRDefault="00335D72" w:rsidP="00844B8A">
            <w:pPr>
              <w:jc w:val="both"/>
              <w:rPr>
                <w:sz w:val="20"/>
                <w:szCs w:val="20"/>
              </w:rPr>
            </w:pPr>
            <w:r w:rsidRPr="00861957">
              <w:rPr>
                <w:sz w:val="20"/>
                <w:szCs w:val="20"/>
              </w:rPr>
              <w:t>ITC</w:t>
            </w:r>
          </w:p>
        </w:tc>
        <w:tc>
          <w:tcPr>
            <w:tcW w:w="2567" w:type="dxa"/>
          </w:tcPr>
          <w:p w14:paraId="1B04498C" w14:textId="77777777" w:rsidR="00CA0D3E" w:rsidRPr="00861957" w:rsidRDefault="00CA0D3E" w:rsidP="00844B8A">
            <w:pPr>
              <w:jc w:val="both"/>
              <w:rPr>
                <w:sz w:val="20"/>
                <w:szCs w:val="20"/>
              </w:rPr>
            </w:pPr>
          </w:p>
        </w:tc>
        <w:tc>
          <w:tcPr>
            <w:tcW w:w="3364" w:type="dxa"/>
          </w:tcPr>
          <w:p w14:paraId="0E8641A6" w14:textId="77777777" w:rsidR="00CA0D3E" w:rsidRPr="00861957" w:rsidRDefault="00F153E7" w:rsidP="00844B8A">
            <w:pPr>
              <w:jc w:val="both"/>
              <w:rPr>
                <w:sz w:val="20"/>
                <w:szCs w:val="20"/>
              </w:rPr>
            </w:pPr>
            <w:r w:rsidRPr="00861957">
              <w:rPr>
                <w:sz w:val="20"/>
                <w:szCs w:val="20"/>
              </w:rPr>
              <w:t>600,000</w:t>
            </w:r>
          </w:p>
        </w:tc>
        <w:tc>
          <w:tcPr>
            <w:tcW w:w="2270" w:type="dxa"/>
          </w:tcPr>
          <w:p w14:paraId="4F914336" w14:textId="77777777" w:rsidR="00CA0D3E" w:rsidRPr="00861957" w:rsidRDefault="002378C7" w:rsidP="00844B8A">
            <w:pPr>
              <w:jc w:val="both"/>
              <w:rPr>
                <w:sz w:val="20"/>
                <w:szCs w:val="20"/>
              </w:rPr>
            </w:pPr>
            <w:r w:rsidRPr="00861957">
              <w:rPr>
                <w:sz w:val="20"/>
                <w:szCs w:val="20"/>
              </w:rPr>
              <w:t>600,000</w:t>
            </w:r>
          </w:p>
        </w:tc>
      </w:tr>
      <w:tr w:rsidR="00F153E7" w:rsidRPr="00861957" w14:paraId="667BF1C5" w14:textId="77777777" w:rsidTr="007E2FE7">
        <w:tc>
          <w:tcPr>
            <w:tcW w:w="1936" w:type="dxa"/>
          </w:tcPr>
          <w:p w14:paraId="44B94302" w14:textId="77777777" w:rsidR="00F153E7" w:rsidRPr="00861957" w:rsidRDefault="00F153E7" w:rsidP="00844B8A">
            <w:pPr>
              <w:jc w:val="both"/>
              <w:rPr>
                <w:sz w:val="20"/>
                <w:szCs w:val="20"/>
              </w:rPr>
            </w:pPr>
            <w:r w:rsidRPr="00861957">
              <w:rPr>
                <w:sz w:val="20"/>
                <w:szCs w:val="20"/>
              </w:rPr>
              <w:t>OHCHR</w:t>
            </w:r>
          </w:p>
        </w:tc>
        <w:tc>
          <w:tcPr>
            <w:tcW w:w="2567" w:type="dxa"/>
          </w:tcPr>
          <w:p w14:paraId="124C8164" w14:textId="77777777" w:rsidR="00F153E7" w:rsidRPr="00861957" w:rsidRDefault="00F153E7" w:rsidP="00844B8A">
            <w:pPr>
              <w:jc w:val="both"/>
              <w:rPr>
                <w:sz w:val="20"/>
                <w:szCs w:val="20"/>
              </w:rPr>
            </w:pPr>
            <w:r w:rsidRPr="00861957">
              <w:rPr>
                <w:sz w:val="20"/>
                <w:szCs w:val="20"/>
              </w:rPr>
              <w:t>300,000</w:t>
            </w:r>
          </w:p>
        </w:tc>
        <w:tc>
          <w:tcPr>
            <w:tcW w:w="3364" w:type="dxa"/>
          </w:tcPr>
          <w:p w14:paraId="1C0C8EC1" w14:textId="77777777" w:rsidR="00F153E7" w:rsidRPr="00861957" w:rsidRDefault="00F153E7" w:rsidP="00844B8A">
            <w:pPr>
              <w:jc w:val="both"/>
              <w:rPr>
                <w:sz w:val="20"/>
                <w:szCs w:val="20"/>
              </w:rPr>
            </w:pPr>
          </w:p>
        </w:tc>
        <w:tc>
          <w:tcPr>
            <w:tcW w:w="2270" w:type="dxa"/>
          </w:tcPr>
          <w:p w14:paraId="28CD4926" w14:textId="77777777" w:rsidR="00F153E7" w:rsidRPr="00861957" w:rsidRDefault="002378C7" w:rsidP="00844B8A">
            <w:pPr>
              <w:jc w:val="both"/>
              <w:rPr>
                <w:sz w:val="20"/>
                <w:szCs w:val="20"/>
              </w:rPr>
            </w:pPr>
            <w:r w:rsidRPr="00861957">
              <w:rPr>
                <w:sz w:val="20"/>
                <w:szCs w:val="20"/>
              </w:rPr>
              <w:t>300,000</w:t>
            </w:r>
          </w:p>
        </w:tc>
      </w:tr>
      <w:tr w:rsidR="002B0303" w:rsidRPr="00861957" w14:paraId="0B02DC4F" w14:textId="77777777" w:rsidTr="007E2FE7">
        <w:tc>
          <w:tcPr>
            <w:tcW w:w="1936" w:type="dxa"/>
          </w:tcPr>
          <w:p w14:paraId="3BF710E5" w14:textId="77777777" w:rsidR="002B0303" w:rsidRPr="00861957" w:rsidRDefault="00335D72" w:rsidP="00943AC6">
            <w:pPr>
              <w:jc w:val="both"/>
              <w:rPr>
                <w:sz w:val="20"/>
                <w:szCs w:val="20"/>
              </w:rPr>
            </w:pPr>
            <w:r w:rsidRPr="00861957">
              <w:rPr>
                <w:sz w:val="20"/>
                <w:szCs w:val="20"/>
              </w:rPr>
              <w:t>UNAIDS</w:t>
            </w:r>
          </w:p>
        </w:tc>
        <w:tc>
          <w:tcPr>
            <w:tcW w:w="2567" w:type="dxa"/>
          </w:tcPr>
          <w:p w14:paraId="1050047A" w14:textId="77777777" w:rsidR="002B0303" w:rsidRPr="00861957" w:rsidRDefault="00F153E7" w:rsidP="00943AC6">
            <w:pPr>
              <w:jc w:val="both"/>
              <w:rPr>
                <w:sz w:val="20"/>
                <w:szCs w:val="20"/>
              </w:rPr>
            </w:pPr>
            <w:r w:rsidRPr="00861957">
              <w:rPr>
                <w:sz w:val="20"/>
                <w:szCs w:val="20"/>
              </w:rPr>
              <w:t>120,000</w:t>
            </w:r>
          </w:p>
        </w:tc>
        <w:tc>
          <w:tcPr>
            <w:tcW w:w="3364" w:type="dxa"/>
          </w:tcPr>
          <w:p w14:paraId="68C86348" w14:textId="77777777" w:rsidR="002B0303" w:rsidRPr="00861957" w:rsidRDefault="002B0303" w:rsidP="00943AC6">
            <w:pPr>
              <w:jc w:val="both"/>
              <w:rPr>
                <w:sz w:val="20"/>
                <w:szCs w:val="20"/>
              </w:rPr>
            </w:pPr>
          </w:p>
        </w:tc>
        <w:tc>
          <w:tcPr>
            <w:tcW w:w="2270" w:type="dxa"/>
          </w:tcPr>
          <w:p w14:paraId="6A95AC60" w14:textId="77777777" w:rsidR="002B0303" w:rsidRPr="00861957" w:rsidRDefault="002378C7" w:rsidP="00943AC6">
            <w:pPr>
              <w:jc w:val="both"/>
              <w:rPr>
                <w:sz w:val="20"/>
                <w:szCs w:val="20"/>
              </w:rPr>
            </w:pPr>
            <w:r w:rsidRPr="00861957">
              <w:rPr>
                <w:sz w:val="20"/>
                <w:szCs w:val="20"/>
              </w:rPr>
              <w:t>120,000</w:t>
            </w:r>
          </w:p>
        </w:tc>
      </w:tr>
      <w:tr w:rsidR="00B42A6D" w:rsidRPr="00861957" w14:paraId="67AA5EDA" w14:textId="77777777" w:rsidTr="007E2FE7">
        <w:tc>
          <w:tcPr>
            <w:tcW w:w="1936" w:type="dxa"/>
          </w:tcPr>
          <w:p w14:paraId="07CA78BA" w14:textId="77777777" w:rsidR="00B42A6D" w:rsidRPr="00861957" w:rsidRDefault="00335D72" w:rsidP="00756345">
            <w:pPr>
              <w:jc w:val="both"/>
              <w:rPr>
                <w:sz w:val="20"/>
                <w:szCs w:val="20"/>
              </w:rPr>
            </w:pPr>
            <w:r w:rsidRPr="00861957">
              <w:rPr>
                <w:sz w:val="20"/>
                <w:szCs w:val="20"/>
              </w:rPr>
              <w:t>UNCTAD</w:t>
            </w:r>
          </w:p>
        </w:tc>
        <w:tc>
          <w:tcPr>
            <w:tcW w:w="2567" w:type="dxa"/>
          </w:tcPr>
          <w:p w14:paraId="7D86299E" w14:textId="77777777" w:rsidR="00B42A6D" w:rsidRPr="00861957" w:rsidRDefault="00B42A6D" w:rsidP="00756345">
            <w:pPr>
              <w:jc w:val="both"/>
              <w:rPr>
                <w:sz w:val="20"/>
                <w:szCs w:val="20"/>
              </w:rPr>
            </w:pPr>
          </w:p>
        </w:tc>
        <w:tc>
          <w:tcPr>
            <w:tcW w:w="3364" w:type="dxa"/>
          </w:tcPr>
          <w:p w14:paraId="1EF79F7E" w14:textId="77777777" w:rsidR="00B42A6D" w:rsidRPr="00861957" w:rsidRDefault="00F153E7" w:rsidP="00756345">
            <w:pPr>
              <w:jc w:val="both"/>
              <w:rPr>
                <w:sz w:val="20"/>
                <w:szCs w:val="20"/>
              </w:rPr>
            </w:pPr>
            <w:r w:rsidRPr="00861957">
              <w:rPr>
                <w:sz w:val="20"/>
                <w:szCs w:val="20"/>
              </w:rPr>
              <w:t>1,100,000</w:t>
            </w:r>
          </w:p>
        </w:tc>
        <w:tc>
          <w:tcPr>
            <w:tcW w:w="2270" w:type="dxa"/>
          </w:tcPr>
          <w:p w14:paraId="1CAE5973" w14:textId="77777777" w:rsidR="00B42A6D" w:rsidRPr="00861957" w:rsidRDefault="002378C7" w:rsidP="00756345">
            <w:pPr>
              <w:jc w:val="both"/>
              <w:rPr>
                <w:sz w:val="20"/>
                <w:szCs w:val="20"/>
              </w:rPr>
            </w:pPr>
            <w:r w:rsidRPr="00861957">
              <w:rPr>
                <w:sz w:val="20"/>
                <w:szCs w:val="20"/>
              </w:rPr>
              <w:t>1,100,000</w:t>
            </w:r>
          </w:p>
        </w:tc>
      </w:tr>
      <w:tr w:rsidR="00B42A6D" w:rsidRPr="00861957" w14:paraId="2B19A8F8" w14:textId="77777777" w:rsidTr="007E2FE7">
        <w:tc>
          <w:tcPr>
            <w:tcW w:w="1936" w:type="dxa"/>
          </w:tcPr>
          <w:p w14:paraId="0E05B561" w14:textId="77777777" w:rsidR="00B42A6D" w:rsidRPr="00861957" w:rsidRDefault="00335D72" w:rsidP="00844B8A">
            <w:pPr>
              <w:jc w:val="both"/>
              <w:rPr>
                <w:sz w:val="20"/>
                <w:szCs w:val="20"/>
              </w:rPr>
            </w:pPr>
            <w:r w:rsidRPr="00861957">
              <w:rPr>
                <w:sz w:val="20"/>
                <w:szCs w:val="20"/>
              </w:rPr>
              <w:t>UNDP</w:t>
            </w:r>
          </w:p>
        </w:tc>
        <w:tc>
          <w:tcPr>
            <w:tcW w:w="2567" w:type="dxa"/>
          </w:tcPr>
          <w:p w14:paraId="0C0BF819" w14:textId="7365F46D" w:rsidR="00B42A6D" w:rsidRPr="00861957" w:rsidRDefault="0069379D" w:rsidP="0069379D">
            <w:pPr>
              <w:jc w:val="both"/>
              <w:rPr>
                <w:sz w:val="20"/>
                <w:szCs w:val="20"/>
              </w:rPr>
            </w:pPr>
            <w:r>
              <w:rPr>
                <w:sz w:val="20"/>
                <w:szCs w:val="20"/>
              </w:rPr>
              <w:t>24</w:t>
            </w:r>
            <w:r w:rsidR="00F153E7" w:rsidRPr="00861957">
              <w:rPr>
                <w:sz w:val="20"/>
                <w:szCs w:val="20"/>
              </w:rPr>
              <w:t>,</w:t>
            </w:r>
            <w:r>
              <w:rPr>
                <w:sz w:val="20"/>
                <w:szCs w:val="20"/>
              </w:rPr>
              <w:t>730</w:t>
            </w:r>
            <w:r w:rsidR="00F153E7" w:rsidRPr="00861957">
              <w:rPr>
                <w:sz w:val="20"/>
                <w:szCs w:val="20"/>
              </w:rPr>
              <w:t>,</w:t>
            </w:r>
            <w:r>
              <w:rPr>
                <w:sz w:val="20"/>
                <w:szCs w:val="20"/>
              </w:rPr>
              <w:t>992</w:t>
            </w:r>
          </w:p>
        </w:tc>
        <w:tc>
          <w:tcPr>
            <w:tcW w:w="3364" w:type="dxa"/>
          </w:tcPr>
          <w:p w14:paraId="423990DA" w14:textId="49ABD613" w:rsidR="00B42A6D" w:rsidRPr="00861957" w:rsidRDefault="00470795" w:rsidP="0069379D">
            <w:pPr>
              <w:jc w:val="both"/>
              <w:rPr>
                <w:sz w:val="20"/>
                <w:szCs w:val="20"/>
              </w:rPr>
            </w:pPr>
            <w:r w:rsidRPr="00861957">
              <w:rPr>
                <w:sz w:val="20"/>
                <w:szCs w:val="20"/>
              </w:rPr>
              <w:t>5</w:t>
            </w:r>
            <w:r w:rsidR="0069379D">
              <w:rPr>
                <w:sz w:val="20"/>
                <w:szCs w:val="20"/>
              </w:rPr>
              <w:t>7</w:t>
            </w:r>
            <w:r w:rsidR="00F153E7" w:rsidRPr="00861957">
              <w:rPr>
                <w:sz w:val="20"/>
                <w:szCs w:val="20"/>
              </w:rPr>
              <w:t>,</w:t>
            </w:r>
            <w:r w:rsidR="0069379D">
              <w:rPr>
                <w:sz w:val="20"/>
                <w:szCs w:val="20"/>
              </w:rPr>
              <w:t>269</w:t>
            </w:r>
            <w:r w:rsidR="00F153E7" w:rsidRPr="00861957">
              <w:rPr>
                <w:sz w:val="20"/>
                <w:szCs w:val="20"/>
              </w:rPr>
              <w:t>,00</w:t>
            </w:r>
            <w:r w:rsidR="0069379D">
              <w:rPr>
                <w:sz w:val="20"/>
                <w:szCs w:val="20"/>
              </w:rPr>
              <w:t>8</w:t>
            </w:r>
          </w:p>
        </w:tc>
        <w:tc>
          <w:tcPr>
            <w:tcW w:w="2270" w:type="dxa"/>
          </w:tcPr>
          <w:p w14:paraId="3576D6C2" w14:textId="5B5CBFDD" w:rsidR="00B42A6D" w:rsidRPr="00861957" w:rsidRDefault="0069379D" w:rsidP="0069379D">
            <w:pPr>
              <w:jc w:val="both"/>
              <w:rPr>
                <w:sz w:val="20"/>
                <w:szCs w:val="20"/>
              </w:rPr>
            </w:pPr>
            <w:r>
              <w:rPr>
                <w:sz w:val="20"/>
                <w:szCs w:val="20"/>
              </w:rPr>
              <w:t>82</w:t>
            </w:r>
            <w:r w:rsidR="002378C7" w:rsidRPr="00861957">
              <w:rPr>
                <w:sz w:val="20"/>
                <w:szCs w:val="20"/>
              </w:rPr>
              <w:t>,0</w:t>
            </w:r>
            <w:r>
              <w:rPr>
                <w:sz w:val="20"/>
                <w:szCs w:val="20"/>
              </w:rPr>
              <w:t>00</w:t>
            </w:r>
            <w:r w:rsidR="002378C7" w:rsidRPr="00861957">
              <w:rPr>
                <w:sz w:val="20"/>
                <w:szCs w:val="20"/>
              </w:rPr>
              <w:t>,000</w:t>
            </w:r>
          </w:p>
        </w:tc>
      </w:tr>
      <w:tr w:rsidR="000476CB" w:rsidRPr="00861957" w14:paraId="5A0F69AD" w14:textId="77777777" w:rsidTr="007E2FE7">
        <w:tc>
          <w:tcPr>
            <w:tcW w:w="1936" w:type="dxa"/>
          </w:tcPr>
          <w:p w14:paraId="1273F96E" w14:textId="77777777" w:rsidR="000476CB" w:rsidRPr="00861957" w:rsidRDefault="00335D72" w:rsidP="00844B8A">
            <w:pPr>
              <w:jc w:val="both"/>
              <w:rPr>
                <w:sz w:val="20"/>
                <w:szCs w:val="20"/>
              </w:rPr>
            </w:pPr>
            <w:r w:rsidRPr="00861957">
              <w:rPr>
                <w:sz w:val="20"/>
                <w:szCs w:val="20"/>
              </w:rPr>
              <w:t>UNECE</w:t>
            </w:r>
          </w:p>
        </w:tc>
        <w:tc>
          <w:tcPr>
            <w:tcW w:w="2567" w:type="dxa"/>
          </w:tcPr>
          <w:p w14:paraId="0634A172" w14:textId="0FDC6EE4" w:rsidR="000476CB" w:rsidRPr="00861957" w:rsidRDefault="00CB7407" w:rsidP="00844B8A">
            <w:pPr>
              <w:jc w:val="both"/>
              <w:rPr>
                <w:sz w:val="20"/>
                <w:szCs w:val="20"/>
              </w:rPr>
            </w:pPr>
            <w:r>
              <w:rPr>
                <w:sz w:val="20"/>
                <w:szCs w:val="20"/>
                <w:lang w:val="ru-RU"/>
              </w:rPr>
              <w:t>200</w:t>
            </w:r>
            <w:r w:rsidR="00F153E7" w:rsidRPr="00861957">
              <w:rPr>
                <w:sz w:val="20"/>
                <w:szCs w:val="20"/>
              </w:rPr>
              <w:t>,000</w:t>
            </w:r>
          </w:p>
        </w:tc>
        <w:tc>
          <w:tcPr>
            <w:tcW w:w="3364" w:type="dxa"/>
          </w:tcPr>
          <w:p w14:paraId="2C223389" w14:textId="124A7BAF" w:rsidR="000476CB" w:rsidRPr="00861957" w:rsidRDefault="00CB7407" w:rsidP="000476CB">
            <w:pPr>
              <w:rPr>
                <w:sz w:val="20"/>
                <w:szCs w:val="20"/>
              </w:rPr>
            </w:pPr>
            <w:r>
              <w:rPr>
                <w:sz w:val="20"/>
                <w:szCs w:val="20"/>
                <w:lang w:val="ru-RU"/>
              </w:rPr>
              <w:t>485</w:t>
            </w:r>
            <w:r w:rsidR="00F153E7" w:rsidRPr="00861957">
              <w:rPr>
                <w:sz w:val="20"/>
                <w:szCs w:val="20"/>
              </w:rPr>
              <w:t>,000</w:t>
            </w:r>
          </w:p>
        </w:tc>
        <w:tc>
          <w:tcPr>
            <w:tcW w:w="2270" w:type="dxa"/>
          </w:tcPr>
          <w:p w14:paraId="371FCD30" w14:textId="77777777" w:rsidR="000476CB" w:rsidRPr="00861957" w:rsidRDefault="002378C7" w:rsidP="00844B8A">
            <w:pPr>
              <w:jc w:val="both"/>
              <w:rPr>
                <w:sz w:val="20"/>
                <w:szCs w:val="20"/>
              </w:rPr>
            </w:pPr>
            <w:r w:rsidRPr="00861957">
              <w:rPr>
                <w:sz w:val="20"/>
                <w:szCs w:val="20"/>
              </w:rPr>
              <w:t>685,000</w:t>
            </w:r>
          </w:p>
        </w:tc>
      </w:tr>
      <w:tr w:rsidR="00B42A6D" w:rsidRPr="00861957" w14:paraId="2C50C6F3" w14:textId="77777777" w:rsidTr="007E2FE7">
        <w:tc>
          <w:tcPr>
            <w:tcW w:w="1936" w:type="dxa"/>
          </w:tcPr>
          <w:p w14:paraId="1C55F761" w14:textId="77777777" w:rsidR="00B42A6D" w:rsidRPr="00861957" w:rsidRDefault="00335D72" w:rsidP="00844B8A">
            <w:pPr>
              <w:jc w:val="both"/>
              <w:rPr>
                <w:sz w:val="20"/>
                <w:szCs w:val="20"/>
              </w:rPr>
            </w:pPr>
            <w:r w:rsidRPr="00861957">
              <w:rPr>
                <w:sz w:val="20"/>
                <w:szCs w:val="20"/>
              </w:rPr>
              <w:t>UNEP</w:t>
            </w:r>
          </w:p>
        </w:tc>
        <w:tc>
          <w:tcPr>
            <w:tcW w:w="2567" w:type="dxa"/>
          </w:tcPr>
          <w:p w14:paraId="28FFFC70" w14:textId="77777777" w:rsidR="00B42A6D" w:rsidRPr="00861957" w:rsidRDefault="00B42A6D" w:rsidP="00844B8A">
            <w:pPr>
              <w:jc w:val="both"/>
              <w:rPr>
                <w:sz w:val="20"/>
                <w:szCs w:val="20"/>
              </w:rPr>
            </w:pPr>
          </w:p>
        </w:tc>
        <w:tc>
          <w:tcPr>
            <w:tcW w:w="3364" w:type="dxa"/>
          </w:tcPr>
          <w:p w14:paraId="7F841100" w14:textId="77777777" w:rsidR="00B42A6D" w:rsidRPr="00861957" w:rsidRDefault="00F153E7" w:rsidP="00844B8A">
            <w:pPr>
              <w:jc w:val="both"/>
              <w:rPr>
                <w:sz w:val="20"/>
                <w:szCs w:val="20"/>
              </w:rPr>
            </w:pPr>
            <w:r w:rsidRPr="00861957">
              <w:rPr>
                <w:sz w:val="20"/>
                <w:szCs w:val="20"/>
              </w:rPr>
              <w:t>1,500,000</w:t>
            </w:r>
          </w:p>
        </w:tc>
        <w:tc>
          <w:tcPr>
            <w:tcW w:w="2270" w:type="dxa"/>
          </w:tcPr>
          <w:p w14:paraId="088D35AC" w14:textId="77777777" w:rsidR="00B42A6D" w:rsidRPr="00861957" w:rsidRDefault="002378C7" w:rsidP="00844B8A">
            <w:pPr>
              <w:jc w:val="both"/>
              <w:rPr>
                <w:sz w:val="20"/>
                <w:szCs w:val="20"/>
              </w:rPr>
            </w:pPr>
            <w:r w:rsidRPr="00861957">
              <w:rPr>
                <w:sz w:val="20"/>
                <w:szCs w:val="20"/>
              </w:rPr>
              <w:t>1,500,000</w:t>
            </w:r>
          </w:p>
        </w:tc>
      </w:tr>
      <w:tr w:rsidR="000D4E86" w:rsidRPr="00861957" w14:paraId="768383D9" w14:textId="77777777" w:rsidTr="007E2FE7">
        <w:tc>
          <w:tcPr>
            <w:tcW w:w="1936" w:type="dxa"/>
          </w:tcPr>
          <w:p w14:paraId="31ED2C59" w14:textId="77777777" w:rsidR="000D4E86" w:rsidRPr="00861957" w:rsidRDefault="000D4E86" w:rsidP="00844B8A">
            <w:pPr>
              <w:jc w:val="both"/>
              <w:rPr>
                <w:sz w:val="20"/>
                <w:szCs w:val="20"/>
              </w:rPr>
            </w:pPr>
            <w:r w:rsidRPr="00861957">
              <w:rPr>
                <w:sz w:val="20"/>
                <w:szCs w:val="20"/>
              </w:rPr>
              <w:t>UNESCO</w:t>
            </w:r>
          </w:p>
        </w:tc>
        <w:tc>
          <w:tcPr>
            <w:tcW w:w="2567" w:type="dxa"/>
          </w:tcPr>
          <w:p w14:paraId="72CB2487" w14:textId="77777777" w:rsidR="000D4E86" w:rsidRPr="00861957" w:rsidRDefault="000D4E86" w:rsidP="00844B8A">
            <w:pPr>
              <w:jc w:val="both"/>
              <w:rPr>
                <w:sz w:val="20"/>
                <w:szCs w:val="20"/>
              </w:rPr>
            </w:pPr>
            <w:r w:rsidRPr="00861957">
              <w:rPr>
                <w:sz w:val="20"/>
                <w:szCs w:val="20"/>
              </w:rPr>
              <w:t>150,000</w:t>
            </w:r>
          </w:p>
        </w:tc>
        <w:tc>
          <w:tcPr>
            <w:tcW w:w="3364" w:type="dxa"/>
          </w:tcPr>
          <w:p w14:paraId="764532D8" w14:textId="77777777" w:rsidR="000D4E86" w:rsidRPr="00861957" w:rsidRDefault="000D4E86" w:rsidP="00844B8A">
            <w:pPr>
              <w:jc w:val="both"/>
              <w:rPr>
                <w:sz w:val="20"/>
                <w:szCs w:val="20"/>
              </w:rPr>
            </w:pPr>
            <w:r w:rsidRPr="00861957">
              <w:rPr>
                <w:sz w:val="20"/>
                <w:szCs w:val="20"/>
              </w:rPr>
              <w:t>100,000</w:t>
            </w:r>
          </w:p>
        </w:tc>
        <w:tc>
          <w:tcPr>
            <w:tcW w:w="2270" w:type="dxa"/>
          </w:tcPr>
          <w:p w14:paraId="57BC8692" w14:textId="77777777" w:rsidR="000D4E86" w:rsidRPr="00861957" w:rsidRDefault="000D4E86" w:rsidP="00844B8A">
            <w:pPr>
              <w:jc w:val="both"/>
              <w:rPr>
                <w:sz w:val="20"/>
                <w:szCs w:val="20"/>
              </w:rPr>
            </w:pPr>
            <w:r w:rsidRPr="00861957">
              <w:rPr>
                <w:sz w:val="20"/>
                <w:szCs w:val="20"/>
              </w:rPr>
              <w:t>250,000</w:t>
            </w:r>
          </w:p>
        </w:tc>
      </w:tr>
      <w:tr w:rsidR="00B42A6D" w:rsidRPr="00861957" w14:paraId="4FC55FB3" w14:textId="77777777" w:rsidTr="007E2FE7">
        <w:tc>
          <w:tcPr>
            <w:tcW w:w="1936" w:type="dxa"/>
          </w:tcPr>
          <w:p w14:paraId="2E6622DB" w14:textId="77777777" w:rsidR="00B42A6D" w:rsidRPr="00861957" w:rsidRDefault="00335D72" w:rsidP="00943AC6">
            <w:pPr>
              <w:jc w:val="both"/>
              <w:rPr>
                <w:sz w:val="20"/>
                <w:szCs w:val="20"/>
              </w:rPr>
            </w:pPr>
            <w:r w:rsidRPr="00861957">
              <w:rPr>
                <w:sz w:val="20"/>
                <w:szCs w:val="20"/>
              </w:rPr>
              <w:t>UNFPA</w:t>
            </w:r>
          </w:p>
        </w:tc>
        <w:tc>
          <w:tcPr>
            <w:tcW w:w="2567" w:type="dxa"/>
          </w:tcPr>
          <w:p w14:paraId="1F53EB2D" w14:textId="77777777" w:rsidR="00B42A6D" w:rsidRPr="00861957" w:rsidRDefault="00F153E7" w:rsidP="00943AC6">
            <w:pPr>
              <w:jc w:val="both"/>
              <w:rPr>
                <w:sz w:val="20"/>
                <w:szCs w:val="20"/>
              </w:rPr>
            </w:pPr>
            <w:r w:rsidRPr="00861957">
              <w:rPr>
                <w:sz w:val="20"/>
                <w:szCs w:val="20"/>
              </w:rPr>
              <w:t>1,990,000</w:t>
            </w:r>
          </w:p>
        </w:tc>
        <w:tc>
          <w:tcPr>
            <w:tcW w:w="3364" w:type="dxa"/>
          </w:tcPr>
          <w:p w14:paraId="7171D8FD" w14:textId="77777777" w:rsidR="00B42A6D" w:rsidRPr="00861957" w:rsidRDefault="00B0123C" w:rsidP="00943AC6">
            <w:pPr>
              <w:jc w:val="both"/>
              <w:rPr>
                <w:sz w:val="20"/>
                <w:szCs w:val="20"/>
              </w:rPr>
            </w:pPr>
            <w:r w:rsidRPr="00861957">
              <w:rPr>
                <w:sz w:val="20"/>
                <w:szCs w:val="20"/>
              </w:rPr>
              <w:t>1,16</w:t>
            </w:r>
            <w:r w:rsidR="00F153E7" w:rsidRPr="00861957">
              <w:rPr>
                <w:sz w:val="20"/>
                <w:szCs w:val="20"/>
              </w:rPr>
              <w:t>5,000</w:t>
            </w:r>
          </w:p>
        </w:tc>
        <w:tc>
          <w:tcPr>
            <w:tcW w:w="2270" w:type="dxa"/>
          </w:tcPr>
          <w:p w14:paraId="379E523A" w14:textId="77777777" w:rsidR="00B42A6D" w:rsidRPr="00861957" w:rsidRDefault="00B0123C" w:rsidP="001A28AF">
            <w:pPr>
              <w:jc w:val="both"/>
              <w:rPr>
                <w:sz w:val="20"/>
                <w:szCs w:val="20"/>
              </w:rPr>
            </w:pPr>
            <w:r w:rsidRPr="00861957">
              <w:rPr>
                <w:sz w:val="20"/>
                <w:szCs w:val="20"/>
              </w:rPr>
              <w:t>3,15</w:t>
            </w:r>
            <w:r w:rsidR="002378C7" w:rsidRPr="00861957">
              <w:rPr>
                <w:sz w:val="20"/>
                <w:szCs w:val="20"/>
              </w:rPr>
              <w:t>5,000</w:t>
            </w:r>
          </w:p>
        </w:tc>
      </w:tr>
      <w:tr w:rsidR="00B42A6D" w:rsidRPr="00861957" w14:paraId="3A4A4F3D" w14:textId="77777777" w:rsidTr="007E2FE7">
        <w:tc>
          <w:tcPr>
            <w:tcW w:w="1936" w:type="dxa"/>
          </w:tcPr>
          <w:p w14:paraId="61F52DB1" w14:textId="77777777" w:rsidR="00B42A6D" w:rsidRPr="00861957" w:rsidRDefault="00335D72" w:rsidP="00943AC6">
            <w:pPr>
              <w:jc w:val="both"/>
              <w:rPr>
                <w:sz w:val="20"/>
                <w:szCs w:val="20"/>
              </w:rPr>
            </w:pPr>
            <w:r w:rsidRPr="00861957">
              <w:rPr>
                <w:sz w:val="20"/>
                <w:szCs w:val="20"/>
              </w:rPr>
              <w:t>UNHCR</w:t>
            </w:r>
          </w:p>
        </w:tc>
        <w:tc>
          <w:tcPr>
            <w:tcW w:w="2567" w:type="dxa"/>
          </w:tcPr>
          <w:p w14:paraId="15E6CD13" w14:textId="77777777" w:rsidR="00B42A6D" w:rsidRPr="00861957" w:rsidRDefault="00F153E7" w:rsidP="00943AC6">
            <w:pPr>
              <w:jc w:val="both"/>
              <w:rPr>
                <w:sz w:val="20"/>
                <w:szCs w:val="20"/>
              </w:rPr>
            </w:pPr>
            <w:r w:rsidRPr="00861957">
              <w:rPr>
                <w:sz w:val="20"/>
                <w:szCs w:val="20"/>
              </w:rPr>
              <w:t>30,000</w:t>
            </w:r>
          </w:p>
        </w:tc>
        <w:tc>
          <w:tcPr>
            <w:tcW w:w="3364" w:type="dxa"/>
          </w:tcPr>
          <w:p w14:paraId="52560959" w14:textId="77777777" w:rsidR="00B42A6D" w:rsidRPr="00861957" w:rsidRDefault="00B42A6D" w:rsidP="00943AC6">
            <w:pPr>
              <w:jc w:val="both"/>
              <w:rPr>
                <w:sz w:val="20"/>
                <w:szCs w:val="20"/>
              </w:rPr>
            </w:pPr>
          </w:p>
        </w:tc>
        <w:tc>
          <w:tcPr>
            <w:tcW w:w="2270" w:type="dxa"/>
          </w:tcPr>
          <w:p w14:paraId="49B1850E" w14:textId="77777777" w:rsidR="00B42A6D" w:rsidRPr="00861957" w:rsidRDefault="002378C7" w:rsidP="00943AC6">
            <w:pPr>
              <w:jc w:val="both"/>
              <w:rPr>
                <w:sz w:val="20"/>
                <w:szCs w:val="20"/>
              </w:rPr>
            </w:pPr>
            <w:r w:rsidRPr="00861957">
              <w:rPr>
                <w:sz w:val="20"/>
                <w:szCs w:val="20"/>
              </w:rPr>
              <w:t>30,000</w:t>
            </w:r>
          </w:p>
        </w:tc>
      </w:tr>
      <w:tr w:rsidR="00BB6F9E" w:rsidRPr="00861957" w14:paraId="6A665A49" w14:textId="77777777" w:rsidTr="007E2FE7">
        <w:tc>
          <w:tcPr>
            <w:tcW w:w="1936" w:type="dxa"/>
          </w:tcPr>
          <w:p w14:paraId="4FCEB93E" w14:textId="77777777" w:rsidR="00BB6F9E" w:rsidRPr="00861957" w:rsidRDefault="00BB6F9E" w:rsidP="002E6787">
            <w:pPr>
              <w:jc w:val="both"/>
              <w:rPr>
                <w:color w:val="000000" w:themeColor="text1"/>
                <w:sz w:val="20"/>
                <w:szCs w:val="20"/>
              </w:rPr>
            </w:pPr>
            <w:r w:rsidRPr="00861957">
              <w:rPr>
                <w:color w:val="000000" w:themeColor="text1"/>
                <w:sz w:val="20"/>
                <w:szCs w:val="20"/>
              </w:rPr>
              <w:t>UNICEF</w:t>
            </w:r>
          </w:p>
        </w:tc>
        <w:tc>
          <w:tcPr>
            <w:tcW w:w="2567" w:type="dxa"/>
          </w:tcPr>
          <w:p w14:paraId="48A55072" w14:textId="77777777" w:rsidR="00BB6F9E" w:rsidRPr="00861957" w:rsidRDefault="00F153E7" w:rsidP="002E6787">
            <w:pPr>
              <w:jc w:val="both"/>
              <w:rPr>
                <w:color w:val="000000" w:themeColor="text1"/>
                <w:sz w:val="20"/>
                <w:szCs w:val="20"/>
              </w:rPr>
            </w:pPr>
            <w:r w:rsidRPr="00861957">
              <w:rPr>
                <w:color w:val="000000" w:themeColor="text1"/>
                <w:sz w:val="20"/>
                <w:szCs w:val="20"/>
              </w:rPr>
              <w:t>3,955,000</w:t>
            </w:r>
          </w:p>
        </w:tc>
        <w:tc>
          <w:tcPr>
            <w:tcW w:w="3364" w:type="dxa"/>
          </w:tcPr>
          <w:p w14:paraId="090C05DA" w14:textId="77777777" w:rsidR="00BB6F9E" w:rsidRPr="00861957" w:rsidRDefault="00F153E7" w:rsidP="002E6787">
            <w:pPr>
              <w:jc w:val="both"/>
              <w:rPr>
                <w:color w:val="000000" w:themeColor="text1"/>
                <w:sz w:val="20"/>
                <w:szCs w:val="20"/>
              </w:rPr>
            </w:pPr>
            <w:r w:rsidRPr="00861957">
              <w:rPr>
                <w:color w:val="000000" w:themeColor="text1"/>
                <w:sz w:val="20"/>
                <w:szCs w:val="20"/>
              </w:rPr>
              <w:t>4,850,000</w:t>
            </w:r>
          </w:p>
        </w:tc>
        <w:tc>
          <w:tcPr>
            <w:tcW w:w="2270" w:type="dxa"/>
          </w:tcPr>
          <w:p w14:paraId="2D4926E8" w14:textId="77777777" w:rsidR="00BB6F9E" w:rsidRPr="00861957" w:rsidRDefault="002378C7" w:rsidP="002E6787">
            <w:pPr>
              <w:jc w:val="both"/>
              <w:rPr>
                <w:color w:val="000000" w:themeColor="text1"/>
                <w:sz w:val="20"/>
                <w:szCs w:val="20"/>
              </w:rPr>
            </w:pPr>
            <w:r w:rsidRPr="00861957">
              <w:rPr>
                <w:color w:val="000000" w:themeColor="text1"/>
                <w:sz w:val="20"/>
                <w:szCs w:val="20"/>
              </w:rPr>
              <w:t>8,805,000</w:t>
            </w:r>
          </w:p>
        </w:tc>
      </w:tr>
      <w:tr w:rsidR="00F153E7" w:rsidRPr="00861957" w14:paraId="10DB07DD" w14:textId="77777777" w:rsidTr="007E2FE7">
        <w:tc>
          <w:tcPr>
            <w:tcW w:w="1936" w:type="dxa"/>
          </w:tcPr>
          <w:p w14:paraId="73A291B6" w14:textId="77777777" w:rsidR="00F153E7" w:rsidRPr="00861957" w:rsidRDefault="00F153E7" w:rsidP="002E6787">
            <w:pPr>
              <w:jc w:val="both"/>
              <w:rPr>
                <w:color w:val="000000" w:themeColor="text1"/>
                <w:sz w:val="20"/>
                <w:szCs w:val="20"/>
              </w:rPr>
            </w:pPr>
            <w:r w:rsidRPr="00861957">
              <w:rPr>
                <w:color w:val="000000" w:themeColor="text1"/>
                <w:sz w:val="20"/>
                <w:szCs w:val="20"/>
              </w:rPr>
              <w:t>UNIDO</w:t>
            </w:r>
          </w:p>
        </w:tc>
        <w:tc>
          <w:tcPr>
            <w:tcW w:w="2567" w:type="dxa"/>
          </w:tcPr>
          <w:p w14:paraId="3EBCE23C" w14:textId="77777777" w:rsidR="00F153E7" w:rsidRPr="00861957" w:rsidRDefault="00F153E7" w:rsidP="002E6787">
            <w:pPr>
              <w:jc w:val="both"/>
              <w:rPr>
                <w:color w:val="000000" w:themeColor="text1"/>
                <w:sz w:val="20"/>
                <w:szCs w:val="20"/>
              </w:rPr>
            </w:pPr>
          </w:p>
        </w:tc>
        <w:tc>
          <w:tcPr>
            <w:tcW w:w="3364" w:type="dxa"/>
          </w:tcPr>
          <w:p w14:paraId="6F400005" w14:textId="77777777" w:rsidR="00F153E7" w:rsidRPr="00861957" w:rsidRDefault="00F153E7" w:rsidP="002E6787">
            <w:pPr>
              <w:jc w:val="both"/>
              <w:rPr>
                <w:color w:val="000000" w:themeColor="text1"/>
                <w:sz w:val="20"/>
                <w:szCs w:val="20"/>
              </w:rPr>
            </w:pPr>
            <w:r w:rsidRPr="00861957">
              <w:rPr>
                <w:color w:val="000000" w:themeColor="text1"/>
                <w:sz w:val="20"/>
                <w:szCs w:val="20"/>
              </w:rPr>
              <w:t>3,993,000</w:t>
            </w:r>
          </w:p>
        </w:tc>
        <w:tc>
          <w:tcPr>
            <w:tcW w:w="2270" w:type="dxa"/>
          </w:tcPr>
          <w:p w14:paraId="054DB30F" w14:textId="77777777" w:rsidR="00F153E7" w:rsidRPr="00861957" w:rsidRDefault="002378C7" w:rsidP="002E6787">
            <w:pPr>
              <w:jc w:val="both"/>
              <w:rPr>
                <w:color w:val="000000" w:themeColor="text1"/>
                <w:sz w:val="20"/>
                <w:szCs w:val="20"/>
              </w:rPr>
            </w:pPr>
            <w:r w:rsidRPr="00861957">
              <w:rPr>
                <w:color w:val="000000" w:themeColor="text1"/>
                <w:sz w:val="20"/>
                <w:szCs w:val="20"/>
              </w:rPr>
              <w:t>3,993,000</w:t>
            </w:r>
          </w:p>
        </w:tc>
      </w:tr>
      <w:tr w:rsidR="00335D72" w:rsidRPr="00861957" w14:paraId="6E01FE03" w14:textId="77777777" w:rsidTr="007E2FE7">
        <w:tc>
          <w:tcPr>
            <w:tcW w:w="1936" w:type="dxa"/>
          </w:tcPr>
          <w:p w14:paraId="3DC972B7" w14:textId="77777777" w:rsidR="00335D72" w:rsidRPr="00861957" w:rsidRDefault="00335D72" w:rsidP="00943AC6">
            <w:pPr>
              <w:jc w:val="both"/>
              <w:rPr>
                <w:sz w:val="20"/>
                <w:szCs w:val="20"/>
              </w:rPr>
            </w:pPr>
            <w:r w:rsidRPr="00861957">
              <w:rPr>
                <w:sz w:val="20"/>
                <w:szCs w:val="20"/>
              </w:rPr>
              <w:t>UNODC</w:t>
            </w:r>
          </w:p>
        </w:tc>
        <w:tc>
          <w:tcPr>
            <w:tcW w:w="2567" w:type="dxa"/>
          </w:tcPr>
          <w:p w14:paraId="7442B09E" w14:textId="77777777" w:rsidR="00335D72" w:rsidRPr="00861957" w:rsidRDefault="00F153E7" w:rsidP="00943AC6">
            <w:pPr>
              <w:jc w:val="both"/>
              <w:rPr>
                <w:sz w:val="20"/>
                <w:szCs w:val="20"/>
              </w:rPr>
            </w:pPr>
            <w:r w:rsidRPr="00861957">
              <w:rPr>
                <w:sz w:val="20"/>
                <w:szCs w:val="20"/>
              </w:rPr>
              <w:t>450,000</w:t>
            </w:r>
          </w:p>
        </w:tc>
        <w:tc>
          <w:tcPr>
            <w:tcW w:w="3364" w:type="dxa"/>
          </w:tcPr>
          <w:p w14:paraId="3D7E8AF2" w14:textId="77777777" w:rsidR="00335D72" w:rsidRPr="00861957" w:rsidRDefault="00335D72" w:rsidP="00943AC6">
            <w:pPr>
              <w:jc w:val="both"/>
              <w:rPr>
                <w:sz w:val="20"/>
                <w:szCs w:val="20"/>
              </w:rPr>
            </w:pPr>
          </w:p>
        </w:tc>
        <w:tc>
          <w:tcPr>
            <w:tcW w:w="2270" w:type="dxa"/>
          </w:tcPr>
          <w:p w14:paraId="3AA52ED2" w14:textId="77777777" w:rsidR="00335D72" w:rsidRPr="00861957" w:rsidRDefault="002378C7" w:rsidP="00943AC6">
            <w:pPr>
              <w:jc w:val="both"/>
              <w:rPr>
                <w:sz w:val="20"/>
                <w:szCs w:val="20"/>
              </w:rPr>
            </w:pPr>
            <w:r w:rsidRPr="00861957">
              <w:rPr>
                <w:sz w:val="20"/>
                <w:szCs w:val="20"/>
              </w:rPr>
              <w:t>450,000</w:t>
            </w:r>
          </w:p>
        </w:tc>
      </w:tr>
      <w:tr w:rsidR="0071643B" w:rsidRPr="00861957" w14:paraId="26DB7424" w14:textId="77777777" w:rsidTr="007E2FE7">
        <w:tc>
          <w:tcPr>
            <w:tcW w:w="1936" w:type="dxa"/>
            <w:shd w:val="clear" w:color="auto" w:fill="auto"/>
          </w:tcPr>
          <w:p w14:paraId="13855CB4" w14:textId="4C035461" w:rsidR="0071643B" w:rsidRPr="0071643B" w:rsidRDefault="0071643B" w:rsidP="00943AC6">
            <w:pPr>
              <w:jc w:val="both"/>
              <w:rPr>
                <w:sz w:val="20"/>
                <w:szCs w:val="20"/>
                <w:lang w:val="en-US"/>
              </w:rPr>
            </w:pPr>
            <w:r>
              <w:rPr>
                <w:sz w:val="20"/>
                <w:szCs w:val="20"/>
                <w:lang w:val="en-US"/>
              </w:rPr>
              <w:t>UNWTO</w:t>
            </w:r>
          </w:p>
        </w:tc>
        <w:tc>
          <w:tcPr>
            <w:tcW w:w="2567" w:type="dxa"/>
            <w:shd w:val="clear" w:color="auto" w:fill="auto"/>
          </w:tcPr>
          <w:p w14:paraId="7E422932" w14:textId="77777777" w:rsidR="0071643B" w:rsidRPr="00861957" w:rsidRDefault="0071643B" w:rsidP="00943AC6">
            <w:pPr>
              <w:jc w:val="both"/>
              <w:rPr>
                <w:sz w:val="20"/>
                <w:szCs w:val="20"/>
              </w:rPr>
            </w:pPr>
          </w:p>
        </w:tc>
        <w:tc>
          <w:tcPr>
            <w:tcW w:w="3364" w:type="dxa"/>
            <w:shd w:val="clear" w:color="auto" w:fill="auto"/>
          </w:tcPr>
          <w:p w14:paraId="4B337220" w14:textId="4FC8D77A" w:rsidR="0071643B" w:rsidRPr="00C677A4" w:rsidRDefault="00406E7E" w:rsidP="00943AC6">
            <w:pPr>
              <w:jc w:val="both"/>
              <w:rPr>
                <w:sz w:val="20"/>
                <w:szCs w:val="20"/>
              </w:rPr>
            </w:pPr>
            <w:r w:rsidRPr="00C677A4">
              <w:rPr>
                <w:sz w:val="20"/>
                <w:szCs w:val="20"/>
                <w:lang w:val="ru-RU"/>
              </w:rPr>
              <w:t>10</w:t>
            </w:r>
            <w:r w:rsidR="0071643B" w:rsidRPr="00C677A4">
              <w:rPr>
                <w:sz w:val="20"/>
                <w:szCs w:val="20"/>
              </w:rPr>
              <w:t>0,000</w:t>
            </w:r>
          </w:p>
        </w:tc>
        <w:tc>
          <w:tcPr>
            <w:tcW w:w="2270" w:type="dxa"/>
            <w:shd w:val="clear" w:color="auto" w:fill="auto"/>
          </w:tcPr>
          <w:p w14:paraId="0FAE2559" w14:textId="7EACB84F" w:rsidR="0071643B" w:rsidRPr="00C677A4" w:rsidRDefault="00406E7E" w:rsidP="00943AC6">
            <w:pPr>
              <w:jc w:val="both"/>
              <w:rPr>
                <w:sz w:val="20"/>
                <w:szCs w:val="20"/>
              </w:rPr>
            </w:pPr>
            <w:r w:rsidRPr="00C677A4">
              <w:rPr>
                <w:sz w:val="20"/>
                <w:szCs w:val="20"/>
                <w:lang w:val="ru-RU"/>
              </w:rPr>
              <w:t>10</w:t>
            </w:r>
            <w:r w:rsidR="0071643B" w:rsidRPr="00C677A4">
              <w:rPr>
                <w:sz w:val="20"/>
                <w:szCs w:val="20"/>
              </w:rPr>
              <w:t>0,000</w:t>
            </w:r>
          </w:p>
        </w:tc>
      </w:tr>
      <w:tr w:rsidR="00335D72" w:rsidRPr="00861957" w14:paraId="7002BF63" w14:textId="77777777" w:rsidTr="007E2FE7">
        <w:tc>
          <w:tcPr>
            <w:tcW w:w="1936" w:type="dxa"/>
            <w:shd w:val="clear" w:color="auto" w:fill="auto"/>
          </w:tcPr>
          <w:p w14:paraId="5D7A9D1E" w14:textId="13862DF2" w:rsidR="00335D72" w:rsidRPr="00861957" w:rsidRDefault="00335D72" w:rsidP="00943AC6">
            <w:pPr>
              <w:jc w:val="both"/>
              <w:rPr>
                <w:sz w:val="20"/>
                <w:szCs w:val="20"/>
              </w:rPr>
            </w:pPr>
            <w:r w:rsidRPr="00861957">
              <w:rPr>
                <w:sz w:val="20"/>
                <w:szCs w:val="20"/>
              </w:rPr>
              <w:t>WHO</w:t>
            </w:r>
          </w:p>
        </w:tc>
        <w:tc>
          <w:tcPr>
            <w:tcW w:w="2567" w:type="dxa"/>
            <w:shd w:val="clear" w:color="auto" w:fill="auto"/>
          </w:tcPr>
          <w:p w14:paraId="43EA749F" w14:textId="7C9E7FFF" w:rsidR="00335D72" w:rsidRPr="00861957" w:rsidRDefault="00E919D0" w:rsidP="00943AC6">
            <w:pPr>
              <w:jc w:val="both"/>
              <w:rPr>
                <w:sz w:val="20"/>
                <w:szCs w:val="20"/>
              </w:rPr>
            </w:pPr>
            <w:r>
              <w:rPr>
                <w:sz w:val="20"/>
                <w:szCs w:val="20"/>
              </w:rPr>
              <w:t>1</w:t>
            </w:r>
            <w:r w:rsidR="00F153E7" w:rsidRPr="00861957">
              <w:rPr>
                <w:sz w:val="20"/>
                <w:szCs w:val="20"/>
              </w:rPr>
              <w:t>,105,000</w:t>
            </w:r>
          </w:p>
        </w:tc>
        <w:tc>
          <w:tcPr>
            <w:tcW w:w="3364" w:type="dxa"/>
            <w:shd w:val="clear" w:color="auto" w:fill="auto"/>
          </w:tcPr>
          <w:p w14:paraId="1488C0BF" w14:textId="67A15065" w:rsidR="00335D72" w:rsidRPr="00861957" w:rsidRDefault="00E919D0" w:rsidP="00943AC6">
            <w:pPr>
              <w:jc w:val="both"/>
              <w:rPr>
                <w:sz w:val="20"/>
                <w:szCs w:val="20"/>
              </w:rPr>
            </w:pPr>
            <w:r>
              <w:rPr>
                <w:sz w:val="20"/>
                <w:szCs w:val="20"/>
              </w:rPr>
              <w:t>2,000,000</w:t>
            </w:r>
          </w:p>
        </w:tc>
        <w:tc>
          <w:tcPr>
            <w:tcW w:w="2270" w:type="dxa"/>
            <w:shd w:val="clear" w:color="auto" w:fill="auto"/>
          </w:tcPr>
          <w:p w14:paraId="5D570FB7" w14:textId="77777777" w:rsidR="00335D72" w:rsidRPr="00861957" w:rsidRDefault="002378C7" w:rsidP="00943AC6">
            <w:pPr>
              <w:jc w:val="both"/>
              <w:rPr>
                <w:sz w:val="20"/>
                <w:szCs w:val="20"/>
              </w:rPr>
            </w:pPr>
            <w:r w:rsidRPr="00861957">
              <w:rPr>
                <w:sz w:val="20"/>
                <w:szCs w:val="20"/>
              </w:rPr>
              <w:t>3,105,000</w:t>
            </w:r>
          </w:p>
        </w:tc>
      </w:tr>
      <w:tr w:rsidR="007E2FE7" w:rsidRPr="00861957" w14:paraId="1220C0F7" w14:textId="77777777" w:rsidTr="007E2FE7">
        <w:tc>
          <w:tcPr>
            <w:tcW w:w="1936" w:type="dxa"/>
            <w:shd w:val="clear" w:color="auto" w:fill="auto"/>
          </w:tcPr>
          <w:p w14:paraId="0879642D" w14:textId="78D45A48" w:rsidR="007E2FE7" w:rsidRPr="00861957" w:rsidRDefault="007E2FE7" w:rsidP="00943AC6">
            <w:pPr>
              <w:jc w:val="both"/>
              <w:rPr>
                <w:sz w:val="20"/>
                <w:szCs w:val="20"/>
              </w:rPr>
            </w:pPr>
            <w:r>
              <w:rPr>
                <w:sz w:val="20"/>
                <w:szCs w:val="20"/>
              </w:rPr>
              <w:t>Joint UNCT</w:t>
            </w:r>
          </w:p>
        </w:tc>
        <w:tc>
          <w:tcPr>
            <w:tcW w:w="2567" w:type="dxa"/>
            <w:shd w:val="clear" w:color="auto" w:fill="auto"/>
          </w:tcPr>
          <w:p w14:paraId="3404D1BD" w14:textId="77777777" w:rsidR="007E2FE7" w:rsidRDefault="007E2FE7" w:rsidP="00943AC6">
            <w:pPr>
              <w:jc w:val="both"/>
              <w:rPr>
                <w:sz w:val="20"/>
                <w:szCs w:val="20"/>
              </w:rPr>
            </w:pPr>
          </w:p>
        </w:tc>
        <w:tc>
          <w:tcPr>
            <w:tcW w:w="3364" w:type="dxa"/>
            <w:shd w:val="clear" w:color="auto" w:fill="auto"/>
          </w:tcPr>
          <w:p w14:paraId="37EF0CC3" w14:textId="0598717F" w:rsidR="007E2FE7" w:rsidRDefault="007E2FE7" w:rsidP="00943AC6">
            <w:pPr>
              <w:jc w:val="both"/>
              <w:rPr>
                <w:sz w:val="20"/>
                <w:szCs w:val="20"/>
              </w:rPr>
            </w:pPr>
            <w:r>
              <w:rPr>
                <w:sz w:val="20"/>
                <w:szCs w:val="20"/>
              </w:rPr>
              <w:t>720,000</w:t>
            </w:r>
          </w:p>
        </w:tc>
        <w:tc>
          <w:tcPr>
            <w:tcW w:w="2270" w:type="dxa"/>
            <w:shd w:val="clear" w:color="auto" w:fill="auto"/>
          </w:tcPr>
          <w:p w14:paraId="68C96B28" w14:textId="3D67A3B1" w:rsidR="007E2FE7" w:rsidRPr="00861957" w:rsidRDefault="007E2FE7" w:rsidP="00943AC6">
            <w:pPr>
              <w:jc w:val="both"/>
              <w:rPr>
                <w:sz w:val="20"/>
                <w:szCs w:val="20"/>
              </w:rPr>
            </w:pPr>
            <w:r>
              <w:rPr>
                <w:sz w:val="20"/>
                <w:szCs w:val="20"/>
              </w:rPr>
              <w:t>720,000</w:t>
            </w:r>
          </w:p>
        </w:tc>
      </w:tr>
    </w:tbl>
    <w:p w14:paraId="347525FD" w14:textId="07096DBD" w:rsidR="00B51193" w:rsidRPr="00861957" w:rsidRDefault="00B51193" w:rsidP="00B83DB3">
      <w:pPr>
        <w:jc w:val="both"/>
      </w:pPr>
      <w:r w:rsidRPr="00861957">
        <w:br/>
      </w:r>
      <w:r w:rsidR="00CA0D3E" w:rsidRPr="00861957">
        <w:t>These are tentative</w:t>
      </w:r>
      <w:r w:rsidR="00C451A3">
        <w:t>ly</w:t>
      </w:r>
      <w:r w:rsidR="00CA0D3E" w:rsidRPr="00861957">
        <w:t xml:space="preserve"> estimated amounts, and actual amounts will depend on the availability of </w:t>
      </w:r>
      <w:r w:rsidR="00E44AE9" w:rsidRPr="00861957">
        <w:t xml:space="preserve">the resources of </w:t>
      </w:r>
      <w:r w:rsidR="00CA0D3E" w:rsidRPr="00861957">
        <w:t>UN system agencies, donor support and the success of resource mobili</w:t>
      </w:r>
      <w:r w:rsidR="000F002C" w:rsidRPr="00861957">
        <w:t>za</w:t>
      </w:r>
      <w:r w:rsidR="00CA0D3E" w:rsidRPr="00861957">
        <w:t>tion. Resource commitments are made only in agency programme/project documents, according to the procedures and approval mechanisms of each agency.</w:t>
      </w:r>
      <w:r w:rsidRPr="00861957">
        <w:t xml:space="preserve"> </w:t>
      </w:r>
    </w:p>
    <w:p w14:paraId="0D3F197B" w14:textId="77777777" w:rsidR="00B51193" w:rsidRPr="00861957" w:rsidRDefault="00B51193" w:rsidP="00B83DB3">
      <w:pPr>
        <w:jc w:val="both"/>
      </w:pPr>
    </w:p>
    <w:p w14:paraId="48C12A7F" w14:textId="773E255B" w:rsidR="00B636B5" w:rsidRDefault="00B51193" w:rsidP="00B83DB3">
      <w:pPr>
        <w:jc w:val="both"/>
      </w:pPr>
      <w:r w:rsidRPr="00861957">
        <w:t>The</w:t>
      </w:r>
      <w:r w:rsidR="000906D9" w:rsidRPr="00861957">
        <w:t xml:space="preserve"> amount of financial assistance that the UN system can allocate to a</w:t>
      </w:r>
      <w:r w:rsidR="00D51682" w:rsidRPr="00861957">
        <w:t>n upper</w:t>
      </w:r>
      <w:r w:rsidR="000906D9" w:rsidRPr="00861957">
        <w:t xml:space="preserve"> middle-income country </w:t>
      </w:r>
      <w:r w:rsidR="00E44AE9" w:rsidRPr="00861957">
        <w:t xml:space="preserve">such as </w:t>
      </w:r>
      <w:r w:rsidR="000906D9" w:rsidRPr="00861957">
        <w:t xml:space="preserve">Belarus is expected to be limited. Therefore, the UN </w:t>
      </w:r>
      <w:r w:rsidR="00D51682" w:rsidRPr="00861957">
        <w:t xml:space="preserve">agencies </w:t>
      </w:r>
      <w:r w:rsidRPr="00861957">
        <w:t>will</w:t>
      </w:r>
      <w:r w:rsidR="000906D9" w:rsidRPr="00861957">
        <w:t xml:space="preserve"> focus on</w:t>
      </w:r>
      <w:r w:rsidR="00E44AE9" w:rsidRPr="00861957">
        <w:t>:</w:t>
      </w:r>
      <w:r w:rsidR="000906D9" w:rsidRPr="00861957">
        <w:t xml:space="preserve"> </w:t>
      </w:r>
      <w:r w:rsidRPr="00861957">
        <w:t xml:space="preserve">using </w:t>
      </w:r>
      <w:r w:rsidR="00D51682" w:rsidRPr="00861957">
        <w:t>their</w:t>
      </w:r>
      <w:r w:rsidR="000906D9" w:rsidRPr="00861957">
        <w:t xml:space="preserve"> comparative advantages</w:t>
      </w:r>
      <w:r w:rsidR="00E44AE9" w:rsidRPr="00861957">
        <w:t>;</w:t>
      </w:r>
      <w:r w:rsidRPr="00861957">
        <w:t xml:space="preserve"> </w:t>
      </w:r>
      <w:r w:rsidR="00D51682" w:rsidRPr="00861957">
        <w:t>preparing joint funding proposals</w:t>
      </w:r>
      <w:r w:rsidR="00E44AE9" w:rsidRPr="00861957">
        <w:t>;</w:t>
      </w:r>
      <w:r w:rsidR="00D51682" w:rsidRPr="00861957">
        <w:t xml:space="preserve"> </w:t>
      </w:r>
      <w:r w:rsidRPr="00861957">
        <w:t xml:space="preserve">ensuring </w:t>
      </w:r>
      <w:r w:rsidR="000906D9" w:rsidRPr="00861957">
        <w:t>a broad-based partnership with donors</w:t>
      </w:r>
      <w:r w:rsidR="00E44AE9" w:rsidRPr="00861957">
        <w:t>;</w:t>
      </w:r>
      <w:r w:rsidR="000906D9" w:rsidRPr="00861957">
        <w:t xml:space="preserve"> and </w:t>
      </w:r>
      <w:r w:rsidRPr="00861957">
        <w:t>mobili</w:t>
      </w:r>
      <w:r w:rsidR="000F002C" w:rsidRPr="00861957">
        <w:t>z</w:t>
      </w:r>
      <w:r w:rsidRPr="00861957">
        <w:t>ing</w:t>
      </w:r>
      <w:r w:rsidR="000906D9" w:rsidRPr="00861957">
        <w:t xml:space="preserve"> resources from third-party cost-sharing, </w:t>
      </w:r>
      <w:r w:rsidR="002256FD" w:rsidRPr="00861957">
        <w:t>global trust funds, foundations and</w:t>
      </w:r>
      <w:r w:rsidR="000906D9" w:rsidRPr="00861957">
        <w:t xml:space="preserve"> private sector enterprises. In this regard, </w:t>
      </w:r>
      <w:r w:rsidR="009E555E" w:rsidRPr="00861957">
        <w:t xml:space="preserve">substantive cooperation with foreign embassies, donor consultations, </w:t>
      </w:r>
      <w:r w:rsidR="000906D9" w:rsidRPr="00861957">
        <w:t xml:space="preserve">the International Development Partners Conference in January 2015 and recent fundraising trips </w:t>
      </w:r>
      <w:r w:rsidR="00E44AE9" w:rsidRPr="00861957">
        <w:t>by</w:t>
      </w:r>
      <w:r w:rsidR="000906D9" w:rsidRPr="00861957">
        <w:t xml:space="preserve"> the RC and the </w:t>
      </w:r>
      <w:r w:rsidR="00D51682" w:rsidRPr="00861957">
        <w:t xml:space="preserve">UNDP </w:t>
      </w:r>
      <w:r w:rsidR="000906D9" w:rsidRPr="00861957">
        <w:t xml:space="preserve">DRR to the Nordic countries and Russia in </w:t>
      </w:r>
      <w:r w:rsidRPr="00861957">
        <w:t>August-</w:t>
      </w:r>
      <w:r w:rsidR="000906D9" w:rsidRPr="00861957">
        <w:t xml:space="preserve">September 2014 </w:t>
      </w:r>
      <w:r w:rsidR="006B11D7" w:rsidRPr="00861957">
        <w:t>represent</w:t>
      </w:r>
      <w:r w:rsidR="000906D9" w:rsidRPr="00861957">
        <w:t xml:space="preserve"> </w:t>
      </w:r>
      <w:r w:rsidR="006B11D7" w:rsidRPr="00861957">
        <w:t>excellent</w:t>
      </w:r>
      <w:r w:rsidR="000906D9" w:rsidRPr="00861957">
        <w:t xml:space="preserve"> examples to follow.</w:t>
      </w:r>
    </w:p>
    <w:p w14:paraId="102B10FA" w14:textId="5F36F8A5" w:rsidR="0028289B" w:rsidRDefault="0028289B">
      <w:r>
        <w:br w:type="page"/>
      </w:r>
    </w:p>
    <w:p w14:paraId="3588276C" w14:textId="31399A4C" w:rsidR="006D5E77" w:rsidRPr="00861957" w:rsidRDefault="006D5E77" w:rsidP="00F558D0">
      <w:pPr>
        <w:pStyle w:val="Heading1"/>
        <w:numPr>
          <w:ilvl w:val="0"/>
          <w:numId w:val="6"/>
        </w:numPr>
        <w:rPr>
          <w:rFonts w:ascii="Times New Roman" w:hAnsi="Times New Roman" w:cs="Times New Roman"/>
          <w:color w:val="548DD4" w:themeColor="text2" w:themeTint="99"/>
          <w:sz w:val="36"/>
          <w:szCs w:val="36"/>
        </w:rPr>
      </w:pPr>
      <w:bookmarkStart w:id="27" w:name="_Toc405745118"/>
      <w:bookmarkStart w:id="28" w:name="_Toc412921079"/>
      <w:r w:rsidRPr="00861957">
        <w:rPr>
          <w:rFonts w:ascii="Times New Roman" w:hAnsi="Times New Roman" w:cs="Times New Roman"/>
          <w:color w:val="548DD4" w:themeColor="text2" w:themeTint="99"/>
          <w:sz w:val="36"/>
          <w:szCs w:val="36"/>
        </w:rPr>
        <w:lastRenderedPageBreak/>
        <w:t>Implementation and Coordination Arrangements</w:t>
      </w:r>
      <w:bookmarkEnd w:id="27"/>
      <w:bookmarkEnd w:id="28"/>
    </w:p>
    <w:p w14:paraId="435D398B" w14:textId="77777777" w:rsidR="006D5E77" w:rsidRPr="00861957" w:rsidRDefault="006D5E77" w:rsidP="00B83DB3">
      <w:pPr>
        <w:jc w:val="both"/>
        <w:rPr>
          <w:b/>
        </w:rPr>
      </w:pPr>
    </w:p>
    <w:p w14:paraId="6A756522" w14:textId="03FE00EC" w:rsidR="00B636B5" w:rsidRPr="00861957" w:rsidRDefault="00B636B5" w:rsidP="00B636B5">
      <w:pPr>
        <w:jc w:val="both"/>
      </w:pPr>
      <w:r w:rsidRPr="00861957">
        <w:t xml:space="preserve">Following </w:t>
      </w:r>
      <w:r w:rsidR="00E44AE9" w:rsidRPr="00861957">
        <w:t xml:space="preserve">the </w:t>
      </w:r>
      <w:r w:rsidRPr="00861957">
        <w:t xml:space="preserve">finalization and </w:t>
      </w:r>
      <w:r w:rsidR="00E44AE9" w:rsidRPr="00861957">
        <w:t xml:space="preserve">approval </w:t>
      </w:r>
      <w:r w:rsidRPr="00861957">
        <w:t>of the UNDAF 2016-2020, a joint UNCT work plan will be developed and put into implementation. The UNDAF 2016-2020 will be implemented through the country cooperation frameworks and programmes of individual UN agencies, as agreed upon with the Government and within the UNDAF context. UNDAF outcomes and priorities will be reflected in individual country pr</w:t>
      </w:r>
      <w:r w:rsidR="000A4365" w:rsidRPr="00861957">
        <w:t xml:space="preserve">ogrammes and project documents. </w:t>
      </w:r>
      <w:r w:rsidR="00BF324E" w:rsidRPr="00861957">
        <w:t>The s</w:t>
      </w:r>
      <w:r w:rsidRPr="00861957">
        <w:t>election and definition of individual agencies’ goals, outcomes, indicators and strategies will be consistent with the UNDAF.</w:t>
      </w:r>
    </w:p>
    <w:p w14:paraId="34B5A8D0" w14:textId="77777777" w:rsidR="009A2CBF" w:rsidRPr="00861957" w:rsidRDefault="009A2CBF" w:rsidP="00B636B5">
      <w:pPr>
        <w:jc w:val="both"/>
      </w:pPr>
    </w:p>
    <w:p w14:paraId="3819F6C6" w14:textId="60CA16AF" w:rsidR="000A4365" w:rsidRPr="00861957" w:rsidRDefault="009A2CBF" w:rsidP="00B83DB3">
      <w:pPr>
        <w:jc w:val="both"/>
      </w:pPr>
      <w:r w:rsidRPr="00861957">
        <w:t>Heads of Agencies will be responsible for the appropriate and effective use of resources with which they</w:t>
      </w:r>
      <w:r w:rsidR="00BF324E" w:rsidRPr="00861957">
        <w:t xml:space="preserve"> are</w:t>
      </w:r>
      <w:r w:rsidRPr="00861957">
        <w:t xml:space="preserve"> entrusted. The Government will be accountable for the effectiveness of overall implementation and </w:t>
      </w:r>
      <w:r w:rsidR="00BF324E" w:rsidRPr="00861957">
        <w:t xml:space="preserve">the achievement of </w:t>
      </w:r>
      <w:r w:rsidRPr="00861957">
        <w:t>results.</w:t>
      </w:r>
      <w:r w:rsidR="00223F9A" w:rsidRPr="00861957">
        <w:t xml:space="preserve"> </w:t>
      </w:r>
      <w:r w:rsidR="000A4365" w:rsidRPr="00861957">
        <w:t>A joint inter-agency working group will facilitate the implementation and monitoring of cooperation within the UNDAF</w:t>
      </w:r>
      <w:r w:rsidR="00286BAE" w:rsidRPr="00861957">
        <w:t>, and collaboration with non-resident agencies will be improved</w:t>
      </w:r>
      <w:r w:rsidR="000A4365" w:rsidRPr="00861957">
        <w:t>. The UN agencies will apply every effort to maximize their synergies towards tackling identified cross-cutting issues through joint programmes and projects, and UN inter-agency thematic groups will be revived and supported by</w:t>
      </w:r>
      <w:r w:rsidR="00FE7161" w:rsidRPr="00861957">
        <w:t xml:space="preserve"> the</w:t>
      </w:r>
      <w:r w:rsidR="000A4365" w:rsidRPr="00861957">
        <w:t xml:space="preserve"> RCO.</w:t>
      </w:r>
      <w:r w:rsidR="00FC782D" w:rsidRPr="00861957">
        <w:t xml:space="preserve"> In addition, UN agencies plan to create results groups</w:t>
      </w:r>
      <w:r w:rsidR="00470795" w:rsidRPr="00861957">
        <w:t xml:space="preserve"> that will monitor the outcomes contained herein</w:t>
      </w:r>
      <w:r w:rsidR="00FC782D" w:rsidRPr="00861957">
        <w:t xml:space="preserve"> to ensure more effective implementation of the UNDAF in line with the UNDG Standard Operating Procedures (SOPs).</w:t>
      </w:r>
    </w:p>
    <w:p w14:paraId="571CE125" w14:textId="77777777" w:rsidR="000A4365" w:rsidRPr="00861957" w:rsidRDefault="000A4365" w:rsidP="00B83DB3">
      <w:pPr>
        <w:jc w:val="both"/>
      </w:pPr>
    </w:p>
    <w:p w14:paraId="09F632C5" w14:textId="499EBE8C" w:rsidR="00B636B5" w:rsidRPr="00861957" w:rsidRDefault="000A4365" w:rsidP="00C451A3">
      <w:pPr>
        <w:jc w:val="both"/>
      </w:pPr>
      <w:r w:rsidRPr="00861957">
        <w:t xml:space="preserve">Throughout the </w:t>
      </w:r>
      <w:r w:rsidR="00FE7161" w:rsidRPr="00861957">
        <w:t xml:space="preserve">implementation of the </w:t>
      </w:r>
      <w:r w:rsidRPr="00861957">
        <w:t xml:space="preserve">UNDAF, the United Nations will seek to develop </w:t>
      </w:r>
      <w:r w:rsidR="00286BAE" w:rsidRPr="00861957">
        <w:t>links</w:t>
      </w:r>
      <w:r w:rsidR="00FE7161" w:rsidRPr="00861957">
        <w:t xml:space="preserve"> and</w:t>
      </w:r>
      <w:r w:rsidR="00286BAE" w:rsidRPr="00861957">
        <w:t xml:space="preserve"> </w:t>
      </w:r>
      <w:r w:rsidR="00FE7161" w:rsidRPr="00861957">
        <w:t xml:space="preserve">foster </w:t>
      </w:r>
      <w:r w:rsidRPr="00861957">
        <w:t xml:space="preserve">inclusive dialogue and effective partnerships with the Government, </w:t>
      </w:r>
      <w:r w:rsidR="00C451A3">
        <w:t>international development partners</w:t>
      </w:r>
      <w:r w:rsidRPr="00861957">
        <w:t>, civil society and private sector, including through the development, adoption and implementation of speciali</w:t>
      </w:r>
      <w:r w:rsidR="000F002C" w:rsidRPr="00861957">
        <w:t>z</w:t>
      </w:r>
      <w:r w:rsidRPr="00861957">
        <w:t xml:space="preserve">ed strategies </w:t>
      </w:r>
      <w:r w:rsidR="00FE7161" w:rsidRPr="00861957">
        <w:t>for</w:t>
      </w:r>
      <w:r w:rsidRPr="00861957">
        <w:t xml:space="preserve"> cooperati</w:t>
      </w:r>
      <w:r w:rsidR="00FE7161" w:rsidRPr="00861957">
        <w:t>ng</w:t>
      </w:r>
      <w:r w:rsidRPr="00861957">
        <w:t xml:space="preserve"> with various national partners.</w:t>
      </w:r>
      <w:r w:rsidR="00286BAE" w:rsidRPr="00861957">
        <w:t xml:space="preserve"> The United Nations in Belarus will increase its efforts </w:t>
      </w:r>
      <w:r w:rsidR="00FE7161" w:rsidRPr="00861957">
        <w:t>to</w:t>
      </w:r>
      <w:r w:rsidR="00286BAE" w:rsidRPr="00861957">
        <w:t xml:space="preserve"> involv</w:t>
      </w:r>
      <w:r w:rsidR="00FE7161" w:rsidRPr="00861957">
        <w:t>e</w:t>
      </w:r>
      <w:r w:rsidR="00286BAE" w:rsidRPr="00861957">
        <w:t xml:space="preserve"> the most vulnerable groups </w:t>
      </w:r>
      <w:r w:rsidR="00C451A3">
        <w:t>of the</w:t>
      </w:r>
      <w:r w:rsidR="00C451A3" w:rsidRPr="00861957">
        <w:t xml:space="preserve"> </w:t>
      </w:r>
      <w:r w:rsidR="00286BAE" w:rsidRPr="00861957">
        <w:t xml:space="preserve">Belarusian society in the </w:t>
      </w:r>
      <w:r w:rsidR="00FE7161" w:rsidRPr="00861957">
        <w:t xml:space="preserve">implementation and oversight of the </w:t>
      </w:r>
      <w:r w:rsidR="00286BAE" w:rsidRPr="00861957">
        <w:t xml:space="preserve">UNDAF through special advisory councils. </w:t>
      </w:r>
      <w:r w:rsidR="00FE7161" w:rsidRPr="00861957">
        <w:t xml:space="preserve">For </w:t>
      </w:r>
      <w:r w:rsidR="00286BAE" w:rsidRPr="00861957">
        <w:t>example,</w:t>
      </w:r>
      <w:r w:rsidR="00FE7161" w:rsidRPr="00861957">
        <w:t xml:space="preserve"> a</w:t>
      </w:r>
      <w:r w:rsidR="00286BAE" w:rsidRPr="00861957">
        <w:t xml:space="preserve"> Joint Inter-Agency Action Plan on Youth and </w:t>
      </w:r>
      <w:r w:rsidR="00FE7161" w:rsidRPr="00861957">
        <w:t xml:space="preserve">a </w:t>
      </w:r>
      <w:r w:rsidR="00C451A3">
        <w:t xml:space="preserve">UN </w:t>
      </w:r>
      <w:r w:rsidR="00286BAE" w:rsidRPr="00861957">
        <w:t xml:space="preserve">Youth Advisory Panel are expected to be established in line with </w:t>
      </w:r>
      <w:r w:rsidR="00B12877" w:rsidRPr="00861957">
        <w:t xml:space="preserve">the recommendations of </w:t>
      </w:r>
      <w:r w:rsidR="00286BAE" w:rsidRPr="00861957">
        <w:t>the UN Global Action Plan on Youth in 2015.</w:t>
      </w:r>
    </w:p>
    <w:p w14:paraId="45065960" w14:textId="77777777" w:rsidR="00AB4775" w:rsidRPr="00861957" w:rsidRDefault="00AB4775" w:rsidP="00B83DB3">
      <w:pPr>
        <w:jc w:val="both"/>
      </w:pPr>
    </w:p>
    <w:p w14:paraId="1F9F9F5A" w14:textId="5DFC688C" w:rsidR="00F23194" w:rsidRPr="00861957" w:rsidRDefault="00F23194" w:rsidP="007D1467">
      <w:pPr>
        <w:jc w:val="both"/>
      </w:pPr>
      <w:r w:rsidRPr="00861957">
        <w:t xml:space="preserve">The principles of greater coherence </w:t>
      </w:r>
      <w:r w:rsidR="00FE7161" w:rsidRPr="00861957">
        <w:t>within</w:t>
      </w:r>
      <w:r w:rsidRPr="00861957">
        <w:t xml:space="preserve"> the UNCT, cost efficiency, </w:t>
      </w:r>
      <w:r w:rsidR="00AB4775" w:rsidRPr="00861957">
        <w:t xml:space="preserve">increased </w:t>
      </w:r>
      <w:r w:rsidRPr="00861957">
        <w:t>accountability and transparency</w:t>
      </w:r>
      <w:r w:rsidR="00FE7161" w:rsidRPr="00861957">
        <w:t>,</w:t>
      </w:r>
      <w:r w:rsidRPr="00861957">
        <w:t xml:space="preserve"> as well as </w:t>
      </w:r>
      <w:r w:rsidR="00FE7161" w:rsidRPr="00861957">
        <w:t xml:space="preserve">the </w:t>
      </w:r>
      <w:r w:rsidRPr="00861957">
        <w:t xml:space="preserve">five </w:t>
      </w:r>
      <w:r w:rsidR="00233303" w:rsidRPr="00861957">
        <w:t>key</w:t>
      </w:r>
      <w:r w:rsidRPr="00861957">
        <w:t xml:space="preserve"> programming principles (HRBA, gender equality, </w:t>
      </w:r>
      <w:r w:rsidR="00656ADF" w:rsidRPr="00861957">
        <w:t>environmental sustainability, results-based management and capacity development)</w:t>
      </w:r>
      <w:r w:rsidRPr="00861957">
        <w:t xml:space="preserve"> will be mainstreamed</w:t>
      </w:r>
      <w:r w:rsidR="00656ADF" w:rsidRPr="00861957">
        <w:t xml:space="preserve"> in the</w:t>
      </w:r>
      <w:r w:rsidR="00F706D0" w:rsidRPr="00861957">
        <w:t xml:space="preserve"> </w:t>
      </w:r>
      <w:r w:rsidR="00FE7161" w:rsidRPr="00861957">
        <w:t xml:space="preserve">implementation of the </w:t>
      </w:r>
      <w:r w:rsidR="00F706D0" w:rsidRPr="00861957">
        <w:t>UNDAF 2016-2020 and the work of all UN agencies.</w:t>
      </w:r>
    </w:p>
    <w:p w14:paraId="49B1139D" w14:textId="581B89C0" w:rsidR="006D5E77" w:rsidRPr="00861957" w:rsidRDefault="003A3370" w:rsidP="00F558D0">
      <w:pPr>
        <w:pStyle w:val="Heading1"/>
        <w:numPr>
          <w:ilvl w:val="0"/>
          <w:numId w:val="6"/>
        </w:numPr>
        <w:rPr>
          <w:rFonts w:ascii="Times New Roman" w:hAnsi="Times New Roman" w:cs="Times New Roman"/>
          <w:color w:val="548DD4" w:themeColor="text2" w:themeTint="99"/>
          <w:sz w:val="36"/>
          <w:szCs w:val="36"/>
        </w:rPr>
      </w:pPr>
      <w:bookmarkStart w:id="29" w:name="_Toc405745119"/>
      <w:bookmarkStart w:id="30" w:name="_Toc412921080"/>
      <w:r w:rsidRPr="00861957">
        <w:rPr>
          <w:rFonts w:ascii="Times New Roman" w:hAnsi="Times New Roman" w:cs="Times New Roman"/>
          <w:color w:val="548DD4" w:themeColor="text2" w:themeTint="99"/>
          <w:sz w:val="36"/>
          <w:szCs w:val="36"/>
        </w:rPr>
        <w:t>Monitoring and Evaluation Process</w:t>
      </w:r>
      <w:bookmarkEnd w:id="29"/>
      <w:bookmarkEnd w:id="30"/>
    </w:p>
    <w:p w14:paraId="294A58A9" w14:textId="77777777" w:rsidR="006D5E77" w:rsidRPr="00861957" w:rsidRDefault="006D5E77" w:rsidP="006D5E77">
      <w:pPr>
        <w:jc w:val="both"/>
        <w:rPr>
          <w:b/>
        </w:rPr>
      </w:pPr>
    </w:p>
    <w:p w14:paraId="24381114" w14:textId="359404E8" w:rsidR="002769A5" w:rsidRPr="00861957" w:rsidRDefault="002769A5" w:rsidP="00B83DB3">
      <w:pPr>
        <w:jc w:val="both"/>
      </w:pPr>
      <w:r w:rsidRPr="00861957">
        <w:t xml:space="preserve">To provide continuous monitoring and evaluation </w:t>
      </w:r>
      <w:r w:rsidR="00EA0C08" w:rsidRPr="00861957">
        <w:t xml:space="preserve">of </w:t>
      </w:r>
      <w:r w:rsidRPr="00861957">
        <w:t xml:space="preserve">the UNDAF outcomes, the UNCT </w:t>
      </w:r>
      <w:r w:rsidR="00EA0C08" w:rsidRPr="00861957">
        <w:t xml:space="preserve">has </w:t>
      </w:r>
      <w:r w:rsidRPr="00861957">
        <w:t>established a comprehensive Monitoring and Evaluation (M&amp;E) Framework with verifiable indicators, baselines and targets</w:t>
      </w:r>
      <w:r w:rsidR="00EA0C08" w:rsidRPr="00861957">
        <w:t>.</w:t>
      </w:r>
      <w:r w:rsidRPr="00861957">
        <w:t xml:space="preserve"> </w:t>
      </w:r>
      <w:r w:rsidR="00EA0C08" w:rsidRPr="00861957">
        <w:t xml:space="preserve">These were </w:t>
      </w:r>
      <w:r w:rsidRPr="00861957">
        <w:t xml:space="preserve">developed as a result of productive consultations in four UNDAF Working Groups in July-October 2014 and </w:t>
      </w:r>
      <w:r w:rsidR="00EA0C08" w:rsidRPr="00861957">
        <w:t xml:space="preserve">are </w:t>
      </w:r>
      <w:r w:rsidRPr="00861957">
        <w:t>incorporated into the Results Matrix (</w:t>
      </w:r>
      <w:r w:rsidRPr="00861957">
        <w:rPr>
          <w:i/>
        </w:rPr>
        <w:t>Annex I</w:t>
      </w:r>
      <w:r w:rsidRPr="00861957">
        <w:t xml:space="preserve">). The M&amp;E Framework </w:t>
      </w:r>
      <w:r w:rsidR="00EA0C08" w:rsidRPr="00861957">
        <w:t xml:space="preserve">enables the </w:t>
      </w:r>
      <w:r w:rsidRPr="00861957">
        <w:t xml:space="preserve">use </w:t>
      </w:r>
      <w:r w:rsidR="00EA0C08" w:rsidRPr="00861957">
        <w:t xml:space="preserve">of </w:t>
      </w:r>
      <w:r w:rsidRPr="00861957">
        <w:t xml:space="preserve">existing government systems </w:t>
      </w:r>
      <w:r w:rsidR="00EA0C08" w:rsidRPr="00861957">
        <w:t xml:space="preserve">for </w:t>
      </w:r>
      <w:r w:rsidRPr="00861957">
        <w:t>collecti</w:t>
      </w:r>
      <w:r w:rsidR="00EA0C08" w:rsidRPr="00861957">
        <w:t>ng</w:t>
      </w:r>
      <w:r w:rsidRPr="00861957">
        <w:t>, analysi</w:t>
      </w:r>
      <w:r w:rsidR="00EA0C08" w:rsidRPr="00861957">
        <w:t>ng</w:t>
      </w:r>
      <w:r w:rsidRPr="00861957">
        <w:t xml:space="preserve"> and manag</w:t>
      </w:r>
      <w:r w:rsidR="00EA0C08" w:rsidRPr="00861957">
        <w:t>ing data</w:t>
      </w:r>
      <w:r w:rsidRPr="00861957">
        <w:t xml:space="preserve"> to effectively track the </w:t>
      </w:r>
      <w:r w:rsidR="00EA0C08" w:rsidRPr="00861957">
        <w:t xml:space="preserve">progress of </w:t>
      </w:r>
      <w:r w:rsidRPr="00861957">
        <w:t>UNDAF implementation</w:t>
      </w:r>
      <w:r w:rsidR="00EA0C08" w:rsidRPr="00861957">
        <w:t>,</w:t>
      </w:r>
      <w:r w:rsidRPr="00861957">
        <w:t xml:space="preserve"> in terms </w:t>
      </w:r>
      <w:r w:rsidR="00EA0C08" w:rsidRPr="00861957">
        <w:t xml:space="preserve">of a movement </w:t>
      </w:r>
      <w:r w:rsidRPr="00861957">
        <w:t xml:space="preserve">from baselines to targets </w:t>
      </w:r>
      <w:r w:rsidR="00EA0C08" w:rsidRPr="00861957">
        <w:t xml:space="preserve">through </w:t>
      </w:r>
      <w:r w:rsidRPr="00861957">
        <w:t xml:space="preserve">effective development interventions. To assess progress, from time to time the UNCT and the Government will conduct targeted surveys, additional studies such as the STEPS study into NCDs, programme reviews, independent assessments and evaluations. </w:t>
      </w:r>
    </w:p>
    <w:p w14:paraId="15F40343" w14:textId="77777777" w:rsidR="00740EA1" w:rsidRPr="00861957" w:rsidRDefault="00740EA1" w:rsidP="00B83DB3">
      <w:pPr>
        <w:jc w:val="both"/>
        <w:rPr>
          <w:b/>
        </w:rPr>
      </w:pPr>
    </w:p>
    <w:p w14:paraId="4D2DD065" w14:textId="0A8CF9D9" w:rsidR="001F4A7B" w:rsidRPr="00861957" w:rsidRDefault="001F4A7B" w:rsidP="00B83DB3">
      <w:pPr>
        <w:jc w:val="both"/>
      </w:pPr>
      <w:r w:rsidRPr="00861957">
        <w:t xml:space="preserve">The UNCT and the Government will conduct Annual Review Meetings to assess the </w:t>
      </w:r>
      <w:r w:rsidR="00EA0C08" w:rsidRPr="00861957">
        <w:t xml:space="preserve">progress of </w:t>
      </w:r>
      <w:r w:rsidRPr="00861957">
        <w:t xml:space="preserve">UNDAF implementation and adjust their joint efforts </w:t>
      </w:r>
      <w:r w:rsidR="000F1247" w:rsidRPr="00861957">
        <w:t>if necessary with the aim of achieving the specified outcomes.</w:t>
      </w:r>
      <w:r w:rsidRPr="00861957">
        <w:t xml:space="preserve"> </w:t>
      </w:r>
      <w:r w:rsidR="006E00CA" w:rsidRPr="00861957">
        <w:t>The final</w:t>
      </w:r>
      <w:r w:rsidR="008325E5" w:rsidRPr="00861957">
        <w:t xml:space="preserve"> UNDAF evaluation is planned in the penultimate year o</w:t>
      </w:r>
      <w:r w:rsidR="006E00CA" w:rsidRPr="00861957">
        <w:t xml:space="preserve">f the new programming cycle (2019). </w:t>
      </w:r>
      <w:r w:rsidR="000F1247" w:rsidRPr="00861957">
        <w:t>Achievements, lessons learned, best practices and encountered constraints will be publicly disseminated to inform the design of further programming documents and activities.</w:t>
      </w:r>
      <w:r w:rsidR="006E00CA" w:rsidRPr="00861957">
        <w:t xml:space="preserve"> The full list of planned and expected M&amp;E activities can be found in </w:t>
      </w:r>
      <w:r w:rsidR="006E00CA" w:rsidRPr="00861957">
        <w:rPr>
          <w:i/>
        </w:rPr>
        <w:t>Annex II</w:t>
      </w:r>
      <w:r w:rsidR="006E00CA" w:rsidRPr="00861957">
        <w:t>.</w:t>
      </w:r>
    </w:p>
    <w:p w14:paraId="71A08F3A" w14:textId="6A00CE42" w:rsidR="003A3370" w:rsidRPr="00861957" w:rsidRDefault="003A3370" w:rsidP="002A2E3D">
      <w:pPr>
        <w:pStyle w:val="Heading1"/>
        <w:numPr>
          <w:ilvl w:val="0"/>
          <w:numId w:val="6"/>
        </w:numPr>
        <w:rPr>
          <w:rFonts w:ascii="Times New Roman" w:hAnsi="Times New Roman" w:cs="Times New Roman"/>
          <w:color w:val="548DD4" w:themeColor="text2" w:themeTint="99"/>
          <w:sz w:val="36"/>
          <w:szCs w:val="36"/>
        </w:rPr>
      </w:pPr>
      <w:bookmarkStart w:id="31" w:name="_Toc405745120"/>
      <w:bookmarkStart w:id="32" w:name="_Toc412921081"/>
      <w:r w:rsidRPr="00861957">
        <w:rPr>
          <w:rFonts w:ascii="Times New Roman" w:hAnsi="Times New Roman" w:cs="Times New Roman"/>
          <w:color w:val="548DD4" w:themeColor="text2" w:themeTint="99"/>
          <w:sz w:val="36"/>
          <w:szCs w:val="36"/>
        </w:rPr>
        <w:lastRenderedPageBreak/>
        <w:t xml:space="preserve">Initiatives </w:t>
      </w:r>
      <w:r w:rsidR="002A2E3D">
        <w:rPr>
          <w:rFonts w:ascii="Times New Roman" w:hAnsi="Times New Roman" w:cs="Times New Roman"/>
          <w:color w:val="548DD4" w:themeColor="text2" w:themeTint="99"/>
          <w:sz w:val="36"/>
          <w:szCs w:val="36"/>
        </w:rPr>
        <w:t>o</w:t>
      </w:r>
      <w:r w:rsidRPr="00861957">
        <w:rPr>
          <w:rFonts w:ascii="Times New Roman" w:hAnsi="Times New Roman" w:cs="Times New Roman"/>
          <w:color w:val="548DD4" w:themeColor="text2" w:themeTint="99"/>
          <w:sz w:val="36"/>
          <w:szCs w:val="36"/>
        </w:rPr>
        <w:t xml:space="preserve">utside the UNDAF </w:t>
      </w:r>
      <w:r w:rsidR="00FF1871" w:rsidRPr="00861957">
        <w:rPr>
          <w:rFonts w:ascii="Times New Roman" w:hAnsi="Times New Roman" w:cs="Times New Roman"/>
          <w:color w:val="548DD4" w:themeColor="text2" w:themeTint="99"/>
          <w:sz w:val="36"/>
          <w:szCs w:val="36"/>
        </w:rPr>
        <w:t>Results Matrix</w:t>
      </w:r>
      <w:bookmarkEnd w:id="31"/>
      <w:bookmarkEnd w:id="32"/>
    </w:p>
    <w:p w14:paraId="37A38A6C" w14:textId="77777777" w:rsidR="003A3370" w:rsidRPr="00861957" w:rsidRDefault="003A3370" w:rsidP="00B83DB3">
      <w:pPr>
        <w:jc w:val="both"/>
        <w:rPr>
          <w:b/>
        </w:rPr>
      </w:pPr>
    </w:p>
    <w:p w14:paraId="18022FB9" w14:textId="3BF5AC2B" w:rsidR="00CD5474" w:rsidRPr="00861957" w:rsidRDefault="00983598" w:rsidP="002A2E3D">
      <w:pPr>
        <w:jc w:val="both"/>
      </w:pPr>
      <w:r w:rsidRPr="00861957">
        <w:t xml:space="preserve">The UNDAF 2016-2020 was developed in consultation with the Government of </w:t>
      </w:r>
      <w:r w:rsidR="008644CF" w:rsidRPr="00861957">
        <w:t>the Republic of Belarus</w:t>
      </w:r>
      <w:r w:rsidRPr="00861957">
        <w:t xml:space="preserve">, resident and non-resident agencies, civil society, </w:t>
      </w:r>
      <w:r w:rsidR="00223F9A" w:rsidRPr="00861957">
        <w:t xml:space="preserve">vulnerable groups, </w:t>
      </w:r>
      <w:r w:rsidR="00EA0C08" w:rsidRPr="00861957">
        <w:t xml:space="preserve">the </w:t>
      </w:r>
      <w:r w:rsidRPr="00861957">
        <w:t xml:space="preserve">private sector and </w:t>
      </w:r>
      <w:r w:rsidR="002A2E3D">
        <w:t>international development partners</w:t>
      </w:r>
      <w:r w:rsidR="00EA0C08" w:rsidRPr="00861957">
        <w:t>.</w:t>
      </w:r>
      <w:r w:rsidRPr="00861957">
        <w:t xml:space="preserve"> </w:t>
      </w:r>
      <w:r w:rsidR="00EA0C08" w:rsidRPr="00861957">
        <w:t xml:space="preserve">It </w:t>
      </w:r>
      <w:r w:rsidRPr="00861957">
        <w:t>represent</w:t>
      </w:r>
      <w:r w:rsidR="00EA0C08" w:rsidRPr="00861957">
        <w:t>s</w:t>
      </w:r>
      <w:r w:rsidRPr="00861957">
        <w:t xml:space="preserve"> a consensus </w:t>
      </w:r>
      <w:r w:rsidR="00EA0C08" w:rsidRPr="00861957">
        <w:t>between</w:t>
      </w:r>
      <w:r w:rsidRPr="00861957">
        <w:t xml:space="preserve"> major stakeholders on the </w:t>
      </w:r>
      <w:r w:rsidR="007B72F6" w:rsidRPr="00861957">
        <w:t>main</w:t>
      </w:r>
      <w:r w:rsidRPr="00861957">
        <w:t xml:space="preserve"> national development challenges</w:t>
      </w:r>
      <w:r w:rsidR="00F423BD" w:rsidRPr="00861957">
        <w:t>,</w:t>
      </w:r>
      <w:r w:rsidRPr="00861957">
        <w:t xml:space="preserve"> where</w:t>
      </w:r>
      <w:r w:rsidR="00F423BD" w:rsidRPr="00861957">
        <w:t>by</w:t>
      </w:r>
      <w:r w:rsidRPr="00861957">
        <w:t xml:space="preserve"> the UN system can provide effective assistance based on its comparative advantages.</w:t>
      </w:r>
      <w:r w:rsidR="00CD5474" w:rsidRPr="00861957">
        <w:t xml:space="preserve"> The UNDAF 2016-2020 provides focus and direction to all UN initiatives in Belarus, and the programmes of all UN agencies will be in line with this strategic framework. </w:t>
      </w:r>
    </w:p>
    <w:p w14:paraId="26ED818F" w14:textId="77777777" w:rsidR="00CD5474" w:rsidRPr="00861957" w:rsidRDefault="00CD5474" w:rsidP="00B83DB3">
      <w:pPr>
        <w:jc w:val="both"/>
      </w:pPr>
    </w:p>
    <w:p w14:paraId="1CA772DE" w14:textId="01C9A327" w:rsidR="00D954F1" w:rsidRPr="00861957" w:rsidRDefault="00391EDC" w:rsidP="00B83DB3">
      <w:pPr>
        <w:jc w:val="both"/>
      </w:pPr>
      <w:r w:rsidRPr="00861957">
        <w:t xml:space="preserve">The UN system in Belarus will continue </w:t>
      </w:r>
      <w:r w:rsidR="00F423BD" w:rsidRPr="00861957">
        <w:t>its</w:t>
      </w:r>
      <w:r w:rsidRPr="00861957">
        <w:t xml:space="preserve"> efforts </w:t>
      </w:r>
      <w:r w:rsidR="00CD5474" w:rsidRPr="00861957">
        <w:t xml:space="preserve">in the future to remain </w:t>
      </w:r>
      <w:r w:rsidR="00F423BD" w:rsidRPr="00861957">
        <w:t xml:space="preserve">responsive </w:t>
      </w:r>
      <w:r w:rsidR="000906D9" w:rsidRPr="00861957">
        <w:t xml:space="preserve">to the country’s needs, </w:t>
      </w:r>
      <w:r w:rsidR="00F423BD" w:rsidRPr="00861957">
        <w:t xml:space="preserve">to </w:t>
      </w:r>
      <w:r w:rsidR="000906D9" w:rsidRPr="00861957">
        <w:t xml:space="preserve">be </w:t>
      </w:r>
      <w:r w:rsidR="00CD5474" w:rsidRPr="00861957">
        <w:t xml:space="preserve">flexible </w:t>
      </w:r>
      <w:r w:rsidR="00F423BD" w:rsidRPr="00861957">
        <w:t>in</w:t>
      </w:r>
      <w:r w:rsidR="00CD5474" w:rsidRPr="00861957">
        <w:t xml:space="preserve"> accommodat</w:t>
      </w:r>
      <w:r w:rsidR="00F423BD" w:rsidRPr="00861957">
        <w:t>ing</w:t>
      </w:r>
      <w:r w:rsidR="00CD5474" w:rsidRPr="00861957">
        <w:t xml:space="preserve"> ad-hoc requests for assistance from the Government</w:t>
      </w:r>
      <w:r w:rsidR="00F423BD" w:rsidRPr="00861957">
        <w:t>,</w:t>
      </w:r>
      <w:r w:rsidR="00CD5474" w:rsidRPr="00861957">
        <w:t xml:space="preserve"> and </w:t>
      </w:r>
      <w:r w:rsidR="00F423BD" w:rsidRPr="00861957">
        <w:t xml:space="preserve">to </w:t>
      </w:r>
      <w:r w:rsidR="00CD5474" w:rsidRPr="00861957">
        <w:t>respond to emerging challenges.</w:t>
      </w:r>
      <w:r w:rsidR="009F2467" w:rsidRPr="00861957">
        <w:t xml:space="preserve"> Every possible effort will be </w:t>
      </w:r>
      <w:r w:rsidR="00F423BD" w:rsidRPr="00861957">
        <w:t xml:space="preserve">made </w:t>
      </w:r>
      <w:r w:rsidR="009F2467" w:rsidRPr="00861957">
        <w:t xml:space="preserve">to help </w:t>
      </w:r>
      <w:r w:rsidR="00E27BDD" w:rsidRPr="00861957">
        <w:t xml:space="preserve">victims of human trafficking </w:t>
      </w:r>
      <w:r w:rsidR="00F423BD" w:rsidRPr="00861957">
        <w:t xml:space="preserve">and </w:t>
      </w:r>
      <w:r w:rsidR="009F2467" w:rsidRPr="00861957">
        <w:t>vulnerable groups, including stateless persons, asylum-s</w:t>
      </w:r>
      <w:r w:rsidR="00443280" w:rsidRPr="00861957">
        <w:t>eekers, refugees</w:t>
      </w:r>
      <w:r w:rsidR="00B8342C" w:rsidRPr="00861957">
        <w:t xml:space="preserve"> and </w:t>
      </w:r>
      <w:r w:rsidR="00443280" w:rsidRPr="00861957">
        <w:t>migrants</w:t>
      </w:r>
      <w:r w:rsidR="00B8342C" w:rsidRPr="00861957">
        <w:t xml:space="preserve">, and </w:t>
      </w:r>
      <w:r w:rsidR="00F423BD" w:rsidRPr="00861957">
        <w:t xml:space="preserve">to </w:t>
      </w:r>
      <w:r w:rsidR="00B8342C" w:rsidRPr="00861957">
        <w:t>protect their fundamental rights</w:t>
      </w:r>
      <w:r w:rsidR="00443280" w:rsidRPr="00861957">
        <w:t>.</w:t>
      </w:r>
      <w:r w:rsidR="00B8342C" w:rsidRPr="00861957">
        <w:t xml:space="preserve"> </w:t>
      </w:r>
    </w:p>
    <w:p w14:paraId="5EEE6259" w14:textId="77777777" w:rsidR="00D954F1" w:rsidRPr="00861957" w:rsidRDefault="00D954F1" w:rsidP="00B83DB3">
      <w:pPr>
        <w:jc w:val="both"/>
      </w:pPr>
    </w:p>
    <w:p w14:paraId="1674938F" w14:textId="77777777" w:rsidR="00470795" w:rsidRPr="00861957" w:rsidRDefault="00470795" w:rsidP="00B83DB3">
      <w:pPr>
        <w:jc w:val="both"/>
      </w:pPr>
    </w:p>
    <w:p w14:paraId="114DA43A" w14:textId="77777777" w:rsidR="00470795" w:rsidRPr="00861957" w:rsidRDefault="00470795" w:rsidP="00B83DB3">
      <w:pPr>
        <w:jc w:val="both"/>
      </w:pPr>
    </w:p>
    <w:p w14:paraId="6AA1FF4A" w14:textId="77777777" w:rsidR="00470795" w:rsidRPr="00861957" w:rsidRDefault="00470795" w:rsidP="00B83DB3">
      <w:pPr>
        <w:jc w:val="both"/>
      </w:pPr>
    </w:p>
    <w:p w14:paraId="63CB98E4" w14:textId="77777777" w:rsidR="00470795" w:rsidRPr="00861957" w:rsidRDefault="00470795" w:rsidP="00B83DB3">
      <w:pPr>
        <w:jc w:val="both"/>
      </w:pPr>
    </w:p>
    <w:p w14:paraId="14B548F5" w14:textId="77777777" w:rsidR="00470795" w:rsidRPr="00861957" w:rsidRDefault="00470795" w:rsidP="00B83DB3">
      <w:pPr>
        <w:jc w:val="both"/>
      </w:pPr>
    </w:p>
    <w:p w14:paraId="09BCA896" w14:textId="77777777" w:rsidR="00470795" w:rsidRPr="00861957" w:rsidRDefault="00470795" w:rsidP="00B83DB3">
      <w:pPr>
        <w:jc w:val="both"/>
      </w:pPr>
    </w:p>
    <w:p w14:paraId="259C4435" w14:textId="77777777" w:rsidR="00470795" w:rsidRPr="00861957" w:rsidRDefault="00470795" w:rsidP="00B83DB3">
      <w:pPr>
        <w:jc w:val="both"/>
      </w:pPr>
    </w:p>
    <w:p w14:paraId="7A3FD6E8" w14:textId="77777777" w:rsidR="00D954F1" w:rsidRPr="00861957" w:rsidRDefault="00D954F1" w:rsidP="00B83DB3">
      <w:pPr>
        <w:jc w:val="both"/>
      </w:pPr>
    </w:p>
    <w:p w14:paraId="7E2475AB" w14:textId="77777777" w:rsidR="00D954F1" w:rsidRPr="00656A64" w:rsidRDefault="00D954F1" w:rsidP="00B83DB3">
      <w:pPr>
        <w:jc w:val="both"/>
        <w:rPr>
          <w:lang w:val="en-US"/>
        </w:rPr>
      </w:pPr>
    </w:p>
    <w:p w14:paraId="236E7E26" w14:textId="77777777" w:rsidR="00CB7407" w:rsidRPr="00656A64" w:rsidRDefault="00CB7407" w:rsidP="00B83DB3">
      <w:pPr>
        <w:jc w:val="both"/>
        <w:rPr>
          <w:lang w:val="en-US"/>
        </w:rPr>
      </w:pPr>
    </w:p>
    <w:p w14:paraId="60EA2E33" w14:textId="77777777" w:rsidR="00CB7407" w:rsidRPr="00656A64" w:rsidRDefault="00CB7407" w:rsidP="00B83DB3">
      <w:pPr>
        <w:jc w:val="both"/>
        <w:rPr>
          <w:lang w:val="en-US"/>
        </w:rPr>
      </w:pPr>
    </w:p>
    <w:p w14:paraId="12FB55CA" w14:textId="77777777" w:rsidR="00CB7407" w:rsidRPr="00656A64" w:rsidRDefault="00CB7407" w:rsidP="00B83DB3">
      <w:pPr>
        <w:jc w:val="both"/>
        <w:rPr>
          <w:lang w:val="en-US"/>
        </w:rPr>
      </w:pPr>
    </w:p>
    <w:p w14:paraId="4F16D224" w14:textId="77777777" w:rsidR="00CB7407" w:rsidRPr="00656A64" w:rsidRDefault="00CB7407" w:rsidP="00B83DB3">
      <w:pPr>
        <w:jc w:val="both"/>
        <w:rPr>
          <w:lang w:val="en-US"/>
        </w:rPr>
      </w:pPr>
    </w:p>
    <w:p w14:paraId="39888BEA" w14:textId="77777777" w:rsidR="00CB7407" w:rsidRPr="00656A64" w:rsidRDefault="00CB7407" w:rsidP="00B83DB3">
      <w:pPr>
        <w:jc w:val="both"/>
        <w:rPr>
          <w:lang w:val="en-US"/>
        </w:rPr>
      </w:pPr>
    </w:p>
    <w:p w14:paraId="466C6BDF" w14:textId="77777777" w:rsidR="00CB7407" w:rsidRPr="00656A64" w:rsidRDefault="00CB7407" w:rsidP="00B83DB3">
      <w:pPr>
        <w:jc w:val="both"/>
        <w:rPr>
          <w:lang w:val="en-US"/>
        </w:rPr>
      </w:pPr>
    </w:p>
    <w:p w14:paraId="48731803" w14:textId="77777777" w:rsidR="00CB7407" w:rsidRPr="00656A64" w:rsidRDefault="00CB7407" w:rsidP="00B83DB3">
      <w:pPr>
        <w:jc w:val="both"/>
        <w:rPr>
          <w:lang w:val="en-US"/>
        </w:rPr>
      </w:pPr>
    </w:p>
    <w:p w14:paraId="026D084E" w14:textId="77777777" w:rsidR="00CB7407" w:rsidRPr="00656A64" w:rsidRDefault="00CB7407" w:rsidP="00B83DB3">
      <w:pPr>
        <w:jc w:val="both"/>
        <w:rPr>
          <w:lang w:val="en-US"/>
        </w:rPr>
      </w:pPr>
    </w:p>
    <w:p w14:paraId="2BE44A51" w14:textId="77777777" w:rsidR="00CB7407" w:rsidRPr="00656A64" w:rsidRDefault="00CB7407" w:rsidP="00B83DB3">
      <w:pPr>
        <w:jc w:val="both"/>
        <w:rPr>
          <w:lang w:val="en-US"/>
        </w:rPr>
      </w:pPr>
    </w:p>
    <w:p w14:paraId="7003BED2" w14:textId="77777777" w:rsidR="00CB7407" w:rsidRPr="00656A64" w:rsidRDefault="00CB7407" w:rsidP="00B83DB3">
      <w:pPr>
        <w:jc w:val="both"/>
        <w:rPr>
          <w:lang w:val="en-US"/>
        </w:rPr>
      </w:pPr>
    </w:p>
    <w:p w14:paraId="5ABC7460" w14:textId="77777777" w:rsidR="00CB7407" w:rsidRPr="00656A64" w:rsidRDefault="00CB7407" w:rsidP="00B83DB3">
      <w:pPr>
        <w:jc w:val="both"/>
        <w:rPr>
          <w:lang w:val="en-US"/>
        </w:rPr>
      </w:pPr>
    </w:p>
    <w:p w14:paraId="0AC96AE8" w14:textId="77777777" w:rsidR="00CB7407" w:rsidRPr="00656A64" w:rsidRDefault="00CB7407" w:rsidP="00B83DB3">
      <w:pPr>
        <w:jc w:val="both"/>
        <w:rPr>
          <w:lang w:val="en-US"/>
        </w:rPr>
      </w:pPr>
    </w:p>
    <w:p w14:paraId="6C170C90" w14:textId="77777777" w:rsidR="00CB7407" w:rsidRPr="00656A64" w:rsidRDefault="00CB7407" w:rsidP="00B83DB3">
      <w:pPr>
        <w:jc w:val="both"/>
        <w:rPr>
          <w:lang w:val="en-US"/>
        </w:rPr>
      </w:pPr>
    </w:p>
    <w:p w14:paraId="4B49D8B0" w14:textId="77777777" w:rsidR="00CB7407" w:rsidRPr="00656A64" w:rsidRDefault="00CB7407" w:rsidP="00B83DB3">
      <w:pPr>
        <w:jc w:val="both"/>
        <w:rPr>
          <w:lang w:val="en-US"/>
        </w:rPr>
      </w:pPr>
    </w:p>
    <w:p w14:paraId="6B0AB2D3" w14:textId="77777777" w:rsidR="00CB7407" w:rsidRPr="00656A64" w:rsidRDefault="00CB7407" w:rsidP="00B83DB3">
      <w:pPr>
        <w:jc w:val="both"/>
        <w:rPr>
          <w:lang w:val="en-US"/>
        </w:rPr>
      </w:pPr>
    </w:p>
    <w:p w14:paraId="147B2F28" w14:textId="77777777" w:rsidR="00CB7407" w:rsidRPr="00656A64" w:rsidRDefault="00CB7407" w:rsidP="00B83DB3">
      <w:pPr>
        <w:jc w:val="both"/>
        <w:rPr>
          <w:lang w:val="en-US"/>
        </w:rPr>
      </w:pPr>
    </w:p>
    <w:p w14:paraId="54CCD797" w14:textId="77777777" w:rsidR="00CB7407" w:rsidRPr="00656A64" w:rsidRDefault="00CB7407" w:rsidP="00B83DB3">
      <w:pPr>
        <w:jc w:val="both"/>
        <w:rPr>
          <w:lang w:val="en-US"/>
        </w:rPr>
      </w:pPr>
    </w:p>
    <w:p w14:paraId="51778F53" w14:textId="77777777" w:rsidR="00CB7407" w:rsidRPr="00656A64" w:rsidRDefault="00CB7407" w:rsidP="00B83DB3">
      <w:pPr>
        <w:jc w:val="both"/>
        <w:rPr>
          <w:lang w:val="en-US"/>
        </w:rPr>
      </w:pPr>
    </w:p>
    <w:p w14:paraId="72C24A53" w14:textId="77777777" w:rsidR="00CB7407" w:rsidRPr="00656A64" w:rsidRDefault="00CB7407" w:rsidP="00B83DB3">
      <w:pPr>
        <w:jc w:val="both"/>
        <w:rPr>
          <w:lang w:val="en-US"/>
        </w:rPr>
      </w:pPr>
    </w:p>
    <w:p w14:paraId="22AA56ED" w14:textId="77777777" w:rsidR="00CB7407" w:rsidRPr="00656A64" w:rsidRDefault="00CB7407" w:rsidP="00B83DB3">
      <w:pPr>
        <w:jc w:val="both"/>
        <w:rPr>
          <w:lang w:val="en-US"/>
        </w:rPr>
      </w:pPr>
    </w:p>
    <w:p w14:paraId="7BD596D7" w14:textId="77777777" w:rsidR="00CB7407" w:rsidRPr="00656A64" w:rsidRDefault="00CB7407" w:rsidP="00B83DB3">
      <w:pPr>
        <w:jc w:val="both"/>
        <w:rPr>
          <w:lang w:val="en-US"/>
        </w:rPr>
      </w:pPr>
    </w:p>
    <w:p w14:paraId="4C08A0A7" w14:textId="77777777" w:rsidR="00CB7407" w:rsidRPr="00656A64" w:rsidRDefault="00CB7407" w:rsidP="00B83DB3">
      <w:pPr>
        <w:jc w:val="both"/>
        <w:rPr>
          <w:lang w:val="en-US"/>
        </w:rPr>
      </w:pPr>
    </w:p>
    <w:p w14:paraId="02080BC0" w14:textId="77777777" w:rsidR="00CB7407" w:rsidRPr="00656A64" w:rsidRDefault="00CB7407" w:rsidP="00B83DB3">
      <w:pPr>
        <w:jc w:val="both"/>
        <w:rPr>
          <w:lang w:val="en-US"/>
        </w:rPr>
      </w:pPr>
    </w:p>
    <w:p w14:paraId="09B77981" w14:textId="77777777" w:rsidR="00CB7407" w:rsidRPr="00656A64" w:rsidRDefault="00CB7407" w:rsidP="00B83DB3">
      <w:pPr>
        <w:jc w:val="both"/>
        <w:rPr>
          <w:lang w:val="en-US"/>
        </w:rPr>
      </w:pPr>
    </w:p>
    <w:p w14:paraId="5EBCF88B" w14:textId="77777777" w:rsidR="00CB7407" w:rsidRPr="00656A64" w:rsidRDefault="00CB7407" w:rsidP="00B83DB3">
      <w:pPr>
        <w:jc w:val="both"/>
        <w:rPr>
          <w:lang w:val="en-US"/>
        </w:rPr>
      </w:pPr>
    </w:p>
    <w:p w14:paraId="1297E38D" w14:textId="77777777" w:rsidR="00CB7407" w:rsidRPr="00656A64" w:rsidRDefault="00CB7407" w:rsidP="00B83DB3">
      <w:pPr>
        <w:jc w:val="both"/>
        <w:rPr>
          <w:lang w:val="en-US"/>
        </w:rPr>
      </w:pPr>
    </w:p>
    <w:p w14:paraId="68015476" w14:textId="77777777" w:rsidR="00CB7407" w:rsidRPr="00656A64" w:rsidRDefault="00CB7407" w:rsidP="00B83DB3">
      <w:pPr>
        <w:jc w:val="both"/>
        <w:rPr>
          <w:lang w:val="en-US"/>
        </w:rPr>
      </w:pPr>
    </w:p>
    <w:p w14:paraId="16123492" w14:textId="77777777" w:rsidR="00CB7407" w:rsidRPr="00656A64" w:rsidRDefault="00CB7407" w:rsidP="00B83DB3">
      <w:pPr>
        <w:jc w:val="both"/>
        <w:rPr>
          <w:lang w:val="en-US"/>
        </w:rPr>
      </w:pPr>
    </w:p>
    <w:p w14:paraId="537788A0" w14:textId="77777777" w:rsidR="00CB7407" w:rsidRPr="00656A64" w:rsidRDefault="00CB7407" w:rsidP="00B83DB3">
      <w:pPr>
        <w:jc w:val="both"/>
        <w:rPr>
          <w:lang w:val="en-US"/>
        </w:rPr>
      </w:pPr>
    </w:p>
    <w:p w14:paraId="17300FB9" w14:textId="5216F3B8" w:rsidR="0012180C" w:rsidRPr="00861957" w:rsidRDefault="00470795" w:rsidP="00F932D3">
      <w:pPr>
        <w:pStyle w:val="Heading1"/>
        <w:rPr>
          <w:rFonts w:ascii="Times New Roman" w:hAnsi="Times New Roman" w:cs="Times New Roman"/>
          <w:color w:val="548DD4" w:themeColor="text2" w:themeTint="99"/>
          <w:sz w:val="36"/>
          <w:szCs w:val="36"/>
        </w:rPr>
      </w:pPr>
      <w:bookmarkStart w:id="33" w:name="_Toc405388559"/>
      <w:bookmarkStart w:id="34" w:name="_Toc405745121"/>
      <w:bookmarkStart w:id="35" w:name="_Toc412921082"/>
      <w:r w:rsidRPr="00861957">
        <w:rPr>
          <w:rFonts w:ascii="Times New Roman" w:hAnsi="Times New Roman" w:cs="Times New Roman"/>
          <w:color w:val="548DD4" w:themeColor="text2" w:themeTint="99"/>
          <w:sz w:val="36"/>
          <w:szCs w:val="36"/>
        </w:rPr>
        <w:lastRenderedPageBreak/>
        <w:t>A</w:t>
      </w:r>
      <w:r w:rsidR="00F932D3" w:rsidRPr="00861957">
        <w:rPr>
          <w:rFonts w:ascii="Times New Roman" w:hAnsi="Times New Roman" w:cs="Times New Roman"/>
          <w:color w:val="548DD4" w:themeColor="text2" w:themeTint="99"/>
          <w:sz w:val="36"/>
          <w:szCs w:val="36"/>
        </w:rPr>
        <w:t>cronyms and Abbreviations</w:t>
      </w:r>
      <w:bookmarkEnd w:id="33"/>
      <w:bookmarkEnd w:id="34"/>
      <w:bookmarkEnd w:id="35"/>
    </w:p>
    <w:p w14:paraId="29D7E18F" w14:textId="77777777" w:rsidR="0012180C" w:rsidRPr="00861957" w:rsidRDefault="0012180C" w:rsidP="0012180C">
      <w:pPr>
        <w:rPr>
          <w:b/>
          <w:sz w:val="22"/>
          <w:szCs w:val="22"/>
        </w:rPr>
      </w:pPr>
    </w:p>
    <w:p w14:paraId="59F4EB03" w14:textId="77777777" w:rsidR="0012180C" w:rsidRPr="00861957" w:rsidRDefault="0012180C" w:rsidP="0012180C">
      <w:pPr>
        <w:rPr>
          <w:sz w:val="22"/>
          <w:szCs w:val="22"/>
        </w:rPr>
      </w:pPr>
      <w:r w:rsidRPr="00861957">
        <w:rPr>
          <w:sz w:val="22"/>
          <w:szCs w:val="22"/>
        </w:rPr>
        <w:t>AIDS</w:t>
      </w:r>
      <w:r w:rsidRPr="00861957">
        <w:rPr>
          <w:sz w:val="22"/>
          <w:szCs w:val="22"/>
        </w:rPr>
        <w:tab/>
        <w:t xml:space="preserve">    </w:t>
      </w:r>
      <w:r w:rsidRPr="00861957">
        <w:rPr>
          <w:sz w:val="22"/>
          <w:szCs w:val="22"/>
        </w:rPr>
        <w:tab/>
      </w:r>
      <w:r w:rsidRPr="00861957">
        <w:rPr>
          <w:sz w:val="22"/>
          <w:szCs w:val="22"/>
        </w:rPr>
        <w:tab/>
        <w:t>Acquired Immunodeficiency Syndrome</w:t>
      </w:r>
    </w:p>
    <w:p w14:paraId="23E8B78B" w14:textId="77777777" w:rsidR="0012180C" w:rsidRPr="00861957" w:rsidRDefault="0012180C" w:rsidP="0012180C">
      <w:pPr>
        <w:rPr>
          <w:sz w:val="22"/>
          <w:szCs w:val="22"/>
        </w:rPr>
      </w:pPr>
      <w:r w:rsidRPr="00861957">
        <w:rPr>
          <w:sz w:val="22"/>
          <w:szCs w:val="22"/>
        </w:rPr>
        <w:t>ARV</w:t>
      </w:r>
      <w:r w:rsidRPr="00861957">
        <w:rPr>
          <w:sz w:val="22"/>
          <w:szCs w:val="22"/>
        </w:rPr>
        <w:tab/>
      </w:r>
      <w:r w:rsidRPr="00861957">
        <w:rPr>
          <w:sz w:val="22"/>
          <w:szCs w:val="22"/>
        </w:rPr>
        <w:tab/>
      </w:r>
      <w:r w:rsidRPr="00861957">
        <w:rPr>
          <w:sz w:val="22"/>
          <w:szCs w:val="22"/>
        </w:rPr>
        <w:tab/>
        <w:t>Anti-Retroviral</w:t>
      </w:r>
    </w:p>
    <w:p w14:paraId="31D62717" w14:textId="77777777" w:rsidR="0012180C" w:rsidRPr="00861957" w:rsidRDefault="0012180C" w:rsidP="0012180C">
      <w:pPr>
        <w:rPr>
          <w:sz w:val="22"/>
          <w:szCs w:val="22"/>
        </w:rPr>
      </w:pPr>
      <w:r w:rsidRPr="00861957">
        <w:rPr>
          <w:sz w:val="22"/>
          <w:szCs w:val="22"/>
        </w:rPr>
        <w:t>ART</w:t>
      </w:r>
      <w:r w:rsidRPr="00861957">
        <w:rPr>
          <w:sz w:val="22"/>
          <w:szCs w:val="22"/>
        </w:rPr>
        <w:tab/>
      </w:r>
      <w:r w:rsidRPr="00861957">
        <w:rPr>
          <w:sz w:val="22"/>
          <w:szCs w:val="22"/>
        </w:rPr>
        <w:tab/>
      </w:r>
      <w:r w:rsidRPr="00861957">
        <w:rPr>
          <w:sz w:val="22"/>
          <w:szCs w:val="22"/>
        </w:rPr>
        <w:tab/>
        <w:t>Anti-Retroviral Therapy</w:t>
      </w:r>
    </w:p>
    <w:p w14:paraId="7FA65DCA" w14:textId="77777777" w:rsidR="0012180C" w:rsidRPr="00861957" w:rsidRDefault="0012180C" w:rsidP="0012180C">
      <w:pPr>
        <w:rPr>
          <w:sz w:val="22"/>
          <w:szCs w:val="22"/>
        </w:rPr>
      </w:pPr>
      <w:r w:rsidRPr="00861957">
        <w:rPr>
          <w:sz w:val="22"/>
          <w:szCs w:val="22"/>
        </w:rPr>
        <w:t>Belstat</w:t>
      </w:r>
      <w:r w:rsidRPr="00861957">
        <w:rPr>
          <w:sz w:val="22"/>
          <w:szCs w:val="22"/>
        </w:rPr>
        <w:tab/>
      </w:r>
      <w:r w:rsidRPr="00861957">
        <w:rPr>
          <w:sz w:val="22"/>
          <w:szCs w:val="22"/>
        </w:rPr>
        <w:tab/>
      </w:r>
      <w:r w:rsidRPr="00861957">
        <w:rPr>
          <w:sz w:val="22"/>
          <w:szCs w:val="22"/>
        </w:rPr>
        <w:tab/>
        <w:t>National Statistical Committee of the Republic of Belarus</w:t>
      </w:r>
    </w:p>
    <w:p w14:paraId="19B74AB6" w14:textId="77777777" w:rsidR="0012180C" w:rsidRPr="00861957" w:rsidRDefault="0012180C" w:rsidP="0012180C">
      <w:pPr>
        <w:rPr>
          <w:sz w:val="22"/>
          <w:szCs w:val="22"/>
        </w:rPr>
      </w:pPr>
      <w:r w:rsidRPr="00861957">
        <w:rPr>
          <w:sz w:val="22"/>
          <w:szCs w:val="22"/>
        </w:rPr>
        <w:t>CA</w:t>
      </w:r>
      <w:r w:rsidRPr="00861957">
        <w:rPr>
          <w:sz w:val="22"/>
          <w:szCs w:val="22"/>
        </w:rPr>
        <w:tab/>
        <w:t xml:space="preserve">   </w:t>
      </w:r>
      <w:r w:rsidRPr="00861957">
        <w:rPr>
          <w:sz w:val="22"/>
          <w:szCs w:val="22"/>
        </w:rPr>
        <w:tab/>
      </w:r>
      <w:r w:rsidRPr="00861957">
        <w:rPr>
          <w:sz w:val="22"/>
          <w:szCs w:val="22"/>
        </w:rPr>
        <w:tab/>
        <w:t>Country Analysis</w:t>
      </w:r>
    </w:p>
    <w:p w14:paraId="27B9F452" w14:textId="77777777" w:rsidR="0012180C" w:rsidRPr="00861957" w:rsidRDefault="0012180C" w:rsidP="0012180C">
      <w:pPr>
        <w:rPr>
          <w:sz w:val="22"/>
          <w:szCs w:val="22"/>
        </w:rPr>
      </w:pPr>
      <w:r w:rsidRPr="00861957">
        <w:rPr>
          <w:sz w:val="22"/>
          <w:szCs w:val="22"/>
        </w:rPr>
        <w:t xml:space="preserve">CCA         </w:t>
      </w:r>
      <w:r w:rsidRPr="00861957">
        <w:rPr>
          <w:sz w:val="22"/>
          <w:szCs w:val="22"/>
        </w:rPr>
        <w:tab/>
      </w:r>
      <w:r w:rsidRPr="00861957">
        <w:rPr>
          <w:sz w:val="22"/>
          <w:szCs w:val="22"/>
        </w:rPr>
        <w:tab/>
        <w:t>Common Country Assessment</w:t>
      </w:r>
    </w:p>
    <w:p w14:paraId="23DEBD37" w14:textId="77777777" w:rsidR="0012180C" w:rsidRPr="00861957" w:rsidRDefault="0012180C" w:rsidP="0012180C">
      <w:pPr>
        <w:rPr>
          <w:sz w:val="22"/>
          <w:szCs w:val="22"/>
        </w:rPr>
      </w:pPr>
      <w:r w:rsidRPr="00861957">
        <w:rPr>
          <w:sz w:val="22"/>
          <w:szCs w:val="22"/>
        </w:rPr>
        <w:t>CEDAW</w:t>
      </w:r>
      <w:r w:rsidRPr="00861957">
        <w:rPr>
          <w:sz w:val="22"/>
          <w:szCs w:val="22"/>
        </w:rPr>
        <w:tab/>
      </w:r>
      <w:r w:rsidRPr="00861957">
        <w:rPr>
          <w:sz w:val="22"/>
          <w:szCs w:val="22"/>
        </w:rPr>
        <w:tab/>
        <w:t>Convention on the Elimination of All Forms of Discrimination against Women</w:t>
      </w:r>
    </w:p>
    <w:p w14:paraId="2F04A87C" w14:textId="77777777" w:rsidR="0012180C" w:rsidRPr="00861957" w:rsidRDefault="0012180C" w:rsidP="0012180C">
      <w:pPr>
        <w:rPr>
          <w:sz w:val="22"/>
          <w:szCs w:val="22"/>
        </w:rPr>
      </w:pPr>
      <w:r w:rsidRPr="00861957">
        <w:rPr>
          <w:sz w:val="22"/>
          <w:szCs w:val="22"/>
        </w:rPr>
        <w:t>CERD</w:t>
      </w:r>
      <w:r w:rsidRPr="00861957">
        <w:rPr>
          <w:sz w:val="22"/>
          <w:szCs w:val="22"/>
        </w:rPr>
        <w:tab/>
      </w:r>
      <w:r w:rsidRPr="00861957">
        <w:rPr>
          <w:sz w:val="22"/>
          <w:szCs w:val="22"/>
        </w:rPr>
        <w:tab/>
      </w:r>
      <w:r w:rsidRPr="00861957">
        <w:rPr>
          <w:sz w:val="22"/>
          <w:szCs w:val="22"/>
        </w:rPr>
        <w:tab/>
        <w:t>Committee on the Elimination of Racial Discrimination</w:t>
      </w:r>
    </w:p>
    <w:p w14:paraId="60C05D8F" w14:textId="77777777" w:rsidR="0012180C" w:rsidRPr="00861957" w:rsidRDefault="0012180C" w:rsidP="0012180C">
      <w:pPr>
        <w:rPr>
          <w:sz w:val="22"/>
          <w:szCs w:val="22"/>
        </w:rPr>
      </w:pPr>
      <w:r w:rsidRPr="00861957">
        <w:rPr>
          <w:sz w:val="22"/>
          <w:szCs w:val="22"/>
        </w:rPr>
        <w:t>CESCR</w:t>
      </w:r>
      <w:r w:rsidRPr="00861957">
        <w:rPr>
          <w:sz w:val="22"/>
          <w:szCs w:val="22"/>
        </w:rPr>
        <w:tab/>
      </w:r>
      <w:r w:rsidRPr="00861957">
        <w:rPr>
          <w:sz w:val="22"/>
          <w:szCs w:val="22"/>
        </w:rPr>
        <w:tab/>
      </w:r>
      <w:r w:rsidRPr="00861957">
        <w:rPr>
          <w:sz w:val="22"/>
          <w:szCs w:val="22"/>
        </w:rPr>
        <w:tab/>
        <w:t>Committee on Economic, Social and Cultural Rights</w:t>
      </w:r>
    </w:p>
    <w:p w14:paraId="4ED21FD9" w14:textId="77777777" w:rsidR="0012180C" w:rsidRPr="00861957" w:rsidRDefault="0012180C" w:rsidP="0012180C">
      <w:pPr>
        <w:rPr>
          <w:sz w:val="22"/>
          <w:szCs w:val="22"/>
        </w:rPr>
      </w:pPr>
      <w:r w:rsidRPr="00861957">
        <w:rPr>
          <w:sz w:val="22"/>
          <w:szCs w:val="22"/>
        </w:rPr>
        <w:t>CIS</w:t>
      </w:r>
      <w:r w:rsidRPr="00861957">
        <w:rPr>
          <w:sz w:val="22"/>
          <w:szCs w:val="22"/>
        </w:rPr>
        <w:tab/>
      </w:r>
      <w:r w:rsidRPr="00861957">
        <w:rPr>
          <w:sz w:val="22"/>
          <w:szCs w:val="22"/>
        </w:rPr>
        <w:tab/>
      </w:r>
      <w:r w:rsidRPr="00861957">
        <w:rPr>
          <w:sz w:val="22"/>
          <w:szCs w:val="22"/>
        </w:rPr>
        <w:tab/>
        <w:t>Commonwealth of Independent States</w:t>
      </w:r>
    </w:p>
    <w:p w14:paraId="6E1CAD0F" w14:textId="77777777" w:rsidR="0012180C" w:rsidRPr="00861957" w:rsidRDefault="0012180C" w:rsidP="0012180C">
      <w:pPr>
        <w:rPr>
          <w:sz w:val="22"/>
          <w:szCs w:val="22"/>
        </w:rPr>
      </w:pPr>
      <w:r w:rsidRPr="00861957">
        <w:rPr>
          <w:sz w:val="22"/>
          <w:szCs w:val="22"/>
        </w:rPr>
        <w:t>CoE</w:t>
      </w:r>
      <w:r w:rsidRPr="00861957">
        <w:rPr>
          <w:sz w:val="22"/>
          <w:szCs w:val="22"/>
        </w:rPr>
        <w:tab/>
      </w:r>
      <w:r w:rsidRPr="00861957">
        <w:rPr>
          <w:sz w:val="22"/>
          <w:szCs w:val="22"/>
        </w:rPr>
        <w:tab/>
      </w:r>
      <w:r w:rsidRPr="00861957">
        <w:rPr>
          <w:sz w:val="22"/>
          <w:szCs w:val="22"/>
        </w:rPr>
        <w:tab/>
        <w:t>Council of Europe</w:t>
      </w:r>
    </w:p>
    <w:p w14:paraId="5D28017F" w14:textId="77777777" w:rsidR="0012180C" w:rsidRPr="00861957" w:rsidRDefault="0012180C" w:rsidP="0012180C">
      <w:pPr>
        <w:rPr>
          <w:sz w:val="22"/>
          <w:szCs w:val="22"/>
        </w:rPr>
      </w:pPr>
      <w:r w:rsidRPr="00861957">
        <w:rPr>
          <w:sz w:val="22"/>
          <w:szCs w:val="22"/>
        </w:rPr>
        <w:t>CO2</w:t>
      </w:r>
      <w:r w:rsidRPr="00861957">
        <w:rPr>
          <w:sz w:val="22"/>
          <w:szCs w:val="22"/>
        </w:rPr>
        <w:tab/>
      </w:r>
      <w:r w:rsidRPr="00861957">
        <w:rPr>
          <w:sz w:val="22"/>
          <w:szCs w:val="22"/>
        </w:rPr>
        <w:tab/>
      </w:r>
      <w:r w:rsidRPr="00861957">
        <w:rPr>
          <w:sz w:val="22"/>
          <w:szCs w:val="22"/>
        </w:rPr>
        <w:tab/>
        <w:t>Carbon Dioxide</w:t>
      </w:r>
    </w:p>
    <w:p w14:paraId="62CE584D" w14:textId="77777777" w:rsidR="0012180C" w:rsidRPr="00861957" w:rsidRDefault="0012180C" w:rsidP="0012180C">
      <w:pPr>
        <w:rPr>
          <w:sz w:val="22"/>
          <w:szCs w:val="22"/>
        </w:rPr>
      </w:pPr>
      <w:r w:rsidRPr="00861957">
        <w:rPr>
          <w:sz w:val="22"/>
          <w:szCs w:val="22"/>
        </w:rPr>
        <w:t>CPI</w:t>
      </w:r>
      <w:r w:rsidRPr="00861957">
        <w:rPr>
          <w:sz w:val="22"/>
          <w:szCs w:val="22"/>
        </w:rPr>
        <w:tab/>
      </w:r>
      <w:r w:rsidRPr="00861957">
        <w:rPr>
          <w:sz w:val="22"/>
          <w:szCs w:val="22"/>
        </w:rPr>
        <w:tab/>
      </w:r>
      <w:r w:rsidRPr="00861957">
        <w:rPr>
          <w:sz w:val="22"/>
          <w:szCs w:val="22"/>
        </w:rPr>
        <w:tab/>
        <w:t>Consumer Price Index</w:t>
      </w:r>
    </w:p>
    <w:p w14:paraId="211E62C8" w14:textId="77777777" w:rsidR="0012180C" w:rsidRPr="00861957" w:rsidRDefault="0012180C" w:rsidP="0012180C">
      <w:pPr>
        <w:rPr>
          <w:sz w:val="22"/>
          <w:szCs w:val="22"/>
        </w:rPr>
      </w:pPr>
      <w:r w:rsidRPr="00861957">
        <w:rPr>
          <w:sz w:val="22"/>
          <w:szCs w:val="22"/>
        </w:rPr>
        <w:t>CRC</w:t>
      </w:r>
      <w:r w:rsidRPr="00861957">
        <w:rPr>
          <w:sz w:val="22"/>
          <w:szCs w:val="22"/>
        </w:rPr>
        <w:tab/>
      </w:r>
      <w:r w:rsidRPr="00861957">
        <w:rPr>
          <w:sz w:val="22"/>
          <w:szCs w:val="22"/>
        </w:rPr>
        <w:tab/>
      </w:r>
      <w:r w:rsidRPr="00861957">
        <w:rPr>
          <w:sz w:val="22"/>
          <w:szCs w:val="22"/>
        </w:rPr>
        <w:tab/>
        <w:t>Committee on the Rights of the Child</w:t>
      </w:r>
    </w:p>
    <w:p w14:paraId="25C06035" w14:textId="2F84C378" w:rsidR="0012180C" w:rsidRPr="00861957" w:rsidRDefault="0012180C" w:rsidP="0012180C">
      <w:pPr>
        <w:rPr>
          <w:sz w:val="22"/>
          <w:szCs w:val="22"/>
        </w:rPr>
      </w:pPr>
      <w:r w:rsidRPr="00861957">
        <w:rPr>
          <w:sz w:val="22"/>
          <w:szCs w:val="22"/>
        </w:rPr>
        <w:t>CSO</w:t>
      </w:r>
      <w:r w:rsidRPr="00861957">
        <w:rPr>
          <w:sz w:val="22"/>
          <w:szCs w:val="22"/>
        </w:rPr>
        <w:tab/>
        <w:t xml:space="preserve">    </w:t>
      </w:r>
      <w:r w:rsidRPr="00861957">
        <w:rPr>
          <w:sz w:val="22"/>
          <w:szCs w:val="22"/>
        </w:rPr>
        <w:tab/>
      </w:r>
      <w:r w:rsidRPr="00861957">
        <w:rPr>
          <w:sz w:val="22"/>
          <w:szCs w:val="22"/>
        </w:rPr>
        <w:tab/>
        <w:t>Civil Society Organi</w:t>
      </w:r>
      <w:r w:rsidR="000F002C" w:rsidRPr="00861957">
        <w:rPr>
          <w:sz w:val="22"/>
          <w:szCs w:val="22"/>
        </w:rPr>
        <w:t>z</w:t>
      </w:r>
      <w:r w:rsidRPr="00861957">
        <w:rPr>
          <w:sz w:val="22"/>
          <w:szCs w:val="22"/>
        </w:rPr>
        <w:t>ation</w:t>
      </w:r>
    </w:p>
    <w:p w14:paraId="6037AB04" w14:textId="77777777" w:rsidR="0012180C" w:rsidRPr="00861957" w:rsidRDefault="0012180C" w:rsidP="0012180C">
      <w:pPr>
        <w:rPr>
          <w:sz w:val="22"/>
          <w:szCs w:val="22"/>
        </w:rPr>
      </w:pPr>
      <w:r w:rsidRPr="00861957">
        <w:rPr>
          <w:sz w:val="22"/>
          <w:szCs w:val="22"/>
        </w:rPr>
        <w:t>EBRD</w:t>
      </w:r>
      <w:r w:rsidRPr="00861957">
        <w:rPr>
          <w:sz w:val="22"/>
          <w:szCs w:val="22"/>
        </w:rPr>
        <w:tab/>
        <w:t xml:space="preserve">   </w:t>
      </w:r>
      <w:r w:rsidRPr="00861957">
        <w:rPr>
          <w:sz w:val="22"/>
          <w:szCs w:val="22"/>
        </w:rPr>
        <w:tab/>
      </w:r>
      <w:r w:rsidRPr="00861957">
        <w:rPr>
          <w:sz w:val="22"/>
          <w:szCs w:val="22"/>
        </w:rPr>
        <w:tab/>
        <w:t xml:space="preserve">European Bank for Reconstruction and Development </w:t>
      </w:r>
      <w:r w:rsidRPr="00861957">
        <w:rPr>
          <w:sz w:val="22"/>
          <w:szCs w:val="22"/>
        </w:rPr>
        <w:tab/>
      </w:r>
      <w:r w:rsidRPr="00861957">
        <w:rPr>
          <w:sz w:val="22"/>
          <w:szCs w:val="22"/>
        </w:rPr>
        <w:tab/>
      </w:r>
    </w:p>
    <w:p w14:paraId="52A8A985" w14:textId="77777777" w:rsidR="0012180C" w:rsidRPr="00861957" w:rsidRDefault="0012180C" w:rsidP="0012180C">
      <w:pPr>
        <w:rPr>
          <w:sz w:val="22"/>
          <w:szCs w:val="22"/>
        </w:rPr>
      </w:pPr>
      <w:r w:rsidRPr="00861957">
        <w:rPr>
          <w:sz w:val="22"/>
          <w:szCs w:val="22"/>
        </w:rPr>
        <w:t>ECOSOC</w:t>
      </w:r>
      <w:r w:rsidRPr="00861957">
        <w:rPr>
          <w:sz w:val="22"/>
          <w:szCs w:val="22"/>
        </w:rPr>
        <w:tab/>
      </w:r>
      <w:r w:rsidRPr="00861957">
        <w:rPr>
          <w:sz w:val="22"/>
          <w:szCs w:val="22"/>
        </w:rPr>
        <w:tab/>
        <w:t>United Nations Economic and Social Council</w:t>
      </w:r>
    </w:p>
    <w:p w14:paraId="2B7C30D4" w14:textId="77777777" w:rsidR="0012180C" w:rsidRPr="00861957" w:rsidRDefault="0012180C" w:rsidP="0012180C">
      <w:pPr>
        <w:rPr>
          <w:sz w:val="22"/>
          <w:szCs w:val="22"/>
        </w:rPr>
      </w:pPr>
      <w:r w:rsidRPr="00861957">
        <w:rPr>
          <w:sz w:val="22"/>
          <w:szCs w:val="22"/>
        </w:rPr>
        <w:t>EE</w:t>
      </w:r>
      <w:r w:rsidRPr="00861957">
        <w:rPr>
          <w:sz w:val="22"/>
          <w:szCs w:val="22"/>
        </w:rPr>
        <w:tab/>
      </w:r>
      <w:r w:rsidRPr="00861957">
        <w:rPr>
          <w:sz w:val="22"/>
          <w:szCs w:val="22"/>
        </w:rPr>
        <w:tab/>
      </w:r>
      <w:r w:rsidRPr="00861957">
        <w:rPr>
          <w:sz w:val="22"/>
          <w:szCs w:val="22"/>
        </w:rPr>
        <w:tab/>
        <w:t>Energy-Efficient</w:t>
      </w:r>
    </w:p>
    <w:p w14:paraId="566A02DD" w14:textId="77777777" w:rsidR="0012180C" w:rsidRPr="00861957" w:rsidRDefault="0012180C" w:rsidP="0012180C">
      <w:pPr>
        <w:rPr>
          <w:sz w:val="22"/>
          <w:szCs w:val="22"/>
        </w:rPr>
      </w:pPr>
      <w:r w:rsidRPr="00861957">
        <w:rPr>
          <w:sz w:val="22"/>
          <w:szCs w:val="22"/>
        </w:rPr>
        <w:t>EEU</w:t>
      </w:r>
      <w:r w:rsidRPr="00861957">
        <w:rPr>
          <w:sz w:val="22"/>
          <w:szCs w:val="22"/>
        </w:rPr>
        <w:tab/>
      </w:r>
      <w:r w:rsidRPr="00861957">
        <w:rPr>
          <w:sz w:val="22"/>
          <w:szCs w:val="22"/>
        </w:rPr>
        <w:tab/>
      </w:r>
      <w:r w:rsidRPr="00861957">
        <w:rPr>
          <w:sz w:val="22"/>
          <w:szCs w:val="22"/>
        </w:rPr>
        <w:tab/>
        <w:t>Eurasian Economic Union</w:t>
      </w:r>
    </w:p>
    <w:p w14:paraId="3BFCCDEC" w14:textId="77777777" w:rsidR="0012180C" w:rsidRPr="00861957" w:rsidRDefault="0012180C" w:rsidP="0012180C">
      <w:pPr>
        <w:rPr>
          <w:sz w:val="22"/>
          <w:szCs w:val="22"/>
        </w:rPr>
      </w:pPr>
      <w:r w:rsidRPr="00861957">
        <w:rPr>
          <w:sz w:val="22"/>
          <w:szCs w:val="22"/>
        </w:rPr>
        <w:t>EU</w:t>
      </w:r>
      <w:r w:rsidRPr="00861957">
        <w:rPr>
          <w:sz w:val="22"/>
          <w:szCs w:val="22"/>
        </w:rPr>
        <w:tab/>
      </w:r>
      <w:r w:rsidRPr="00861957">
        <w:rPr>
          <w:sz w:val="22"/>
          <w:szCs w:val="22"/>
        </w:rPr>
        <w:tab/>
      </w:r>
      <w:r w:rsidRPr="00861957">
        <w:rPr>
          <w:sz w:val="22"/>
          <w:szCs w:val="22"/>
        </w:rPr>
        <w:tab/>
        <w:t>European Union</w:t>
      </w:r>
    </w:p>
    <w:p w14:paraId="6C74B751" w14:textId="77777777" w:rsidR="0012180C" w:rsidRPr="00861957" w:rsidRDefault="0012180C" w:rsidP="0012180C">
      <w:pPr>
        <w:rPr>
          <w:sz w:val="22"/>
          <w:szCs w:val="22"/>
        </w:rPr>
      </w:pPr>
      <w:r w:rsidRPr="00861957">
        <w:rPr>
          <w:sz w:val="22"/>
          <w:szCs w:val="22"/>
        </w:rPr>
        <w:t>FAO</w:t>
      </w:r>
      <w:r w:rsidRPr="00861957">
        <w:rPr>
          <w:sz w:val="22"/>
          <w:szCs w:val="22"/>
        </w:rPr>
        <w:tab/>
      </w:r>
      <w:r w:rsidRPr="00861957">
        <w:rPr>
          <w:sz w:val="22"/>
          <w:szCs w:val="22"/>
        </w:rPr>
        <w:tab/>
      </w:r>
      <w:r w:rsidRPr="00861957">
        <w:rPr>
          <w:sz w:val="22"/>
          <w:szCs w:val="22"/>
        </w:rPr>
        <w:tab/>
        <w:t>Food and Agriculture Organization of the United Nations</w:t>
      </w:r>
      <w:r w:rsidRPr="00861957">
        <w:rPr>
          <w:sz w:val="22"/>
          <w:szCs w:val="22"/>
        </w:rPr>
        <w:tab/>
      </w:r>
    </w:p>
    <w:p w14:paraId="54A97D6F" w14:textId="77777777" w:rsidR="0012180C" w:rsidRPr="00861957" w:rsidRDefault="0012180C" w:rsidP="0012180C">
      <w:pPr>
        <w:rPr>
          <w:sz w:val="22"/>
          <w:szCs w:val="22"/>
        </w:rPr>
      </w:pPr>
      <w:r w:rsidRPr="00861957">
        <w:rPr>
          <w:sz w:val="22"/>
          <w:szCs w:val="22"/>
        </w:rPr>
        <w:t>FDI</w:t>
      </w:r>
      <w:r w:rsidRPr="00861957">
        <w:rPr>
          <w:sz w:val="22"/>
          <w:szCs w:val="22"/>
        </w:rPr>
        <w:tab/>
        <w:t xml:space="preserve">    </w:t>
      </w:r>
      <w:r w:rsidRPr="00861957">
        <w:rPr>
          <w:sz w:val="22"/>
          <w:szCs w:val="22"/>
        </w:rPr>
        <w:tab/>
      </w:r>
      <w:r w:rsidRPr="00861957">
        <w:rPr>
          <w:sz w:val="22"/>
          <w:szCs w:val="22"/>
        </w:rPr>
        <w:tab/>
        <w:t>Foreign Direct Investment</w:t>
      </w:r>
    </w:p>
    <w:p w14:paraId="053DF175" w14:textId="77777777" w:rsidR="0012180C" w:rsidRPr="00861957" w:rsidRDefault="0012180C" w:rsidP="0012180C">
      <w:pPr>
        <w:rPr>
          <w:sz w:val="22"/>
          <w:szCs w:val="22"/>
        </w:rPr>
      </w:pPr>
      <w:r w:rsidRPr="00861957">
        <w:rPr>
          <w:sz w:val="22"/>
          <w:szCs w:val="22"/>
        </w:rPr>
        <w:t>GDP</w:t>
      </w:r>
      <w:r w:rsidRPr="00861957">
        <w:rPr>
          <w:sz w:val="22"/>
          <w:szCs w:val="22"/>
        </w:rPr>
        <w:tab/>
      </w:r>
      <w:r w:rsidRPr="00861957">
        <w:rPr>
          <w:sz w:val="22"/>
          <w:szCs w:val="22"/>
        </w:rPr>
        <w:tab/>
      </w:r>
      <w:r w:rsidRPr="00861957">
        <w:rPr>
          <w:sz w:val="22"/>
          <w:szCs w:val="22"/>
        </w:rPr>
        <w:tab/>
        <w:t>Gross Domestic Product</w:t>
      </w:r>
    </w:p>
    <w:p w14:paraId="3464B8B9" w14:textId="77777777" w:rsidR="0012180C" w:rsidRPr="00861957" w:rsidRDefault="0012180C" w:rsidP="0012180C">
      <w:pPr>
        <w:rPr>
          <w:sz w:val="22"/>
          <w:szCs w:val="22"/>
        </w:rPr>
      </w:pPr>
      <w:r w:rsidRPr="00861957">
        <w:rPr>
          <w:sz w:val="22"/>
          <w:szCs w:val="22"/>
        </w:rPr>
        <w:t>GHG</w:t>
      </w:r>
      <w:r w:rsidRPr="00861957">
        <w:rPr>
          <w:sz w:val="22"/>
          <w:szCs w:val="22"/>
        </w:rPr>
        <w:tab/>
      </w:r>
      <w:r w:rsidRPr="00861957">
        <w:rPr>
          <w:sz w:val="22"/>
          <w:szCs w:val="22"/>
        </w:rPr>
        <w:tab/>
      </w:r>
      <w:r w:rsidRPr="00861957">
        <w:rPr>
          <w:sz w:val="22"/>
          <w:szCs w:val="22"/>
        </w:rPr>
        <w:tab/>
        <w:t>Greenhouse Gas</w:t>
      </w:r>
    </w:p>
    <w:p w14:paraId="170F52EC" w14:textId="77777777" w:rsidR="00BD0147" w:rsidRPr="00861957" w:rsidRDefault="00BD0147" w:rsidP="0012180C">
      <w:pPr>
        <w:rPr>
          <w:sz w:val="22"/>
          <w:szCs w:val="22"/>
        </w:rPr>
      </w:pPr>
      <w:r w:rsidRPr="00861957">
        <w:rPr>
          <w:sz w:val="22"/>
          <w:szCs w:val="22"/>
        </w:rPr>
        <w:t>GFATM</w:t>
      </w:r>
      <w:r w:rsidRPr="00861957">
        <w:rPr>
          <w:sz w:val="22"/>
          <w:szCs w:val="22"/>
        </w:rPr>
        <w:tab/>
      </w:r>
      <w:r w:rsidRPr="00861957">
        <w:rPr>
          <w:sz w:val="22"/>
          <w:szCs w:val="22"/>
        </w:rPr>
        <w:tab/>
        <w:t>The Global Fund to Fight AIDS, Tuberculosis and Malaria</w:t>
      </w:r>
    </w:p>
    <w:p w14:paraId="41ECE6AD" w14:textId="77777777" w:rsidR="0012180C" w:rsidRPr="00861957" w:rsidRDefault="0012180C" w:rsidP="0012180C">
      <w:pPr>
        <w:rPr>
          <w:sz w:val="22"/>
          <w:szCs w:val="22"/>
        </w:rPr>
      </w:pPr>
      <w:r w:rsidRPr="00861957">
        <w:rPr>
          <w:sz w:val="22"/>
          <w:szCs w:val="22"/>
        </w:rPr>
        <w:t>GNI</w:t>
      </w:r>
      <w:r w:rsidRPr="00861957">
        <w:rPr>
          <w:sz w:val="22"/>
          <w:szCs w:val="22"/>
        </w:rPr>
        <w:tab/>
      </w:r>
      <w:r w:rsidRPr="00861957">
        <w:rPr>
          <w:sz w:val="22"/>
          <w:szCs w:val="22"/>
        </w:rPr>
        <w:tab/>
      </w:r>
      <w:r w:rsidRPr="00861957">
        <w:rPr>
          <w:sz w:val="22"/>
          <w:szCs w:val="22"/>
        </w:rPr>
        <w:tab/>
        <w:t>Gross National Income</w:t>
      </w:r>
    </w:p>
    <w:p w14:paraId="385A4481" w14:textId="77777777" w:rsidR="0012180C" w:rsidRPr="00861957" w:rsidRDefault="0012180C" w:rsidP="0012180C">
      <w:pPr>
        <w:rPr>
          <w:sz w:val="22"/>
          <w:szCs w:val="22"/>
        </w:rPr>
      </w:pPr>
      <w:r w:rsidRPr="00861957">
        <w:rPr>
          <w:sz w:val="22"/>
          <w:szCs w:val="22"/>
        </w:rPr>
        <w:t>GNP</w:t>
      </w:r>
      <w:r w:rsidRPr="00861957">
        <w:rPr>
          <w:sz w:val="22"/>
          <w:szCs w:val="22"/>
        </w:rPr>
        <w:tab/>
      </w:r>
      <w:r w:rsidRPr="00861957">
        <w:rPr>
          <w:sz w:val="22"/>
          <w:szCs w:val="22"/>
        </w:rPr>
        <w:tab/>
      </w:r>
      <w:r w:rsidRPr="00861957">
        <w:rPr>
          <w:sz w:val="22"/>
          <w:szCs w:val="22"/>
        </w:rPr>
        <w:tab/>
        <w:t>Gross National Product</w:t>
      </w:r>
    </w:p>
    <w:p w14:paraId="7A02D18A" w14:textId="77777777" w:rsidR="0012180C" w:rsidRPr="00861957" w:rsidRDefault="0012180C" w:rsidP="0012180C">
      <w:pPr>
        <w:rPr>
          <w:sz w:val="22"/>
          <w:szCs w:val="22"/>
        </w:rPr>
      </w:pPr>
      <w:r w:rsidRPr="00861957">
        <w:rPr>
          <w:sz w:val="22"/>
          <w:szCs w:val="22"/>
        </w:rPr>
        <w:t>GP</w:t>
      </w:r>
      <w:r w:rsidRPr="00861957">
        <w:rPr>
          <w:sz w:val="22"/>
          <w:szCs w:val="22"/>
        </w:rPr>
        <w:tab/>
      </w:r>
      <w:r w:rsidRPr="00861957">
        <w:rPr>
          <w:sz w:val="22"/>
          <w:szCs w:val="22"/>
        </w:rPr>
        <w:tab/>
      </w:r>
      <w:r w:rsidRPr="00861957">
        <w:rPr>
          <w:sz w:val="22"/>
          <w:szCs w:val="22"/>
        </w:rPr>
        <w:tab/>
        <w:t>General Practitioner</w:t>
      </w:r>
    </w:p>
    <w:p w14:paraId="592DA2AD" w14:textId="77777777" w:rsidR="0012180C" w:rsidRPr="00861957" w:rsidRDefault="00111BCD" w:rsidP="0012180C">
      <w:pPr>
        <w:rPr>
          <w:sz w:val="22"/>
          <w:szCs w:val="22"/>
        </w:rPr>
      </w:pPr>
      <w:r w:rsidRPr="00861957">
        <w:rPr>
          <w:sz w:val="22"/>
          <w:szCs w:val="22"/>
        </w:rPr>
        <w:t>HRC</w:t>
      </w:r>
      <w:r w:rsidR="0012180C" w:rsidRPr="00861957">
        <w:rPr>
          <w:sz w:val="22"/>
          <w:szCs w:val="22"/>
        </w:rPr>
        <w:tab/>
      </w:r>
      <w:r w:rsidR="0012180C" w:rsidRPr="00861957">
        <w:rPr>
          <w:sz w:val="22"/>
          <w:szCs w:val="22"/>
        </w:rPr>
        <w:tab/>
      </w:r>
      <w:r w:rsidR="0012180C" w:rsidRPr="00861957">
        <w:rPr>
          <w:sz w:val="22"/>
          <w:szCs w:val="22"/>
        </w:rPr>
        <w:tab/>
        <w:t>Human Rights Council</w:t>
      </w:r>
    </w:p>
    <w:p w14:paraId="46C6B751" w14:textId="77777777" w:rsidR="0012180C" w:rsidRPr="00861957" w:rsidRDefault="0012180C" w:rsidP="0012180C">
      <w:pPr>
        <w:rPr>
          <w:sz w:val="22"/>
          <w:szCs w:val="22"/>
        </w:rPr>
      </w:pPr>
      <w:r w:rsidRPr="00861957">
        <w:rPr>
          <w:sz w:val="22"/>
          <w:szCs w:val="22"/>
        </w:rPr>
        <w:t>HDI</w:t>
      </w:r>
      <w:r w:rsidRPr="00861957">
        <w:rPr>
          <w:sz w:val="22"/>
          <w:szCs w:val="22"/>
        </w:rPr>
        <w:tab/>
      </w:r>
      <w:r w:rsidRPr="00861957">
        <w:rPr>
          <w:sz w:val="22"/>
          <w:szCs w:val="22"/>
        </w:rPr>
        <w:tab/>
      </w:r>
      <w:r w:rsidRPr="00861957">
        <w:rPr>
          <w:sz w:val="22"/>
          <w:szCs w:val="22"/>
        </w:rPr>
        <w:tab/>
        <w:t>Human Development Index</w:t>
      </w:r>
    </w:p>
    <w:p w14:paraId="50736A8D" w14:textId="77777777" w:rsidR="0012180C" w:rsidRPr="00861957" w:rsidRDefault="0012180C" w:rsidP="0012180C">
      <w:pPr>
        <w:rPr>
          <w:sz w:val="22"/>
          <w:szCs w:val="22"/>
        </w:rPr>
      </w:pPr>
      <w:r w:rsidRPr="00861957">
        <w:rPr>
          <w:sz w:val="22"/>
          <w:szCs w:val="22"/>
        </w:rPr>
        <w:t xml:space="preserve">HIV </w:t>
      </w:r>
      <w:r w:rsidRPr="00861957">
        <w:rPr>
          <w:sz w:val="22"/>
          <w:szCs w:val="22"/>
        </w:rPr>
        <w:tab/>
        <w:t xml:space="preserve">    </w:t>
      </w:r>
      <w:r w:rsidRPr="00861957">
        <w:rPr>
          <w:sz w:val="22"/>
          <w:szCs w:val="22"/>
        </w:rPr>
        <w:tab/>
      </w:r>
      <w:r w:rsidRPr="00861957">
        <w:rPr>
          <w:sz w:val="22"/>
          <w:szCs w:val="22"/>
        </w:rPr>
        <w:tab/>
        <w:t>Human Immunodeficiency Virus</w:t>
      </w:r>
    </w:p>
    <w:p w14:paraId="76CB920A" w14:textId="77777777" w:rsidR="0012180C" w:rsidRPr="00861957" w:rsidRDefault="0012180C" w:rsidP="0012180C">
      <w:pPr>
        <w:rPr>
          <w:sz w:val="22"/>
          <w:szCs w:val="22"/>
        </w:rPr>
      </w:pPr>
      <w:r w:rsidRPr="00861957">
        <w:rPr>
          <w:sz w:val="22"/>
          <w:szCs w:val="22"/>
        </w:rPr>
        <w:t xml:space="preserve">HRBA      </w:t>
      </w:r>
      <w:r w:rsidRPr="00861957">
        <w:rPr>
          <w:sz w:val="22"/>
          <w:szCs w:val="22"/>
        </w:rPr>
        <w:tab/>
      </w:r>
      <w:r w:rsidRPr="00861957">
        <w:rPr>
          <w:sz w:val="22"/>
          <w:szCs w:val="22"/>
        </w:rPr>
        <w:tab/>
        <w:t>Human Rights-Based Approach</w:t>
      </w:r>
    </w:p>
    <w:p w14:paraId="7AAE7C45" w14:textId="77777777" w:rsidR="00BD5A84" w:rsidRPr="00861957" w:rsidRDefault="00BD5A84" w:rsidP="0012180C">
      <w:pPr>
        <w:rPr>
          <w:sz w:val="22"/>
          <w:szCs w:val="22"/>
        </w:rPr>
      </w:pPr>
      <w:r w:rsidRPr="00861957">
        <w:rPr>
          <w:sz w:val="22"/>
          <w:szCs w:val="22"/>
        </w:rPr>
        <w:t>IAEA</w:t>
      </w:r>
      <w:r w:rsidRPr="00861957">
        <w:rPr>
          <w:sz w:val="22"/>
          <w:szCs w:val="22"/>
        </w:rPr>
        <w:tab/>
      </w:r>
      <w:r w:rsidRPr="00861957">
        <w:rPr>
          <w:sz w:val="22"/>
          <w:szCs w:val="22"/>
        </w:rPr>
        <w:tab/>
      </w:r>
      <w:r w:rsidRPr="00861957">
        <w:rPr>
          <w:sz w:val="22"/>
          <w:szCs w:val="22"/>
        </w:rPr>
        <w:tab/>
        <w:t>International Atomic Energy Agency</w:t>
      </w:r>
    </w:p>
    <w:p w14:paraId="12E25FD3" w14:textId="77777777" w:rsidR="0012180C" w:rsidRPr="00861957" w:rsidRDefault="0012180C" w:rsidP="0012180C">
      <w:pPr>
        <w:rPr>
          <w:sz w:val="22"/>
          <w:szCs w:val="22"/>
        </w:rPr>
      </w:pPr>
      <w:r w:rsidRPr="00861957">
        <w:rPr>
          <w:sz w:val="22"/>
          <w:szCs w:val="22"/>
        </w:rPr>
        <w:t>IBRD</w:t>
      </w:r>
      <w:r w:rsidRPr="00861957">
        <w:rPr>
          <w:sz w:val="22"/>
          <w:szCs w:val="22"/>
        </w:rPr>
        <w:tab/>
      </w:r>
      <w:r w:rsidRPr="00861957">
        <w:rPr>
          <w:sz w:val="22"/>
          <w:szCs w:val="22"/>
        </w:rPr>
        <w:tab/>
      </w:r>
      <w:r w:rsidRPr="00861957">
        <w:rPr>
          <w:sz w:val="22"/>
          <w:szCs w:val="22"/>
        </w:rPr>
        <w:tab/>
        <w:t>International Bank for Reconstruction and Development</w:t>
      </w:r>
    </w:p>
    <w:p w14:paraId="1182E5C4" w14:textId="77777777" w:rsidR="0012180C" w:rsidRPr="00861957" w:rsidRDefault="0012180C" w:rsidP="0012180C">
      <w:pPr>
        <w:rPr>
          <w:sz w:val="22"/>
          <w:szCs w:val="22"/>
        </w:rPr>
      </w:pPr>
      <w:r w:rsidRPr="00861957">
        <w:rPr>
          <w:sz w:val="22"/>
          <w:szCs w:val="22"/>
        </w:rPr>
        <w:t>ICT</w:t>
      </w:r>
      <w:r w:rsidRPr="00861957">
        <w:rPr>
          <w:sz w:val="22"/>
          <w:szCs w:val="22"/>
        </w:rPr>
        <w:tab/>
      </w:r>
      <w:r w:rsidRPr="00861957">
        <w:rPr>
          <w:sz w:val="22"/>
          <w:szCs w:val="22"/>
        </w:rPr>
        <w:tab/>
      </w:r>
      <w:r w:rsidRPr="00861957">
        <w:rPr>
          <w:sz w:val="22"/>
          <w:szCs w:val="22"/>
        </w:rPr>
        <w:tab/>
        <w:t>Information and Communications Technology</w:t>
      </w:r>
    </w:p>
    <w:p w14:paraId="65B547F3" w14:textId="77777777" w:rsidR="0012180C" w:rsidRPr="00861957" w:rsidRDefault="0012180C" w:rsidP="0012180C">
      <w:pPr>
        <w:rPr>
          <w:sz w:val="22"/>
          <w:szCs w:val="22"/>
        </w:rPr>
      </w:pPr>
      <w:r w:rsidRPr="00861957">
        <w:rPr>
          <w:sz w:val="22"/>
          <w:szCs w:val="22"/>
        </w:rPr>
        <w:t>IFC</w:t>
      </w:r>
      <w:r w:rsidRPr="00861957">
        <w:rPr>
          <w:sz w:val="22"/>
          <w:szCs w:val="22"/>
        </w:rPr>
        <w:tab/>
      </w:r>
      <w:r w:rsidRPr="00861957">
        <w:rPr>
          <w:sz w:val="22"/>
          <w:szCs w:val="22"/>
        </w:rPr>
        <w:tab/>
      </w:r>
      <w:r w:rsidRPr="00861957">
        <w:rPr>
          <w:sz w:val="22"/>
          <w:szCs w:val="22"/>
        </w:rPr>
        <w:tab/>
        <w:t>International Finance Corporation</w:t>
      </w:r>
    </w:p>
    <w:p w14:paraId="76961482" w14:textId="134BA432" w:rsidR="0012180C" w:rsidRPr="00861957" w:rsidRDefault="0012180C" w:rsidP="0012180C">
      <w:pPr>
        <w:rPr>
          <w:sz w:val="22"/>
          <w:szCs w:val="22"/>
        </w:rPr>
      </w:pPr>
      <w:r w:rsidRPr="00861957">
        <w:rPr>
          <w:sz w:val="22"/>
          <w:szCs w:val="22"/>
        </w:rPr>
        <w:t>ILO</w:t>
      </w:r>
      <w:r w:rsidRPr="00861957">
        <w:rPr>
          <w:sz w:val="22"/>
          <w:szCs w:val="22"/>
        </w:rPr>
        <w:tab/>
      </w:r>
      <w:r w:rsidRPr="00861957">
        <w:rPr>
          <w:sz w:val="22"/>
          <w:szCs w:val="22"/>
        </w:rPr>
        <w:tab/>
      </w:r>
      <w:r w:rsidRPr="00861957">
        <w:rPr>
          <w:sz w:val="22"/>
          <w:szCs w:val="22"/>
        </w:rPr>
        <w:tab/>
        <w:t>International Labour Organi</w:t>
      </w:r>
      <w:r w:rsidR="000F002C" w:rsidRPr="00861957">
        <w:rPr>
          <w:sz w:val="22"/>
          <w:szCs w:val="22"/>
        </w:rPr>
        <w:t>z</w:t>
      </w:r>
      <w:r w:rsidRPr="00861957">
        <w:rPr>
          <w:sz w:val="22"/>
          <w:szCs w:val="22"/>
        </w:rPr>
        <w:t>ation</w:t>
      </w:r>
    </w:p>
    <w:p w14:paraId="769DBA41" w14:textId="77777777" w:rsidR="0012180C" w:rsidRPr="00861957" w:rsidRDefault="0012180C" w:rsidP="0012180C">
      <w:pPr>
        <w:rPr>
          <w:sz w:val="22"/>
          <w:szCs w:val="22"/>
        </w:rPr>
      </w:pPr>
      <w:r w:rsidRPr="00861957">
        <w:rPr>
          <w:sz w:val="22"/>
          <w:szCs w:val="22"/>
        </w:rPr>
        <w:t>IMF</w:t>
      </w:r>
      <w:r w:rsidRPr="00861957">
        <w:rPr>
          <w:sz w:val="22"/>
          <w:szCs w:val="22"/>
        </w:rPr>
        <w:tab/>
      </w:r>
      <w:r w:rsidRPr="00861957">
        <w:rPr>
          <w:sz w:val="22"/>
          <w:szCs w:val="22"/>
        </w:rPr>
        <w:tab/>
      </w:r>
      <w:r w:rsidRPr="00861957">
        <w:rPr>
          <w:sz w:val="22"/>
          <w:szCs w:val="22"/>
        </w:rPr>
        <w:tab/>
        <w:t>International Monetary Fund</w:t>
      </w:r>
    </w:p>
    <w:p w14:paraId="1BFF598F" w14:textId="57E6D539" w:rsidR="0012180C" w:rsidRPr="00861957" w:rsidRDefault="0012180C" w:rsidP="0012180C">
      <w:pPr>
        <w:rPr>
          <w:sz w:val="22"/>
          <w:szCs w:val="22"/>
        </w:rPr>
      </w:pPr>
      <w:r w:rsidRPr="00861957">
        <w:rPr>
          <w:sz w:val="22"/>
          <w:szCs w:val="22"/>
        </w:rPr>
        <w:t>IOM</w:t>
      </w:r>
      <w:r w:rsidRPr="00861957">
        <w:rPr>
          <w:sz w:val="22"/>
          <w:szCs w:val="22"/>
        </w:rPr>
        <w:tab/>
      </w:r>
      <w:r w:rsidRPr="00861957">
        <w:rPr>
          <w:sz w:val="22"/>
          <w:szCs w:val="22"/>
        </w:rPr>
        <w:tab/>
      </w:r>
      <w:r w:rsidRPr="00861957">
        <w:rPr>
          <w:sz w:val="22"/>
          <w:szCs w:val="22"/>
        </w:rPr>
        <w:tab/>
        <w:t>International Organi</w:t>
      </w:r>
      <w:r w:rsidR="000F002C" w:rsidRPr="00861957">
        <w:rPr>
          <w:sz w:val="22"/>
          <w:szCs w:val="22"/>
        </w:rPr>
        <w:t>z</w:t>
      </w:r>
      <w:r w:rsidRPr="00861957">
        <w:rPr>
          <w:sz w:val="22"/>
          <w:szCs w:val="22"/>
        </w:rPr>
        <w:t>ation for Migration</w:t>
      </w:r>
    </w:p>
    <w:p w14:paraId="2E1B85DD" w14:textId="77777777" w:rsidR="0012180C" w:rsidRPr="00861957" w:rsidRDefault="0012180C" w:rsidP="0012180C">
      <w:pPr>
        <w:rPr>
          <w:sz w:val="22"/>
          <w:szCs w:val="22"/>
        </w:rPr>
      </w:pPr>
      <w:r w:rsidRPr="00861957">
        <w:rPr>
          <w:sz w:val="22"/>
          <w:szCs w:val="22"/>
        </w:rPr>
        <w:t>IT</w:t>
      </w:r>
      <w:r w:rsidRPr="00861957">
        <w:rPr>
          <w:sz w:val="22"/>
          <w:szCs w:val="22"/>
        </w:rPr>
        <w:tab/>
      </w:r>
      <w:r w:rsidRPr="00861957">
        <w:rPr>
          <w:sz w:val="22"/>
          <w:szCs w:val="22"/>
        </w:rPr>
        <w:tab/>
      </w:r>
      <w:r w:rsidRPr="00861957">
        <w:rPr>
          <w:sz w:val="22"/>
          <w:szCs w:val="22"/>
        </w:rPr>
        <w:tab/>
        <w:t>Information Technology</w:t>
      </w:r>
    </w:p>
    <w:p w14:paraId="70EB2AA0" w14:textId="77777777" w:rsidR="0012180C" w:rsidRPr="00861957" w:rsidRDefault="0012180C" w:rsidP="0012180C">
      <w:pPr>
        <w:rPr>
          <w:sz w:val="22"/>
          <w:szCs w:val="22"/>
        </w:rPr>
      </w:pPr>
      <w:r w:rsidRPr="00861957">
        <w:rPr>
          <w:sz w:val="22"/>
          <w:szCs w:val="22"/>
        </w:rPr>
        <w:t>ITC</w:t>
      </w:r>
      <w:r w:rsidRPr="00861957">
        <w:rPr>
          <w:sz w:val="22"/>
          <w:szCs w:val="22"/>
        </w:rPr>
        <w:tab/>
      </w:r>
      <w:r w:rsidRPr="00861957">
        <w:rPr>
          <w:sz w:val="22"/>
          <w:szCs w:val="22"/>
        </w:rPr>
        <w:tab/>
      </w:r>
      <w:r w:rsidRPr="00861957">
        <w:rPr>
          <w:sz w:val="22"/>
          <w:szCs w:val="22"/>
        </w:rPr>
        <w:tab/>
        <w:t>International Trade Centre</w:t>
      </w:r>
    </w:p>
    <w:p w14:paraId="08CF36F0" w14:textId="77777777" w:rsidR="0012180C" w:rsidRPr="00861957" w:rsidRDefault="0012180C" w:rsidP="0012180C">
      <w:pPr>
        <w:rPr>
          <w:sz w:val="22"/>
          <w:szCs w:val="22"/>
        </w:rPr>
      </w:pPr>
      <w:r w:rsidRPr="00861957">
        <w:rPr>
          <w:sz w:val="22"/>
          <w:szCs w:val="22"/>
        </w:rPr>
        <w:t>JSC</w:t>
      </w:r>
      <w:r w:rsidRPr="00861957">
        <w:rPr>
          <w:sz w:val="22"/>
          <w:szCs w:val="22"/>
        </w:rPr>
        <w:tab/>
      </w:r>
      <w:r w:rsidRPr="00861957">
        <w:rPr>
          <w:sz w:val="22"/>
          <w:szCs w:val="22"/>
        </w:rPr>
        <w:tab/>
      </w:r>
      <w:r w:rsidRPr="00861957">
        <w:rPr>
          <w:sz w:val="22"/>
          <w:szCs w:val="22"/>
        </w:rPr>
        <w:tab/>
        <w:t>Joint Stock Company</w:t>
      </w:r>
    </w:p>
    <w:p w14:paraId="107B3D94" w14:textId="77777777" w:rsidR="0012180C" w:rsidRPr="00861957" w:rsidRDefault="0012180C" w:rsidP="0012180C">
      <w:pPr>
        <w:rPr>
          <w:sz w:val="22"/>
          <w:szCs w:val="22"/>
        </w:rPr>
      </w:pPr>
      <w:r w:rsidRPr="00861957">
        <w:rPr>
          <w:sz w:val="22"/>
          <w:szCs w:val="22"/>
        </w:rPr>
        <w:t>Kcal</w:t>
      </w:r>
      <w:r w:rsidRPr="00861957">
        <w:rPr>
          <w:sz w:val="22"/>
          <w:szCs w:val="22"/>
        </w:rPr>
        <w:tab/>
      </w:r>
      <w:r w:rsidRPr="00861957">
        <w:rPr>
          <w:sz w:val="22"/>
          <w:szCs w:val="22"/>
        </w:rPr>
        <w:tab/>
      </w:r>
      <w:r w:rsidRPr="00861957">
        <w:rPr>
          <w:sz w:val="22"/>
          <w:szCs w:val="22"/>
        </w:rPr>
        <w:tab/>
        <w:t>Kilocalorie</w:t>
      </w:r>
    </w:p>
    <w:p w14:paraId="62F60691" w14:textId="77777777" w:rsidR="0012180C" w:rsidRPr="00861957" w:rsidRDefault="0012180C" w:rsidP="0012180C">
      <w:pPr>
        <w:rPr>
          <w:sz w:val="22"/>
          <w:szCs w:val="22"/>
        </w:rPr>
      </w:pPr>
      <w:r w:rsidRPr="00861957">
        <w:rPr>
          <w:sz w:val="22"/>
          <w:szCs w:val="22"/>
        </w:rPr>
        <w:t>MDG</w:t>
      </w:r>
      <w:r w:rsidRPr="00861957">
        <w:rPr>
          <w:sz w:val="22"/>
          <w:szCs w:val="22"/>
        </w:rPr>
        <w:tab/>
        <w:t xml:space="preserve">    </w:t>
      </w:r>
      <w:r w:rsidRPr="00861957">
        <w:rPr>
          <w:sz w:val="22"/>
          <w:szCs w:val="22"/>
        </w:rPr>
        <w:tab/>
      </w:r>
      <w:r w:rsidRPr="00861957">
        <w:rPr>
          <w:sz w:val="22"/>
          <w:szCs w:val="22"/>
        </w:rPr>
        <w:tab/>
        <w:t>Millennium Development Goal</w:t>
      </w:r>
    </w:p>
    <w:p w14:paraId="1366E489" w14:textId="77777777" w:rsidR="0012180C" w:rsidRPr="00861957" w:rsidRDefault="0012180C" w:rsidP="0012180C">
      <w:pPr>
        <w:rPr>
          <w:sz w:val="22"/>
          <w:szCs w:val="22"/>
        </w:rPr>
      </w:pPr>
      <w:r w:rsidRPr="00861957">
        <w:rPr>
          <w:sz w:val="22"/>
          <w:szCs w:val="22"/>
        </w:rPr>
        <w:t>MDR-TB</w:t>
      </w:r>
      <w:r w:rsidRPr="00861957">
        <w:rPr>
          <w:sz w:val="22"/>
          <w:szCs w:val="22"/>
        </w:rPr>
        <w:tab/>
      </w:r>
      <w:r w:rsidRPr="00861957">
        <w:rPr>
          <w:sz w:val="22"/>
          <w:szCs w:val="22"/>
        </w:rPr>
        <w:tab/>
        <w:t>Multidrug-Resistant Tuberculosis</w:t>
      </w:r>
    </w:p>
    <w:p w14:paraId="6D5A18E9" w14:textId="77777777" w:rsidR="0012180C" w:rsidRPr="00861957" w:rsidRDefault="0012180C" w:rsidP="0012180C">
      <w:pPr>
        <w:rPr>
          <w:sz w:val="22"/>
          <w:szCs w:val="22"/>
        </w:rPr>
      </w:pPr>
      <w:r w:rsidRPr="00861957">
        <w:rPr>
          <w:sz w:val="22"/>
          <w:szCs w:val="22"/>
        </w:rPr>
        <w:t>MFA</w:t>
      </w:r>
      <w:r w:rsidRPr="00861957">
        <w:rPr>
          <w:sz w:val="22"/>
          <w:szCs w:val="22"/>
        </w:rPr>
        <w:tab/>
        <w:t xml:space="preserve">    </w:t>
      </w:r>
      <w:r w:rsidRPr="00861957">
        <w:rPr>
          <w:sz w:val="22"/>
          <w:szCs w:val="22"/>
        </w:rPr>
        <w:tab/>
      </w:r>
      <w:r w:rsidRPr="00861957">
        <w:rPr>
          <w:sz w:val="22"/>
          <w:szCs w:val="22"/>
        </w:rPr>
        <w:tab/>
        <w:t>Ministry of Foreign Affairs</w:t>
      </w:r>
    </w:p>
    <w:p w14:paraId="347A84E0" w14:textId="77777777" w:rsidR="0012180C" w:rsidRPr="00861957" w:rsidRDefault="0012180C" w:rsidP="0012180C">
      <w:pPr>
        <w:rPr>
          <w:sz w:val="22"/>
          <w:szCs w:val="22"/>
        </w:rPr>
      </w:pPr>
      <w:r w:rsidRPr="00861957">
        <w:rPr>
          <w:sz w:val="22"/>
          <w:szCs w:val="22"/>
        </w:rPr>
        <w:t>MIC</w:t>
      </w:r>
      <w:r w:rsidRPr="00861957">
        <w:rPr>
          <w:sz w:val="22"/>
          <w:szCs w:val="22"/>
        </w:rPr>
        <w:tab/>
      </w:r>
      <w:r w:rsidRPr="00861957">
        <w:rPr>
          <w:sz w:val="22"/>
          <w:szCs w:val="22"/>
        </w:rPr>
        <w:tab/>
      </w:r>
      <w:r w:rsidRPr="00861957">
        <w:rPr>
          <w:sz w:val="22"/>
          <w:szCs w:val="22"/>
        </w:rPr>
        <w:tab/>
        <w:t>Middle-Income Country</w:t>
      </w:r>
    </w:p>
    <w:p w14:paraId="5B48644F" w14:textId="77777777" w:rsidR="0012180C" w:rsidRPr="00861957" w:rsidRDefault="0012180C" w:rsidP="0012180C">
      <w:pPr>
        <w:rPr>
          <w:sz w:val="22"/>
          <w:szCs w:val="22"/>
        </w:rPr>
      </w:pPr>
      <w:r w:rsidRPr="00861957">
        <w:rPr>
          <w:sz w:val="22"/>
          <w:szCs w:val="22"/>
        </w:rPr>
        <w:t>MICS4</w:t>
      </w:r>
      <w:r w:rsidRPr="00861957">
        <w:rPr>
          <w:sz w:val="22"/>
          <w:szCs w:val="22"/>
        </w:rPr>
        <w:tab/>
      </w:r>
      <w:r w:rsidRPr="00861957">
        <w:rPr>
          <w:sz w:val="22"/>
          <w:szCs w:val="22"/>
        </w:rPr>
        <w:tab/>
      </w:r>
      <w:r w:rsidRPr="00861957">
        <w:rPr>
          <w:sz w:val="22"/>
          <w:szCs w:val="22"/>
        </w:rPr>
        <w:tab/>
        <w:t>Multiple Indicator Cluster Survey</w:t>
      </w:r>
    </w:p>
    <w:p w14:paraId="033D09DD" w14:textId="77777777" w:rsidR="0012180C" w:rsidRPr="00861957" w:rsidRDefault="0012180C" w:rsidP="0012180C">
      <w:pPr>
        <w:rPr>
          <w:sz w:val="22"/>
          <w:szCs w:val="22"/>
        </w:rPr>
      </w:pPr>
      <w:r w:rsidRPr="00861957">
        <w:rPr>
          <w:sz w:val="22"/>
          <w:szCs w:val="22"/>
        </w:rPr>
        <w:t>MoD</w:t>
      </w:r>
      <w:r w:rsidRPr="00861957">
        <w:rPr>
          <w:sz w:val="22"/>
          <w:szCs w:val="22"/>
        </w:rPr>
        <w:tab/>
      </w:r>
      <w:r w:rsidRPr="00861957">
        <w:rPr>
          <w:sz w:val="22"/>
          <w:szCs w:val="22"/>
        </w:rPr>
        <w:tab/>
      </w:r>
      <w:r w:rsidRPr="00861957">
        <w:rPr>
          <w:sz w:val="22"/>
          <w:szCs w:val="22"/>
        </w:rPr>
        <w:tab/>
        <w:t>Ministry of Defence</w:t>
      </w:r>
    </w:p>
    <w:p w14:paraId="57B00A9F" w14:textId="77777777" w:rsidR="0012180C" w:rsidRPr="00861957" w:rsidRDefault="0012180C" w:rsidP="0012180C">
      <w:pPr>
        <w:rPr>
          <w:sz w:val="22"/>
          <w:szCs w:val="22"/>
        </w:rPr>
      </w:pPr>
      <w:r w:rsidRPr="00861957">
        <w:rPr>
          <w:sz w:val="22"/>
          <w:szCs w:val="22"/>
        </w:rPr>
        <w:t>MoH</w:t>
      </w:r>
      <w:r w:rsidRPr="00861957">
        <w:rPr>
          <w:sz w:val="22"/>
          <w:szCs w:val="22"/>
        </w:rPr>
        <w:tab/>
      </w:r>
      <w:r w:rsidRPr="00861957">
        <w:rPr>
          <w:sz w:val="22"/>
          <w:szCs w:val="22"/>
        </w:rPr>
        <w:tab/>
      </w:r>
      <w:r w:rsidRPr="00861957">
        <w:rPr>
          <w:sz w:val="22"/>
          <w:szCs w:val="22"/>
        </w:rPr>
        <w:tab/>
        <w:t>Ministry of Health</w:t>
      </w:r>
    </w:p>
    <w:p w14:paraId="17945D78" w14:textId="77777777" w:rsidR="0012180C" w:rsidRPr="00861957" w:rsidRDefault="0012180C" w:rsidP="0012180C">
      <w:pPr>
        <w:rPr>
          <w:sz w:val="22"/>
          <w:szCs w:val="22"/>
        </w:rPr>
      </w:pPr>
      <w:r w:rsidRPr="00861957">
        <w:rPr>
          <w:sz w:val="22"/>
          <w:szCs w:val="22"/>
        </w:rPr>
        <w:t>MSM</w:t>
      </w:r>
      <w:r w:rsidRPr="00861957">
        <w:rPr>
          <w:sz w:val="22"/>
          <w:szCs w:val="22"/>
        </w:rPr>
        <w:tab/>
      </w:r>
      <w:r w:rsidRPr="00861957">
        <w:rPr>
          <w:sz w:val="22"/>
          <w:szCs w:val="22"/>
        </w:rPr>
        <w:tab/>
      </w:r>
      <w:r w:rsidRPr="00861957">
        <w:rPr>
          <w:sz w:val="22"/>
          <w:szCs w:val="22"/>
        </w:rPr>
        <w:tab/>
        <w:t>Men Having Sex with Men</w:t>
      </w:r>
    </w:p>
    <w:p w14:paraId="31D277B2" w14:textId="77777777" w:rsidR="0012180C" w:rsidRPr="00861957" w:rsidRDefault="0012180C" w:rsidP="0012180C">
      <w:pPr>
        <w:rPr>
          <w:sz w:val="22"/>
          <w:szCs w:val="22"/>
        </w:rPr>
      </w:pPr>
      <w:r w:rsidRPr="00861957">
        <w:rPr>
          <w:sz w:val="22"/>
          <w:szCs w:val="22"/>
        </w:rPr>
        <w:t>MSME</w:t>
      </w:r>
      <w:r w:rsidRPr="00861957">
        <w:rPr>
          <w:sz w:val="22"/>
          <w:szCs w:val="22"/>
        </w:rPr>
        <w:tab/>
      </w:r>
      <w:r w:rsidRPr="00861957">
        <w:rPr>
          <w:sz w:val="22"/>
          <w:szCs w:val="22"/>
        </w:rPr>
        <w:tab/>
      </w:r>
      <w:r w:rsidRPr="00861957">
        <w:rPr>
          <w:sz w:val="22"/>
          <w:szCs w:val="22"/>
        </w:rPr>
        <w:tab/>
        <w:t>Micro, Small and Medium Enterprises</w:t>
      </w:r>
    </w:p>
    <w:p w14:paraId="7246BCDB" w14:textId="77777777" w:rsidR="0012180C" w:rsidRPr="00861957" w:rsidRDefault="0012180C" w:rsidP="0012180C">
      <w:pPr>
        <w:rPr>
          <w:sz w:val="22"/>
          <w:szCs w:val="22"/>
        </w:rPr>
      </w:pPr>
      <w:r w:rsidRPr="00861957">
        <w:rPr>
          <w:sz w:val="22"/>
          <w:szCs w:val="22"/>
        </w:rPr>
        <w:t>MSW</w:t>
      </w:r>
      <w:r w:rsidRPr="00861957">
        <w:rPr>
          <w:sz w:val="22"/>
          <w:szCs w:val="22"/>
        </w:rPr>
        <w:tab/>
      </w:r>
      <w:r w:rsidRPr="00861957">
        <w:rPr>
          <w:sz w:val="22"/>
          <w:szCs w:val="22"/>
        </w:rPr>
        <w:tab/>
      </w:r>
      <w:r w:rsidRPr="00861957">
        <w:rPr>
          <w:sz w:val="22"/>
          <w:szCs w:val="22"/>
        </w:rPr>
        <w:tab/>
        <w:t>Municipal Solid Waste</w:t>
      </w:r>
    </w:p>
    <w:p w14:paraId="1EC80B8E" w14:textId="77777777" w:rsidR="0012180C" w:rsidRPr="00861957" w:rsidRDefault="0012180C" w:rsidP="0012180C">
      <w:pPr>
        <w:rPr>
          <w:sz w:val="22"/>
          <w:szCs w:val="22"/>
        </w:rPr>
      </w:pPr>
      <w:r w:rsidRPr="00861957">
        <w:rPr>
          <w:sz w:val="22"/>
          <w:szCs w:val="22"/>
        </w:rPr>
        <w:t>NBRB</w:t>
      </w:r>
      <w:r w:rsidRPr="00861957">
        <w:rPr>
          <w:sz w:val="22"/>
          <w:szCs w:val="22"/>
        </w:rPr>
        <w:tab/>
      </w:r>
      <w:r w:rsidRPr="00861957">
        <w:rPr>
          <w:sz w:val="22"/>
          <w:szCs w:val="22"/>
        </w:rPr>
        <w:tab/>
      </w:r>
      <w:r w:rsidRPr="00861957">
        <w:rPr>
          <w:sz w:val="22"/>
          <w:szCs w:val="22"/>
        </w:rPr>
        <w:tab/>
        <w:t>National Bank of the Republic of Belarus</w:t>
      </w:r>
    </w:p>
    <w:p w14:paraId="7B7012EF" w14:textId="77777777" w:rsidR="0012180C" w:rsidRPr="00861957" w:rsidRDefault="0012180C" w:rsidP="0012180C">
      <w:pPr>
        <w:rPr>
          <w:sz w:val="22"/>
          <w:szCs w:val="22"/>
        </w:rPr>
      </w:pPr>
      <w:r w:rsidRPr="00861957">
        <w:rPr>
          <w:sz w:val="22"/>
          <w:szCs w:val="22"/>
        </w:rPr>
        <w:t>NCD</w:t>
      </w:r>
      <w:r w:rsidRPr="00861957">
        <w:rPr>
          <w:sz w:val="22"/>
          <w:szCs w:val="22"/>
        </w:rPr>
        <w:tab/>
      </w:r>
      <w:r w:rsidRPr="00861957">
        <w:rPr>
          <w:sz w:val="22"/>
          <w:szCs w:val="22"/>
        </w:rPr>
        <w:tab/>
      </w:r>
      <w:r w:rsidRPr="00861957">
        <w:rPr>
          <w:sz w:val="22"/>
          <w:szCs w:val="22"/>
        </w:rPr>
        <w:tab/>
        <w:t>Non-Communicable Disease</w:t>
      </w:r>
    </w:p>
    <w:p w14:paraId="15935E8D" w14:textId="77777777" w:rsidR="0012180C" w:rsidRPr="00861957" w:rsidRDefault="0012180C" w:rsidP="0012180C">
      <w:pPr>
        <w:rPr>
          <w:sz w:val="22"/>
          <w:szCs w:val="22"/>
        </w:rPr>
      </w:pPr>
      <w:r w:rsidRPr="00861957">
        <w:rPr>
          <w:sz w:val="22"/>
          <w:szCs w:val="22"/>
        </w:rPr>
        <w:t>NDG</w:t>
      </w:r>
      <w:r w:rsidRPr="00861957">
        <w:rPr>
          <w:sz w:val="22"/>
          <w:szCs w:val="22"/>
        </w:rPr>
        <w:tab/>
        <w:t xml:space="preserve">    </w:t>
      </w:r>
      <w:r w:rsidRPr="00861957">
        <w:rPr>
          <w:sz w:val="22"/>
          <w:szCs w:val="22"/>
        </w:rPr>
        <w:tab/>
      </w:r>
      <w:r w:rsidRPr="00861957">
        <w:rPr>
          <w:sz w:val="22"/>
          <w:szCs w:val="22"/>
        </w:rPr>
        <w:tab/>
        <w:t>National Development Goal</w:t>
      </w:r>
    </w:p>
    <w:p w14:paraId="519F0723" w14:textId="4D8EDB5A" w:rsidR="0012180C" w:rsidRPr="00861957" w:rsidRDefault="0012180C" w:rsidP="0012180C">
      <w:pPr>
        <w:rPr>
          <w:sz w:val="22"/>
          <w:szCs w:val="22"/>
        </w:rPr>
      </w:pPr>
      <w:r w:rsidRPr="00861957">
        <w:rPr>
          <w:sz w:val="22"/>
          <w:szCs w:val="22"/>
        </w:rPr>
        <w:t>NGO</w:t>
      </w:r>
      <w:r w:rsidRPr="00861957">
        <w:rPr>
          <w:sz w:val="22"/>
          <w:szCs w:val="22"/>
        </w:rPr>
        <w:tab/>
        <w:t xml:space="preserve">    </w:t>
      </w:r>
      <w:r w:rsidRPr="00861957">
        <w:rPr>
          <w:sz w:val="22"/>
          <w:szCs w:val="22"/>
        </w:rPr>
        <w:tab/>
      </w:r>
      <w:r w:rsidRPr="00861957">
        <w:rPr>
          <w:sz w:val="22"/>
          <w:szCs w:val="22"/>
        </w:rPr>
        <w:tab/>
        <w:t>Non-Governmental Organi</w:t>
      </w:r>
      <w:r w:rsidR="000F002C" w:rsidRPr="00861957">
        <w:rPr>
          <w:sz w:val="22"/>
          <w:szCs w:val="22"/>
        </w:rPr>
        <w:t>z</w:t>
      </w:r>
      <w:r w:rsidRPr="00861957">
        <w:rPr>
          <w:sz w:val="22"/>
          <w:szCs w:val="22"/>
        </w:rPr>
        <w:t>ation</w:t>
      </w:r>
    </w:p>
    <w:p w14:paraId="56F33444" w14:textId="6643CA40" w:rsidR="0012180C" w:rsidRPr="00861957" w:rsidRDefault="000B47C6" w:rsidP="0012180C">
      <w:pPr>
        <w:ind w:left="2124" w:hanging="2124"/>
        <w:rPr>
          <w:sz w:val="22"/>
          <w:szCs w:val="22"/>
        </w:rPr>
      </w:pPr>
      <w:r>
        <w:rPr>
          <w:sz w:val="22"/>
          <w:szCs w:val="22"/>
        </w:rPr>
        <w:lastRenderedPageBreak/>
        <w:t>NSSSED</w:t>
      </w:r>
      <w:r w:rsidR="0012180C" w:rsidRPr="00861957">
        <w:rPr>
          <w:sz w:val="22"/>
          <w:szCs w:val="22"/>
        </w:rPr>
        <w:t xml:space="preserve">-2030 </w:t>
      </w:r>
      <w:r w:rsidR="0012180C" w:rsidRPr="00861957">
        <w:rPr>
          <w:sz w:val="22"/>
          <w:szCs w:val="22"/>
        </w:rPr>
        <w:tab/>
        <w:t>Concept of the National</w:t>
      </w:r>
      <w:r w:rsidR="0012180C" w:rsidRPr="00861957">
        <w:t xml:space="preserve"> </w:t>
      </w:r>
      <w:r w:rsidR="0012180C" w:rsidRPr="00861957">
        <w:rPr>
          <w:sz w:val="22"/>
          <w:szCs w:val="22"/>
        </w:rPr>
        <w:t xml:space="preserve">Strategy </w:t>
      </w:r>
      <w:r w:rsidR="00EE2B9B" w:rsidRPr="00861957">
        <w:rPr>
          <w:sz w:val="22"/>
          <w:szCs w:val="22"/>
        </w:rPr>
        <w:t xml:space="preserve">for </w:t>
      </w:r>
      <w:r w:rsidR="0012180C" w:rsidRPr="00861957">
        <w:rPr>
          <w:sz w:val="22"/>
          <w:szCs w:val="22"/>
        </w:rPr>
        <w:t xml:space="preserve">Sustainable Socio-Economic Development </w:t>
      </w:r>
      <w:r w:rsidR="00EE2B9B" w:rsidRPr="00861957">
        <w:rPr>
          <w:sz w:val="22"/>
          <w:szCs w:val="22"/>
        </w:rPr>
        <w:t>in</w:t>
      </w:r>
      <w:r w:rsidR="0012180C" w:rsidRPr="00861957">
        <w:rPr>
          <w:sz w:val="22"/>
          <w:szCs w:val="22"/>
        </w:rPr>
        <w:t xml:space="preserve"> Belarus </w:t>
      </w:r>
      <w:r w:rsidR="00EE2B9B" w:rsidRPr="00861957">
        <w:rPr>
          <w:sz w:val="22"/>
          <w:szCs w:val="22"/>
        </w:rPr>
        <w:t>un</w:t>
      </w:r>
      <w:r w:rsidR="0012180C" w:rsidRPr="00861957">
        <w:rPr>
          <w:sz w:val="22"/>
          <w:szCs w:val="22"/>
        </w:rPr>
        <w:t>til 2030</w:t>
      </w:r>
    </w:p>
    <w:p w14:paraId="4B28FAC1" w14:textId="7EC858A3" w:rsidR="0012180C" w:rsidRPr="00861957" w:rsidRDefault="0012180C" w:rsidP="0012180C">
      <w:pPr>
        <w:ind w:left="2124" w:hanging="2124"/>
        <w:rPr>
          <w:sz w:val="22"/>
          <w:szCs w:val="22"/>
        </w:rPr>
      </w:pPr>
      <w:r w:rsidRPr="00861957">
        <w:rPr>
          <w:sz w:val="22"/>
          <w:szCs w:val="22"/>
        </w:rPr>
        <w:t>OECD</w:t>
      </w:r>
      <w:r w:rsidRPr="00861957">
        <w:rPr>
          <w:sz w:val="22"/>
          <w:szCs w:val="22"/>
        </w:rPr>
        <w:tab/>
        <w:t>Organi</w:t>
      </w:r>
      <w:r w:rsidR="000F002C" w:rsidRPr="00861957">
        <w:rPr>
          <w:sz w:val="22"/>
          <w:szCs w:val="22"/>
        </w:rPr>
        <w:t>z</w:t>
      </w:r>
      <w:r w:rsidRPr="00861957">
        <w:rPr>
          <w:sz w:val="22"/>
          <w:szCs w:val="22"/>
        </w:rPr>
        <w:t>ation for Economic Cooperation and Development</w:t>
      </w:r>
    </w:p>
    <w:p w14:paraId="7E28A716" w14:textId="77777777" w:rsidR="0012180C" w:rsidRPr="00861957" w:rsidRDefault="0012180C" w:rsidP="0012180C">
      <w:pPr>
        <w:ind w:left="2124" w:hanging="2124"/>
        <w:rPr>
          <w:sz w:val="22"/>
          <w:szCs w:val="22"/>
        </w:rPr>
      </w:pPr>
      <w:r w:rsidRPr="00861957">
        <w:rPr>
          <w:sz w:val="22"/>
          <w:szCs w:val="22"/>
        </w:rPr>
        <w:t>OHCHR</w:t>
      </w:r>
      <w:r w:rsidRPr="00861957">
        <w:rPr>
          <w:sz w:val="22"/>
          <w:szCs w:val="22"/>
        </w:rPr>
        <w:tab/>
        <w:t>Office of the United Nations High Commissioner for Human Rights</w:t>
      </w:r>
    </w:p>
    <w:p w14:paraId="789EE32F" w14:textId="2034621F" w:rsidR="0012180C" w:rsidRPr="00861957" w:rsidRDefault="0012180C" w:rsidP="0012180C">
      <w:pPr>
        <w:ind w:left="2124" w:hanging="2124"/>
        <w:rPr>
          <w:sz w:val="22"/>
          <w:szCs w:val="22"/>
        </w:rPr>
      </w:pPr>
      <w:r w:rsidRPr="00861957">
        <w:rPr>
          <w:sz w:val="22"/>
          <w:szCs w:val="22"/>
        </w:rPr>
        <w:t>OSCE</w:t>
      </w:r>
      <w:r w:rsidRPr="00861957">
        <w:rPr>
          <w:sz w:val="22"/>
          <w:szCs w:val="22"/>
        </w:rPr>
        <w:tab/>
        <w:t>Organi</w:t>
      </w:r>
      <w:r w:rsidR="000F002C" w:rsidRPr="00861957">
        <w:rPr>
          <w:sz w:val="22"/>
          <w:szCs w:val="22"/>
        </w:rPr>
        <w:t>z</w:t>
      </w:r>
      <w:r w:rsidRPr="00861957">
        <w:rPr>
          <w:sz w:val="22"/>
          <w:szCs w:val="22"/>
        </w:rPr>
        <w:t>ation for Security and Cooperation in Europe</w:t>
      </w:r>
    </w:p>
    <w:p w14:paraId="027E8D5F" w14:textId="77777777" w:rsidR="0012180C" w:rsidRPr="00861957" w:rsidRDefault="0012180C" w:rsidP="0012180C">
      <w:pPr>
        <w:ind w:left="2124" w:hanging="2124"/>
        <w:rPr>
          <w:sz w:val="22"/>
          <w:szCs w:val="22"/>
        </w:rPr>
      </w:pPr>
      <w:r w:rsidRPr="00861957">
        <w:rPr>
          <w:sz w:val="22"/>
          <w:szCs w:val="22"/>
        </w:rPr>
        <w:t>PLHIV</w:t>
      </w:r>
      <w:r w:rsidRPr="00861957">
        <w:rPr>
          <w:sz w:val="22"/>
          <w:szCs w:val="22"/>
        </w:rPr>
        <w:tab/>
        <w:t>People Living with HIV</w:t>
      </w:r>
    </w:p>
    <w:p w14:paraId="4C021C66" w14:textId="77777777" w:rsidR="0012180C" w:rsidRPr="00861957" w:rsidRDefault="0012180C" w:rsidP="0012180C">
      <w:pPr>
        <w:ind w:left="2124" w:hanging="2124"/>
        <w:rPr>
          <w:sz w:val="22"/>
          <w:szCs w:val="22"/>
        </w:rPr>
      </w:pPr>
      <w:r w:rsidRPr="00861957">
        <w:rPr>
          <w:sz w:val="22"/>
          <w:szCs w:val="22"/>
        </w:rPr>
        <w:t>PPI</w:t>
      </w:r>
      <w:r w:rsidRPr="00861957">
        <w:rPr>
          <w:sz w:val="22"/>
          <w:szCs w:val="22"/>
        </w:rPr>
        <w:tab/>
        <w:t>Producer Price Index</w:t>
      </w:r>
    </w:p>
    <w:p w14:paraId="4C148144" w14:textId="2AFBADBC" w:rsidR="009B4450" w:rsidRDefault="009B4450" w:rsidP="0012180C">
      <w:pPr>
        <w:rPr>
          <w:sz w:val="22"/>
          <w:szCs w:val="22"/>
        </w:rPr>
      </w:pPr>
      <w:r>
        <w:rPr>
          <w:sz w:val="22"/>
          <w:szCs w:val="22"/>
        </w:rPr>
        <w:t>PPP</w:t>
      </w:r>
      <w:r>
        <w:rPr>
          <w:sz w:val="22"/>
          <w:szCs w:val="22"/>
        </w:rPr>
        <w:tab/>
      </w:r>
      <w:r>
        <w:rPr>
          <w:sz w:val="22"/>
          <w:szCs w:val="22"/>
        </w:rPr>
        <w:tab/>
      </w:r>
      <w:r>
        <w:rPr>
          <w:sz w:val="22"/>
          <w:szCs w:val="22"/>
        </w:rPr>
        <w:tab/>
      </w:r>
      <w:r>
        <w:t>Purchasing Power Parity</w:t>
      </w:r>
      <w:r>
        <w:rPr>
          <w:sz w:val="22"/>
          <w:szCs w:val="22"/>
        </w:rPr>
        <w:tab/>
      </w:r>
    </w:p>
    <w:p w14:paraId="08085951" w14:textId="77777777" w:rsidR="0012180C" w:rsidRPr="00861957" w:rsidRDefault="0012180C" w:rsidP="0012180C">
      <w:pPr>
        <w:rPr>
          <w:sz w:val="22"/>
          <w:szCs w:val="22"/>
        </w:rPr>
      </w:pPr>
      <w:r w:rsidRPr="00861957">
        <w:rPr>
          <w:sz w:val="22"/>
          <w:szCs w:val="22"/>
        </w:rPr>
        <w:t>PSG</w:t>
      </w:r>
      <w:r w:rsidRPr="00861957">
        <w:rPr>
          <w:sz w:val="22"/>
          <w:szCs w:val="22"/>
        </w:rPr>
        <w:tab/>
        <w:t xml:space="preserve">    </w:t>
      </w:r>
      <w:r w:rsidRPr="00861957">
        <w:rPr>
          <w:sz w:val="22"/>
          <w:szCs w:val="22"/>
        </w:rPr>
        <w:tab/>
      </w:r>
      <w:r w:rsidRPr="00861957">
        <w:rPr>
          <w:sz w:val="22"/>
          <w:szCs w:val="22"/>
        </w:rPr>
        <w:tab/>
        <w:t>Peer Support Group</w:t>
      </w:r>
    </w:p>
    <w:p w14:paraId="43571DE4" w14:textId="77777777" w:rsidR="0012180C" w:rsidRPr="00861957" w:rsidRDefault="009E6762" w:rsidP="0012180C">
      <w:pPr>
        <w:rPr>
          <w:sz w:val="22"/>
          <w:szCs w:val="22"/>
        </w:rPr>
      </w:pPr>
      <w:r w:rsidRPr="00861957">
        <w:rPr>
          <w:sz w:val="22"/>
          <w:szCs w:val="22"/>
        </w:rPr>
        <w:t>PWI</w:t>
      </w:r>
      <w:r w:rsidR="0012180C" w:rsidRPr="00861957">
        <w:rPr>
          <w:sz w:val="22"/>
          <w:szCs w:val="22"/>
        </w:rPr>
        <w:t>D</w:t>
      </w:r>
      <w:r w:rsidR="0012180C" w:rsidRPr="00861957">
        <w:rPr>
          <w:sz w:val="22"/>
          <w:szCs w:val="22"/>
        </w:rPr>
        <w:tab/>
      </w:r>
      <w:r w:rsidR="0012180C" w:rsidRPr="00861957">
        <w:rPr>
          <w:sz w:val="22"/>
          <w:szCs w:val="22"/>
        </w:rPr>
        <w:tab/>
      </w:r>
      <w:r w:rsidR="0012180C" w:rsidRPr="00861957">
        <w:rPr>
          <w:sz w:val="22"/>
          <w:szCs w:val="22"/>
        </w:rPr>
        <w:tab/>
        <w:t xml:space="preserve">People Who </w:t>
      </w:r>
      <w:r w:rsidRPr="00861957">
        <w:rPr>
          <w:sz w:val="22"/>
          <w:szCs w:val="22"/>
        </w:rPr>
        <w:t>Inject</w:t>
      </w:r>
      <w:r w:rsidR="0012180C" w:rsidRPr="00861957">
        <w:rPr>
          <w:sz w:val="22"/>
          <w:szCs w:val="22"/>
        </w:rPr>
        <w:t xml:space="preserve"> Drugs</w:t>
      </w:r>
    </w:p>
    <w:p w14:paraId="002286C7" w14:textId="77777777" w:rsidR="00BD0147" w:rsidRPr="00861957" w:rsidRDefault="00BD0147" w:rsidP="0012180C">
      <w:pPr>
        <w:rPr>
          <w:sz w:val="22"/>
          <w:szCs w:val="22"/>
        </w:rPr>
      </w:pPr>
      <w:r w:rsidRPr="00861957">
        <w:rPr>
          <w:sz w:val="22"/>
          <w:szCs w:val="22"/>
        </w:rPr>
        <w:t>RC</w:t>
      </w:r>
      <w:r w:rsidRPr="00861957">
        <w:rPr>
          <w:sz w:val="22"/>
          <w:szCs w:val="22"/>
        </w:rPr>
        <w:tab/>
      </w:r>
      <w:r w:rsidRPr="00861957">
        <w:rPr>
          <w:sz w:val="22"/>
          <w:szCs w:val="22"/>
        </w:rPr>
        <w:tab/>
      </w:r>
      <w:r w:rsidRPr="00861957">
        <w:rPr>
          <w:sz w:val="22"/>
          <w:szCs w:val="22"/>
        </w:rPr>
        <w:tab/>
        <w:t>UN Resident Coordinator in Belarus</w:t>
      </w:r>
    </w:p>
    <w:p w14:paraId="479936B1" w14:textId="77777777" w:rsidR="0012180C" w:rsidRPr="00861957" w:rsidRDefault="0012180C" w:rsidP="0012180C">
      <w:pPr>
        <w:rPr>
          <w:sz w:val="22"/>
          <w:szCs w:val="22"/>
        </w:rPr>
      </w:pPr>
      <w:r w:rsidRPr="00861957">
        <w:rPr>
          <w:sz w:val="22"/>
          <w:szCs w:val="22"/>
        </w:rPr>
        <w:t>RCO</w:t>
      </w:r>
      <w:r w:rsidRPr="00861957">
        <w:rPr>
          <w:sz w:val="22"/>
          <w:szCs w:val="22"/>
        </w:rPr>
        <w:tab/>
        <w:t xml:space="preserve">    </w:t>
      </w:r>
      <w:r w:rsidRPr="00861957">
        <w:rPr>
          <w:sz w:val="22"/>
          <w:szCs w:val="22"/>
        </w:rPr>
        <w:tab/>
      </w:r>
      <w:r w:rsidRPr="00861957">
        <w:rPr>
          <w:sz w:val="22"/>
          <w:szCs w:val="22"/>
        </w:rPr>
        <w:tab/>
        <w:t>UN Resident Coordinator’s Office in Belarus</w:t>
      </w:r>
    </w:p>
    <w:p w14:paraId="5BD3F932" w14:textId="77777777" w:rsidR="0012180C" w:rsidRPr="00861957" w:rsidRDefault="0012180C" w:rsidP="0012180C">
      <w:pPr>
        <w:rPr>
          <w:sz w:val="22"/>
          <w:szCs w:val="22"/>
        </w:rPr>
      </w:pPr>
      <w:r w:rsidRPr="00861957">
        <w:rPr>
          <w:sz w:val="22"/>
          <w:szCs w:val="22"/>
        </w:rPr>
        <w:t>RES</w:t>
      </w:r>
      <w:r w:rsidRPr="00861957">
        <w:rPr>
          <w:sz w:val="22"/>
          <w:szCs w:val="22"/>
        </w:rPr>
        <w:tab/>
      </w:r>
      <w:r w:rsidRPr="00861957">
        <w:rPr>
          <w:sz w:val="22"/>
          <w:szCs w:val="22"/>
        </w:rPr>
        <w:tab/>
      </w:r>
      <w:r w:rsidRPr="00861957">
        <w:rPr>
          <w:sz w:val="22"/>
          <w:szCs w:val="22"/>
        </w:rPr>
        <w:tab/>
        <w:t>Renewable Energy Sources</w:t>
      </w:r>
    </w:p>
    <w:p w14:paraId="6E0BD3AB" w14:textId="77777777" w:rsidR="0012180C" w:rsidRPr="00861957" w:rsidRDefault="0012180C" w:rsidP="0012180C">
      <w:pPr>
        <w:rPr>
          <w:sz w:val="22"/>
          <w:szCs w:val="22"/>
        </w:rPr>
      </w:pPr>
      <w:r w:rsidRPr="00861957">
        <w:rPr>
          <w:sz w:val="22"/>
          <w:szCs w:val="22"/>
        </w:rPr>
        <w:t>RSPCPT</w:t>
      </w:r>
      <w:r w:rsidRPr="00861957">
        <w:rPr>
          <w:sz w:val="22"/>
          <w:szCs w:val="22"/>
        </w:rPr>
        <w:tab/>
      </w:r>
      <w:r w:rsidRPr="00861957">
        <w:rPr>
          <w:sz w:val="22"/>
          <w:szCs w:val="22"/>
        </w:rPr>
        <w:tab/>
        <w:t>Republican Scientific and Practical Centre for Pulmonology and Tuberculosis</w:t>
      </w:r>
    </w:p>
    <w:p w14:paraId="56C44586" w14:textId="77777777" w:rsidR="0012180C" w:rsidRPr="00861957" w:rsidRDefault="0012180C" w:rsidP="0012180C">
      <w:pPr>
        <w:rPr>
          <w:sz w:val="22"/>
          <w:szCs w:val="22"/>
        </w:rPr>
      </w:pPr>
      <w:r w:rsidRPr="00861957">
        <w:rPr>
          <w:sz w:val="22"/>
          <w:szCs w:val="22"/>
        </w:rPr>
        <w:t>R&amp;D</w:t>
      </w:r>
      <w:r w:rsidRPr="00861957">
        <w:rPr>
          <w:sz w:val="22"/>
          <w:szCs w:val="22"/>
        </w:rPr>
        <w:tab/>
      </w:r>
      <w:r w:rsidRPr="00861957">
        <w:rPr>
          <w:sz w:val="22"/>
          <w:szCs w:val="22"/>
        </w:rPr>
        <w:tab/>
      </w:r>
      <w:r w:rsidRPr="00861957">
        <w:rPr>
          <w:sz w:val="22"/>
          <w:szCs w:val="22"/>
        </w:rPr>
        <w:tab/>
        <w:t>Research and Development</w:t>
      </w:r>
    </w:p>
    <w:p w14:paraId="42AC1001" w14:textId="77777777" w:rsidR="0012180C" w:rsidRPr="00861957" w:rsidRDefault="0012180C" w:rsidP="0012180C">
      <w:pPr>
        <w:rPr>
          <w:sz w:val="22"/>
          <w:szCs w:val="22"/>
        </w:rPr>
      </w:pPr>
      <w:r w:rsidRPr="00861957">
        <w:rPr>
          <w:sz w:val="22"/>
          <w:szCs w:val="22"/>
        </w:rPr>
        <w:t>SDG</w:t>
      </w:r>
      <w:r w:rsidRPr="00861957">
        <w:rPr>
          <w:sz w:val="22"/>
          <w:szCs w:val="22"/>
        </w:rPr>
        <w:tab/>
      </w:r>
      <w:r w:rsidRPr="00861957">
        <w:rPr>
          <w:sz w:val="22"/>
          <w:szCs w:val="22"/>
        </w:rPr>
        <w:tab/>
      </w:r>
      <w:r w:rsidRPr="00861957">
        <w:rPr>
          <w:sz w:val="22"/>
          <w:szCs w:val="22"/>
        </w:rPr>
        <w:tab/>
        <w:t>Sustainable Development Goal</w:t>
      </w:r>
    </w:p>
    <w:p w14:paraId="5DEEC689" w14:textId="77777777" w:rsidR="0012180C" w:rsidRPr="00861957" w:rsidRDefault="0012180C" w:rsidP="0012180C">
      <w:pPr>
        <w:rPr>
          <w:sz w:val="22"/>
          <w:szCs w:val="22"/>
        </w:rPr>
      </w:pPr>
      <w:r w:rsidRPr="00861957">
        <w:rPr>
          <w:sz w:val="22"/>
          <w:szCs w:val="22"/>
        </w:rPr>
        <w:t>SME</w:t>
      </w:r>
      <w:r w:rsidRPr="00861957">
        <w:rPr>
          <w:sz w:val="22"/>
          <w:szCs w:val="22"/>
        </w:rPr>
        <w:tab/>
        <w:t xml:space="preserve">    </w:t>
      </w:r>
      <w:r w:rsidRPr="00861957">
        <w:rPr>
          <w:sz w:val="22"/>
          <w:szCs w:val="22"/>
        </w:rPr>
        <w:tab/>
      </w:r>
      <w:r w:rsidRPr="00861957">
        <w:rPr>
          <w:sz w:val="22"/>
          <w:szCs w:val="22"/>
        </w:rPr>
        <w:tab/>
        <w:t>Small and Medium Enterprises</w:t>
      </w:r>
    </w:p>
    <w:p w14:paraId="2C435D3F" w14:textId="77777777" w:rsidR="0012180C" w:rsidRPr="00861957" w:rsidRDefault="0012180C" w:rsidP="0012180C">
      <w:pPr>
        <w:rPr>
          <w:sz w:val="22"/>
          <w:szCs w:val="22"/>
        </w:rPr>
      </w:pPr>
      <w:r w:rsidRPr="00861957">
        <w:rPr>
          <w:sz w:val="22"/>
          <w:szCs w:val="22"/>
        </w:rPr>
        <w:t>SOE</w:t>
      </w:r>
      <w:r w:rsidRPr="00861957">
        <w:rPr>
          <w:sz w:val="22"/>
          <w:szCs w:val="22"/>
        </w:rPr>
        <w:tab/>
      </w:r>
      <w:r w:rsidRPr="00861957">
        <w:rPr>
          <w:sz w:val="22"/>
          <w:szCs w:val="22"/>
        </w:rPr>
        <w:tab/>
      </w:r>
      <w:r w:rsidRPr="00861957">
        <w:rPr>
          <w:sz w:val="22"/>
          <w:szCs w:val="22"/>
        </w:rPr>
        <w:tab/>
        <w:t>State-Owned Enterprise</w:t>
      </w:r>
    </w:p>
    <w:p w14:paraId="2F5D0DCF" w14:textId="77777777" w:rsidR="0012180C" w:rsidRPr="00861957" w:rsidRDefault="0012180C" w:rsidP="0012180C">
      <w:pPr>
        <w:rPr>
          <w:sz w:val="22"/>
          <w:szCs w:val="22"/>
        </w:rPr>
      </w:pPr>
      <w:r w:rsidRPr="00861957">
        <w:rPr>
          <w:sz w:val="22"/>
          <w:szCs w:val="22"/>
        </w:rPr>
        <w:t xml:space="preserve">SPR       </w:t>
      </w:r>
      <w:r w:rsidR="00C53012" w:rsidRPr="00861957">
        <w:rPr>
          <w:sz w:val="22"/>
          <w:szCs w:val="22"/>
        </w:rPr>
        <w:t xml:space="preserve">   </w:t>
      </w:r>
      <w:r w:rsidR="00C53012" w:rsidRPr="00861957">
        <w:rPr>
          <w:sz w:val="22"/>
          <w:szCs w:val="22"/>
        </w:rPr>
        <w:tab/>
      </w:r>
      <w:r w:rsidR="00C53012" w:rsidRPr="00861957">
        <w:rPr>
          <w:sz w:val="22"/>
          <w:szCs w:val="22"/>
        </w:rPr>
        <w:tab/>
        <w:t>Strategic Planning Retreat</w:t>
      </w:r>
    </w:p>
    <w:p w14:paraId="1FE78276" w14:textId="77777777" w:rsidR="0012180C" w:rsidRPr="00861957" w:rsidRDefault="0012180C" w:rsidP="0012180C">
      <w:pPr>
        <w:rPr>
          <w:sz w:val="22"/>
          <w:szCs w:val="22"/>
        </w:rPr>
      </w:pPr>
      <w:r w:rsidRPr="00861957">
        <w:rPr>
          <w:sz w:val="22"/>
          <w:szCs w:val="22"/>
        </w:rPr>
        <w:t>TB</w:t>
      </w:r>
      <w:r w:rsidRPr="00861957">
        <w:rPr>
          <w:sz w:val="22"/>
          <w:szCs w:val="22"/>
        </w:rPr>
        <w:tab/>
        <w:t xml:space="preserve">    </w:t>
      </w:r>
      <w:r w:rsidRPr="00861957">
        <w:rPr>
          <w:sz w:val="22"/>
          <w:szCs w:val="22"/>
        </w:rPr>
        <w:tab/>
      </w:r>
      <w:r w:rsidRPr="00861957">
        <w:rPr>
          <w:sz w:val="22"/>
          <w:szCs w:val="22"/>
        </w:rPr>
        <w:tab/>
        <w:t>Tuberculosis</w:t>
      </w:r>
    </w:p>
    <w:p w14:paraId="0F84AE8E" w14:textId="77777777" w:rsidR="0012180C" w:rsidRPr="00861957" w:rsidRDefault="0012180C" w:rsidP="0012180C">
      <w:pPr>
        <w:rPr>
          <w:sz w:val="22"/>
          <w:szCs w:val="22"/>
        </w:rPr>
      </w:pPr>
      <w:r w:rsidRPr="00861957">
        <w:rPr>
          <w:sz w:val="22"/>
          <w:szCs w:val="22"/>
        </w:rPr>
        <w:t>TI</w:t>
      </w:r>
      <w:r w:rsidRPr="00861957">
        <w:rPr>
          <w:sz w:val="22"/>
          <w:szCs w:val="22"/>
        </w:rPr>
        <w:tab/>
      </w:r>
      <w:r w:rsidRPr="00861957">
        <w:rPr>
          <w:sz w:val="22"/>
          <w:szCs w:val="22"/>
        </w:rPr>
        <w:tab/>
      </w:r>
      <w:r w:rsidRPr="00861957">
        <w:rPr>
          <w:sz w:val="22"/>
          <w:szCs w:val="22"/>
        </w:rPr>
        <w:tab/>
        <w:t>Transparency International</w:t>
      </w:r>
    </w:p>
    <w:p w14:paraId="70292E36" w14:textId="77777777" w:rsidR="0012180C" w:rsidRPr="00861957" w:rsidRDefault="0012180C" w:rsidP="0012180C">
      <w:pPr>
        <w:rPr>
          <w:sz w:val="22"/>
          <w:szCs w:val="22"/>
        </w:rPr>
      </w:pPr>
      <w:r w:rsidRPr="00861957">
        <w:rPr>
          <w:sz w:val="22"/>
          <w:szCs w:val="22"/>
        </w:rPr>
        <w:t>TNC</w:t>
      </w:r>
      <w:r w:rsidRPr="00861957">
        <w:rPr>
          <w:sz w:val="22"/>
          <w:szCs w:val="22"/>
        </w:rPr>
        <w:tab/>
      </w:r>
      <w:r w:rsidRPr="00861957">
        <w:rPr>
          <w:sz w:val="22"/>
          <w:szCs w:val="22"/>
        </w:rPr>
        <w:tab/>
      </w:r>
      <w:r w:rsidRPr="00861957">
        <w:rPr>
          <w:sz w:val="22"/>
          <w:szCs w:val="22"/>
        </w:rPr>
        <w:tab/>
        <w:t>Transnational Corporation</w:t>
      </w:r>
    </w:p>
    <w:p w14:paraId="76DEC965" w14:textId="77777777" w:rsidR="0012180C" w:rsidRPr="00861957" w:rsidRDefault="0012180C" w:rsidP="0012180C">
      <w:pPr>
        <w:rPr>
          <w:sz w:val="22"/>
          <w:szCs w:val="22"/>
        </w:rPr>
      </w:pPr>
      <w:r w:rsidRPr="00861957">
        <w:rPr>
          <w:sz w:val="22"/>
          <w:szCs w:val="22"/>
        </w:rPr>
        <w:t>UN</w:t>
      </w:r>
      <w:r w:rsidRPr="00861957">
        <w:rPr>
          <w:sz w:val="22"/>
          <w:szCs w:val="22"/>
        </w:rPr>
        <w:tab/>
        <w:t xml:space="preserve">   </w:t>
      </w:r>
      <w:r w:rsidRPr="00861957">
        <w:rPr>
          <w:sz w:val="22"/>
          <w:szCs w:val="22"/>
        </w:rPr>
        <w:tab/>
      </w:r>
      <w:r w:rsidRPr="00861957">
        <w:rPr>
          <w:sz w:val="22"/>
          <w:szCs w:val="22"/>
        </w:rPr>
        <w:tab/>
        <w:t>United Nations</w:t>
      </w:r>
    </w:p>
    <w:p w14:paraId="5BE12A97" w14:textId="77777777" w:rsidR="0012180C" w:rsidRPr="00861957" w:rsidRDefault="0012180C" w:rsidP="0012180C">
      <w:pPr>
        <w:rPr>
          <w:sz w:val="22"/>
          <w:szCs w:val="22"/>
        </w:rPr>
      </w:pPr>
      <w:r w:rsidRPr="00861957">
        <w:rPr>
          <w:sz w:val="22"/>
          <w:szCs w:val="22"/>
        </w:rPr>
        <w:t>UNAIDS</w:t>
      </w:r>
      <w:r w:rsidRPr="00861957">
        <w:rPr>
          <w:sz w:val="22"/>
          <w:szCs w:val="22"/>
        </w:rPr>
        <w:tab/>
      </w:r>
      <w:r w:rsidRPr="00861957">
        <w:rPr>
          <w:sz w:val="22"/>
          <w:szCs w:val="22"/>
        </w:rPr>
        <w:tab/>
        <w:t>Joint United Nations Programme on HIV/AIDS</w:t>
      </w:r>
    </w:p>
    <w:p w14:paraId="682BC948" w14:textId="77777777" w:rsidR="0012180C" w:rsidRPr="00861957" w:rsidRDefault="0012180C" w:rsidP="0012180C">
      <w:pPr>
        <w:rPr>
          <w:sz w:val="22"/>
          <w:szCs w:val="22"/>
        </w:rPr>
      </w:pPr>
      <w:r w:rsidRPr="00861957">
        <w:rPr>
          <w:sz w:val="22"/>
          <w:szCs w:val="22"/>
        </w:rPr>
        <w:t>UNCCD</w:t>
      </w:r>
      <w:r w:rsidRPr="00861957">
        <w:rPr>
          <w:sz w:val="22"/>
          <w:szCs w:val="22"/>
        </w:rPr>
        <w:tab/>
      </w:r>
      <w:r w:rsidRPr="00861957">
        <w:rPr>
          <w:sz w:val="22"/>
          <w:szCs w:val="22"/>
        </w:rPr>
        <w:tab/>
        <w:t>United Nations Convention to Combat Desertification</w:t>
      </w:r>
    </w:p>
    <w:p w14:paraId="72D5B49B" w14:textId="77777777" w:rsidR="0012180C" w:rsidRPr="00861957" w:rsidRDefault="0012180C" w:rsidP="0012180C">
      <w:pPr>
        <w:rPr>
          <w:sz w:val="22"/>
          <w:szCs w:val="22"/>
        </w:rPr>
      </w:pPr>
      <w:r w:rsidRPr="00861957">
        <w:rPr>
          <w:sz w:val="22"/>
          <w:szCs w:val="22"/>
        </w:rPr>
        <w:t>UNCT</w:t>
      </w:r>
      <w:r w:rsidRPr="00861957">
        <w:rPr>
          <w:sz w:val="22"/>
          <w:szCs w:val="22"/>
        </w:rPr>
        <w:tab/>
        <w:t xml:space="preserve">    </w:t>
      </w:r>
      <w:r w:rsidRPr="00861957">
        <w:rPr>
          <w:sz w:val="22"/>
          <w:szCs w:val="22"/>
        </w:rPr>
        <w:tab/>
      </w:r>
      <w:r w:rsidRPr="00861957">
        <w:rPr>
          <w:sz w:val="22"/>
          <w:szCs w:val="22"/>
        </w:rPr>
        <w:tab/>
        <w:t>United Nations Country Team</w:t>
      </w:r>
    </w:p>
    <w:p w14:paraId="0B7E9C44" w14:textId="77777777" w:rsidR="0012180C" w:rsidRPr="00861957" w:rsidRDefault="0012180C" w:rsidP="0012180C">
      <w:pPr>
        <w:rPr>
          <w:sz w:val="22"/>
          <w:szCs w:val="22"/>
        </w:rPr>
      </w:pPr>
      <w:r w:rsidRPr="00861957">
        <w:rPr>
          <w:sz w:val="22"/>
          <w:szCs w:val="22"/>
        </w:rPr>
        <w:t>UNCTAD</w:t>
      </w:r>
      <w:r w:rsidRPr="00861957">
        <w:rPr>
          <w:sz w:val="22"/>
          <w:szCs w:val="22"/>
        </w:rPr>
        <w:tab/>
      </w:r>
      <w:r w:rsidRPr="00861957">
        <w:rPr>
          <w:sz w:val="22"/>
          <w:szCs w:val="22"/>
        </w:rPr>
        <w:tab/>
        <w:t>United Nations Conference on Trade and Development</w:t>
      </w:r>
    </w:p>
    <w:p w14:paraId="133D9D38" w14:textId="77777777" w:rsidR="0012180C" w:rsidRPr="00861957" w:rsidRDefault="0012180C" w:rsidP="0012180C">
      <w:pPr>
        <w:rPr>
          <w:sz w:val="22"/>
          <w:szCs w:val="22"/>
        </w:rPr>
      </w:pPr>
      <w:r w:rsidRPr="00861957">
        <w:rPr>
          <w:sz w:val="22"/>
          <w:szCs w:val="22"/>
        </w:rPr>
        <w:t>UNDP</w:t>
      </w:r>
      <w:r w:rsidRPr="00861957">
        <w:rPr>
          <w:sz w:val="22"/>
          <w:szCs w:val="22"/>
        </w:rPr>
        <w:tab/>
      </w:r>
      <w:r w:rsidRPr="00861957">
        <w:rPr>
          <w:sz w:val="22"/>
          <w:szCs w:val="22"/>
        </w:rPr>
        <w:tab/>
      </w:r>
      <w:r w:rsidRPr="00861957">
        <w:rPr>
          <w:sz w:val="22"/>
          <w:szCs w:val="22"/>
        </w:rPr>
        <w:tab/>
        <w:t>United Nations Development Programme</w:t>
      </w:r>
    </w:p>
    <w:p w14:paraId="3DC52FE1" w14:textId="77777777" w:rsidR="0012180C" w:rsidRPr="00861957" w:rsidRDefault="0012180C" w:rsidP="0012180C">
      <w:pPr>
        <w:rPr>
          <w:sz w:val="22"/>
          <w:szCs w:val="22"/>
        </w:rPr>
      </w:pPr>
      <w:r w:rsidRPr="00861957">
        <w:rPr>
          <w:sz w:val="22"/>
          <w:szCs w:val="22"/>
        </w:rPr>
        <w:t>UNDPI</w:t>
      </w:r>
      <w:r w:rsidRPr="00861957">
        <w:rPr>
          <w:sz w:val="22"/>
          <w:szCs w:val="22"/>
        </w:rPr>
        <w:tab/>
      </w:r>
      <w:r w:rsidRPr="00861957">
        <w:rPr>
          <w:sz w:val="22"/>
          <w:szCs w:val="22"/>
        </w:rPr>
        <w:tab/>
      </w:r>
      <w:r w:rsidRPr="00861957">
        <w:rPr>
          <w:sz w:val="22"/>
          <w:szCs w:val="22"/>
        </w:rPr>
        <w:tab/>
        <w:t>United Nations Department of Public Information</w:t>
      </w:r>
    </w:p>
    <w:p w14:paraId="50CAAFF7" w14:textId="77777777" w:rsidR="0012180C" w:rsidRPr="00861957" w:rsidRDefault="0012180C" w:rsidP="0012180C">
      <w:pPr>
        <w:rPr>
          <w:sz w:val="22"/>
          <w:szCs w:val="22"/>
        </w:rPr>
      </w:pPr>
      <w:r w:rsidRPr="00861957">
        <w:rPr>
          <w:sz w:val="22"/>
          <w:szCs w:val="22"/>
        </w:rPr>
        <w:t xml:space="preserve">UNDAF   </w:t>
      </w:r>
      <w:r w:rsidRPr="00861957">
        <w:rPr>
          <w:sz w:val="22"/>
          <w:szCs w:val="22"/>
        </w:rPr>
        <w:tab/>
      </w:r>
      <w:r w:rsidRPr="00861957">
        <w:rPr>
          <w:sz w:val="22"/>
          <w:szCs w:val="22"/>
        </w:rPr>
        <w:tab/>
        <w:t>United Nations Development Assistance Framework</w:t>
      </w:r>
    </w:p>
    <w:p w14:paraId="0ACD7FC9" w14:textId="77777777" w:rsidR="0012180C" w:rsidRPr="00861957" w:rsidRDefault="0012180C" w:rsidP="0012180C">
      <w:pPr>
        <w:rPr>
          <w:sz w:val="22"/>
          <w:szCs w:val="22"/>
        </w:rPr>
      </w:pPr>
      <w:r w:rsidRPr="00861957">
        <w:rPr>
          <w:sz w:val="22"/>
          <w:szCs w:val="22"/>
        </w:rPr>
        <w:t>UNECE</w:t>
      </w:r>
      <w:r w:rsidRPr="00861957">
        <w:rPr>
          <w:sz w:val="22"/>
          <w:szCs w:val="22"/>
        </w:rPr>
        <w:tab/>
      </w:r>
      <w:r w:rsidRPr="00861957">
        <w:rPr>
          <w:sz w:val="22"/>
          <w:szCs w:val="22"/>
        </w:rPr>
        <w:tab/>
        <w:t>United Nations Economic Commission for Europe</w:t>
      </w:r>
    </w:p>
    <w:p w14:paraId="08ABE876" w14:textId="77777777" w:rsidR="0012180C" w:rsidRPr="00861957" w:rsidRDefault="0012180C" w:rsidP="0012180C">
      <w:pPr>
        <w:rPr>
          <w:sz w:val="22"/>
          <w:szCs w:val="22"/>
        </w:rPr>
      </w:pPr>
      <w:r w:rsidRPr="00861957">
        <w:rPr>
          <w:sz w:val="22"/>
          <w:szCs w:val="22"/>
        </w:rPr>
        <w:t>UNEP</w:t>
      </w:r>
      <w:r w:rsidRPr="00861957">
        <w:rPr>
          <w:sz w:val="22"/>
          <w:szCs w:val="22"/>
        </w:rPr>
        <w:tab/>
      </w:r>
      <w:r w:rsidRPr="00861957">
        <w:rPr>
          <w:sz w:val="22"/>
          <w:szCs w:val="22"/>
        </w:rPr>
        <w:tab/>
      </w:r>
      <w:r w:rsidRPr="00861957">
        <w:rPr>
          <w:sz w:val="22"/>
          <w:szCs w:val="22"/>
        </w:rPr>
        <w:tab/>
        <w:t>United Nations Environment Programme</w:t>
      </w:r>
    </w:p>
    <w:p w14:paraId="4601B150" w14:textId="14A513C9" w:rsidR="0012180C" w:rsidRPr="00861957" w:rsidRDefault="0012180C" w:rsidP="0012180C">
      <w:pPr>
        <w:rPr>
          <w:sz w:val="22"/>
          <w:szCs w:val="22"/>
        </w:rPr>
      </w:pPr>
      <w:r w:rsidRPr="00861957">
        <w:rPr>
          <w:sz w:val="22"/>
          <w:szCs w:val="22"/>
        </w:rPr>
        <w:t>UNESCO</w:t>
      </w:r>
      <w:r w:rsidRPr="00861957">
        <w:rPr>
          <w:sz w:val="22"/>
          <w:szCs w:val="22"/>
        </w:rPr>
        <w:tab/>
      </w:r>
      <w:r w:rsidRPr="00861957">
        <w:rPr>
          <w:sz w:val="22"/>
          <w:szCs w:val="22"/>
        </w:rPr>
        <w:tab/>
        <w:t>United Nations Educational, Scientific and Cultural Organi</w:t>
      </w:r>
      <w:r w:rsidR="000F002C" w:rsidRPr="00861957">
        <w:rPr>
          <w:sz w:val="22"/>
          <w:szCs w:val="22"/>
        </w:rPr>
        <w:t>z</w:t>
      </w:r>
      <w:r w:rsidRPr="00861957">
        <w:rPr>
          <w:sz w:val="22"/>
          <w:szCs w:val="22"/>
        </w:rPr>
        <w:t>ation</w:t>
      </w:r>
    </w:p>
    <w:p w14:paraId="49FC179D" w14:textId="77777777" w:rsidR="0012180C" w:rsidRPr="00861957" w:rsidRDefault="0012180C" w:rsidP="0012180C">
      <w:pPr>
        <w:rPr>
          <w:sz w:val="22"/>
          <w:szCs w:val="22"/>
        </w:rPr>
      </w:pPr>
      <w:r w:rsidRPr="00861957">
        <w:rPr>
          <w:sz w:val="22"/>
          <w:szCs w:val="22"/>
        </w:rPr>
        <w:t>UNFCCC</w:t>
      </w:r>
      <w:r w:rsidRPr="00861957">
        <w:rPr>
          <w:sz w:val="22"/>
          <w:szCs w:val="22"/>
        </w:rPr>
        <w:tab/>
      </w:r>
      <w:r w:rsidRPr="00861957">
        <w:rPr>
          <w:sz w:val="22"/>
          <w:szCs w:val="22"/>
        </w:rPr>
        <w:tab/>
        <w:t>United Nations Framework Convention on Climate Change</w:t>
      </w:r>
    </w:p>
    <w:p w14:paraId="6722BBCC" w14:textId="77777777" w:rsidR="0012180C" w:rsidRPr="00861957" w:rsidRDefault="0012180C" w:rsidP="0012180C">
      <w:pPr>
        <w:rPr>
          <w:sz w:val="22"/>
          <w:szCs w:val="22"/>
        </w:rPr>
      </w:pPr>
      <w:r w:rsidRPr="00861957">
        <w:rPr>
          <w:sz w:val="22"/>
          <w:szCs w:val="22"/>
        </w:rPr>
        <w:t>UNFPA</w:t>
      </w:r>
      <w:r w:rsidRPr="00861957">
        <w:rPr>
          <w:sz w:val="22"/>
          <w:szCs w:val="22"/>
        </w:rPr>
        <w:tab/>
      </w:r>
      <w:r w:rsidRPr="00861957">
        <w:rPr>
          <w:sz w:val="22"/>
          <w:szCs w:val="22"/>
        </w:rPr>
        <w:tab/>
        <w:t>United Nations Population Fund</w:t>
      </w:r>
    </w:p>
    <w:p w14:paraId="3A8B722D" w14:textId="77777777" w:rsidR="0012180C" w:rsidRPr="00861957" w:rsidRDefault="0012180C" w:rsidP="0012180C">
      <w:pPr>
        <w:rPr>
          <w:sz w:val="22"/>
          <w:szCs w:val="22"/>
        </w:rPr>
      </w:pPr>
      <w:r w:rsidRPr="00861957">
        <w:rPr>
          <w:sz w:val="22"/>
          <w:szCs w:val="22"/>
        </w:rPr>
        <w:t xml:space="preserve">UNHCR </w:t>
      </w:r>
      <w:r w:rsidRPr="00861957">
        <w:rPr>
          <w:sz w:val="22"/>
          <w:szCs w:val="22"/>
        </w:rPr>
        <w:tab/>
      </w:r>
      <w:r w:rsidRPr="00861957">
        <w:rPr>
          <w:sz w:val="22"/>
          <w:szCs w:val="22"/>
        </w:rPr>
        <w:tab/>
        <w:t>UN Refugee Agency</w:t>
      </w:r>
    </w:p>
    <w:p w14:paraId="12A805DC" w14:textId="77777777" w:rsidR="0012180C" w:rsidRPr="00861957" w:rsidRDefault="0012180C" w:rsidP="0012180C">
      <w:pPr>
        <w:rPr>
          <w:sz w:val="22"/>
          <w:szCs w:val="22"/>
        </w:rPr>
      </w:pPr>
      <w:r w:rsidRPr="00861957">
        <w:rPr>
          <w:sz w:val="22"/>
          <w:szCs w:val="22"/>
        </w:rPr>
        <w:t>UNICEF</w:t>
      </w:r>
      <w:r w:rsidRPr="00861957">
        <w:rPr>
          <w:sz w:val="22"/>
          <w:szCs w:val="22"/>
        </w:rPr>
        <w:tab/>
      </w:r>
      <w:r w:rsidRPr="00861957">
        <w:rPr>
          <w:sz w:val="22"/>
          <w:szCs w:val="22"/>
        </w:rPr>
        <w:tab/>
        <w:t>United Nations Children's Fund</w:t>
      </w:r>
    </w:p>
    <w:p w14:paraId="52F596C6" w14:textId="1BF4B54D" w:rsidR="0012180C" w:rsidRPr="00861957" w:rsidRDefault="0012180C" w:rsidP="0012180C">
      <w:pPr>
        <w:rPr>
          <w:sz w:val="22"/>
          <w:szCs w:val="22"/>
        </w:rPr>
      </w:pPr>
      <w:r w:rsidRPr="00861957">
        <w:rPr>
          <w:sz w:val="22"/>
          <w:szCs w:val="22"/>
        </w:rPr>
        <w:t>UNIDO</w:t>
      </w:r>
      <w:r w:rsidRPr="00861957">
        <w:rPr>
          <w:sz w:val="22"/>
          <w:szCs w:val="22"/>
        </w:rPr>
        <w:tab/>
      </w:r>
      <w:r w:rsidRPr="00861957">
        <w:rPr>
          <w:sz w:val="22"/>
          <w:szCs w:val="22"/>
        </w:rPr>
        <w:tab/>
        <w:t>United Nations Industrial Development Organi</w:t>
      </w:r>
      <w:r w:rsidR="000F002C" w:rsidRPr="00861957">
        <w:rPr>
          <w:sz w:val="22"/>
          <w:szCs w:val="22"/>
        </w:rPr>
        <w:t>z</w:t>
      </w:r>
      <w:r w:rsidRPr="00861957">
        <w:rPr>
          <w:sz w:val="22"/>
          <w:szCs w:val="22"/>
        </w:rPr>
        <w:t>ation</w:t>
      </w:r>
    </w:p>
    <w:p w14:paraId="32A5F934" w14:textId="77777777" w:rsidR="0012180C" w:rsidRPr="00861957" w:rsidRDefault="0012180C" w:rsidP="0012180C">
      <w:pPr>
        <w:rPr>
          <w:sz w:val="22"/>
          <w:szCs w:val="22"/>
        </w:rPr>
      </w:pPr>
      <w:r w:rsidRPr="00861957">
        <w:rPr>
          <w:sz w:val="22"/>
          <w:szCs w:val="22"/>
        </w:rPr>
        <w:t>UNISDR</w:t>
      </w:r>
      <w:r w:rsidRPr="00861957">
        <w:rPr>
          <w:sz w:val="22"/>
          <w:szCs w:val="22"/>
        </w:rPr>
        <w:tab/>
      </w:r>
      <w:r w:rsidRPr="00861957">
        <w:rPr>
          <w:sz w:val="22"/>
          <w:szCs w:val="22"/>
        </w:rPr>
        <w:tab/>
      </w:r>
      <w:r w:rsidR="004F2ED5" w:rsidRPr="00861957">
        <w:rPr>
          <w:sz w:val="22"/>
          <w:szCs w:val="22"/>
        </w:rPr>
        <w:t>United Nations Office for Disaster Risk Reduction</w:t>
      </w:r>
    </w:p>
    <w:p w14:paraId="2456207A" w14:textId="77777777" w:rsidR="0012180C" w:rsidRPr="00861957" w:rsidRDefault="0012180C" w:rsidP="0012180C">
      <w:pPr>
        <w:rPr>
          <w:sz w:val="22"/>
          <w:szCs w:val="22"/>
        </w:rPr>
      </w:pPr>
      <w:r w:rsidRPr="00861957">
        <w:rPr>
          <w:sz w:val="22"/>
          <w:szCs w:val="22"/>
        </w:rPr>
        <w:t>UNODC</w:t>
      </w:r>
      <w:r w:rsidRPr="00861957">
        <w:rPr>
          <w:sz w:val="22"/>
          <w:szCs w:val="22"/>
        </w:rPr>
        <w:tab/>
      </w:r>
      <w:r w:rsidRPr="00861957">
        <w:rPr>
          <w:sz w:val="22"/>
          <w:szCs w:val="22"/>
        </w:rPr>
        <w:tab/>
        <w:t>United Nations Office on Drugs and Crime</w:t>
      </w:r>
    </w:p>
    <w:p w14:paraId="41AF5B08" w14:textId="00D1E9D1" w:rsidR="0071643B" w:rsidRPr="0071643B" w:rsidRDefault="0071643B" w:rsidP="0012180C">
      <w:pPr>
        <w:rPr>
          <w:sz w:val="22"/>
          <w:szCs w:val="22"/>
          <w:lang w:val="en-US"/>
        </w:rPr>
      </w:pPr>
      <w:r>
        <w:rPr>
          <w:sz w:val="22"/>
          <w:szCs w:val="22"/>
          <w:lang w:val="en-US"/>
        </w:rPr>
        <w:t>UNWTO</w:t>
      </w:r>
      <w:r>
        <w:rPr>
          <w:sz w:val="22"/>
          <w:szCs w:val="22"/>
          <w:lang w:val="en-US"/>
        </w:rPr>
        <w:tab/>
      </w:r>
      <w:r>
        <w:rPr>
          <w:sz w:val="22"/>
          <w:szCs w:val="22"/>
          <w:lang w:val="en-US"/>
        </w:rPr>
        <w:tab/>
        <w:t xml:space="preserve">UN World Tourism Organization </w:t>
      </w:r>
    </w:p>
    <w:p w14:paraId="1728A0F8" w14:textId="77777777" w:rsidR="0012180C" w:rsidRPr="00861957" w:rsidRDefault="0012180C" w:rsidP="0012180C">
      <w:pPr>
        <w:rPr>
          <w:sz w:val="22"/>
          <w:szCs w:val="22"/>
        </w:rPr>
      </w:pPr>
      <w:r w:rsidRPr="00861957">
        <w:rPr>
          <w:sz w:val="22"/>
          <w:szCs w:val="22"/>
        </w:rPr>
        <w:t>UPR</w:t>
      </w:r>
      <w:r w:rsidRPr="00861957">
        <w:rPr>
          <w:sz w:val="22"/>
          <w:szCs w:val="22"/>
        </w:rPr>
        <w:tab/>
        <w:t xml:space="preserve">    </w:t>
      </w:r>
      <w:r w:rsidRPr="00861957">
        <w:rPr>
          <w:sz w:val="22"/>
          <w:szCs w:val="22"/>
        </w:rPr>
        <w:tab/>
      </w:r>
      <w:r w:rsidRPr="00861957">
        <w:rPr>
          <w:sz w:val="22"/>
          <w:szCs w:val="22"/>
        </w:rPr>
        <w:tab/>
        <w:t>Universal Periodic Review</w:t>
      </w:r>
    </w:p>
    <w:p w14:paraId="0CB409DC" w14:textId="11C5EDFA" w:rsidR="0012180C" w:rsidRPr="00861957" w:rsidRDefault="0012180C" w:rsidP="0012180C">
      <w:pPr>
        <w:rPr>
          <w:sz w:val="22"/>
          <w:szCs w:val="22"/>
        </w:rPr>
      </w:pPr>
      <w:r w:rsidRPr="00861957">
        <w:rPr>
          <w:sz w:val="22"/>
          <w:szCs w:val="22"/>
        </w:rPr>
        <w:t>US</w:t>
      </w:r>
      <w:r w:rsidRPr="00861957">
        <w:rPr>
          <w:sz w:val="22"/>
          <w:szCs w:val="22"/>
        </w:rPr>
        <w:tab/>
      </w:r>
      <w:r w:rsidRPr="00861957">
        <w:rPr>
          <w:sz w:val="22"/>
          <w:szCs w:val="22"/>
        </w:rPr>
        <w:tab/>
      </w:r>
      <w:r w:rsidRPr="00861957">
        <w:rPr>
          <w:sz w:val="22"/>
          <w:szCs w:val="22"/>
        </w:rPr>
        <w:tab/>
        <w:t>United States</w:t>
      </w:r>
      <w:r w:rsidR="00CB7407">
        <w:rPr>
          <w:sz w:val="22"/>
          <w:szCs w:val="22"/>
        </w:rPr>
        <w:t xml:space="preserve"> of America</w:t>
      </w:r>
    </w:p>
    <w:p w14:paraId="71EB0680" w14:textId="77777777" w:rsidR="0012180C" w:rsidRPr="00861957" w:rsidRDefault="0012180C" w:rsidP="0012180C">
      <w:pPr>
        <w:rPr>
          <w:sz w:val="22"/>
          <w:szCs w:val="22"/>
        </w:rPr>
      </w:pPr>
      <w:r w:rsidRPr="00861957">
        <w:rPr>
          <w:sz w:val="22"/>
          <w:szCs w:val="22"/>
        </w:rPr>
        <w:t>USAID</w:t>
      </w:r>
      <w:r w:rsidRPr="00861957">
        <w:rPr>
          <w:sz w:val="22"/>
          <w:szCs w:val="22"/>
        </w:rPr>
        <w:tab/>
      </w:r>
      <w:r w:rsidRPr="00861957">
        <w:rPr>
          <w:sz w:val="22"/>
          <w:szCs w:val="22"/>
        </w:rPr>
        <w:tab/>
      </w:r>
      <w:r w:rsidRPr="00861957">
        <w:rPr>
          <w:sz w:val="22"/>
          <w:szCs w:val="22"/>
        </w:rPr>
        <w:tab/>
        <w:t>United States Agency for International Development</w:t>
      </w:r>
    </w:p>
    <w:p w14:paraId="60654493" w14:textId="77777777" w:rsidR="0012180C" w:rsidRPr="00861957" w:rsidRDefault="0012180C" w:rsidP="0012180C">
      <w:pPr>
        <w:rPr>
          <w:sz w:val="22"/>
          <w:szCs w:val="22"/>
        </w:rPr>
      </w:pPr>
      <w:r w:rsidRPr="00861957">
        <w:rPr>
          <w:sz w:val="22"/>
          <w:szCs w:val="22"/>
        </w:rPr>
        <w:t>USD</w:t>
      </w:r>
      <w:r w:rsidRPr="00861957">
        <w:rPr>
          <w:sz w:val="22"/>
          <w:szCs w:val="22"/>
        </w:rPr>
        <w:tab/>
      </w:r>
      <w:r w:rsidRPr="00861957">
        <w:rPr>
          <w:sz w:val="22"/>
          <w:szCs w:val="22"/>
        </w:rPr>
        <w:tab/>
      </w:r>
      <w:r w:rsidRPr="00861957">
        <w:rPr>
          <w:sz w:val="22"/>
          <w:szCs w:val="22"/>
        </w:rPr>
        <w:tab/>
        <w:t>United States Dollar</w:t>
      </w:r>
    </w:p>
    <w:p w14:paraId="2804A0C8" w14:textId="77777777" w:rsidR="0012180C" w:rsidRPr="00861957" w:rsidRDefault="0012180C" w:rsidP="0012180C">
      <w:pPr>
        <w:rPr>
          <w:sz w:val="22"/>
          <w:szCs w:val="22"/>
        </w:rPr>
      </w:pPr>
      <w:r w:rsidRPr="00861957">
        <w:rPr>
          <w:sz w:val="22"/>
          <w:szCs w:val="22"/>
        </w:rPr>
        <w:t>WB</w:t>
      </w:r>
      <w:r w:rsidRPr="00861957">
        <w:rPr>
          <w:sz w:val="22"/>
          <w:szCs w:val="22"/>
        </w:rPr>
        <w:tab/>
      </w:r>
      <w:r w:rsidRPr="00861957">
        <w:rPr>
          <w:sz w:val="22"/>
          <w:szCs w:val="22"/>
        </w:rPr>
        <w:tab/>
      </w:r>
      <w:r w:rsidRPr="00861957">
        <w:rPr>
          <w:sz w:val="22"/>
          <w:szCs w:val="22"/>
        </w:rPr>
        <w:tab/>
        <w:t>Wo</w:t>
      </w:r>
      <w:r w:rsidR="00C53012" w:rsidRPr="00861957">
        <w:rPr>
          <w:sz w:val="22"/>
          <w:szCs w:val="22"/>
        </w:rPr>
        <w:t>rld Bank</w:t>
      </w:r>
    </w:p>
    <w:p w14:paraId="5498E947" w14:textId="15DC160E" w:rsidR="0012180C" w:rsidRPr="00861957" w:rsidRDefault="0012180C" w:rsidP="0012180C">
      <w:pPr>
        <w:rPr>
          <w:sz w:val="22"/>
          <w:szCs w:val="22"/>
        </w:rPr>
      </w:pPr>
      <w:r w:rsidRPr="00861957">
        <w:rPr>
          <w:sz w:val="22"/>
          <w:szCs w:val="22"/>
        </w:rPr>
        <w:t>WHO</w:t>
      </w:r>
      <w:r w:rsidRPr="00861957">
        <w:rPr>
          <w:sz w:val="22"/>
          <w:szCs w:val="22"/>
        </w:rPr>
        <w:tab/>
      </w:r>
      <w:r w:rsidRPr="00861957">
        <w:rPr>
          <w:sz w:val="22"/>
          <w:szCs w:val="22"/>
        </w:rPr>
        <w:tab/>
      </w:r>
      <w:r w:rsidRPr="00861957">
        <w:rPr>
          <w:sz w:val="22"/>
          <w:szCs w:val="22"/>
        </w:rPr>
        <w:tab/>
        <w:t>World Health Organi</w:t>
      </w:r>
      <w:r w:rsidR="000F002C" w:rsidRPr="00861957">
        <w:rPr>
          <w:sz w:val="22"/>
          <w:szCs w:val="22"/>
        </w:rPr>
        <w:t>z</w:t>
      </w:r>
      <w:r w:rsidRPr="00861957">
        <w:rPr>
          <w:sz w:val="22"/>
          <w:szCs w:val="22"/>
        </w:rPr>
        <w:t>ation</w:t>
      </w:r>
    </w:p>
    <w:p w14:paraId="093A33B8" w14:textId="3746CAB6" w:rsidR="0012180C" w:rsidRPr="00861957" w:rsidRDefault="0012180C" w:rsidP="0012180C">
      <w:pPr>
        <w:rPr>
          <w:sz w:val="22"/>
          <w:szCs w:val="22"/>
        </w:rPr>
      </w:pPr>
      <w:r w:rsidRPr="00861957">
        <w:rPr>
          <w:sz w:val="22"/>
          <w:szCs w:val="22"/>
        </w:rPr>
        <w:t>WTO</w:t>
      </w:r>
      <w:r w:rsidRPr="00861957">
        <w:rPr>
          <w:sz w:val="22"/>
          <w:szCs w:val="22"/>
        </w:rPr>
        <w:tab/>
      </w:r>
      <w:r w:rsidRPr="00861957">
        <w:rPr>
          <w:sz w:val="22"/>
          <w:szCs w:val="22"/>
        </w:rPr>
        <w:tab/>
      </w:r>
      <w:r w:rsidRPr="00861957">
        <w:rPr>
          <w:sz w:val="22"/>
          <w:szCs w:val="22"/>
        </w:rPr>
        <w:tab/>
        <w:t>World Trade Organi</w:t>
      </w:r>
      <w:r w:rsidR="000F002C" w:rsidRPr="00861957">
        <w:rPr>
          <w:sz w:val="22"/>
          <w:szCs w:val="22"/>
        </w:rPr>
        <w:t>z</w:t>
      </w:r>
      <w:r w:rsidRPr="00861957">
        <w:rPr>
          <w:sz w:val="22"/>
          <w:szCs w:val="22"/>
        </w:rPr>
        <w:t>ation</w:t>
      </w:r>
    </w:p>
    <w:p w14:paraId="18DED50A" w14:textId="77777777" w:rsidR="0012180C" w:rsidRPr="00861957" w:rsidRDefault="0012180C" w:rsidP="0012180C">
      <w:pPr>
        <w:rPr>
          <w:sz w:val="22"/>
          <w:szCs w:val="22"/>
        </w:rPr>
      </w:pPr>
      <w:r w:rsidRPr="00861957">
        <w:rPr>
          <w:sz w:val="22"/>
          <w:szCs w:val="22"/>
        </w:rPr>
        <w:t>y-o-y</w:t>
      </w:r>
      <w:r w:rsidRPr="00861957">
        <w:rPr>
          <w:sz w:val="22"/>
          <w:szCs w:val="22"/>
        </w:rPr>
        <w:tab/>
      </w:r>
      <w:r w:rsidRPr="00861957">
        <w:rPr>
          <w:sz w:val="22"/>
          <w:szCs w:val="22"/>
        </w:rPr>
        <w:tab/>
      </w:r>
      <w:r w:rsidRPr="00861957">
        <w:rPr>
          <w:sz w:val="22"/>
          <w:szCs w:val="22"/>
        </w:rPr>
        <w:tab/>
        <w:t>Year-Over-Year</w:t>
      </w:r>
    </w:p>
    <w:p w14:paraId="379FA724" w14:textId="77777777" w:rsidR="00FB4D44" w:rsidRPr="00861957" w:rsidRDefault="00FB4D44" w:rsidP="009B6E5F">
      <w:pPr>
        <w:pStyle w:val="Heading1"/>
        <w:rPr>
          <w:rFonts w:ascii="Times New Roman" w:hAnsi="Times New Roman" w:cs="Times New Roman"/>
          <w:color w:val="548DD4" w:themeColor="text2" w:themeTint="99"/>
          <w:sz w:val="36"/>
          <w:szCs w:val="36"/>
        </w:rPr>
        <w:sectPr w:rsidR="00FB4D44" w:rsidRPr="00861957" w:rsidSect="00511C1D">
          <w:headerReference w:type="default" r:id="rId11"/>
          <w:pgSz w:w="11906" w:h="16838"/>
          <w:pgMar w:top="567" w:right="567" w:bottom="567" w:left="1418" w:header="709" w:footer="709" w:gutter="0"/>
          <w:cols w:space="708"/>
          <w:titlePg/>
          <w:docGrid w:linePitch="360"/>
        </w:sectPr>
      </w:pPr>
    </w:p>
    <w:p w14:paraId="02DBE700" w14:textId="31B22361" w:rsidR="00FF1871" w:rsidRPr="00861957" w:rsidRDefault="00B779B4" w:rsidP="009B6E5F">
      <w:pPr>
        <w:pStyle w:val="Heading1"/>
        <w:rPr>
          <w:rFonts w:ascii="Times New Roman" w:hAnsi="Times New Roman" w:cs="Times New Roman"/>
          <w:color w:val="548DD4" w:themeColor="text2" w:themeTint="99"/>
          <w:sz w:val="36"/>
          <w:szCs w:val="36"/>
        </w:rPr>
      </w:pPr>
      <w:bookmarkStart w:id="36" w:name="_Toc405745122"/>
      <w:bookmarkStart w:id="37" w:name="_Toc412921083"/>
      <w:r w:rsidRPr="00861957">
        <w:rPr>
          <w:rFonts w:ascii="Times New Roman" w:hAnsi="Times New Roman" w:cs="Times New Roman"/>
          <w:color w:val="548DD4" w:themeColor="text2" w:themeTint="99"/>
          <w:sz w:val="36"/>
          <w:szCs w:val="36"/>
        </w:rPr>
        <w:lastRenderedPageBreak/>
        <w:t>Annex I.</w:t>
      </w:r>
      <w:r w:rsidR="009B6E5F" w:rsidRPr="00861957">
        <w:rPr>
          <w:rFonts w:ascii="Times New Roman" w:hAnsi="Times New Roman" w:cs="Times New Roman"/>
          <w:color w:val="548DD4" w:themeColor="text2" w:themeTint="99"/>
          <w:sz w:val="36"/>
          <w:szCs w:val="36"/>
        </w:rPr>
        <w:t xml:space="preserve"> Results Matrix</w:t>
      </w:r>
      <w:bookmarkEnd w:id="36"/>
      <w:bookmarkEnd w:id="37"/>
    </w:p>
    <w:p w14:paraId="49399316" w14:textId="77777777" w:rsidR="00FF1871" w:rsidRPr="00861957" w:rsidRDefault="00FF1871" w:rsidP="00B83DB3">
      <w:pPr>
        <w:jc w:val="both"/>
        <w:rPr>
          <w:b/>
        </w:rPr>
      </w:pPr>
    </w:p>
    <w:p w14:paraId="40CC93A7" w14:textId="31B84E1E" w:rsidR="00FC76FF" w:rsidRPr="00861957" w:rsidRDefault="00FC76FF" w:rsidP="00FC76FF">
      <w:pPr>
        <w:pStyle w:val="136"/>
        <w:rPr>
          <w:color w:val="0070C0"/>
          <w:lang w:val="en-GB"/>
        </w:rPr>
      </w:pPr>
      <w:bookmarkStart w:id="38" w:name="_Toc405745123"/>
      <w:bookmarkStart w:id="39" w:name="_Toc412921084"/>
      <w:r w:rsidRPr="00861957">
        <w:rPr>
          <w:color w:val="0070C0"/>
          <w:lang w:val="en-GB"/>
        </w:rPr>
        <w:t>1. National Priorities in the Thematic Area ‘Inclusive, Responsive, and Accountable Governance’</w:t>
      </w:r>
      <w:bookmarkEnd w:id="38"/>
      <w:bookmarkEnd w:id="39"/>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969"/>
        <w:gridCol w:w="1984"/>
        <w:gridCol w:w="3686"/>
        <w:gridCol w:w="2126"/>
        <w:gridCol w:w="1984"/>
      </w:tblGrid>
      <w:tr w:rsidR="003B0CD2" w:rsidRPr="00861957" w14:paraId="0EA68B8D" w14:textId="77777777" w:rsidTr="00C25F6C">
        <w:trPr>
          <w:trHeight w:val="567"/>
          <w:tblHeader/>
        </w:trPr>
        <w:tc>
          <w:tcPr>
            <w:tcW w:w="2127" w:type="dxa"/>
            <w:shd w:val="clear" w:color="auto" w:fill="auto"/>
            <w:vAlign w:val="center"/>
          </w:tcPr>
          <w:p w14:paraId="0349444A" w14:textId="77777777" w:rsidR="003B0CD2" w:rsidRPr="00861957" w:rsidRDefault="003B0CD2" w:rsidP="003B0CD2">
            <w:pPr>
              <w:jc w:val="center"/>
              <w:rPr>
                <w:b/>
                <w:bCs/>
              </w:rPr>
            </w:pPr>
            <w:r w:rsidRPr="00861957">
              <w:rPr>
                <w:b/>
                <w:bCs/>
              </w:rPr>
              <w:t>Outcomes</w:t>
            </w:r>
          </w:p>
        </w:tc>
        <w:tc>
          <w:tcPr>
            <w:tcW w:w="3969" w:type="dxa"/>
            <w:shd w:val="clear" w:color="auto" w:fill="auto"/>
            <w:vAlign w:val="center"/>
          </w:tcPr>
          <w:p w14:paraId="2CCD7D76" w14:textId="77777777" w:rsidR="003B0CD2" w:rsidRPr="00861957" w:rsidRDefault="003B0CD2" w:rsidP="003B0CD2">
            <w:pPr>
              <w:jc w:val="center"/>
              <w:rPr>
                <w:b/>
                <w:bCs/>
              </w:rPr>
            </w:pPr>
            <w:r w:rsidRPr="00861957">
              <w:rPr>
                <w:b/>
                <w:bCs/>
              </w:rPr>
              <w:t>Indicators, Baselines, Targets</w:t>
            </w:r>
          </w:p>
        </w:tc>
        <w:tc>
          <w:tcPr>
            <w:tcW w:w="1984" w:type="dxa"/>
            <w:shd w:val="clear" w:color="auto" w:fill="auto"/>
            <w:vAlign w:val="center"/>
          </w:tcPr>
          <w:p w14:paraId="6252E2A5" w14:textId="77777777" w:rsidR="003B0CD2" w:rsidRPr="00861957" w:rsidRDefault="003B0CD2" w:rsidP="003B0CD2">
            <w:pPr>
              <w:jc w:val="center"/>
              <w:rPr>
                <w:b/>
                <w:bCs/>
              </w:rPr>
            </w:pPr>
            <w:r w:rsidRPr="00861957">
              <w:rPr>
                <w:b/>
                <w:bCs/>
              </w:rPr>
              <w:t>Means of Verification</w:t>
            </w:r>
          </w:p>
        </w:tc>
        <w:tc>
          <w:tcPr>
            <w:tcW w:w="3686" w:type="dxa"/>
            <w:shd w:val="clear" w:color="auto" w:fill="auto"/>
            <w:vAlign w:val="center"/>
          </w:tcPr>
          <w:p w14:paraId="20CDCF6D" w14:textId="77777777" w:rsidR="003B0CD2" w:rsidRPr="00861957" w:rsidRDefault="003B0CD2" w:rsidP="003B0CD2">
            <w:pPr>
              <w:tabs>
                <w:tab w:val="left" w:pos="3849"/>
              </w:tabs>
              <w:jc w:val="center"/>
              <w:rPr>
                <w:b/>
              </w:rPr>
            </w:pPr>
            <w:r w:rsidRPr="00861957">
              <w:rPr>
                <w:b/>
              </w:rPr>
              <w:t>Risks and Assumptions</w:t>
            </w:r>
          </w:p>
        </w:tc>
        <w:tc>
          <w:tcPr>
            <w:tcW w:w="2126" w:type="dxa"/>
            <w:shd w:val="clear" w:color="auto" w:fill="auto"/>
            <w:vAlign w:val="center"/>
          </w:tcPr>
          <w:p w14:paraId="129B4944" w14:textId="77777777" w:rsidR="003B0CD2" w:rsidRPr="00861957" w:rsidRDefault="003B0CD2" w:rsidP="003B0CD2">
            <w:pPr>
              <w:tabs>
                <w:tab w:val="left" w:pos="3849"/>
              </w:tabs>
              <w:jc w:val="center"/>
              <w:rPr>
                <w:b/>
              </w:rPr>
            </w:pPr>
            <w:r w:rsidRPr="00861957">
              <w:rPr>
                <w:b/>
              </w:rPr>
              <w:t>Partners</w:t>
            </w:r>
          </w:p>
        </w:tc>
        <w:tc>
          <w:tcPr>
            <w:tcW w:w="1984" w:type="dxa"/>
            <w:shd w:val="clear" w:color="auto" w:fill="auto"/>
            <w:vAlign w:val="center"/>
          </w:tcPr>
          <w:p w14:paraId="6A565FD0" w14:textId="77777777" w:rsidR="003B0CD2" w:rsidRPr="00861957" w:rsidRDefault="003B0CD2" w:rsidP="003B0CD2">
            <w:pPr>
              <w:tabs>
                <w:tab w:val="left" w:pos="3849"/>
              </w:tabs>
              <w:jc w:val="center"/>
              <w:rPr>
                <w:b/>
              </w:rPr>
            </w:pPr>
            <w:r w:rsidRPr="00861957">
              <w:rPr>
                <w:b/>
              </w:rPr>
              <w:t>Indicative Resources (USD)</w:t>
            </w:r>
          </w:p>
        </w:tc>
      </w:tr>
      <w:tr w:rsidR="0069379D" w:rsidRPr="00861957" w14:paraId="4E357A27" w14:textId="77777777" w:rsidTr="00C25F6C">
        <w:trPr>
          <w:trHeight w:val="567"/>
        </w:trPr>
        <w:tc>
          <w:tcPr>
            <w:tcW w:w="2127" w:type="dxa"/>
            <w:vMerge w:val="restart"/>
            <w:shd w:val="clear" w:color="auto" w:fill="auto"/>
          </w:tcPr>
          <w:p w14:paraId="264463A9" w14:textId="63E14CFF" w:rsidR="0069379D" w:rsidRPr="008B2AD6" w:rsidRDefault="0069379D" w:rsidP="003B0CD2">
            <w:pPr>
              <w:pStyle w:val="PlainText"/>
              <w:jc w:val="both"/>
              <w:rPr>
                <w:rFonts w:ascii="Times New Roman" w:hAnsi="Times New Roman" w:cs="Times New Roman"/>
                <w:sz w:val="24"/>
                <w:szCs w:val="24"/>
                <w:lang w:val="en-GB"/>
              </w:rPr>
            </w:pPr>
            <w:r w:rsidRPr="008B2AD6">
              <w:rPr>
                <w:rFonts w:ascii="Times New Roman" w:hAnsi="Times New Roman" w:cs="Times New Roman"/>
                <w:b/>
                <w:sz w:val="24"/>
                <w:szCs w:val="24"/>
                <w:lang w:val="en-GB"/>
              </w:rPr>
              <w:t>Outcome 1.1:</w:t>
            </w:r>
            <w:r w:rsidRPr="008B2AD6">
              <w:rPr>
                <w:rFonts w:ascii="Times New Roman" w:hAnsi="Times New Roman" w:cs="Times New Roman"/>
                <w:sz w:val="24"/>
                <w:szCs w:val="24"/>
                <w:lang w:val="en-GB"/>
              </w:rPr>
              <w:t xml:space="preserve"> By 2020, effective partnerships will have been strengthened between the state, civil society and private sector, ensuring reconciliation of their interests</w:t>
            </w:r>
          </w:p>
          <w:p w14:paraId="28B01028" w14:textId="77777777" w:rsidR="0069379D" w:rsidRPr="008B2AD6" w:rsidRDefault="0069379D" w:rsidP="001A3D61">
            <w:pPr>
              <w:rPr>
                <w:b/>
              </w:rPr>
            </w:pPr>
            <w:r w:rsidRPr="008B2AD6">
              <w:rPr>
                <w:b/>
              </w:rPr>
              <w:br/>
              <w:t>IOM, UNAIDS, UNDP, UNECE, UNFPA</w:t>
            </w:r>
          </w:p>
          <w:p w14:paraId="05688622" w14:textId="1003AF80" w:rsidR="0069379D" w:rsidRPr="008B2AD6" w:rsidRDefault="0069379D" w:rsidP="001A3D61">
            <w:pPr>
              <w:rPr>
                <w:b/>
                <w:lang w:val="en-US"/>
              </w:rPr>
            </w:pPr>
            <w:r w:rsidRPr="008B2AD6">
              <w:rPr>
                <w:b/>
              </w:rPr>
              <w:t>UNICEF</w:t>
            </w:r>
            <w:r w:rsidRPr="008B2AD6">
              <w:rPr>
                <w:b/>
                <w:lang w:val="en-US"/>
              </w:rPr>
              <w:t>, UNWTO</w:t>
            </w:r>
          </w:p>
        </w:tc>
        <w:tc>
          <w:tcPr>
            <w:tcW w:w="3969" w:type="dxa"/>
            <w:shd w:val="clear" w:color="auto" w:fill="auto"/>
          </w:tcPr>
          <w:p w14:paraId="15EE714A" w14:textId="074004E5" w:rsidR="0069379D" w:rsidRPr="008B2AD6" w:rsidRDefault="0069379D" w:rsidP="00964734">
            <w:pPr>
              <w:rPr>
                <w:color w:val="000000"/>
                <w:kern w:val="24"/>
              </w:rPr>
            </w:pPr>
            <w:r w:rsidRPr="008B2AD6">
              <w:rPr>
                <w:b/>
                <w:color w:val="000000"/>
                <w:kern w:val="24"/>
              </w:rPr>
              <w:t>Indicator 1.1.1.</w:t>
            </w:r>
            <w:r w:rsidRPr="008B2AD6">
              <w:rPr>
                <w:b/>
                <w:color w:val="000000"/>
                <w:kern w:val="24"/>
              </w:rPr>
              <w:br/>
            </w:r>
            <w:r w:rsidRPr="008B2AD6">
              <w:rPr>
                <w:color w:val="000000"/>
                <w:kern w:val="24"/>
              </w:rPr>
              <w:t>Extent to which legal acts have been drafted and adopted to expand civil society participation in the decision-making process</w:t>
            </w:r>
            <w:r w:rsidRPr="008B2AD6">
              <w:rPr>
                <w:color w:val="000000"/>
                <w:kern w:val="24"/>
              </w:rPr>
              <w:br/>
            </w:r>
            <w:r w:rsidRPr="008B2AD6">
              <w:rPr>
                <w:b/>
                <w:color w:val="000000"/>
                <w:kern w:val="24"/>
              </w:rPr>
              <w:t>Baseline</w:t>
            </w:r>
            <w:r w:rsidRPr="008B2AD6">
              <w:rPr>
                <w:color w:val="000000"/>
                <w:kern w:val="24"/>
              </w:rPr>
              <w:t>:</w:t>
            </w:r>
            <w:r w:rsidRPr="008B2AD6">
              <w:rPr>
                <w:color w:val="000000"/>
                <w:kern w:val="24"/>
              </w:rPr>
              <w:br/>
              <w:t>No comprehensive legislation exists  that governs public consultation on draft laws and citizen law-making initiatives</w:t>
            </w:r>
            <w:r w:rsidRPr="008B2AD6">
              <w:rPr>
                <w:color w:val="000000"/>
                <w:kern w:val="24"/>
              </w:rPr>
              <w:br/>
            </w:r>
            <w:r w:rsidRPr="008B2AD6">
              <w:rPr>
                <w:b/>
                <w:color w:val="000000"/>
                <w:kern w:val="24"/>
              </w:rPr>
              <w:t>Targets:</w:t>
            </w:r>
            <w:r w:rsidRPr="008B2AD6">
              <w:rPr>
                <w:b/>
                <w:color w:val="000000"/>
                <w:kern w:val="24"/>
              </w:rPr>
              <w:br/>
            </w:r>
            <w:r w:rsidRPr="008B2AD6">
              <w:rPr>
                <w:color w:val="000000"/>
                <w:kern w:val="24"/>
              </w:rPr>
              <w:t>Relevant legislation is adopted and enacted</w:t>
            </w:r>
          </w:p>
        </w:tc>
        <w:tc>
          <w:tcPr>
            <w:tcW w:w="1984" w:type="dxa"/>
            <w:shd w:val="clear" w:color="auto" w:fill="auto"/>
          </w:tcPr>
          <w:p w14:paraId="777CDA6D" w14:textId="77777777" w:rsidR="0069379D" w:rsidRPr="008B2AD6" w:rsidRDefault="0069379D" w:rsidP="003B0CD2">
            <w:pPr>
              <w:rPr>
                <w:color w:val="000000"/>
                <w:kern w:val="24"/>
              </w:rPr>
            </w:pPr>
            <w:r w:rsidRPr="008B2AD6">
              <w:rPr>
                <w:color w:val="000000"/>
                <w:kern w:val="24"/>
              </w:rPr>
              <w:t>National legal information portal</w:t>
            </w:r>
            <w:r w:rsidRPr="008B2AD6">
              <w:rPr>
                <w:color w:val="000000"/>
                <w:kern w:val="24"/>
              </w:rPr>
              <w:br/>
              <w:t xml:space="preserve">(www.pravo.by) </w:t>
            </w:r>
          </w:p>
        </w:tc>
        <w:tc>
          <w:tcPr>
            <w:tcW w:w="3686" w:type="dxa"/>
            <w:shd w:val="clear" w:color="auto" w:fill="auto"/>
          </w:tcPr>
          <w:p w14:paraId="0BD490CB" w14:textId="0A23CEBA" w:rsidR="0069379D" w:rsidRPr="008B2AD6" w:rsidRDefault="0069379D" w:rsidP="00CF056B">
            <w:pPr>
              <w:rPr>
                <w:color w:val="000000"/>
                <w:kern w:val="24"/>
              </w:rPr>
            </w:pPr>
            <w:r w:rsidRPr="008B2AD6">
              <w:rPr>
                <w:b/>
                <w:color w:val="000000"/>
                <w:kern w:val="24"/>
              </w:rPr>
              <w:t>Assumptions:</w:t>
            </w:r>
            <w:r w:rsidRPr="008B2AD6">
              <w:rPr>
                <w:b/>
                <w:color w:val="000000"/>
                <w:kern w:val="24"/>
              </w:rPr>
              <w:br/>
            </w:r>
            <w:r w:rsidRPr="008B2AD6">
              <w:rPr>
                <w:color w:val="000000"/>
                <w:kern w:val="24"/>
              </w:rPr>
              <w:t xml:space="preserve">A favourable environment is in place for dialogue between the Government, civil society, and the private sector </w:t>
            </w:r>
            <w:r w:rsidRPr="008B2AD6">
              <w:rPr>
                <w:color w:val="000000"/>
                <w:kern w:val="24"/>
              </w:rPr>
              <w:br/>
            </w:r>
            <w:r w:rsidRPr="008B2AD6">
              <w:rPr>
                <w:color w:val="000000"/>
                <w:kern w:val="24"/>
              </w:rPr>
              <w:br/>
            </w:r>
            <w:r w:rsidRPr="008B2AD6">
              <w:rPr>
                <w:b/>
                <w:color w:val="000000"/>
                <w:spacing w:val="-4"/>
                <w:kern w:val="24"/>
              </w:rPr>
              <w:t xml:space="preserve">Risks: </w:t>
            </w:r>
            <w:r w:rsidRPr="008B2AD6">
              <w:rPr>
                <w:b/>
                <w:color w:val="000000"/>
                <w:spacing w:val="-4"/>
                <w:kern w:val="24"/>
              </w:rPr>
              <w:br/>
            </w:r>
            <w:r w:rsidRPr="008B2AD6">
              <w:rPr>
                <w:color w:val="000000"/>
                <w:kern w:val="24"/>
              </w:rPr>
              <w:t>Difficulties in developing a consolidated position on draft laws among all interested parties</w:t>
            </w:r>
          </w:p>
        </w:tc>
        <w:tc>
          <w:tcPr>
            <w:tcW w:w="2126" w:type="dxa"/>
            <w:shd w:val="clear" w:color="auto" w:fill="auto"/>
          </w:tcPr>
          <w:p w14:paraId="74C385B3" w14:textId="1ABE757D" w:rsidR="0069379D" w:rsidRPr="008B2AD6" w:rsidRDefault="0069379D" w:rsidP="003B0CD2">
            <w:pPr>
              <w:rPr>
                <w:color w:val="000000"/>
                <w:spacing w:val="-4"/>
                <w:kern w:val="24"/>
              </w:rPr>
            </w:pPr>
            <w:r w:rsidRPr="008B2AD6">
              <w:rPr>
                <w:color w:val="000000"/>
                <w:spacing w:val="-4"/>
                <w:kern w:val="24"/>
              </w:rPr>
              <w:t xml:space="preserve">National Centre of Legislation and Legal Research, </w:t>
            </w:r>
            <w:r w:rsidRPr="008B2AD6">
              <w:rPr>
                <w:color w:val="000000"/>
                <w:spacing w:val="-4"/>
                <w:kern w:val="24"/>
                <w:lang w:val="en-US"/>
              </w:rPr>
              <w:t xml:space="preserve">Ministry of Justice, </w:t>
            </w:r>
            <w:r w:rsidRPr="008B2AD6">
              <w:rPr>
                <w:color w:val="000000"/>
                <w:spacing w:val="-4"/>
                <w:kern w:val="24"/>
              </w:rPr>
              <w:t>state bodies and other organizations, NGOs</w:t>
            </w:r>
          </w:p>
        </w:tc>
        <w:tc>
          <w:tcPr>
            <w:tcW w:w="1984" w:type="dxa"/>
            <w:shd w:val="clear" w:color="auto" w:fill="auto"/>
            <w:vAlign w:val="center"/>
          </w:tcPr>
          <w:p w14:paraId="56D9FA54" w14:textId="77777777" w:rsidR="0069379D" w:rsidRPr="008B2AD6" w:rsidRDefault="0069379D" w:rsidP="00484E9E">
            <w:pPr>
              <w:rPr>
                <w:b/>
              </w:rPr>
            </w:pPr>
            <w:r w:rsidRPr="008B2AD6">
              <w:rPr>
                <w:b/>
              </w:rPr>
              <w:t>UNICEF – $20,000</w:t>
            </w:r>
          </w:p>
          <w:p w14:paraId="03654BBA" w14:textId="77777777" w:rsidR="0069379D" w:rsidRPr="008B2AD6" w:rsidRDefault="0069379D" w:rsidP="00484E9E">
            <w:pPr>
              <w:rPr>
                <w:b/>
              </w:rPr>
            </w:pPr>
            <w:r w:rsidRPr="008B2AD6">
              <w:rPr>
                <w:b/>
              </w:rPr>
              <w:t>UNFPA – $10,000 (to be mobilized)</w:t>
            </w:r>
          </w:p>
          <w:p w14:paraId="6016BE90" w14:textId="77777777" w:rsidR="0069379D" w:rsidRPr="008B2AD6" w:rsidRDefault="0069379D" w:rsidP="00484E9E">
            <w:pPr>
              <w:rPr>
                <w:b/>
              </w:rPr>
            </w:pPr>
            <w:r w:rsidRPr="008B2AD6">
              <w:rPr>
                <w:b/>
              </w:rPr>
              <w:t>UNDP - $79</w:t>
            </w:r>
            <w:r>
              <w:rPr>
                <w:b/>
              </w:rPr>
              <w:t>4</w:t>
            </w:r>
            <w:r w:rsidRPr="008B2AD6">
              <w:rPr>
                <w:b/>
              </w:rPr>
              <w:t>,000; $1,500,000 (to be mobilized)</w:t>
            </w:r>
          </w:p>
          <w:p w14:paraId="639989A7" w14:textId="77777777" w:rsidR="0069379D" w:rsidRPr="008B2AD6" w:rsidRDefault="0069379D" w:rsidP="00484E9E">
            <w:pPr>
              <w:rPr>
                <w:b/>
              </w:rPr>
            </w:pPr>
            <w:r w:rsidRPr="008B2AD6">
              <w:rPr>
                <w:b/>
              </w:rPr>
              <w:t>UNAIDS – $5,000</w:t>
            </w:r>
          </w:p>
          <w:p w14:paraId="1442C8BA" w14:textId="77777777" w:rsidR="0069379D" w:rsidRPr="008B2AD6" w:rsidRDefault="0069379D" w:rsidP="00484E9E">
            <w:pPr>
              <w:rPr>
                <w:b/>
              </w:rPr>
            </w:pPr>
            <w:r w:rsidRPr="008B2AD6">
              <w:rPr>
                <w:b/>
              </w:rPr>
              <w:t>IOM – $80,000; $350,000 (to be mobilized)</w:t>
            </w:r>
          </w:p>
          <w:p w14:paraId="658C30B5" w14:textId="611B411D" w:rsidR="0069379D" w:rsidRPr="008B2AD6" w:rsidRDefault="0069379D" w:rsidP="00406E7E">
            <w:pPr>
              <w:rPr>
                <w:b/>
              </w:rPr>
            </w:pPr>
            <w:r w:rsidRPr="008B2AD6">
              <w:rPr>
                <w:b/>
              </w:rPr>
              <w:t>UNWTO - $</w:t>
            </w:r>
            <w:r w:rsidRPr="008B2AD6">
              <w:rPr>
                <w:b/>
                <w:lang w:val="en-US"/>
              </w:rPr>
              <w:t>3</w:t>
            </w:r>
            <w:r w:rsidRPr="008B2AD6">
              <w:rPr>
                <w:b/>
              </w:rPr>
              <w:t>0,000 (to be mobilized)</w:t>
            </w:r>
          </w:p>
        </w:tc>
      </w:tr>
      <w:tr w:rsidR="0069379D" w:rsidRPr="00861957" w14:paraId="5CCC9457" w14:textId="77777777" w:rsidTr="00C25F6C">
        <w:trPr>
          <w:trHeight w:val="567"/>
        </w:trPr>
        <w:tc>
          <w:tcPr>
            <w:tcW w:w="2127" w:type="dxa"/>
            <w:vMerge/>
            <w:shd w:val="clear" w:color="auto" w:fill="auto"/>
            <w:vAlign w:val="center"/>
          </w:tcPr>
          <w:p w14:paraId="749C014F" w14:textId="77777777" w:rsidR="0069379D" w:rsidRPr="008B2AD6" w:rsidRDefault="0069379D" w:rsidP="003B0CD2">
            <w:pPr>
              <w:rPr>
                <w:b/>
              </w:rPr>
            </w:pPr>
          </w:p>
        </w:tc>
        <w:tc>
          <w:tcPr>
            <w:tcW w:w="3969" w:type="dxa"/>
            <w:shd w:val="clear" w:color="auto" w:fill="auto"/>
            <w:vAlign w:val="center"/>
          </w:tcPr>
          <w:p w14:paraId="1FEB170E" w14:textId="4EC39125" w:rsidR="0069379D" w:rsidRPr="008B2AD6" w:rsidRDefault="0069379D" w:rsidP="00D17BB8">
            <w:pPr>
              <w:rPr>
                <w:color w:val="000000"/>
                <w:kern w:val="24"/>
              </w:rPr>
            </w:pPr>
            <w:r w:rsidRPr="008B2AD6">
              <w:rPr>
                <w:b/>
                <w:color w:val="000000"/>
                <w:kern w:val="24"/>
              </w:rPr>
              <w:t xml:space="preserve">Indicator 1.1.2. </w:t>
            </w:r>
            <w:r w:rsidRPr="008B2AD6">
              <w:rPr>
                <w:color w:val="000000"/>
                <w:kern w:val="24"/>
              </w:rPr>
              <w:t xml:space="preserve">Degree of implementation of public consultation on draft legal acts, government resolutions and national programmes; </w:t>
            </w:r>
            <w:r w:rsidRPr="008B2AD6">
              <w:rPr>
                <w:color w:val="000000"/>
                <w:spacing w:val="4"/>
                <w:kern w:val="24"/>
              </w:rPr>
              <w:t xml:space="preserve">the share of submissions from civil society and the private sector that are taken into account in the process of amending legislation </w:t>
            </w:r>
            <w:r w:rsidRPr="008B2AD6">
              <w:rPr>
                <w:color w:val="000000"/>
                <w:kern w:val="24"/>
              </w:rPr>
              <w:t xml:space="preserve"> </w:t>
            </w:r>
            <w:r w:rsidRPr="008B2AD6">
              <w:rPr>
                <w:color w:val="000000"/>
                <w:kern w:val="24"/>
              </w:rPr>
              <w:br/>
            </w:r>
            <w:r w:rsidRPr="008B2AD6">
              <w:rPr>
                <w:b/>
                <w:color w:val="000000"/>
                <w:kern w:val="24"/>
              </w:rPr>
              <w:t>Baseline</w:t>
            </w:r>
            <w:r w:rsidRPr="008B2AD6">
              <w:rPr>
                <w:color w:val="000000"/>
                <w:kern w:val="24"/>
              </w:rPr>
              <w:t>:</w:t>
            </w:r>
            <w:r w:rsidRPr="008B2AD6">
              <w:rPr>
                <w:color w:val="000000"/>
                <w:kern w:val="24"/>
              </w:rPr>
              <w:br/>
              <w:t xml:space="preserve">Isolated instances of public consultation on draft legal acts and government resolutions; a small </w:t>
            </w:r>
            <w:r w:rsidRPr="008B2AD6">
              <w:rPr>
                <w:color w:val="000000"/>
                <w:kern w:val="24"/>
              </w:rPr>
              <w:lastRenderedPageBreak/>
              <w:t>number of submissions from civil society and the private sector are taken into account in the process of amending legislation; reasons include the poor quality of submissions and incompatibility with the state’s capacity or societal needs</w:t>
            </w:r>
            <w:r w:rsidRPr="008B2AD6">
              <w:rPr>
                <w:color w:val="000000"/>
                <w:kern w:val="24"/>
              </w:rPr>
              <w:br/>
            </w:r>
            <w:r w:rsidRPr="008B2AD6">
              <w:rPr>
                <w:b/>
                <w:color w:val="000000"/>
                <w:kern w:val="24"/>
              </w:rPr>
              <w:t>Targets:</w:t>
            </w:r>
            <w:r w:rsidRPr="008B2AD6">
              <w:rPr>
                <w:b/>
                <w:color w:val="000000"/>
                <w:kern w:val="24"/>
              </w:rPr>
              <w:br/>
            </w:r>
            <w:r w:rsidRPr="008B2AD6">
              <w:rPr>
                <w:color w:val="000000"/>
                <w:kern w:val="24"/>
              </w:rPr>
              <w:t xml:space="preserve">The practice of public consultation on draft legal acts and government resolutions is expanded; </w:t>
            </w:r>
            <w:r w:rsidRPr="008B2AD6">
              <w:rPr>
                <w:color w:val="000000"/>
                <w:spacing w:val="4"/>
                <w:kern w:val="24"/>
              </w:rPr>
              <w:t xml:space="preserve">the share of submissions from civil society and the private sector that are taken into account in the process of amending legislation </w:t>
            </w:r>
            <w:r w:rsidRPr="008B2AD6">
              <w:rPr>
                <w:color w:val="000000"/>
                <w:kern w:val="24"/>
              </w:rPr>
              <w:t>is increased</w:t>
            </w:r>
          </w:p>
        </w:tc>
        <w:tc>
          <w:tcPr>
            <w:tcW w:w="1984" w:type="dxa"/>
            <w:shd w:val="clear" w:color="auto" w:fill="auto"/>
          </w:tcPr>
          <w:p w14:paraId="18E04862" w14:textId="279C06C5" w:rsidR="0069379D" w:rsidRPr="008B2AD6" w:rsidRDefault="0069379D" w:rsidP="00CF056B">
            <w:pPr>
              <w:rPr>
                <w:b/>
              </w:rPr>
            </w:pPr>
            <w:r w:rsidRPr="008B2AD6">
              <w:rPr>
                <w:color w:val="000000"/>
                <w:kern w:val="24"/>
              </w:rPr>
              <w:lastRenderedPageBreak/>
              <w:t xml:space="preserve">Evaluation of partnerships between the state, civil society and the private sector through studies, surveys, analysis of official data and of information posted on the official websites </w:t>
            </w:r>
            <w:r w:rsidRPr="008B2AD6">
              <w:rPr>
                <w:color w:val="000000"/>
                <w:kern w:val="24"/>
              </w:rPr>
              <w:lastRenderedPageBreak/>
              <w:t>of government institutions</w:t>
            </w:r>
          </w:p>
        </w:tc>
        <w:tc>
          <w:tcPr>
            <w:tcW w:w="3686" w:type="dxa"/>
            <w:shd w:val="clear" w:color="auto" w:fill="auto"/>
          </w:tcPr>
          <w:p w14:paraId="6F459856" w14:textId="35CE757E" w:rsidR="0069379D" w:rsidRPr="008B2AD6" w:rsidRDefault="0069379D" w:rsidP="003B0CD2">
            <w:pPr>
              <w:rPr>
                <w:b/>
                <w:color w:val="000000"/>
                <w:kern w:val="24"/>
              </w:rPr>
            </w:pPr>
            <w:r w:rsidRPr="008B2AD6">
              <w:rPr>
                <w:b/>
                <w:color w:val="000000"/>
                <w:kern w:val="24"/>
              </w:rPr>
              <w:lastRenderedPageBreak/>
              <w:t>Assumptions:</w:t>
            </w:r>
            <w:r w:rsidRPr="008B2AD6">
              <w:rPr>
                <w:b/>
                <w:color w:val="000000"/>
                <w:kern w:val="24"/>
              </w:rPr>
              <w:br/>
            </w:r>
            <w:r w:rsidRPr="008B2AD6">
              <w:rPr>
                <w:color w:val="000000"/>
                <w:kern w:val="24"/>
              </w:rPr>
              <w:t>A favourable environment is in place for dialogue between the Government, civil society, and the private sector;</w:t>
            </w:r>
            <w:r w:rsidRPr="008B2AD6">
              <w:rPr>
                <w:color w:val="000000"/>
                <w:kern w:val="24"/>
              </w:rPr>
              <w:br/>
              <w:t>The Government of the Republic of Belarus intends to expand the participation of civil society and the private sector in the development of public regulatory measures</w:t>
            </w:r>
            <w:r w:rsidRPr="008B2AD6">
              <w:rPr>
                <w:color w:val="000000"/>
                <w:kern w:val="24"/>
              </w:rPr>
              <w:br/>
            </w:r>
            <w:r w:rsidRPr="008B2AD6">
              <w:rPr>
                <w:color w:val="000000"/>
                <w:kern w:val="24"/>
              </w:rPr>
              <w:br/>
            </w:r>
            <w:r w:rsidRPr="008B2AD6">
              <w:rPr>
                <w:b/>
                <w:color w:val="000000"/>
                <w:kern w:val="24"/>
              </w:rPr>
              <w:t xml:space="preserve">Risks: </w:t>
            </w:r>
            <w:r w:rsidRPr="008B2AD6">
              <w:rPr>
                <w:b/>
                <w:color w:val="000000"/>
                <w:kern w:val="24"/>
              </w:rPr>
              <w:br/>
            </w:r>
            <w:r w:rsidRPr="008B2AD6">
              <w:rPr>
                <w:color w:val="000000"/>
                <w:kern w:val="24"/>
              </w:rPr>
              <w:lastRenderedPageBreak/>
              <w:t>Limited duration of the law drafting process; low activity of civil society institutions and the private sector in public consultations; poor quality of proposals submitted; inadequate feedback to civil society about the quality of submissions</w:t>
            </w:r>
          </w:p>
          <w:p w14:paraId="5BF2190C" w14:textId="77777777" w:rsidR="0069379D" w:rsidRPr="008B2AD6" w:rsidRDefault="0069379D" w:rsidP="003B0CD2">
            <w:pPr>
              <w:rPr>
                <w:color w:val="000000"/>
                <w:kern w:val="24"/>
              </w:rPr>
            </w:pPr>
            <w:r w:rsidRPr="008B2AD6">
              <w:rPr>
                <w:color w:val="000000"/>
                <w:kern w:val="24"/>
              </w:rPr>
              <w:t>.</w:t>
            </w:r>
          </w:p>
        </w:tc>
        <w:tc>
          <w:tcPr>
            <w:tcW w:w="2126" w:type="dxa"/>
            <w:shd w:val="clear" w:color="auto" w:fill="auto"/>
          </w:tcPr>
          <w:p w14:paraId="71B7BA4C" w14:textId="4C7E33C5" w:rsidR="0069379D" w:rsidRPr="008B2AD6" w:rsidRDefault="0069379D" w:rsidP="003B0CD2">
            <w:pPr>
              <w:rPr>
                <w:color w:val="000000"/>
                <w:spacing w:val="-4"/>
                <w:kern w:val="24"/>
              </w:rPr>
            </w:pPr>
            <w:r w:rsidRPr="008B2AD6">
              <w:rPr>
                <w:color w:val="000000"/>
                <w:spacing w:val="-4"/>
                <w:kern w:val="24"/>
              </w:rPr>
              <w:lastRenderedPageBreak/>
              <w:t>State bodies, National Centre of Legislation and Legal Research and other organizations, NGOs</w:t>
            </w:r>
          </w:p>
        </w:tc>
        <w:tc>
          <w:tcPr>
            <w:tcW w:w="1984" w:type="dxa"/>
            <w:shd w:val="clear" w:color="auto" w:fill="auto"/>
          </w:tcPr>
          <w:p w14:paraId="5D094670" w14:textId="77777777" w:rsidR="0069379D" w:rsidRPr="008B2AD6" w:rsidRDefault="0069379D" w:rsidP="00484E9E">
            <w:pPr>
              <w:rPr>
                <w:b/>
              </w:rPr>
            </w:pPr>
            <w:r w:rsidRPr="008B2AD6">
              <w:rPr>
                <w:b/>
              </w:rPr>
              <w:t>UNICEF – $20,000</w:t>
            </w:r>
          </w:p>
          <w:p w14:paraId="47E02342" w14:textId="77777777" w:rsidR="0069379D" w:rsidRPr="008B2AD6" w:rsidRDefault="0069379D" w:rsidP="00484E9E">
            <w:pPr>
              <w:rPr>
                <w:b/>
              </w:rPr>
            </w:pPr>
            <w:r w:rsidRPr="008B2AD6">
              <w:rPr>
                <w:b/>
              </w:rPr>
              <w:t>UNFPA – $10,000 (to be mobilized)</w:t>
            </w:r>
          </w:p>
          <w:p w14:paraId="7CB57C61" w14:textId="77777777" w:rsidR="0069379D" w:rsidRPr="008B2AD6" w:rsidRDefault="0069379D" w:rsidP="00484E9E">
            <w:pPr>
              <w:rPr>
                <w:b/>
              </w:rPr>
            </w:pPr>
            <w:r w:rsidRPr="008B2AD6">
              <w:rPr>
                <w:b/>
              </w:rPr>
              <w:t>UNDP – $2,</w:t>
            </w:r>
            <w:r>
              <w:rPr>
                <w:b/>
              </w:rPr>
              <w:t>0</w:t>
            </w:r>
            <w:r w:rsidRPr="008B2AD6">
              <w:rPr>
                <w:b/>
              </w:rPr>
              <w:t>00,000 (to be mobilized)</w:t>
            </w:r>
          </w:p>
          <w:p w14:paraId="5BFB8FE8" w14:textId="59719A89" w:rsidR="0069379D" w:rsidRPr="008B2AD6" w:rsidRDefault="0069379D" w:rsidP="003B0CD2">
            <w:pPr>
              <w:rPr>
                <w:b/>
                <w:color w:val="000000"/>
                <w:spacing w:val="-4"/>
                <w:kern w:val="24"/>
              </w:rPr>
            </w:pPr>
            <w:r w:rsidRPr="008B2AD6">
              <w:rPr>
                <w:b/>
                <w:color w:val="000000"/>
                <w:spacing w:val="-4"/>
                <w:kern w:val="24"/>
              </w:rPr>
              <w:t>UNECE - $220,000 (</w:t>
            </w:r>
            <w:r w:rsidRPr="008B2AD6">
              <w:rPr>
                <w:b/>
              </w:rPr>
              <w:t>to be mobilized</w:t>
            </w:r>
            <w:r w:rsidRPr="008B2AD6">
              <w:rPr>
                <w:b/>
                <w:color w:val="000000"/>
                <w:spacing w:val="-4"/>
                <w:kern w:val="24"/>
              </w:rPr>
              <w:t xml:space="preserve">) – </w:t>
            </w:r>
            <w:r w:rsidRPr="008B2AD6">
              <w:rPr>
                <w:b/>
                <w:color w:val="000000"/>
                <w:spacing w:val="-4"/>
                <w:kern w:val="24"/>
              </w:rPr>
              <w:lastRenderedPageBreak/>
              <w:t>Aarhus Convention</w:t>
            </w:r>
          </w:p>
        </w:tc>
      </w:tr>
      <w:tr w:rsidR="0069379D" w:rsidRPr="00861957" w14:paraId="2984927A" w14:textId="77777777" w:rsidTr="00C25F6C">
        <w:trPr>
          <w:trHeight w:val="4807"/>
        </w:trPr>
        <w:tc>
          <w:tcPr>
            <w:tcW w:w="2127" w:type="dxa"/>
            <w:vMerge/>
            <w:shd w:val="clear" w:color="auto" w:fill="auto"/>
            <w:vAlign w:val="center"/>
          </w:tcPr>
          <w:p w14:paraId="2F63BE60" w14:textId="77777777" w:rsidR="0069379D" w:rsidRPr="00861957" w:rsidRDefault="0069379D" w:rsidP="003B0CD2">
            <w:pPr>
              <w:rPr>
                <w:b/>
              </w:rPr>
            </w:pPr>
          </w:p>
        </w:tc>
        <w:tc>
          <w:tcPr>
            <w:tcW w:w="3969" w:type="dxa"/>
            <w:tcBorders>
              <w:top w:val="single" w:sz="4" w:space="0" w:color="auto"/>
              <w:right w:val="single" w:sz="4" w:space="0" w:color="auto"/>
            </w:tcBorders>
            <w:shd w:val="clear" w:color="auto" w:fill="auto"/>
          </w:tcPr>
          <w:p w14:paraId="208B2A84" w14:textId="67566F04" w:rsidR="0069379D" w:rsidRPr="00861957" w:rsidRDefault="0069379D" w:rsidP="00964734">
            <w:pPr>
              <w:rPr>
                <w:kern w:val="24"/>
              </w:rPr>
            </w:pPr>
            <w:r w:rsidRPr="00861957">
              <w:rPr>
                <w:b/>
                <w:kern w:val="24"/>
              </w:rPr>
              <w:t>Indicator 1.1.3.</w:t>
            </w:r>
            <w:r w:rsidRPr="00861957">
              <w:rPr>
                <w:b/>
                <w:kern w:val="24"/>
              </w:rPr>
              <w:br/>
            </w:r>
            <w:r w:rsidRPr="00861957">
              <w:rPr>
                <w:kern w:val="24"/>
              </w:rPr>
              <w:t>Number of cities with institutionalized mechanisms for the participation of children and young people - including children and young people with disabilities - in making decisions concerning their lives and development</w:t>
            </w:r>
            <w:r w:rsidRPr="00861957">
              <w:rPr>
                <w:kern w:val="24"/>
              </w:rPr>
              <w:br/>
            </w:r>
            <w:r w:rsidRPr="00861957">
              <w:rPr>
                <w:b/>
                <w:color w:val="000000"/>
                <w:kern w:val="24"/>
              </w:rPr>
              <w:t>Baseline</w:t>
            </w:r>
            <w:r w:rsidRPr="00861957">
              <w:rPr>
                <w:color w:val="000000"/>
                <w:kern w:val="24"/>
              </w:rPr>
              <w:t xml:space="preserve">: </w:t>
            </w:r>
            <w:r w:rsidRPr="00861957">
              <w:rPr>
                <w:color w:val="000000"/>
                <w:kern w:val="24"/>
              </w:rPr>
              <w:br/>
            </w:r>
            <w:r w:rsidRPr="00861957">
              <w:rPr>
                <w:kern w:val="24"/>
              </w:rPr>
              <w:t>Children/youth parliaments (councils) are active in 22 cities</w:t>
            </w:r>
            <w:r w:rsidRPr="00861957">
              <w:rPr>
                <w:kern w:val="24"/>
              </w:rPr>
              <w:br/>
            </w:r>
            <w:r w:rsidRPr="00861957">
              <w:rPr>
                <w:b/>
                <w:color w:val="000000"/>
                <w:spacing w:val="-4"/>
                <w:kern w:val="24"/>
              </w:rPr>
              <w:t>T</w:t>
            </w:r>
            <w:r w:rsidRPr="00861957">
              <w:rPr>
                <w:b/>
                <w:color w:val="000000"/>
                <w:kern w:val="24"/>
              </w:rPr>
              <w:t>argets:</w:t>
            </w:r>
            <w:r w:rsidRPr="00861957">
              <w:rPr>
                <w:b/>
                <w:color w:val="000000"/>
                <w:kern w:val="24"/>
              </w:rPr>
              <w:br/>
            </w:r>
            <w:r w:rsidRPr="00861957">
              <w:rPr>
                <w:kern w:val="24"/>
              </w:rPr>
              <w:t>Children/youth parliaments (councils) are active in 40 cities</w:t>
            </w:r>
          </w:p>
        </w:tc>
        <w:tc>
          <w:tcPr>
            <w:tcW w:w="1984" w:type="dxa"/>
            <w:tcBorders>
              <w:top w:val="single" w:sz="4" w:space="0" w:color="auto"/>
              <w:left w:val="single" w:sz="4" w:space="0" w:color="auto"/>
              <w:right w:val="single" w:sz="4" w:space="0" w:color="auto"/>
            </w:tcBorders>
            <w:shd w:val="clear" w:color="auto" w:fill="auto"/>
          </w:tcPr>
          <w:p w14:paraId="15EAC1ED" w14:textId="5BBEDB7E" w:rsidR="0069379D" w:rsidRPr="00861957" w:rsidRDefault="0069379D" w:rsidP="00EE1315">
            <w:pPr>
              <w:rPr>
                <w:kern w:val="24"/>
              </w:rPr>
            </w:pPr>
            <w:r w:rsidRPr="00861957">
              <w:rPr>
                <w:kern w:val="24"/>
              </w:rPr>
              <w:t>Monitoring data from the Child Friendly Cities Initiative is available on the internet at www.detivgorode.by</w:t>
            </w:r>
          </w:p>
        </w:tc>
        <w:tc>
          <w:tcPr>
            <w:tcW w:w="3686" w:type="dxa"/>
            <w:tcBorders>
              <w:top w:val="single" w:sz="4" w:space="0" w:color="auto"/>
              <w:left w:val="single" w:sz="4" w:space="0" w:color="auto"/>
              <w:right w:val="single" w:sz="4" w:space="0" w:color="auto"/>
            </w:tcBorders>
            <w:shd w:val="clear" w:color="auto" w:fill="auto"/>
          </w:tcPr>
          <w:p w14:paraId="6A1E6EDF" w14:textId="0537A9B2" w:rsidR="0069379D" w:rsidRPr="00861957" w:rsidRDefault="0069379D" w:rsidP="003B0CD2">
            <w:pPr>
              <w:tabs>
                <w:tab w:val="left" w:pos="1562"/>
              </w:tabs>
              <w:rPr>
                <w:kern w:val="24"/>
              </w:rPr>
            </w:pPr>
            <w:r w:rsidRPr="00861957">
              <w:rPr>
                <w:b/>
                <w:kern w:val="24"/>
              </w:rPr>
              <w:t>Assumption</w:t>
            </w:r>
            <w:r>
              <w:rPr>
                <w:b/>
                <w:kern w:val="24"/>
              </w:rPr>
              <w:t>s</w:t>
            </w:r>
            <w:r w:rsidRPr="00861957">
              <w:rPr>
                <w:b/>
                <w:kern w:val="24"/>
              </w:rPr>
              <w:t>:</w:t>
            </w:r>
            <w:r w:rsidRPr="00861957">
              <w:rPr>
                <w:b/>
                <w:kern w:val="24"/>
              </w:rPr>
              <w:br/>
            </w:r>
            <w:r w:rsidRPr="00861957">
              <w:rPr>
                <w:kern w:val="24"/>
              </w:rPr>
              <w:t xml:space="preserve">A favourable environment is present for partnership between children and adults in decision-making processes </w:t>
            </w:r>
          </w:p>
          <w:p w14:paraId="2C904FAF" w14:textId="7B6CD513" w:rsidR="0069379D" w:rsidRPr="00861957" w:rsidRDefault="0069379D" w:rsidP="003B0CD2">
            <w:pPr>
              <w:tabs>
                <w:tab w:val="left" w:pos="1562"/>
              </w:tabs>
              <w:rPr>
                <w:kern w:val="24"/>
              </w:rPr>
            </w:pPr>
            <w:r w:rsidRPr="00861957">
              <w:rPr>
                <w:b/>
                <w:kern w:val="24"/>
              </w:rPr>
              <w:t xml:space="preserve">Risks: </w:t>
            </w:r>
            <w:r w:rsidRPr="00861957">
              <w:rPr>
                <w:b/>
                <w:kern w:val="24"/>
              </w:rPr>
              <w:br/>
            </w:r>
            <w:r w:rsidRPr="00861957">
              <w:rPr>
                <w:kern w:val="24"/>
              </w:rPr>
              <w:t xml:space="preserve">Young people lack the knowledge and experience for genuine participation in making decisions affecting their lives and development, in the planning processes, and in the implementation and evaluation of youth initiatives </w:t>
            </w:r>
          </w:p>
          <w:p w14:paraId="374DAAEA" w14:textId="77777777" w:rsidR="0069379D" w:rsidRPr="00861957" w:rsidRDefault="0069379D" w:rsidP="003B0CD2">
            <w:pPr>
              <w:tabs>
                <w:tab w:val="left" w:pos="1562"/>
              </w:tabs>
              <w:rPr>
                <w:b/>
                <w:bCs/>
                <w:color w:val="FF0000"/>
                <w:kern w:val="24"/>
              </w:rPr>
            </w:pPr>
            <w:r w:rsidRPr="00861957">
              <w:rPr>
                <w:kern w:val="24"/>
              </w:rPr>
              <w:t xml:space="preserve"> </w:t>
            </w:r>
          </w:p>
        </w:tc>
        <w:tc>
          <w:tcPr>
            <w:tcW w:w="2126" w:type="dxa"/>
            <w:tcBorders>
              <w:top w:val="single" w:sz="4" w:space="0" w:color="auto"/>
              <w:left w:val="single" w:sz="4" w:space="0" w:color="auto"/>
              <w:right w:val="single" w:sz="4" w:space="0" w:color="auto"/>
            </w:tcBorders>
            <w:shd w:val="clear" w:color="auto" w:fill="auto"/>
          </w:tcPr>
          <w:p w14:paraId="39A2B1A5" w14:textId="19AE1585" w:rsidR="0069379D" w:rsidRPr="00861957" w:rsidRDefault="0069379D" w:rsidP="003B0CD2">
            <w:pPr>
              <w:rPr>
                <w:spacing w:val="-4"/>
                <w:kern w:val="24"/>
              </w:rPr>
            </w:pPr>
            <w:r w:rsidRPr="00861957">
              <w:rPr>
                <w:spacing w:val="-4"/>
                <w:kern w:val="24"/>
              </w:rPr>
              <w:t>Local legislatures, governments and administrations, National Commission on the Rights of the Child, Ministry of Education, National Centre for Promotion of Art among Children and the Youth, children and youth NGOs</w:t>
            </w:r>
          </w:p>
        </w:tc>
        <w:tc>
          <w:tcPr>
            <w:tcW w:w="1984" w:type="dxa"/>
            <w:tcBorders>
              <w:top w:val="single" w:sz="4" w:space="0" w:color="auto"/>
              <w:left w:val="single" w:sz="4" w:space="0" w:color="auto"/>
              <w:right w:val="single" w:sz="4" w:space="0" w:color="auto"/>
            </w:tcBorders>
            <w:shd w:val="clear" w:color="auto" w:fill="auto"/>
          </w:tcPr>
          <w:p w14:paraId="76425900" w14:textId="77777777" w:rsidR="0069379D" w:rsidRPr="00861957" w:rsidRDefault="0069379D" w:rsidP="00484E9E">
            <w:pPr>
              <w:rPr>
                <w:b/>
              </w:rPr>
            </w:pPr>
            <w:r w:rsidRPr="00861957">
              <w:rPr>
                <w:b/>
              </w:rPr>
              <w:t>UNICEF – $60,000; $100,000 (to be mobilized)</w:t>
            </w:r>
          </w:p>
          <w:p w14:paraId="6A5D5008" w14:textId="77777777" w:rsidR="0069379D" w:rsidRPr="00861957" w:rsidRDefault="0069379D" w:rsidP="00484E9E">
            <w:pPr>
              <w:rPr>
                <w:b/>
              </w:rPr>
            </w:pPr>
            <w:r w:rsidRPr="00861957">
              <w:rPr>
                <w:b/>
              </w:rPr>
              <w:t>UNFPA – $20,000; $10,000 (to be mobilized)</w:t>
            </w:r>
          </w:p>
          <w:p w14:paraId="035330D2" w14:textId="77777777" w:rsidR="0069379D" w:rsidRPr="00861957" w:rsidRDefault="0069379D" w:rsidP="003B0CD2">
            <w:pPr>
              <w:rPr>
                <w:b/>
              </w:rPr>
            </w:pPr>
          </w:p>
        </w:tc>
      </w:tr>
      <w:tr w:rsidR="0069379D" w:rsidRPr="00861957" w14:paraId="232C0F2A" w14:textId="77777777" w:rsidTr="00C25F6C">
        <w:trPr>
          <w:trHeight w:val="567"/>
        </w:trPr>
        <w:tc>
          <w:tcPr>
            <w:tcW w:w="2127" w:type="dxa"/>
            <w:vMerge w:val="restart"/>
            <w:tcBorders>
              <w:top w:val="single" w:sz="4" w:space="0" w:color="auto"/>
              <w:left w:val="single" w:sz="4" w:space="0" w:color="auto"/>
              <w:right w:val="single" w:sz="4" w:space="0" w:color="auto"/>
            </w:tcBorders>
            <w:shd w:val="clear" w:color="auto" w:fill="auto"/>
          </w:tcPr>
          <w:p w14:paraId="5DF40FEA" w14:textId="34CC148D" w:rsidR="0069379D" w:rsidRPr="008B2AD6" w:rsidRDefault="0069379D" w:rsidP="003B0CD2">
            <w:pPr>
              <w:pStyle w:val="PlainText"/>
              <w:jc w:val="both"/>
              <w:rPr>
                <w:rFonts w:ascii="Times New Roman" w:hAnsi="Times New Roman" w:cs="Times New Roman"/>
                <w:sz w:val="24"/>
                <w:szCs w:val="24"/>
                <w:lang w:val="en-GB"/>
              </w:rPr>
            </w:pPr>
            <w:r w:rsidRPr="008B2AD6">
              <w:rPr>
                <w:rFonts w:ascii="Times New Roman" w:hAnsi="Times New Roman" w:cs="Times New Roman"/>
                <w:b/>
                <w:sz w:val="24"/>
                <w:szCs w:val="24"/>
                <w:lang w:val="en-GB"/>
              </w:rPr>
              <w:lastRenderedPageBreak/>
              <w:t>Outcome 1.2:</w:t>
            </w:r>
            <w:r w:rsidRPr="008B2AD6">
              <w:rPr>
                <w:rFonts w:ascii="Times New Roman" w:hAnsi="Times New Roman" w:cs="Times New Roman"/>
                <w:sz w:val="24"/>
                <w:szCs w:val="24"/>
                <w:lang w:val="en-GB"/>
              </w:rPr>
              <w:t xml:space="preserve"> By 2020, state institutions will ensure responsive, accountable and transparent governance to enable citizens to benefit from all human rights in line with international principles and standards </w:t>
            </w:r>
          </w:p>
          <w:p w14:paraId="77135A52" w14:textId="77777777" w:rsidR="0069379D" w:rsidRPr="008B2AD6" w:rsidRDefault="0069379D" w:rsidP="003B0CD2"/>
          <w:p w14:paraId="3C7D0595" w14:textId="0A04591C" w:rsidR="0069379D" w:rsidRPr="008B2AD6" w:rsidRDefault="0069379D" w:rsidP="00F027B2">
            <w:pPr>
              <w:rPr>
                <w:bCs/>
                <w:lang w:val="en-US"/>
              </w:rPr>
            </w:pPr>
            <w:r w:rsidRPr="008B2AD6">
              <w:rPr>
                <w:b/>
              </w:rPr>
              <w:t xml:space="preserve">UNAIDS, UNDP, </w:t>
            </w:r>
            <w:r w:rsidRPr="008B2AD6">
              <w:rPr>
                <w:b/>
                <w:bCs/>
              </w:rPr>
              <w:t xml:space="preserve">UNECE, </w:t>
            </w:r>
            <w:r w:rsidRPr="008B2AD6">
              <w:rPr>
                <w:b/>
              </w:rPr>
              <w:t>UNFPA, UNHCR, UNICEF</w:t>
            </w:r>
            <w:r w:rsidRPr="008B2AD6">
              <w:rPr>
                <w:b/>
                <w:lang w:val="en-US"/>
              </w:rPr>
              <w:t>, UNWTO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34C0078" w14:textId="0A20B190" w:rsidR="0069379D" w:rsidRPr="008B2AD6" w:rsidRDefault="0069379D" w:rsidP="00964734">
            <w:pPr>
              <w:rPr>
                <w:color w:val="000000" w:themeColor="text1"/>
                <w:kern w:val="24"/>
              </w:rPr>
            </w:pPr>
            <w:r w:rsidRPr="008B2AD6">
              <w:rPr>
                <w:b/>
                <w:color w:val="000000" w:themeColor="text1"/>
                <w:kern w:val="24"/>
              </w:rPr>
              <w:t>Indicator 1.2.1.</w:t>
            </w:r>
            <w:r w:rsidRPr="008B2AD6">
              <w:rPr>
                <w:b/>
                <w:color w:val="000000" w:themeColor="text1"/>
                <w:kern w:val="24"/>
              </w:rPr>
              <w:br/>
            </w:r>
            <w:r w:rsidRPr="008B2AD6">
              <w:rPr>
                <w:color w:val="000000" w:themeColor="text1"/>
                <w:kern w:val="24"/>
              </w:rPr>
              <w:t>Degree of alignment of national legislation with the generally recognized principles of international law and the provisions of international agreements to which Belarus is a party; implementation of these principles and provisions in judicial and enforcement practices</w:t>
            </w:r>
            <w:r w:rsidRPr="008B2AD6">
              <w:rPr>
                <w:color w:val="000000" w:themeColor="text1"/>
                <w:kern w:val="24"/>
              </w:rPr>
              <w:br/>
            </w:r>
            <w:r w:rsidRPr="008B2AD6">
              <w:rPr>
                <w:b/>
                <w:color w:val="000000" w:themeColor="text1"/>
                <w:kern w:val="24"/>
              </w:rPr>
              <w:t>Baseline</w:t>
            </w:r>
            <w:r w:rsidRPr="008B2AD6">
              <w:rPr>
                <w:color w:val="000000" w:themeColor="text1"/>
                <w:kern w:val="24"/>
              </w:rPr>
              <w:t xml:space="preserve">: </w:t>
            </w:r>
            <w:r w:rsidRPr="008B2AD6">
              <w:rPr>
                <w:color w:val="000000" w:themeColor="text1"/>
                <w:kern w:val="24"/>
              </w:rPr>
              <w:br/>
              <w:t>National legislation and practice have not fully incorporated the provisions of international agreements to which Belarus is a party</w:t>
            </w:r>
            <w:r w:rsidRPr="008B2AD6">
              <w:rPr>
                <w:color w:val="000000" w:themeColor="text1"/>
                <w:kern w:val="24"/>
              </w:rPr>
              <w:br/>
            </w:r>
            <w:r w:rsidRPr="008B2AD6">
              <w:rPr>
                <w:b/>
                <w:color w:val="000000" w:themeColor="text1"/>
                <w:kern w:val="24"/>
              </w:rPr>
              <w:t>Targets:</w:t>
            </w:r>
            <w:r w:rsidRPr="008B2AD6">
              <w:rPr>
                <w:b/>
                <w:color w:val="000000" w:themeColor="text1"/>
                <w:kern w:val="24"/>
              </w:rPr>
              <w:br/>
            </w:r>
            <w:r w:rsidRPr="008B2AD6">
              <w:rPr>
                <w:color w:val="000000" w:themeColor="text1"/>
                <w:kern w:val="24"/>
              </w:rPr>
              <w:t>Improvement of national legislation and expansion of the practice of implementing the provisions of international agreements to which Belarus is a party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5BABF2E" w14:textId="77777777" w:rsidR="0069379D" w:rsidRPr="00861957" w:rsidRDefault="0069379D" w:rsidP="003B0CD2">
            <w:pPr>
              <w:rPr>
                <w:color w:val="000000"/>
                <w:kern w:val="24"/>
              </w:rPr>
            </w:pPr>
            <w:r w:rsidRPr="00861957">
              <w:rPr>
                <w:color w:val="000000"/>
                <w:kern w:val="24"/>
              </w:rPr>
              <w:t>National legal information portal</w:t>
            </w:r>
            <w:r w:rsidRPr="00861957">
              <w:rPr>
                <w:color w:val="000000"/>
                <w:kern w:val="24"/>
              </w:rPr>
              <w:br/>
              <w:t xml:space="preserve">(www.pravo.by)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451B68" w14:textId="77777777" w:rsidR="0069379D" w:rsidRPr="00861957" w:rsidRDefault="0069379D" w:rsidP="003B0CD2">
            <w:pPr>
              <w:tabs>
                <w:tab w:val="left" w:pos="1562"/>
              </w:tabs>
              <w:rPr>
                <w:color w:val="000000" w:themeColor="text1"/>
                <w:kern w:val="24"/>
              </w:rPr>
            </w:pPr>
            <w:r w:rsidRPr="00861957">
              <w:rPr>
                <w:b/>
                <w:kern w:val="24"/>
              </w:rPr>
              <w:t>Assumptions:</w:t>
            </w:r>
            <w:r w:rsidRPr="00861957">
              <w:rPr>
                <w:b/>
                <w:kern w:val="24"/>
              </w:rPr>
              <w:br/>
            </w:r>
            <w:r w:rsidRPr="00861957">
              <w:rPr>
                <w:color w:val="000000" w:themeColor="text1"/>
                <w:kern w:val="24"/>
              </w:rPr>
              <w:t>Belarus seeks to genuinely implement the international agreements to which it is a party</w:t>
            </w:r>
          </w:p>
          <w:p w14:paraId="6E393A7F" w14:textId="174A379B" w:rsidR="0069379D" w:rsidRPr="00861957" w:rsidRDefault="0069379D" w:rsidP="003B0CD2">
            <w:pPr>
              <w:tabs>
                <w:tab w:val="left" w:pos="1562"/>
              </w:tabs>
              <w:rPr>
                <w:color w:val="000000" w:themeColor="text1"/>
                <w:kern w:val="24"/>
              </w:rPr>
            </w:pPr>
            <w:r w:rsidRPr="00861957">
              <w:rPr>
                <w:b/>
                <w:color w:val="000000" w:themeColor="text1"/>
                <w:kern w:val="24"/>
              </w:rPr>
              <w:t>Risks:</w:t>
            </w:r>
            <w:r w:rsidRPr="00861957">
              <w:rPr>
                <w:b/>
                <w:color w:val="000000" w:themeColor="text1"/>
                <w:kern w:val="24"/>
              </w:rPr>
              <w:br/>
            </w:r>
            <w:r w:rsidRPr="00861957">
              <w:rPr>
                <w:color w:val="000000" w:themeColor="text1"/>
                <w:kern w:val="24"/>
              </w:rPr>
              <w:t>Inadequate and untimely comparative analysis of</w:t>
            </w:r>
            <w:r w:rsidRPr="00861957">
              <w:rPr>
                <w:color w:val="000000" w:themeColor="text1"/>
                <w:kern w:val="24"/>
              </w:rPr>
              <w:br/>
              <w:t>national legislation in relation to compliance with international instruments</w:t>
            </w:r>
          </w:p>
          <w:p w14:paraId="2486128C" w14:textId="77777777" w:rsidR="0069379D" w:rsidRPr="00861957" w:rsidRDefault="0069379D" w:rsidP="003B0CD2">
            <w:pPr>
              <w:tabs>
                <w:tab w:val="left" w:pos="1562"/>
              </w:tabs>
              <w:rPr>
                <w:b/>
                <w:bCs/>
                <w:color w:val="FF0000"/>
                <w:kern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825ACD" w14:textId="77777777" w:rsidR="0069379D" w:rsidRPr="00861957" w:rsidRDefault="0069379D" w:rsidP="003B0CD2">
            <w:pPr>
              <w:rPr>
                <w:color w:val="000000" w:themeColor="text1"/>
                <w:spacing w:val="-4"/>
                <w:kern w:val="24"/>
              </w:rPr>
            </w:pPr>
            <w:r w:rsidRPr="00861957">
              <w:rPr>
                <w:color w:val="000000" w:themeColor="text1"/>
                <w:spacing w:val="-4"/>
                <w:kern w:val="24"/>
              </w:rPr>
              <w:t xml:space="preserve">Ministry of Foreign Affairs, Ministry of Justice, Ministry of Internal Affairs, </w:t>
            </w:r>
            <w:r w:rsidRPr="00861957">
              <w:rPr>
                <w:color w:val="000000"/>
                <w:spacing w:val="-4"/>
                <w:kern w:val="24"/>
              </w:rPr>
              <w:t>National Centre of Legislation and Legal Research</w:t>
            </w:r>
            <w:r w:rsidRPr="00861957">
              <w:rPr>
                <w:color w:val="000000" w:themeColor="text1"/>
                <w:spacing w:val="-4"/>
                <w:kern w:val="24"/>
              </w:rPr>
              <w:t>, Supreme Court, Constitutional Court, General Prosecutor’s Office</w:t>
            </w:r>
          </w:p>
          <w:p w14:paraId="11E2516D" w14:textId="77777777" w:rsidR="0069379D" w:rsidRPr="00861957" w:rsidRDefault="0069379D" w:rsidP="003B0CD2">
            <w:pPr>
              <w:rPr>
                <w:color w:val="000000" w:themeColor="dark1"/>
                <w:kern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DD54C40" w14:textId="77777777" w:rsidR="0069379D" w:rsidRPr="00861957" w:rsidRDefault="0069379D" w:rsidP="00484E9E">
            <w:pPr>
              <w:rPr>
                <w:b/>
              </w:rPr>
            </w:pPr>
            <w:r w:rsidRPr="00861957">
              <w:rPr>
                <w:b/>
              </w:rPr>
              <w:t>UNICEF – $100,000; $100,000 (to be mobilized)</w:t>
            </w:r>
          </w:p>
          <w:p w14:paraId="1ADAE7A1" w14:textId="77777777" w:rsidR="0069379D" w:rsidRPr="00861957" w:rsidRDefault="0069379D" w:rsidP="00484E9E">
            <w:pPr>
              <w:rPr>
                <w:b/>
              </w:rPr>
            </w:pPr>
            <w:r w:rsidRPr="00861957">
              <w:rPr>
                <w:b/>
              </w:rPr>
              <w:t>UNFPA – $30,000; $20,000 (to be mobilized)</w:t>
            </w:r>
          </w:p>
          <w:p w14:paraId="5AF4BDB0" w14:textId="77777777" w:rsidR="0069379D" w:rsidRPr="00861957" w:rsidRDefault="0069379D" w:rsidP="00484E9E">
            <w:pPr>
              <w:rPr>
                <w:b/>
              </w:rPr>
            </w:pPr>
            <w:r w:rsidRPr="00861957">
              <w:rPr>
                <w:b/>
              </w:rPr>
              <w:t xml:space="preserve">UNDP </w:t>
            </w:r>
            <w:r>
              <w:rPr>
                <w:b/>
              </w:rPr>
              <w:t xml:space="preserve"> -</w:t>
            </w:r>
            <w:r w:rsidRPr="00861957">
              <w:rPr>
                <w:b/>
              </w:rPr>
              <w:t>$</w:t>
            </w:r>
            <w:r>
              <w:rPr>
                <w:b/>
              </w:rPr>
              <w:t xml:space="preserve">1,046,992; </w:t>
            </w:r>
            <w:r w:rsidRPr="00861957">
              <w:rPr>
                <w:b/>
              </w:rPr>
              <w:t>$</w:t>
            </w:r>
            <w:r>
              <w:rPr>
                <w:b/>
              </w:rPr>
              <w:t>1</w:t>
            </w:r>
            <w:r w:rsidRPr="00861957">
              <w:rPr>
                <w:b/>
              </w:rPr>
              <w:t>,</w:t>
            </w:r>
            <w:r>
              <w:rPr>
                <w:b/>
              </w:rPr>
              <w:t>953</w:t>
            </w:r>
            <w:r w:rsidRPr="00861957">
              <w:rPr>
                <w:b/>
              </w:rPr>
              <w:t>,00</w:t>
            </w:r>
            <w:r>
              <w:rPr>
                <w:b/>
              </w:rPr>
              <w:t>8</w:t>
            </w:r>
            <w:r w:rsidRPr="00861957">
              <w:rPr>
                <w:b/>
              </w:rPr>
              <w:t xml:space="preserve"> (to be mobilized)</w:t>
            </w:r>
          </w:p>
          <w:p w14:paraId="7A1DFD99" w14:textId="77777777" w:rsidR="0069379D" w:rsidRPr="00861957" w:rsidRDefault="0069379D" w:rsidP="00484E9E">
            <w:pPr>
              <w:rPr>
                <w:b/>
              </w:rPr>
            </w:pPr>
            <w:r w:rsidRPr="00861957">
              <w:rPr>
                <w:b/>
              </w:rPr>
              <w:t>UNAIDS – $5,000</w:t>
            </w:r>
          </w:p>
          <w:p w14:paraId="5247AFB2" w14:textId="6B96CFAA" w:rsidR="0069379D" w:rsidRPr="00861957" w:rsidRDefault="0069379D" w:rsidP="003B0CD2">
            <w:r w:rsidRPr="00861957">
              <w:rPr>
                <w:b/>
              </w:rPr>
              <w:t>UNHCR – $10,000</w:t>
            </w:r>
          </w:p>
        </w:tc>
      </w:tr>
      <w:tr w:rsidR="0069379D" w:rsidRPr="00861957" w14:paraId="0E18BA13" w14:textId="77777777" w:rsidTr="00C25F6C">
        <w:trPr>
          <w:trHeight w:val="567"/>
        </w:trPr>
        <w:tc>
          <w:tcPr>
            <w:tcW w:w="2127" w:type="dxa"/>
            <w:vMerge/>
            <w:tcBorders>
              <w:left w:val="single" w:sz="4" w:space="0" w:color="auto"/>
              <w:right w:val="single" w:sz="4" w:space="0" w:color="auto"/>
            </w:tcBorders>
            <w:shd w:val="clear" w:color="auto" w:fill="auto"/>
            <w:vAlign w:val="center"/>
          </w:tcPr>
          <w:p w14:paraId="6C4E8D61" w14:textId="77777777" w:rsidR="0069379D" w:rsidRPr="008B2AD6" w:rsidRDefault="0069379D" w:rsidP="003B0CD2">
            <w:pPr>
              <w:rPr>
                <w: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C92BB40" w14:textId="77777777" w:rsidR="0069379D" w:rsidRPr="008B2AD6" w:rsidRDefault="0069379D" w:rsidP="003B0CD2">
            <w:pPr>
              <w:rPr>
                <w:b/>
                <w:color w:val="000000"/>
                <w:kern w:val="24"/>
              </w:rPr>
            </w:pPr>
            <w:r w:rsidRPr="008B2AD6">
              <w:rPr>
                <w:b/>
                <w:color w:val="000000"/>
                <w:kern w:val="24"/>
              </w:rPr>
              <w:t>Indicator 1.2.2.</w:t>
            </w:r>
          </w:p>
          <w:p w14:paraId="44264737" w14:textId="748E048E" w:rsidR="0069379D" w:rsidRPr="008B2AD6" w:rsidRDefault="0069379D" w:rsidP="00964734">
            <w:r w:rsidRPr="008B2AD6">
              <w:rPr>
                <w:color w:val="000000"/>
                <w:kern w:val="24"/>
              </w:rPr>
              <w:t>Degree of improvement in the analysis and implementation of recommendations made by international organizations, including through the Universal Periodic Review of the UN Human Rights Council, in national practice</w:t>
            </w:r>
            <w:r w:rsidRPr="008B2AD6">
              <w:rPr>
                <w:color w:val="000000"/>
                <w:kern w:val="24"/>
              </w:rPr>
              <w:br/>
            </w:r>
            <w:r w:rsidRPr="008B2AD6">
              <w:rPr>
                <w:b/>
                <w:color w:val="000000" w:themeColor="text1"/>
                <w:kern w:val="36"/>
              </w:rPr>
              <w:t>Baseline</w:t>
            </w:r>
            <w:r w:rsidRPr="008B2AD6">
              <w:rPr>
                <w:b/>
              </w:rPr>
              <w:t>:</w:t>
            </w:r>
            <w:r w:rsidRPr="008B2AD6">
              <w:t xml:space="preserve"> low participation of civil society and public administration bodies in international monitoring processes focused on Belarus and efforts to implement recommendations from international organizations</w:t>
            </w:r>
            <w:r w:rsidRPr="008B2AD6">
              <w:br/>
            </w:r>
            <w:r w:rsidRPr="008B2AD6">
              <w:rPr>
                <w:b/>
              </w:rPr>
              <w:t>Target</w:t>
            </w:r>
            <w:r w:rsidRPr="008B2AD6">
              <w:t xml:space="preserve">: High participation of civil </w:t>
            </w:r>
            <w:r w:rsidRPr="008B2AD6">
              <w:lastRenderedPageBreak/>
              <w:t>society and public administration bodies in international monitoring processes focused on Belarus and efforts to implement recommendations from international organizations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86CEF8" w14:textId="7DD39B92" w:rsidR="0069379D" w:rsidRPr="00861957" w:rsidRDefault="0069379D" w:rsidP="00EE1315">
            <w:pPr>
              <w:rPr>
                <w:color w:val="000000"/>
                <w:kern w:val="24"/>
              </w:rPr>
            </w:pPr>
            <w:r w:rsidRPr="00861957">
              <w:rPr>
                <w:color w:val="000000"/>
                <w:kern w:val="24"/>
              </w:rPr>
              <w:lastRenderedPageBreak/>
              <w:t xml:space="preserve">Workshops, national reports to the treaty bodies on Belarus’s implementation of the provisions of the international treaties to which it is a party; Monitoring data on the number of civil society organizations participating in sessions of </w:t>
            </w:r>
            <w:r w:rsidRPr="00861957">
              <w:rPr>
                <w:color w:val="000000"/>
                <w:kern w:val="24"/>
              </w:rPr>
              <w:lastRenderedPageBreak/>
              <w:t>international monitoring mechanisms and in work on analysing and incorporating international recommendations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DBEA63B" w14:textId="772FD758" w:rsidR="0069379D" w:rsidRPr="00861957" w:rsidRDefault="0069379D" w:rsidP="003B0CD2">
            <w:pPr>
              <w:tabs>
                <w:tab w:val="left" w:pos="197"/>
              </w:tabs>
              <w:rPr>
                <w:color w:val="000000" w:themeColor="text1"/>
                <w:kern w:val="24"/>
              </w:rPr>
            </w:pPr>
            <w:r w:rsidRPr="00861957">
              <w:rPr>
                <w:b/>
                <w:color w:val="000000" w:themeColor="text1"/>
                <w:kern w:val="24"/>
              </w:rPr>
              <w:lastRenderedPageBreak/>
              <w:t>Assumptions:</w:t>
            </w:r>
            <w:r w:rsidRPr="00861957">
              <w:rPr>
                <w:b/>
                <w:color w:val="000000" w:themeColor="text1"/>
                <w:kern w:val="24"/>
              </w:rPr>
              <w:br/>
            </w:r>
            <w:r w:rsidRPr="00861957">
              <w:rPr>
                <w:color w:val="000000" w:themeColor="text1"/>
                <w:kern w:val="24"/>
              </w:rPr>
              <w:t>Government institutions and other organizations and civil society organizations are committed to building and maintaining constructive collaboration</w:t>
            </w:r>
          </w:p>
          <w:p w14:paraId="25FC10BC" w14:textId="758C2D22" w:rsidR="0069379D" w:rsidRPr="00861957" w:rsidRDefault="0069379D" w:rsidP="00C36204">
            <w:pPr>
              <w:tabs>
                <w:tab w:val="left" w:pos="197"/>
              </w:tabs>
              <w:rPr>
                <w:color w:val="000000" w:themeColor="text1"/>
                <w:kern w:val="24"/>
              </w:rPr>
            </w:pPr>
            <w:r w:rsidRPr="00861957">
              <w:rPr>
                <w:b/>
                <w:color w:val="000000" w:themeColor="text1"/>
                <w:kern w:val="24"/>
              </w:rPr>
              <w:t>Risks:</w:t>
            </w:r>
            <w:r w:rsidRPr="00861957">
              <w:rPr>
                <w:b/>
                <w:color w:val="000000" w:themeColor="text1"/>
                <w:kern w:val="24"/>
              </w:rPr>
              <w:br/>
            </w:r>
            <w:r w:rsidRPr="00861957">
              <w:rPr>
                <w:color w:val="000000" w:themeColor="text1"/>
                <w:kern w:val="24"/>
              </w:rPr>
              <w:t xml:space="preserve">Most Belarusian NGOs are unable to participate in sessions of the international monitoring mechanisms due to lack of accreditation with ECOSOC; Civil society organizations are not interested in collaborating with the Government in dealing with </w:t>
            </w:r>
            <w:r w:rsidRPr="00861957">
              <w:rPr>
                <w:color w:val="000000" w:themeColor="text1"/>
                <w:kern w:val="24"/>
              </w:rPr>
              <w:lastRenderedPageBreak/>
              <w:t>international monitoring mechanisms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1AB3F8" w14:textId="77777777" w:rsidR="0069379D" w:rsidRPr="00861957" w:rsidRDefault="0069379D" w:rsidP="008B20F3">
            <w:pPr>
              <w:rPr>
                <w:color w:val="000000" w:themeColor="text1"/>
                <w:spacing w:val="-4"/>
                <w:kern w:val="24"/>
              </w:rPr>
            </w:pPr>
            <w:r w:rsidRPr="00861957">
              <w:rPr>
                <w:color w:val="000000" w:themeColor="text1"/>
                <w:spacing w:val="-4"/>
                <w:kern w:val="24"/>
              </w:rPr>
              <w:lastRenderedPageBreak/>
              <w:t>MFA, various government institutions and other organizations, National Assembly, NGOs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AB4A26" w14:textId="77777777" w:rsidR="0069379D" w:rsidRPr="00861957" w:rsidRDefault="0069379D" w:rsidP="00484E9E">
            <w:pPr>
              <w:rPr>
                <w:b/>
              </w:rPr>
            </w:pPr>
            <w:r w:rsidRPr="00861957">
              <w:rPr>
                <w:b/>
              </w:rPr>
              <w:t>UNICEF – $50,000; $200,000 (to be mobilized)</w:t>
            </w:r>
          </w:p>
          <w:p w14:paraId="02489223" w14:textId="77777777" w:rsidR="0069379D" w:rsidRPr="00861957" w:rsidRDefault="0069379D" w:rsidP="00484E9E">
            <w:pPr>
              <w:rPr>
                <w:b/>
              </w:rPr>
            </w:pPr>
            <w:r w:rsidRPr="00861957">
              <w:rPr>
                <w:b/>
              </w:rPr>
              <w:t>UNFPA – $50,000; $30,000 (to be mobilized)</w:t>
            </w:r>
          </w:p>
          <w:p w14:paraId="351B05A2" w14:textId="77777777" w:rsidR="0069379D" w:rsidRPr="00861957" w:rsidRDefault="0069379D" w:rsidP="00484E9E">
            <w:pPr>
              <w:rPr>
                <w:b/>
              </w:rPr>
            </w:pPr>
            <w:r w:rsidRPr="00861957">
              <w:rPr>
                <w:b/>
              </w:rPr>
              <w:t>UNDP $</w:t>
            </w:r>
            <w:r>
              <w:rPr>
                <w:b/>
              </w:rPr>
              <w:t>2</w:t>
            </w:r>
            <w:r w:rsidRPr="00861957">
              <w:rPr>
                <w:b/>
              </w:rPr>
              <w:t>,</w:t>
            </w:r>
            <w:r>
              <w:rPr>
                <w:b/>
              </w:rPr>
              <w:t>5</w:t>
            </w:r>
            <w:r w:rsidRPr="00861957">
              <w:rPr>
                <w:b/>
              </w:rPr>
              <w:t>00,000 (to be mobilized)</w:t>
            </w:r>
          </w:p>
          <w:p w14:paraId="43C59603" w14:textId="68B3E52E" w:rsidR="0069379D" w:rsidRPr="00861957" w:rsidRDefault="0069379D" w:rsidP="003B0CD2">
            <w:pPr>
              <w:rPr>
                <w:b/>
              </w:rPr>
            </w:pPr>
            <w:r w:rsidRPr="00861957">
              <w:rPr>
                <w:b/>
              </w:rPr>
              <w:t>UNECE $100,000 (EIA)</w:t>
            </w:r>
          </w:p>
        </w:tc>
      </w:tr>
      <w:tr w:rsidR="0069379D" w:rsidRPr="00861957" w14:paraId="308E5420" w14:textId="77777777" w:rsidTr="00C25F6C">
        <w:trPr>
          <w:trHeight w:val="4807"/>
        </w:trPr>
        <w:tc>
          <w:tcPr>
            <w:tcW w:w="2127" w:type="dxa"/>
            <w:vMerge/>
            <w:tcBorders>
              <w:left w:val="single" w:sz="4" w:space="0" w:color="auto"/>
              <w:right w:val="single" w:sz="4" w:space="0" w:color="auto"/>
            </w:tcBorders>
            <w:shd w:val="clear" w:color="auto" w:fill="auto"/>
            <w:vAlign w:val="center"/>
          </w:tcPr>
          <w:p w14:paraId="65A71B3B" w14:textId="77777777" w:rsidR="0069379D" w:rsidRPr="00861957" w:rsidRDefault="0069379D" w:rsidP="003B0CD2">
            <w:pPr>
              <w:rPr>
                <w:b/>
              </w:rPr>
            </w:pPr>
          </w:p>
        </w:tc>
        <w:tc>
          <w:tcPr>
            <w:tcW w:w="3969" w:type="dxa"/>
            <w:tcBorders>
              <w:top w:val="single" w:sz="4" w:space="0" w:color="auto"/>
              <w:left w:val="single" w:sz="4" w:space="0" w:color="auto"/>
              <w:right w:val="single" w:sz="4" w:space="0" w:color="auto"/>
            </w:tcBorders>
            <w:shd w:val="clear" w:color="auto" w:fill="auto"/>
          </w:tcPr>
          <w:p w14:paraId="56CC8657" w14:textId="05E260EF" w:rsidR="0069379D" w:rsidRPr="008B2AD6" w:rsidRDefault="0069379D" w:rsidP="00964734">
            <w:pPr>
              <w:rPr>
                <w:color w:val="000000"/>
                <w:kern w:val="24"/>
              </w:rPr>
            </w:pPr>
            <w:r w:rsidRPr="008B2AD6">
              <w:rPr>
                <w:b/>
                <w:kern w:val="24"/>
              </w:rPr>
              <w:t>Indicator 1.2.3.</w:t>
            </w:r>
            <w:r w:rsidRPr="008B2AD6">
              <w:rPr>
                <w:b/>
                <w:kern w:val="24"/>
              </w:rPr>
              <w:br/>
            </w:r>
            <w:r w:rsidRPr="008B2AD6">
              <w:rPr>
                <w:kern w:val="24"/>
              </w:rPr>
              <w:t>Number of cities with ‘child friendly’ status</w:t>
            </w:r>
            <w:r w:rsidRPr="008B2AD6">
              <w:rPr>
                <w:kern w:val="24"/>
              </w:rPr>
              <w:br/>
            </w:r>
            <w:r w:rsidRPr="008B2AD6">
              <w:rPr>
                <w:b/>
                <w:kern w:val="24"/>
              </w:rPr>
              <w:t>Baseline:</w:t>
            </w:r>
            <w:r w:rsidRPr="008B2AD6">
              <w:rPr>
                <w:kern w:val="24"/>
              </w:rPr>
              <w:t xml:space="preserve"> </w:t>
            </w:r>
            <w:r w:rsidRPr="008B2AD6">
              <w:rPr>
                <w:kern w:val="24"/>
              </w:rPr>
              <w:br/>
            </w:r>
            <w:r w:rsidRPr="008B2AD6">
              <w:t>2014  – 6</w:t>
            </w:r>
            <w:r w:rsidRPr="008B2AD6">
              <w:rPr>
                <w:kern w:val="24"/>
              </w:rPr>
              <w:t xml:space="preserve"> cities.</w:t>
            </w:r>
            <w:r w:rsidRPr="008B2AD6">
              <w:rPr>
                <w:kern w:val="24"/>
              </w:rPr>
              <w:br/>
            </w:r>
            <w:r w:rsidRPr="008B2AD6">
              <w:rPr>
                <w:b/>
                <w:kern w:val="24"/>
              </w:rPr>
              <w:t>Targets</w:t>
            </w:r>
            <w:r w:rsidRPr="008B2AD6">
              <w:rPr>
                <w:kern w:val="24"/>
              </w:rPr>
              <w:t xml:space="preserve">:  </w:t>
            </w:r>
            <w:r w:rsidRPr="008B2AD6">
              <w:rPr>
                <w:kern w:val="24"/>
              </w:rPr>
              <w:br/>
              <w:t>2020  – 20 cities.</w:t>
            </w:r>
          </w:p>
        </w:tc>
        <w:tc>
          <w:tcPr>
            <w:tcW w:w="1984" w:type="dxa"/>
            <w:tcBorders>
              <w:top w:val="single" w:sz="4" w:space="0" w:color="auto"/>
              <w:left w:val="single" w:sz="4" w:space="0" w:color="auto"/>
              <w:right w:val="single" w:sz="4" w:space="0" w:color="auto"/>
            </w:tcBorders>
            <w:shd w:val="clear" w:color="auto" w:fill="auto"/>
          </w:tcPr>
          <w:p w14:paraId="7F4AA49F" w14:textId="5E047841" w:rsidR="0069379D" w:rsidRPr="008B2AD6" w:rsidRDefault="0069379D" w:rsidP="003B0CD2">
            <w:r w:rsidRPr="008B2AD6">
              <w:t xml:space="preserve">Decision of the National Steering Committee on the implementation of the Child Friendly City Initiative under the National Commission on the Rights of the Child  </w:t>
            </w:r>
          </w:p>
          <w:p w14:paraId="6D9A72FA" w14:textId="77777777" w:rsidR="0069379D" w:rsidRPr="008B2AD6" w:rsidRDefault="0069379D" w:rsidP="003B0CD2">
            <w:pPr>
              <w:rPr>
                <w:color w:val="000000" w:themeColor="dark1"/>
                <w:kern w:val="24"/>
              </w:rPr>
            </w:pPr>
          </w:p>
        </w:tc>
        <w:tc>
          <w:tcPr>
            <w:tcW w:w="3686" w:type="dxa"/>
            <w:tcBorders>
              <w:top w:val="single" w:sz="4" w:space="0" w:color="auto"/>
              <w:left w:val="single" w:sz="4" w:space="0" w:color="auto"/>
              <w:right w:val="single" w:sz="4" w:space="0" w:color="auto"/>
            </w:tcBorders>
            <w:shd w:val="clear" w:color="auto" w:fill="auto"/>
          </w:tcPr>
          <w:p w14:paraId="5939CD64" w14:textId="0CC008BD" w:rsidR="0069379D" w:rsidRPr="008B2AD6" w:rsidRDefault="0069379D" w:rsidP="003B0CD2">
            <w:pPr>
              <w:rPr>
                <w:kern w:val="24"/>
              </w:rPr>
            </w:pPr>
            <w:r w:rsidRPr="008B2AD6">
              <w:rPr>
                <w:b/>
                <w:kern w:val="24"/>
              </w:rPr>
              <w:t>Assumptions:</w:t>
            </w:r>
            <w:r w:rsidRPr="008B2AD6">
              <w:rPr>
                <w:b/>
                <w:kern w:val="24"/>
              </w:rPr>
              <w:br/>
            </w:r>
            <w:r w:rsidRPr="008B2AD6">
              <w:rPr>
                <w:kern w:val="24"/>
              </w:rPr>
              <w:t xml:space="preserve">A favourable environment exists for the formation of effective self-government systems in the interest of children, as does an interest in such systems on the part of local legislatures and parliaments </w:t>
            </w:r>
          </w:p>
          <w:p w14:paraId="198956D0" w14:textId="4F8E91C4" w:rsidR="0069379D" w:rsidRPr="008B2AD6" w:rsidRDefault="0069379D" w:rsidP="00C36204">
            <w:pPr>
              <w:tabs>
                <w:tab w:val="left" w:pos="1562"/>
              </w:tabs>
              <w:rPr>
                <w:color w:val="000000" w:themeColor="text1"/>
                <w:kern w:val="24"/>
              </w:rPr>
            </w:pPr>
            <w:r w:rsidRPr="008B2AD6">
              <w:rPr>
                <w:b/>
                <w:kern w:val="24"/>
              </w:rPr>
              <w:t>Risks:</w:t>
            </w:r>
            <w:r w:rsidRPr="008B2AD6">
              <w:rPr>
                <w:b/>
                <w:kern w:val="24"/>
              </w:rPr>
              <w:br/>
            </w:r>
            <w:r w:rsidRPr="008B2AD6">
              <w:rPr>
                <w:kern w:val="24"/>
              </w:rPr>
              <w:t>Shortage of financial and human resources, lack of effective practices of collaboration between local governments, civil society, families and children to create a better living environment for children</w:t>
            </w:r>
          </w:p>
        </w:tc>
        <w:tc>
          <w:tcPr>
            <w:tcW w:w="2126" w:type="dxa"/>
            <w:tcBorders>
              <w:top w:val="single" w:sz="4" w:space="0" w:color="auto"/>
              <w:left w:val="single" w:sz="4" w:space="0" w:color="auto"/>
              <w:right w:val="single" w:sz="4" w:space="0" w:color="auto"/>
            </w:tcBorders>
            <w:shd w:val="clear" w:color="auto" w:fill="auto"/>
          </w:tcPr>
          <w:p w14:paraId="44D4291A" w14:textId="2761A871" w:rsidR="0069379D" w:rsidRPr="008B2AD6" w:rsidRDefault="0069379D" w:rsidP="00C36204">
            <w:pPr>
              <w:rPr>
                <w:spacing w:val="-4"/>
                <w:kern w:val="24"/>
              </w:rPr>
            </w:pPr>
            <w:r w:rsidRPr="008B2AD6">
              <w:rPr>
                <w:spacing w:val="-4"/>
                <w:kern w:val="24"/>
              </w:rPr>
              <w:t>Local legislatures, governments and administrations, National Commission on the Rights of the Child, Ministry of Education, National Centre for Promotion of Art among Children and Youth, children and youth NGOs</w:t>
            </w:r>
          </w:p>
        </w:tc>
        <w:tc>
          <w:tcPr>
            <w:tcW w:w="1984" w:type="dxa"/>
            <w:tcBorders>
              <w:top w:val="single" w:sz="4" w:space="0" w:color="auto"/>
              <w:left w:val="single" w:sz="4" w:space="0" w:color="auto"/>
              <w:right w:val="single" w:sz="4" w:space="0" w:color="auto"/>
            </w:tcBorders>
            <w:shd w:val="clear" w:color="auto" w:fill="auto"/>
          </w:tcPr>
          <w:p w14:paraId="1A39A57C" w14:textId="401F6267" w:rsidR="0069379D" w:rsidRPr="008B2AD6" w:rsidRDefault="0069379D" w:rsidP="003B0CD2">
            <w:r w:rsidRPr="008B2AD6">
              <w:rPr>
                <w:b/>
              </w:rPr>
              <w:t>UNICEF – $150,000; $100,000 (to be mobilized)</w:t>
            </w:r>
          </w:p>
        </w:tc>
      </w:tr>
      <w:tr w:rsidR="0069379D" w:rsidRPr="00861957" w14:paraId="251E7B03" w14:textId="77777777" w:rsidTr="00C25F6C">
        <w:trPr>
          <w:trHeight w:val="567"/>
        </w:trPr>
        <w:tc>
          <w:tcPr>
            <w:tcW w:w="2127" w:type="dxa"/>
            <w:vMerge/>
            <w:tcBorders>
              <w:left w:val="single" w:sz="4" w:space="0" w:color="auto"/>
              <w:bottom w:val="single" w:sz="4" w:space="0" w:color="auto"/>
              <w:right w:val="single" w:sz="4" w:space="0" w:color="auto"/>
            </w:tcBorders>
            <w:shd w:val="clear" w:color="auto" w:fill="auto"/>
            <w:vAlign w:val="center"/>
          </w:tcPr>
          <w:p w14:paraId="5F3E0D70" w14:textId="77777777" w:rsidR="0069379D" w:rsidRPr="00861957" w:rsidRDefault="0069379D" w:rsidP="003B0CD2">
            <w:pPr>
              <w:rPr>
                <w: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A967C45" w14:textId="54E520EF" w:rsidR="0069379D" w:rsidRPr="008B2AD6" w:rsidRDefault="0069379D" w:rsidP="008B20F3">
            <w:pPr>
              <w:rPr>
                <w:color w:val="000000"/>
                <w:kern w:val="24"/>
              </w:rPr>
            </w:pPr>
            <w:r w:rsidRPr="008B2AD6">
              <w:rPr>
                <w:b/>
                <w:color w:val="000000"/>
                <w:kern w:val="24"/>
              </w:rPr>
              <w:t>Indicator 1.2.4.</w:t>
            </w:r>
            <w:r w:rsidRPr="008B2AD6">
              <w:rPr>
                <w:b/>
                <w:color w:val="000000"/>
                <w:kern w:val="24"/>
              </w:rPr>
              <w:br/>
            </w:r>
            <w:r w:rsidRPr="008B2AD6">
              <w:rPr>
                <w:color w:val="000000"/>
                <w:kern w:val="24"/>
              </w:rPr>
              <w:t xml:space="preserve">Share of administrative procedures performed online </w:t>
            </w:r>
            <w:r w:rsidRPr="008B2AD6">
              <w:rPr>
                <w:color w:val="000000"/>
                <w:kern w:val="24"/>
              </w:rPr>
              <w:br/>
            </w:r>
            <w:r w:rsidRPr="008B2AD6">
              <w:rPr>
                <w:b/>
                <w:color w:val="000000"/>
                <w:kern w:val="24"/>
              </w:rPr>
              <w:t>Baseline</w:t>
            </w:r>
            <w:r w:rsidRPr="008B2AD6">
              <w:rPr>
                <w:color w:val="000000"/>
                <w:kern w:val="24"/>
              </w:rPr>
              <w:t>:</w:t>
            </w:r>
            <w:r w:rsidRPr="008B2AD6">
              <w:rPr>
                <w:color w:val="000000"/>
                <w:kern w:val="24"/>
              </w:rPr>
              <w:br/>
              <w:t xml:space="preserve">2015 – share of administrative procedures performed online to be determined based on research; </w:t>
            </w:r>
          </w:p>
          <w:p w14:paraId="2A2A4333" w14:textId="3BBC1FA4" w:rsidR="0069379D" w:rsidRPr="008B2AD6" w:rsidRDefault="0069379D" w:rsidP="008B20F3">
            <w:pPr>
              <w:rPr>
                <w:color w:val="000000"/>
                <w:kern w:val="24"/>
              </w:rPr>
            </w:pPr>
            <w:r w:rsidRPr="008B2AD6">
              <w:rPr>
                <w:color w:val="000000"/>
                <w:kern w:val="24"/>
              </w:rPr>
              <w:t>the United web-portal of state e-services is functional</w:t>
            </w:r>
            <w:r w:rsidRPr="008B2AD6">
              <w:rPr>
                <w:color w:val="000000"/>
                <w:kern w:val="24"/>
              </w:rPr>
              <w:br/>
            </w:r>
            <w:r w:rsidRPr="008B2AD6">
              <w:rPr>
                <w:b/>
                <w:color w:val="000000"/>
                <w:kern w:val="24"/>
              </w:rPr>
              <w:lastRenderedPageBreak/>
              <w:t>Targets:</w:t>
            </w:r>
            <w:r w:rsidRPr="008B2AD6">
              <w:rPr>
                <w:b/>
                <w:color w:val="000000"/>
                <w:kern w:val="24"/>
              </w:rPr>
              <w:br/>
            </w:r>
            <w:r w:rsidRPr="008B2AD6">
              <w:rPr>
                <w:color w:val="000000"/>
                <w:kern w:val="24"/>
              </w:rPr>
              <w:t xml:space="preserve">2020 –share of administrative procedures performed online to be determined based on research; </w:t>
            </w:r>
          </w:p>
          <w:p w14:paraId="3260D717" w14:textId="3B16AC12" w:rsidR="0069379D" w:rsidRPr="008B2AD6" w:rsidRDefault="0069379D" w:rsidP="004F1460">
            <w:pPr>
              <w:rPr>
                <w:color w:val="000000"/>
                <w:kern w:val="24"/>
              </w:rPr>
            </w:pPr>
            <w:r w:rsidRPr="008B2AD6">
              <w:rPr>
                <w:color w:val="000000"/>
                <w:kern w:val="24"/>
              </w:rPr>
              <w:t>the United web-portal of state e-services is functional as ‘one window’ in external trade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2865D8" w14:textId="6FD4120B" w:rsidR="0069379D" w:rsidRPr="008B2AD6" w:rsidRDefault="0069379D" w:rsidP="003B0CD2">
            <w:pPr>
              <w:rPr>
                <w:color w:val="000000" w:themeColor="text1"/>
                <w:kern w:val="24"/>
              </w:rPr>
            </w:pPr>
            <w:r w:rsidRPr="008B2AD6">
              <w:rPr>
                <w:color w:val="000000" w:themeColor="text1"/>
                <w:kern w:val="24"/>
              </w:rPr>
              <w:lastRenderedPageBreak/>
              <w:t>Uniform portal of electronic services (</w:t>
            </w:r>
            <w:hyperlink r:id="rId12">
              <w:r w:rsidRPr="008B2AD6">
                <w:rPr>
                  <w:rStyle w:val="Hyperlink"/>
                  <w:color w:val="000000" w:themeColor="text1"/>
                  <w:kern w:val="24"/>
                </w:rPr>
                <w:t>www.portal.gov.by</w:t>
              </w:r>
            </w:hyperlink>
            <w:r w:rsidRPr="008B2AD6">
              <w:rPr>
                <w:color w:val="000000" w:themeColor="text1"/>
                <w:kern w:val="24"/>
              </w:rPr>
              <w:t xml:space="preserve">), Study of official data from government agencies; Evaluation of </w:t>
            </w:r>
            <w:r w:rsidRPr="008B2AD6">
              <w:rPr>
                <w:color w:val="000000" w:themeColor="text1"/>
                <w:kern w:val="24"/>
              </w:rPr>
              <w:lastRenderedPageBreak/>
              <w:t>electronic administrative procedures through</w:t>
            </w:r>
          </w:p>
          <w:p w14:paraId="50D7FD2A" w14:textId="77777777" w:rsidR="0069379D" w:rsidRPr="008B2AD6" w:rsidRDefault="0069379D" w:rsidP="003B0CD2">
            <w:pPr>
              <w:rPr>
                <w:color w:val="000000" w:themeColor="text1"/>
                <w:kern w:val="24"/>
              </w:rPr>
            </w:pPr>
            <w:r w:rsidRPr="008B2AD6">
              <w:rPr>
                <w:color w:val="000000" w:themeColor="text1"/>
                <w:kern w:val="24"/>
              </w:rPr>
              <w:t xml:space="preserve">relevant research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180B1A" w14:textId="5889A7A7" w:rsidR="0069379D" w:rsidRPr="008B2AD6" w:rsidRDefault="0069379D" w:rsidP="003B0CD2">
            <w:pPr>
              <w:tabs>
                <w:tab w:val="left" w:pos="1562"/>
              </w:tabs>
              <w:rPr>
                <w:color w:val="000000" w:themeColor="text1"/>
                <w:kern w:val="24"/>
              </w:rPr>
            </w:pPr>
            <w:r w:rsidRPr="008B2AD6">
              <w:rPr>
                <w:b/>
                <w:color w:val="000000" w:themeColor="text1"/>
                <w:kern w:val="24"/>
              </w:rPr>
              <w:lastRenderedPageBreak/>
              <w:t>Assumptions:</w:t>
            </w:r>
            <w:r w:rsidRPr="008B2AD6">
              <w:rPr>
                <w:b/>
                <w:color w:val="000000" w:themeColor="text1"/>
                <w:kern w:val="24"/>
              </w:rPr>
              <w:br/>
            </w:r>
            <w:r w:rsidRPr="008B2AD6">
              <w:rPr>
                <w:color w:val="000000" w:themeColor="text1"/>
                <w:kern w:val="24"/>
              </w:rPr>
              <w:t>The Government seeks to expand provision of electronic services to the greatest possible extent; Society has an interest in having a greater range of administrative procedures available online</w:t>
            </w:r>
          </w:p>
          <w:p w14:paraId="7A6EABEC" w14:textId="77777777" w:rsidR="0069379D" w:rsidRPr="008B2AD6" w:rsidRDefault="0069379D" w:rsidP="003B0CD2">
            <w:pPr>
              <w:tabs>
                <w:tab w:val="left" w:pos="1562"/>
              </w:tabs>
              <w:rPr>
                <w:color w:val="000000" w:themeColor="text1"/>
                <w:kern w:val="24"/>
              </w:rPr>
            </w:pPr>
            <w:r w:rsidRPr="008B2AD6">
              <w:rPr>
                <w:b/>
                <w:color w:val="000000" w:themeColor="text1"/>
                <w:kern w:val="24"/>
              </w:rPr>
              <w:t xml:space="preserve">Risks: </w:t>
            </w:r>
            <w:r w:rsidRPr="008B2AD6">
              <w:rPr>
                <w:b/>
                <w:color w:val="000000" w:themeColor="text1"/>
                <w:kern w:val="24"/>
              </w:rPr>
              <w:br/>
            </w:r>
            <w:r w:rsidRPr="008B2AD6">
              <w:rPr>
                <w:color w:val="000000" w:themeColor="text1"/>
                <w:kern w:val="24"/>
              </w:rPr>
              <w:t xml:space="preserve">Funding shortages, insufficient </w:t>
            </w:r>
            <w:r w:rsidRPr="008B2AD6">
              <w:rPr>
                <w:color w:val="000000" w:themeColor="text1"/>
                <w:kern w:val="24"/>
              </w:rPr>
              <w:lastRenderedPageBreak/>
              <w:t>levels of technical literacy, and low motivation of the public to access administrative procedures online;</w:t>
            </w:r>
          </w:p>
          <w:p w14:paraId="02C687E1" w14:textId="77777777" w:rsidR="0069379D" w:rsidRPr="008B2AD6" w:rsidRDefault="0069379D" w:rsidP="003B0CD2">
            <w:pPr>
              <w:tabs>
                <w:tab w:val="left" w:pos="1562"/>
              </w:tabs>
              <w:rPr>
                <w:kern w:val="24"/>
              </w:rPr>
            </w:pPr>
            <w:r w:rsidRPr="008B2AD6">
              <w:rPr>
                <w:color w:val="000000" w:themeColor="text1"/>
                <w:kern w:val="24"/>
              </w:rPr>
              <w:t>Inadequate ICTs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57820E" w14:textId="68BD9F04" w:rsidR="0069379D" w:rsidRPr="008B2AD6" w:rsidRDefault="0069379D" w:rsidP="003B0CD2">
            <w:pPr>
              <w:rPr>
                <w:color w:val="000000" w:themeColor="text1"/>
              </w:rPr>
            </w:pPr>
            <w:r w:rsidRPr="008B2AD6">
              <w:rPr>
                <w:color w:val="000000" w:themeColor="text1"/>
                <w:spacing w:val="-4"/>
                <w:kern w:val="24"/>
              </w:rPr>
              <w:lastRenderedPageBreak/>
              <w:t xml:space="preserve">National e-services Centre, Ministry of Justice, Ministry of Economy; Ministry of Foreign Affairs; Ministry of Communication and Information Technology, </w:t>
            </w:r>
            <w:r w:rsidRPr="008B2AD6">
              <w:rPr>
                <w:color w:val="000000" w:themeColor="text1"/>
                <w:spacing w:val="-4"/>
                <w:kern w:val="24"/>
              </w:rPr>
              <w:lastRenderedPageBreak/>
              <w:t>national government bodies and other organizations, local governments,</w:t>
            </w:r>
            <w:r w:rsidRPr="008B2AD6">
              <w:rPr>
                <w:color w:val="000000" w:themeColor="text1"/>
                <w:spacing w:val="-4"/>
                <w:kern w:val="24"/>
              </w:rPr>
              <w:br/>
            </w:r>
            <w:r w:rsidRPr="008B2AD6">
              <w:rPr>
                <w:color w:val="000000"/>
                <w:spacing w:val="-4"/>
                <w:kern w:val="24"/>
              </w:rPr>
              <w:t>National Centre of Legislation and Legal Research</w:t>
            </w:r>
          </w:p>
          <w:p w14:paraId="59251938" w14:textId="77777777" w:rsidR="0069379D" w:rsidRPr="008B2AD6" w:rsidRDefault="0069379D" w:rsidP="003B0CD2"/>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456AC8" w14:textId="49B286D4" w:rsidR="0069379D" w:rsidRPr="008B2AD6" w:rsidRDefault="0069379D" w:rsidP="00470795">
            <w:pPr>
              <w:rPr>
                <w:b/>
              </w:rPr>
            </w:pPr>
            <w:r w:rsidRPr="008B2AD6">
              <w:rPr>
                <w:b/>
              </w:rPr>
              <w:lastRenderedPageBreak/>
              <w:t>UNDP $2,</w:t>
            </w:r>
            <w:r>
              <w:rPr>
                <w:b/>
              </w:rPr>
              <w:t>132</w:t>
            </w:r>
            <w:r w:rsidRPr="008B2AD6">
              <w:rPr>
                <w:b/>
              </w:rPr>
              <w:t>,000 (to be mobilized)</w:t>
            </w:r>
          </w:p>
        </w:tc>
      </w:tr>
      <w:tr w:rsidR="0069379D" w:rsidRPr="00861957" w14:paraId="3185F4FE" w14:textId="77777777" w:rsidTr="00A463EA">
        <w:trPr>
          <w:trHeight w:val="567"/>
        </w:trPr>
        <w:tc>
          <w:tcPr>
            <w:tcW w:w="2127" w:type="dxa"/>
            <w:vMerge w:val="restart"/>
            <w:tcBorders>
              <w:top w:val="single" w:sz="4" w:space="0" w:color="auto"/>
              <w:left w:val="single" w:sz="4" w:space="0" w:color="auto"/>
              <w:right w:val="single" w:sz="4" w:space="0" w:color="auto"/>
            </w:tcBorders>
            <w:shd w:val="clear" w:color="auto" w:fill="auto"/>
          </w:tcPr>
          <w:p w14:paraId="1D61DB6A" w14:textId="77777777" w:rsidR="0069379D" w:rsidRPr="00861957" w:rsidRDefault="0069379D" w:rsidP="003B0CD2">
            <w:pPr>
              <w:rPr>
                <w:b/>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2B2342" w14:textId="49477786" w:rsidR="0069379D" w:rsidRPr="00861957" w:rsidRDefault="0069379D" w:rsidP="00964734">
            <w:pPr>
              <w:rPr>
                <w:color w:val="000000"/>
                <w:kern w:val="24"/>
              </w:rPr>
            </w:pPr>
            <w:r w:rsidRPr="00861957">
              <w:rPr>
                <w:b/>
                <w:color w:val="000000"/>
                <w:kern w:val="24"/>
              </w:rPr>
              <w:t>Indicator 1.2.5</w:t>
            </w:r>
            <w:r w:rsidRPr="00861957">
              <w:rPr>
                <w:color w:val="000000"/>
                <w:kern w:val="24"/>
              </w:rPr>
              <w:t>. Availability of multifunctional centres for carrying out administrative procedures</w:t>
            </w:r>
            <w:r w:rsidRPr="00861957">
              <w:rPr>
                <w:color w:val="000000"/>
                <w:kern w:val="24"/>
              </w:rPr>
              <w:br/>
            </w:r>
            <w:r w:rsidRPr="00861957">
              <w:rPr>
                <w:b/>
                <w:color w:val="000000"/>
                <w:kern w:val="24"/>
              </w:rPr>
              <w:t>Baseline:</w:t>
            </w:r>
            <w:r w:rsidRPr="00861957">
              <w:rPr>
                <w:b/>
                <w:color w:val="000000"/>
                <w:kern w:val="24"/>
              </w:rPr>
              <w:br/>
            </w:r>
            <w:r w:rsidRPr="00861957">
              <w:rPr>
                <w:color w:val="000000"/>
                <w:kern w:val="24"/>
              </w:rPr>
              <w:t>Multifunctional centres for carrying out administrative procedures and a legal framework for their functioning do not exist</w:t>
            </w:r>
            <w:r w:rsidRPr="00861957">
              <w:rPr>
                <w:color w:val="000000"/>
                <w:kern w:val="24"/>
              </w:rPr>
              <w:br/>
            </w:r>
            <w:r w:rsidRPr="00861957">
              <w:rPr>
                <w:b/>
                <w:color w:val="000000"/>
                <w:kern w:val="24"/>
              </w:rPr>
              <w:t>Target</w:t>
            </w:r>
            <w:r w:rsidRPr="00861957">
              <w:rPr>
                <w:color w:val="000000"/>
                <w:kern w:val="24"/>
              </w:rPr>
              <w:t>:</w:t>
            </w:r>
            <w:r w:rsidRPr="00861957">
              <w:rPr>
                <w:color w:val="000000"/>
                <w:kern w:val="24"/>
              </w:rPr>
              <w:br/>
              <w:t>A multifunctional centre, accepting applications to a variety of administrative procedures at one location, is piloted in Minsk; a legal framework for the functioning of such centres is developed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F48C31" w14:textId="77777777" w:rsidR="0069379D" w:rsidRPr="00861957" w:rsidRDefault="0069379D" w:rsidP="003B0CD2">
            <w:pPr>
              <w:rPr>
                <w:color w:val="000000"/>
                <w:kern w:val="24"/>
              </w:rPr>
            </w:pPr>
            <w:r w:rsidRPr="00861957">
              <w:rPr>
                <w:color w:val="000000"/>
                <w:kern w:val="24"/>
              </w:rPr>
              <w:t>Official website of the Minsk City Executive Committee (</w:t>
            </w:r>
            <w:hyperlink r:id="rId13">
              <w:r w:rsidRPr="00861957">
                <w:rPr>
                  <w:rStyle w:val="Hyperlink"/>
                  <w:kern w:val="24"/>
                </w:rPr>
                <w:t>www.minsk.gov.by</w:t>
              </w:r>
            </w:hyperlink>
            <w:r w:rsidRPr="00861957">
              <w:rPr>
                <w:color w:val="000000"/>
                <w:kern w:val="24"/>
              </w:rPr>
              <w:t>); Study of official data from government agencies; Client surveys among users of the multifunctional access centre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BB31F40" w14:textId="55C11D61" w:rsidR="0069379D" w:rsidRPr="00861957" w:rsidRDefault="0069379D" w:rsidP="003B0CD2">
            <w:pPr>
              <w:tabs>
                <w:tab w:val="left" w:pos="1562"/>
              </w:tabs>
              <w:rPr>
                <w:color w:val="000000" w:themeColor="text1"/>
                <w:kern w:val="24"/>
              </w:rPr>
            </w:pPr>
            <w:r w:rsidRPr="00861957">
              <w:rPr>
                <w:b/>
                <w:color w:val="000000" w:themeColor="text1"/>
                <w:kern w:val="24"/>
              </w:rPr>
              <w:t>Assumptions:</w:t>
            </w:r>
            <w:r w:rsidRPr="00861957">
              <w:rPr>
                <w:b/>
                <w:color w:val="000000" w:themeColor="text1"/>
                <w:kern w:val="24"/>
              </w:rPr>
              <w:br/>
            </w:r>
            <w:r w:rsidRPr="00861957">
              <w:rPr>
                <w:color w:val="000000" w:themeColor="text1"/>
                <w:kern w:val="24"/>
              </w:rPr>
              <w:t>The Government is making a systematic effort to expand access to administrative procedures for the general public</w:t>
            </w:r>
          </w:p>
          <w:p w14:paraId="11C29FDD" w14:textId="77777777" w:rsidR="0069379D" w:rsidRPr="00861957" w:rsidRDefault="0069379D" w:rsidP="003B0CD2">
            <w:pPr>
              <w:tabs>
                <w:tab w:val="left" w:pos="1562"/>
              </w:tabs>
              <w:rPr>
                <w:color w:val="000000" w:themeColor="text1"/>
                <w:kern w:val="24"/>
              </w:rPr>
            </w:pPr>
            <w:r w:rsidRPr="00861957">
              <w:rPr>
                <w:b/>
                <w:color w:val="000000" w:themeColor="text1"/>
                <w:kern w:val="24"/>
              </w:rPr>
              <w:t xml:space="preserve">Risks: </w:t>
            </w:r>
            <w:r w:rsidRPr="00861957">
              <w:rPr>
                <w:b/>
                <w:color w:val="000000" w:themeColor="text1"/>
                <w:kern w:val="24"/>
              </w:rPr>
              <w:br/>
            </w:r>
            <w:r w:rsidRPr="00861957">
              <w:rPr>
                <w:color w:val="000000" w:themeColor="text1"/>
                <w:kern w:val="24"/>
              </w:rPr>
              <w:t>Shortage of funding for the establishment and operation of the multifunctional centres of access to administrative procedures</w:t>
            </w:r>
          </w:p>
          <w:p w14:paraId="727B8AF1" w14:textId="77777777" w:rsidR="0069379D" w:rsidRPr="00861957" w:rsidRDefault="0069379D" w:rsidP="003B0CD2">
            <w:pPr>
              <w:tabs>
                <w:tab w:val="left" w:pos="1562"/>
              </w:tabs>
              <w:rPr>
                <w:color w:val="000000" w:themeColor="text1"/>
                <w:kern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8E3F75" w14:textId="4D8A47C0" w:rsidR="0069379D" w:rsidRPr="008B2AD6" w:rsidRDefault="0069379D" w:rsidP="003B0CD2">
            <w:pPr>
              <w:rPr>
                <w:color w:val="000000"/>
                <w:spacing w:val="-4"/>
                <w:kern w:val="24"/>
              </w:rPr>
            </w:pPr>
            <w:r w:rsidRPr="00861957">
              <w:rPr>
                <w:color w:val="000000" w:themeColor="text1"/>
                <w:spacing w:val="-4"/>
                <w:kern w:val="24"/>
              </w:rPr>
              <w:t xml:space="preserve">Minsk City Executive Committee, local </w:t>
            </w:r>
            <w:r w:rsidRPr="008B2AD6">
              <w:rPr>
                <w:color w:val="000000" w:themeColor="text1"/>
                <w:spacing w:val="-4"/>
                <w:kern w:val="24"/>
              </w:rPr>
              <w:t>governments and administrations</w:t>
            </w:r>
            <w:r w:rsidRPr="008B2AD6">
              <w:rPr>
                <w:color w:val="000000"/>
                <w:spacing w:val="-4"/>
                <w:kern w:val="24"/>
              </w:rPr>
              <w:t xml:space="preserve">, Ministry of Justice, </w:t>
            </w:r>
          </w:p>
          <w:p w14:paraId="54252160" w14:textId="118AEDC2" w:rsidR="0069379D" w:rsidRPr="00861957" w:rsidRDefault="0069379D" w:rsidP="003B0CD2">
            <w:pPr>
              <w:rPr>
                <w:color w:val="000000"/>
                <w:spacing w:val="-4"/>
                <w:kern w:val="24"/>
              </w:rPr>
            </w:pPr>
            <w:r w:rsidRPr="008B2AD6">
              <w:rPr>
                <w:color w:val="000000"/>
                <w:spacing w:val="-4"/>
                <w:kern w:val="24"/>
              </w:rPr>
              <w:t>state enterprise ‘Information Technologies Centre</w:t>
            </w:r>
            <w:r w:rsidRPr="00861957">
              <w:rPr>
                <w:color w:val="000000"/>
                <w:spacing w:val="-4"/>
                <w:kern w:val="24"/>
              </w:rPr>
              <w:t xml:space="preserve"> of the Minsk City Executive Committee’, state  enterprise ‘Minsk City Agency for the Provision of Services to the Population’, Municipal Property and Energy Department,</w:t>
            </w:r>
          </w:p>
          <w:p w14:paraId="2F7E50B8" w14:textId="77777777" w:rsidR="0069379D" w:rsidRPr="00861957" w:rsidRDefault="0069379D" w:rsidP="00A463EA">
            <w:pPr>
              <w:rPr>
                <w:color w:val="000000" w:themeColor="dark1"/>
                <w:kern w:val="24"/>
              </w:rPr>
            </w:pPr>
            <w:r w:rsidRPr="00861957">
              <w:rPr>
                <w:color w:val="000000"/>
                <w:spacing w:val="-4"/>
                <w:kern w:val="24"/>
              </w:rPr>
              <w:t xml:space="preserve">National Centre of Legislation and Legal Research; </w:t>
            </w:r>
            <w:r w:rsidRPr="00861957">
              <w:rPr>
                <w:color w:val="000000" w:themeColor="text1"/>
                <w:spacing w:val="-4"/>
                <w:kern w:val="24"/>
              </w:rPr>
              <w:t>National Electronic Services Centre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EB6B74" w14:textId="3ED35504" w:rsidR="0069379D" w:rsidRPr="00861957" w:rsidRDefault="0069379D" w:rsidP="00470795">
            <w:pPr>
              <w:rPr>
                <w:b/>
              </w:rPr>
            </w:pPr>
            <w:r w:rsidRPr="00861957">
              <w:rPr>
                <w:b/>
              </w:rPr>
              <w:t>UNDP $2,500,000 (to be mobilized)</w:t>
            </w:r>
          </w:p>
        </w:tc>
      </w:tr>
      <w:tr w:rsidR="0069379D" w:rsidRPr="00861957" w14:paraId="479756AC" w14:textId="77777777" w:rsidTr="00C25F6C">
        <w:trPr>
          <w:trHeight w:val="567"/>
        </w:trPr>
        <w:tc>
          <w:tcPr>
            <w:tcW w:w="2127" w:type="dxa"/>
            <w:vMerge/>
            <w:tcBorders>
              <w:left w:val="single" w:sz="4" w:space="0" w:color="auto"/>
              <w:right w:val="single" w:sz="4" w:space="0" w:color="auto"/>
            </w:tcBorders>
            <w:shd w:val="clear" w:color="auto" w:fill="auto"/>
            <w:vAlign w:val="center"/>
          </w:tcPr>
          <w:p w14:paraId="7B14826C" w14:textId="77777777" w:rsidR="0069379D" w:rsidRPr="00861957" w:rsidRDefault="0069379D" w:rsidP="003B0CD2">
            <w:pPr>
              <w:rPr>
                <w: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DC5461" w14:textId="10B6E7D3" w:rsidR="0069379D" w:rsidRPr="00861957" w:rsidRDefault="0069379D" w:rsidP="00964734">
            <w:pPr>
              <w:rPr>
                <w:color w:val="000000"/>
                <w:kern w:val="24"/>
              </w:rPr>
            </w:pPr>
            <w:r w:rsidRPr="00861957">
              <w:rPr>
                <w:b/>
                <w:color w:val="000000"/>
                <w:kern w:val="24"/>
              </w:rPr>
              <w:t>Indicator 1.2.6.</w:t>
            </w:r>
            <w:r w:rsidRPr="00861957">
              <w:rPr>
                <w:color w:val="000000"/>
                <w:kern w:val="24"/>
              </w:rPr>
              <w:t xml:space="preserve"> Availability of an effective methodology for the analysis of the functions and competencies of government bodies</w:t>
            </w:r>
            <w:r w:rsidRPr="00861957">
              <w:rPr>
                <w:color w:val="000000"/>
                <w:kern w:val="24"/>
              </w:rPr>
              <w:br/>
            </w:r>
            <w:r w:rsidRPr="00861957">
              <w:rPr>
                <w:b/>
                <w:color w:val="000000"/>
                <w:kern w:val="24"/>
              </w:rPr>
              <w:t>Baseline</w:t>
            </w:r>
            <w:r w:rsidRPr="00861957">
              <w:rPr>
                <w:color w:val="000000"/>
                <w:kern w:val="24"/>
              </w:rPr>
              <w:t>:</w:t>
            </w:r>
            <w:r w:rsidRPr="00861957">
              <w:rPr>
                <w:color w:val="000000"/>
                <w:kern w:val="24"/>
              </w:rPr>
              <w:br/>
              <w:t xml:space="preserve">An effective methodology for the analysis of the  functions and competences of government bodies does not exist </w:t>
            </w:r>
            <w:r w:rsidRPr="00861957">
              <w:rPr>
                <w:color w:val="000000"/>
                <w:kern w:val="24"/>
              </w:rPr>
              <w:br/>
            </w:r>
            <w:r w:rsidRPr="00861957">
              <w:rPr>
                <w:b/>
                <w:color w:val="000000"/>
                <w:kern w:val="24"/>
              </w:rPr>
              <w:t>Targets:</w:t>
            </w:r>
            <w:r w:rsidRPr="00861957">
              <w:rPr>
                <w:b/>
                <w:color w:val="000000"/>
                <w:kern w:val="24"/>
              </w:rPr>
              <w:br/>
            </w:r>
            <w:r w:rsidRPr="00861957">
              <w:rPr>
                <w:color w:val="000000"/>
                <w:kern w:val="24"/>
              </w:rPr>
              <w:t>An effective methodology for the analysis of the functions and competencies of government bodies has been implemented; recommendations on optimizing the functions of government bodies have been prepared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9E03B4" w14:textId="67EDF179" w:rsidR="0069379D" w:rsidRPr="00861957" w:rsidRDefault="0069379D" w:rsidP="003B0CD2">
            <w:pPr>
              <w:rPr>
                <w:color w:val="000000"/>
                <w:kern w:val="24"/>
              </w:rPr>
            </w:pPr>
            <w:r w:rsidRPr="00861957">
              <w:rPr>
                <w:color w:val="000000"/>
                <w:kern w:val="24"/>
              </w:rPr>
              <w:t xml:space="preserve">Website: </w:t>
            </w:r>
            <w:r w:rsidRPr="00861957">
              <w:rPr>
                <w:color w:val="000000"/>
                <w:kern w:val="24"/>
              </w:rPr>
              <w:br/>
              <w:t>www.pravo.by; Report on the results of the analysis is posted on the site of the Ministry of Economy of the Republic of Belarus</w:t>
            </w:r>
          </w:p>
          <w:p w14:paraId="4800CA89" w14:textId="77777777" w:rsidR="0069379D" w:rsidRPr="00861957" w:rsidRDefault="0069379D" w:rsidP="003B0CD2">
            <w:pPr>
              <w:rPr>
                <w:color w:val="000000" w:themeColor="dark1"/>
                <w:kern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166C1CF" w14:textId="53E84FC9" w:rsidR="0069379D" w:rsidRPr="00861957" w:rsidRDefault="0069379D" w:rsidP="003B0CD2">
            <w:pPr>
              <w:tabs>
                <w:tab w:val="left" w:pos="1562"/>
              </w:tabs>
              <w:rPr>
                <w:color w:val="000000" w:themeColor="text1"/>
                <w:kern w:val="24"/>
              </w:rPr>
            </w:pPr>
            <w:r w:rsidRPr="00861957">
              <w:rPr>
                <w:b/>
                <w:color w:val="000000" w:themeColor="text1"/>
                <w:kern w:val="24"/>
              </w:rPr>
              <w:t>Assumptions:</w:t>
            </w:r>
            <w:r w:rsidRPr="00861957">
              <w:rPr>
                <w:b/>
                <w:color w:val="000000" w:themeColor="text1"/>
                <w:kern w:val="24"/>
              </w:rPr>
              <w:br/>
            </w:r>
            <w:r w:rsidRPr="00861957">
              <w:rPr>
                <w:color w:val="000000" w:themeColor="text1"/>
                <w:kern w:val="24"/>
              </w:rPr>
              <w:t xml:space="preserve">Continuous effort to streamline the functions of government bodies remains a Government priority </w:t>
            </w:r>
          </w:p>
          <w:p w14:paraId="3E260C73" w14:textId="77777777" w:rsidR="0069379D" w:rsidRPr="00861957" w:rsidRDefault="0069379D" w:rsidP="003B0CD2">
            <w:pPr>
              <w:tabs>
                <w:tab w:val="left" w:pos="1562"/>
              </w:tabs>
              <w:rPr>
                <w:color w:val="000000" w:themeColor="text1"/>
                <w:spacing w:val="-4"/>
                <w:kern w:val="24"/>
              </w:rPr>
            </w:pPr>
            <w:r w:rsidRPr="00861957">
              <w:rPr>
                <w:b/>
                <w:color w:val="000000" w:themeColor="text1"/>
                <w:kern w:val="24"/>
              </w:rPr>
              <w:t>Risks:</w:t>
            </w:r>
            <w:r w:rsidRPr="00861957">
              <w:rPr>
                <w:b/>
                <w:color w:val="000000" w:themeColor="text1"/>
                <w:kern w:val="24"/>
              </w:rPr>
              <w:br/>
            </w:r>
            <w:r w:rsidRPr="00861957">
              <w:rPr>
                <w:color w:val="000000" w:themeColor="text1"/>
                <w:spacing w:val="-4"/>
                <w:kern w:val="24"/>
              </w:rPr>
              <w:t>Complexity of  the task</w:t>
            </w:r>
          </w:p>
          <w:p w14:paraId="54B860FB" w14:textId="77777777" w:rsidR="0069379D" w:rsidRPr="00861957" w:rsidRDefault="0069379D" w:rsidP="003B0CD2">
            <w:pPr>
              <w:tabs>
                <w:tab w:val="left" w:pos="1562"/>
              </w:tabs>
              <w:rPr>
                <w:b/>
                <w:bCs/>
                <w:color w:val="FF0000"/>
                <w:kern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6D68C8" w14:textId="77777777" w:rsidR="0069379D" w:rsidRPr="00861957" w:rsidRDefault="0069379D" w:rsidP="003B0CD2">
            <w:pPr>
              <w:rPr>
                <w:color w:val="000000" w:themeColor="text1"/>
                <w:spacing w:val="-4"/>
                <w:kern w:val="24"/>
              </w:rPr>
            </w:pPr>
            <w:r w:rsidRPr="00861957">
              <w:rPr>
                <w:color w:val="000000" w:themeColor="text1"/>
                <w:spacing w:val="-4"/>
                <w:kern w:val="24"/>
              </w:rPr>
              <w:t xml:space="preserve">Ministry of Economy, </w:t>
            </w:r>
            <w:r w:rsidRPr="00861957">
              <w:rPr>
                <w:color w:val="000000"/>
                <w:spacing w:val="-4"/>
                <w:kern w:val="24"/>
              </w:rPr>
              <w:t>National Centre of Legislation and Legal Research</w:t>
            </w:r>
            <w:r w:rsidRPr="00861957">
              <w:rPr>
                <w:color w:val="000000" w:themeColor="text1"/>
                <w:spacing w:val="-4"/>
                <w:kern w:val="24"/>
              </w:rPr>
              <w:t>, government bodies and other organizations, regional executive committees, Minsk City Executive Committee, the academic community, higher education institutions (Belarusian State University, Academy of Sciences, Academy of Public Administration under the aegis of the President of the Republic of Belarus)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599434" w14:textId="2FDE93E6" w:rsidR="0069379D" w:rsidRPr="00861957" w:rsidRDefault="0069379D" w:rsidP="003B0CD2">
            <w:pPr>
              <w:ind w:left="94"/>
              <w:rPr>
                <w:b/>
              </w:rPr>
            </w:pPr>
            <w:r w:rsidRPr="00861957">
              <w:rPr>
                <w:b/>
              </w:rPr>
              <w:t>UNDP</w:t>
            </w:r>
            <w:r>
              <w:rPr>
                <w:b/>
                <w:lang w:val="ru-RU"/>
              </w:rPr>
              <w:t xml:space="preserve"> -</w:t>
            </w:r>
            <w:r w:rsidRPr="00861957">
              <w:rPr>
                <w:b/>
              </w:rPr>
              <w:t xml:space="preserve"> $500,000 (to be mobilized)</w:t>
            </w:r>
          </w:p>
        </w:tc>
      </w:tr>
      <w:tr w:rsidR="0069379D" w:rsidRPr="00861957" w14:paraId="727B0DC0" w14:textId="77777777" w:rsidTr="00C25F6C">
        <w:trPr>
          <w:trHeight w:val="567"/>
        </w:trPr>
        <w:tc>
          <w:tcPr>
            <w:tcW w:w="2127" w:type="dxa"/>
            <w:vMerge/>
            <w:tcBorders>
              <w:left w:val="single" w:sz="4" w:space="0" w:color="auto"/>
              <w:right w:val="single" w:sz="4" w:space="0" w:color="auto"/>
            </w:tcBorders>
            <w:shd w:val="clear" w:color="auto" w:fill="auto"/>
            <w:vAlign w:val="center"/>
          </w:tcPr>
          <w:p w14:paraId="13E4DEC7" w14:textId="77777777" w:rsidR="0069379D" w:rsidRPr="00861957" w:rsidRDefault="0069379D" w:rsidP="003B0CD2">
            <w:pPr>
              <w:rPr>
                <w: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E43270C" w14:textId="429991F7" w:rsidR="0069379D" w:rsidRPr="00861957" w:rsidRDefault="0069379D" w:rsidP="00964734">
            <w:pPr>
              <w:rPr>
                <w:color w:val="000000"/>
                <w:kern w:val="24"/>
              </w:rPr>
            </w:pPr>
            <w:r w:rsidRPr="00861957">
              <w:rPr>
                <w:b/>
                <w:color w:val="000000"/>
                <w:kern w:val="24"/>
              </w:rPr>
              <w:t>Indicator 1.2.7.</w:t>
            </w:r>
            <w:r w:rsidRPr="00861957">
              <w:rPr>
                <w:color w:val="000000"/>
                <w:kern w:val="24"/>
              </w:rPr>
              <w:t xml:space="preserve"> Availability of official statistical data for the monitoring of socio-economic, demographic and other state development programmes and of progress towards the Sustainable Development Goals </w:t>
            </w:r>
            <w:r w:rsidRPr="00861957">
              <w:rPr>
                <w:color w:val="000000"/>
                <w:kern w:val="24"/>
              </w:rPr>
              <w:br/>
            </w:r>
            <w:r w:rsidRPr="00861957">
              <w:rPr>
                <w:b/>
                <w:color w:val="000000"/>
                <w:kern w:val="24"/>
              </w:rPr>
              <w:t>Baseline:</w:t>
            </w:r>
            <w:r w:rsidRPr="00861957">
              <w:rPr>
                <w:b/>
                <w:color w:val="000000"/>
                <w:kern w:val="24"/>
              </w:rPr>
              <w:br/>
            </w:r>
            <w:r w:rsidRPr="00861957">
              <w:rPr>
                <w:color w:val="000000"/>
                <w:kern w:val="24"/>
              </w:rPr>
              <w:t xml:space="preserve">The level of disaggregation of some statistical data and the distribution </w:t>
            </w:r>
            <w:r w:rsidRPr="00861957">
              <w:rPr>
                <w:color w:val="000000"/>
                <w:kern w:val="24"/>
              </w:rPr>
              <w:lastRenderedPageBreak/>
              <w:t xml:space="preserve">modes of official statistical reporting data are not fully aligned with international practices and standards </w:t>
            </w:r>
            <w:r w:rsidRPr="00861957">
              <w:rPr>
                <w:color w:val="000000"/>
                <w:kern w:val="24"/>
              </w:rPr>
              <w:br/>
            </w:r>
            <w:r w:rsidRPr="00861957">
              <w:rPr>
                <w:b/>
                <w:color w:val="000000"/>
                <w:kern w:val="24"/>
              </w:rPr>
              <w:t>Targets:</w:t>
            </w:r>
            <w:r w:rsidRPr="00861957">
              <w:rPr>
                <w:b/>
                <w:color w:val="000000"/>
                <w:kern w:val="24"/>
              </w:rPr>
              <w:br/>
            </w:r>
            <w:r w:rsidRPr="00861957">
              <w:t xml:space="preserve">Procedures and systems for statistical data collection, survey tools and distribution modes for </w:t>
            </w:r>
            <w:r w:rsidRPr="00861957">
              <w:rPr>
                <w:color w:val="000000"/>
                <w:kern w:val="24"/>
              </w:rPr>
              <w:t xml:space="preserve">official statistical reporting data </w:t>
            </w:r>
            <w:r w:rsidRPr="00861957">
              <w:t>are aligned with international standards and practices to the fullest possible degree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3DDE64" w14:textId="77777777" w:rsidR="0069379D" w:rsidRPr="00861957" w:rsidRDefault="0069379D" w:rsidP="003B0CD2">
            <w:pPr>
              <w:rPr>
                <w:color w:val="000000"/>
                <w:kern w:val="24"/>
              </w:rPr>
            </w:pPr>
            <w:r w:rsidRPr="00861957">
              <w:rPr>
                <w:color w:val="000000"/>
                <w:kern w:val="24"/>
              </w:rPr>
              <w:lastRenderedPageBreak/>
              <w:t xml:space="preserve">Belstat official website: </w:t>
            </w:r>
            <w:hyperlink r:id="rId14">
              <w:r w:rsidRPr="00861957">
                <w:rPr>
                  <w:rStyle w:val="Hyperlink"/>
                </w:rPr>
                <w:t>www.belstat.gov.by</w:t>
              </w:r>
            </w:hyperlink>
          </w:p>
          <w:p w14:paraId="3D894C70" w14:textId="77777777" w:rsidR="0069379D" w:rsidRPr="00861957" w:rsidRDefault="0069379D" w:rsidP="003B0CD2">
            <w:pPr>
              <w:rPr>
                <w:color w:val="000000" w:themeColor="dark1"/>
                <w:kern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74641AC" w14:textId="3DC4A82B" w:rsidR="0069379D" w:rsidRPr="00861957" w:rsidRDefault="0069379D" w:rsidP="003B0CD2">
            <w:pPr>
              <w:tabs>
                <w:tab w:val="left" w:pos="1562"/>
              </w:tabs>
              <w:rPr>
                <w:color w:val="000000" w:themeColor="text1"/>
                <w:spacing w:val="-4"/>
                <w:kern w:val="24"/>
              </w:rPr>
            </w:pPr>
            <w:r w:rsidRPr="00861957">
              <w:rPr>
                <w:b/>
                <w:color w:val="000000" w:themeColor="text1"/>
                <w:spacing w:val="-4"/>
                <w:kern w:val="24"/>
              </w:rPr>
              <w:t xml:space="preserve">Assumptions: </w:t>
            </w:r>
            <w:r w:rsidRPr="00861957">
              <w:rPr>
                <w:b/>
                <w:color w:val="000000" w:themeColor="text1"/>
                <w:spacing w:val="-4"/>
                <w:kern w:val="24"/>
              </w:rPr>
              <w:br/>
            </w:r>
            <w:r w:rsidRPr="00861957">
              <w:rPr>
                <w:color w:val="000000" w:themeColor="text1"/>
              </w:rPr>
              <w:t>Belstat, government bodies and other organizations are taking consistent measures to successfully adapt international statistical methodologies and practices to the national context</w:t>
            </w:r>
          </w:p>
          <w:p w14:paraId="3D5258BF" w14:textId="77777777" w:rsidR="0069379D" w:rsidRPr="00861957" w:rsidRDefault="0069379D" w:rsidP="003B0CD2">
            <w:pPr>
              <w:tabs>
                <w:tab w:val="left" w:pos="1562"/>
              </w:tabs>
              <w:rPr>
                <w:b/>
                <w:bCs/>
                <w:color w:val="FF0000"/>
                <w:kern w:val="24"/>
              </w:rPr>
            </w:pPr>
            <w:r w:rsidRPr="00861957">
              <w:rPr>
                <w:b/>
                <w:color w:val="000000" w:themeColor="text1"/>
                <w:spacing w:val="-4"/>
                <w:kern w:val="24"/>
              </w:rPr>
              <w:t>Risks:</w:t>
            </w:r>
            <w:r w:rsidRPr="00861957">
              <w:rPr>
                <w:b/>
                <w:color w:val="000000" w:themeColor="text1"/>
                <w:spacing w:val="-4"/>
                <w:kern w:val="24"/>
              </w:rPr>
              <w:br/>
            </w:r>
            <w:r w:rsidRPr="00861957">
              <w:rPr>
                <w:color w:val="000000" w:themeColor="text1"/>
                <w:spacing w:val="-4"/>
                <w:kern w:val="24"/>
              </w:rPr>
              <w:t>Financing shortages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237B7E" w14:textId="77777777" w:rsidR="0069379D" w:rsidRPr="00861957" w:rsidRDefault="0069379D" w:rsidP="003B0CD2">
            <w:pPr>
              <w:rPr>
                <w:color w:val="000000" w:themeColor="text1"/>
                <w:spacing w:val="-4"/>
                <w:kern w:val="24"/>
              </w:rPr>
            </w:pPr>
            <w:r w:rsidRPr="00861957">
              <w:rPr>
                <w:color w:val="000000" w:themeColor="text1"/>
                <w:spacing w:val="-4"/>
                <w:kern w:val="24"/>
              </w:rPr>
              <w:t>Belstat, relevant government bodies and other organizations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DCA0A5" w14:textId="77777777" w:rsidR="0069379D" w:rsidRPr="00861957" w:rsidRDefault="0069379D" w:rsidP="00484E9E">
            <w:pPr>
              <w:ind w:left="94"/>
              <w:rPr>
                <w:b/>
              </w:rPr>
            </w:pPr>
            <w:r w:rsidRPr="00861957">
              <w:rPr>
                <w:b/>
              </w:rPr>
              <w:t>UNICEF – $60,000; $150,000 (to be mobilized)</w:t>
            </w:r>
          </w:p>
          <w:p w14:paraId="130B955D" w14:textId="77777777" w:rsidR="0069379D" w:rsidRPr="00861957" w:rsidRDefault="0069379D" w:rsidP="00484E9E">
            <w:pPr>
              <w:ind w:left="94"/>
              <w:rPr>
                <w:b/>
              </w:rPr>
            </w:pPr>
            <w:r w:rsidRPr="00861957">
              <w:rPr>
                <w:b/>
              </w:rPr>
              <w:t>UNECE – $25,000</w:t>
            </w:r>
          </w:p>
          <w:p w14:paraId="3E6DC5D6" w14:textId="77777777" w:rsidR="0069379D" w:rsidRPr="008B2AD6" w:rsidRDefault="0069379D" w:rsidP="00484E9E">
            <w:pPr>
              <w:ind w:left="94"/>
              <w:rPr>
                <w:b/>
              </w:rPr>
            </w:pPr>
            <w:r w:rsidRPr="008B2AD6">
              <w:rPr>
                <w:b/>
              </w:rPr>
              <w:t xml:space="preserve">UNFPA –$150,000; </w:t>
            </w:r>
            <w:r w:rsidRPr="008B2AD6">
              <w:rPr>
                <w:b/>
              </w:rPr>
              <w:br/>
            </w:r>
            <w:r w:rsidRPr="008B2AD6">
              <w:rPr>
                <w:b/>
              </w:rPr>
              <w:lastRenderedPageBreak/>
              <w:t>$80,000 (to be mobilized)</w:t>
            </w:r>
          </w:p>
          <w:p w14:paraId="144B6D4D" w14:textId="77777777" w:rsidR="0069379D" w:rsidRPr="00C61216" w:rsidRDefault="0069379D" w:rsidP="00484E9E">
            <w:pPr>
              <w:ind w:left="94"/>
              <w:rPr>
                <w:b/>
              </w:rPr>
            </w:pPr>
            <w:r w:rsidRPr="008B2AD6">
              <w:rPr>
                <w:b/>
              </w:rPr>
              <w:t>UNWTO - $50,000 (to be mobilized)</w:t>
            </w:r>
          </w:p>
          <w:p w14:paraId="2CACCC2F" w14:textId="77777777" w:rsidR="0069379D" w:rsidRPr="00861957" w:rsidRDefault="0069379D" w:rsidP="00484E9E">
            <w:pPr>
              <w:ind w:left="94"/>
              <w:rPr>
                <w:b/>
              </w:rPr>
            </w:pPr>
          </w:p>
          <w:p w14:paraId="4B2556AD" w14:textId="77777777" w:rsidR="0069379D" w:rsidRPr="00861957" w:rsidRDefault="0069379D" w:rsidP="003B0CD2">
            <w:pPr>
              <w:ind w:left="94"/>
              <w:rPr>
                <w:b/>
              </w:rPr>
            </w:pPr>
          </w:p>
        </w:tc>
      </w:tr>
      <w:tr w:rsidR="0069379D" w:rsidRPr="00861957" w14:paraId="038BF608" w14:textId="77777777" w:rsidTr="00C25F6C">
        <w:trPr>
          <w:trHeight w:val="1144"/>
        </w:trPr>
        <w:tc>
          <w:tcPr>
            <w:tcW w:w="2127" w:type="dxa"/>
            <w:vMerge/>
            <w:tcBorders>
              <w:left w:val="single" w:sz="4" w:space="0" w:color="auto"/>
              <w:right w:val="single" w:sz="4" w:space="0" w:color="auto"/>
            </w:tcBorders>
            <w:shd w:val="clear" w:color="auto" w:fill="auto"/>
            <w:vAlign w:val="center"/>
          </w:tcPr>
          <w:p w14:paraId="75CB75F5" w14:textId="77777777" w:rsidR="0069379D" w:rsidRPr="00861957" w:rsidRDefault="0069379D" w:rsidP="003B0CD2">
            <w:pPr>
              <w:rPr>
                <w:b/>
              </w:rPr>
            </w:pPr>
          </w:p>
        </w:tc>
        <w:tc>
          <w:tcPr>
            <w:tcW w:w="3969" w:type="dxa"/>
            <w:tcBorders>
              <w:top w:val="single" w:sz="4" w:space="0" w:color="auto"/>
              <w:left w:val="single" w:sz="4" w:space="0" w:color="auto"/>
              <w:right w:val="single" w:sz="4" w:space="0" w:color="auto"/>
            </w:tcBorders>
            <w:shd w:val="clear" w:color="auto" w:fill="auto"/>
          </w:tcPr>
          <w:p w14:paraId="197937E9" w14:textId="77777777" w:rsidR="0069379D" w:rsidRPr="00861957" w:rsidRDefault="0069379D" w:rsidP="003B0CD2">
            <w:pPr>
              <w:pStyle w:val="Header"/>
              <w:tabs>
                <w:tab w:val="clear" w:pos="4677"/>
                <w:tab w:val="clear" w:pos="9355"/>
              </w:tabs>
              <w:jc w:val="both"/>
              <w:rPr>
                <w:b/>
                <w:color w:val="000000"/>
                <w:kern w:val="24"/>
              </w:rPr>
            </w:pPr>
            <w:r w:rsidRPr="00861957">
              <w:rPr>
                <w:b/>
                <w:color w:val="000000"/>
                <w:kern w:val="24"/>
              </w:rPr>
              <w:t>Indicator 1.2.8.</w:t>
            </w:r>
          </w:p>
          <w:p w14:paraId="5A629B84" w14:textId="09B42815" w:rsidR="0069379D" w:rsidRPr="00861957" w:rsidRDefault="0069379D" w:rsidP="003B0CD2">
            <w:pPr>
              <w:pStyle w:val="Header"/>
              <w:tabs>
                <w:tab w:val="clear" w:pos="4677"/>
                <w:tab w:val="clear" w:pos="9355"/>
              </w:tabs>
              <w:jc w:val="both"/>
            </w:pPr>
            <w:r w:rsidRPr="00861957">
              <w:t>Effectivity of national state population policy</w:t>
            </w:r>
            <w:r w:rsidRPr="00861957">
              <w:rPr>
                <w:b/>
                <w:color w:val="000000"/>
                <w:kern w:val="24"/>
              </w:rPr>
              <w:br/>
              <w:t xml:space="preserve">Baseline: </w:t>
            </w:r>
            <w:r w:rsidRPr="00861957">
              <w:t>National Programme for Demographic Security  2011-2015 has been adopted</w:t>
            </w:r>
            <w:r w:rsidRPr="00861957">
              <w:rPr>
                <w:b/>
                <w:color w:val="000000"/>
                <w:kern w:val="24"/>
              </w:rPr>
              <w:br/>
              <w:t xml:space="preserve">Target: </w:t>
            </w:r>
            <w:r w:rsidRPr="00861957">
              <w:t>National Programme for Demographic Security  2016-2020 and its M&amp;E system has been developed and implemented</w:t>
            </w:r>
          </w:p>
          <w:p w14:paraId="13F507CC" w14:textId="77777777" w:rsidR="0069379D" w:rsidRPr="00861957" w:rsidRDefault="0069379D" w:rsidP="003B0CD2">
            <w:pPr>
              <w:rPr>
                <w:b/>
                <w:color w:val="000000"/>
                <w:kern w:val="24"/>
                <w:highlight w:val="yellow"/>
              </w:rPr>
            </w:pPr>
          </w:p>
        </w:tc>
        <w:tc>
          <w:tcPr>
            <w:tcW w:w="1984" w:type="dxa"/>
            <w:tcBorders>
              <w:top w:val="single" w:sz="4" w:space="0" w:color="auto"/>
              <w:left w:val="single" w:sz="4" w:space="0" w:color="auto"/>
              <w:right w:val="single" w:sz="4" w:space="0" w:color="auto"/>
            </w:tcBorders>
            <w:shd w:val="clear" w:color="auto" w:fill="auto"/>
          </w:tcPr>
          <w:p w14:paraId="3A38E5B7" w14:textId="5F727050" w:rsidR="0069379D" w:rsidRPr="00861957" w:rsidRDefault="0069379D" w:rsidP="003B0CD2">
            <w:r w:rsidRPr="00861957">
              <w:t>Text of the National Programme for Demographic Security  2016-2020</w:t>
            </w:r>
          </w:p>
        </w:tc>
        <w:tc>
          <w:tcPr>
            <w:tcW w:w="3686" w:type="dxa"/>
            <w:tcBorders>
              <w:top w:val="single" w:sz="4" w:space="0" w:color="auto"/>
              <w:left w:val="single" w:sz="4" w:space="0" w:color="auto"/>
              <w:right w:val="single" w:sz="4" w:space="0" w:color="auto"/>
            </w:tcBorders>
            <w:shd w:val="clear" w:color="auto" w:fill="auto"/>
          </w:tcPr>
          <w:p w14:paraId="33D177B2" w14:textId="77777777" w:rsidR="0069379D" w:rsidRPr="00861957" w:rsidRDefault="0069379D" w:rsidP="002A485D">
            <w:pPr>
              <w:tabs>
                <w:tab w:val="left" w:pos="1562"/>
              </w:tabs>
              <w:rPr>
                <w:b/>
                <w:color w:val="000000" w:themeColor="text1"/>
                <w:spacing w:val="-4"/>
                <w:kern w:val="24"/>
              </w:rPr>
            </w:pPr>
            <w:r w:rsidRPr="00861957">
              <w:rPr>
                <w:b/>
                <w:color w:val="000000" w:themeColor="text1"/>
                <w:spacing w:val="-4"/>
                <w:kern w:val="24"/>
              </w:rPr>
              <w:t>Risks:</w:t>
            </w:r>
          </w:p>
          <w:p w14:paraId="05E9B5D1" w14:textId="77777777" w:rsidR="0069379D" w:rsidRPr="00861957" w:rsidRDefault="0069379D" w:rsidP="002A485D">
            <w:pPr>
              <w:tabs>
                <w:tab w:val="left" w:pos="1562"/>
              </w:tabs>
              <w:rPr>
                <w:color w:val="000000" w:themeColor="text1"/>
                <w:spacing w:val="-4"/>
                <w:kern w:val="24"/>
              </w:rPr>
            </w:pPr>
            <w:r w:rsidRPr="00861957">
              <w:rPr>
                <w:color w:val="000000" w:themeColor="text1"/>
                <w:spacing w:val="-4"/>
                <w:kern w:val="24"/>
              </w:rPr>
              <w:t>Funding constraints</w:t>
            </w:r>
          </w:p>
        </w:tc>
        <w:tc>
          <w:tcPr>
            <w:tcW w:w="2126" w:type="dxa"/>
            <w:tcBorders>
              <w:top w:val="single" w:sz="4" w:space="0" w:color="auto"/>
              <w:left w:val="single" w:sz="4" w:space="0" w:color="auto"/>
              <w:right w:val="single" w:sz="4" w:space="0" w:color="auto"/>
            </w:tcBorders>
            <w:shd w:val="clear" w:color="auto" w:fill="auto"/>
          </w:tcPr>
          <w:p w14:paraId="71F0D7B5" w14:textId="77777777" w:rsidR="0069379D" w:rsidRPr="00861957" w:rsidRDefault="0069379D" w:rsidP="003B0CD2">
            <w:pPr>
              <w:pStyle w:val="NormalWeb"/>
              <w:spacing w:before="0" w:beforeAutospacing="0" w:after="0" w:afterAutospacing="0"/>
              <w:jc w:val="both"/>
              <w:rPr>
                <w:lang w:val="en-GB"/>
              </w:rPr>
            </w:pPr>
            <w:r w:rsidRPr="00861957">
              <w:rPr>
                <w:lang w:val="en-GB"/>
              </w:rPr>
              <w:t>Ministry of Labour and Social Protection; Belstat; Labour Scientific Research Institute of the Ministry of Labour and Social Protection;</w:t>
            </w:r>
          </w:p>
          <w:p w14:paraId="3F903137" w14:textId="77777777" w:rsidR="0069379D" w:rsidRPr="00861957" w:rsidRDefault="0069379D" w:rsidP="003B0CD2">
            <w:pPr>
              <w:pStyle w:val="NormalWeb"/>
              <w:spacing w:before="0" w:beforeAutospacing="0" w:after="0" w:afterAutospacing="0"/>
              <w:jc w:val="both"/>
              <w:rPr>
                <w:lang w:val="en-GB"/>
              </w:rPr>
            </w:pPr>
            <w:r w:rsidRPr="00861957">
              <w:rPr>
                <w:lang w:val="en-GB"/>
              </w:rPr>
              <w:t>Belarusian State University;</w:t>
            </w:r>
          </w:p>
          <w:p w14:paraId="19BCEB91" w14:textId="77777777" w:rsidR="0069379D" w:rsidRPr="00861957" w:rsidRDefault="0069379D" w:rsidP="002A485D">
            <w:pPr>
              <w:pStyle w:val="NormalWeb"/>
              <w:spacing w:before="0" w:beforeAutospacing="0" w:after="0" w:afterAutospacing="0"/>
              <w:jc w:val="both"/>
              <w:rPr>
                <w:lang w:val="en-GB"/>
              </w:rPr>
            </w:pPr>
            <w:r w:rsidRPr="00861957">
              <w:rPr>
                <w:lang w:val="en-GB"/>
              </w:rPr>
              <w:t>Economy Research Institute of the Ministry of Economy</w:t>
            </w:r>
          </w:p>
        </w:tc>
        <w:tc>
          <w:tcPr>
            <w:tcW w:w="1984" w:type="dxa"/>
            <w:tcBorders>
              <w:top w:val="single" w:sz="4" w:space="0" w:color="auto"/>
              <w:left w:val="single" w:sz="4" w:space="0" w:color="auto"/>
              <w:right w:val="single" w:sz="4" w:space="0" w:color="auto"/>
            </w:tcBorders>
            <w:shd w:val="clear" w:color="auto" w:fill="auto"/>
          </w:tcPr>
          <w:p w14:paraId="3EFA2925" w14:textId="77777777" w:rsidR="0069379D" w:rsidRPr="00861957" w:rsidRDefault="0069379D" w:rsidP="00484E9E">
            <w:pPr>
              <w:ind w:left="94"/>
              <w:rPr>
                <w:b/>
              </w:rPr>
            </w:pPr>
            <w:r w:rsidRPr="00861957">
              <w:rPr>
                <w:b/>
              </w:rPr>
              <w:t>UNFPA – $1,000,000; $80,000 (to be mobilized)</w:t>
            </w:r>
          </w:p>
          <w:p w14:paraId="178279EB" w14:textId="1E095812" w:rsidR="0069379D" w:rsidRPr="00861957" w:rsidRDefault="0069379D" w:rsidP="00470795">
            <w:pPr>
              <w:ind w:left="94"/>
              <w:rPr>
                <w:b/>
                <w:highlight w:val="yellow"/>
              </w:rPr>
            </w:pPr>
            <w:r w:rsidRPr="00861957">
              <w:rPr>
                <w:b/>
              </w:rPr>
              <w:t>UNICEF – $60,000; $100,000 (to be mobilized)</w:t>
            </w:r>
          </w:p>
        </w:tc>
      </w:tr>
    </w:tbl>
    <w:p w14:paraId="2B6A333A" w14:textId="37900AB4" w:rsidR="00FC76FF" w:rsidRPr="00861957" w:rsidRDefault="00FC76FF" w:rsidP="00FC76FF">
      <w:pPr>
        <w:pStyle w:val="136"/>
        <w:spacing w:before="480"/>
        <w:rPr>
          <w:color w:val="0070C0"/>
          <w:lang w:val="en-GB"/>
        </w:rPr>
      </w:pPr>
      <w:bookmarkStart w:id="40" w:name="_Toc405745124"/>
      <w:bookmarkStart w:id="41" w:name="_Toc412921085"/>
      <w:r w:rsidRPr="00861957">
        <w:rPr>
          <w:color w:val="0070C0"/>
          <w:lang w:val="en-GB"/>
        </w:rPr>
        <w:t>2. National Priorities in the Thematic Area ‘Sustainable Economic Development’</w:t>
      </w:r>
      <w:bookmarkEnd w:id="40"/>
      <w:bookmarkEnd w:id="41"/>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969"/>
        <w:gridCol w:w="1984"/>
        <w:gridCol w:w="3686"/>
        <w:gridCol w:w="2268"/>
        <w:gridCol w:w="1842"/>
      </w:tblGrid>
      <w:tr w:rsidR="00BD6FDD" w:rsidRPr="00861957" w14:paraId="72BC580D" w14:textId="77777777" w:rsidTr="00750809">
        <w:trPr>
          <w:trHeight w:val="20"/>
          <w:tblHeader/>
        </w:trPr>
        <w:tc>
          <w:tcPr>
            <w:tcW w:w="2127" w:type="dxa"/>
            <w:shd w:val="clear" w:color="auto" w:fill="auto"/>
            <w:vAlign w:val="center"/>
          </w:tcPr>
          <w:p w14:paraId="243BF2E4" w14:textId="77777777" w:rsidR="00BD6FDD" w:rsidRPr="00861957" w:rsidRDefault="00BD6FDD" w:rsidP="005B750D">
            <w:pPr>
              <w:jc w:val="center"/>
              <w:rPr>
                <w:b/>
                <w:bCs/>
              </w:rPr>
            </w:pPr>
            <w:r w:rsidRPr="00861957">
              <w:rPr>
                <w:b/>
                <w:bCs/>
              </w:rPr>
              <w:t>Outcomes</w:t>
            </w:r>
          </w:p>
        </w:tc>
        <w:tc>
          <w:tcPr>
            <w:tcW w:w="3969" w:type="dxa"/>
            <w:shd w:val="clear" w:color="auto" w:fill="auto"/>
            <w:vAlign w:val="center"/>
          </w:tcPr>
          <w:p w14:paraId="2AE1DEDC" w14:textId="77777777" w:rsidR="00BD6FDD" w:rsidRPr="00861957" w:rsidRDefault="00BD6FDD" w:rsidP="005B750D">
            <w:pPr>
              <w:jc w:val="center"/>
              <w:rPr>
                <w:b/>
                <w:bCs/>
              </w:rPr>
            </w:pPr>
            <w:r w:rsidRPr="00861957">
              <w:rPr>
                <w:b/>
                <w:bCs/>
              </w:rPr>
              <w:t>Indicators, Baselines, Targets</w:t>
            </w:r>
          </w:p>
        </w:tc>
        <w:tc>
          <w:tcPr>
            <w:tcW w:w="1984" w:type="dxa"/>
            <w:shd w:val="clear" w:color="auto" w:fill="auto"/>
            <w:vAlign w:val="center"/>
          </w:tcPr>
          <w:p w14:paraId="362F6315" w14:textId="77777777" w:rsidR="00BD6FDD" w:rsidRPr="00861957" w:rsidRDefault="00BD6FDD" w:rsidP="005B750D">
            <w:pPr>
              <w:jc w:val="center"/>
              <w:rPr>
                <w:b/>
                <w:bCs/>
              </w:rPr>
            </w:pPr>
            <w:r w:rsidRPr="00861957">
              <w:rPr>
                <w:b/>
                <w:bCs/>
              </w:rPr>
              <w:t>Means of Verification</w:t>
            </w:r>
          </w:p>
        </w:tc>
        <w:tc>
          <w:tcPr>
            <w:tcW w:w="3686" w:type="dxa"/>
            <w:shd w:val="clear" w:color="auto" w:fill="auto"/>
            <w:vAlign w:val="center"/>
          </w:tcPr>
          <w:p w14:paraId="52F8E934" w14:textId="77777777" w:rsidR="00BD6FDD" w:rsidRPr="00861957" w:rsidRDefault="00BD6FDD" w:rsidP="005B750D">
            <w:pPr>
              <w:tabs>
                <w:tab w:val="left" w:pos="3849"/>
              </w:tabs>
              <w:jc w:val="center"/>
              <w:rPr>
                <w:b/>
              </w:rPr>
            </w:pPr>
            <w:r w:rsidRPr="00861957">
              <w:rPr>
                <w:b/>
              </w:rPr>
              <w:t>Risks and Assumptions</w:t>
            </w:r>
          </w:p>
        </w:tc>
        <w:tc>
          <w:tcPr>
            <w:tcW w:w="2268" w:type="dxa"/>
            <w:vAlign w:val="center"/>
          </w:tcPr>
          <w:p w14:paraId="32176228" w14:textId="77777777" w:rsidR="00BD6FDD" w:rsidRPr="00861957" w:rsidRDefault="00BD6FDD" w:rsidP="005B750D">
            <w:pPr>
              <w:tabs>
                <w:tab w:val="left" w:pos="3849"/>
              </w:tabs>
              <w:jc w:val="center"/>
              <w:rPr>
                <w:b/>
              </w:rPr>
            </w:pPr>
            <w:r w:rsidRPr="00861957">
              <w:rPr>
                <w:b/>
              </w:rPr>
              <w:t>Partners</w:t>
            </w:r>
          </w:p>
        </w:tc>
        <w:tc>
          <w:tcPr>
            <w:tcW w:w="1842" w:type="dxa"/>
            <w:vAlign w:val="center"/>
          </w:tcPr>
          <w:p w14:paraId="461D7272" w14:textId="77777777" w:rsidR="00BD6FDD" w:rsidRPr="00861957" w:rsidRDefault="00BD6FDD" w:rsidP="005B750D">
            <w:pPr>
              <w:tabs>
                <w:tab w:val="left" w:pos="3849"/>
              </w:tabs>
              <w:jc w:val="center"/>
              <w:rPr>
                <w:b/>
              </w:rPr>
            </w:pPr>
            <w:r w:rsidRPr="00861957">
              <w:rPr>
                <w:b/>
              </w:rPr>
              <w:t>Indicative Resources (USD)</w:t>
            </w:r>
          </w:p>
        </w:tc>
      </w:tr>
      <w:tr w:rsidR="00773A07" w:rsidRPr="00861957" w14:paraId="1EB42D61" w14:textId="77777777" w:rsidTr="00750809">
        <w:trPr>
          <w:trHeight w:val="20"/>
        </w:trPr>
        <w:tc>
          <w:tcPr>
            <w:tcW w:w="2127" w:type="dxa"/>
            <w:vMerge w:val="restart"/>
            <w:shd w:val="clear" w:color="auto" w:fill="auto"/>
          </w:tcPr>
          <w:p w14:paraId="3E8AE65B" w14:textId="7A0AD249" w:rsidR="00773A07" w:rsidRPr="008B2AD6" w:rsidRDefault="00773A07" w:rsidP="005B750D">
            <w:pPr>
              <w:pStyle w:val="PlainText"/>
              <w:jc w:val="both"/>
              <w:rPr>
                <w:rFonts w:ascii="Times New Roman" w:hAnsi="Times New Roman" w:cs="Times New Roman"/>
                <w:sz w:val="24"/>
                <w:szCs w:val="24"/>
                <w:lang w:val="en-GB"/>
              </w:rPr>
            </w:pPr>
            <w:r w:rsidRPr="008B2AD6">
              <w:rPr>
                <w:rFonts w:ascii="Times New Roman" w:hAnsi="Times New Roman" w:cs="Times New Roman"/>
                <w:b/>
                <w:sz w:val="24"/>
                <w:szCs w:val="24"/>
                <w:lang w:val="en-GB"/>
              </w:rPr>
              <w:t>Outcome 2.1:</w:t>
            </w:r>
            <w:r w:rsidRPr="008B2AD6">
              <w:rPr>
                <w:rFonts w:ascii="Times New Roman" w:hAnsi="Times New Roman" w:cs="Times New Roman"/>
                <w:sz w:val="24"/>
                <w:szCs w:val="24"/>
                <w:lang w:val="en-GB"/>
              </w:rPr>
              <w:t xml:space="preserve"> By 2020, the economy's competitiveness </w:t>
            </w:r>
            <w:r w:rsidR="00386939" w:rsidRPr="008B2AD6">
              <w:rPr>
                <w:rFonts w:ascii="Times New Roman" w:hAnsi="Times New Roman" w:cs="Times New Roman"/>
                <w:sz w:val="24"/>
                <w:szCs w:val="24"/>
                <w:lang w:val="en-GB"/>
              </w:rPr>
              <w:t xml:space="preserve">will have been </w:t>
            </w:r>
            <w:r w:rsidRPr="008B2AD6">
              <w:rPr>
                <w:rFonts w:ascii="Times New Roman" w:hAnsi="Times New Roman" w:cs="Times New Roman"/>
                <w:sz w:val="24"/>
                <w:szCs w:val="24"/>
                <w:lang w:val="en-GB"/>
              </w:rPr>
              <w:t xml:space="preserve"> </w:t>
            </w:r>
            <w:r w:rsidRPr="008B2AD6">
              <w:rPr>
                <w:rFonts w:ascii="Times New Roman" w:hAnsi="Times New Roman" w:cs="Times New Roman"/>
                <w:sz w:val="24"/>
                <w:szCs w:val="24"/>
                <w:lang w:val="en-GB"/>
              </w:rPr>
              <w:lastRenderedPageBreak/>
              <w:t>improved through structural reform, accelerated development of the private sector and integration in the world economy</w:t>
            </w:r>
          </w:p>
          <w:p w14:paraId="71B3FFA8" w14:textId="77777777" w:rsidR="00773A07" w:rsidRPr="008B2AD6" w:rsidRDefault="00773A07" w:rsidP="005B750D">
            <w:pPr>
              <w:pStyle w:val="PlainText"/>
              <w:jc w:val="both"/>
              <w:rPr>
                <w:rFonts w:ascii="Times New Roman" w:hAnsi="Times New Roman" w:cs="Times New Roman"/>
                <w:sz w:val="24"/>
                <w:szCs w:val="24"/>
                <w:lang w:val="en-GB"/>
              </w:rPr>
            </w:pPr>
          </w:p>
          <w:p w14:paraId="2163BEA1" w14:textId="47ED7A0F" w:rsidR="00773A07" w:rsidRPr="00150457" w:rsidRDefault="00773A07" w:rsidP="00406E7E">
            <w:pPr>
              <w:rPr>
                <w:b/>
                <w:bCs/>
                <w:lang w:val="es-ES"/>
              </w:rPr>
            </w:pPr>
            <w:r w:rsidRPr="00150457">
              <w:rPr>
                <w:b/>
                <w:bCs/>
                <w:lang w:val="es-ES"/>
              </w:rPr>
              <w:t>FAO, ITC, UNCTAD, UNDP, UNECE, UNIDO</w:t>
            </w:r>
            <w:r w:rsidR="00406E7E" w:rsidRPr="00150457">
              <w:rPr>
                <w:b/>
                <w:bCs/>
                <w:lang w:val="es-ES"/>
              </w:rPr>
              <w:t>, UNWTO</w:t>
            </w:r>
          </w:p>
        </w:tc>
        <w:tc>
          <w:tcPr>
            <w:tcW w:w="3969" w:type="dxa"/>
            <w:shd w:val="clear" w:color="auto" w:fill="auto"/>
          </w:tcPr>
          <w:p w14:paraId="0A94DDDD" w14:textId="7E00BD01" w:rsidR="00773A07" w:rsidRPr="008B2AD6" w:rsidRDefault="00773A07" w:rsidP="00C36204">
            <w:pPr>
              <w:rPr>
                <w:bCs/>
              </w:rPr>
            </w:pPr>
            <w:r w:rsidRPr="008B2AD6">
              <w:rPr>
                <w:b/>
              </w:rPr>
              <w:lastRenderedPageBreak/>
              <w:t xml:space="preserve">Indicator 2.1.1. </w:t>
            </w:r>
            <w:r w:rsidRPr="008B2AD6">
              <w:rPr>
                <w:b/>
              </w:rPr>
              <w:br/>
            </w:r>
            <w:r w:rsidR="00C36204" w:rsidRPr="008B2AD6">
              <w:t xml:space="preserve">Improvement in </w:t>
            </w:r>
            <w:r w:rsidRPr="008B2AD6">
              <w:t xml:space="preserve">average score of the EBRD Transition Indicator (Small Scale Privatization, Large Scale Privatization, Governance and </w:t>
            </w:r>
            <w:r w:rsidRPr="008B2AD6">
              <w:lastRenderedPageBreak/>
              <w:t>Enterprise restructuring, Price Liberalization, Trade and Forex System, Competition Policy)</w:t>
            </w:r>
            <w:r w:rsidRPr="008B2AD6">
              <w:br/>
            </w:r>
            <w:r w:rsidRPr="008B2AD6">
              <w:rPr>
                <w:b/>
              </w:rPr>
              <w:t>Baseline:</w:t>
            </w:r>
            <w:r w:rsidRPr="008B2AD6">
              <w:t xml:space="preserve"> 2.2 (2012)</w:t>
            </w:r>
            <w:r w:rsidRPr="008B2AD6">
              <w:br/>
            </w:r>
            <w:r w:rsidRPr="008B2AD6">
              <w:rPr>
                <w:b/>
              </w:rPr>
              <w:t>Target:</w:t>
            </w:r>
            <w:r w:rsidRPr="008B2AD6">
              <w:t xml:space="preserve"> 2.7 (2020)</w:t>
            </w:r>
          </w:p>
        </w:tc>
        <w:tc>
          <w:tcPr>
            <w:tcW w:w="1984" w:type="dxa"/>
            <w:shd w:val="clear" w:color="auto" w:fill="auto"/>
          </w:tcPr>
          <w:p w14:paraId="0C1023AE" w14:textId="77777777" w:rsidR="00773A07" w:rsidRPr="008B2AD6" w:rsidRDefault="00773A07" w:rsidP="005B750D">
            <w:r w:rsidRPr="008B2AD6">
              <w:lastRenderedPageBreak/>
              <w:t>EBRD</w:t>
            </w:r>
          </w:p>
        </w:tc>
        <w:tc>
          <w:tcPr>
            <w:tcW w:w="3686" w:type="dxa"/>
            <w:vMerge w:val="restart"/>
            <w:shd w:val="clear" w:color="auto" w:fill="auto"/>
          </w:tcPr>
          <w:p w14:paraId="711867AB" w14:textId="77777777" w:rsidR="00773A07" w:rsidRPr="008B2AD6" w:rsidRDefault="00773A07" w:rsidP="005B750D">
            <w:pPr>
              <w:rPr>
                <w:b/>
                <w:color w:val="000000"/>
              </w:rPr>
            </w:pPr>
            <w:r w:rsidRPr="008B2AD6">
              <w:rPr>
                <w:b/>
                <w:color w:val="000000"/>
              </w:rPr>
              <w:t>Assumptions:</w:t>
            </w:r>
          </w:p>
          <w:p w14:paraId="504DEE40" w14:textId="60379902" w:rsidR="00773A07" w:rsidRPr="008B2AD6" w:rsidRDefault="00BC009B" w:rsidP="005B750D">
            <w:pPr>
              <w:rPr>
                <w:b/>
              </w:rPr>
            </w:pPr>
            <w:r w:rsidRPr="008B2AD6">
              <w:t xml:space="preserve">The </w:t>
            </w:r>
            <w:r w:rsidR="00773A07" w:rsidRPr="008B2AD6">
              <w:t>Government seeks to increase access to finance and reduce the gap with the Eurasian Economic Area member state</w:t>
            </w:r>
            <w:r w:rsidRPr="008B2AD6">
              <w:t>s</w:t>
            </w:r>
            <w:r w:rsidR="00773A07" w:rsidRPr="008B2AD6">
              <w:t xml:space="preserve"> in the </w:t>
            </w:r>
            <w:r w:rsidR="00773A07" w:rsidRPr="008B2AD6">
              <w:lastRenderedPageBreak/>
              <w:t xml:space="preserve">development of its securities market, </w:t>
            </w:r>
            <w:r w:rsidRPr="008B2AD6">
              <w:t xml:space="preserve">and to </w:t>
            </w:r>
            <w:r w:rsidR="00773A07" w:rsidRPr="008B2AD6">
              <w:t>build a market infrastructure for the financial sector, including through support</w:t>
            </w:r>
            <w:r w:rsidRPr="008B2AD6">
              <w:t>ing the</w:t>
            </w:r>
            <w:r w:rsidR="00773A07" w:rsidRPr="008B2AD6">
              <w:t xml:space="preserve"> formation of collective investor schemes </w:t>
            </w:r>
          </w:p>
          <w:p w14:paraId="58B9F314" w14:textId="77777777" w:rsidR="00773A07" w:rsidRPr="008B2AD6" w:rsidRDefault="00773A07" w:rsidP="005B750D">
            <w:pPr>
              <w:tabs>
                <w:tab w:val="left" w:pos="1080"/>
              </w:tabs>
            </w:pPr>
          </w:p>
          <w:p w14:paraId="70AF1A55" w14:textId="2556CB3E" w:rsidR="00773A07" w:rsidRPr="008B2AD6" w:rsidRDefault="00773A07" w:rsidP="005B750D">
            <w:pPr>
              <w:tabs>
                <w:tab w:val="left" w:pos="1080"/>
              </w:tabs>
            </w:pPr>
            <w:r w:rsidRPr="008B2AD6">
              <w:t>By 2020, the Government intends to align its legal framework with that of the Eurasian Economic Area with regard to the securities and insurance markets</w:t>
            </w:r>
            <w:r w:rsidR="00BC009B" w:rsidRPr="008B2AD6">
              <w:t xml:space="preserve"> and to</w:t>
            </w:r>
            <w:r w:rsidRPr="008B2AD6">
              <w:t xml:space="preserve"> form the legal basis for new financial instruments, including instruments traded in the international financial markets</w:t>
            </w:r>
          </w:p>
          <w:p w14:paraId="08922771" w14:textId="77777777" w:rsidR="00773A07" w:rsidRPr="008B2AD6" w:rsidRDefault="00773A07" w:rsidP="005B750D">
            <w:pPr>
              <w:tabs>
                <w:tab w:val="left" w:pos="1080"/>
              </w:tabs>
            </w:pPr>
          </w:p>
          <w:p w14:paraId="69FFD791" w14:textId="4E6C8CF1" w:rsidR="00773A07" w:rsidRPr="008B2AD6" w:rsidRDefault="00773A07" w:rsidP="005B750D">
            <w:pPr>
              <w:rPr>
                <w:b/>
              </w:rPr>
            </w:pPr>
            <w:r w:rsidRPr="008B2AD6">
              <w:t>Belarus will continue</w:t>
            </w:r>
            <w:r w:rsidR="00BC009B" w:rsidRPr="008B2AD6">
              <w:t xml:space="preserve"> its</w:t>
            </w:r>
            <w:r w:rsidRPr="008B2AD6">
              <w:t xml:space="preserve"> progress towards a more competitive economy and a smaller state; it will facilitate the development of private enterprise and the financial markets and integration in</w:t>
            </w:r>
            <w:r w:rsidR="00BC009B" w:rsidRPr="008B2AD6">
              <w:t>to</w:t>
            </w:r>
            <w:r w:rsidRPr="008B2AD6">
              <w:t xml:space="preserve"> the world economy.</w:t>
            </w:r>
          </w:p>
          <w:p w14:paraId="16FDB463" w14:textId="77777777" w:rsidR="00773A07" w:rsidRPr="008B2AD6" w:rsidRDefault="00773A07" w:rsidP="005B750D">
            <w:pPr>
              <w:tabs>
                <w:tab w:val="left" w:pos="0"/>
                <w:tab w:val="left" w:pos="900"/>
                <w:tab w:val="left" w:pos="993"/>
              </w:tabs>
              <w:autoSpaceDE w:val="0"/>
              <w:autoSpaceDN w:val="0"/>
              <w:adjustRightInd w:val="0"/>
              <w:rPr>
                <w:b/>
              </w:rPr>
            </w:pPr>
          </w:p>
          <w:p w14:paraId="1DFE0439" w14:textId="77777777" w:rsidR="00773A07" w:rsidRPr="008B2AD6" w:rsidRDefault="00773A07" w:rsidP="005B750D">
            <w:pPr>
              <w:autoSpaceDE w:val="0"/>
              <w:autoSpaceDN w:val="0"/>
              <w:adjustRightInd w:val="0"/>
            </w:pPr>
            <w:r w:rsidRPr="008B2AD6">
              <w:t>An incentive system will be developed to foster the growth of innovative SMEs and to promote foreign investments in high technology sectors and in research-intensive services.</w:t>
            </w:r>
          </w:p>
          <w:p w14:paraId="34F4B269" w14:textId="77777777" w:rsidR="00773A07" w:rsidRPr="008B2AD6" w:rsidRDefault="00773A07" w:rsidP="005B750D">
            <w:pPr>
              <w:autoSpaceDE w:val="0"/>
              <w:autoSpaceDN w:val="0"/>
              <w:adjustRightInd w:val="0"/>
              <w:rPr>
                <w:color w:val="000000"/>
              </w:rPr>
            </w:pPr>
          </w:p>
          <w:p w14:paraId="0C045367" w14:textId="524196B2" w:rsidR="00773A07" w:rsidRPr="008B2AD6" w:rsidRDefault="00773A07" w:rsidP="00BC009B">
            <w:pPr>
              <w:tabs>
                <w:tab w:val="left" w:pos="0"/>
                <w:tab w:val="left" w:pos="900"/>
                <w:tab w:val="left" w:pos="993"/>
              </w:tabs>
              <w:autoSpaceDE w:val="0"/>
              <w:autoSpaceDN w:val="0"/>
              <w:adjustRightInd w:val="0"/>
            </w:pPr>
            <w:r w:rsidRPr="008B2AD6">
              <w:rPr>
                <w:color w:val="000000"/>
              </w:rPr>
              <w:lastRenderedPageBreak/>
              <w:t xml:space="preserve">A comprehensive </w:t>
            </w:r>
            <w:r w:rsidR="00BC009B" w:rsidRPr="008B2AD6">
              <w:rPr>
                <w:color w:val="000000"/>
              </w:rPr>
              <w:t xml:space="preserve">programme for the development of the </w:t>
            </w:r>
            <w:r w:rsidRPr="008B2AD6">
              <w:rPr>
                <w:color w:val="000000"/>
              </w:rPr>
              <w:t>service sector until 2020 incorporates policies to</w:t>
            </w:r>
            <w:r w:rsidR="00BC009B" w:rsidRPr="008B2AD6">
              <w:rPr>
                <w:color w:val="000000"/>
              </w:rPr>
              <w:t>:</w:t>
            </w:r>
            <w:r w:rsidRPr="008B2AD6">
              <w:rPr>
                <w:color w:val="000000"/>
              </w:rPr>
              <w:t xml:space="preserve"> increase domestic demand</w:t>
            </w:r>
            <w:r w:rsidR="00BC009B" w:rsidRPr="008B2AD6">
              <w:rPr>
                <w:color w:val="000000"/>
              </w:rPr>
              <w:t>;</w:t>
            </w:r>
            <w:r w:rsidRPr="008B2AD6">
              <w:rPr>
                <w:color w:val="000000"/>
              </w:rPr>
              <w:t xml:space="preserve"> accelerate the growth of knowledge-intensive and engineering services, agricultural and ecological tourism, and transport and roadside</w:t>
            </w:r>
            <w:r w:rsidR="00BC009B" w:rsidRPr="008B2AD6">
              <w:rPr>
                <w:color w:val="000000"/>
              </w:rPr>
              <w:t xml:space="preserve"> services;</w:t>
            </w:r>
            <w:r w:rsidRPr="008B2AD6">
              <w:rPr>
                <w:color w:val="000000"/>
              </w:rPr>
              <w:t xml:space="preserve"> increase </w:t>
            </w:r>
            <w:r w:rsidR="00BC009B" w:rsidRPr="008B2AD6">
              <w:rPr>
                <w:color w:val="000000"/>
              </w:rPr>
              <w:t xml:space="preserve">and improve </w:t>
            </w:r>
            <w:r w:rsidRPr="008B2AD6">
              <w:rPr>
                <w:color w:val="000000"/>
              </w:rPr>
              <w:t>the export of medical and educational services</w:t>
            </w:r>
            <w:r w:rsidR="00BC009B" w:rsidRPr="008B2AD6">
              <w:rPr>
                <w:color w:val="000000"/>
              </w:rPr>
              <w:t>;</w:t>
            </w:r>
            <w:r w:rsidRPr="008B2AD6">
              <w:rPr>
                <w:color w:val="000000"/>
              </w:rPr>
              <w:t xml:space="preserve"> and to promote further growth in the export of IT services and software products</w:t>
            </w:r>
            <w:r w:rsidRPr="008B2AD6">
              <w:t>.</w:t>
            </w:r>
          </w:p>
          <w:p w14:paraId="1D005C67" w14:textId="77777777" w:rsidR="00CB7407" w:rsidRPr="008B2AD6" w:rsidRDefault="00CB7407" w:rsidP="00BC009B">
            <w:pPr>
              <w:tabs>
                <w:tab w:val="left" w:pos="0"/>
                <w:tab w:val="left" w:pos="900"/>
                <w:tab w:val="left" w:pos="993"/>
              </w:tabs>
              <w:autoSpaceDE w:val="0"/>
              <w:autoSpaceDN w:val="0"/>
              <w:adjustRightInd w:val="0"/>
            </w:pPr>
          </w:p>
          <w:p w14:paraId="31E5A7EC" w14:textId="77777777" w:rsidR="00CB7407" w:rsidRPr="008B2AD6" w:rsidRDefault="00CB7407" w:rsidP="00CB7407">
            <w:pPr>
              <w:rPr>
                <w:b/>
                <w:color w:val="000000"/>
              </w:rPr>
            </w:pPr>
            <w:r w:rsidRPr="008B2AD6">
              <w:rPr>
                <w:b/>
                <w:color w:val="000000"/>
              </w:rPr>
              <w:t>Risks:</w:t>
            </w:r>
          </w:p>
          <w:p w14:paraId="5267CDAB" w14:textId="38520496" w:rsidR="00CB7407" w:rsidRPr="008B2AD6" w:rsidRDefault="00CB7407" w:rsidP="00CB7407">
            <w:pPr>
              <w:rPr>
                <w:color w:val="000000"/>
              </w:rPr>
            </w:pPr>
            <w:r w:rsidRPr="008B2AD6">
              <w:softHyphen/>
            </w:r>
            <w:r w:rsidRPr="008B2AD6">
              <w:rPr>
                <w:color w:val="000000"/>
              </w:rPr>
              <w:t>Weak securities market;</w:t>
            </w:r>
          </w:p>
          <w:p w14:paraId="7349F727" w14:textId="5FEBE4D5" w:rsidR="00CB7407" w:rsidRPr="008B2AD6" w:rsidRDefault="00CB7407" w:rsidP="00CB7407">
            <w:r w:rsidRPr="008B2AD6">
              <w:t>Absence of developed financial sector tools, apart from credit provisions;</w:t>
            </w:r>
          </w:p>
          <w:p w14:paraId="779B91CB" w14:textId="393EFF69" w:rsidR="00CB7407" w:rsidRPr="008B2AD6" w:rsidRDefault="00CB7407" w:rsidP="00CB7407">
            <w:r w:rsidRPr="008B2AD6">
              <w:t>Absence of institutionalized collective investor schemes;</w:t>
            </w:r>
          </w:p>
          <w:p w14:paraId="2A6D265C" w14:textId="08A75682" w:rsidR="00CB7407" w:rsidRPr="008B2AD6" w:rsidRDefault="00CB7407" w:rsidP="008B2AD6">
            <w:r w:rsidRPr="008B2AD6">
              <w:t>Increased brain drain, resulting from growing competition for the skilled workforce and the out-migration of such workforce</w:t>
            </w:r>
          </w:p>
        </w:tc>
        <w:tc>
          <w:tcPr>
            <w:tcW w:w="2268" w:type="dxa"/>
          </w:tcPr>
          <w:p w14:paraId="38656473" w14:textId="77777777" w:rsidR="00773A07" w:rsidRPr="008B2AD6" w:rsidRDefault="007F5596" w:rsidP="005B750D">
            <w:r w:rsidRPr="008B2AD6">
              <w:lastRenderedPageBreak/>
              <w:t>Ministry of Economy, Ministry of Finance, National Bank</w:t>
            </w:r>
          </w:p>
        </w:tc>
        <w:tc>
          <w:tcPr>
            <w:tcW w:w="1842" w:type="dxa"/>
            <w:vMerge w:val="restart"/>
          </w:tcPr>
          <w:p w14:paraId="0801DA23" w14:textId="77777777" w:rsidR="0069379D" w:rsidRPr="008B2AD6" w:rsidRDefault="0069379D" w:rsidP="0069379D">
            <w:pPr>
              <w:tabs>
                <w:tab w:val="left" w:pos="3849"/>
              </w:tabs>
              <w:rPr>
                <w:b/>
              </w:rPr>
            </w:pPr>
            <w:r w:rsidRPr="008B2AD6">
              <w:rPr>
                <w:b/>
              </w:rPr>
              <w:t>UNDP -  $</w:t>
            </w:r>
            <w:r>
              <w:rPr>
                <w:b/>
              </w:rPr>
              <w:t>8,7</w:t>
            </w:r>
            <w:r w:rsidRPr="008B2AD6">
              <w:rPr>
                <w:b/>
              </w:rPr>
              <w:t>00,000; $1</w:t>
            </w:r>
            <w:r>
              <w:rPr>
                <w:b/>
              </w:rPr>
              <w:t>0</w:t>
            </w:r>
            <w:r w:rsidRPr="008B2AD6">
              <w:rPr>
                <w:b/>
              </w:rPr>
              <w:t>,</w:t>
            </w:r>
            <w:r>
              <w:rPr>
                <w:b/>
              </w:rPr>
              <w:t>05</w:t>
            </w:r>
            <w:r w:rsidRPr="008B2AD6">
              <w:rPr>
                <w:b/>
              </w:rPr>
              <w:t xml:space="preserve">0,000 (to be mobilized) </w:t>
            </w:r>
            <w:r w:rsidRPr="008B2AD6">
              <w:rPr>
                <w:b/>
              </w:rPr>
              <w:br/>
              <w:t xml:space="preserve">UNECE - </w:t>
            </w:r>
            <w:r w:rsidRPr="008B2AD6">
              <w:rPr>
                <w:b/>
              </w:rPr>
              <w:br/>
            </w:r>
            <w:r w:rsidRPr="008B2AD6">
              <w:rPr>
                <w:b/>
              </w:rPr>
              <w:lastRenderedPageBreak/>
              <w:t>$125,000 (to be mobilized)</w:t>
            </w:r>
          </w:p>
          <w:p w14:paraId="4A1A32E0" w14:textId="77777777" w:rsidR="0069379D" w:rsidRPr="008B2AD6" w:rsidRDefault="0069379D" w:rsidP="0069379D">
            <w:pPr>
              <w:tabs>
                <w:tab w:val="left" w:pos="3849"/>
              </w:tabs>
              <w:rPr>
                <w:b/>
              </w:rPr>
            </w:pPr>
            <w:r w:rsidRPr="008B2AD6">
              <w:rPr>
                <w:b/>
              </w:rPr>
              <w:t>UNCTAD - $1,100,000 (to be mobilized)</w:t>
            </w:r>
          </w:p>
          <w:p w14:paraId="6A1EA41F" w14:textId="77777777" w:rsidR="0069379D" w:rsidRPr="008B2AD6" w:rsidRDefault="0069379D" w:rsidP="0069379D">
            <w:pPr>
              <w:tabs>
                <w:tab w:val="left" w:pos="3849"/>
              </w:tabs>
              <w:rPr>
                <w:b/>
              </w:rPr>
            </w:pPr>
            <w:r w:rsidRPr="008B2AD6">
              <w:rPr>
                <w:b/>
              </w:rPr>
              <w:t>ITC - $600,000 (to be mobilized)</w:t>
            </w:r>
          </w:p>
          <w:p w14:paraId="348B36EB" w14:textId="77777777" w:rsidR="0069379D" w:rsidRPr="008B2AD6" w:rsidRDefault="0069379D" w:rsidP="0069379D">
            <w:pPr>
              <w:tabs>
                <w:tab w:val="left" w:pos="3849"/>
              </w:tabs>
              <w:rPr>
                <w:b/>
              </w:rPr>
            </w:pPr>
            <w:r w:rsidRPr="008B2AD6">
              <w:rPr>
                <w:b/>
              </w:rPr>
              <w:t>FAO - $450,000 (to be mobilized)</w:t>
            </w:r>
          </w:p>
          <w:p w14:paraId="5BC6A04C" w14:textId="77777777" w:rsidR="0069379D" w:rsidRPr="008B2AD6" w:rsidRDefault="0069379D" w:rsidP="0069379D">
            <w:pPr>
              <w:tabs>
                <w:tab w:val="left" w:pos="3849"/>
              </w:tabs>
              <w:rPr>
                <w:b/>
              </w:rPr>
            </w:pPr>
            <w:r w:rsidRPr="008B2AD6">
              <w:rPr>
                <w:b/>
              </w:rPr>
              <w:t>UNIDO - $1,993,000 (to be mobilized)</w:t>
            </w:r>
          </w:p>
          <w:p w14:paraId="34AE5308" w14:textId="6E007606" w:rsidR="00406E7E" w:rsidRPr="008B2AD6" w:rsidRDefault="0069379D" w:rsidP="0069379D">
            <w:pPr>
              <w:tabs>
                <w:tab w:val="left" w:pos="3849"/>
              </w:tabs>
              <w:rPr>
                <w:b/>
              </w:rPr>
            </w:pPr>
            <w:r w:rsidRPr="008B2AD6">
              <w:rPr>
                <w:b/>
              </w:rPr>
              <w:t>UNWTO - $20,000 (to be mobilized)</w:t>
            </w:r>
          </w:p>
        </w:tc>
      </w:tr>
      <w:tr w:rsidR="00773A07" w:rsidRPr="00861957" w14:paraId="76613EAD" w14:textId="77777777" w:rsidTr="00750809">
        <w:trPr>
          <w:trHeight w:val="20"/>
        </w:trPr>
        <w:tc>
          <w:tcPr>
            <w:tcW w:w="2127" w:type="dxa"/>
            <w:vMerge/>
            <w:shd w:val="clear" w:color="auto" w:fill="auto"/>
          </w:tcPr>
          <w:p w14:paraId="013DA30E" w14:textId="77777777" w:rsidR="00773A07" w:rsidRPr="00861957" w:rsidRDefault="00773A07" w:rsidP="005B750D">
            <w:pPr>
              <w:pStyle w:val="PlainText"/>
              <w:jc w:val="both"/>
              <w:rPr>
                <w:rFonts w:ascii="Times New Roman" w:hAnsi="Times New Roman" w:cs="Times New Roman"/>
                <w:b/>
                <w:sz w:val="24"/>
                <w:szCs w:val="24"/>
                <w:lang w:val="en-GB"/>
              </w:rPr>
            </w:pPr>
          </w:p>
        </w:tc>
        <w:tc>
          <w:tcPr>
            <w:tcW w:w="3969" w:type="dxa"/>
            <w:shd w:val="clear" w:color="auto" w:fill="auto"/>
          </w:tcPr>
          <w:p w14:paraId="34A50822" w14:textId="77777777" w:rsidR="00773A07" w:rsidRPr="00861957" w:rsidRDefault="00773A07" w:rsidP="005B750D">
            <w:r w:rsidRPr="00861957">
              <w:rPr>
                <w:b/>
              </w:rPr>
              <w:t xml:space="preserve">Indicator 2.1.2. </w:t>
            </w:r>
            <w:r w:rsidRPr="00861957">
              <w:rPr>
                <w:b/>
              </w:rPr>
              <w:br/>
            </w:r>
            <w:r w:rsidRPr="00861957">
              <w:t>Rank of Belarus in the World Bank’s Doing Business Report</w:t>
            </w:r>
            <w:r w:rsidRPr="00861957">
              <w:br/>
            </w:r>
            <w:r w:rsidRPr="00861957">
              <w:rPr>
                <w:b/>
              </w:rPr>
              <w:t>Baseline:</w:t>
            </w:r>
            <w:r w:rsidRPr="00861957">
              <w:t xml:space="preserve"> 57th (2014)</w:t>
            </w:r>
            <w:r w:rsidRPr="00861957">
              <w:br/>
            </w:r>
            <w:r w:rsidRPr="00861957">
              <w:rPr>
                <w:b/>
              </w:rPr>
              <w:t>Target:</w:t>
            </w:r>
            <w:r w:rsidRPr="00861957">
              <w:t xml:space="preserve"> 40th (2020)</w:t>
            </w:r>
          </w:p>
        </w:tc>
        <w:tc>
          <w:tcPr>
            <w:tcW w:w="1984" w:type="dxa"/>
            <w:shd w:val="clear" w:color="auto" w:fill="auto"/>
          </w:tcPr>
          <w:p w14:paraId="3A35D519" w14:textId="77777777" w:rsidR="00773A07" w:rsidRPr="00861957" w:rsidRDefault="00773A07" w:rsidP="005B750D">
            <w:r w:rsidRPr="00861957">
              <w:t>World Bank’s Doing Business Report</w:t>
            </w:r>
          </w:p>
        </w:tc>
        <w:tc>
          <w:tcPr>
            <w:tcW w:w="3686" w:type="dxa"/>
            <w:vMerge/>
            <w:shd w:val="clear" w:color="auto" w:fill="auto"/>
          </w:tcPr>
          <w:p w14:paraId="3E3CEFC5" w14:textId="77777777" w:rsidR="00773A07" w:rsidRPr="00861957" w:rsidRDefault="00773A07" w:rsidP="005B750D">
            <w:pPr>
              <w:rPr>
                <w:b/>
                <w:color w:val="000000"/>
              </w:rPr>
            </w:pPr>
          </w:p>
        </w:tc>
        <w:tc>
          <w:tcPr>
            <w:tcW w:w="2268" w:type="dxa"/>
          </w:tcPr>
          <w:p w14:paraId="42C725F8" w14:textId="77777777" w:rsidR="007F5596" w:rsidRPr="00861957" w:rsidRDefault="007F5596" w:rsidP="007F5596">
            <w:r w:rsidRPr="00861957">
              <w:t>Ministry of Economy, Ministry of Foreign Affairs, State Customs Committee, Ministry of Finance, National Bank</w:t>
            </w:r>
          </w:p>
        </w:tc>
        <w:tc>
          <w:tcPr>
            <w:tcW w:w="1842" w:type="dxa"/>
            <w:vMerge/>
          </w:tcPr>
          <w:p w14:paraId="6D0866EB" w14:textId="77777777" w:rsidR="00773A07" w:rsidRPr="00861957" w:rsidRDefault="00773A07" w:rsidP="005B750D">
            <w:pPr>
              <w:tabs>
                <w:tab w:val="left" w:pos="3849"/>
              </w:tabs>
              <w:rPr>
                <w:b/>
              </w:rPr>
            </w:pPr>
          </w:p>
        </w:tc>
      </w:tr>
      <w:tr w:rsidR="00773A07" w:rsidRPr="00861957" w14:paraId="75C8658C" w14:textId="77777777" w:rsidTr="00750809">
        <w:trPr>
          <w:trHeight w:val="20"/>
        </w:trPr>
        <w:tc>
          <w:tcPr>
            <w:tcW w:w="2127" w:type="dxa"/>
            <w:vMerge/>
            <w:shd w:val="clear" w:color="auto" w:fill="auto"/>
          </w:tcPr>
          <w:p w14:paraId="0BAE760D" w14:textId="77777777" w:rsidR="00773A07" w:rsidRPr="00861957" w:rsidRDefault="00773A07" w:rsidP="005B750D">
            <w:pPr>
              <w:pStyle w:val="PlainText"/>
              <w:jc w:val="both"/>
              <w:rPr>
                <w:rFonts w:ascii="Times New Roman" w:hAnsi="Times New Roman" w:cs="Times New Roman"/>
                <w:b/>
                <w:sz w:val="24"/>
                <w:szCs w:val="24"/>
                <w:lang w:val="en-GB"/>
              </w:rPr>
            </w:pPr>
          </w:p>
        </w:tc>
        <w:tc>
          <w:tcPr>
            <w:tcW w:w="3969" w:type="dxa"/>
            <w:shd w:val="clear" w:color="auto" w:fill="auto"/>
          </w:tcPr>
          <w:p w14:paraId="3EF3864C" w14:textId="77777777" w:rsidR="00773A07" w:rsidRPr="00861957" w:rsidRDefault="00773A07" w:rsidP="00773A07">
            <w:pPr>
              <w:spacing w:line="240" w:lineRule="exact"/>
            </w:pPr>
            <w:r w:rsidRPr="00861957">
              <w:rPr>
                <w:b/>
              </w:rPr>
              <w:t>Indicator 2.1.3.</w:t>
            </w:r>
            <w:r w:rsidRPr="00861957">
              <w:t xml:space="preserve"> </w:t>
            </w:r>
            <w:r w:rsidRPr="0071643B">
              <w:t>Proportion of innovative companies relative to the total number of companies for which manufacturing is a core activity</w:t>
            </w:r>
            <w:r w:rsidRPr="00861957">
              <w:rPr>
                <w:color w:val="000000"/>
              </w:rPr>
              <w:br/>
            </w:r>
            <w:r w:rsidRPr="00861957">
              <w:rPr>
                <w:b/>
              </w:rPr>
              <w:t>Baseline:</w:t>
            </w:r>
            <w:r w:rsidRPr="00861957">
              <w:t xml:space="preserve"> 21.7% (2013)</w:t>
            </w:r>
            <w:r w:rsidRPr="00861957">
              <w:br/>
            </w:r>
            <w:r w:rsidRPr="00861957">
              <w:rPr>
                <w:b/>
              </w:rPr>
              <w:t xml:space="preserve">Target: </w:t>
            </w:r>
            <w:r w:rsidRPr="00861957">
              <w:t>25% (2020)</w:t>
            </w:r>
          </w:p>
        </w:tc>
        <w:tc>
          <w:tcPr>
            <w:tcW w:w="1984" w:type="dxa"/>
            <w:shd w:val="clear" w:color="auto" w:fill="auto"/>
          </w:tcPr>
          <w:p w14:paraId="1F73E695" w14:textId="77777777" w:rsidR="00773A07" w:rsidRPr="00861957" w:rsidRDefault="00773A07" w:rsidP="005B750D">
            <w:r w:rsidRPr="00861957">
              <w:t>National Statistical Committee,</w:t>
            </w:r>
          </w:p>
          <w:p w14:paraId="3C6194DB" w14:textId="77777777" w:rsidR="00773A07" w:rsidRPr="00861957" w:rsidRDefault="00773A07" w:rsidP="005B750D">
            <w:r w:rsidRPr="00861957">
              <w:t>State Committee on Science and Technology, Economic Research Institute of the Ministry of Economy of the Republic of Belarus (ERI)</w:t>
            </w:r>
          </w:p>
        </w:tc>
        <w:tc>
          <w:tcPr>
            <w:tcW w:w="3686" w:type="dxa"/>
            <w:vMerge/>
            <w:shd w:val="clear" w:color="auto" w:fill="auto"/>
          </w:tcPr>
          <w:p w14:paraId="06986E47" w14:textId="77777777" w:rsidR="00773A07" w:rsidRPr="00861957" w:rsidRDefault="00773A07" w:rsidP="005B750D">
            <w:pPr>
              <w:rPr>
                <w:b/>
                <w:color w:val="000000"/>
              </w:rPr>
            </w:pPr>
          </w:p>
        </w:tc>
        <w:tc>
          <w:tcPr>
            <w:tcW w:w="2268" w:type="dxa"/>
          </w:tcPr>
          <w:p w14:paraId="20CB4FAB" w14:textId="77777777" w:rsidR="00773A07" w:rsidRPr="00861957" w:rsidRDefault="007F5596" w:rsidP="005B750D">
            <w:r w:rsidRPr="00861957">
              <w:t>State Committee on Science and Technology, Ministry of Economy</w:t>
            </w:r>
          </w:p>
        </w:tc>
        <w:tc>
          <w:tcPr>
            <w:tcW w:w="1842" w:type="dxa"/>
            <w:vMerge/>
          </w:tcPr>
          <w:p w14:paraId="32BC1D9A" w14:textId="77777777" w:rsidR="00773A07" w:rsidRPr="00861957" w:rsidRDefault="00773A07" w:rsidP="005B750D">
            <w:pPr>
              <w:tabs>
                <w:tab w:val="left" w:pos="3849"/>
              </w:tabs>
              <w:rPr>
                <w:b/>
              </w:rPr>
            </w:pPr>
          </w:p>
        </w:tc>
      </w:tr>
      <w:tr w:rsidR="00773A07" w:rsidRPr="00861957" w14:paraId="05749696" w14:textId="77777777" w:rsidTr="00750809">
        <w:trPr>
          <w:trHeight w:val="20"/>
        </w:trPr>
        <w:tc>
          <w:tcPr>
            <w:tcW w:w="2127" w:type="dxa"/>
            <w:vMerge/>
            <w:shd w:val="clear" w:color="auto" w:fill="auto"/>
          </w:tcPr>
          <w:p w14:paraId="23ECAC70" w14:textId="757FCAEC" w:rsidR="00773A07" w:rsidRPr="00861957" w:rsidRDefault="00773A07" w:rsidP="005B750D">
            <w:pPr>
              <w:pStyle w:val="PlainText"/>
              <w:jc w:val="both"/>
              <w:rPr>
                <w:rFonts w:ascii="Times New Roman" w:hAnsi="Times New Roman" w:cs="Times New Roman"/>
                <w:b/>
                <w:sz w:val="24"/>
                <w:szCs w:val="24"/>
                <w:lang w:val="en-GB"/>
              </w:rPr>
            </w:pPr>
          </w:p>
        </w:tc>
        <w:tc>
          <w:tcPr>
            <w:tcW w:w="3969" w:type="dxa"/>
            <w:shd w:val="clear" w:color="auto" w:fill="auto"/>
          </w:tcPr>
          <w:p w14:paraId="49A012D6" w14:textId="77777777" w:rsidR="00773A07" w:rsidRPr="00861957" w:rsidRDefault="00773A07" w:rsidP="00F20907">
            <w:pPr>
              <w:spacing w:line="240" w:lineRule="exact"/>
            </w:pPr>
            <w:r w:rsidRPr="00861957">
              <w:rPr>
                <w:b/>
              </w:rPr>
              <w:t>Indicator 2.1.4.</w:t>
            </w:r>
            <w:r w:rsidRPr="00861957">
              <w:rPr>
                <w:b/>
              </w:rPr>
              <w:br/>
            </w:r>
            <w:r w:rsidRPr="00861957">
              <w:t xml:space="preserve">Foreign direct investment (FDI) per capita </w:t>
            </w:r>
            <w:r w:rsidR="00F20907" w:rsidRPr="00861957">
              <w:t>on a net basis</w:t>
            </w:r>
            <w:r w:rsidRPr="00861957">
              <w:br/>
            </w:r>
            <w:r w:rsidRPr="00861957">
              <w:rPr>
                <w:b/>
              </w:rPr>
              <w:t>Baseline:</w:t>
            </w:r>
            <w:r w:rsidRPr="00861957">
              <w:t xml:space="preserve"> $22</w:t>
            </w:r>
            <w:r w:rsidR="00F20907" w:rsidRPr="00861957">
              <w:t>8.9</w:t>
            </w:r>
            <w:r w:rsidRPr="00861957">
              <w:t xml:space="preserve"> USD (2013)</w:t>
            </w:r>
            <w:r w:rsidRPr="00861957">
              <w:br/>
            </w:r>
            <w:r w:rsidRPr="00861957">
              <w:rPr>
                <w:b/>
              </w:rPr>
              <w:t xml:space="preserve">Target: </w:t>
            </w:r>
            <w:r w:rsidRPr="00861957">
              <w:t>$260  USD (2020)</w:t>
            </w:r>
          </w:p>
        </w:tc>
        <w:tc>
          <w:tcPr>
            <w:tcW w:w="1984" w:type="dxa"/>
            <w:shd w:val="clear" w:color="auto" w:fill="auto"/>
          </w:tcPr>
          <w:p w14:paraId="1CFF86E4" w14:textId="77777777" w:rsidR="00773A07" w:rsidRPr="00861957" w:rsidRDefault="00773A07" w:rsidP="005B750D">
            <w:r w:rsidRPr="00861957">
              <w:t>National Statistical Committee</w:t>
            </w:r>
          </w:p>
        </w:tc>
        <w:tc>
          <w:tcPr>
            <w:tcW w:w="3686" w:type="dxa"/>
            <w:vMerge/>
            <w:shd w:val="clear" w:color="auto" w:fill="auto"/>
          </w:tcPr>
          <w:p w14:paraId="11E6A8EE" w14:textId="77777777" w:rsidR="00773A07" w:rsidRPr="00861957" w:rsidRDefault="00773A07" w:rsidP="005B750D">
            <w:pPr>
              <w:rPr>
                <w:b/>
                <w:color w:val="000000"/>
              </w:rPr>
            </w:pPr>
          </w:p>
        </w:tc>
        <w:tc>
          <w:tcPr>
            <w:tcW w:w="2268" w:type="dxa"/>
          </w:tcPr>
          <w:p w14:paraId="58EB6C9B" w14:textId="77777777" w:rsidR="00773A07" w:rsidRPr="00861957" w:rsidRDefault="007F5596" w:rsidP="005B750D">
            <w:r w:rsidRPr="00861957">
              <w:t>Ministry of Economy</w:t>
            </w:r>
          </w:p>
        </w:tc>
        <w:tc>
          <w:tcPr>
            <w:tcW w:w="1842" w:type="dxa"/>
            <w:vMerge/>
          </w:tcPr>
          <w:p w14:paraId="5AB24E59" w14:textId="77777777" w:rsidR="00773A07" w:rsidRPr="00861957" w:rsidRDefault="00773A07" w:rsidP="005B750D">
            <w:pPr>
              <w:tabs>
                <w:tab w:val="left" w:pos="3849"/>
              </w:tabs>
              <w:rPr>
                <w:b/>
              </w:rPr>
            </w:pPr>
          </w:p>
        </w:tc>
      </w:tr>
      <w:tr w:rsidR="00773A07" w:rsidRPr="00861957" w14:paraId="0BE26B46" w14:textId="77777777" w:rsidTr="00750809">
        <w:trPr>
          <w:trHeight w:val="20"/>
        </w:trPr>
        <w:tc>
          <w:tcPr>
            <w:tcW w:w="2127" w:type="dxa"/>
            <w:vMerge/>
            <w:shd w:val="clear" w:color="auto" w:fill="auto"/>
          </w:tcPr>
          <w:p w14:paraId="64C19B55" w14:textId="77777777" w:rsidR="00773A07" w:rsidRPr="00861957" w:rsidRDefault="00773A07" w:rsidP="005B750D">
            <w:pPr>
              <w:pStyle w:val="PlainText"/>
              <w:jc w:val="both"/>
              <w:rPr>
                <w:rFonts w:ascii="Times New Roman" w:hAnsi="Times New Roman" w:cs="Times New Roman"/>
                <w:b/>
                <w:sz w:val="24"/>
                <w:szCs w:val="24"/>
                <w:lang w:val="en-GB"/>
              </w:rPr>
            </w:pPr>
          </w:p>
        </w:tc>
        <w:tc>
          <w:tcPr>
            <w:tcW w:w="3969" w:type="dxa"/>
            <w:shd w:val="clear" w:color="auto" w:fill="auto"/>
          </w:tcPr>
          <w:p w14:paraId="7270F779" w14:textId="5D7DADEC" w:rsidR="00773A07" w:rsidRPr="00861957" w:rsidRDefault="00773A07" w:rsidP="00C36204">
            <w:r w:rsidRPr="00861957">
              <w:rPr>
                <w:b/>
                <w:bCs/>
              </w:rPr>
              <w:t>Indicator 2.1.5.</w:t>
            </w:r>
            <w:r w:rsidR="00C36204" w:rsidRPr="00861957">
              <w:rPr>
                <w:bCs/>
              </w:rPr>
              <w:t xml:space="preserve"> Extent to which</w:t>
            </w:r>
            <w:r w:rsidR="00C36204" w:rsidRPr="00861957">
              <w:rPr>
                <w:b/>
                <w:bCs/>
              </w:rPr>
              <w:t xml:space="preserve"> </w:t>
            </w:r>
            <w:r w:rsidRPr="00861957">
              <w:t xml:space="preserve"> foresight method</w:t>
            </w:r>
            <w:r w:rsidR="00C36204" w:rsidRPr="00861957">
              <w:t>s</w:t>
            </w:r>
            <w:r w:rsidRPr="00861957">
              <w:t xml:space="preserve"> </w:t>
            </w:r>
            <w:r w:rsidR="00C36204" w:rsidRPr="00861957">
              <w:t>are</w:t>
            </w:r>
            <w:r w:rsidRPr="00861957">
              <w:t xml:space="preserve"> used to develop </w:t>
            </w:r>
            <w:r w:rsidR="00C36204" w:rsidRPr="00861957">
              <w:t xml:space="preserve">state </w:t>
            </w:r>
            <w:r w:rsidRPr="00861957">
              <w:t>strategic plans and policy documents</w:t>
            </w:r>
            <w:r w:rsidRPr="00861957">
              <w:br/>
            </w:r>
            <w:r w:rsidRPr="00861957">
              <w:rPr>
                <w:b/>
              </w:rPr>
              <w:t>Baseline:</w:t>
            </w:r>
            <w:r w:rsidRPr="00861957">
              <w:t xml:space="preserve"> low use of foresight </w:t>
            </w:r>
            <w:r w:rsidRPr="00861957">
              <w:lastRenderedPageBreak/>
              <w:t>method</w:t>
            </w:r>
            <w:r w:rsidR="00C36204" w:rsidRPr="00861957">
              <w:t>s</w:t>
            </w:r>
            <w:r w:rsidRPr="00861957">
              <w:t xml:space="preserve"> for drafting strategic policy documents</w:t>
            </w:r>
            <w:r w:rsidRPr="00861957">
              <w:rPr>
                <w:b/>
              </w:rPr>
              <w:t xml:space="preserve"> </w:t>
            </w:r>
            <w:r w:rsidRPr="00861957">
              <w:t>(2013)</w:t>
            </w:r>
            <w:r w:rsidRPr="00861957">
              <w:br/>
            </w:r>
            <w:r w:rsidRPr="00861957">
              <w:rPr>
                <w:b/>
              </w:rPr>
              <w:t xml:space="preserve">Target: </w:t>
            </w:r>
            <w:r w:rsidRPr="00861957">
              <w:t>strategic policy documents are drafted using foresight method</w:t>
            </w:r>
            <w:r w:rsidR="00C36204" w:rsidRPr="00861957">
              <w:t>s</w:t>
            </w:r>
            <w:r w:rsidRPr="00861957">
              <w:t xml:space="preserve"> (2020)</w:t>
            </w:r>
          </w:p>
        </w:tc>
        <w:tc>
          <w:tcPr>
            <w:tcW w:w="1984" w:type="dxa"/>
            <w:shd w:val="clear" w:color="auto" w:fill="auto"/>
          </w:tcPr>
          <w:p w14:paraId="72D2D6DD" w14:textId="77777777" w:rsidR="00773A07" w:rsidRPr="00861957" w:rsidRDefault="00773A07" w:rsidP="005B750D">
            <w:r w:rsidRPr="00861957">
              <w:lastRenderedPageBreak/>
              <w:t xml:space="preserve">Economic Research Institute of the Ministry of Economy of the </w:t>
            </w:r>
            <w:r w:rsidRPr="00861957">
              <w:lastRenderedPageBreak/>
              <w:t>Republic of Belarus (ERI)</w:t>
            </w:r>
          </w:p>
        </w:tc>
        <w:tc>
          <w:tcPr>
            <w:tcW w:w="3686" w:type="dxa"/>
            <w:vMerge/>
            <w:shd w:val="clear" w:color="auto" w:fill="auto"/>
          </w:tcPr>
          <w:p w14:paraId="1D89CA82" w14:textId="77777777" w:rsidR="00773A07" w:rsidRPr="00861957" w:rsidRDefault="00773A07" w:rsidP="005B750D">
            <w:pPr>
              <w:rPr>
                <w:b/>
                <w:color w:val="000000"/>
              </w:rPr>
            </w:pPr>
          </w:p>
        </w:tc>
        <w:tc>
          <w:tcPr>
            <w:tcW w:w="2268" w:type="dxa"/>
          </w:tcPr>
          <w:p w14:paraId="4A2A9832" w14:textId="77777777" w:rsidR="00773A07" w:rsidRPr="00861957" w:rsidRDefault="007F5596" w:rsidP="005B750D">
            <w:r w:rsidRPr="00861957">
              <w:t xml:space="preserve">Economic Research Institute of the Ministry of Economy of the </w:t>
            </w:r>
            <w:r w:rsidRPr="00861957">
              <w:lastRenderedPageBreak/>
              <w:t>Republic of Belarus (ERI)</w:t>
            </w:r>
          </w:p>
        </w:tc>
        <w:tc>
          <w:tcPr>
            <w:tcW w:w="1842" w:type="dxa"/>
            <w:vMerge/>
          </w:tcPr>
          <w:p w14:paraId="5F1D8E21" w14:textId="77777777" w:rsidR="00773A07" w:rsidRPr="00861957" w:rsidRDefault="00773A07" w:rsidP="005B750D">
            <w:pPr>
              <w:tabs>
                <w:tab w:val="left" w:pos="3849"/>
              </w:tabs>
              <w:rPr>
                <w:b/>
              </w:rPr>
            </w:pPr>
          </w:p>
        </w:tc>
      </w:tr>
      <w:tr w:rsidR="00773A07" w:rsidRPr="00861957" w14:paraId="7F69BC1B" w14:textId="77777777" w:rsidTr="00750809">
        <w:trPr>
          <w:trHeight w:val="20"/>
        </w:trPr>
        <w:tc>
          <w:tcPr>
            <w:tcW w:w="2127" w:type="dxa"/>
            <w:vMerge/>
            <w:shd w:val="clear" w:color="auto" w:fill="auto"/>
          </w:tcPr>
          <w:p w14:paraId="083A0365" w14:textId="77777777" w:rsidR="00773A07" w:rsidRPr="00861957" w:rsidRDefault="00773A07" w:rsidP="005B750D">
            <w:pPr>
              <w:pStyle w:val="PlainText"/>
              <w:jc w:val="both"/>
              <w:rPr>
                <w:rFonts w:ascii="Times New Roman" w:hAnsi="Times New Roman" w:cs="Times New Roman"/>
                <w:b/>
                <w:sz w:val="24"/>
                <w:szCs w:val="24"/>
                <w:lang w:val="en-GB"/>
              </w:rPr>
            </w:pPr>
          </w:p>
        </w:tc>
        <w:tc>
          <w:tcPr>
            <w:tcW w:w="3969" w:type="dxa"/>
            <w:shd w:val="clear" w:color="auto" w:fill="auto"/>
          </w:tcPr>
          <w:p w14:paraId="34A0FE8D" w14:textId="77777777" w:rsidR="00773A07" w:rsidRPr="00861957" w:rsidRDefault="00773A07" w:rsidP="005B750D">
            <w:pPr>
              <w:rPr>
                <w:bCs/>
              </w:rPr>
            </w:pPr>
            <w:r w:rsidRPr="00861957">
              <w:rPr>
                <w:b/>
              </w:rPr>
              <w:t>Indicator 2.1.6.</w:t>
            </w:r>
            <w:r w:rsidRPr="00861957">
              <w:rPr>
                <w:b/>
              </w:rPr>
              <w:br/>
            </w:r>
            <w:r w:rsidRPr="00861957">
              <w:t>Growth in newly created private enterprises and individual entrepreneurships</w:t>
            </w:r>
            <w:r w:rsidRPr="00861957">
              <w:br/>
            </w:r>
            <w:r w:rsidRPr="00861957">
              <w:rPr>
                <w:b/>
              </w:rPr>
              <w:t>Baseline</w:t>
            </w:r>
            <w:r w:rsidRPr="00861957">
              <w:t xml:space="preserve">:  8% (2010) </w:t>
            </w:r>
            <w:r w:rsidRPr="00861957">
              <w:br/>
            </w:r>
            <w:r w:rsidRPr="00861957">
              <w:rPr>
                <w:b/>
              </w:rPr>
              <w:t>Target:</w:t>
            </w:r>
            <w:r w:rsidRPr="00861957">
              <w:t xml:space="preserve">  12% (2020)</w:t>
            </w:r>
          </w:p>
        </w:tc>
        <w:tc>
          <w:tcPr>
            <w:tcW w:w="1984" w:type="dxa"/>
            <w:shd w:val="clear" w:color="auto" w:fill="auto"/>
          </w:tcPr>
          <w:p w14:paraId="1F523E4B" w14:textId="77777777" w:rsidR="00773A07" w:rsidRPr="00861957" w:rsidRDefault="00773A07" w:rsidP="005B750D">
            <w:r w:rsidRPr="00861957">
              <w:t>World Bank</w:t>
            </w:r>
          </w:p>
        </w:tc>
        <w:tc>
          <w:tcPr>
            <w:tcW w:w="3686" w:type="dxa"/>
            <w:vMerge/>
            <w:shd w:val="clear" w:color="auto" w:fill="auto"/>
          </w:tcPr>
          <w:p w14:paraId="312C7945" w14:textId="77777777" w:rsidR="00773A07" w:rsidRPr="00861957" w:rsidRDefault="00773A07" w:rsidP="005B750D">
            <w:pPr>
              <w:rPr>
                <w:b/>
                <w:color w:val="000000"/>
              </w:rPr>
            </w:pPr>
          </w:p>
        </w:tc>
        <w:tc>
          <w:tcPr>
            <w:tcW w:w="2268" w:type="dxa"/>
          </w:tcPr>
          <w:p w14:paraId="1235247C" w14:textId="77777777" w:rsidR="00773A07" w:rsidRPr="00861957" w:rsidRDefault="007F5596" w:rsidP="005B750D">
            <w:r w:rsidRPr="00861957">
              <w:t>Ministry of Economy</w:t>
            </w:r>
          </w:p>
        </w:tc>
        <w:tc>
          <w:tcPr>
            <w:tcW w:w="1842" w:type="dxa"/>
            <w:vMerge/>
          </w:tcPr>
          <w:p w14:paraId="1BC5696A" w14:textId="77777777" w:rsidR="00773A07" w:rsidRPr="00861957" w:rsidRDefault="00773A07" w:rsidP="005B750D">
            <w:pPr>
              <w:tabs>
                <w:tab w:val="left" w:pos="3849"/>
              </w:tabs>
              <w:rPr>
                <w:b/>
              </w:rPr>
            </w:pPr>
          </w:p>
        </w:tc>
      </w:tr>
      <w:tr w:rsidR="00773A07" w:rsidRPr="00861957" w14:paraId="76A1ACD4" w14:textId="77777777" w:rsidTr="00750809">
        <w:trPr>
          <w:trHeight w:val="20"/>
        </w:trPr>
        <w:tc>
          <w:tcPr>
            <w:tcW w:w="2127" w:type="dxa"/>
            <w:vMerge/>
            <w:shd w:val="clear" w:color="auto" w:fill="auto"/>
          </w:tcPr>
          <w:p w14:paraId="16624548" w14:textId="77777777" w:rsidR="00773A07" w:rsidRPr="00861957" w:rsidRDefault="00773A07" w:rsidP="005B750D">
            <w:pPr>
              <w:pStyle w:val="PlainText"/>
              <w:jc w:val="both"/>
              <w:rPr>
                <w:rFonts w:ascii="Times New Roman" w:hAnsi="Times New Roman" w:cs="Times New Roman"/>
                <w:b/>
                <w:sz w:val="24"/>
                <w:szCs w:val="24"/>
                <w:lang w:val="en-GB"/>
              </w:rPr>
            </w:pPr>
          </w:p>
        </w:tc>
        <w:tc>
          <w:tcPr>
            <w:tcW w:w="3969" w:type="dxa"/>
            <w:shd w:val="clear" w:color="auto" w:fill="auto"/>
          </w:tcPr>
          <w:p w14:paraId="53089D2B" w14:textId="77777777" w:rsidR="00773A07" w:rsidRPr="00861957" w:rsidRDefault="00773A07" w:rsidP="005B750D">
            <w:pPr>
              <w:rPr>
                <w:highlight w:val="yellow"/>
              </w:rPr>
            </w:pPr>
            <w:r w:rsidRPr="00861957">
              <w:rPr>
                <w:b/>
              </w:rPr>
              <w:t>Indicator 2.1.7.</w:t>
            </w:r>
            <w:r w:rsidRPr="00861957">
              <w:rPr>
                <w:b/>
              </w:rPr>
              <w:br/>
            </w:r>
            <w:r w:rsidRPr="00861957">
              <w:t>Contribution of SMEs to GDP</w:t>
            </w:r>
            <w:r w:rsidRPr="00861957">
              <w:br/>
            </w:r>
            <w:r w:rsidRPr="00861957">
              <w:rPr>
                <w:b/>
              </w:rPr>
              <w:t>Baseline:</w:t>
            </w:r>
            <w:r w:rsidRPr="00861957">
              <w:t xml:space="preserve"> 22.3% (2013)</w:t>
            </w:r>
            <w:r w:rsidRPr="00861957">
              <w:br/>
            </w:r>
            <w:r w:rsidRPr="00861957">
              <w:rPr>
                <w:b/>
              </w:rPr>
              <w:t>Target</w:t>
            </w:r>
            <w:r w:rsidRPr="00861957">
              <w:t>: 37% (2020)</w:t>
            </w:r>
          </w:p>
        </w:tc>
        <w:tc>
          <w:tcPr>
            <w:tcW w:w="1984" w:type="dxa"/>
            <w:shd w:val="clear" w:color="auto" w:fill="auto"/>
          </w:tcPr>
          <w:p w14:paraId="0C825570" w14:textId="77777777" w:rsidR="00773A07" w:rsidRPr="00861957" w:rsidRDefault="00773A07" w:rsidP="005B750D">
            <w:r w:rsidRPr="00861957">
              <w:t>National Statistical Committee</w:t>
            </w:r>
          </w:p>
        </w:tc>
        <w:tc>
          <w:tcPr>
            <w:tcW w:w="3686" w:type="dxa"/>
            <w:vMerge/>
            <w:shd w:val="clear" w:color="auto" w:fill="auto"/>
          </w:tcPr>
          <w:p w14:paraId="7F1462DB" w14:textId="77777777" w:rsidR="00773A07" w:rsidRPr="00861957" w:rsidRDefault="00773A07" w:rsidP="005B750D">
            <w:pPr>
              <w:rPr>
                <w:b/>
                <w:color w:val="000000"/>
              </w:rPr>
            </w:pPr>
          </w:p>
        </w:tc>
        <w:tc>
          <w:tcPr>
            <w:tcW w:w="2268" w:type="dxa"/>
          </w:tcPr>
          <w:p w14:paraId="4C215C1A" w14:textId="77777777" w:rsidR="00773A07" w:rsidRPr="00861957" w:rsidRDefault="007F5596" w:rsidP="005B750D">
            <w:r w:rsidRPr="00861957">
              <w:t>Ministry of Economy</w:t>
            </w:r>
          </w:p>
        </w:tc>
        <w:tc>
          <w:tcPr>
            <w:tcW w:w="1842" w:type="dxa"/>
            <w:vMerge/>
          </w:tcPr>
          <w:p w14:paraId="36D7248B" w14:textId="77777777" w:rsidR="00773A07" w:rsidRPr="00861957" w:rsidRDefault="00773A07" w:rsidP="005B750D">
            <w:pPr>
              <w:tabs>
                <w:tab w:val="left" w:pos="3849"/>
              </w:tabs>
              <w:rPr>
                <w:b/>
              </w:rPr>
            </w:pPr>
          </w:p>
        </w:tc>
      </w:tr>
    </w:tbl>
    <w:p w14:paraId="2A93ACB1" w14:textId="398616CB" w:rsidR="004D6E77" w:rsidRPr="00861957" w:rsidRDefault="00FC76FF" w:rsidP="00FC76FF">
      <w:pPr>
        <w:pStyle w:val="136"/>
        <w:spacing w:before="480"/>
        <w:rPr>
          <w:lang w:val="en-GB"/>
        </w:rPr>
      </w:pPr>
      <w:bookmarkStart w:id="42" w:name="_Toc405745125"/>
      <w:bookmarkStart w:id="43" w:name="_Toc412921086"/>
      <w:r w:rsidRPr="00861957">
        <w:rPr>
          <w:color w:val="0070C0"/>
          <w:lang w:val="en-GB"/>
        </w:rPr>
        <w:t xml:space="preserve">3. National Priorities in the Thematic Area ‘Environmental Protection and Sustainable Environmental Management Based on the </w:t>
      </w:r>
      <w:r w:rsidR="00761278" w:rsidRPr="00861957">
        <w:rPr>
          <w:color w:val="0070C0"/>
          <w:lang w:val="en-GB"/>
        </w:rPr>
        <w:t xml:space="preserve">Principles of </w:t>
      </w:r>
      <w:r w:rsidRPr="00861957">
        <w:rPr>
          <w:color w:val="0070C0"/>
          <w:lang w:val="en-GB"/>
        </w:rPr>
        <w:t>Green Economy’</w:t>
      </w:r>
      <w:bookmarkEnd w:id="42"/>
      <w:bookmarkEnd w:id="43"/>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969"/>
        <w:gridCol w:w="1984"/>
        <w:gridCol w:w="3686"/>
        <w:gridCol w:w="2126"/>
        <w:gridCol w:w="1984"/>
      </w:tblGrid>
      <w:tr w:rsidR="00BD6FDD" w:rsidRPr="00861957" w14:paraId="03741701" w14:textId="77777777" w:rsidTr="00750809">
        <w:trPr>
          <w:trHeight w:val="20"/>
          <w:tblHeader/>
        </w:trPr>
        <w:tc>
          <w:tcPr>
            <w:tcW w:w="2127" w:type="dxa"/>
            <w:shd w:val="clear" w:color="auto" w:fill="auto"/>
            <w:vAlign w:val="center"/>
          </w:tcPr>
          <w:p w14:paraId="7E54B925" w14:textId="77777777" w:rsidR="00BD6FDD" w:rsidRPr="00861957" w:rsidRDefault="00BD6FDD" w:rsidP="005B750D">
            <w:pPr>
              <w:jc w:val="center"/>
              <w:rPr>
                <w:b/>
                <w:bCs/>
              </w:rPr>
            </w:pPr>
            <w:bookmarkStart w:id="44" w:name="_Toc405745126"/>
            <w:r w:rsidRPr="00861957">
              <w:rPr>
                <w:b/>
                <w:bCs/>
              </w:rPr>
              <w:t>Outcomes</w:t>
            </w:r>
          </w:p>
        </w:tc>
        <w:tc>
          <w:tcPr>
            <w:tcW w:w="3969" w:type="dxa"/>
            <w:shd w:val="clear" w:color="auto" w:fill="auto"/>
            <w:vAlign w:val="center"/>
          </w:tcPr>
          <w:p w14:paraId="134FBF26" w14:textId="77777777" w:rsidR="00BD6FDD" w:rsidRPr="00861957" w:rsidRDefault="00BD6FDD" w:rsidP="005B750D">
            <w:pPr>
              <w:jc w:val="center"/>
              <w:rPr>
                <w:b/>
                <w:bCs/>
              </w:rPr>
            </w:pPr>
            <w:r w:rsidRPr="00861957">
              <w:rPr>
                <w:b/>
              </w:rPr>
              <w:t>Indicators, Baselines, Targets</w:t>
            </w:r>
          </w:p>
        </w:tc>
        <w:tc>
          <w:tcPr>
            <w:tcW w:w="1984" w:type="dxa"/>
            <w:shd w:val="clear" w:color="auto" w:fill="auto"/>
            <w:vAlign w:val="center"/>
          </w:tcPr>
          <w:p w14:paraId="7564CE46" w14:textId="77777777" w:rsidR="00BD6FDD" w:rsidRPr="00861957" w:rsidRDefault="00BD6FDD" w:rsidP="005B750D">
            <w:pPr>
              <w:jc w:val="center"/>
              <w:rPr>
                <w:b/>
                <w:bCs/>
              </w:rPr>
            </w:pPr>
            <w:r w:rsidRPr="00861957">
              <w:rPr>
                <w:b/>
              </w:rPr>
              <w:t>Means of Verification</w:t>
            </w:r>
          </w:p>
        </w:tc>
        <w:tc>
          <w:tcPr>
            <w:tcW w:w="3686" w:type="dxa"/>
            <w:shd w:val="clear" w:color="auto" w:fill="auto"/>
            <w:vAlign w:val="center"/>
          </w:tcPr>
          <w:p w14:paraId="374A397C" w14:textId="77777777" w:rsidR="00BD6FDD" w:rsidRPr="00861957" w:rsidRDefault="00BD6FDD" w:rsidP="005B750D">
            <w:pPr>
              <w:tabs>
                <w:tab w:val="left" w:pos="3849"/>
              </w:tabs>
              <w:jc w:val="center"/>
              <w:rPr>
                <w:b/>
              </w:rPr>
            </w:pPr>
            <w:r w:rsidRPr="00861957">
              <w:rPr>
                <w:b/>
              </w:rPr>
              <w:t>Risks and Assumptions</w:t>
            </w:r>
          </w:p>
        </w:tc>
        <w:tc>
          <w:tcPr>
            <w:tcW w:w="2126" w:type="dxa"/>
            <w:vAlign w:val="center"/>
          </w:tcPr>
          <w:p w14:paraId="358C0CA9" w14:textId="77777777" w:rsidR="00BD6FDD" w:rsidRPr="00861957" w:rsidRDefault="00BD6FDD" w:rsidP="005B750D">
            <w:pPr>
              <w:tabs>
                <w:tab w:val="left" w:pos="3849"/>
              </w:tabs>
              <w:jc w:val="center"/>
              <w:rPr>
                <w:b/>
              </w:rPr>
            </w:pPr>
            <w:r w:rsidRPr="00861957">
              <w:rPr>
                <w:b/>
              </w:rPr>
              <w:t>Partners</w:t>
            </w:r>
          </w:p>
        </w:tc>
        <w:tc>
          <w:tcPr>
            <w:tcW w:w="1984" w:type="dxa"/>
            <w:vAlign w:val="center"/>
          </w:tcPr>
          <w:p w14:paraId="58CE753A" w14:textId="77777777" w:rsidR="00BD6FDD" w:rsidRPr="00861957" w:rsidRDefault="00BD6FDD" w:rsidP="005B750D">
            <w:pPr>
              <w:tabs>
                <w:tab w:val="left" w:pos="3849"/>
              </w:tabs>
              <w:jc w:val="center"/>
              <w:rPr>
                <w:b/>
              </w:rPr>
            </w:pPr>
            <w:r w:rsidRPr="00861957">
              <w:rPr>
                <w:b/>
              </w:rPr>
              <w:t>Indicative Resources (USD)</w:t>
            </w:r>
          </w:p>
        </w:tc>
      </w:tr>
      <w:tr w:rsidR="00A96885" w:rsidRPr="00861957" w14:paraId="00438F24" w14:textId="77777777" w:rsidTr="00750809">
        <w:trPr>
          <w:trHeight w:val="20"/>
        </w:trPr>
        <w:tc>
          <w:tcPr>
            <w:tcW w:w="2127" w:type="dxa"/>
            <w:vMerge w:val="restart"/>
            <w:shd w:val="clear" w:color="auto" w:fill="auto"/>
          </w:tcPr>
          <w:p w14:paraId="17A3282E" w14:textId="2F4FE59F" w:rsidR="00A96885" w:rsidRPr="00861957" w:rsidRDefault="00A96885" w:rsidP="00B677F9">
            <w:pPr>
              <w:pStyle w:val="PlainText"/>
              <w:jc w:val="both"/>
              <w:rPr>
                <w:rFonts w:ascii="Times New Roman" w:hAnsi="Times New Roman" w:cs="Times New Roman"/>
                <w:sz w:val="24"/>
                <w:szCs w:val="24"/>
                <w:lang w:val="en-GB"/>
              </w:rPr>
            </w:pPr>
            <w:r w:rsidRPr="00861957">
              <w:rPr>
                <w:rFonts w:ascii="Times New Roman" w:hAnsi="Times New Roman" w:cs="Times New Roman"/>
                <w:b/>
                <w:sz w:val="24"/>
                <w:szCs w:val="24"/>
                <w:lang w:val="en-GB"/>
              </w:rPr>
              <w:t>Outcome 3.1:</w:t>
            </w:r>
            <w:r w:rsidRPr="00861957">
              <w:rPr>
                <w:rFonts w:ascii="Times New Roman" w:hAnsi="Times New Roman" w:cs="Times New Roman"/>
                <w:sz w:val="24"/>
                <w:szCs w:val="24"/>
                <w:lang w:val="en-GB"/>
              </w:rPr>
              <w:t xml:space="preserve"> By 2020, policies </w:t>
            </w:r>
            <w:r w:rsidR="00386939" w:rsidRPr="00861957">
              <w:rPr>
                <w:rFonts w:ascii="Times New Roman" w:hAnsi="Times New Roman" w:cs="Times New Roman"/>
                <w:sz w:val="24"/>
                <w:szCs w:val="24"/>
                <w:lang w:val="en-GB"/>
              </w:rPr>
              <w:t xml:space="preserve">will </w:t>
            </w:r>
            <w:r w:rsidRPr="00861957">
              <w:rPr>
                <w:rFonts w:ascii="Times New Roman" w:hAnsi="Times New Roman" w:cs="Times New Roman"/>
                <w:sz w:val="24"/>
                <w:szCs w:val="24"/>
                <w:lang w:val="en-GB"/>
              </w:rPr>
              <w:lastRenderedPageBreak/>
              <w:t xml:space="preserve">have been improved and measures </w:t>
            </w:r>
            <w:r w:rsidR="00386939" w:rsidRPr="00861957">
              <w:rPr>
                <w:rFonts w:ascii="Times New Roman" w:hAnsi="Times New Roman" w:cs="Times New Roman"/>
                <w:sz w:val="24"/>
                <w:szCs w:val="24"/>
                <w:lang w:val="en-GB"/>
              </w:rPr>
              <w:t xml:space="preserve">will </w:t>
            </w:r>
            <w:r w:rsidRPr="00861957">
              <w:rPr>
                <w:rFonts w:ascii="Times New Roman" w:hAnsi="Times New Roman" w:cs="Times New Roman"/>
                <w:sz w:val="24"/>
                <w:szCs w:val="24"/>
                <w:lang w:val="en-GB"/>
              </w:rPr>
              <w:t xml:space="preserve">have been effectively implemented to increase energy efficiency and </w:t>
            </w:r>
            <w:r w:rsidR="00386939" w:rsidRPr="00861957">
              <w:rPr>
                <w:rFonts w:ascii="Times New Roman" w:hAnsi="Times New Roman" w:cs="Times New Roman"/>
                <w:sz w:val="24"/>
                <w:szCs w:val="24"/>
                <w:lang w:val="en-GB"/>
              </w:rPr>
              <w:t xml:space="preserve">the </w:t>
            </w:r>
            <w:r w:rsidRPr="00861957">
              <w:rPr>
                <w:rFonts w:ascii="Times New Roman" w:hAnsi="Times New Roman" w:cs="Times New Roman"/>
                <w:sz w:val="24"/>
                <w:szCs w:val="24"/>
                <w:lang w:val="en-GB"/>
              </w:rPr>
              <w:t xml:space="preserve">production of renewable energy, </w:t>
            </w:r>
            <w:r w:rsidR="00F23E5A" w:rsidRPr="00861957">
              <w:rPr>
                <w:rFonts w:ascii="Times New Roman" w:hAnsi="Times New Roman" w:cs="Times New Roman"/>
                <w:sz w:val="24"/>
                <w:szCs w:val="24"/>
                <w:lang w:val="en-GB"/>
              </w:rPr>
              <w:t xml:space="preserve">to </w:t>
            </w:r>
            <w:r w:rsidRPr="00861957">
              <w:rPr>
                <w:rFonts w:ascii="Times New Roman" w:hAnsi="Times New Roman" w:cs="Times New Roman"/>
                <w:sz w:val="24"/>
                <w:szCs w:val="24"/>
                <w:lang w:val="en-GB"/>
              </w:rPr>
              <w:t>protect landscape and biological diversity</w:t>
            </w:r>
            <w:r w:rsidR="00F23E5A" w:rsidRPr="00861957">
              <w:rPr>
                <w:rFonts w:ascii="Times New Roman" w:hAnsi="Times New Roman" w:cs="Times New Roman"/>
                <w:sz w:val="24"/>
                <w:szCs w:val="24"/>
                <w:lang w:val="en-GB"/>
              </w:rPr>
              <w:t>,</w:t>
            </w:r>
            <w:r w:rsidRPr="00861957">
              <w:rPr>
                <w:rFonts w:ascii="Times New Roman" w:hAnsi="Times New Roman" w:cs="Times New Roman"/>
                <w:sz w:val="24"/>
                <w:szCs w:val="24"/>
                <w:lang w:val="en-GB"/>
              </w:rPr>
              <w:t xml:space="preserve"> and </w:t>
            </w:r>
            <w:r w:rsidR="00F23E5A" w:rsidRPr="00861957">
              <w:rPr>
                <w:rFonts w:ascii="Times New Roman" w:hAnsi="Times New Roman" w:cs="Times New Roman"/>
                <w:sz w:val="24"/>
                <w:szCs w:val="24"/>
                <w:lang w:val="en-GB"/>
              </w:rPr>
              <w:t xml:space="preserve">to </w:t>
            </w:r>
            <w:r w:rsidRPr="00861957">
              <w:rPr>
                <w:rFonts w:ascii="Times New Roman" w:hAnsi="Times New Roman" w:cs="Times New Roman"/>
                <w:sz w:val="24"/>
                <w:szCs w:val="24"/>
                <w:lang w:val="en-GB"/>
              </w:rPr>
              <w:t>reduce the anthropogenic burden on the environment</w:t>
            </w:r>
          </w:p>
          <w:p w14:paraId="694923A2" w14:textId="77777777" w:rsidR="00A96885" w:rsidRPr="00861957" w:rsidRDefault="00A96885" w:rsidP="005B750D">
            <w:pPr>
              <w:rPr>
                <w:bCs/>
              </w:rPr>
            </w:pPr>
          </w:p>
          <w:p w14:paraId="35E8DD29" w14:textId="77777777" w:rsidR="00A96885" w:rsidRPr="00150457" w:rsidRDefault="00A96885" w:rsidP="0021121C">
            <w:pPr>
              <w:rPr>
                <w:b/>
                <w:bCs/>
                <w:lang w:val="es-ES"/>
              </w:rPr>
            </w:pPr>
            <w:r w:rsidRPr="00150457">
              <w:rPr>
                <w:b/>
                <w:color w:val="000000"/>
                <w:lang w:val="es-ES"/>
              </w:rPr>
              <w:t xml:space="preserve">FAO, IAEA, </w:t>
            </w:r>
            <w:r w:rsidRPr="00150457">
              <w:rPr>
                <w:b/>
                <w:bCs/>
                <w:lang w:val="es-ES"/>
              </w:rPr>
              <w:t>UNDP, UNECE, UNEP, UNESCO, UNICEF, UNIDO</w:t>
            </w:r>
          </w:p>
        </w:tc>
        <w:tc>
          <w:tcPr>
            <w:tcW w:w="3969" w:type="dxa"/>
            <w:shd w:val="clear" w:color="auto" w:fill="auto"/>
          </w:tcPr>
          <w:p w14:paraId="41794988" w14:textId="77777777" w:rsidR="00A96885" w:rsidRPr="00861957" w:rsidRDefault="00A96885" w:rsidP="005B750D">
            <w:pPr>
              <w:rPr>
                <w:color w:val="000000"/>
              </w:rPr>
            </w:pPr>
            <w:r w:rsidRPr="00861957">
              <w:rPr>
                <w:b/>
                <w:color w:val="000000"/>
              </w:rPr>
              <w:lastRenderedPageBreak/>
              <w:t>Indicator 3.1.1.</w:t>
            </w:r>
            <w:r w:rsidRPr="00861957">
              <w:rPr>
                <w:color w:val="000000"/>
              </w:rPr>
              <w:t xml:space="preserve"> Reduction of GDP energy intensity (%)</w:t>
            </w:r>
          </w:p>
          <w:p w14:paraId="6506C5DD" w14:textId="19935E3E" w:rsidR="00A96885" w:rsidRPr="00861957" w:rsidRDefault="00A96885" w:rsidP="005B750D">
            <w:pPr>
              <w:rPr>
                <w:color w:val="000000"/>
              </w:rPr>
            </w:pPr>
            <w:r w:rsidRPr="00861957">
              <w:rPr>
                <w:b/>
                <w:color w:val="000000"/>
              </w:rPr>
              <w:lastRenderedPageBreak/>
              <w:t>Baseline:</w:t>
            </w:r>
            <w:r w:rsidRPr="00861957">
              <w:rPr>
                <w:color w:val="000000"/>
              </w:rPr>
              <w:t xml:space="preserve"> 210 kg of oil equivalent/1000 USD GDP, IEA data (2012, </w:t>
            </w:r>
            <w:r w:rsidR="009B4450">
              <w:t>PPP</w:t>
            </w:r>
            <w:r w:rsidRPr="00861957">
              <w:rPr>
                <w:color w:val="000000"/>
              </w:rPr>
              <w:t xml:space="preserve"> prices 2005), </w:t>
            </w:r>
          </w:p>
          <w:p w14:paraId="4FE198DC" w14:textId="77777777" w:rsidR="00A96885" w:rsidRPr="00861957" w:rsidRDefault="00A96885" w:rsidP="005B750D">
            <w:pPr>
              <w:rPr>
                <w:color w:val="000000"/>
              </w:rPr>
            </w:pPr>
            <w:r w:rsidRPr="00861957">
              <w:rPr>
                <w:color w:val="000000"/>
              </w:rPr>
              <w:t>200 kg of oil equivalent/1000 USD GDP (2015 projection)</w:t>
            </w:r>
          </w:p>
          <w:p w14:paraId="1CB20724" w14:textId="65002795" w:rsidR="00A96885" w:rsidRPr="00861957" w:rsidRDefault="00A96885" w:rsidP="005B750D">
            <w:pPr>
              <w:rPr>
                <w:color w:val="000000"/>
              </w:rPr>
            </w:pPr>
            <w:r w:rsidRPr="00861957">
              <w:rPr>
                <w:b/>
                <w:color w:val="000000"/>
              </w:rPr>
              <w:t>Target:</w:t>
            </w:r>
            <w:r w:rsidRPr="00861957">
              <w:rPr>
                <w:color w:val="000000"/>
              </w:rPr>
              <w:t xml:space="preserve"> 160-170 kg of oil equivalent/1000 USD GDP (2020 projection</w:t>
            </w:r>
            <w:r w:rsidR="009B4450">
              <w:rPr>
                <w:color w:val="000000"/>
              </w:rPr>
              <w:t xml:space="preserve"> PPP</w:t>
            </w:r>
            <w:r w:rsidRPr="00861957">
              <w:rPr>
                <w:color w:val="000000"/>
              </w:rPr>
              <w:t xml:space="preserve"> prices 2005)</w:t>
            </w:r>
          </w:p>
          <w:p w14:paraId="74C8B409" w14:textId="77777777" w:rsidR="00A96885" w:rsidRPr="00861957" w:rsidRDefault="00A96885" w:rsidP="005B750D">
            <w:pPr>
              <w:rPr>
                <w:b/>
                <w:color w:val="000000"/>
              </w:rPr>
            </w:pPr>
          </w:p>
          <w:p w14:paraId="52AFB3CE" w14:textId="77777777" w:rsidR="00A96885" w:rsidRPr="00861957" w:rsidRDefault="00A96885" w:rsidP="005B750D">
            <w:pPr>
              <w:rPr>
                <w:b/>
              </w:rPr>
            </w:pPr>
          </w:p>
          <w:p w14:paraId="3991CD50" w14:textId="77777777" w:rsidR="00A96885" w:rsidRPr="00861957" w:rsidRDefault="00A96885" w:rsidP="005B750D">
            <w:pPr>
              <w:rPr>
                <w:b/>
              </w:rPr>
            </w:pPr>
          </w:p>
          <w:p w14:paraId="297E49FC" w14:textId="77777777" w:rsidR="00A96885" w:rsidRPr="00861957" w:rsidRDefault="00A96885" w:rsidP="00750809">
            <w:pPr>
              <w:rPr>
                <w:color w:val="000000"/>
              </w:rPr>
            </w:pPr>
          </w:p>
        </w:tc>
        <w:tc>
          <w:tcPr>
            <w:tcW w:w="1984" w:type="dxa"/>
            <w:shd w:val="clear" w:color="auto" w:fill="auto"/>
          </w:tcPr>
          <w:p w14:paraId="6CE90CCE" w14:textId="77777777" w:rsidR="00A96885" w:rsidRPr="00861957" w:rsidRDefault="00A96885" w:rsidP="005B750D">
            <w:r w:rsidRPr="00861957">
              <w:lastRenderedPageBreak/>
              <w:t xml:space="preserve">Energy Efficiency Department, </w:t>
            </w:r>
            <w:r w:rsidRPr="00861957">
              <w:lastRenderedPageBreak/>
              <w:t>National Statistical Committee</w:t>
            </w:r>
          </w:p>
        </w:tc>
        <w:tc>
          <w:tcPr>
            <w:tcW w:w="3686" w:type="dxa"/>
            <w:vMerge w:val="restart"/>
            <w:shd w:val="clear" w:color="auto" w:fill="auto"/>
          </w:tcPr>
          <w:p w14:paraId="439D26E2" w14:textId="51A5674D" w:rsidR="00A96885" w:rsidRPr="00861957" w:rsidRDefault="00A96885" w:rsidP="00B677F9">
            <w:r w:rsidRPr="00861957">
              <w:rPr>
                <w:b/>
              </w:rPr>
              <w:lastRenderedPageBreak/>
              <w:t>Risks:</w:t>
            </w:r>
            <w:r w:rsidRPr="00861957">
              <w:t xml:space="preserve"> </w:t>
            </w:r>
            <w:r w:rsidRPr="00861957">
              <w:br/>
              <w:t xml:space="preserve">High cost of energy efficiency </w:t>
            </w:r>
            <w:r w:rsidRPr="00861957">
              <w:lastRenderedPageBreak/>
              <w:t xml:space="preserve">interventions, limited potential for the development of alternative/renewable </w:t>
            </w:r>
            <w:r w:rsidR="000877CC" w:rsidRPr="00861957">
              <w:t xml:space="preserve">sources of </w:t>
            </w:r>
            <w:r w:rsidRPr="00861957">
              <w:t>energy, limited potential of budget funding</w:t>
            </w:r>
          </w:p>
        </w:tc>
        <w:tc>
          <w:tcPr>
            <w:tcW w:w="2126" w:type="dxa"/>
            <w:vMerge w:val="restart"/>
          </w:tcPr>
          <w:p w14:paraId="7EE98317" w14:textId="5178CF69" w:rsidR="00A96885" w:rsidRPr="00861957" w:rsidRDefault="00A96885" w:rsidP="000F002C">
            <w:pPr>
              <w:pStyle w:val="NoSpacing"/>
              <w:rPr>
                <w:rFonts w:ascii="Times New Roman" w:hAnsi="Times New Roman"/>
                <w:color w:val="000000"/>
                <w:spacing w:val="-4"/>
                <w:kern w:val="24"/>
                <w:sz w:val="24"/>
                <w:szCs w:val="24"/>
                <w:lang w:val="en-GB"/>
              </w:rPr>
            </w:pPr>
            <w:r w:rsidRPr="00861957">
              <w:rPr>
                <w:rFonts w:ascii="Times New Roman" w:hAnsi="Times New Roman"/>
                <w:color w:val="000000"/>
                <w:spacing w:val="-4"/>
                <w:kern w:val="24"/>
                <w:sz w:val="24"/>
                <w:szCs w:val="24"/>
                <w:lang w:val="en-GB"/>
              </w:rPr>
              <w:lastRenderedPageBreak/>
              <w:t>State bodies and other organi</w:t>
            </w:r>
            <w:r w:rsidR="000F002C" w:rsidRPr="00861957">
              <w:rPr>
                <w:rFonts w:ascii="Times New Roman" w:hAnsi="Times New Roman"/>
                <w:color w:val="000000"/>
                <w:spacing w:val="-4"/>
                <w:kern w:val="24"/>
                <w:sz w:val="24"/>
                <w:szCs w:val="24"/>
                <w:lang w:val="en-GB"/>
              </w:rPr>
              <w:t>z</w:t>
            </w:r>
            <w:r w:rsidRPr="00861957">
              <w:rPr>
                <w:rFonts w:ascii="Times New Roman" w:hAnsi="Times New Roman"/>
                <w:color w:val="000000"/>
                <w:spacing w:val="-4"/>
                <w:kern w:val="24"/>
                <w:sz w:val="24"/>
                <w:szCs w:val="24"/>
                <w:lang w:val="en-GB"/>
              </w:rPr>
              <w:t xml:space="preserve">ations, </w:t>
            </w:r>
            <w:r w:rsidRPr="00861957">
              <w:rPr>
                <w:rFonts w:ascii="Times New Roman" w:hAnsi="Times New Roman"/>
                <w:color w:val="000000"/>
                <w:spacing w:val="-4"/>
                <w:kern w:val="24"/>
                <w:sz w:val="24"/>
                <w:szCs w:val="24"/>
                <w:lang w:val="en-GB"/>
              </w:rPr>
              <w:lastRenderedPageBreak/>
              <w:t>enterprises, scientific and research institutions, NGOs</w:t>
            </w:r>
            <w:r w:rsidRPr="00861957">
              <w:rPr>
                <w:rFonts w:ascii="Times New Roman" w:hAnsi="Times New Roman"/>
                <w:sz w:val="24"/>
                <w:szCs w:val="24"/>
                <w:lang w:val="en-GB"/>
              </w:rPr>
              <w:t xml:space="preserve"> </w:t>
            </w:r>
          </w:p>
        </w:tc>
        <w:tc>
          <w:tcPr>
            <w:tcW w:w="1984" w:type="dxa"/>
            <w:vMerge w:val="restart"/>
          </w:tcPr>
          <w:p w14:paraId="54126596" w14:textId="77777777" w:rsidR="0069379D" w:rsidRPr="00861957" w:rsidRDefault="0069379D" w:rsidP="0069379D">
            <w:pPr>
              <w:tabs>
                <w:tab w:val="left" w:pos="3849"/>
              </w:tabs>
              <w:rPr>
                <w:b/>
              </w:rPr>
            </w:pPr>
            <w:r w:rsidRPr="00861957">
              <w:rPr>
                <w:b/>
              </w:rPr>
              <w:lastRenderedPageBreak/>
              <w:t>UNDP -</w:t>
            </w:r>
            <w:r w:rsidRPr="00861957">
              <w:rPr>
                <w:b/>
              </w:rPr>
              <w:br/>
              <w:t>$</w:t>
            </w:r>
            <w:r>
              <w:rPr>
                <w:b/>
              </w:rPr>
              <w:t>13</w:t>
            </w:r>
            <w:r w:rsidRPr="00861957">
              <w:rPr>
                <w:b/>
              </w:rPr>
              <w:t>,</w:t>
            </w:r>
            <w:r>
              <w:rPr>
                <w:b/>
              </w:rPr>
              <w:t>124</w:t>
            </w:r>
            <w:r w:rsidRPr="00861957">
              <w:rPr>
                <w:b/>
              </w:rPr>
              <w:t xml:space="preserve">,000; </w:t>
            </w:r>
            <w:r w:rsidRPr="00861957">
              <w:rPr>
                <w:b/>
              </w:rPr>
              <w:lastRenderedPageBreak/>
              <w:t>$</w:t>
            </w:r>
            <w:r>
              <w:rPr>
                <w:b/>
              </w:rPr>
              <w:t>21</w:t>
            </w:r>
            <w:r w:rsidRPr="00861957">
              <w:rPr>
                <w:b/>
              </w:rPr>
              <w:t>,</w:t>
            </w:r>
            <w:r>
              <w:rPr>
                <w:b/>
              </w:rPr>
              <w:t>7</w:t>
            </w:r>
            <w:r w:rsidRPr="00861957">
              <w:rPr>
                <w:b/>
              </w:rPr>
              <w:t>00,000 (to be mobilized)</w:t>
            </w:r>
          </w:p>
          <w:p w14:paraId="286CEC41" w14:textId="77777777" w:rsidR="00A96885" w:rsidRPr="00861957" w:rsidRDefault="00A96885" w:rsidP="005B750D">
            <w:pPr>
              <w:tabs>
                <w:tab w:val="left" w:pos="3849"/>
              </w:tabs>
              <w:rPr>
                <w:b/>
              </w:rPr>
            </w:pPr>
          </w:p>
          <w:p w14:paraId="75B03999" w14:textId="7822AAD8" w:rsidR="00A96885" w:rsidRPr="00861957" w:rsidRDefault="00A96885" w:rsidP="005B750D">
            <w:pPr>
              <w:tabs>
                <w:tab w:val="left" w:pos="3849"/>
              </w:tabs>
              <w:rPr>
                <w:b/>
              </w:rPr>
            </w:pPr>
            <w:r w:rsidRPr="00861957">
              <w:rPr>
                <w:b/>
              </w:rPr>
              <w:t xml:space="preserve">UNEP </w:t>
            </w:r>
            <w:r w:rsidR="00470795" w:rsidRPr="00861957">
              <w:rPr>
                <w:b/>
              </w:rPr>
              <w:t>$</w:t>
            </w:r>
            <w:r w:rsidRPr="00861957">
              <w:rPr>
                <w:b/>
              </w:rPr>
              <w:t>1,500,000 (to be mobilized)</w:t>
            </w:r>
          </w:p>
          <w:p w14:paraId="049EA76F" w14:textId="77777777" w:rsidR="00A96885" w:rsidRPr="00861957" w:rsidRDefault="00A96885" w:rsidP="005B750D">
            <w:pPr>
              <w:tabs>
                <w:tab w:val="left" w:pos="3849"/>
              </w:tabs>
              <w:rPr>
                <w:b/>
              </w:rPr>
            </w:pPr>
          </w:p>
          <w:p w14:paraId="558A02BF" w14:textId="65010F23" w:rsidR="00A96885" w:rsidRPr="00861957" w:rsidRDefault="00A96885" w:rsidP="005B750D">
            <w:pPr>
              <w:rPr>
                <w:b/>
              </w:rPr>
            </w:pPr>
            <w:r w:rsidRPr="00861957">
              <w:rPr>
                <w:b/>
              </w:rPr>
              <w:t xml:space="preserve">UNICEF – </w:t>
            </w:r>
            <w:r w:rsidR="00470795" w:rsidRPr="00861957">
              <w:rPr>
                <w:b/>
              </w:rPr>
              <w:t>$</w:t>
            </w:r>
            <w:r w:rsidRPr="00861957">
              <w:rPr>
                <w:b/>
              </w:rPr>
              <w:t>10,000</w:t>
            </w:r>
          </w:p>
          <w:p w14:paraId="2A9846C9" w14:textId="77777777" w:rsidR="00A96885" w:rsidRPr="00861957" w:rsidRDefault="00A96885" w:rsidP="005B750D">
            <w:pPr>
              <w:rPr>
                <w:b/>
              </w:rPr>
            </w:pPr>
          </w:p>
          <w:p w14:paraId="2EE047FD" w14:textId="77777777" w:rsidR="00A96885" w:rsidRPr="00861957" w:rsidRDefault="00A96885" w:rsidP="005B750D">
            <w:pPr>
              <w:rPr>
                <w:b/>
              </w:rPr>
            </w:pPr>
            <w:r w:rsidRPr="00861957">
              <w:rPr>
                <w:b/>
              </w:rPr>
              <w:t>UNECE - $75,000</w:t>
            </w:r>
          </w:p>
          <w:p w14:paraId="6D368CE0" w14:textId="77777777" w:rsidR="00A96885" w:rsidRPr="00861957" w:rsidRDefault="00A96885" w:rsidP="005B750D">
            <w:pPr>
              <w:rPr>
                <w:b/>
              </w:rPr>
            </w:pPr>
            <w:r w:rsidRPr="00861957">
              <w:rPr>
                <w:b/>
              </w:rPr>
              <w:t>$140,000 (to be mobilized)</w:t>
            </w:r>
          </w:p>
          <w:p w14:paraId="60C750A7" w14:textId="77777777" w:rsidR="00A96885" w:rsidRPr="00861957" w:rsidRDefault="00A96885" w:rsidP="005B750D"/>
          <w:p w14:paraId="596E0A6E" w14:textId="77777777" w:rsidR="00A96885" w:rsidRPr="00861957" w:rsidRDefault="00A96885" w:rsidP="005B750D">
            <w:pPr>
              <w:rPr>
                <w:b/>
              </w:rPr>
            </w:pPr>
            <w:r w:rsidRPr="00861957">
              <w:rPr>
                <w:b/>
              </w:rPr>
              <w:t>IAEA</w:t>
            </w:r>
          </w:p>
          <w:p w14:paraId="6D931026" w14:textId="74AE967E" w:rsidR="00A96885" w:rsidRPr="00861957" w:rsidRDefault="00470795" w:rsidP="005B750D">
            <w:pPr>
              <w:rPr>
                <w:b/>
              </w:rPr>
            </w:pPr>
            <w:r w:rsidRPr="00861957">
              <w:rPr>
                <w:b/>
              </w:rPr>
              <w:t>$</w:t>
            </w:r>
            <w:r w:rsidR="00A96885" w:rsidRPr="00861957">
              <w:rPr>
                <w:b/>
              </w:rPr>
              <w:t>1,250,000</w:t>
            </w:r>
          </w:p>
          <w:p w14:paraId="3DDF7B1D" w14:textId="77777777" w:rsidR="00A96885" w:rsidRPr="00861957" w:rsidRDefault="00A96885" w:rsidP="005B750D">
            <w:pPr>
              <w:rPr>
                <w:b/>
              </w:rPr>
            </w:pPr>
          </w:p>
          <w:p w14:paraId="4182E45F" w14:textId="77777777" w:rsidR="00A96885" w:rsidRPr="00861957" w:rsidRDefault="00A96885" w:rsidP="00C6761A">
            <w:pPr>
              <w:rPr>
                <w:b/>
              </w:rPr>
            </w:pPr>
            <w:r w:rsidRPr="00861957">
              <w:rPr>
                <w:b/>
              </w:rPr>
              <w:t>FAO - $495,000 (to be mobilized)</w:t>
            </w:r>
          </w:p>
          <w:p w14:paraId="557FEC5F" w14:textId="77777777" w:rsidR="00A96885" w:rsidRPr="00861957" w:rsidRDefault="00A96885" w:rsidP="00C6761A">
            <w:pPr>
              <w:rPr>
                <w:b/>
              </w:rPr>
            </w:pPr>
          </w:p>
          <w:p w14:paraId="279BECE1" w14:textId="77777777" w:rsidR="00A96885" w:rsidRPr="00861957" w:rsidRDefault="00A96885" w:rsidP="00C6761A">
            <w:pPr>
              <w:rPr>
                <w:b/>
              </w:rPr>
            </w:pPr>
            <w:r w:rsidRPr="00861957">
              <w:rPr>
                <w:b/>
              </w:rPr>
              <w:t>UNIDO - $2,000,000 (to be mobilized)</w:t>
            </w:r>
          </w:p>
          <w:p w14:paraId="23DB2A96" w14:textId="77777777" w:rsidR="00A96885" w:rsidRPr="00861957" w:rsidRDefault="00A96885" w:rsidP="00C6761A">
            <w:pPr>
              <w:rPr>
                <w:b/>
              </w:rPr>
            </w:pPr>
          </w:p>
          <w:p w14:paraId="29FD94D6" w14:textId="22B9D234" w:rsidR="00A96885" w:rsidRPr="00861957" w:rsidRDefault="00A96885" w:rsidP="00C6761A">
            <w:pPr>
              <w:rPr>
                <w:b/>
              </w:rPr>
            </w:pPr>
            <w:r w:rsidRPr="00861957">
              <w:rPr>
                <w:b/>
              </w:rPr>
              <w:t>UNESCO - $100,000 (to be mobili</w:t>
            </w:r>
            <w:r w:rsidR="000F002C" w:rsidRPr="00861957">
              <w:rPr>
                <w:b/>
              </w:rPr>
              <w:t>z</w:t>
            </w:r>
            <w:r w:rsidRPr="00861957">
              <w:rPr>
                <w:b/>
              </w:rPr>
              <w:t>ed)</w:t>
            </w:r>
          </w:p>
        </w:tc>
      </w:tr>
      <w:tr w:rsidR="00A96885" w:rsidRPr="00861957" w14:paraId="67BA2D49" w14:textId="77777777" w:rsidTr="00750809">
        <w:trPr>
          <w:trHeight w:val="20"/>
        </w:trPr>
        <w:tc>
          <w:tcPr>
            <w:tcW w:w="2127" w:type="dxa"/>
            <w:vMerge/>
            <w:shd w:val="clear" w:color="auto" w:fill="auto"/>
          </w:tcPr>
          <w:p w14:paraId="3AD710CD" w14:textId="77777777" w:rsidR="00A96885" w:rsidRPr="00861957" w:rsidRDefault="00A96885" w:rsidP="005B750D">
            <w:pPr>
              <w:pStyle w:val="PlainText"/>
              <w:jc w:val="both"/>
              <w:rPr>
                <w:rFonts w:ascii="Times New Roman" w:hAnsi="Times New Roman" w:cs="Times New Roman"/>
                <w:b/>
                <w:sz w:val="24"/>
                <w:szCs w:val="24"/>
                <w:lang w:val="en-GB"/>
              </w:rPr>
            </w:pPr>
          </w:p>
        </w:tc>
        <w:tc>
          <w:tcPr>
            <w:tcW w:w="3969" w:type="dxa"/>
            <w:shd w:val="clear" w:color="auto" w:fill="auto"/>
          </w:tcPr>
          <w:p w14:paraId="67AC4F34" w14:textId="4DC1CD50" w:rsidR="00A96885" w:rsidRPr="00CB7407" w:rsidRDefault="00A96885" w:rsidP="00750809">
            <w:r w:rsidRPr="00CB7407">
              <w:rPr>
                <w:b/>
              </w:rPr>
              <w:t>Indicator 3.1.2.</w:t>
            </w:r>
            <w:r w:rsidRPr="00CB7407">
              <w:t xml:space="preserve"> % of primary energy produced from renewable </w:t>
            </w:r>
            <w:r w:rsidR="000877CC" w:rsidRPr="00CB7407">
              <w:t xml:space="preserve">sources of </w:t>
            </w:r>
            <w:r w:rsidRPr="00CB7407">
              <w:t xml:space="preserve">energy in the total amount of energy consumed. </w:t>
            </w:r>
          </w:p>
          <w:p w14:paraId="58677819" w14:textId="77777777" w:rsidR="00A96885" w:rsidRPr="00CB7407" w:rsidRDefault="00A96885" w:rsidP="00750809">
            <w:pPr>
              <w:rPr>
                <w:b/>
              </w:rPr>
            </w:pPr>
            <w:r w:rsidRPr="00CB7407">
              <w:rPr>
                <w:b/>
              </w:rPr>
              <w:t>Baseline:</w:t>
            </w:r>
          </w:p>
          <w:p w14:paraId="14773ABD" w14:textId="77777777" w:rsidR="00A96885" w:rsidRPr="00CB7407" w:rsidRDefault="00A96885" w:rsidP="00750809">
            <w:r w:rsidRPr="00CB7407">
              <w:t>5%  (2010),</w:t>
            </w:r>
          </w:p>
          <w:p w14:paraId="3D152E77" w14:textId="77777777" w:rsidR="00A96885" w:rsidRPr="00CB7407" w:rsidRDefault="00A96885" w:rsidP="005B750D">
            <w:pPr>
              <w:rPr>
                <w:b/>
              </w:rPr>
            </w:pPr>
            <w:r w:rsidRPr="00CB7407">
              <w:t>5.5% (2015 projection)</w:t>
            </w:r>
            <w:r w:rsidRPr="00CB7407">
              <w:br/>
            </w:r>
            <w:r w:rsidRPr="00CB7407">
              <w:rPr>
                <w:b/>
              </w:rPr>
              <w:t>Target:</w:t>
            </w:r>
            <w:r w:rsidRPr="00CB7407">
              <w:t xml:space="preserve"> 6 % (2020)</w:t>
            </w:r>
          </w:p>
        </w:tc>
        <w:tc>
          <w:tcPr>
            <w:tcW w:w="1984" w:type="dxa"/>
            <w:shd w:val="clear" w:color="auto" w:fill="auto"/>
          </w:tcPr>
          <w:p w14:paraId="70A461D8" w14:textId="77777777" w:rsidR="00A96885" w:rsidRPr="00CB7407" w:rsidRDefault="00A96885" w:rsidP="005B750D">
            <w:r w:rsidRPr="00CB7407">
              <w:t>Energy Efficiency Department, National Statistical Committee</w:t>
            </w:r>
          </w:p>
        </w:tc>
        <w:tc>
          <w:tcPr>
            <w:tcW w:w="3686" w:type="dxa"/>
            <w:vMerge/>
            <w:shd w:val="clear" w:color="auto" w:fill="auto"/>
          </w:tcPr>
          <w:p w14:paraId="6D4A9AC5" w14:textId="77777777" w:rsidR="00A96885" w:rsidRPr="00CB7407" w:rsidRDefault="00A96885" w:rsidP="005B750D">
            <w:pPr>
              <w:rPr>
                <w:b/>
              </w:rPr>
            </w:pPr>
          </w:p>
        </w:tc>
        <w:tc>
          <w:tcPr>
            <w:tcW w:w="2126" w:type="dxa"/>
            <w:vMerge/>
          </w:tcPr>
          <w:p w14:paraId="622068C8" w14:textId="77777777" w:rsidR="00A96885" w:rsidRPr="00861957" w:rsidRDefault="00A96885" w:rsidP="005B750D">
            <w:pPr>
              <w:pStyle w:val="NoSpacing"/>
              <w:rPr>
                <w:rFonts w:ascii="Times New Roman" w:hAnsi="Times New Roman"/>
                <w:sz w:val="24"/>
                <w:szCs w:val="24"/>
                <w:lang w:val="en-GB"/>
              </w:rPr>
            </w:pPr>
          </w:p>
        </w:tc>
        <w:tc>
          <w:tcPr>
            <w:tcW w:w="1984" w:type="dxa"/>
            <w:vMerge/>
          </w:tcPr>
          <w:p w14:paraId="1060AC2E" w14:textId="77777777" w:rsidR="00A96885" w:rsidRPr="00861957" w:rsidRDefault="00A96885" w:rsidP="005B750D">
            <w:pPr>
              <w:tabs>
                <w:tab w:val="left" w:pos="3849"/>
              </w:tabs>
              <w:rPr>
                <w:b/>
              </w:rPr>
            </w:pPr>
          </w:p>
        </w:tc>
      </w:tr>
      <w:tr w:rsidR="00A96885" w:rsidRPr="00861957" w14:paraId="419263F4" w14:textId="77777777" w:rsidTr="00750809">
        <w:trPr>
          <w:trHeight w:val="20"/>
        </w:trPr>
        <w:tc>
          <w:tcPr>
            <w:tcW w:w="2127" w:type="dxa"/>
            <w:vMerge/>
            <w:shd w:val="clear" w:color="auto" w:fill="auto"/>
          </w:tcPr>
          <w:p w14:paraId="6C683BC8" w14:textId="77777777" w:rsidR="00A96885" w:rsidRPr="00861957" w:rsidRDefault="00A96885" w:rsidP="005B750D">
            <w:pPr>
              <w:pStyle w:val="PlainText"/>
              <w:jc w:val="both"/>
              <w:rPr>
                <w:rFonts w:ascii="Times New Roman" w:hAnsi="Times New Roman" w:cs="Times New Roman"/>
                <w:b/>
                <w:sz w:val="24"/>
                <w:szCs w:val="24"/>
                <w:lang w:val="en-GB"/>
              </w:rPr>
            </w:pPr>
          </w:p>
        </w:tc>
        <w:tc>
          <w:tcPr>
            <w:tcW w:w="3969" w:type="dxa"/>
            <w:shd w:val="clear" w:color="auto" w:fill="auto"/>
          </w:tcPr>
          <w:p w14:paraId="75CA67EE" w14:textId="36319177" w:rsidR="00A96885" w:rsidRPr="00CB7407" w:rsidRDefault="00A96885" w:rsidP="00750809">
            <w:r w:rsidRPr="00CB7407">
              <w:rPr>
                <w:b/>
              </w:rPr>
              <w:t>Indicator 3.1.3.</w:t>
            </w:r>
            <w:r w:rsidRPr="00CB7407">
              <w:t xml:space="preserve"> Ton</w:t>
            </w:r>
            <w:r w:rsidR="00B677F9" w:rsidRPr="00CB7407">
              <w:t>ne</w:t>
            </w:r>
            <w:r w:rsidRPr="00CB7407">
              <w:t>s of pollutants discharged into the atmosphere (ton</w:t>
            </w:r>
            <w:r w:rsidR="00B677F9" w:rsidRPr="00CB7407">
              <w:t>ne</w:t>
            </w:r>
            <w:r w:rsidRPr="00CB7407">
              <w:t>s per square kilometre)</w:t>
            </w:r>
          </w:p>
          <w:p w14:paraId="71021476" w14:textId="26A642D2" w:rsidR="00A96885" w:rsidRPr="00CB7407" w:rsidRDefault="00A96885" w:rsidP="00750809">
            <w:r w:rsidRPr="00CB7407">
              <w:rPr>
                <w:b/>
              </w:rPr>
              <w:t>Baseline:</w:t>
            </w:r>
            <w:r w:rsidRPr="00CB7407">
              <w:t xml:space="preserve"> 6</w:t>
            </w:r>
            <w:r w:rsidR="00B677F9" w:rsidRPr="00CB7407">
              <w:t>.</w:t>
            </w:r>
            <w:r w:rsidRPr="00CB7407">
              <w:t>62 ton</w:t>
            </w:r>
            <w:r w:rsidR="00B677F9" w:rsidRPr="00CB7407">
              <w:t>ne</w:t>
            </w:r>
            <w:r w:rsidRPr="00CB7407">
              <w:t>s/km</w:t>
            </w:r>
            <w:r w:rsidRPr="00CB7407">
              <w:rPr>
                <w:vertAlign w:val="superscript"/>
              </w:rPr>
              <w:t>2</w:t>
            </w:r>
            <w:r w:rsidRPr="00CB7407">
              <w:t xml:space="preserve"> (2013)</w:t>
            </w:r>
          </w:p>
          <w:p w14:paraId="77D7EE92" w14:textId="535E3BCB" w:rsidR="00A96885" w:rsidRPr="00CB7407" w:rsidRDefault="00A96885" w:rsidP="005B750D">
            <w:r w:rsidRPr="00CB7407">
              <w:rPr>
                <w:b/>
              </w:rPr>
              <w:t>Target</w:t>
            </w:r>
            <w:r w:rsidRPr="00CB7407">
              <w:t>: 6</w:t>
            </w:r>
            <w:r w:rsidR="00B677F9" w:rsidRPr="00CB7407">
              <w:t>.</w:t>
            </w:r>
            <w:r w:rsidRPr="00CB7407">
              <w:t>49 ton</w:t>
            </w:r>
            <w:r w:rsidR="00B677F9" w:rsidRPr="00CB7407">
              <w:t>ne</w:t>
            </w:r>
            <w:r w:rsidRPr="00CB7407">
              <w:t>s/km</w:t>
            </w:r>
            <w:r w:rsidRPr="00CB7407">
              <w:rPr>
                <w:vertAlign w:val="superscript"/>
              </w:rPr>
              <w:t>2</w:t>
            </w:r>
            <w:r w:rsidRPr="00CB7407">
              <w:t xml:space="preserve"> (2020)</w:t>
            </w:r>
          </w:p>
        </w:tc>
        <w:tc>
          <w:tcPr>
            <w:tcW w:w="1984" w:type="dxa"/>
            <w:shd w:val="clear" w:color="auto" w:fill="auto"/>
          </w:tcPr>
          <w:p w14:paraId="31E8530C" w14:textId="77777777" w:rsidR="00A96885" w:rsidRPr="00CB7407" w:rsidRDefault="00A96885" w:rsidP="005B750D">
            <w:r w:rsidRPr="00CB7407">
              <w:t>National Statistical Committee, Ministry of Natural Resources and Environmental Protection</w:t>
            </w:r>
          </w:p>
        </w:tc>
        <w:tc>
          <w:tcPr>
            <w:tcW w:w="3686" w:type="dxa"/>
            <w:vMerge w:val="restart"/>
            <w:shd w:val="clear" w:color="auto" w:fill="auto"/>
          </w:tcPr>
          <w:p w14:paraId="23B78193" w14:textId="79720C08" w:rsidR="00A96885" w:rsidRPr="00CB7407" w:rsidRDefault="00A96885" w:rsidP="00B677F9">
            <w:r w:rsidRPr="00CB7407">
              <w:rPr>
                <w:b/>
              </w:rPr>
              <w:t>Assumptions:</w:t>
            </w:r>
            <w:r w:rsidRPr="00CB7407">
              <w:br/>
            </w:r>
            <w:r w:rsidR="006E520E" w:rsidRPr="00CB7407">
              <w:t>The ‘</w:t>
            </w:r>
            <w:r w:rsidRPr="00CB7407">
              <w:t>Green Economy in Belarus</w:t>
            </w:r>
            <w:r w:rsidR="006E520E" w:rsidRPr="00CB7407">
              <w:t>’</w:t>
            </w:r>
            <w:r w:rsidRPr="00CB7407">
              <w:t xml:space="preserve"> project will be implemented</w:t>
            </w:r>
            <w:r w:rsidR="00B677F9" w:rsidRPr="00CB7407">
              <w:t>,</w:t>
            </w:r>
            <w:r w:rsidRPr="00CB7407">
              <w:t xml:space="preserve"> promoting economic development on the basis of green economy mechanisms. </w:t>
            </w:r>
            <w:r w:rsidR="00B677F9" w:rsidRPr="00CB7407">
              <w:t xml:space="preserve">A </w:t>
            </w:r>
            <w:r w:rsidRPr="00CB7407">
              <w:t>Carbon Reduction Strategy for the Transport Sector will be adopted by 2020.</w:t>
            </w:r>
            <w:r w:rsidR="00470795" w:rsidRPr="00CB7407">
              <w:t xml:space="preserve"> </w:t>
            </w:r>
            <w:r w:rsidRPr="00CB7407">
              <w:t xml:space="preserve"> </w:t>
            </w:r>
            <w:r w:rsidR="00B677F9" w:rsidRPr="00CB7407">
              <w:t>P</w:t>
            </w:r>
            <w:r w:rsidR="00470795" w:rsidRPr="00CB7407">
              <w:t xml:space="preserve">rojects on </w:t>
            </w:r>
            <w:r w:rsidR="00B677F9" w:rsidRPr="00CB7407">
              <w:t xml:space="preserve">the </w:t>
            </w:r>
            <w:r w:rsidR="00470795" w:rsidRPr="00CB7407">
              <w:t xml:space="preserve">preservation of biological and landscape diversity, protection and rational use of swamps and lands </w:t>
            </w:r>
            <w:r w:rsidR="00B677F9" w:rsidRPr="00CB7407">
              <w:t>are implemented</w:t>
            </w:r>
            <w:r w:rsidR="00470795" w:rsidRPr="00CB7407">
              <w:t xml:space="preserve">. </w:t>
            </w:r>
            <w:r w:rsidRPr="00CB7407">
              <w:t xml:space="preserve">Implementation of projects targeting a substantial use of chemicals </w:t>
            </w:r>
            <w:r w:rsidR="00B677F9" w:rsidRPr="00CB7407">
              <w:t xml:space="preserve">is </w:t>
            </w:r>
            <w:r w:rsidRPr="00CB7407">
              <w:t xml:space="preserve">ensured. </w:t>
            </w:r>
            <w:r w:rsidR="00B677F9" w:rsidRPr="00CB7407">
              <w:t>The c</w:t>
            </w:r>
            <w:r w:rsidRPr="00CB7407">
              <w:t xml:space="preserve">ountries </w:t>
            </w:r>
            <w:r w:rsidRPr="00CB7407">
              <w:lastRenderedPageBreak/>
              <w:t>sharing trans</w:t>
            </w:r>
            <w:r w:rsidR="00861957" w:rsidRPr="00CB7407">
              <w:t>-</w:t>
            </w:r>
            <w:r w:rsidRPr="00CB7407">
              <w:t xml:space="preserve">boundary basins with Belarus (Latvia, Lithuania, Poland, </w:t>
            </w:r>
            <w:r w:rsidR="00B677F9" w:rsidRPr="00CB7407">
              <w:t xml:space="preserve">the </w:t>
            </w:r>
            <w:r w:rsidRPr="00CB7407">
              <w:t>Russian Federation and Ukraine) are willing to cooperate on joint water monitoring and exchange of data.</w:t>
            </w:r>
          </w:p>
          <w:p w14:paraId="51F29900" w14:textId="77777777" w:rsidR="00CB7407" w:rsidRPr="00CB7407" w:rsidRDefault="00CB7407" w:rsidP="00B677F9"/>
          <w:p w14:paraId="62E48278" w14:textId="77777777" w:rsidR="00CB7407" w:rsidRPr="00CB7407" w:rsidRDefault="00CB7407" w:rsidP="00B677F9">
            <w:pPr>
              <w:rPr>
                <w:b/>
              </w:rPr>
            </w:pPr>
            <w:r w:rsidRPr="00CB7407">
              <w:rPr>
                <w:b/>
              </w:rPr>
              <w:t xml:space="preserve">Risks: </w:t>
            </w:r>
          </w:p>
          <w:p w14:paraId="627DAE09" w14:textId="08BABECF" w:rsidR="00CB7407" w:rsidRPr="00CB7407" w:rsidRDefault="00CB7407" w:rsidP="00CB7407">
            <w:r w:rsidRPr="00CB7407">
              <w:t>Reduction in financing for environmental programmes; Sharp increase in production without adoption of purification technologies; Natural disasters and man-made emergency situations</w:t>
            </w:r>
          </w:p>
          <w:p w14:paraId="0A8A7301" w14:textId="77777777" w:rsidR="00CB7407" w:rsidRPr="00CB7407" w:rsidRDefault="00CB7407" w:rsidP="00CB7407">
            <w:r w:rsidRPr="00CB7407">
              <w:br/>
              <w:t>Conflicting interests (conservation vs. development) among different land users/owners</w:t>
            </w:r>
          </w:p>
          <w:p w14:paraId="7C6A97C5" w14:textId="77777777" w:rsidR="00CB7407" w:rsidRPr="00CB7407" w:rsidRDefault="00CB7407" w:rsidP="00CB7407"/>
          <w:p w14:paraId="40FAADDB" w14:textId="204D596E" w:rsidR="00CB7407" w:rsidRPr="00CB7407" w:rsidRDefault="00CB7407" w:rsidP="00CB7407">
            <w:r w:rsidRPr="00CB7407">
              <w:t>Shortage of qualified staff. Scaling down of information and education activities for population.</w:t>
            </w:r>
          </w:p>
        </w:tc>
        <w:tc>
          <w:tcPr>
            <w:tcW w:w="2126" w:type="dxa"/>
            <w:vMerge w:val="restart"/>
          </w:tcPr>
          <w:p w14:paraId="6BEC7602" w14:textId="77777777" w:rsidR="00A96885" w:rsidRPr="00861957" w:rsidRDefault="00A96885" w:rsidP="005B750D">
            <w:pPr>
              <w:pStyle w:val="NoSpacing"/>
              <w:rPr>
                <w:rFonts w:ascii="Times New Roman" w:hAnsi="Times New Roman"/>
                <w:sz w:val="24"/>
                <w:szCs w:val="24"/>
                <w:lang w:val="en-GB"/>
              </w:rPr>
            </w:pPr>
            <w:r w:rsidRPr="00861957">
              <w:rPr>
                <w:rFonts w:ascii="Times New Roman" w:hAnsi="Times New Roman"/>
                <w:sz w:val="24"/>
                <w:szCs w:val="24"/>
                <w:lang w:val="en-GB"/>
              </w:rPr>
              <w:lastRenderedPageBreak/>
              <w:t>Ministry of Natural Resources and Environmental Protection, Ministry of Health,</w:t>
            </w:r>
            <w:r w:rsidR="00A01A5A" w:rsidRPr="00861957">
              <w:rPr>
                <w:rFonts w:ascii="Times New Roman" w:hAnsi="Times New Roman"/>
                <w:sz w:val="24"/>
                <w:szCs w:val="24"/>
                <w:lang w:val="en-GB"/>
              </w:rPr>
              <w:t xml:space="preserve"> Ministry of Emergency Situations,</w:t>
            </w:r>
            <w:r w:rsidRPr="00861957">
              <w:rPr>
                <w:rFonts w:ascii="Times New Roman" w:hAnsi="Times New Roman"/>
                <w:sz w:val="24"/>
                <w:szCs w:val="24"/>
                <w:lang w:val="en-GB"/>
              </w:rPr>
              <w:t xml:space="preserve"> local executive bodies, Ministry of Industry, Ministry of Energy, Ministry of Transport, </w:t>
            </w:r>
            <w:r w:rsidRPr="00861957">
              <w:rPr>
                <w:rFonts w:ascii="Times New Roman" w:hAnsi="Times New Roman"/>
                <w:color w:val="000000"/>
                <w:spacing w:val="-4"/>
                <w:kern w:val="24"/>
                <w:sz w:val="24"/>
                <w:szCs w:val="24"/>
                <w:lang w:val="en-GB"/>
              </w:rPr>
              <w:t xml:space="preserve">Ministry of Architecture and </w:t>
            </w:r>
            <w:r w:rsidRPr="00861957">
              <w:rPr>
                <w:rFonts w:ascii="Times New Roman" w:hAnsi="Times New Roman"/>
                <w:color w:val="000000"/>
                <w:spacing w:val="-4"/>
                <w:kern w:val="24"/>
                <w:sz w:val="24"/>
                <w:szCs w:val="24"/>
                <w:lang w:val="en-GB"/>
              </w:rPr>
              <w:lastRenderedPageBreak/>
              <w:t>Construction</w:t>
            </w:r>
            <w:r w:rsidRPr="00861957">
              <w:rPr>
                <w:rFonts w:ascii="Times New Roman" w:hAnsi="Times New Roman"/>
                <w:sz w:val="24"/>
                <w:szCs w:val="24"/>
                <w:lang w:val="en-GB"/>
              </w:rPr>
              <w:t xml:space="preserve">, </w:t>
            </w:r>
            <w:r w:rsidRPr="00861957">
              <w:rPr>
                <w:rFonts w:ascii="Times New Roman" w:hAnsi="Times New Roman"/>
                <w:color w:val="000000"/>
                <w:spacing w:val="-4"/>
                <w:kern w:val="24"/>
                <w:sz w:val="24"/>
                <w:szCs w:val="24"/>
                <w:lang w:val="en-GB"/>
              </w:rPr>
              <w:t>Belarusian State Concern for Oil and Chemistry</w:t>
            </w:r>
          </w:p>
        </w:tc>
        <w:tc>
          <w:tcPr>
            <w:tcW w:w="1984" w:type="dxa"/>
            <w:vMerge/>
          </w:tcPr>
          <w:p w14:paraId="6978278E" w14:textId="77777777" w:rsidR="00A96885" w:rsidRPr="00861957" w:rsidRDefault="00A96885" w:rsidP="005B750D">
            <w:pPr>
              <w:tabs>
                <w:tab w:val="left" w:pos="3849"/>
              </w:tabs>
              <w:rPr>
                <w:b/>
              </w:rPr>
            </w:pPr>
          </w:p>
        </w:tc>
      </w:tr>
      <w:tr w:rsidR="00A96885" w:rsidRPr="00861957" w14:paraId="42628970" w14:textId="77777777" w:rsidTr="00750809">
        <w:trPr>
          <w:trHeight w:val="20"/>
        </w:trPr>
        <w:tc>
          <w:tcPr>
            <w:tcW w:w="2127" w:type="dxa"/>
            <w:vMerge/>
            <w:shd w:val="clear" w:color="auto" w:fill="auto"/>
          </w:tcPr>
          <w:p w14:paraId="28115AAA" w14:textId="736E1DE4" w:rsidR="00A96885" w:rsidRPr="00861957" w:rsidRDefault="00A96885" w:rsidP="005B750D">
            <w:pPr>
              <w:pStyle w:val="PlainText"/>
              <w:jc w:val="both"/>
              <w:rPr>
                <w:rFonts w:ascii="Times New Roman" w:hAnsi="Times New Roman" w:cs="Times New Roman"/>
                <w:b/>
                <w:sz w:val="24"/>
                <w:szCs w:val="24"/>
                <w:lang w:val="en-GB"/>
              </w:rPr>
            </w:pPr>
          </w:p>
        </w:tc>
        <w:tc>
          <w:tcPr>
            <w:tcW w:w="3969" w:type="dxa"/>
            <w:shd w:val="clear" w:color="auto" w:fill="auto"/>
          </w:tcPr>
          <w:p w14:paraId="3CCFE920" w14:textId="7F36C5A4" w:rsidR="00A96885" w:rsidRPr="00861957" w:rsidRDefault="00A96885" w:rsidP="005B750D">
            <w:r w:rsidRPr="00861957">
              <w:rPr>
                <w:b/>
              </w:rPr>
              <w:t xml:space="preserve">Indicator 3.1.4. </w:t>
            </w:r>
            <w:r w:rsidRPr="00861957">
              <w:rPr>
                <w:b/>
              </w:rPr>
              <w:br/>
            </w:r>
            <w:r w:rsidRPr="00861957">
              <w:t>Hazardous waste storage (1 – 3 hazard class)</w:t>
            </w:r>
            <w:r w:rsidRPr="00861957">
              <w:br/>
            </w:r>
            <w:r w:rsidRPr="00861957">
              <w:rPr>
                <w:b/>
              </w:rPr>
              <w:t>Baseline:</w:t>
            </w:r>
            <w:r w:rsidRPr="00861957">
              <w:t xml:space="preserve"> 87% hazardous waste storage (2013)</w:t>
            </w:r>
            <w:r w:rsidRPr="00861957">
              <w:br/>
            </w:r>
            <w:r w:rsidRPr="00861957">
              <w:rPr>
                <w:b/>
              </w:rPr>
              <w:t>Target</w:t>
            </w:r>
            <w:r w:rsidRPr="00861957">
              <w:t xml:space="preserve">: 65% of the figure </w:t>
            </w:r>
            <w:r w:rsidR="00B677F9" w:rsidRPr="00861957">
              <w:t>for</w:t>
            </w:r>
            <w:r w:rsidRPr="00861957">
              <w:t xml:space="preserve"> 2010 (2020)</w:t>
            </w:r>
          </w:p>
        </w:tc>
        <w:tc>
          <w:tcPr>
            <w:tcW w:w="1984" w:type="dxa"/>
            <w:shd w:val="clear" w:color="auto" w:fill="auto"/>
          </w:tcPr>
          <w:p w14:paraId="0F2F4167" w14:textId="77777777" w:rsidR="00A96885" w:rsidRPr="00861957" w:rsidRDefault="00A96885" w:rsidP="00750809">
            <w:r w:rsidRPr="00861957">
              <w:t>Ministry of Health</w:t>
            </w:r>
          </w:p>
          <w:p w14:paraId="22ECB88E" w14:textId="77777777" w:rsidR="00A96885" w:rsidRPr="00861957" w:rsidRDefault="00A96885" w:rsidP="00750809">
            <w:pPr>
              <w:ind w:firstLine="708"/>
            </w:pPr>
          </w:p>
        </w:tc>
        <w:tc>
          <w:tcPr>
            <w:tcW w:w="3686" w:type="dxa"/>
            <w:vMerge/>
            <w:shd w:val="clear" w:color="auto" w:fill="auto"/>
          </w:tcPr>
          <w:p w14:paraId="6E70D289" w14:textId="77777777" w:rsidR="00A96885" w:rsidRPr="00861957" w:rsidRDefault="00A96885" w:rsidP="005B750D">
            <w:pPr>
              <w:rPr>
                <w:b/>
              </w:rPr>
            </w:pPr>
          </w:p>
        </w:tc>
        <w:tc>
          <w:tcPr>
            <w:tcW w:w="2126" w:type="dxa"/>
            <w:vMerge/>
          </w:tcPr>
          <w:p w14:paraId="7949BF63" w14:textId="77777777" w:rsidR="00A96885" w:rsidRPr="00861957" w:rsidRDefault="00A96885" w:rsidP="005B750D">
            <w:pPr>
              <w:pStyle w:val="NoSpacing"/>
              <w:rPr>
                <w:rFonts w:ascii="Times New Roman" w:hAnsi="Times New Roman"/>
                <w:sz w:val="24"/>
                <w:szCs w:val="24"/>
                <w:lang w:val="en-GB"/>
              </w:rPr>
            </w:pPr>
          </w:p>
        </w:tc>
        <w:tc>
          <w:tcPr>
            <w:tcW w:w="1984" w:type="dxa"/>
            <w:vMerge/>
          </w:tcPr>
          <w:p w14:paraId="1D402F47" w14:textId="77777777" w:rsidR="00A96885" w:rsidRPr="00861957" w:rsidRDefault="00A96885" w:rsidP="005B750D">
            <w:pPr>
              <w:tabs>
                <w:tab w:val="left" w:pos="3849"/>
              </w:tabs>
              <w:rPr>
                <w:b/>
              </w:rPr>
            </w:pPr>
          </w:p>
        </w:tc>
      </w:tr>
      <w:tr w:rsidR="00A96885" w:rsidRPr="00861957" w14:paraId="53C73027" w14:textId="77777777" w:rsidTr="00750809">
        <w:trPr>
          <w:trHeight w:val="20"/>
        </w:trPr>
        <w:tc>
          <w:tcPr>
            <w:tcW w:w="2127" w:type="dxa"/>
            <w:vMerge/>
            <w:shd w:val="clear" w:color="auto" w:fill="auto"/>
          </w:tcPr>
          <w:p w14:paraId="593F74F0" w14:textId="77777777" w:rsidR="00A96885" w:rsidRPr="00861957" w:rsidRDefault="00A96885" w:rsidP="005B750D">
            <w:pPr>
              <w:pStyle w:val="PlainText"/>
              <w:jc w:val="both"/>
              <w:rPr>
                <w:rFonts w:ascii="Times New Roman" w:hAnsi="Times New Roman" w:cs="Times New Roman"/>
                <w:b/>
                <w:sz w:val="24"/>
                <w:szCs w:val="24"/>
                <w:lang w:val="en-GB"/>
              </w:rPr>
            </w:pPr>
          </w:p>
        </w:tc>
        <w:tc>
          <w:tcPr>
            <w:tcW w:w="3969" w:type="dxa"/>
            <w:shd w:val="clear" w:color="auto" w:fill="auto"/>
          </w:tcPr>
          <w:p w14:paraId="72760090" w14:textId="563D739D" w:rsidR="00A96885" w:rsidRPr="00861957" w:rsidRDefault="00A96885" w:rsidP="00B53880">
            <w:r w:rsidRPr="00861957">
              <w:rPr>
                <w:b/>
              </w:rPr>
              <w:t>Indicator 3.1.5.</w:t>
            </w:r>
            <w:r w:rsidRPr="00861957">
              <w:t xml:space="preserve"> Area of protected territories, % of country’s </w:t>
            </w:r>
            <w:r w:rsidR="00B677F9" w:rsidRPr="00861957">
              <w:t xml:space="preserve">total </w:t>
            </w:r>
            <w:r w:rsidRPr="00861957">
              <w:t xml:space="preserve">area </w:t>
            </w:r>
            <w:r w:rsidRPr="00861957">
              <w:rPr>
                <w:b/>
              </w:rPr>
              <w:t>Baseline</w:t>
            </w:r>
            <w:r w:rsidRPr="00861957">
              <w:t>: 8</w:t>
            </w:r>
            <w:r w:rsidR="00B677F9" w:rsidRPr="00861957">
              <w:t>.</w:t>
            </w:r>
            <w:r w:rsidR="00470795" w:rsidRPr="00861957">
              <w:t>6</w:t>
            </w:r>
            <w:r w:rsidRPr="00861957">
              <w:t>% of the country’s</w:t>
            </w:r>
            <w:r w:rsidR="00B677F9" w:rsidRPr="00861957">
              <w:t xml:space="preserve"> total </w:t>
            </w:r>
            <w:r w:rsidRPr="00861957">
              <w:t xml:space="preserve">area (1 </w:t>
            </w:r>
            <w:r w:rsidR="00470795" w:rsidRPr="00861957">
              <w:t>March</w:t>
            </w:r>
            <w:r w:rsidRPr="00861957">
              <w:t>, 201</w:t>
            </w:r>
            <w:r w:rsidR="00B53880" w:rsidRPr="00861957">
              <w:t>5</w:t>
            </w:r>
            <w:r w:rsidRPr="00861957">
              <w:t>)</w:t>
            </w:r>
            <w:r w:rsidRPr="00861957">
              <w:br/>
            </w:r>
            <w:r w:rsidRPr="00861957">
              <w:rPr>
                <w:b/>
              </w:rPr>
              <w:t>Target</w:t>
            </w:r>
            <w:r w:rsidRPr="00861957">
              <w:t xml:space="preserve">: </w:t>
            </w:r>
            <w:r w:rsidR="00470795" w:rsidRPr="00861957">
              <w:t xml:space="preserve">no less than </w:t>
            </w:r>
            <w:r w:rsidRPr="00861957">
              <w:t>8.</w:t>
            </w:r>
            <w:r w:rsidR="00470795" w:rsidRPr="00861957">
              <w:t>8</w:t>
            </w:r>
            <w:r w:rsidRPr="00861957">
              <w:t>% of the country</w:t>
            </w:r>
            <w:r w:rsidR="00B677F9" w:rsidRPr="00861957">
              <w:t>’s total</w:t>
            </w:r>
            <w:r w:rsidRPr="00861957">
              <w:t xml:space="preserve"> area (2020)</w:t>
            </w:r>
          </w:p>
        </w:tc>
        <w:tc>
          <w:tcPr>
            <w:tcW w:w="1984" w:type="dxa"/>
            <w:shd w:val="clear" w:color="auto" w:fill="auto"/>
          </w:tcPr>
          <w:p w14:paraId="34008B4D" w14:textId="24B12004" w:rsidR="00A96885" w:rsidRPr="00861957" w:rsidRDefault="00A96885" w:rsidP="00B53880">
            <w:r w:rsidRPr="00861957">
              <w:t xml:space="preserve">Ministry of Natural Resources </w:t>
            </w:r>
          </w:p>
        </w:tc>
        <w:tc>
          <w:tcPr>
            <w:tcW w:w="3686" w:type="dxa"/>
            <w:vMerge/>
            <w:shd w:val="clear" w:color="auto" w:fill="auto"/>
          </w:tcPr>
          <w:p w14:paraId="13ECCD89" w14:textId="77777777" w:rsidR="00A96885" w:rsidRPr="00861957" w:rsidRDefault="00A96885" w:rsidP="005B750D">
            <w:pPr>
              <w:rPr>
                <w:b/>
              </w:rPr>
            </w:pPr>
          </w:p>
        </w:tc>
        <w:tc>
          <w:tcPr>
            <w:tcW w:w="2126" w:type="dxa"/>
            <w:vMerge/>
          </w:tcPr>
          <w:p w14:paraId="7E95BBF6" w14:textId="77777777" w:rsidR="00A96885" w:rsidRPr="00861957" w:rsidRDefault="00A96885" w:rsidP="005B750D">
            <w:pPr>
              <w:pStyle w:val="NoSpacing"/>
              <w:rPr>
                <w:rFonts w:ascii="Times New Roman" w:hAnsi="Times New Roman"/>
                <w:sz w:val="24"/>
                <w:szCs w:val="24"/>
                <w:lang w:val="en-GB"/>
              </w:rPr>
            </w:pPr>
          </w:p>
        </w:tc>
        <w:tc>
          <w:tcPr>
            <w:tcW w:w="1984" w:type="dxa"/>
            <w:vMerge/>
          </w:tcPr>
          <w:p w14:paraId="5158B93D" w14:textId="77777777" w:rsidR="00A96885" w:rsidRPr="00861957" w:rsidRDefault="00A96885" w:rsidP="005B750D">
            <w:pPr>
              <w:tabs>
                <w:tab w:val="left" w:pos="3849"/>
              </w:tabs>
              <w:rPr>
                <w:b/>
              </w:rPr>
            </w:pPr>
          </w:p>
        </w:tc>
      </w:tr>
      <w:tr w:rsidR="00A96885" w:rsidRPr="00861957" w14:paraId="0DB0B155" w14:textId="77777777" w:rsidTr="00CB7407">
        <w:trPr>
          <w:trHeight w:val="20"/>
        </w:trPr>
        <w:tc>
          <w:tcPr>
            <w:tcW w:w="2127" w:type="dxa"/>
            <w:vMerge/>
            <w:shd w:val="clear" w:color="auto" w:fill="auto"/>
          </w:tcPr>
          <w:p w14:paraId="1B8F1D97" w14:textId="77777777" w:rsidR="00A96885" w:rsidRPr="00861957" w:rsidRDefault="00A96885" w:rsidP="005B750D">
            <w:pPr>
              <w:pStyle w:val="PlainText"/>
              <w:jc w:val="both"/>
              <w:rPr>
                <w:rFonts w:ascii="Times New Roman" w:hAnsi="Times New Roman" w:cs="Times New Roman"/>
                <w:b/>
                <w:sz w:val="24"/>
                <w:szCs w:val="24"/>
                <w:lang w:val="en-GB"/>
              </w:rPr>
            </w:pPr>
          </w:p>
        </w:tc>
        <w:tc>
          <w:tcPr>
            <w:tcW w:w="3969" w:type="dxa"/>
            <w:shd w:val="clear" w:color="auto" w:fill="auto"/>
          </w:tcPr>
          <w:p w14:paraId="5C6EE007" w14:textId="0E891FC9" w:rsidR="00A96885" w:rsidRPr="008B2AD6" w:rsidRDefault="00A96885" w:rsidP="005B750D">
            <w:pPr>
              <w:rPr>
                <w:b/>
                <w:color w:val="000000"/>
              </w:rPr>
            </w:pPr>
            <w:r w:rsidRPr="008B2AD6">
              <w:rPr>
                <w:b/>
                <w:color w:val="000000"/>
              </w:rPr>
              <w:t xml:space="preserve">Indicator 3.1.6. </w:t>
            </w:r>
            <w:r w:rsidR="00B677F9" w:rsidRPr="008B2AD6">
              <w:rPr>
                <w:color w:val="000000"/>
              </w:rPr>
              <w:t>Extent to which r</w:t>
            </w:r>
            <w:r w:rsidRPr="008B2AD6">
              <w:rPr>
                <w:color w:val="000000"/>
              </w:rPr>
              <w:t>iver basin management plans for trans</w:t>
            </w:r>
            <w:r w:rsidR="00861957" w:rsidRPr="008B2AD6">
              <w:rPr>
                <w:color w:val="000000"/>
              </w:rPr>
              <w:t>-</w:t>
            </w:r>
            <w:r w:rsidRPr="008B2AD6">
              <w:rPr>
                <w:color w:val="000000"/>
              </w:rPr>
              <w:t xml:space="preserve">boundary rivers </w:t>
            </w:r>
            <w:r w:rsidR="00B677F9" w:rsidRPr="008B2AD6">
              <w:rPr>
                <w:color w:val="000000"/>
              </w:rPr>
              <w:t xml:space="preserve">have been </w:t>
            </w:r>
            <w:r w:rsidRPr="008B2AD6">
              <w:rPr>
                <w:color w:val="000000"/>
              </w:rPr>
              <w:t>developed.</w:t>
            </w:r>
            <w:r w:rsidRPr="008B2AD6">
              <w:rPr>
                <w:color w:val="000000"/>
              </w:rPr>
              <w:br/>
            </w:r>
            <w:r w:rsidRPr="008B2AD6">
              <w:rPr>
                <w:b/>
                <w:color w:val="000000"/>
              </w:rPr>
              <w:t>Baseline</w:t>
            </w:r>
            <w:r w:rsidRPr="008B2AD6">
              <w:rPr>
                <w:color w:val="000000"/>
              </w:rPr>
              <w:t>: No basin plan developed (2014).</w:t>
            </w:r>
            <w:r w:rsidRPr="008B2AD6">
              <w:rPr>
                <w:color w:val="000000"/>
              </w:rPr>
              <w:br/>
            </w:r>
            <w:r w:rsidRPr="008B2AD6">
              <w:rPr>
                <w:b/>
                <w:color w:val="000000"/>
              </w:rPr>
              <w:t>Target</w:t>
            </w:r>
            <w:r w:rsidRPr="008B2AD6">
              <w:rPr>
                <w:color w:val="000000"/>
              </w:rPr>
              <w:t>: At least one basin plan developed.</w:t>
            </w:r>
          </w:p>
        </w:tc>
        <w:tc>
          <w:tcPr>
            <w:tcW w:w="1984" w:type="dxa"/>
            <w:shd w:val="clear" w:color="auto" w:fill="auto"/>
          </w:tcPr>
          <w:p w14:paraId="249552E6" w14:textId="77777777" w:rsidR="00A96885" w:rsidRPr="008B2AD6" w:rsidRDefault="00A96885" w:rsidP="005B750D">
            <w:r w:rsidRPr="008B2AD6">
              <w:t>Ministry of Natural Resources and Environmental Protection</w:t>
            </w:r>
          </w:p>
        </w:tc>
        <w:tc>
          <w:tcPr>
            <w:tcW w:w="3686" w:type="dxa"/>
            <w:vMerge/>
            <w:shd w:val="clear" w:color="auto" w:fill="auto"/>
          </w:tcPr>
          <w:p w14:paraId="0F99F9AE" w14:textId="77777777" w:rsidR="00A96885" w:rsidRPr="008B2AD6" w:rsidRDefault="00A96885" w:rsidP="005B750D">
            <w:pPr>
              <w:rPr>
                <w:b/>
              </w:rPr>
            </w:pPr>
          </w:p>
        </w:tc>
        <w:tc>
          <w:tcPr>
            <w:tcW w:w="2126" w:type="dxa"/>
            <w:vMerge/>
          </w:tcPr>
          <w:p w14:paraId="210C3D90" w14:textId="77777777" w:rsidR="00A96885" w:rsidRPr="008B2AD6" w:rsidRDefault="00A96885" w:rsidP="005B750D">
            <w:pPr>
              <w:pStyle w:val="NoSpacing"/>
              <w:rPr>
                <w:rFonts w:ascii="Times New Roman" w:hAnsi="Times New Roman"/>
                <w:sz w:val="24"/>
                <w:szCs w:val="24"/>
                <w:lang w:val="en-GB"/>
              </w:rPr>
            </w:pPr>
          </w:p>
        </w:tc>
        <w:tc>
          <w:tcPr>
            <w:tcW w:w="1984" w:type="dxa"/>
            <w:vMerge/>
          </w:tcPr>
          <w:p w14:paraId="6DA27D60" w14:textId="77777777" w:rsidR="00A96885" w:rsidRPr="008B2AD6" w:rsidRDefault="00A96885" w:rsidP="005B750D">
            <w:pPr>
              <w:tabs>
                <w:tab w:val="left" w:pos="3849"/>
              </w:tabs>
              <w:rPr>
                <w:b/>
              </w:rPr>
            </w:pPr>
          </w:p>
        </w:tc>
      </w:tr>
      <w:tr w:rsidR="00CB7407" w:rsidRPr="00861957" w14:paraId="69E85749" w14:textId="77777777" w:rsidTr="00750809">
        <w:trPr>
          <w:trHeight w:val="20"/>
        </w:trPr>
        <w:tc>
          <w:tcPr>
            <w:tcW w:w="2127" w:type="dxa"/>
            <w:tcBorders>
              <w:bottom w:val="single" w:sz="4" w:space="0" w:color="auto"/>
            </w:tcBorders>
            <w:shd w:val="clear" w:color="auto" w:fill="auto"/>
          </w:tcPr>
          <w:p w14:paraId="3CD7F51D" w14:textId="77777777" w:rsidR="00CB7407" w:rsidRPr="00861957" w:rsidRDefault="00CB7407" w:rsidP="005B750D">
            <w:pPr>
              <w:pStyle w:val="PlainText"/>
              <w:jc w:val="both"/>
              <w:rPr>
                <w:rFonts w:ascii="Times New Roman" w:hAnsi="Times New Roman" w:cs="Times New Roman"/>
                <w:b/>
                <w:sz w:val="24"/>
                <w:szCs w:val="24"/>
                <w:lang w:val="en-GB"/>
              </w:rPr>
            </w:pPr>
          </w:p>
        </w:tc>
        <w:tc>
          <w:tcPr>
            <w:tcW w:w="3969" w:type="dxa"/>
            <w:tcBorders>
              <w:bottom w:val="single" w:sz="4" w:space="0" w:color="auto"/>
            </w:tcBorders>
            <w:shd w:val="clear" w:color="auto" w:fill="auto"/>
          </w:tcPr>
          <w:p w14:paraId="1BB5F75A" w14:textId="58BF047B" w:rsidR="00CB7407" w:rsidRPr="008B2AD6" w:rsidRDefault="00CB7407" w:rsidP="00CB7407">
            <w:pPr>
              <w:rPr>
                <w:color w:val="000000"/>
              </w:rPr>
            </w:pPr>
            <w:r w:rsidRPr="008B2AD6">
              <w:rPr>
                <w:b/>
                <w:color w:val="000000"/>
              </w:rPr>
              <w:t xml:space="preserve">Indicator 3.1.7. </w:t>
            </w:r>
            <w:r w:rsidRPr="008B2AD6">
              <w:rPr>
                <w:color w:val="000000"/>
              </w:rPr>
              <w:t>Increase of</w:t>
            </w:r>
            <w:r w:rsidRPr="008B2AD6">
              <w:rPr>
                <w:b/>
                <w:color w:val="000000"/>
              </w:rPr>
              <w:t xml:space="preserve"> </w:t>
            </w:r>
            <w:r w:rsidRPr="008B2AD6">
              <w:rPr>
                <w:color w:val="000000"/>
              </w:rPr>
              <w:t>forest area of lands in the Republic of Belarus</w:t>
            </w:r>
          </w:p>
          <w:p w14:paraId="43E3395E" w14:textId="16AE740C" w:rsidR="00CB7407" w:rsidRPr="008B2AD6" w:rsidRDefault="00CB7407" w:rsidP="008B2AD6">
            <w:pPr>
              <w:rPr>
                <w:b/>
                <w:color w:val="000000"/>
              </w:rPr>
            </w:pPr>
            <w:r w:rsidRPr="008B2AD6">
              <w:rPr>
                <w:b/>
                <w:color w:val="000000"/>
              </w:rPr>
              <w:t>Baseline</w:t>
            </w:r>
            <w:r w:rsidRPr="008B2AD6">
              <w:rPr>
                <w:color w:val="000000"/>
              </w:rPr>
              <w:t xml:space="preserve">: 8.2 million hectares </w:t>
            </w:r>
            <w:r w:rsidRPr="008B2AD6">
              <w:rPr>
                <w:color w:val="000000"/>
              </w:rPr>
              <w:br/>
            </w:r>
            <w:r w:rsidRPr="008B2AD6">
              <w:rPr>
                <w:b/>
                <w:color w:val="000000"/>
              </w:rPr>
              <w:t>Target</w:t>
            </w:r>
            <w:r w:rsidRPr="008B2AD6">
              <w:rPr>
                <w:color w:val="000000"/>
              </w:rPr>
              <w:t>: Increase by 200 thousand hectares compared to 2015</w:t>
            </w:r>
          </w:p>
        </w:tc>
        <w:tc>
          <w:tcPr>
            <w:tcW w:w="1984" w:type="dxa"/>
            <w:tcBorders>
              <w:bottom w:val="single" w:sz="4" w:space="0" w:color="auto"/>
            </w:tcBorders>
            <w:shd w:val="clear" w:color="auto" w:fill="auto"/>
          </w:tcPr>
          <w:p w14:paraId="7F1CB132" w14:textId="051F479B" w:rsidR="00CB7407" w:rsidRPr="008B2AD6" w:rsidRDefault="00CB7407" w:rsidP="005B750D">
            <w:r w:rsidRPr="008B2AD6">
              <w:t>Ministry of Forestry</w:t>
            </w:r>
          </w:p>
        </w:tc>
        <w:tc>
          <w:tcPr>
            <w:tcW w:w="3686" w:type="dxa"/>
            <w:shd w:val="clear" w:color="auto" w:fill="auto"/>
          </w:tcPr>
          <w:p w14:paraId="0AC6DA81" w14:textId="77777777" w:rsidR="00CB7407" w:rsidRPr="008B2AD6" w:rsidRDefault="00CB7407" w:rsidP="005B750D">
            <w:pPr>
              <w:rPr>
                <w:b/>
              </w:rPr>
            </w:pPr>
          </w:p>
        </w:tc>
        <w:tc>
          <w:tcPr>
            <w:tcW w:w="2126" w:type="dxa"/>
          </w:tcPr>
          <w:p w14:paraId="09B94CC6" w14:textId="1C0AA874" w:rsidR="00CB7407" w:rsidRPr="008B2AD6" w:rsidRDefault="00CB7407" w:rsidP="005B750D">
            <w:pPr>
              <w:pStyle w:val="NoSpacing"/>
              <w:rPr>
                <w:rFonts w:ascii="Times New Roman" w:hAnsi="Times New Roman"/>
                <w:sz w:val="24"/>
                <w:szCs w:val="24"/>
                <w:lang w:val="en-GB"/>
              </w:rPr>
            </w:pPr>
            <w:r w:rsidRPr="008B2AD6">
              <w:rPr>
                <w:rFonts w:ascii="Times New Roman" w:hAnsi="Times New Roman"/>
                <w:sz w:val="24"/>
                <w:szCs w:val="24"/>
                <w:lang w:val="en-GB"/>
              </w:rPr>
              <w:t>Ministry of Forestry</w:t>
            </w:r>
          </w:p>
        </w:tc>
        <w:tc>
          <w:tcPr>
            <w:tcW w:w="1984" w:type="dxa"/>
          </w:tcPr>
          <w:p w14:paraId="24C30D77" w14:textId="45D2239A" w:rsidR="00CB7407" w:rsidRPr="008B2AD6" w:rsidRDefault="00CB7407" w:rsidP="005B750D">
            <w:pPr>
              <w:tabs>
                <w:tab w:val="left" w:pos="3849"/>
              </w:tabs>
              <w:rPr>
                <w:b/>
              </w:rPr>
            </w:pPr>
            <w:r w:rsidRPr="008B2AD6">
              <w:rPr>
                <w:b/>
              </w:rPr>
              <w:t>$720,000</w:t>
            </w:r>
            <w:r w:rsidR="00464C45">
              <w:rPr>
                <w:b/>
              </w:rPr>
              <w:t xml:space="preserve"> (To be mobilized)</w:t>
            </w:r>
          </w:p>
        </w:tc>
      </w:tr>
    </w:tbl>
    <w:p w14:paraId="4E8FBB1B" w14:textId="3D951C04" w:rsidR="00FC76FF" w:rsidRPr="00861957" w:rsidRDefault="00FC76FF" w:rsidP="00FC76FF">
      <w:pPr>
        <w:pStyle w:val="136"/>
        <w:spacing w:before="480"/>
        <w:rPr>
          <w:lang w:val="en-GB"/>
        </w:rPr>
      </w:pPr>
      <w:bookmarkStart w:id="45" w:name="_Toc412921087"/>
      <w:r w:rsidRPr="00861957">
        <w:rPr>
          <w:color w:val="0070C0"/>
          <w:lang w:val="en-GB"/>
        </w:rPr>
        <w:t xml:space="preserve">4. National Priorities in the Thematic Area ‘Sustainable </w:t>
      </w:r>
      <w:r w:rsidR="00761278" w:rsidRPr="00861957">
        <w:rPr>
          <w:color w:val="0070C0"/>
          <w:lang w:val="en-GB"/>
        </w:rPr>
        <w:t xml:space="preserve">Development of </w:t>
      </w:r>
      <w:r w:rsidRPr="00861957">
        <w:rPr>
          <w:color w:val="0070C0"/>
          <w:lang w:val="en-GB"/>
        </w:rPr>
        <w:t>Human Capital: Health, Education, Social I</w:t>
      </w:r>
      <w:r w:rsidR="004D2C62" w:rsidRPr="00861957">
        <w:rPr>
          <w:color w:val="0070C0"/>
          <w:lang w:val="en-GB"/>
        </w:rPr>
        <w:t xml:space="preserve">nclusion and </w:t>
      </w:r>
      <w:r w:rsidRPr="00861957">
        <w:rPr>
          <w:color w:val="0070C0"/>
          <w:lang w:val="en-GB"/>
        </w:rPr>
        <w:t>Protection</w:t>
      </w:r>
      <w:r w:rsidR="00470795" w:rsidRPr="00861957">
        <w:rPr>
          <w:color w:val="0070C0"/>
          <w:lang w:val="en-GB"/>
        </w:rPr>
        <w:t>, Comprehensive Post-Chernobyl Development</w:t>
      </w:r>
      <w:r w:rsidRPr="00861957">
        <w:rPr>
          <w:color w:val="0070C0"/>
          <w:lang w:val="en-GB"/>
        </w:rPr>
        <w:t>’</w:t>
      </w:r>
      <w:bookmarkEnd w:id="44"/>
      <w:bookmarkEnd w:id="45"/>
    </w:p>
    <w:p w14:paraId="7B09E19B" w14:textId="77777777" w:rsidR="00FC76FF" w:rsidRPr="00861957" w:rsidRDefault="00FC76FF" w:rsidP="00FC76FF">
      <w:pPr>
        <w:jc w:val="both"/>
        <w:rPr>
          <w:b/>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86"/>
        <w:gridCol w:w="1984"/>
        <w:gridCol w:w="3686"/>
        <w:gridCol w:w="1984"/>
        <w:gridCol w:w="1843"/>
      </w:tblGrid>
      <w:tr w:rsidR="0067122A" w:rsidRPr="00861957" w14:paraId="655BF7A0" w14:textId="77777777" w:rsidTr="00FD4239">
        <w:trPr>
          <w:trHeight w:val="567"/>
          <w:tblHeader/>
        </w:trPr>
        <w:tc>
          <w:tcPr>
            <w:tcW w:w="2268" w:type="dxa"/>
            <w:tcBorders>
              <w:bottom w:val="single" w:sz="4" w:space="0" w:color="auto"/>
            </w:tcBorders>
            <w:shd w:val="clear" w:color="auto" w:fill="auto"/>
            <w:vAlign w:val="center"/>
          </w:tcPr>
          <w:p w14:paraId="4520FF9A" w14:textId="77777777" w:rsidR="0067122A" w:rsidRPr="00861957" w:rsidRDefault="0067122A" w:rsidP="00B230A7">
            <w:pPr>
              <w:jc w:val="center"/>
              <w:rPr>
                <w:b/>
                <w:bCs/>
              </w:rPr>
            </w:pPr>
            <w:r w:rsidRPr="00861957">
              <w:rPr>
                <w:b/>
                <w:bCs/>
              </w:rPr>
              <w:lastRenderedPageBreak/>
              <w:t>Outcomes</w:t>
            </w:r>
          </w:p>
        </w:tc>
        <w:tc>
          <w:tcPr>
            <w:tcW w:w="3686" w:type="dxa"/>
            <w:shd w:val="clear" w:color="auto" w:fill="auto"/>
            <w:vAlign w:val="center"/>
          </w:tcPr>
          <w:p w14:paraId="1DFAA05F" w14:textId="77777777" w:rsidR="0067122A" w:rsidRPr="00861957" w:rsidRDefault="0067122A" w:rsidP="00B230A7">
            <w:pPr>
              <w:jc w:val="center"/>
              <w:rPr>
                <w:b/>
                <w:bCs/>
              </w:rPr>
            </w:pPr>
            <w:r w:rsidRPr="00861957">
              <w:rPr>
                <w:b/>
                <w:bCs/>
              </w:rPr>
              <w:t>Indicators, Baselines, Targets</w:t>
            </w:r>
          </w:p>
        </w:tc>
        <w:tc>
          <w:tcPr>
            <w:tcW w:w="1984" w:type="dxa"/>
            <w:shd w:val="clear" w:color="auto" w:fill="auto"/>
            <w:vAlign w:val="center"/>
          </w:tcPr>
          <w:p w14:paraId="32E725CB" w14:textId="77777777" w:rsidR="0067122A" w:rsidRPr="00861957" w:rsidRDefault="0067122A" w:rsidP="00B230A7">
            <w:pPr>
              <w:jc w:val="center"/>
              <w:rPr>
                <w:b/>
                <w:bCs/>
              </w:rPr>
            </w:pPr>
            <w:r w:rsidRPr="00861957">
              <w:rPr>
                <w:b/>
                <w:bCs/>
              </w:rPr>
              <w:t>Means of Verification</w:t>
            </w:r>
          </w:p>
        </w:tc>
        <w:tc>
          <w:tcPr>
            <w:tcW w:w="3686" w:type="dxa"/>
            <w:shd w:val="clear" w:color="auto" w:fill="auto"/>
            <w:vAlign w:val="center"/>
          </w:tcPr>
          <w:p w14:paraId="68A1A8F2" w14:textId="77777777" w:rsidR="0067122A" w:rsidRPr="00861957" w:rsidRDefault="0067122A" w:rsidP="00B230A7">
            <w:pPr>
              <w:tabs>
                <w:tab w:val="left" w:pos="3849"/>
              </w:tabs>
              <w:jc w:val="center"/>
              <w:rPr>
                <w:b/>
              </w:rPr>
            </w:pPr>
            <w:r w:rsidRPr="00861957">
              <w:rPr>
                <w:b/>
              </w:rPr>
              <w:t>Risks and Assumptions</w:t>
            </w:r>
          </w:p>
        </w:tc>
        <w:tc>
          <w:tcPr>
            <w:tcW w:w="1984" w:type="dxa"/>
            <w:vAlign w:val="center"/>
          </w:tcPr>
          <w:p w14:paraId="1CDB41B4" w14:textId="77777777" w:rsidR="0067122A" w:rsidRPr="00861957" w:rsidRDefault="0067122A" w:rsidP="00B230A7">
            <w:pPr>
              <w:tabs>
                <w:tab w:val="left" w:pos="3849"/>
              </w:tabs>
              <w:jc w:val="center"/>
              <w:rPr>
                <w:b/>
              </w:rPr>
            </w:pPr>
            <w:r w:rsidRPr="00861957">
              <w:rPr>
                <w:b/>
              </w:rPr>
              <w:t>Partners</w:t>
            </w:r>
          </w:p>
        </w:tc>
        <w:tc>
          <w:tcPr>
            <w:tcW w:w="1843" w:type="dxa"/>
            <w:vAlign w:val="center"/>
          </w:tcPr>
          <w:p w14:paraId="22745E8C" w14:textId="77777777" w:rsidR="0067122A" w:rsidRPr="00861957" w:rsidRDefault="0067122A" w:rsidP="00B230A7">
            <w:pPr>
              <w:tabs>
                <w:tab w:val="left" w:pos="3849"/>
              </w:tabs>
              <w:jc w:val="center"/>
              <w:rPr>
                <w:b/>
              </w:rPr>
            </w:pPr>
            <w:r w:rsidRPr="00861957">
              <w:rPr>
                <w:b/>
              </w:rPr>
              <w:t>Indicative Resources (USD)</w:t>
            </w:r>
          </w:p>
        </w:tc>
      </w:tr>
      <w:tr w:rsidR="007D580D" w:rsidRPr="00861957" w14:paraId="38030C2E" w14:textId="77777777" w:rsidTr="00FD4239">
        <w:trPr>
          <w:trHeight w:val="567"/>
        </w:trPr>
        <w:tc>
          <w:tcPr>
            <w:tcW w:w="2268" w:type="dxa"/>
            <w:vMerge w:val="restart"/>
            <w:tcBorders>
              <w:top w:val="single" w:sz="4" w:space="0" w:color="auto"/>
              <w:left w:val="single" w:sz="4" w:space="0" w:color="auto"/>
              <w:right w:val="single" w:sz="4" w:space="0" w:color="auto"/>
            </w:tcBorders>
            <w:shd w:val="clear" w:color="auto" w:fill="auto"/>
          </w:tcPr>
          <w:p w14:paraId="14379C01" w14:textId="3F702D14" w:rsidR="007D580D" w:rsidRPr="00861957" w:rsidRDefault="007D580D" w:rsidP="00B6761F">
            <w:pPr>
              <w:pStyle w:val="PlainText"/>
              <w:jc w:val="both"/>
              <w:rPr>
                <w:rFonts w:ascii="Times New Roman" w:hAnsi="Times New Roman" w:cs="Times New Roman"/>
                <w:sz w:val="24"/>
                <w:szCs w:val="24"/>
                <w:lang w:val="en-GB"/>
              </w:rPr>
            </w:pPr>
            <w:r w:rsidRPr="00861957">
              <w:rPr>
                <w:rFonts w:ascii="Times New Roman" w:hAnsi="Times New Roman" w:cs="Times New Roman"/>
                <w:b/>
                <w:sz w:val="24"/>
                <w:szCs w:val="24"/>
                <w:lang w:val="en-GB"/>
              </w:rPr>
              <w:t>Outcome 4.1:</w:t>
            </w:r>
            <w:r w:rsidRPr="00861957">
              <w:rPr>
                <w:rFonts w:ascii="Times New Roman" w:hAnsi="Times New Roman" w:cs="Times New Roman"/>
                <w:sz w:val="24"/>
                <w:szCs w:val="24"/>
                <w:lang w:val="en-GB"/>
              </w:rPr>
              <w:t xml:space="preserve"> By 2020, </w:t>
            </w:r>
            <w:r w:rsidR="003268BA" w:rsidRPr="00861957">
              <w:rPr>
                <w:rFonts w:ascii="Times New Roman" w:hAnsi="Times New Roman" w:cs="Times New Roman"/>
                <w:sz w:val="24"/>
                <w:szCs w:val="24"/>
                <w:lang w:val="en-GB"/>
              </w:rPr>
              <w:t>the health</w:t>
            </w:r>
            <w:r w:rsidR="00454D48" w:rsidRPr="00861957">
              <w:rPr>
                <w:rFonts w:ascii="Times New Roman" w:hAnsi="Times New Roman" w:cs="Times New Roman"/>
                <w:sz w:val="24"/>
                <w:szCs w:val="24"/>
                <w:lang w:val="en-GB"/>
              </w:rPr>
              <w:t xml:space="preserve"> system </w:t>
            </w:r>
            <w:r w:rsidR="007411C6" w:rsidRPr="00861957">
              <w:rPr>
                <w:rFonts w:ascii="Times New Roman" w:hAnsi="Times New Roman" w:cs="Times New Roman"/>
                <w:sz w:val="24"/>
                <w:szCs w:val="24"/>
                <w:lang w:val="en-GB"/>
              </w:rPr>
              <w:t>will have</w:t>
            </w:r>
            <w:r w:rsidR="00454D48" w:rsidRPr="00861957">
              <w:rPr>
                <w:rFonts w:ascii="Times New Roman" w:hAnsi="Times New Roman" w:cs="Times New Roman"/>
                <w:sz w:val="24"/>
                <w:szCs w:val="24"/>
                <w:lang w:val="en-GB"/>
              </w:rPr>
              <w:t xml:space="preserve"> </w:t>
            </w:r>
            <w:r w:rsidR="00C82D3C" w:rsidRPr="00861957">
              <w:rPr>
                <w:rFonts w:ascii="Times New Roman" w:hAnsi="Times New Roman" w:cs="Times New Roman"/>
                <w:sz w:val="24"/>
                <w:szCs w:val="24"/>
                <w:lang w:val="en-GB"/>
              </w:rPr>
              <w:t xml:space="preserve">been </w:t>
            </w:r>
            <w:r w:rsidR="00454D48" w:rsidRPr="00861957">
              <w:rPr>
                <w:rFonts w:ascii="Times New Roman" w:hAnsi="Times New Roman" w:cs="Times New Roman"/>
                <w:sz w:val="24"/>
                <w:szCs w:val="24"/>
                <w:lang w:val="en-GB"/>
              </w:rPr>
              <w:t xml:space="preserve">strengthened to ensure </w:t>
            </w:r>
            <w:r w:rsidR="007411C6" w:rsidRPr="00861957">
              <w:rPr>
                <w:rFonts w:ascii="Times New Roman" w:hAnsi="Times New Roman" w:cs="Times New Roman"/>
                <w:sz w:val="24"/>
                <w:szCs w:val="24"/>
                <w:lang w:val="en-GB"/>
              </w:rPr>
              <w:t xml:space="preserve">a </w:t>
            </w:r>
            <w:r w:rsidRPr="00861957">
              <w:rPr>
                <w:rFonts w:ascii="Times New Roman" w:hAnsi="Times New Roman" w:cs="Times New Roman"/>
                <w:sz w:val="24"/>
                <w:szCs w:val="24"/>
                <w:lang w:val="en-GB"/>
              </w:rPr>
              <w:t xml:space="preserve">sustained reduction in premature deaths from </w:t>
            </w:r>
            <w:r w:rsidR="00C82D3C" w:rsidRPr="00861957">
              <w:rPr>
                <w:rFonts w:ascii="Times New Roman" w:hAnsi="Times New Roman" w:cs="Times New Roman"/>
                <w:sz w:val="24"/>
                <w:szCs w:val="24"/>
                <w:lang w:val="en-GB"/>
              </w:rPr>
              <w:t>four</w:t>
            </w:r>
            <w:r w:rsidRPr="00861957">
              <w:rPr>
                <w:rFonts w:ascii="Times New Roman" w:hAnsi="Times New Roman" w:cs="Times New Roman"/>
                <w:sz w:val="24"/>
                <w:szCs w:val="24"/>
                <w:lang w:val="en-GB"/>
              </w:rPr>
              <w:t xml:space="preserve"> major non-communicable disease</w:t>
            </w:r>
            <w:r w:rsidR="007411C6" w:rsidRPr="00861957">
              <w:rPr>
                <w:rFonts w:ascii="Times New Roman" w:hAnsi="Times New Roman" w:cs="Times New Roman"/>
                <w:sz w:val="24"/>
                <w:szCs w:val="24"/>
                <w:lang w:val="en-GB"/>
              </w:rPr>
              <w:t xml:space="preserve"> type</w:t>
            </w:r>
            <w:r w:rsidRPr="00861957">
              <w:rPr>
                <w:rFonts w:ascii="Times New Roman" w:hAnsi="Times New Roman" w:cs="Times New Roman"/>
                <w:sz w:val="24"/>
                <w:szCs w:val="24"/>
                <w:lang w:val="en-GB"/>
              </w:rPr>
              <w:t xml:space="preserve">s (cardiovascular, cancers, diabetes and respiratory) through </w:t>
            </w:r>
            <w:r w:rsidR="007411C6" w:rsidRPr="00861957">
              <w:rPr>
                <w:rFonts w:ascii="Times New Roman" w:hAnsi="Times New Roman" w:cs="Times New Roman"/>
                <w:sz w:val="24"/>
                <w:szCs w:val="24"/>
                <w:lang w:val="en-GB"/>
              </w:rPr>
              <w:t xml:space="preserve">the </w:t>
            </w:r>
            <w:r w:rsidRPr="00861957">
              <w:rPr>
                <w:rFonts w:ascii="Times New Roman" w:hAnsi="Times New Roman" w:cs="Times New Roman"/>
                <w:sz w:val="24"/>
                <w:szCs w:val="24"/>
                <w:lang w:val="en-GB"/>
              </w:rPr>
              <w:t xml:space="preserve">creation of a comprehensive preventive environment </w:t>
            </w:r>
            <w:r w:rsidR="00454D48" w:rsidRPr="00861957">
              <w:rPr>
                <w:rFonts w:ascii="Times New Roman" w:hAnsi="Times New Roman" w:cs="Times New Roman"/>
                <w:sz w:val="24"/>
                <w:szCs w:val="24"/>
                <w:lang w:val="en-GB"/>
              </w:rPr>
              <w:t>and uni</w:t>
            </w:r>
            <w:r w:rsidR="00BE1198" w:rsidRPr="00861957">
              <w:rPr>
                <w:rFonts w:ascii="Times New Roman" w:hAnsi="Times New Roman" w:cs="Times New Roman"/>
                <w:sz w:val="24"/>
                <w:szCs w:val="24"/>
                <w:lang w:val="en-GB"/>
              </w:rPr>
              <w:t>versal access to primary health</w:t>
            </w:r>
            <w:r w:rsidR="003268BA" w:rsidRPr="00861957">
              <w:rPr>
                <w:rFonts w:ascii="Times New Roman" w:hAnsi="Times New Roman" w:cs="Times New Roman"/>
                <w:sz w:val="24"/>
                <w:szCs w:val="24"/>
                <w:lang w:val="en-GB"/>
              </w:rPr>
              <w:t xml:space="preserve"> </w:t>
            </w:r>
            <w:r w:rsidR="00454D48" w:rsidRPr="00861957">
              <w:rPr>
                <w:rFonts w:ascii="Times New Roman" w:hAnsi="Times New Roman" w:cs="Times New Roman"/>
                <w:sz w:val="24"/>
                <w:szCs w:val="24"/>
                <w:lang w:val="en-GB"/>
              </w:rPr>
              <w:t>care services</w:t>
            </w:r>
            <w:r w:rsidRPr="00861957">
              <w:rPr>
                <w:rFonts w:ascii="Times New Roman" w:hAnsi="Times New Roman" w:cs="Times New Roman"/>
                <w:sz w:val="24"/>
                <w:szCs w:val="24"/>
                <w:lang w:val="en-GB"/>
              </w:rPr>
              <w:br/>
            </w:r>
          </w:p>
          <w:p w14:paraId="346894E7" w14:textId="77777777" w:rsidR="007D580D" w:rsidRPr="00861957" w:rsidRDefault="0010328D" w:rsidP="0010328D">
            <w:pPr>
              <w:pStyle w:val="PlainText"/>
              <w:jc w:val="both"/>
              <w:rPr>
                <w:rFonts w:ascii="Times New Roman" w:hAnsi="Times New Roman" w:cs="Times New Roman"/>
                <w:b/>
                <w:sz w:val="24"/>
                <w:szCs w:val="24"/>
                <w:lang w:val="en-GB"/>
              </w:rPr>
            </w:pPr>
            <w:r w:rsidRPr="00861957">
              <w:rPr>
                <w:rFonts w:ascii="Times New Roman" w:hAnsi="Times New Roman" w:cs="Times New Roman"/>
                <w:b/>
                <w:bCs/>
                <w:sz w:val="24"/>
                <w:szCs w:val="24"/>
                <w:lang w:val="en-GB"/>
              </w:rPr>
              <w:t>IAEA, UNDP, UNESCO, UNFPA, UNICEF, WHO</w:t>
            </w:r>
          </w:p>
        </w:tc>
        <w:tc>
          <w:tcPr>
            <w:tcW w:w="3686" w:type="dxa"/>
            <w:tcBorders>
              <w:left w:val="single" w:sz="4" w:space="0" w:color="auto"/>
            </w:tcBorders>
            <w:shd w:val="clear" w:color="auto" w:fill="auto"/>
          </w:tcPr>
          <w:p w14:paraId="3EE07D92" w14:textId="4D7E20B9" w:rsidR="00470795" w:rsidRPr="00861957" w:rsidRDefault="007D580D" w:rsidP="00470795">
            <w:pPr>
              <w:jc w:val="both"/>
              <w:rPr>
                <w:kern w:val="24"/>
              </w:rPr>
            </w:pPr>
            <w:r w:rsidRPr="00861957">
              <w:rPr>
                <w:b/>
                <w:kern w:val="24"/>
              </w:rPr>
              <w:t xml:space="preserve">Indicator 4.1.1. </w:t>
            </w:r>
            <w:r w:rsidRPr="00861957">
              <w:rPr>
                <w:kern w:val="24"/>
              </w:rPr>
              <w:t xml:space="preserve">Proportion of practitioners </w:t>
            </w:r>
            <w:r w:rsidR="00BE053D" w:rsidRPr="00861957">
              <w:rPr>
                <w:kern w:val="24"/>
              </w:rPr>
              <w:t>working as general practitioners in the primary healthcare services system</w:t>
            </w:r>
            <w:r w:rsidR="00470795" w:rsidRPr="00861957">
              <w:rPr>
                <w:kern w:val="24"/>
              </w:rPr>
              <w:t>, excluding district p</w:t>
            </w:r>
            <w:r w:rsidR="00861957">
              <w:rPr>
                <w:kern w:val="24"/>
              </w:rPr>
              <w:t>a</w:t>
            </w:r>
            <w:r w:rsidR="00470795" w:rsidRPr="00861957">
              <w:rPr>
                <w:kern w:val="24"/>
              </w:rPr>
              <w:t>ediatricians</w:t>
            </w:r>
          </w:p>
          <w:p w14:paraId="4A6781B5" w14:textId="453E28D3" w:rsidR="00BE053D" w:rsidRPr="00861957" w:rsidRDefault="007D580D" w:rsidP="00470795">
            <w:pPr>
              <w:jc w:val="both"/>
              <w:rPr>
                <w:kern w:val="24"/>
              </w:rPr>
            </w:pPr>
            <w:r w:rsidRPr="00861957">
              <w:rPr>
                <w:b/>
                <w:color w:val="000000" w:themeColor="dark1"/>
                <w:kern w:val="24"/>
              </w:rPr>
              <w:t xml:space="preserve">Baseline: </w:t>
            </w:r>
            <w:r w:rsidRPr="00861957">
              <w:rPr>
                <w:kern w:val="24"/>
              </w:rPr>
              <w:t>20% of practitioners</w:t>
            </w:r>
            <w:r w:rsidRPr="00861957">
              <w:rPr>
                <w:kern w:val="24"/>
              </w:rPr>
              <w:br/>
            </w:r>
            <w:r w:rsidRPr="00861957">
              <w:rPr>
                <w:b/>
                <w:kern w:val="24"/>
              </w:rPr>
              <w:t xml:space="preserve">Target: </w:t>
            </w:r>
            <w:r w:rsidRPr="00861957">
              <w:rPr>
                <w:kern w:val="24"/>
              </w:rPr>
              <w:t>100% of practitioners</w:t>
            </w:r>
          </w:p>
        </w:tc>
        <w:tc>
          <w:tcPr>
            <w:tcW w:w="1984" w:type="dxa"/>
            <w:shd w:val="clear" w:color="auto" w:fill="auto"/>
          </w:tcPr>
          <w:p w14:paraId="7FE7C98D" w14:textId="77777777" w:rsidR="007D580D" w:rsidRPr="00861957" w:rsidRDefault="007D580D" w:rsidP="000715E7">
            <w:pPr>
              <w:rPr>
                <w:color w:val="000000" w:themeColor="dark1"/>
                <w:kern w:val="24"/>
              </w:rPr>
            </w:pPr>
            <w:r w:rsidRPr="00861957">
              <w:rPr>
                <w:color w:val="000000" w:themeColor="dark1"/>
                <w:kern w:val="24"/>
              </w:rPr>
              <w:t>Ministry of Health, Belstat</w:t>
            </w:r>
          </w:p>
          <w:p w14:paraId="7A2C2D64" w14:textId="77777777" w:rsidR="007D580D" w:rsidRPr="00861957" w:rsidRDefault="007D580D" w:rsidP="000715E7">
            <w:pPr>
              <w:tabs>
                <w:tab w:val="left" w:pos="1080"/>
              </w:tabs>
              <w:rPr>
                <w:bCs/>
              </w:rPr>
            </w:pPr>
          </w:p>
        </w:tc>
        <w:tc>
          <w:tcPr>
            <w:tcW w:w="3686" w:type="dxa"/>
            <w:shd w:val="clear" w:color="auto" w:fill="auto"/>
          </w:tcPr>
          <w:p w14:paraId="0BD6493F" w14:textId="01A3C602" w:rsidR="007D580D" w:rsidRPr="00861957" w:rsidRDefault="007D580D" w:rsidP="000715E7">
            <w:pPr>
              <w:rPr>
                <w:bCs/>
                <w:color w:val="000000" w:themeColor="text1"/>
                <w:kern w:val="24"/>
              </w:rPr>
            </w:pPr>
            <w:r w:rsidRPr="00861957">
              <w:rPr>
                <w:b/>
                <w:color w:val="000000" w:themeColor="text1"/>
                <w:kern w:val="24"/>
              </w:rPr>
              <w:t xml:space="preserve">Assumptions:  </w:t>
            </w:r>
            <w:r w:rsidRPr="00861957">
              <w:rPr>
                <w:color w:val="000000" w:themeColor="text1"/>
                <w:kern w:val="24"/>
              </w:rPr>
              <w:t>Council of Ministers Directive</w:t>
            </w:r>
            <w:r w:rsidR="00CB7407">
              <w:rPr>
                <w:color w:val="000000" w:themeColor="text1"/>
                <w:kern w:val="24"/>
              </w:rPr>
              <w:t>s</w:t>
            </w:r>
            <w:r w:rsidRPr="00861957">
              <w:rPr>
                <w:color w:val="000000" w:themeColor="text1"/>
                <w:kern w:val="24"/>
              </w:rPr>
              <w:t xml:space="preserve">; Resolution of the Extended Meeting of the Ministry of Health; </w:t>
            </w:r>
            <w:r w:rsidR="00C82D3C" w:rsidRPr="00861957">
              <w:rPr>
                <w:color w:val="000000" w:themeColor="text1"/>
                <w:kern w:val="24"/>
              </w:rPr>
              <w:t xml:space="preserve">the </w:t>
            </w:r>
            <w:r w:rsidRPr="00861957">
              <w:rPr>
                <w:color w:val="000000" w:themeColor="text1"/>
                <w:kern w:val="24"/>
              </w:rPr>
              <w:t>Health</w:t>
            </w:r>
            <w:r w:rsidR="00C82D3C" w:rsidRPr="00861957">
              <w:rPr>
                <w:color w:val="000000" w:themeColor="text1"/>
                <w:kern w:val="24"/>
              </w:rPr>
              <w:t>c</w:t>
            </w:r>
            <w:r w:rsidRPr="00861957">
              <w:rPr>
                <w:color w:val="000000" w:themeColor="text1"/>
                <w:kern w:val="24"/>
              </w:rPr>
              <w:t xml:space="preserve">are Development Strategy for 2015-2015 calls for the reform of the healthcare system, and contains provisions on increasing the number of general practitioners </w:t>
            </w:r>
          </w:p>
          <w:p w14:paraId="36C4A95D" w14:textId="07ACCB55" w:rsidR="007D580D" w:rsidRPr="00861957" w:rsidRDefault="007D580D" w:rsidP="00C82D3C">
            <w:pPr>
              <w:rPr>
                <w:color w:val="000000" w:themeColor="dark1"/>
                <w:kern w:val="24"/>
              </w:rPr>
            </w:pPr>
            <w:r w:rsidRPr="00861957">
              <w:rPr>
                <w:b/>
                <w:color w:val="000000" w:themeColor="text1"/>
                <w:kern w:val="24"/>
              </w:rPr>
              <w:t xml:space="preserve">Risks: </w:t>
            </w:r>
            <w:r w:rsidR="00C82D3C" w:rsidRPr="00861957">
              <w:rPr>
                <w:kern w:val="24"/>
              </w:rPr>
              <w:t>Risks related to the slowing of economic growth and consequent financing shortfalls</w:t>
            </w:r>
          </w:p>
        </w:tc>
        <w:tc>
          <w:tcPr>
            <w:tcW w:w="1984" w:type="dxa"/>
          </w:tcPr>
          <w:p w14:paraId="31A22675" w14:textId="77777777" w:rsidR="007D580D" w:rsidRPr="00861957" w:rsidRDefault="007D580D" w:rsidP="000715E7">
            <w:pPr>
              <w:rPr>
                <w:color w:val="000000" w:themeColor="dark1"/>
                <w:kern w:val="24"/>
              </w:rPr>
            </w:pPr>
            <w:r w:rsidRPr="00861957">
              <w:rPr>
                <w:color w:val="000000" w:themeColor="dark1"/>
                <w:kern w:val="24"/>
              </w:rPr>
              <w:t>Ministry of Health</w:t>
            </w:r>
          </w:p>
          <w:p w14:paraId="34AA2FE5" w14:textId="77777777" w:rsidR="007D580D" w:rsidRPr="00861957" w:rsidRDefault="007D580D" w:rsidP="000715E7"/>
        </w:tc>
        <w:tc>
          <w:tcPr>
            <w:tcW w:w="1843" w:type="dxa"/>
          </w:tcPr>
          <w:p w14:paraId="7FFC326A" w14:textId="36CE1206" w:rsidR="007D580D" w:rsidRPr="00861957" w:rsidRDefault="007D580D" w:rsidP="000715E7">
            <w:pPr>
              <w:rPr>
                <w:b/>
              </w:rPr>
            </w:pPr>
            <w:r w:rsidRPr="00861957">
              <w:rPr>
                <w:b/>
                <w:bCs/>
              </w:rPr>
              <w:t>WHO</w:t>
            </w:r>
            <w:r w:rsidRPr="00861957">
              <w:rPr>
                <w:b/>
              </w:rPr>
              <w:t xml:space="preserve"> – </w:t>
            </w:r>
            <w:r w:rsidR="00470795" w:rsidRPr="00861957">
              <w:rPr>
                <w:b/>
              </w:rPr>
              <w:t>$</w:t>
            </w:r>
            <w:r w:rsidRPr="00861957">
              <w:rPr>
                <w:b/>
              </w:rPr>
              <w:t>600,000</w:t>
            </w:r>
          </w:p>
          <w:p w14:paraId="0926FEA1" w14:textId="1A96339E" w:rsidR="007D580D" w:rsidRPr="00861957" w:rsidRDefault="007D580D" w:rsidP="000715E7">
            <w:r w:rsidRPr="00861957">
              <w:rPr>
                <w:b/>
              </w:rPr>
              <w:t xml:space="preserve">UNFPA – </w:t>
            </w:r>
            <w:r w:rsidR="00470795" w:rsidRPr="00861957">
              <w:rPr>
                <w:b/>
              </w:rPr>
              <w:t>$</w:t>
            </w:r>
            <w:r w:rsidRPr="00861957">
              <w:rPr>
                <w:b/>
              </w:rPr>
              <w:t>70,000</w:t>
            </w:r>
          </w:p>
        </w:tc>
      </w:tr>
      <w:tr w:rsidR="007D580D" w:rsidRPr="00861957" w14:paraId="5EB4AFEC" w14:textId="77777777" w:rsidTr="00183CFB">
        <w:trPr>
          <w:trHeight w:val="567"/>
        </w:trPr>
        <w:tc>
          <w:tcPr>
            <w:tcW w:w="2268" w:type="dxa"/>
            <w:vMerge/>
            <w:tcBorders>
              <w:left w:val="single" w:sz="4" w:space="0" w:color="auto"/>
              <w:right w:val="single" w:sz="4" w:space="0" w:color="auto"/>
            </w:tcBorders>
            <w:shd w:val="clear" w:color="auto" w:fill="auto"/>
          </w:tcPr>
          <w:p w14:paraId="67F70232" w14:textId="77777777" w:rsidR="007D580D" w:rsidRPr="00861957" w:rsidRDefault="007D580D" w:rsidP="00B230A7">
            <w:pPr>
              <w:rPr>
                <w:b/>
                <w:bCs/>
              </w:rPr>
            </w:pPr>
          </w:p>
        </w:tc>
        <w:tc>
          <w:tcPr>
            <w:tcW w:w="3686" w:type="dxa"/>
            <w:tcBorders>
              <w:left w:val="single" w:sz="4" w:space="0" w:color="auto"/>
            </w:tcBorders>
            <w:shd w:val="clear" w:color="auto" w:fill="auto"/>
          </w:tcPr>
          <w:p w14:paraId="0A1C2EEE" w14:textId="4890BB93" w:rsidR="007D580D" w:rsidRPr="00861957" w:rsidRDefault="007D580D" w:rsidP="002F4769">
            <w:pPr>
              <w:rPr>
                <w:b/>
                <w:bCs/>
              </w:rPr>
            </w:pPr>
            <w:r w:rsidRPr="00861957">
              <w:rPr>
                <w:b/>
                <w:color w:val="000000" w:themeColor="text1"/>
                <w:kern w:val="24"/>
              </w:rPr>
              <w:t xml:space="preserve">Indicator 4.1.2. </w:t>
            </w:r>
            <w:r w:rsidRPr="00861957">
              <w:rPr>
                <w:b/>
                <w:color w:val="000000" w:themeColor="text1"/>
                <w:kern w:val="24"/>
              </w:rPr>
              <w:br/>
            </w:r>
            <w:r w:rsidRPr="00861957">
              <w:rPr>
                <w:color w:val="000000" w:themeColor="text1"/>
                <w:kern w:val="24"/>
              </w:rPr>
              <w:t>Probability of death at age 30-70 from four major non-communicable diseases</w:t>
            </w:r>
            <w:r w:rsidRPr="00861957">
              <w:rPr>
                <w:color w:val="000000" w:themeColor="text1"/>
                <w:kern w:val="24"/>
              </w:rPr>
              <w:br/>
            </w:r>
            <w:r w:rsidRPr="00861957">
              <w:rPr>
                <w:b/>
                <w:color w:val="000000" w:themeColor="dark1"/>
                <w:kern w:val="24"/>
              </w:rPr>
              <w:t xml:space="preserve">Baseline: </w:t>
            </w:r>
            <w:r w:rsidRPr="00861957">
              <w:rPr>
                <w:color w:val="000000" w:themeColor="dark1"/>
                <w:kern w:val="24"/>
              </w:rPr>
              <w:t>26%</w:t>
            </w:r>
            <w:r w:rsidRPr="00861957">
              <w:rPr>
                <w:color w:val="000000" w:themeColor="dark1"/>
                <w:kern w:val="24"/>
              </w:rPr>
              <w:br/>
            </w:r>
            <w:r w:rsidRPr="00861957">
              <w:rPr>
                <w:b/>
                <w:color w:val="000000" w:themeColor="text1"/>
                <w:kern w:val="24"/>
              </w:rPr>
              <w:t xml:space="preserve">Target: </w:t>
            </w:r>
            <w:r w:rsidRPr="00861957">
              <w:rPr>
                <w:color w:val="000000" w:themeColor="text1"/>
                <w:kern w:val="24"/>
              </w:rPr>
              <w:t>20%</w:t>
            </w:r>
          </w:p>
        </w:tc>
        <w:tc>
          <w:tcPr>
            <w:tcW w:w="1984" w:type="dxa"/>
            <w:shd w:val="clear" w:color="auto" w:fill="auto"/>
          </w:tcPr>
          <w:p w14:paraId="7641101D" w14:textId="77777777" w:rsidR="007D580D" w:rsidRPr="00861957" w:rsidRDefault="007D580D" w:rsidP="00B230A7">
            <w:pPr>
              <w:jc w:val="both"/>
            </w:pPr>
            <w:r w:rsidRPr="00861957">
              <w:rPr>
                <w:kern w:val="24"/>
              </w:rPr>
              <w:t>Data calculated by the Ministry of Health, Health for All Database (WHO)</w:t>
            </w:r>
          </w:p>
        </w:tc>
        <w:tc>
          <w:tcPr>
            <w:tcW w:w="3686" w:type="dxa"/>
            <w:shd w:val="clear" w:color="auto" w:fill="auto"/>
          </w:tcPr>
          <w:p w14:paraId="39141675" w14:textId="77777777" w:rsidR="007D580D" w:rsidRPr="00861957" w:rsidRDefault="007D580D" w:rsidP="00B230A7">
            <w:pPr>
              <w:rPr>
                <w:bCs/>
                <w:kern w:val="24"/>
              </w:rPr>
            </w:pPr>
            <w:r w:rsidRPr="00861957">
              <w:rPr>
                <w:b/>
                <w:kern w:val="24"/>
              </w:rPr>
              <w:t xml:space="preserve">Assumptions: </w:t>
            </w:r>
            <w:r w:rsidRPr="00861957">
              <w:rPr>
                <w:b/>
                <w:kern w:val="24"/>
              </w:rPr>
              <w:br/>
            </w:r>
            <w:r w:rsidRPr="00861957">
              <w:rPr>
                <w:kern w:val="24"/>
              </w:rPr>
              <w:t>A state programme is in place to fight non-communicable diseases</w:t>
            </w:r>
          </w:p>
          <w:p w14:paraId="52AE4BF6" w14:textId="77777777" w:rsidR="007D580D" w:rsidRPr="00861957" w:rsidRDefault="007D580D" w:rsidP="00B230A7">
            <w:pPr>
              <w:rPr>
                <w:bCs/>
                <w:kern w:val="24"/>
              </w:rPr>
            </w:pPr>
            <w:r w:rsidRPr="00861957">
              <w:rPr>
                <w:b/>
                <w:kern w:val="24"/>
              </w:rPr>
              <w:t>Risks:</w:t>
            </w:r>
            <w:r w:rsidRPr="00861957">
              <w:rPr>
                <w:b/>
                <w:kern w:val="24"/>
              </w:rPr>
              <w:br/>
            </w:r>
            <w:r w:rsidRPr="00861957">
              <w:rPr>
                <w:kern w:val="24"/>
              </w:rPr>
              <w:t>Risks related to the slowing of economic growth and consequent financing shortfalls</w:t>
            </w:r>
          </w:p>
        </w:tc>
        <w:tc>
          <w:tcPr>
            <w:tcW w:w="1984" w:type="dxa"/>
          </w:tcPr>
          <w:p w14:paraId="03A504D2" w14:textId="77777777" w:rsidR="007D580D" w:rsidRPr="00861957" w:rsidRDefault="00814628" w:rsidP="00814628">
            <w:r w:rsidRPr="00861957">
              <w:rPr>
                <w:kern w:val="24"/>
              </w:rPr>
              <w:t>Ministry of Health</w:t>
            </w:r>
          </w:p>
        </w:tc>
        <w:tc>
          <w:tcPr>
            <w:tcW w:w="1843" w:type="dxa"/>
          </w:tcPr>
          <w:p w14:paraId="6CB6A7B4" w14:textId="5FC197AD" w:rsidR="007D580D" w:rsidRPr="00861957" w:rsidRDefault="007D580D" w:rsidP="00B230A7">
            <w:pPr>
              <w:tabs>
                <w:tab w:val="left" w:pos="3849"/>
              </w:tabs>
              <w:rPr>
                <w:b/>
              </w:rPr>
            </w:pPr>
            <w:r w:rsidRPr="00861957">
              <w:rPr>
                <w:b/>
                <w:bCs/>
              </w:rPr>
              <w:t>WHO</w:t>
            </w:r>
            <w:r w:rsidRPr="00861957">
              <w:rPr>
                <w:b/>
              </w:rPr>
              <w:t xml:space="preserve"> – </w:t>
            </w:r>
            <w:r w:rsidR="00624F0A" w:rsidRPr="00861957">
              <w:rPr>
                <w:b/>
              </w:rPr>
              <w:t>$</w:t>
            </w:r>
            <w:r w:rsidRPr="00861957">
              <w:rPr>
                <w:b/>
              </w:rPr>
              <w:t>50,000</w:t>
            </w:r>
          </w:p>
          <w:p w14:paraId="364CA62B" w14:textId="30F7AE7E" w:rsidR="007D580D" w:rsidRPr="00861957" w:rsidRDefault="007D580D" w:rsidP="00B230A7">
            <w:pPr>
              <w:tabs>
                <w:tab w:val="left" w:pos="3849"/>
              </w:tabs>
              <w:rPr>
                <w:b/>
              </w:rPr>
            </w:pPr>
            <w:r w:rsidRPr="00861957">
              <w:rPr>
                <w:b/>
              </w:rPr>
              <w:t xml:space="preserve">UNFPA – </w:t>
            </w:r>
            <w:r w:rsidR="00470795" w:rsidRPr="00861957">
              <w:rPr>
                <w:b/>
              </w:rPr>
              <w:t>$</w:t>
            </w:r>
            <w:r w:rsidRPr="00861957">
              <w:rPr>
                <w:b/>
              </w:rPr>
              <w:t>170</w:t>
            </w:r>
            <w:r w:rsidR="00470795" w:rsidRPr="00861957">
              <w:rPr>
                <w:b/>
              </w:rPr>
              <w:t>,</w:t>
            </w:r>
            <w:r w:rsidRPr="00861957">
              <w:rPr>
                <w:b/>
              </w:rPr>
              <w:t>000</w:t>
            </w:r>
          </w:p>
          <w:p w14:paraId="358F8A2D" w14:textId="20E4AC67" w:rsidR="00382367" w:rsidRPr="00861957" w:rsidRDefault="00382367" w:rsidP="00B230A7">
            <w:pPr>
              <w:tabs>
                <w:tab w:val="left" w:pos="3849"/>
              </w:tabs>
              <w:rPr>
                <w:b/>
              </w:rPr>
            </w:pPr>
            <w:r w:rsidRPr="00861957">
              <w:rPr>
                <w:b/>
              </w:rPr>
              <w:t xml:space="preserve">IAEA - </w:t>
            </w:r>
            <w:r w:rsidR="00624F0A" w:rsidRPr="00861957">
              <w:rPr>
                <w:b/>
              </w:rPr>
              <w:t>$</w:t>
            </w:r>
            <w:r w:rsidRPr="00861957">
              <w:rPr>
                <w:b/>
              </w:rPr>
              <w:t>800,000</w:t>
            </w:r>
          </w:p>
        </w:tc>
      </w:tr>
      <w:tr w:rsidR="007D580D" w:rsidRPr="00861957" w14:paraId="1E9956D7" w14:textId="77777777" w:rsidTr="00FD4239">
        <w:trPr>
          <w:trHeight w:val="567"/>
        </w:trPr>
        <w:tc>
          <w:tcPr>
            <w:tcW w:w="2268" w:type="dxa"/>
            <w:vMerge/>
            <w:tcBorders>
              <w:left w:val="single" w:sz="4" w:space="0" w:color="auto"/>
              <w:right w:val="single" w:sz="4" w:space="0" w:color="auto"/>
            </w:tcBorders>
            <w:shd w:val="clear" w:color="auto" w:fill="auto"/>
          </w:tcPr>
          <w:p w14:paraId="54CDC6D3" w14:textId="77777777" w:rsidR="007D580D" w:rsidRPr="00861957" w:rsidRDefault="007D580D" w:rsidP="00B230A7">
            <w:pPr>
              <w:rPr>
                <w:b/>
                <w:bCs/>
              </w:rPr>
            </w:pPr>
          </w:p>
        </w:tc>
        <w:tc>
          <w:tcPr>
            <w:tcW w:w="3686" w:type="dxa"/>
            <w:tcBorders>
              <w:left w:val="single" w:sz="4" w:space="0" w:color="auto"/>
              <w:bottom w:val="single" w:sz="4" w:space="0" w:color="auto"/>
            </w:tcBorders>
            <w:shd w:val="clear" w:color="auto" w:fill="auto"/>
          </w:tcPr>
          <w:p w14:paraId="7551818A" w14:textId="7378CC0B" w:rsidR="007D580D" w:rsidRPr="00861957" w:rsidRDefault="007D580D" w:rsidP="00C82D3C">
            <w:pPr>
              <w:rPr>
                <w:color w:val="000000" w:themeColor="dark1"/>
                <w:kern w:val="24"/>
              </w:rPr>
            </w:pPr>
            <w:r w:rsidRPr="00861957">
              <w:rPr>
                <w:b/>
                <w:color w:val="000000" w:themeColor="dark1"/>
                <w:kern w:val="24"/>
              </w:rPr>
              <w:t>Indicator 4.1.3.</w:t>
            </w:r>
            <w:r w:rsidRPr="00861957">
              <w:rPr>
                <w:b/>
                <w:color w:val="000000" w:themeColor="dark1"/>
                <w:kern w:val="24"/>
              </w:rPr>
              <w:br/>
            </w:r>
            <w:r w:rsidRPr="00861957">
              <w:rPr>
                <w:color w:val="000000" w:themeColor="dark1"/>
                <w:kern w:val="24"/>
              </w:rPr>
              <w:t xml:space="preserve">Alcohol abuse at age 15+ (disaggregated by sex and age) </w:t>
            </w:r>
            <w:r w:rsidRPr="00861957">
              <w:rPr>
                <w:b/>
                <w:color w:val="000000" w:themeColor="dark1"/>
                <w:kern w:val="24"/>
              </w:rPr>
              <w:t>Baseline:</w:t>
            </w:r>
            <w:r w:rsidRPr="00861957">
              <w:rPr>
                <w:color w:val="000000" w:themeColor="dark1"/>
                <w:kern w:val="24"/>
              </w:rPr>
              <w:t xml:space="preserve"> to be determined </w:t>
            </w:r>
            <w:r w:rsidR="00C82D3C" w:rsidRPr="00861957">
              <w:rPr>
                <w:color w:val="000000" w:themeColor="dark1"/>
                <w:kern w:val="24"/>
              </w:rPr>
              <w:t xml:space="preserve">by </w:t>
            </w:r>
            <w:r w:rsidRPr="00861957">
              <w:rPr>
                <w:color w:val="000000" w:themeColor="dark1"/>
                <w:kern w:val="24"/>
              </w:rPr>
              <w:t xml:space="preserve">the STEPS study in 2015 </w:t>
            </w:r>
            <w:r w:rsidRPr="00861957">
              <w:rPr>
                <w:color w:val="000000" w:themeColor="dark1"/>
                <w:kern w:val="24"/>
              </w:rPr>
              <w:br/>
            </w:r>
            <w:r w:rsidRPr="00861957">
              <w:rPr>
                <w:b/>
                <w:color w:val="000000" w:themeColor="dark1"/>
                <w:kern w:val="24"/>
              </w:rPr>
              <w:t>Target:</w:t>
            </w:r>
            <w:r w:rsidRPr="00861957">
              <w:rPr>
                <w:color w:val="000000" w:themeColor="dark1"/>
                <w:kern w:val="24"/>
              </w:rPr>
              <w:t xml:space="preserve"> 10% reduction from the baseline</w:t>
            </w:r>
          </w:p>
        </w:tc>
        <w:tc>
          <w:tcPr>
            <w:tcW w:w="1984" w:type="dxa"/>
            <w:tcBorders>
              <w:bottom w:val="single" w:sz="4" w:space="0" w:color="auto"/>
            </w:tcBorders>
            <w:shd w:val="clear" w:color="auto" w:fill="auto"/>
          </w:tcPr>
          <w:p w14:paraId="52E372C2" w14:textId="77777777" w:rsidR="007D580D" w:rsidRPr="00861957" w:rsidRDefault="007D580D" w:rsidP="00B230A7">
            <w:pPr>
              <w:rPr>
                <w:color w:val="000000" w:themeColor="dark1"/>
                <w:kern w:val="24"/>
              </w:rPr>
            </w:pPr>
            <w:r w:rsidRPr="00861957">
              <w:rPr>
                <w:color w:val="000000" w:themeColor="dark1"/>
                <w:kern w:val="24"/>
              </w:rPr>
              <w:t>STEPS survey</w:t>
            </w:r>
          </w:p>
        </w:tc>
        <w:tc>
          <w:tcPr>
            <w:tcW w:w="3686" w:type="dxa"/>
            <w:tcBorders>
              <w:bottom w:val="single" w:sz="4" w:space="0" w:color="auto"/>
            </w:tcBorders>
            <w:shd w:val="clear" w:color="auto" w:fill="auto"/>
          </w:tcPr>
          <w:p w14:paraId="7AB65E68" w14:textId="2648A9AE" w:rsidR="007D580D" w:rsidRPr="00861957" w:rsidRDefault="007D580D" w:rsidP="00CB7407">
            <w:pPr>
              <w:rPr>
                <w:bCs/>
                <w:kern w:val="24"/>
              </w:rPr>
            </w:pPr>
            <w:r w:rsidRPr="00861957">
              <w:rPr>
                <w:b/>
                <w:kern w:val="24"/>
              </w:rPr>
              <w:t>Assumptions:</w:t>
            </w:r>
            <w:r w:rsidRPr="00861957">
              <w:rPr>
                <w:b/>
                <w:kern w:val="24"/>
              </w:rPr>
              <w:br/>
            </w:r>
            <w:r w:rsidR="00C82D3C" w:rsidRPr="00861957">
              <w:rPr>
                <w:kern w:val="24"/>
              </w:rPr>
              <w:t>A</w:t>
            </w:r>
            <w:r w:rsidRPr="00861957">
              <w:rPr>
                <w:kern w:val="24"/>
              </w:rPr>
              <w:t xml:space="preserve"> new state programme of national action on </w:t>
            </w:r>
            <w:r w:rsidR="00C82D3C" w:rsidRPr="00861957">
              <w:rPr>
                <w:kern w:val="24"/>
              </w:rPr>
              <w:t xml:space="preserve">the </w:t>
            </w:r>
            <w:r w:rsidRPr="00861957">
              <w:rPr>
                <w:kern w:val="24"/>
              </w:rPr>
              <w:t>prevention and reduction of alcohol abuse and alcohol dependence</w:t>
            </w:r>
            <w:r w:rsidR="00C82D3C" w:rsidRPr="00861957">
              <w:rPr>
                <w:kern w:val="24"/>
              </w:rPr>
              <w:t xml:space="preserve"> is adopted</w:t>
            </w:r>
            <w:r w:rsidRPr="00861957">
              <w:rPr>
                <w:kern w:val="24"/>
              </w:rPr>
              <w:t>; Ministers of health of the WHO European region sign an agreement on conducting the STEPS study in 2015</w:t>
            </w:r>
            <w:r w:rsidRPr="00861957">
              <w:rPr>
                <w:kern w:val="24"/>
              </w:rPr>
              <w:br/>
            </w:r>
            <w:r w:rsidRPr="00861957">
              <w:rPr>
                <w:b/>
                <w:kern w:val="24"/>
              </w:rPr>
              <w:t>Risks:</w:t>
            </w:r>
            <w:r w:rsidR="00351963" w:rsidRPr="00861957">
              <w:rPr>
                <w:b/>
                <w:kern w:val="24"/>
              </w:rPr>
              <w:t xml:space="preserve"> </w:t>
            </w:r>
            <w:r w:rsidR="00C82D3C" w:rsidRPr="00861957">
              <w:rPr>
                <w:kern w:val="24"/>
              </w:rPr>
              <w:t>Risks related to the slowing of economic growth and consequent financing shortfalls</w:t>
            </w:r>
          </w:p>
        </w:tc>
        <w:tc>
          <w:tcPr>
            <w:tcW w:w="1984" w:type="dxa"/>
            <w:tcBorders>
              <w:bottom w:val="single" w:sz="4" w:space="0" w:color="auto"/>
            </w:tcBorders>
          </w:tcPr>
          <w:p w14:paraId="4150A521" w14:textId="434F682B" w:rsidR="007D580D" w:rsidRPr="00861957" w:rsidRDefault="007D580D" w:rsidP="00D93C56">
            <w:r w:rsidRPr="00861957">
              <w:rPr>
                <w:color w:val="000000" w:themeColor="dark1"/>
                <w:kern w:val="24"/>
              </w:rPr>
              <w:t xml:space="preserve">Local governments and administrations; Ministry of </w:t>
            </w:r>
            <w:r w:rsidR="00D93C56" w:rsidRPr="00861957">
              <w:rPr>
                <w:color w:val="000000" w:themeColor="dark1"/>
                <w:kern w:val="24"/>
              </w:rPr>
              <w:t>H</w:t>
            </w:r>
            <w:r w:rsidRPr="00861957">
              <w:rPr>
                <w:color w:val="000000" w:themeColor="dark1"/>
                <w:kern w:val="24"/>
              </w:rPr>
              <w:t>ealth, Ministry of</w:t>
            </w:r>
            <w:r w:rsidR="006A1E21" w:rsidRPr="00861957">
              <w:rPr>
                <w:color w:val="000000" w:themeColor="dark1"/>
                <w:kern w:val="24"/>
              </w:rPr>
              <w:t xml:space="preserve"> </w:t>
            </w:r>
            <w:r w:rsidR="006A1E21" w:rsidRPr="00861957">
              <w:t>Internal Affairs</w:t>
            </w:r>
            <w:r w:rsidRPr="00861957">
              <w:rPr>
                <w:color w:val="000000" w:themeColor="dark1"/>
                <w:kern w:val="24"/>
              </w:rPr>
              <w:t xml:space="preserve">, Ministry of Education; Ministry of </w:t>
            </w:r>
            <w:r w:rsidR="00D93C56" w:rsidRPr="00861957">
              <w:rPr>
                <w:color w:val="000000" w:themeColor="dark1"/>
                <w:kern w:val="24"/>
              </w:rPr>
              <w:t>I</w:t>
            </w:r>
            <w:r w:rsidRPr="00861957">
              <w:rPr>
                <w:color w:val="000000" w:themeColor="dark1"/>
                <w:kern w:val="24"/>
              </w:rPr>
              <w:t xml:space="preserve">nformation, Belarusian </w:t>
            </w:r>
            <w:r w:rsidR="00D93C56" w:rsidRPr="00861957">
              <w:rPr>
                <w:color w:val="000000" w:themeColor="dark1"/>
                <w:kern w:val="24"/>
              </w:rPr>
              <w:t>B</w:t>
            </w:r>
            <w:r w:rsidRPr="00861957">
              <w:rPr>
                <w:color w:val="000000" w:themeColor="dark1"/>
                <w:kern w:val="24"/>
              </w:rPr>
              <w:t xml:space="preserve">roadcasting </w:t>
            </w:r>
            <w:r w:rsidR="00D93C56" w:rsidRPr="00861957">
              <w:rPr>
                <w:color w:val="000000" w:themeColor="dark1"/>
                <w:kern w:val="24"/>
              </w:rPr>
              <w:t>C</w:t>
            </w:r>
            <w:r w:rsidRPr="00861957">
              <w:rPr>
                <w:color w:val="000000" w:themeColor="dark1"/>
                <w:kern w:val="24"/>
              </w:rPr>
              <w:t>ompany, ONT, STV, internet portals, NGOs</w:t>
            </w:r>
          </w:p>
        </w:tc>
        <w:tc>
          <w:tcPr>
            <w:tcW w:w="1843" w:type="dxa"/>
            <w:tcBorders>
              <w:bottom w:val="single" w:sz="4" w:space="0" w:color="auto"/>
            </w:tcBorders>
          </w:tcPr>
          <w:p w14:paraId="4DDBCBAA" w14:textId="39E26D27" w:rsidR="007D580D" w:rsidRPr="00861957" w:rsidRDefault="007D580D" w:rsidP="00B230A7">
            <w:pPr>
              <w:rPr>
                <w:b/>
              </w:rPr>
            </w:pPr>
            <w:r w:rsidRPr="00861957">
              <w:rPr>
                <w:b/>
              </w:rPr>
              <w:t xml:space="preserve">UNICEF – </w:t>
            </w:r>
            <w:r w:rsidR="00624F0A" w:rsidRPr="00861957">
              <w:rPr>
                <w:b/>
              </w:rPr>
              <w:t>$</w:t>
            </w:r>
            <w:r w:rsidRPr="00861957">
              <w:rPr>
                <w:b/>
              </w:rPr>
              <w:t>150</w:t>
            </w:r>
            <w:r w:rsidR="00624F0A" w:rsidRPr="00861957">
              <w:rPr>
                <w:b/>
              </w:rPr>
              <w:t>,</w:t>
            </w:r>
            <w:r w:rsidRPr="00861957">
              <w:rPr>
                <w:b/>
              </w:rPr>
              <w:t xml:space="preserve">000; </w:t>
            </w:r>
            <w:r w:rsidR="00624F0A" w:rsidRPr="00861957">
              <w:rPr>
                <w:b/>
              </w:rPr>
              <w:t>$</w:t>
            </w:r>
            <w:r w:rsidRPr="00861957">
              <w:rPr>
                <w:b/>
              </w:rPr>
              <w:t>50</w:t>
            </w:r>
            <w:r w:rsidR="00624F0A" w:rsidRPr="00861957">
              <w:rPr>
                <w:b/>
              </w:rPr>
              <w:t>,</w:t>
            </w:r>
            <w:r w:rsidRPr="00861957">
              <w:rPr>
                <w:b/>
              </w:rPr>
              <w:t>000 (to be mobilized)</w:t>
            </w:r>
          </w:p>
          <w:p w14:paraId="04210916" w14:textId="3E824490" w:rsidR="007D580D" w:rsidRPr="00861957" w:rsidRDefault="007D580D" w:rsidP="00B230A7">
            <w:pPr>
              <w:rPr>
                <w:b/>
              </w:rPr>
            </w:pPr>
            <w:r w:rsidRPr="00861957">
              <w:rPr>
                <w:b/>
                <w:bCs/>
              </w:rPr>
              <w:t>WHO</w:t>
            </w:r>
            <w:r w:rsidRPr="00861957">
              <w:rPr>
                <w:b/>
              </w:rPr>
              <w:t xml:space="preserve"> (STEPS survey) – </w:t>
            </w:r>
            <w:r w:rsidR="00624F0A" w:rsidRPr="00861957">
              <w:rPr>
                <w:b/>
              </w:rPr>
              <w:t>$</w:t>
            </w:r>
            <w:r w:rsidRPr="00861957">
              <w:rPr>
                <w:b/>
              </w:rPr>
              <w:t>25,000</w:t>
            </w:r>
          </w:p>
          <w:p w14:paraId="026639AF" w14:textId="27C83B49" w:rsidR="007D580D" w:rsidRPr="00861957" w:rsidRDefault="007D580D" w:rsidP="00B230A7">
            <w:pPr>
              <w:rPr>
                <w:b/>
              </w:rPr>
            </w:pPr>
            <w:r w:rsidRPr="00861957">
              <w:rPr>
                <w:b/>
              </w:rPr>
              <w:t>UNDP</w:t>
            </w:r>
            <w:r w:rsidR="0069379D">
              <w:rPr>
                <w:b/>
              </w:rPr>
              <w:t xml:space="preserve"> -</w:t>
            </w:r>
            <w:r w:rsidRPr="00861957">
              <w:rPr>
                <w:b/>
              </w:rPr>
              <w:t xml:space="preserve"> $350,000 </w:t>
            </w:r>
          </w:p>
          <w:p w14:paraId="26BF93E4" w14:textId="6C18FF98" w:rsidR="007D580D" w:rsidRPr="00861957" w:rsidRDefault="007D580D" w:rsidP="00B230A7">
            <w:pPr>
              <w:rPr>
                <w:b/>
              </w:rPr>
            </w:pPr>
            <w:r w:rsidRPr="00861957">
              <w:rPr>
                <w:b/>
              </w:rPr>
              <w:t xml:space="preserve">UNFPA </w:t>
            </w:r>
            <w:r w:rsidR="00624F0A" w:rsidRPr="00861957">
              <w:rPr>
                <w:b/>
              </w:rPr>
              <w:t>–</w:t>
            </w:r>
            <w:r w:rsidRPr="00861957">
              <w:rPr>
                <w:b/>
              </w:rPr>
              <w:t xml:space="preserve"> </w:t>
            </w:r>
            <w:r w:rsidR="00624F0A" w:rsidRPr="00861957">
              <w:rPr>
                <w:b/>
              </w:rPr>
              <w:t>$</w:t>
            </w:r>
            <w:r w:rsidRPr="00861957">
              <w:rPr>
                <w:b/>
              </w:rPr>
              <w:t>170</w:t>
            </w:r>
            <w:r w:rsidR="00624F0A" w:rsidRPr="00861957">
              <w:rPr>
                <w:b/>
              </w:rPr>
              <w:t>,</w:t>
            </w:r>
            <w:r w:rsidRPr="00861957">
              <w:rPr>
                <w:b/>
              </w:rPr>
              <w:t>000</w:t>
            </w:r>
          </w:p>
        </w:tc>
      </w:tr>
      <w:tr w:rsidR="007D580D" w:rsidRPr="00861957" w14:paraId="60C852C0" w14:textId="77777777" w:rsidTr="00FD4239">
        <w:trPr>
          <w:trHeight w:val="567"/>
        </w:trPr>
        <w:tc>
          <w:tcPr>
            <w:tcW w:w="2268" w:type="dxa"/>
            <w:vMerge/>
            <w:tcBorders>
              <w:left w:val="single" w:sz="4" w:space="0" w:color="auto"/>
              <w:right w:val="single" w:sz="4" w:space="0" w:color="auto"/>
            </w:tcBorders>
            <w:shd w:val="clear" w:color="auto" w:fill="auto"/>
          </w:tcPr>
          <w:p w14:paraId="7BA54BBF" w14:textId="77777777" w:rsidR="007D580D" w:rsidRPr="00861957" w:rsidRDefault="007D580D" w:rsidP="00B230A7">
            <w:pPr>
              <w:rPr>
                <w:b/>
                <w:bCs/>
                <w:i/>
              </w:rPr>
            </w:pPr>
          </w:p>
        </w:tc>
        <w:tc>
          <w:tcPr>
            <w:tcW w:w="3686" w:type="dxa"/>
            <w:tcBorders>
              <w:left w:val="single" w:sz="4" w:space="0" w:color="auto"/>
            </w:tcBorders>
            <w:shd w:val="clear" w:color="auto" w:fill="auto"/>
          </w:tcPr>
          <w:p w14:paraId="0F57CFD5" w14:textId="5DEAD87B" w:rsidR="007D580D" w:rsidRPr="00861957" w:rsidRDefault="007D580D" w:rsidP="00B230A7">
            <w:pPr>
              <w:pBdr>
                <w:bottom w:val="single" w:sz="6" w:space="1" w:color="auto"/>
              </w:pBdr>
              <w:rPr>
                <w:color w:val="000000" w:themeColor="dark1"/>
                <w:kern w:val="24"/>
              </w:rPr>
            </w:pPr>
            <w:r w:rsidRPr="00861957">
              <w:rPr>
                <w:b/>
                <w:color w:val="000000" w:themeColor="dark1"/>
                <w:kern w:val="24"/>
              </w:rPr>
              <w:t>Indicator 4.1.4.</w:t>
            </w:r>
            <w:r w:rsidRPr="00861957">
              <w:rPr>
                <w:color w:val="000000" w:themeColor="dark1"/>
                <w:kern w:val="24"/>
              </w:rPr>
              <w:t xml:space="preserve"> Relative prevalence of tobacco use at age </w:t>
            </w:r>
            <w:r w:rsidRPr="00861957">
              <w:rPr>
                <w:kern w:val="24"/>
              </w:rPr>
              <w:t>15+ (disaggregated by age and sex)</w:t>
            </w:r>
            <w:r w:rsidRPr="00861957">
              <w:rPr>
                <w:kern w:val="24"/>
              </w:rPr>
              <w:br/>
            </w:r>
            <w:r w:rsidRPr="00861957">
              <w:rPr>
                <w:b/>
                <w:color w:val="000000" w:themeColor="dark1"/>
                <w:kern w:val="24"/>
              </w:rPr>
              <w:t>Baseline:</w:t>
            </w:r>
            <w:r w:rsidRPr="00861957">
              <w:rPr>
                <w:color w:val="000000" w:themeColor="dark1"/>
                <w:kern w:val="24"/>
              </w:rPr>
              <w:t xml:space="preserve"> to be determined</w:t>
            </w:r>
            <w:r w:rsidR="00C82D3C" w:rsidRPr="00861957">
              <w:rPr>
                <w:color w:val="000000" w:themeColor="dark1"/>
                <w:kern w:val="24"/>
              </w:rPr>
              <w:t xml:space="preserve"> by</w:t>
            </w:r>
            <w:r w:rsidRPr="00861957">
              <w:rPr>
                <w:color w:val="000000" w:themeColor="dark1"/>
                <w:kern w:val="24"/>
              </w:rPr>
              <w:t xml:space="preserve"> the STEPS study in 2015</w:t>
            </w:r>
            <w:r w:rsidRPr="00861957">
              <w:rPr>
                <w:color w:val="000000" w:themeColor="dark1"/>
                <w:kern w:val="24"/>
              </w:rPr>
              <w:br/>
            </w:r>
            <w:r w:rsidRPr="00861957">
              <w:rPr>
                <w:b/>
                <w:color w:val="000000" w:themeColor="dark1"/>
                <w:kern w:val="24"/>
              </w:rPr>
              <w:t>Target:</w:t>
            </w:r>
            <w:r w:rsidRPr="00861957">
              <w:rPr>
                <w:color w:val="000000" w:themeColor="dark1"/>
                <w:kern w:val="24"/>
              </w:rPr>
              <w:t xml:space="preserve"> 8% reduction from the baseline</w:t>
            </w:r>
          </w:p>
          <w:p w14:paraId="36CCD201" w14:textId="77777777" w:rsidR="007D580D" w:rsidRPr="00861957" w:rsidRDefault="007D580D" w:rsidP="00B230A7">
            <w:pPr>
              <w:rPr>
                <w:bCs/>
              </w:rPr>
            </w:pPr>
          </w:p>
        </w:tc>
        <w:tc>
          <w:tcPr>
            <w:tcW w:w="1984" w:type="dxa"/>
            <w:shd w:val="clear" w:color="auto" w:fill="auto"/>
          </w:tcPr>
          <w:p w14:paraId="6AA14FF8" w14:textId="77777777" w:rsidR="007D580D" w:rsidRPr="00861957" w:rsidRDefault="007D580D" w:rsidP="00B230A7">
            <w:pPr>
              <w:tabs>
                <w:tab w:val="left" w:pos="1080"/>
              </w:tabs>
            </w:pPr>
            <w:r w:rsidRPr="00861957">
              <w:rPr>
                <w:color w:val="000000" w:themeColor="dark1"/>
                <w:kern w:val="24"/>
              </w:rPr>
              <w:t>STEPS survey</w:t>
            </w:r>
          </w:p>
        </w:tc>
        <w:tc>
          <w:tcPr>
            <w:tcW w:w="3686" w:type="dxa"/>
            <w:shd w:val="clear" w:color="auto" w:fill="auto"/>
          </w:tcPr>
          <w:p w14:paraId="4985D49B" w14:textId="77777777" w:rsidR="007D580D" w:rsidRPr="00861957" w:rsidRDefault="007D580D" w:rsidP="00B230A7">
            <w:pPr>
              <w:rPr>
                <w:bCs/>
                <w:kern w:val="24"/>
              </w:rPr>
            </w:pPr>
            <w:r w:rsidRPr="00861957">
              <w:rPr>
                <w:b/>
                <w:kern w:val="24"/>
              </w:rPr>
              <w:t>Assumptions:</w:t>
            </w:r>
            <w:r w:rsidRPr="00861957">
              <w:rPr>
                <w:b/>
                <w:kern w:val="24"/>
              </w:rPr>
              <w:br/>
            </w:r>
            <w:r w:rsidRPr="00861957">
              <w:rPr>
                <w:kern w:val="24"/>
              </w:rPr>
              <w:t>The public are informed about the harmful consequences of smoking and are prepared to support measures to restrict smoking in public places and other measures prescribed by the WHO framework convention against tobacco smoking</w:t>
            </w:r>
          </w:p>
          <w:p w14:paraId="2E3A0D49" w14:textId="77777777" w:rsidR="007D580D" w:rsidRPr="00861957" w:rsidRDefault="007D580D" w:rsidP="00B230A7">
            <w:r w:rsidRPr="00861957">
              <w:rPr>
                <w:b/>
                <w:kern w:val="24"/>
              </w:rPr>
              <w:t xml:space="preserve">Risks: </w:t>
            </w:r>
            <w:r w:rsidRPr="00861957">
              <w:rPr>
                <w:b/>
                <w:kern w:val="24"/>
              </w:rPr>
              <w:br/>
            </w:r>
            <w:r w:rsidRPr="00861957">
              <w:rPr>
                <w:kern w:val="24"/>
              </w:rPr>
              <w:t>Active lobbying by the tobacco industry; Existing opposition to the law ‘On Tobacco’</w:t>
            </w:r>
          </w:p>
        </w:tc>
        <w:tc>
          <w:tcPr>
            <w:tcW w:w="1984" w:type="dxa"/>
            <w:shd w:val="clear" w:color="auto" w:fill="auto"/>
          </w:tcPr>
          <w:p w14:paraId="041C6E3C" w14:textId="6CC46480" w:rsidR="007D580D" w:rsidRPr="00861957" w:rsidRDefault="007D580D" w:rsidP="00B230A7">
            <w:r w:rsidRPr="00861957">
              <w:rPr>
                <w:color w:val="000000" w:themeColor="dark1"/>
                <w:kern w:val="24"/>
              </w:rPr>
              <w:t xml:space="preserve">Local governments and administrations, Ministry of Health, Ministry of Education; Ministry of </w:t>
            </w:r>
            <w:r w:rsidR="00D93C56" w:rsidRPr="00861957">
              <w:rPr>
                <w:color w:val="000000" w:themeColor="dark1"/>
                <w:kern w:val="24"/>
              </w:rPr>
              <w:t>I</w:t>
            </w:r>
            <w:r w:rsidRPr="00861957">
              <w:rPr>
                <w:color w:val="000000" w:themeColor="dark1"/>
                <w:kern w:val="24"/>
              </w:rPr>
              <w:t xml:space="preserve">nformation, Belarusian </w:t>
            </w:r>
            <w:r w:rsidR="00D93C56" w:rsidRPr="00861957">
              <w:rPr>
                <w:color w:val="000000" w:themeColor="dark1"/>
                <w:kern w:val="24"/>
              </w:rPr>
              <w:t>B</w:t>
            </w:r>
            <w:r w:rsidRPr="00861957">
              <w:rPr>
                <w:color w:val="000000" w:themeColor="dark1"/>
                <w:kern w:val="24"/>
              </w:rPr>
              <w:t xml:space="preserve">roadcasting </w:t>
            </w:r>
            <w:r w:rsidR="00D93C56" w:rsidRPr="00861957">
              <w:rPr>
                <w:color w:val="000000" w:themeColor="dark1"/>
                <w:kern w:val="24"/>
              </w:rPr>
              <w:t>C</w:t>
            </w:r>
            <w:r w:rsidRPr="00861957">
              <w:rPr>
                <w:color w:val="000000" w:themeColor="dark1"/>
                <w:kern w:val="24"/>
              </w:rPr>
              <w:t xml:space="preserve">ompany, ONT, STV, internet portals, Ministry of </w:t>
            </w:r>
            <w:r w:rsidR="006A1E21" w:rsidRPr="00861957">
              <w:t>Internal Affairs</w:t>
            </w:r>
            <w:r w:rsidRPr="00861957">
              <w:rPr>
                <w:color w:val="000000" w:themeColor="dark1"/>
                <w:kern w:val="24"/>
              </w:rPr>
              <w:t>; NGOs</w:t>
            </w:r>
          </w:p>
        </w:tc>
        <w:tc>
          <w:tcPr>
            <w:tcW w:w="1843" w:type="dxa"/>
          </w:tcPr>
          <w:p w14:paraId="51BD9690" w14:textId="13F8B540" w:rsidR="007D580D" w:rsidRPr="00861957" w:rsidRDefault="007D580D" w:rsidP="00B230A7">
            <w:pPr>
              <w:rPr>
                <w:b/>
              </w:rPr>
            </w:pPr>
            <w:r w:rsidRPr="00861957">
              <w:rPr>
                <w:b/>
              </w:rPr>
              <w:t xml:space="preserve">UNICEF – </w:t>
            </w:r>
            <w:r w:rsidR="00624F0A" w:rsidRPr="00861957">
              <w:rPr>
                <w:b/>
              </w:rPr>
              <w:t>$</w:t>
            </w:r>
            <w:r w:rsidRPr="00861957">
              <w:rPr>
                <w:b/>
              </w:rPr>
              <w:t>100</w:t>
            </w:r>
            <w:r w:rsidR="00624F0A" w:rsidRPr="00861957">
              <w:rPr>
                <w:b/>
              </w:rPr>
              <w:t>,</w:t>
            </w:r>
            <w:r w:rsidRPr="00861957">
              <w:rPr>
                <w:b/>
              </w:rPr>
              <w:t>000</w:t>
            </w:r>
          </w:p>
          <w:p w14:paraId="7145F6F0" w14:textId="474E1CE2" w:rsidR="007D580D" w:rsidRPr="00861957" w:rsidRDefault="007D580D" w:rsidP="00B230A7">
            <w:pPr>
              <w:rPr>
                <w:b/>
              </w:rPr>
            </w:pPr>
            <w:r w:rsidRPr="00861957">
              <w:rPr>
                <w:b/>
                <w:bCs/>
              </w:rPr>
              <w:t>WHO</w:t>
            </w:r>
            <w:r w:rsidRPr="00861957">
              <w:rPr>
                <w:b/>
              </w:rPr>
              <w:t xml:space="preserve"> (STEPS survey) – </w:t>
            </w:r>
            <w:r w:rsidR="00624F0A" w:rsidRPr="00861957">
              <w:rPr>
                <w:b/>
              </w:rPr>
              <w:t>$</w:t>
            </w:r>
            <w:r w:rsidRPr="00861957">
              <w:rPr>
                <w:b/>
              </w:rPr>
              <w:t>25,000</w:t>
            </w:r>
          </w:p>
          <w:p w14:paraId="241F5338" w14:textId="058B3B55" w:rsidR="007D580D" w:rsidRPr="00861957" w:rsidRDefault="007D580D" w:rsidP="00B230A7">
            <w:pPr>
              <w:rPr>
                <w:b/>
              </w:rPr>
            </w:pPr>
            <w:r w:rsidRPr="00861957">
              <w:rPr>
                <w:b/>
              </w:rPr>
              <w:t>UNDP</w:t>
            </w:r>
            <w:r w:rsidR="0069379D">
              <w:rPr>
                <w:b/>
              </w:rPr>
              <w:t xml:space="preserve"> -</w:t>
            </w:r>
            <w:r w:rsidRPr="00861957">
              <w:rPr>
                <w:b/>
              </w:rPr>
              <w:t xml:space="preserve"> </w:t>
            </w:r>
            <w:r w:rsidR="0069379D">
              <w:rPr>
                <w:b/>
              </w:rPr>
              <w:t>$755</w:t>
            </w:r>
            <w:r w:rsidR="0069379D" w:rsidRPr="00861957">
              <w:rPr>
                <w:b/>
              </w:rPr>
              <w:t>,000</w:t>
            </w:r>
          </w:p>
        </w:tc>
      </w:tr>
      <w:tr w:rsidR="007D580D" w:rsidRPr="00861957" w14:paraId="1800FE43" w14:textId="77777777" w:rsidTr="00FD4239">
        <w:trPr>
          <w:trHeight w:val="567"/>
        </w:trPr>
        <w:tc>
          <w:tcPr>
            <w:tcW w:w="2268" w:type="dxa"/>
            <w:vMerge/>
            <w:tcBorders>
              <w:left w:val="single" w:sz="4" w:space="0" w:color="auto"/>
              <w:right w:val="single" w:sz="4" w:space="0" w:color="auto"/>
            </w:tcBorders>
            <w:shd w:val="clear" w:color="auto" w:fill="auto"/>
          </w:tcPr>
          <w:p w14:paraId="001B6D90" w14:textId="77777777" w:rsidR="007D580D" w:rsidRPr="00861957" w:rsidRDefault="007D580D" w:rsidP="00B230A7">
            <w:pPr>
              <w:rPr>
                <w:b/>
                <w:bCs/>
              </w:rPr>
            </w:pPr>
          </w:p>
        </w:tc>
        <w:tc>
          <w:tcPr>
            <w:tcW w:w="3686" w:type="dxa"/>
            <w:tcBorders>
              <w:left w:val="single" w:sz="4" w:space="0" w:color="auto"/>
            </w:tcBorders>
            <w:shd w:val="clear" w:color="auto" w:fill="auto"/>
          </w:tcPr>
          <w:p w14:paraId="3746F0AD" w14:textId="46DAFA1F" w:rsidR="007D580D" w:rsidRPr="00861957" w:rsidRDefault="007D580D" w:rsidP="00C82D3C">
            <w:pPr>
              <w:pBdr>
                <w:bottom w:val="single" w:sz="6" w:space="1" w:color="auto"/>
              </w:pBdr>
              <w:rPr>
                <w:bCs/>
              </w:rPr>
            </w:pPr>
            <w:r w:rsidRPr="00861957">
              <w:rPr>
                <w:b/>
                <w:color w:val="000000" w:themeColor="dark1"/>
                <w:kern w:val="24"/>
              </w:rPr>
              <w:t>Indicator 4.1.5.</w:t>
            </w:r>
            <w:r w:rsidRPr="00861957">
              <w:rPr>
                <w:color w:val="000000" w:themeColor="dark1"/>
                <w:kern w:val="24"/>
              </w:rPr>
              <w:t xml:space="preserve"> Average salt (NaCl)</w:t>
            </w:r>
            <w:r w:rsidR="00C82D3C" w:rsidRPr="00861957">
              <w:rPr>
                <w:color w:val="000000" w:themeColor="dark1"/>
                <w:kern w:val="24"/>
              </w:rPr>
              <w:t xml:space="preserve"> consumption</w:t>
            </w:r>
            <w:r w:rsidRPr="00861957">
              <w:rPr>
                <w:color w:val="000000" w:themeColor="dark1"/>
                <w:kern w:val="24"/>
              </w:rPr>
              <w:t xml:space="preserve"> </w:t>
            </w:r>
            <w:r w:rsidRPr="00861957">
              <w:rPr>
                <w:color w:val="000000" w:themeColor="dark1"/>
                <w:kern w:val="24"/>
              </w:rPr>
              <w:br/>
            </w:r>
            <w:r w:rsidRPr="00861957">
              <w:rPr>
                <w:b/>
                <w:color w:val="000000" w:themeColor="dark1"/>
                <w:kern w:val="24"/>
              </w:rPr>
              <w:t>Baseline:</w:t>
            </w:r>
            <w:r w:rsidRPr="00861957">
              <w:rPr>
                <w:color w:val="000000" w:themeColor="dark1"/>
                <w:kern w:val="24"/>
              </w:rPr>
              <w:t xml:space="preserve"> to be determined </w:t>
            </w:r>
            <w:r w:rsidR="00C82D3C" w:rsidRPr="00861957">
              <w:rPr>
                <w:color w:val="000000" w:themeColor="dark1"/>
                <w:kern w:val="24"/>
              </w:rPr>
              <w:t xml:space="preserve">by </w:t>
            </w:r>
            <w:r w:rsidRPr="00861957">
              <w:rPr>
                <w:color w:val="000000" w:themeColor="dark1"/>
                <w:kern w:val="24"/>
              </w:rPr>
              <w:t>the STEPS study in 2015</w:t>
            </w:r>
            <w:r w:rsidRPr="00861957">
              <w:rPr>
                <w:color w:val="000000" w:themeColor="dark1"/>
                <w:kern w:val="24"/>
              </w:rPr>
              <w:br/>
            </w:r>
            <w:r w:rsidRPr="00861957">
              <w:rPr>
                <w:b/>
                <w:color w:val="000000" w:themeColor="dark1"/>
                <w:kern w:val="24"/>
              </w:rPr>
              <w:t>Target:</w:t>
            </w:r>
            <w:r w:rsidRPr="00861957">
              <w:rPr>
                <w:color w:val="000000" w:themeColor="dark1"/>
                <w:kern w:val="24"/>
              </w:rPr>
              <w:t xml:space="preserve"> 15% reduction from the baseline</w:t>
            </w:r>
          </w:p>
        </w:tc>
        <w:tc>
          <w:tcPr>
            <w:tcW w:w="1984" w:type="dxa"/>
            <w:shd w:val="clear" w:color="auto" w:fill="auto"/>
          </w:tcPr>
          <w:p w14:paraId="378BDBA4" w14:textId="77777777" w:rsidR="007D580D" w:rsidRPr="00861957" w:rsidRDefault="007D580D" w:rsidP="00B230A7">
            <w:pPr>
              <w:tabs>
                <w:tab w:val="left" w:pos="1080"/>
              </w:tabs>
              <w:rPr>
                <w:bCs/>
              </w:rPr>
            </w:pPr>
            <w:r w:rsidRPr="00861957">
              <w:rPr>
                <w:color w:val="000000" w:themeColor="dark1"/>
                <w:kern w:val="24"/>
              </w:rPr>
              <w:t>STEPS survey</w:t>
            </w:r>
          </w:p>
        </w:tc>
        <w:tc>
          <w:tcPr>
            <w:tcW w:w="3686" w:type="dxa"/>
            <w:shd w:val="clear" w:color="auto" w:fill="auto"/>
          </w:tcPr>
          <w:p w14:paraId="0B75ECB0" w14:textId="5FAEA8D7" w:rsidR="007D580D" w:rsidRPr="00861957" w:rsidRDefault="007D580D" w:rsidP="00B230A7">
            <w:pPr>
              <w:rPr>
                <w:bCs/>
                <w:kern w:val="24"/>
              </w:rPr>
            </w:pPr>
            <w:r w:rsidRPr="00861957">
              <w:rPr>
                <w:b/>
                <w:kern w:val="24"/>
              </w:rPr>
              <w:t>Assumptions:</w:t>
            </w:r>
            <w:r w:rsidRPr="00861957">
              <w:rPr>
                <w:b/>
                <w:kern w:val="24"/>
              </w:rPr>
              <w:br/>
            </w:r>
            <w:r w:rsidRPr="00861957">
              <w:rPr>
                <w:kern w:val="24"/>
              </w:rPr>
              <w:t>Decision</w:t>
            </w:r>
            <w:r w:rsidR="00D93C56" w:rsidRPr="00861957">
              <w:rPr>
                <w:kern w:val="24"/>
              </w:rPr>
              <w:t>-</w:t>
            </w:r>
            <w:r w:rsidRPr="00861957">
              <w:rPr>
                <w:kern w:val="24"/>
              </w:rPr>
              <w:t>makers are aware</w:t>
            </w:r>
            <w:r w:rsidR="00C82D3C" w:rsidRPr="00861957">
              <w:rPr>
                <w:kern w:val="24"/>
              </w:rPr>
              <w:t xml:space="preserve"> of</w:t>
            </w:r>
            <w:r w:rsidRPr="00861957">
              <w:rPr>
                <w:kern w:val="24"/>
              </w:rPr>
              <w:t xml:space="preserve"> the need to change technological processes in the food industry </w:t>
            </w:r>
          </w:p>
          <w:p w14:paraId="4605C1B4" w14:textId="4A903AFD" w:rsidR="007D580D" w:rsidRPr="00861957" w:rsidRDefault="007D580D" w:rsidP="00B230A7">
            <w:pPr>
              <w:rPr>
                <w:spacing w:val="-20"/>
              </w:rPr>
            </w:pPr>
            <w:r w:rsidRPr="00861957">
              <w:rPr>
                <w:b/>
                <w:kern w:val="24"/>
              </w:rPr>
              <w:t>Risks:</w:t>
            </w:r>
            <w:r w:rsidRPr="00861957">
              <w:rPr>
                <w:b/>
                <w:kern w:val="24"/>
              </w:rPr>
              <w:br/>
            </w:r>
            <w:r w:rsidRPr="00861957">
              <w:rPr>
                <w:kern w:val="24"/>
              </w:rPr>
              <w:t xml:space="preserve">Absence of </w:t>
            </w:r>
            <w:r w:rsidR="00D93C56" w:rsidRPr="00861957">
              <w:rPr>
                <w:kern w:val="24"/>
              </w:rPr>
              <w:t xml:space="preserve">the </w:t>
            </w:r>
            <w:r w:rsidRPr="00861957">
              <w:rPr>
                <w:kern w:val="24"/>
              </w:rPr>
              <w:t xml:space="preserve">technological capabilities to implement modern production processes </w:t>
            </w:r>
            <w:r w:rsidR="00D93C56" w:rsidRPr="00861957">
              <w:rPr>
                <w:kern w:val="24"/>
              </w:rPr>
              <w:t xml:space="preserve">that </w:t>
            </w:r>
            <w:r w:rsidRPr="00861957">
              <w:rPr>
                <w:kern w:val="24"/>
              </w:rPr>
              <w:t>enabl</w:t>
            </w:r>
            <w:r w:rsidR="00D93C56" w:rsidRPr="00861957">
              <w:rPr>
                <w:kern w:val="24"/>
              </w:rPr>
              <w:t>e</w:t>
            </w:r>
            <w:r w:rsidRPr="00861957">
              <w:rPr>
                <w:kern w:val="24"/>
              </w:rPr>
              <w:t xml:space="preserve"> </w:t>
            </w:r>
            <w:r w:rsidR="00D93C56" w:rsidRPr="00861957">
              <w:rPr>
                <w:kern w:val="24"/>
              </w:rPr>
              <w:t xml:space="preserve">a </w:t>
            </w:r>
            <w:r w:rsidRPr="00861957">
              <w:rPr>
                <w:kern w:val="24"/>
              </w:rPr>
              <w:t>reduction in salt content in the final product; Existing cultural tradition to consume foods with high salt content (e.g. sausages, canned foods, etc.)</w:t>
            </w:r>
            <w:r w:rsidRPr="00861957">
              <w:rPr>
                <w:bCs/>
                <w:spacing w:val="-20"/>
                <w:kern w:val="24"/>
              </w:rPr>
              <w:t xml:space="preserve"> </w:t>
            </w:r>
          </w:p>
        </w:tc>
        <w:tc>
          <w:tcPr>
            <w:tcW w:w="1984" w:type="dxa"/>
          </w:tcPr>
          <w:p w14:paraId="65E4DED8" w14:textId="482EF6BF" w:rsidR="007D580D" w:rsidRPr="00861957" w:rsidRDefault="007D580D" w:rsidP="00B230A7">
            <w:pPr>
              <w:rPr>
                <w:color w:val="000000" w:themeColor="dark1"/>
                <w:kern w:val="24"/>
              </w:rPr>
            </w:pPr>
            <w:r w:rsidRPr="00861957">
              <w:rPr>
                <w:color w:val="000000" w:themeColor="dark1"/>
                <w:kern w:val="24"/>
              </w:rPr>
              <w:t>Local governments and administrations; BelGosPis</w:t>
            </w:r>
            <w:r w:rsidR="00D93C56" w:rsidRPr="00861957">
              <w:rPr>
                <w:color w:val="000000" w:themeColor="dark1"/>
                <w:kern w:val="24"/>
              </w:rPr>
              <w:t>h</w:t>
            </w:r>
            <w:r w:rsidRPr="00861957">
              <w:rPr>
                <w:color w:val="000000" w:themeColor="dark1"/>
                <w:kern w:val="24"/>
              </w:rPr>
              <w:t xml:space="preserve">cheProm; Ministry of Health, Ministry of Education, Ministry of </w:t>
            </w:r>
            <w:r w:rsidR="00D93C56" w:rsidRPr="00861957">
              <w:rPr>
                <w:color w:val="000000" w:themeColor="dark1"/>
                <w:kern w:val="24"/>
              </w:rPr>
              <w:t>I</w:t>
            </w:r>
            <w:r w:rsidRPr="00861957">
              <w:rPr>
                <w:color w:val="000000" w:themeColor="dark1"/>
                <w:kern w:val="24"/>
              </w:rPr>
              <w:t xml:space="preserve">nformation, Belarusian </w:t>
            </w:r>
            <w:r w:rsidR="00D93C56" w:rsidRPr="00861957">
              <w:rPr>
                <w:color w:val="000000" w:themeColor="dark1"/>
                <w:kern w:val="24"/>
              </w:rPr>
              <w:t>B</w:t>
            </w:r>
            <w:r w:rsidRPr="00861957">
              <w:rPr>
                <w:color w:val="000000" w:themeColor="dark1"/>
                <w:kern w:val="24"/>
              </w:rPr>
              <w:t xml:space="preserve">roadcasting </w:t>
            </w:r>
            <w:r w:rsidR="00D93C56" w:rsidRPr="00861957">
              <w:rPr>
                <w:color w:val="000000" w:themeColor="dark1"/>
                <w:kern w:val="24"/>
              </w:rPr>
              <w:t>C</w:t>
            </w:r>
            <w:r w:rsidRPr="00861957">
              <w:rPr>
                <w:color w:val="000000" w:themeColor="dark1"/>
                <w:kern w:val="24"/>
              </w:rPr>
              <w:t>ompany, ONT, STV, internet portals, NGOs</w:t>
            </w:r>
          </w:p>
        </w:tc>
        <w:tc>
          <w:tcPr>
            <w:tcW w:w="1843" w:type="dxa"/>
          </w:tcPr>
          <w:p w14:paraId="1845F71D" w14:textId="18478943" w:rsidR="007D580D" w:rsidRPr="00861957" w:rsidRDefault="007D580D" w:rsidP="00B230A7">
            <w:pPr>
              <w:rPr>
                <w:b/>
              </w:rPr>
            </w:pPr>
            <w:r w:rsidRPr="00861957">
              <w:rPr>
                <w:b/>
                <w:bCs/>
              </w:rPr>
              <w:t>WHO</w:t>
            </w:r>
            <w:r w:rsidRPr="00861957">
              <w:rPr>
                <w:b/>
              </w:rPr>
              <w:t xml:space="preserve"> (STEPS survey) – </w:t>
            </w:r>
            <w:r w:rsidR="00624F0A" w:rsidRPr="00861957">
              <w:rPr>
                <w:b/>
              </w:rPr>
              <w:t>$</w:t>
            </w:r>
            <w:r w:rsidRPr="00861957">
              <w:rPr>
                <w:b/>
              </w:rPr>
              <w:t>25,000</w:t>
            </w:r>
          </w:p>
          <w:p w14:paraId="4F25C390" w14:textId="77777777" w:rsidR="007D580D" w:rsidRPr="00861957" w:rsidRDefault="007D580D" w:rsidP="00B230A7">
            <w:pPr>
              <w:rPr>
                <w:b/>
              </w:rPr>
            </w:pPr>
          </w:p>
          <w:p w14:paraId="76CC55B5" w14:textId="77777777" w:rsidR="007D580D" w:rsidRPr="00861957" w:rsidRDefault="007D580D" w:rsidP="00B230A7"/>
        </w:tc>
      </w:tr>
      <w:tr w:rsidR="007D580D" w:rsidRPr="00861957" w14:paraId="5BE868FD" w14:textId="77777777" w:rsidTr="00FD4239">
        <w:trPr>
          <w:trHeight w:val="567"/>
        </w:trPr>
        <w:tc>
          <w:tcPr>
            <w:tcW w:w="2268" w:type="dxa"/>
            <w:vMerge/>
            <w:tcBorders>
              <w:left w:val="single" w:sz="4" w:space="0" w:color="auto"/>
              <w:right w:val="single" w:sz="4" w:space="0" w:color="auto"/>
            </w:tcBorders>
            <w:shd w:val="clear" w:color="auto" w:fill="auto"/>
          </w:tcPr>
          <w:p w14:paraId="79270D67" w14:textId="77777777" w:rsidR="007D580D" w:rsidRPr="00861957" w:rsidRDefault="007D580D" w:rsidP="00B230A7">
            <w:pPr>
              <w:rPr>
                <w:b/>
                <w:bCs/>
              </w:rPr>
            </w:pPr>
          </w:p>
        </w:tc>
        <w:tc>
          <w:tcPr>
            <w:tcW w:w="3686" w:type="dxa"/>
            <w:tcBorders>
              <w:left w:val="single" w:sz="4" w:space="0" w:color="auto"/>
            </w:tcBorders>
            <w:shd w:val="clear" w:color="auto" w:fill="auto"/>
          </w:tcPr>
          <w:p w14:paraId="6A3A2A0B" w14:textId="4CBCDCFF" w:rsidR="007D580D" w:rsidRPr="00861957" w:rsidRDefault="007D580D" w:rsidP="00C82D3C">
            <w:pPr>
              <w:pBdr>
                <w:bottom w:val="single" w:sz="6" w:space="1" w:color="auto"/>
              </w:pBdr>
              <w:rPr>
                <w:bCs/>
              </w:rPr>
            </w:pPr>
            <w:r w:rsidRPr="00861957">
              <w:rPr>
                <w:b/>
                <w:color w:val="000000" w:themeColor="dark1"/>
                <w:kern w:val="24"/>
              </w:rPr>
              <w:t>Indicator 4.1.6.</w:t>
            </w:r>
            <w:r w:rsidRPr="00861957">
              <w:rPr>
                <w:color w:val="000000" w:themeColor="dark1"/>
                <w:kern w:val="24"/>
              </w:rPr>
              <w:t xml:space="preserve"> </w:t>
            </w:r>
            <w:r w:rsidRPr="00861957">
              <w:rPr>
                <w:kern w:val="24"/>
              </w:rPr>
              <w:t>Relative prevalence of insufficient physical activity</w:t>
            </w:r>
            <w:r w:rsidRPr="00861957">
              <w:rPr>
                <w:color w:val="000000" w:themeColor="dark1"/>
                <w:kern w:val="24"/>
              </w:rPr>
              <w:t xml:space="preserve"> (disaggregated by age and sex)</w:t>
            </w:r>
            <w:r w:rsidRPr="00861957">
              <w:rPr>
                <w:color w:val="000000" w:themeColor="dark1"/>
                <w:kern w:val="24"/>
              </w:rPr>
              <w:br/>
            </w:r>
            <w:r w:rsidRPr="00861957">
              <w:rPr>
                <w:b/>
                <w:color w:val="000000" w:themeColor="dark1"/>
                <w:kern w:val="24"/>
              </w:rPr>
              <w:t>Baseline:</w:t>
            </w:r>
            <w:r w:rsidRPr="00861957">
              <w:rPr>
                <w:color w:val="000000" w:themeColor="dark1"/>
                <w:kern w:val="24"/>
              </w:rPr>
              <w:t xml:space="preserve"> to be determined </w:t>
            </w:r>
            <w:r w:rsidR="00C82D3C" w:rsidRPr="00861957">
              <w:rPr>
                <w:color w:val="000000" w:themeColor="dark1"/>
                <w:kern w:val="24"/>
              </w:rPr>
              <w:t xml:space="preserve">by </w:t>
            </w:r>
            <w:r w:rsidRPr="00861957">
              <w:rPr>
                <w:color w:val="000000" w:themeColor="dark1"/>
                <w:kern w:val="24"/>
              </w:rPr>
              <w:t xml:space="preserve">the </w:t>
            </w:r>
            <w:r w:rsidRPr="00861957">
              <w:rPr>
                <w:color w:val="000000" w:themeColor="dark1"/>
                <w:kern w:val="24"/>
              </w:rPr>
              <w:lastRenderedPageBreak/>
              <w:t>STEPS study in 2015</w:t>
            </w:r>
            <w:r w:rsidRPr="00861957">
              <w:rPr>
                <w:color w:val="000000" w:themeColor="dark1"/>
                <w:kern w:val="24"/>
              </w:rPr>
              <w:br/>
            </w:r>
            <w:r w:rsidRPr="00861957">
              <w:rPr>
                <w:b/>
                <w:color w:val="000000" w:themeColor="dark1"/>
                <w:kern w:val="24"/>
              </w:rPr>
              <w:t>Target</w:t>
            </w:r>
            <w:r w:rsidRPr="00861957">
              <w:rPr>
                <w:color w:val="000000" w:themeColor="dark1"/>
                <w:kern w:val="24"/>
              </w:rPr>
              <w:t>: 10% reduction from the baseline</w:t>
            </w:r>
          </w:p>
        </w:tc>
        <w:tc>
          <w:tcPr>
            <w:tcW w:w="1984" w:type="dxa"/>
            <w:shd w:val="clear" w:color="auto" w:fill="auto"/>
          </w:tcPr>
          <w:p w14:paraId="546BCAFA" w14:textId="77777777" w:rsidR="007D580D" w:rsidRPr="00861957" w:rsidRDefault="007D580D" w:rsidP="00B230A7">
            <w:pPr>
              <w:tabs>
                <w:tab w:val="left" w:pos="1080"/>
              </w:tabs>
              <w:rPr>
                <w:bCs/>
              </w:rPr>
            </w:pPr>
            <w:r w:rsidRPr="00861957">
              <w:rPr>
                <w:color w:val="000000" w:themeColor="dark1"/>
                <w:kern w:val="24"/>
              </w:rPr>
              <w:lastRenderedPageBreak/>
              <w:t>STEPS survey</w:t>
            </w:r>
          </w:p>
        </w:tc>
        <w:tc>
          <w:tcPr>
            <w:tcW w:w="3686" w:type="dxa"/>
            <w:shd w:val="clear" w:color="auto" w:fill="auto"/>
          </w:tcPr>
          <w:p w14:paraId="4656B0A3" w14:textId="77777777" w:rsidR="007D580D" w:rsidRPr="00861957" w:rsidRDefault="007D580D" w:rsidP="00814628">
            <w:r w:rsidRPr="00861957">
              <w:rPr>
                <w:b/>
                <w:kern w:val="24"/>
              </w:rPr>
              <w:t xml:space="preserve">Assumptions: </w:t>
            </w:r>
            <w:r w:rsidRPr="00861957">
              <w:rPr>
                <w:b/>
                <w:kern w:val="24"/>
              </w:rPr>
              <w:br/>
            </w:r>
            <w:r w:rsidRPr="00861957">
              <w:rPr>
                <w:kern w:val="24"/>
              </w:rPr>
              <w:t>The public are prepared to change their cultural and behaviour stereotypes</w:t>
            </w:r>
            <w:r w:rsidR="00814628" w:rsidRPr="00861957">
              <w:rPr>
                <w:kern w:val="24"/>
              </w:rPr>
              <w:t xml:space="preserve"> and increase physical activity</w:t>
            </w:r>
          </w:p>
        </w:tc>
        <w:tc>
          <w:tcPr>
            <w:tcW w:w="1984" w:type="dxa"/>
          </w:tcPr>
          <w:p w14:paraId="06C33290" w14:textId="78C4DF58" w:rsidR="007D580D" w:rsidRPr="00861957" w:rsidRDefault="007D580D" w:rsidP="00D93C56">
            <w:r w:rsidRPr="00861957">
              <w:rPr>
                <w:kern w:val="24"/>
              </w:rPr>
              <w:t xml:space="preserve">Local governments and administrations; Ministry of Health, Ministry </w:t>
            </w:r>
            <w:r w:rsidRPr="00861957">
              <w:rPr>
                <w:kern w:val="24"/>
              </w:rPr>
              <w:lastRenderedPageBreak/>
              <w:t xml:space="preserve">of Education; Ministry of </w:t>
            </w:r>
            <w:r w:rsidR="00D93C56" w:rsidRPr="00861957">
              <w:rPr>
                <w:kern w:val="24"/>
              </w:rPr>
              <w:t>I</w:t>
            </w:r>
            <w:r w:rsidRPr="00861957">
              <w:rPr>
                <w:kern w:val="24"/>
              </w:rPr>
              <w:t xml:space="preserve">nformation, Belarusian </w:t>
            </w:r>
            <w:r w:rsidR="00D93C56" w:rsidRPr="00861957">
              <w:rPr>
                <w:kern w:val="24"/>
              </w:rPr>
              <w:t>B</w:t>
            </w:r>
            <w:r w:rsidRPr="00861957">
              <w:rPr>
                <w:kern w:val="24"/>
              </w:rPr>
              <w:t xml:space="preserve">roadcasting </w:t>
            </w:r>
            <w:r w:rsidR="00D93C56" w:rsidRPr="00861957">
              <w:rPr>
                <w:kern w:val="24"/>
              </w:rPr>
              <w:t>C</w:t>
            </w:r>
            <w:r w:rsidRPr="00861957">
              <w:rPr>
                <w:kern w:val="24"/>
              </w:rPr>
              <w:t>ompany, ONT, STV, internet portals, Ministry of Culture, NGOs</w:t>
            </w:r>
          </w:p>
        </w:tc>
        <w:tc>
          <w:tcPr>
            <w:tcW w:w="1843" w:type="dxa"/>
          </w:tcPr>
          <w:p w14:paraId="09776D85" w14:textId="0B697B7A" w:rsidR="007D580D" w:rsidRPr="00861957" w:rsidRDefault="007D580D" w:rsidP="00B230A7">
            <w:pPr>
              <w:rPr>
                <w:b/>
              </w:rPr>
            </w:pPr>
            <w:r w:rsidRPr="00861957">
              <w:rPr>
                <w:b/>
                <w:bCs/>
              </w:rPr>
              <w:lastRenderedPageBreak/>
              <w:t>WHO</w:t>
            </w:r>
            <w:r w:rsidRPr="00861957">
              <w:rPr>
                <w:b/>
              </w:rPr>
              <w:t xml:space="preserve"> (STEPS survey – </w:t>
            </w:r>
            <w:r w:rsidR="00624F0A" w:rsidRPr="00861957">
              <w:rPr>
                <w:b/>
              </w:rPr>
              <w:t>$</w:t>
            </w:r>
            <w:r w:rsidRPr="00861957">
              <w:rPr>
                <w:b/>
              </w:rPr>
              <w:t>25,000</w:t>
            </w:r>
          </w:p>
          <w:p w14:paraId="45B14B6D" w14:textId="1CE7016A" w:rsidR="007D580D" w:rsidRPr="00861957" w:rsidRDefault="007D580D" w:rsidP="00B230A7">
            <w:pPr>
              <w:rPr>
                <w:b/>
              </w:rPr>
            </w:pPr>
            <w:r w:rsidRPr="00861957">
              <w:rPr>
                <w:b/>
              </w:rPr>
              <w:t>UNDP</w:t>
            </w:r>
            <w:r w:rsidR="00F554F0">
              <w:rPr>
                <w:b/>
              </w:rPr>
              <w:t xml:space="preserve"> - </w:t>
            </w:r>
            <w:r w:rsidRPr="00861957">
              <w:rPr>
                <w:b/>
              </w:rPr>
              <w:t xml:space="preserve"> $</w:t>
            </w:r>
            <w:r w:rsidR="0069379D">
              <w:rPr>
                <w:b/>
              </w:rPr>
              <w:t>7</w:t>
            </w:r>
            <w:r w:rsidRPr="00861957">
              <w:rPr>
                <w:b/>
              </w:rPr>
              <w:t>5</w:t>
            </w:r>
            <w:r w:rsidR="0069379D">
              <w:rPr>
                <w:b/>
              </w:rPr>
              <w:t>5</w:t>
            </w:r>
            <w:r w:rsidRPr="00861957">
              <w:rPr>
                <w:b/>
              </w:rPr>
              <w:t>,000</w:t>
            </w:r>
          </w:p>
          <w:p w14:paraId="3DA772B5" w14:textId="77777777" w:rsidR="00D57966" w:rsidRPr="00861957" w:rsidRDefault="00D57966" w:rsidP="00B230A7">
            <w:pPr>
              <w:rPr>
                <w:b/>
              </w:rPr>
            </w:pPr>
            <w:r w:rsidRPr="00861957">
              <w:rPr>
                <w:b/>
              </w:rPr>
              <w:lastRenderedPageBreak/>
              <w:t>UNESCO - $25,000</w:t>
            </w:r>
          </w:p>
        </w:tc>
      </w:tr>
      <w:tr w:rsidR="007D580D" w:rsidRPr="00861957" w14:paraId="2F848B70" w14:textId="77777777" w:rsidTr="00FD4239">
        <w:trPr>
          <w:trHeight w:val="567"/>
        </w:trPr>
        <w:tc>
          <w:tcPr>
            <w:tcW w:w="2268" w:type="dxa"/>
            <w:vMerge/>
            <w:tcBorders>
              <w:left w:val="single" w:sz="4" w:space="0" w:color="auto"/>
              <w:right w:val="single" w:sz="4" w:space="0" w:color="auto"/>
            </w:tcBorders>
            <w:shd w:val="clear" w:color="auto" w:fill="auto"/>
          </w:tcPr>
          <w:p w14:paraId="7E108693" w14:textId="77777777" w:rsidR="007D580D" w:rsidRPr="00861957" w:rsidRDefault="007D580D" w:rsidP="00B230A7">
            <w:pPr>
              <w:rPr>
                <w:b/>
                <w:bCs/>
              </w:rPr>
            </w:pPr>
          </w:p>
        </w:tc>
        <w:tc>
          <w:tcPr>
            <w:tcW w:w="3686" w:type="dxa"/>
            <w:tcBorders>
              <w:left w:val="single" w:sz="4" w:space="0" w:color="auto"/>
            </w:tcBorders>
            <w:shd w:val="clear" w:color="auto" w:fill="auto"/>
          </w:tcPr>
          <w:p w14:paraId="5B07BF58" w14:textId="33B92277" w:rsidR="007D580D" w:rsidRPr="00861957" w:rsidRDefault="007D580D" w:rsidP="00C82D3C">
            <w:pPr>
              <w:jc w:val="both"/>
              <w:rPr>
                <w:color w:val="000000" w:themeColor="dark1"/>
                <w:kern w:val="24"/>
              </w:rPr>
            </w:pPr>
            <w:r w:rsidRPr="00861957">
              <w:rPr>
                <w:b/>
                <w:color w:val="000000" w:themeColor="text1"/>
                <w:kern w:val="24"/>
              </w:rPr>
              <w:t xml:space="preserve">Indicator 4.1.7. </w:t>
            </w:r>
            <w:r w:rsidRPr="00861957">
              <w:t>Access to complex, preventive, diagnostic and curative care for early diagnosis of cervical cancer</w:t>
            </w:r>
            <w:r w:rsidR="00C82D3C" w:rsidRPr="00861957">
              <w:t xml:space="preserve"> for women aged 25-60</w:t>
            </w:r>
            <w:r w:rsidRPr="00861957">
              <w:br/>
            </w:r>
            <w:r w:rsidRPr="00861957">
              <w:rPr>
                <w:b/>
                <w:color w:val="000000" w:themeColor="dark1"/>
                <w:kern w:val="24"/>
              </w:rPr>
              <w:t>Baseline:</w:t>
            </w:r>
            <w:r w:rsidRPr="00861957">
              <w:rPr>
                <w:color w:val="000000" w:themeColor="dark1"/>
                <w:kern w:val="24"/>
              </w:rPr>
              <w:t xml:space="preserve"> 0%</w:t>
            </w:r>
            <w:r w:rsidRPr="00861957">
              <w:rPr>
                <w:color w:val="000000" w:themeColor="dark1"/>
                <w:kern w:val="24"/>
              </w:rPr>
              <w:br/>
            </w:r>
            <w:r w:rsidRPr="00861957">
              <w:rPr>
                <w:b/>
                <w:color w:val="000000" w:themeColor="dark1"/>
                <w:kern w:val="24"/>
              </w:rPr>
              <w:t>Target</w:t>
            </w:r>
            <w:r w:rsidRPr="00861957">
              <w:rPr>
                <w:color w:val="000000" w:themeColor="dark1"/>
                <w:kern w:val="24"/>
              </w:rPr>
              <w:t>:</w:t>
            </w:r>
            <w:r w:rsidRPr="00861957">
              <w:rPr>
                <w:color w:val="000000" w:themeColor="dark1"/>
                <w:kern w:val="24"/>
              </w:rPr>
              <w:br/>
            </w:r>
            <w:r w:rsidRPr="00861957">
              <w:rPr>
                <w:color w:val="000000" w:themeColor="text1"/>
              </w:rPr>
              <w:t xml:space="preserve">80% </w:t>
            </w:r>
            <w:r w:rsidRPr="00861957">
              <w:t>of women aged 25-60 are covered by screening for cervical cancer</w:t>
            </w:r>
          </w:p>
        </w:tc>
        <w:tc>
          <w:tcPr>
            <w:tcW w:w="1984" w:type="dxa"/>
            <w:shd w:val="clear" w:color="auto" w:fill="auto"/>
          </w:tcPr>
          <w:p w14:paraId="53447C3E" w14:textId="77777777" w:rsidR="007D580D" w:rsidRPr="00861957" w:rsidRDefault="007D580D" w:rsidP="00B230A7">
            <w:pPr>
              <w:tabs>
                <w:tab w:val="left" w:pos="1080"/>
              </w:tabs>
              <w:rPr>
                <w:bCs/>
              </w:rPr>
            </w:pPr>
            <w:r w:rsidRPr="00861957">
              <w:rPr>
                <w:color w:val="000000" w:themeColor="dark1"/>
                <w:kern w:val="24"/>
              </w:rPr>
              <w:t>Ministry of Health</w:t>
            </w:r>
          </w:p>
        </w:tc>
        <w:tc>
          <w:tcPr>
            <w:tcW w:w="3686" w:type="dxa"/>
            <w:shd w:val="clear" w:color="auto" w:fill="auto"/>
          </w:tcPr>
          <w:p w14:paraId="055F383C" w14:textId="77777777" w:rsidR="007D580D" w:rsidRPr="00861957" w:rsidRDefault="007D580D" w:rsidP="00B230A7">
            <w:pPr>
              <w:rPr>
                <w:b/>
                <w:bCs/>
                <w:kern w:val="24"/>
              </w:rPr>
            </w:pPr>
            <w:r w:rsidRPr="00861957">
              <w:rPr>
                <w:b/>
                <w:kern w:val="24"/>
              </w:rPr>
              <w:t xml:space="preserve">Assumptions: </w:t>
            </w:r>
            <w:r w:rsidRPr="00861957">
              <w:rPr>
                <w:b/>
                <w:kern w:val="24"/>
              </w:rPr>
              <w:br/>
            </w:r>
            <w:r w:rsidRPr="00861957">
              <w:rPr>
                <w:kern w:val="24"/>
              </w:rPr>
              <w:t>Action plan on screening for cervical cancer is being implemented</w:t>
            </w:r>
          </w:p>
          <w:p w14:paraId="30FD03E1" w14:textId="606BED7F" w:rsidR="007D580D" w:rsidRPr="00861957" w:rsidRDefault="007D580D" w:rsidP="00B230A7">
            <w:pPr>
              <w:rPr>
                <w:bCs/>
                <w:color w:val="000000" w:themeColor="text1"/>
                <w:kern w:val="24"/>
              </w:rPr>
            </w:pPr>
            <w:r w:rsidRPr="00861957">
              <w:rPr>
                <w:b/>
                <w:kern w:val="24"/>
              </w:rPr>
              <w:t xml:space="preserve">Risks: </w:t>
            </w:r>
            <w:r w:rsidRPr="00861957">
              <w:rPr>
                <w:b/>
                <w:kern w:val="24"/>
              </w:rPr>
              <w:br/>
            </w:r>
            <w:r w:rsidR="00D93C56" w:rsidRPr="00861957">
              <w:rPr>
                <w:kern w:val="24"/>
              </w:rPr>
              <w:t>Risks related to the slowing of economic growth and consequent financing</w:t>
            </w:r>
          </w:p>
        </w:tc>
        <w:tc>
          <w:tcPr>
            <w:tcW w:w="1984" w:type="dxa"/>
          </w:tcPr>
          <w:p w14:paraId="758A9D69" w14:textId="668FBE3E" w:rsidR="007D580D" w:rsidRPr="00861957" w:rsidRDefault="007D580D" w:rsidP="00D93C56">
            <w:r w:rsidRPr="00861957">
              <w:rPr>
                <w:color w:val="000000" w:themeColor="dark1"/>
                <w:kern w:val="24"/>
              </w:rPr>
              <w:t xml:space="preserve">Ministry of Health, local governments and administrations; Ministry of Information, Belarusian </w:t>
            </w:r>
            <w:r w:rsidR="00D93C56" w:rsidRPr="00861957">
              <w:rPr>
                <w:color w:val="000000" w:themeColor="dark1"/>
                <w:kern w:val="24"/>
              </w:rPr>
              <w:t>B</w:t>
            </w:r>
            <w:r w:rsidRPr="00861957">
              <w:rPr>
                <w:color w:val="000000" w:themeColor="dark1"/>
                <w:kern w:val="24"/>
              </w:rPr>
              <w:t>roadcasting</w:t>
            </w:r>
            <w:r w:rsidR="00D93C56" w:rsidRPr="00861957">
              <w:rPr>
                <w:color w:val="000000" w:themeColor="dark1"/>
                <w:kern w:val="24"/>
              </w:rPr>
              <w:t xml:space="preserve"> C</w:t>
            </w:r>
            <w:r w:rsidRPr="00861957">
              <w:rPr>
                <w:color w:val="000000" w:themeColor="dark1"/>
                <w:kern w:val="24"/>
              </w:rPr>
              <w:t xml:space="preserve">ompany, ONT, STV, internet portals, NGOs </w:t>
            </w:r>
          </w:p>
        </w:tc>
        <w:tc>
          <w:tcPr>
            <w:tcW w:w="1843" w:type="dxa"/>
          </w:tcPr>
          <w:p w14:paraId="61C5BAB5" w14:textId="438922D4" w:rsidR="007D580D" w:rsidRPr="00861957" w:rsidRDefault="007D580D" w:rsidP="00B230A7">
            <w:pPr>
              <w:rPr>
                <w:b/>
              </w:rPr>
            </w:pPr>
            <w:r w:rsidRPr="00861957">
              <w:rPr>
                <w:b/>
              </w:rPr>
              <w:t xml:space="preserve">WHO through RF project </w:t>
            </w:r>
            <w:r w:rsidR="00624F0A" w:rsidRPr="00861957">
              <w:rPr>
                <w:b/>
              </w:rPr>
              <w:t>$</w:t>
            </w:r>
            <w:r w:rsidRPr="00861957">
              <w:rPr>
                <w:b/>
              </w:rPr>
              <w:t>2,000,000 – not yet confirmed</w:t>
            </w:r>
          </w:p>
          <w:p w14:paraId="79988B71" w14:textId="33822E56" w:rsidR="007D580D" w:rsidRPr="00861957" w:rsidRDefault="007D580D" w:rsidP="00B230A7">
            <w:pPr>
              <w:rPr>
                <w:b/>
              </w:rPr>
            </w:pPr>
            <w:r w:rsidRPr="00861957">
              <w:rPr>
                <w:b/>
              </w:rPr>
              <w:t xml:space="preserve">UNFPA – </w:t>
            </w:r>
            <w:r w:rsidR="00624F0A" w:rsidRPr="00861957">
              <w:rPr>
                <w:b/>
              </w:rPr>
              <w:t>$</w:t>
            </w:r>
            <w:r w:rsidRPr="00861957">
              <w:rPr>
                <w:b/>
              </w:rPr>
              <w:t>20</w:t>
            </w:r>
            <w:r w:rsidR="00624F0A" w:rsidRPr="00861957">
              <w:rPr>
                <w:b/>
              </w:rPr>
              <w:t>,</w:t>
            </w:r>
            <w:r w:rsidRPr="00861957">
              <w:rPr>
                <w:b/>
              </w:rPr>
              <w:t xml:space="preserve">000; </w:t>
            </w:r>
            <w:r w:rsidR="00624F0A" w:rsidRPr="00861957">
              <w:rPr>
                <w:b/>
              </w:rPr>
              <w:t>$</w:t>
            </w:r>
            <w:r w:rsidRPr="00861957">
              <w:rPr>
                <w:b/>
              </w:rPr>
              <w:t>20</w:t>
            </w:r>
            <w:r w:rsidR="00624F0A" w:rsidRPr="00861957">
              <w:rPr>
                <w:b/>
              </w:rPr>
              <w:t>,</w:t>
            </w:r>
            <w:r w:rsidRPr="00861957">
              <w:rPr>
                <w:b/>
              </w:rPr>
              <w:t>000 (to be mobili</w:t>
            </w:r>
            <w:r w:rsidR="000F002C" w:rsidRPr="00861957">
              <w:rPr>
                <w:b/>
              </w:rPr>
              <w:t>z</w:t>
            </w:r>
            <w:r w:rsidRPr="00861957">
              <w:rPr>
                <w:b/>
              </w:rPr>
              <w:t>ed)</w:t>
            </w:r>
          </w:p>
          <w:p w14:paraId="6C2A5826" w14:textId="213A970D" w:rsidR="007D580D" w:rsidRPr="00861957" w:rsidRDefault="007D580D" w:rsidP="00B230A7">
            <w:pPr>
              <w:rPr>
                <w:b/>
              </w:rPr>
            </w:pPr>
          </w:p>
        </w:tc>
      </w:tr>
      <w:tr w:rsidR="007D580D" w:rsidRPr="00861957" w14:paraId="1D9E3D09" w14:textId="77777777" w:rsidTr="00FD4239">
        <w:trPr>
          <w:trHeight w:val="567"/>
        </w:trPr>
        <w:tc>
          <w:tcPr>
            <w:tcW w:w="2268" w:type="dxa"/>
            <w:vMerge/>
            <w:tcBorders>
              <w:left w:val="single" w:sz="4" w:space="0" w:color="auto"/>
              <w:right w:val="single" w:sz="4" w:space="0" w:color="auto"/>
            </w:tcBorders>
            <w:shd w:val="clear" w:color="auto" w:fill="auto"/>
          </w:tcPr>
          <w:p w14:paraId="0AE6153E" w14:textId="77777777" w:rsidR="007D580D" w:rsidRPr="00861957" w:rsidRDefault="007D580D" w:rsidP="00B230A7">
            <w:pPr>
              <w:rPr>
                <w:b/>
                <w:bCs/>
              </w:rPr>
            </w:pPr>
          </w:p>
        </w:tc>
        <w:tc>
          <w:tcPr>
            <w:tcW w:w="3686" w:type="dxa"/>
            <w:tcBorders>
              <w:left w:val="single" w:sz="4" w:space="0" w:color="auto"/>
            </w:tcBorders>
            <w:shd w:val="clear" w:color="auto" w:fill="auto"/>
          </w:tcPr>
          <w:p w14:paraId="37C99EED" w14:textId="77777777" w:rsidR="007D580D" w:rsidRPr="00861957" w:rsidRDefault="007D580D" w:rsidP="00B230A7">
            <w:pPr>
              <w:jc w:val="both"/>
              <w:rPr>
                <w:b/>
                <w:color w:val="000000" w:themeColor="text1"/>
                <w:kern w:val="24"/>
              </w:rPr>
            </w:pPr>
            <w:r w:rsidRPr="00861957">
              <w:rPr>
                <w:b/>
                <w:color w:val="000000" w:themeColor="text1"/>
                <w:kern w:val="24"/>
              </w:rPr>
              <w:t>Indicator 4.1.8.</w:t>
            </w:r>
          </w:p>
          <w:p w14:paraId="4CE2B4CD" w14:textId="2145651A" w:rsidR="007D580D" w:rsidRPr="00861957" w:rsidRDefault="00C82D3C" w:rsidP="00B230A7">
            <w:pPr>
              <w:jc w:val="both"/>
              <w:rPr>
                <w:color w:val="000000" w:themeColor="text1"/>
                <w:kern w:val="24"/>
              </w:rPr>
            </w:pPr>
            <w:r w:rsidRPr="00861957">
              <w:rPr>
                <w:color w:val="000000" w:themeColor="text1"/>
                <w:kern w:val="24"/>
              </w:rPr>
              <w:t>Coverage of c</w:t>
            </w:r>
            <w:r w:rsidR="007D580D" w:rsidRPr="00861957">
              <w:rPr>
                <w:color w:val="000000" w:themeColor="text1"/>
                <w:kern w:val="24"/>
              </w:rPr>
              <w:t xml:space="preserve">ervical cancer vaccination </w:t>
            </w:r>
            <w:r w:rsidRPr="00861957">
              <w:rPr>
                <w:color w:val="000000" w:themeColor="text1"/>
                <w:kern w:val="24"/>
              </w:rPr>
              <w:t xml:space="preserve">among </w:t>
            </w:r>
            <w:r w:rsidR="007D580D" w:rsidRPr="00861957">
              <w:rPr>
                <w:color w:val="000000" w:themeColor="text1"/>
                <w:kern w:val="24"/>
              </w:rPr>
              <w:t>girls aged 10 – 18</w:t>
            </w:r>
          </w:p>
          <w:p w14:paraId="303EF9FC" w14:textId="77777777" w:rsidR="007D580D" w:rsidRPr="00861957" w:rsidRDefault="007D580D" w:rsidP="00B230A7">
            <w:pPr>
              <w:jc w:val="both"/>
              <w:rPr>
                <w:color w:val="000000" w:themeColor="text1"/>
                <w:kern w:val="24"/>
              </w:rPr>
            </w:pPr>
            <w:r w:rsidRPr="00861957">
              <w:rPr>
                <w:b/>
                <w:color w:val="000000" w:themeColor="text1"/>
                <w:kern w:val="24"/>
              </w:rPr>
              <w:t>Baseline:</w:t>
            </w:r>
            <w:r w:rsidRPr="00861957">
              <w:rPr>
                <w:color w:val="000000" w:themeColor="text1"/>
                <w:kern w:val="24"/>
              </w:rPr>
              <w:t xml:space="preserve"> 0.07% of total female population on a paid basis</w:t>
            </w:r>
            <w:r w:rsidRPr="00861957">
              <w:rPr>
                <w:color w:val="000000" w:themeColor="text1"/>
                <w:kern w:val="24"/>
              </w:rPr>
              <w:br/>
            </w:r>
            <w:r w:rsidRPr="00861957">
              <w:rPr>
                <w:b/>
                <w:color w:val="000000" w:themeColor="text1"/>
                <w:kern w:val="24"/>
              </w:rPr>
              <w:t>Target:</w:t>
            </w:r>
            <w:r w:rsidRPr="00861957">
              <w:rPr>
                <w:color w:val="000000" w:themeColor="text1"/>
                <w:kern w:val="24"/>
              </w:rPr>
              <w:t xml:space="preserve"> 10% of girls aged 10, as a target group</w:t>
            </w:r>
          </w:p>
          <w:p w14:paraId="7B090665" w14:textId="77777777" w:rsidR="007D580D" w:rsidRPr="00861957" w:rsidRDefault="007D580D" w:rsidP="00B230A7">
            <w:pPr>
              <w:rPr>
                <w:b/>
                <w:color w:val="000000" w:themeColor="text1"/>
                <w:kern w:val="24"/>
              </w:rPr>
            </w:pPr>
          </w:p>
        </w:tc>
        <w:tc>
          <w:tcPr>
            <w:tcW w:w="1984" w:type="dxa"/>
            <w:shd w:val="clear" w:color="auto" w:fill="auto"/>
          </w:tcPr>
          <w:p w14:paraId="24474655" w14:textId="77777777" w:rsidR="007D580D" w:rsidRPr="00861957" w:rsidRDefault="007D580D" w:rsidP="00B230A7">
            <w:pPr>
              <w:tabs>
                <w:tab w:val="left" w:pos="1080"/>
              </w:tabs>
              <w:rPr>
                <w:color w:val="000000" w:themeColor="dark1"/>
                <w:kern w:val="24"/>
              </w:rPr>
            </w:pPr>
            <w:r w:rsidRPr="00861957">
              <w:rPr>
                <w:color w:val="000000" w:themeColor="dark1"/>
                <w:kern w:val="24"/>
              </w:rPr>
              <w:t>Ministry of Health</w:t>
            </w:r>
          </w:p>
        </w:tc>
        <w:tc>
          <w:tcPr>
            <w:tcW w:w="3686" w:type="dxa"/>
            <w:shd w:val="clear" w:color="auto" w:fill="auto"/>
          </w:tcPr>
          <w:p w14:paraId="5D61E519" w14:textId="5748BF16" w:rsidR="007D580D" w:rsidRPr="00861957" w:rsidRDefault="007D580D" w:rsidP="00B230A7">
            <w:pPr>
              <w:rPr>
                <w:kern w:val="24"/>
              </w:rPr>
            </w:pPr>
            <w:r w:rsidRPr="00861957">
              <w:rPr>
                <w:b/>
                <w:kern w:val="24"/>
              </w:rPr>
              <w:t xml:space="preserve">Assumptions: </w:t>
            </w:r>
            <w:r w:rsidRPr="00861957">
              <w:rPr>
                <w:b/>
                <w:kern w:val="24"/>
              </w:rPr>
              <w:br/>
            </w:r>
            <w:r w:rsidRPr="00861957">
              <w:rPr>
                <w:color w:val="000000" w:themeColor="text1"/>
                <w:kern w:val="24"/>
              </w:rPr>
              <w:t xml:space="preserve">cervical cancer </w:t>
            </w:r>
            <w:r w:rsidRPr="00861957">
              <w:rPr>
                <w:kern w:val="24"/>
              </w:rPr>
              <w:t>preventive vaccination programme</w:t>
            </w:r>
            <w:r w:rsidR="00CB7407">
              <w:rPr>
                <w:kern w:val="24"/>
              </w:rPr>
              <w:t xml:space="preserve"> is in place</w:t>
            </w:r>
          </w:p>
          <w:p w14:paraId="0F9ECF18" w14:textId="1E10E62F" w:rsidR="007D580D" w:rsidRPr="00861957" w:rsidRDefault="007D580D" w:rsidP="00B230A7">
            <w:pPr>
              <w:rPr>
                <w:b/>
                <w:bCs/>
                <w:kern w:val="24"/>
              </w:rPr>
            </w:pPr>
            <w:r w:rsidRPr="00861957">
              <w:rPr>
                <w:b/>
                <w:kern w:val="24"/>
              </w:rPr>
              <w:t xml:space="preserve">Risks: </w:t>
            </w:r>
            <w:r w:rsidRPr="00861957">
              <w:rPr>
                <w:b/>
                <w:kern w:val="24"/>
              </w:rPr>
              <w:br/>
            </w:r>
            <w:r w:rsidR="00D93C56" w:rsidRPr="00861957">
              <w:rPr>
                <w:kern w:val="24"/>
              </w:rPr>
              <w:t>Risks related to the slowing of economic growth and consequent financing</w:t>
            </w:r>
          </w:p>
        </w:tc>
        <w:tc>
          <w:tcPr>
            <w:tcW w:w="1984" w:type="dxa"/>
          </w:tcPr>
          <w:p w14:paraId="5A7B8B7B" w14:textId="0F918384" w:rsidR="007D580D" w:rsidRPr="00861957" w:rsidRDefault="007D580D" w:rsidP="00B230A7">
            <w:pPr>
              <w:rPr>
                <w:color w:val="000000" w:themeColor="dark1"/>
                <w:kern w:val="24"/>
              </w:rPr>
            </w:pPr>
            <w:r w:rsidRPr="00861957">
              <w:rPr>
                <w:color w:val="000000" w:themeColor="text1"/>
                <w:kern w:val="24"/>
              </w:rPr>
              <w:t>Ministry of Health, local governments and administrations</w:t>
            </w:r>
            <w:r w:rsidRPr="00861957">
              <w:rPr>
                <w:color w:val="000000" w:themeColor="text1"/>
              </w:rPr>
              <w:t xml:space="preserve"> </w:t>
            </w:r>
            <w:r w:rsidRPr="00861957">
              <w:rPr>
                <w:color w:val="000000" w:themeColor="text1"/>
                <w:kern w:val="24"/>
              </w:rPr>
              <w:t xml:space="preserve">Ministry of Information, Belarusian </w:t>
            </w:r>
            <w:r w:rsidR="00D93C56" w:rsidRPr="00861957">
              <w:rPr>
                <w:color w:val="000000" w:themeColor="text1"/>
                <w:kern w:val="24"/>
              </w:rPr>
              <w:t>B</w:t>
            </w:r>
            <w:r w:rsidRPr="00861957">
              <w:rPr>
                <w:color w:val="000000" w:themeColor="text1"/>
                <w:kern w:val="24"/>
              </w:rPr>
              <w:t xml:space="preserve">roadcasting </w:t>
            </w:r>
            <w:r w:rsidR="00D93C56" w:rsidRPr="00861957">
              <w:rPr>
                <w:color w:val="000000" w:themeColor="text1"/>
                <w:kern w:val="24"/>
              </w:rPr>
              <w:t>C</w:t>
            </w:r>
            <w:r w:rsidRPr="00861957">
              <w:rPr>
                <w:color w:val="000000" w:themeColor="text1"/>
                <w:kern w:val="24"/>
              </w:rPr>
              <w:t>ompany, ONT, STV, internet portals, NGOs</w:t>
            </w:r>
          </w:p>
        </w:tc>
        <w:tc>
          <w:tcPr>
            <w:tcW w:w="1843" w:type="dxa"/>
          </w:tcPr>
          <w:p w14:paraId="50A2DDA0" w14:textId="5C6F26F5" w:rsidR="007D580D" w:rsidRPr="00861957" w:rsidRDefault="007D580D" w:rsidP="00B230A7">
            <w:pPr>
              <w:rPr>
                <w:b/>
              </w:rPr>
            </w:pPr>
            <w:r w:rsidRPr="00861957">
              <w:rPr>
                <w:b/>
              </w:rPr>
              <w:t xml:space="preserve">UNICEF – </w:t>
            </w:r>
            <w:r w:rsidR="00624F0A" w:rsidRPr="00861957">
              <w:rPr>
                <w:b/>
              </w:rPr>
              <w:t>$</w:t>
            </w:r>
            <w:r w:rsidRPr="00861957">
              <w:rPr>
                <w:b/>
              </w:rPr>
              <w:t>5</w:t>
            </w:r>
            <w:r w:rsidR="00624F0A" w:rsidRPr="00861957">
              <w:rPr>
                <w:b/>
              </w:rPr>
              <w:t>,</w:t>
            </w:r>
            <w:r w:rsidRPr="00861957">
              <w:rPr>
                <w:b/>
              </w:rPr>
              <w:t xml:space="preserve">000; </w:t>
            </w:r>
            <w:r w:rsidR="00624F0A" w:rsidRPr="00861957">
              <w:rPr>
                <w:b/>
              </w:rPr>
              <w:t>$</w:t>
            </w:r>
            <w:r w:rsidRPr="00861957">
              <w:rPr>
                <w:b/>
              </w:rPr>
              <w:t>100</w:t>
            </w:r>
            <w:r w:rsidR="00624F0A" w:rsidRPr="00861957">
              <w:rPr>
                <w:b/>
              </w:rPr>
              <w:t>,</w:t>
            </w:r>
            <w:r w:rsidRPr="00861957">
              <w:rPr>
                <w:b/>
              </w:rPr>
              <w:t>000 (to be mobili</w:t>
            </w:r>
            <w:r w:rsidR="000F002C" w:rsidRPr="00861957">
              <w:rPr>
                <w:b/>
              </w:rPr>
              <w:t>z</w:t>
            </w:r>
            <w:r w:rsidRPr="00861957">
              <w:rPr>
                <w:b/>
              </w:rPr>
              <w:t>ed)</w:t>
            </w:r>
          </w:p>
          <w:p w14:paraId="131D2B34" w14:textId="49EEF8C0" w:rsidR="007D580D" w:rsidRPr="00861957" w:rsidRDefault="007D580D" w:rsidP="00B230A7">
            <w:pPr>
              <w:rPr>
                <w:b/>
              </w:rPr>
            </w:pPr>
            <w:r w:rsidRPr="00861957">
              <w:rPr>
                <w:b/>
                <w:bCs/>
              </w:rPr>
              <w:t>WHO</w:t>
            </w:r>
            <w:r w:rsidRPr="00861957">
              <w:rPr>
                <w:b/>
              </w:rPr>
              <w:t xml:space="preserve"> - </w:t>
            </w:r>
            <w:r w:rsidR="00624F0A" w:rsidRPr="00861957">
              <w:rPr>
                <w:b/>
              </w:rPr>
              <w:t>$</w:t>
            </w:r>
            <w:r w:rsidRPr="00861957">
              <w:rPr>
                <w:b/>
              </w:rPr>
              <w:t>5</w:t>
            </w:r>
            <w:r w:rsidR="00624F0A" w:rsidRPr="00861957">
              <w:rPr>
                <w:b/>
              </w:rPr>
              <w:t>,</w:t>
            </w:r>
            <w:r w:rsidRPr="00861957">
              <w:rPr>
                <w:b/>
              </w:rPr>
              <w:t>000</w:t>
            </w:r>
          </w:p>
          <w:p w14:paraId="610F28D4" w14:textId="77777777" w:rsidR="007D580D" w:rsidRPr="00861957" w:rsidRDefault="007D580D" w:rsidP="00B230A7"/>
        </w:tc>
      </w:tr>
      <w:tr w:rsidR="0067122A" w:rsidRPr="00861957" w14:paraId="3CD97263" w14:textId="77777777" w:rsidTr="00FD4239">
        <w:trPr>
          <w:trHeight w:val="567"/>
        </w:trPr>
        <w:tc>
          <w:tcPr>
            <w:tcW w:w="2268" w:type="dxa"/>
            <w:vMerge w:val="restart"/>
            <w:shd w:val="clear" w:color="auto" w:fill="auto"/>
          </w:tcPr>
          <w:p w14:paraId="5A984AF3" w14:textId="2E8750D3" w:rsidR="0067122A" w:rsidRPr="00861957" w:rsidRDefault="0067122A" w:rsidP="00B230A7">
            <w:pPr>
              <w:pStyle w:val="PlainText"/>
              <w:jc w:val="both"/>
              <w:rPr>
                <w:rFonts w:ascii="Times New Roman" w:hAnsi="Times New Roman" w:cs="Times New Roman"/>
                <w:sz w:val="24"/>
                <w:szCs w:val="24"/>
                <w:lang w:val="en-GB"/>
              </w:rPr>
            </w:pPr>
            <w:r w:rsidRPr="00861957">
              <w:rPr>
                <w:rFonts w:ascii="Times New Roman" w:hAnsi="Times New Roman" w:cs="Times New Roman"/>
                <w:b/>
                <w:sz w:val="24"/>
                <w:szCs w:val="24"/>
                <w:lang w:val="en-GB"/>
              </w:rPr>
              <w:t>Outcome 4.2:</w:t>
            </w:r>
            <w:r w:rsidRPr="00861957">
              <w:rPr>
                <w:rFonts w:ascii="Times New Roman" w:hAnsi="Times New Roman" w:cs="Times New Roman"/>
                <w:sz w:val="24"/>
                <w:szCs w:val="24"/>
                <w:lang w:val="en-GB"/>
              </w:rPr>
              <w:t xml:space="preserve"> By 2020, key populations</w:t>
            </w:r>
            <w:r w:rsidR="007411C6" w:rsidRPr="00861957">
              <w:rPr>
                <w:rFonts w:ascii="Times New Roman" w:hAnsi="Times New Roman" w:cs="Times New Roman"/>
                <w:sz w:val="24"/>
                <w:szCs w:val="24"/>
                <w:lang w:val="en-GB"/>
              </w:rPr>
              <w:t xml:space="preserve"> will</w:t>
            </w:r>
            <w:r w:rsidRPr="00861957">
              <w:rPr>
                <w:rFonts w:ascii="Times New Roman" w:hAnsi="Times New Roman" w:cs="Times New Roman"/>
                <w:sz w:val="24"/>
                <w:szCs w:val="24"/>
                <w:lang w:val="en-GB"/>
              </w:rPr>
              <w:t xml:space="preserve"> have </w:t>
            </w:r>
            <w:r w:rsidRPr="00861957">
              <w:rPr>
                <w:rFonts w:ascii="Times New Roman" w:hAnsi="Times New Roman" w:cs="Times New Roman"/>
                <w:sz w:val="24"/>
                <w:szCs w:val="24"/>
                <w:lang w:val="en-GB"/>
              </w:rPr>
              <w:lastRenderedPageBreak/>
              <w:t xml:space="preserve">universal access to integrated services for </w:t>
            </w:r>
            <w:r w:rsidR="007411C6" w:rsidRPr="00861957">
              <w:rPr>
                <w:rFonts w:ascii="Times New Roman" w:hAnsi="Times New Roman" w:cs="Times New Roman"/>
                <w:sz w:val="24"/>
                <w:szCs w:val="24"/>
                <w:lang w:val="en-GB"/>
              </w:rPr>
              <w:t xml:space="preserve">the </w:t>
            </w:r>
            <w:r w:rsidRPr="00861957">
              <w:rPr>
                <w:rFonts w:ascii="Times New Roman" w:hAnsi="Times New Roman" w:cs="Times New Roman"/>
                <w:sz w:val="24"/>
                <w:szCs w:val="24"/>
                <w:lang w:val="en-GB"/>
              </w:rPr>
              <w:t>prevention, diagnosis, treatment and care of major communicable diseases (HIV, TB)</w:t>
            </w:r>
          </w:p>
          <w:p w14:paraId="1F802D76" w14:textId="77777777" w:rsidR="0067122A" w:rsidRPr="00861957" w:rsidRDefault="0067122A" w:rsidP="00B230A7">
            <w:pPr>
              <w:rPr>
                <w:b/>
                <w:bCs/>
                <w:color w:val="000000" w:themeColor="text1"/>
                <w:kern w:val="24"/>
              </w:rPr>
            </w:pPr>
          </w:p>
          <w:p w14:paraId="135CD1E6" w14:textId="77777777" w:rsidR="0067122A" w:rsidRPr="00861957" w:rsidRDefault="00F46601" w:rsidP="00F46601">
            <w:pPr>
              <w:rPr>
                <w:b/>
                <w:bCs/>
                <w:color w:val="000000" w:themeColor="text1"/>
                <w:kern w:val="24"/>
              </w:rPr>
            </w:pPr>
            <w:r w:rsidRPr="00861957">
              <w:rPr>
                <w:b/>
                <w:bCs/>
                <w:color w:val="000000" w:themeColor="text1"/>
                <w:kern w:val="24"/>
              </w:rPr>
              <w:t xml:space="preserve">IOM, UNAIDS, </w:t>
            </w:r>
            <w:r w:rsidR="0067122A" w:rsidRPr="00861957">
              <w:rPr>
                <w:b/>
                <w:bCs/>
                <w:color w:val="000000" w:themeColor="text1"/>
                <w:kern w:val="24"/>
              </w:rPr>
              <w:t xml:space="preserve">UNDP, </w:t>
            </w:r>
            <w:r w:rsidRPr="00861957">
              <w:rPr>
                <w:b/>
                <w:bCs/>
                <w:color w:val="000000" w:themeColor="text1"/>
                <w:kern w:val="24"/>
              </w:rPr>
              <w:t>UNESCO, UNFPA, UNICEF, WHO</w:t>
            </w:r>
          </w:p>
        </w:tc>
        <w:tc>
          <w:tcPr>
            <w:tcW w:w="3686" w:type="dxa"/>
            <w:shd w:val="clear" w:color="auto" w:fill="auto"/>
          </w:tcPr>
          <w:p w14:paraId="6AED29B6" w14:textId="2F367433" w:rsidR="0067122A" w:rsidRPr="00861957" w:rsidRDefault="0067122A" w:rsidP="00B230A7">
            <w:pPr>
              <w:rPr>
                <w:bCs/>
              </w:rPr>
            </w:pPr>
            <w:r w:rsidRPr="00861957">
              <w:rPr>
                <w:b/>
                <w:color w:val="000000" w:themeColor="text1"/>
                <w:kern w:val="24"/>
              </w:rPr>
              <w:lastRenderedPageBreak/>
              <w:t>Indicator 4.2.1</w:t>
            </w:r>
            <w:r w:rsidRPr="00861957">
              <w:rPr>
                <w:color w:val="000000" w:themeColor="text1"/>
                <w:kern w:val="24"/>
              </w:rPr>
              <w:t xml:space="preserve">. </w:t>
            </w:r>
            <w:r w:rsidRPr="00861957">
              <w:rPr>
                <w:color w:val="000000" w:themeColor="text1"/>
                <w:kern w:val="24"/>
              </w:rPr>
              <w:br/>
              <w:t xml:space="preserve">Number and percentage of key populations reached </w:t>
            </w:r>
            <w:r w:rsidR="00D93C56" w:rsidRPr="00861957">
              <w:rPr>
                <w:color w:val="000000" w:themeColor="text1"/>
                <w:kern w:val="24"/>
              </w:rPr>
              <w:t>by</w:t>
            </w:r>
            <w:r w:rsidRPr="00861957">
              <w:rPr>
                <w:color w:val="000000" w:themeColor="text1"/>
                <w:kern w:val="24"/>
              </w:rPr>
              <w:t xml:space="preserve"> </w:t>
            </w:r>
            <w:r w:rsidRPr="00861957">
              <w:rPr>
                <w:color w:val="000000" w:themeColor="text1"/>
                <w:kern w:val="24"/>
              </w:rPr>
              <w:lastRenderedPageBreak/>
              <w:t>comprehensive package of interventions on HIV prevention, treatment and care (disaggregated by key population, gender, type of service)</w:t>
            </w:r>
            <w:r w:rsidRPr="00861957">
              <w:rPr>
                <w:color w:val="000000" w:themeColor="text1"/>
                <w:kern w:val="24"/>
              </w:rPr>
              <w:br/>
            </w:r>
            <w:r w:rsidRPr="00861957">
              <w:rPr>
                <w:b/>
                <w:color w:val="000000" w:themeColor="text1"/>
                <w:kern w:val="24"/>
              </w:rPr>
              <w:t xml:space="preserve">Baseline: </w:t>
            </w:r>
            <w:r w:rsidRPr="00861957">
              <w:rPr>
                <w:color w:val="000000" w:themeColor="text1"/>
                <w:kern w:val="24"/>
              </w:rPr>
              <w:t>reports of the Ministry of Health</w:t>
            </w:r>
            <w:r w:rsidRPr="00861957">
              <w:rPr>
                <w:color w:val="000000" w:themeColor="text1"/>
                <w:kern w:val="24"/>
              </w:rPr>
              <w:br/>
            </w:r>
            <w:r w:rsidRPr="00861957">
              <w:rPr>
                <w:b/>
                <w:color w:val="000000" w:themeColor="text1"/>
                <w:kern w:val="24"/>
              </w:rPr>
              <w:t xml:space="preserve">Target: </w:t>
            </w:r>
            <w:r w:rsidRPr="00861957">
              <w:rPr>
                <w:color w:val="000000" w:themeColor="text1"/>
                <w:kern w:val="24"/>
              </w:rPr>
              <w:t>reports of the Ministry of Health</w:t>
            </w:r>
          </w:p>
        </w:tc>
        <w:tc>
          <w:tcPr>
            <w:tcW w:w="1984" w:type="dxa"/>
            <w:shd w:val="clear" w:color="auto" w:fill="auto"/>
          </w:tcPr>
          <w:p w14:paraId="27661E0F" w14:textId="57149148" w:rsidR="0067122A" w:rsidRPr="00861957" w:rsidRDefault="0067122A" w:rsidP="002976CA">
            <w:pPr>
              <w:jc w:val="both"/>
              <w:rPr>
                <w:bCs/>
              </w:rPr>
            </w:pPr>
            <w:r w:rsidRPr="00861957">
              <w:rPr>
                <w:color w:val="000000" w:themeColor="dark1"/>
                <w:kern w:val="24"/>
              </w:rPr>
              <w:lastRenderedPageBreak/>
              <w:t xml:space="preserve">Statistical reporting on HIV by the Ministry of </w:t>
            </w:r>
            <w:r w:rsidRPr="00861957">
              <w:rPr>
                <w:color w:val="000000" w:themeColor="dark1"/>
                <w:kern w:val="24"/>
              </w:rPr>
              <w:lastRenderedPageBreak/>
              <w:t xml:space="preserve">Health; Annual reports to UNAIDS submitted by the Ministry of Health (GARPR reports); Report of implementation of the State Programme </w:t>
            </w:r>
            <w:r w:rsidR="002976CA" w:rsidRPr="00861957">
              <w:rPr>
                <w:color w:val="000000" w:themeColor="dark1"/>
                <w:kern w:val="24"/>
              </w:rPr>
              <w:t xml:space="preserve">on HIV Prevention for </w:t>
            </w:r>
            <w:r w:rsidRPr="00861957">
              <w:rPr>
                <w:color w:val="000000" w:themeColor="dark1"/>
                <w:kern w:val="24"/>
              </w:rPr>
              <w:t>2016-2020</w:t>
            </w:r>
          </w:p>
        </w:tc>
        <w:tc>
          <w:tcPr>
            <w:tcW w:w="3686" w:type="dxa"/>
            <w:shd w:val="clear" w:color="auto" w:fill="auto"/>
          </w:tcPr>
          <w:p w14:paraId="139BF15B" w14:textId="6900DF4F" w:rsidR="0067122A" w:rsidRPr="00861957" w:rsidRDefault="0067122A" w:rsidP="00B230A7">
            <w:pPr>
              <w:rPr>
                <w:bCs/>
                <w:color w:val="000000" w:themeColor="text1"/>
                <w:kern w:val="24"/>
              </w:rPr>
            </w:pPr>
            <w:r w:rsidRPr="00861957">
              <w:rPr>
                <w:b/>
                <w:color w:val="000000" w:themeColor="text1"/>
                <w:kern w:val="24"/>
              </w:rPr>
              <w:lastRenderedPageBreak/>
              <w:t xml:space="preserve">Assumptions: </w:t>
            </w:r>
            <w:r w:rsidRPr="00861957">
              <w:rPr>
                <w:b/>
                <w:color w:val="000000" w:themeColor="text1"/>
                <w:kern w:val="24"/>
              </w:rPr>
              <w:br/>
            </w:r>
            <w:r w:rsidRPr="00861957">
              <w:rPr>
                <w:color w:val="000000" w:themeColor="text1"/>
                <w:kern w:val="24"/>
              </w:rPr>
              <w:t>Fighting HIV is considered as a priority by the state;</w:t>
            </w:r>
            <w:r w:rsidRPr="00861957">
              <w:rPr>
                <w:color w:val="000000" w:themeColor="text1"/>
                <w:kern w:val="24"/>
              </w:rPr>
              <w:br/>
            </w:r>
            <w:r w:rsidR="00D93C56" w:rsidRPr="00861957">
              <w:rPr>
                <w:color w:val="000000" w:themeColor="text1"/>
                <w:kern w:val="24"/>
              </w:rPr>
              <w:lastRenderedPageBreak/>
              <w:t xml:space="preserve">A </w:t>
            </w:r>
            <w:r w:rsidRPr="00861957">
              <w:rPr>
                <w:color w:val="000000" w:themeColor="text1"/>
                <w:kern w:val="24"/>
              </w:rPr>
              <w:t>new state programme of national action on HIV Prevention for 2016</w:t>
            </w:r>
            <w:r w:rsidR="00D93C56" w:rsidRPr="00861957">
              <w:rPr>
                <w:color w:val="000000" w:themeColor="text1"/>
                <w:kern w:val="24"/>
              </w:rPr>
              <w:t>–</w:t>
            </w:r>
            <w:r w:rsidRPr="00861957">
              <w:rPr>
                <w:color w:val="000000" w:themeColor="text1"/>
                <w:kern w:val="24"/>
              </w:rPr>
              <w:t>2020</w:t>
            </w:r>
            <w:r w:rsidR="00D93C56" w:rsidRPr="00861957">
              <w:rPr>
                <w:color w:val="000000" w:themeColor="text1"/>
                <w:kern w:val="24"/>
              </w:rPr>
              <w:t xml:space="preserve"> is adopted</w:t>
            </w:r>
          </w:p>
          <w:p w14:paraId="6086E39C" w14:textId="15210015" w:rsidR="0067122A" w:rsidRPr="00861957" w:rsidRDefault="0067122A" w:rsidP="00D93C56">
            <w:r w:rsidRPr="00861957">
              <w:rPr>
                <w:b/>
                <w:color w:val="000000" w:themeColor="text1"/>
                <w:kern w:val="24"/>
              </w:rPr>
              <w:t>Risks:</w:t>
            </w:r>
            <w:r w:rsidRPr="00861957">
              <w:rPr>
                <w:color w:val="000000" w:themeColor="text1"/>
                <w:kern w:val="24"/>
              </w:rPr>
              <w:t xml:space="preserve"> </w:t>
            </w:r>
            <w:r w:rsidRPr="00861957">
              <w:rPr>
                <w:color w:val="000000" w:themeColor="text1"/>
                <w:kern w:val="24"/>
              </w:rPr>
              <w:br/>
              <w:t>Insufficient funding of the State Programme on HIV Prevention</w:t>
            </w:r>
            <w:r w:rsidR="002976CA" w:rsidRPr="00861957">
              <w:rPr>
                <w:color w:val="000000" w:themeColor="text1"/>
                <w:kern w:val="24"/>
              </w:rPr>
              <w:t xml:space="preserve"> for</w:t>
            </w:r>
            <w:r w:rsidRPr="00861957">
              <w:rPr>
                <w:color w:val="000000" w:themeColor="text1"/>
                <w:kern w:val="24"/>
              </w:rPr>
              <w:t xml:space="preserve"> 2016</w:t>
            </w:r>
            <w:r w:rsidR="002976CA" w:rsidRPr="00861957">
              <w:rPr>
                <w:color w:val="000000" w:themeColor="text1"/>
                <w:kern w:val="24"/>
              </w:rPr>
              <w:t>-</w:t>
            </w:r>
            <w:r w:rsidRPr="00861957">
              <w:rPr>
                <w:color w:val="000000" w:themeColor="text1"/>
                <w:kern w:val="24"/>
              </w:rPr>
              <w:t>2020 due to overall public funding shortfalls</w:t>
            </w:r>
          </w:p>
        </w:tc>
        <w:tc>
          <w:tcPr>
            <w:tcW w:w="1984" w:type="dxa"/>
          </w:tcPr>
          <w:p w14:paraId="31D6B050" w14:textId="2E0CE88B" w:rsidR="0067122A" w:rsidRPr="00861957" w:rsidRDefault="0067122A" w:rsidP="00B230A7">
            <w:pPr>
              <w:rPr>
                <w:color w:val="000000" w:themeColor="dark1"/>
                <w:kern w:val="24"/>
              </w:rPr>
            </w:pPr>
            <w:r w:rsidRPr="00861957">
              <w:rPr>
                <w:color w:val="000000" w:themeColor="dark1"/>
                <w:kern w:val="24"/>
              </w:rPr>
              <w:lastRenderedPageBreak/>
              <w:t xml:space="preserve">Ministry of Health, Ministry of Education; </w:t>
            </w:r>
            <w:r w:rsidRPr="00861957">
              <w:rPr>
                <w:color w:val="000000" w:themeColor="dark1"/>
                <w:kern w:val="24"/>
              </w:rPr>
              <w:lastRenderedPageBreak/>
              <w:t xml:space="preserve">Ministry of Information, Belarusian Broadcasting Company, ONT, STV, </w:t>
            </w:r>
            <w:r w:rsidR="00D93C56" w:rsidRPr="00861957">
              <w:rPr>
                <w:color w:val="000000" w:themeColor="dark1"/>
                <w:kern w:val="24"/>
              </w:rPr>
              <w:t>i</w:t>
            </w:r>
            <w:r w:rsidRPr="00861957">
              <w:rPr>
                <w:color w:val="000000" w:themeColor="dark1"/>
                <w:kern w:val="24"/>
              </w:rPr>
              <w:t>nternet portals, Ministry of Culture; local governments and administrations; NGOs</w:t>
            </w:r>
          </w:p>
        </w:tc>
        <w:tc>
          <w:tcPr>
            <w:tcW w:w="1843" w:type="dxa"/>
          </w:tcPr>
          <w:p w14:paraId="1436C255" w14:textId="6FC9CC6B" w:rsidR="0067122A" w:rsidRPr="00861957" w:rsidRDefault="0067122A" w:rsidP="00B230A7">
            <w:pPr>
              <w:rPr>
                <w:b/>
              </w:rPr>
            </w:pPr>
            <w:r w:rsidRPr="00861957">
              <w:rPr>
                <w:b/>
                <w:bCs/>
              </w:rPr>
              <w:lastRenderedPageBreak/>
              <w:t>WHO</w:t>
            </w:r>
            <w:r w:rsidRPr="00861957">
              <w:rPr>
                <w:b/>
              </w:rPr>
              <w:t xml:space="preserve"> - </w:t>
            </w:r>
            <w:r w:rsidR="00624F0A" w:rsidRPr="00861957">
              <w:rPr>
                <w:b/>
              </w:rPr>
              <w:t>$</w:t>
            </w:r>
            <w:r w:rsidRPr="00861957">
              <w:rPr>
                <w:b/>
              </w:rPr>
              <w:t>50,000</w:t>
            </w:r>
          </w:p>
          <w:p w14:paraId="13CA057B" w14:textId="346A7CAD" w:rsidR="0067122A" w:rsidRPr="00861957" w:rsidRDefault="000A31C4" w:rsidP="00B230A7">
            <w:pPr>
              <w:rPr>
                <w:b/>
              </w:rPr>
            </w:pPr>
            <w:r w:rsidRPr="00861957">
              <w:rPr>
                <w:b/>
              </w:rPr>
              <w:lastRenderedPageBreak/>
              <w:t xml:space="preserve">UNDP </w:t>
            </w:r>
            <w:r w:rsidR="0069379D" w:rsidRPr="00861957">
              <w:rPr>
                <w:b/>
              </w:rPr>
              <w:t>$</w:t>
            </w:r>
            <w:r w:rsidR="0069379D">
              <w:rPr>
                <w:b/>
              </w:rPr>
              <w:t>1</w:t>
            </w:r>
            <w:r w:rsidR="0069379D" w:rsidRPr="00861957">
              <w:rPr>
                <w:b/>
              </w:rPr>
              <w:t>,</w:t>
            </w:r>
            <w:r w:rsidR="0069379D">
              <w:rPr>
                <w:b/>
              </w:rPr>
              <w:t>69</w:t>
            </w:r>
            <w:r w:rsidR="0069379D" w:rsidRPr="00861957">
              <w:rPr>
                <w:b/>
              </w:rPr>
              <w:t xml:space="preserve">0,000 </w:t>
            </w:r>
            <w:r w:rsidR="0067122A" w:rsidRPr="00861957">
              <w:rPr>
                <w:b/>
              </w:rPr>
              <w:t>(to be mobili</w:t>
            </w:r>
            <w:r w:rsidR="000F002C" w:rsidRPr="00861957">
              <w:rPr>
                <w:b/>
              </w:rPr>
              <w:t>z</w:t>
            </w:r>
            <w:r w:rsidR="0067122A" w:rsidRPr="00861957">
              <w:rPr>
                <w:b/>
              </w:rPr>
              <w:t>ed)</w:t>
            </w:r>
          </w:p>
          <w:p w14:paraId="484107EA" w14:textId="59AC50EE" w:rsidR="0067122A" w:rsidRPr="00861957" w:rsidRDefault="0067122A" w:rsidP="00B230A7">
            <w:pPr>
              <w:rPr>
                <w:b/>
              </w:rPr>
            </w:pPr>
            <w:r w:rsidRPr="00861957">
              <w:rPr>
                <w:b/>
              </w:rPr>
              <w:t xml:space="preserve">UNAIDS – </w:t>
            </w:r>
            <w:r w:rsidR="00624F0A" w:rsidRPr="00861957">
              <w:rPr>
                <w:b/>
              </w:rPr>
              <w:t>$</w:t>
            </w:r>
            <w:r w:rsidRPr="00861957">
              <w:rPr>
                <w:b/>
              </w:rPr>
              <w:t>45</w:t>
            </w:r>
            <w:r w:rsidR="00624F0A" w:rsidRPr="00861957">
              <w:rPr>
                <w:b/>
              </w:rPr>
              <w:t>,</w:t>
            </w:r>
            <w:r w:rsidRPr="00861957">
              <w:rPr>
                <w:b/>
              </w:rPr>
              <w:t>000</w:t>
            </w:r>
          </w:p>
          <w:p w14:paraId="01D979BF" w14:textId="3902278D" w:rsidR="0067122A" w:rsidRPr="00861957" w:rsidRDefault="0067122A" w:rsidP="00B230A7">
            <w:pPr>
              <w:rPr>
                <w:b/>
              </w:rPr>
            </w:pPr>
            <w:r w:rsidRPr="00861957">
              <w:rPr>
                <w:b/>
              </w:rPr>
              <w:t xml:space="preserve">UNFPA – </w:t>
            </w:r>
            <w:r w:rsidR="00624F0A" w:rsidRPr="00861957">
              <w:rPr>
                <w:b/>
              </w:rPr>
              <w:t>$</w:t>
            </w:r>
            <w:r w:rsidRPr="00861957">
              <w:rPr>
                <w:b/>
              </w:rPr>
              <w:t>15</w:t>
            </w:r>
            <w:r w:rsidR="00624F0A" w:rsidRPr="00861957">
              <w:rPr>
                <w:b/>
              </w:rPr>
              <w:t>,</w:t>
            </w:r>
            <w:r w:rsidRPr="00861957">
              <w:rPr>
                <w:b/>
              </w:rPr>
              <w:t>000 (to be mobili</w:t>
            </w:r>
            <w:r w:rsidR="000F002C" w:rsidRPr="00861957">
              <w:rPr>
                <w:b/>
              </w:rPr>
              <w:t>z</w:t>
            </w:r>
            <w:r w:rsidRPr="00861957">
              <w:rPr>
                <w:b/>
              </w:rPr>
              <w:t>ed)</w:t>
            </w:r>
          </w:p>
          <w:p w14:paraId="0F2050C8" w14:textId="340E947B" w:rsidR="00D14D03" w:rsidRPr="00861957" w:rsidRDefault="00D14D03" w:rsidP="00B230A7">
            <w:pPr>
              <w:rPr>
                <w:b/>
              </w:rPr>
            </w:pPr>
            <w:r w:rsidRPr="00861957">
              <w:rPr>
                <w:b/>
              </w:rPr>
              <w:t xml:space="preserve">UNICEF </w:t>
            </w:r>
            <w:r w:rsidR="00D57966" w:rsidRPr="00861957">
              <w:rPr>
                <w:b/>
              </w:rPr>
              <w:t>–</w:t>
            </w:r>
            <w:r w:rsidRPr="00861957">
              <w:rPr>
                <w:b/>
              </w:rPr>
              <w:t xml:space="preserve"> </w:t>
            </w:r>
            <w:r w:rsidR="00624F0A" w:rsidRPr="00861957">
              <w:rPr>
                <w:b/>
              </w:rPr>
              <w:t>$</w:t>
            </w:r>
            <w:r w:rsidRPr="00861957">
              <w:rPr>
                <w:b/>
              </w:rPr>
              <w:t>150</w:t>
            </w:r>
            <w:r w:rsidR="00624F0A" w:rsidRPr="00861957">
              <w:rPr>
                <w:b/>
              </w:rPr>
              <w:t>,</w:t>
            </w:r>
            <w:r w:rsidRPr="00861957">
              <w:rPr>
                <w:b/>
              </w:rPr>
              <w:t>000</w:t>
            </w:r>
          </w:p>
          <w:p w14:paraId="65C7CB91" w14:textId="2E62FDC3" w:rsidR="00D57966" w:rsidRPr="00861957" w:rsidRDefault="00D57966" w:rsidP="00B230A7">
            <w:pPr>
              <w:rPr>
                <w:b/>
              </w:rPr>
            </w:pPr>
            <w:r w:rsidRPr="00861957">
              <w:rPr>
                <w:b/>
              </w:rPr>
              <w:t xml:space="preserve">UNESCO – </w:t>
            </w:r>
            <w:r w:rsidR="00624F0A" w:rsidRPr="00861957">
              <w:rPr>
                <w:b/>
              </w:rPr>
              <w:t>$</w:t>
            </w:r>
            <w:r w:rsidRPr="00861957">
              <w:rPr>
                <w:b/>
              </w:rPr>
              <w:t>50,000</w:t>
            </w:r>
          </w:p>
        </w:tc>
      </w:tr>
      <w:tr w:rsidR="0067122A" w:rsidRPr="00861957" w14:paraId="58A8E2DD" w14:textId="77777777" w:rsidTr="00FD4239">
        <w:trPr>
          <w:trHeight w:val="567"/>
        </w:trPr>
        <w:tc>
          <w:tcPr>
            <w:tcW w:w="2268" w:type="dxa"/>
            <w:vMerge/>
            <w:shd w:val="clear" w:color="auto" w:fill="auto"/>
          </w:tcPr>
          <w:p w14:paraId="7D060B57" w14:textId="77777777" w:rsidR="0067122A" w:rsidRPr="00861957" w:rsidRDefault="0067122A" w:rsidP="00B230A7">
            <w:pPr>
              <w:rPr>
                <w:b/>
                <w:bCs/>
              </w:rPr>
            </w:pPr>
          </w:p>
        </w:tc>
        <w:tc>
          <w:tcPr>
            <w:tcW w:w="3686" w:type="dxa"/>
            <w:shd w:val="clear" w:color="auto" w:fill="auto"/>
          </w:tcPr>
          <w:p w14:paraId="6BEDFE77" w14:textId="77777777" w:rsidR="0067122A" w:rsidRPr="00861957" w:rsidRDefault="0067122A" w:rsidP="00B230A7">
            <w:pPr>
              <w:rPr>
                <w:color w:val="000000" w:themeColor="text1"/>
                <w:kern w:val="24"/>
              </w:rPr>
            </w:pPr>
            <w:r w:rsidRPr="00861957">
              <w:rPr>
                <w:b/>
                <w:color w:val="000000" w:themeColor="text1"/>
                <w:kern w:val="24"/>
              </w:rPr>
              <w:t>Indicator 4.2.2</w:t>
            </w:r>
            <w:r w:rsidRPr="00861957">
              <w:rPr>
                <w:color w:val="000000" w:themeColor="text1"/>
                <w:kern w:val="24"/>
              </w:rPr>
              <w:t>. Proportion of people living with HIV receiving antiretroviral therapy</w:t>
            </w:r>
          </w:p>
          <w:p w14:paraId="244810CC" w14:textId="77777777" w:rsidR="0067122A" w:rsidRPr="00861957" w:rsidRDefault="0067122A" w:rsidP="00B230A7">
            <w:pPr>
              <w:rPr>
                <w:bCs/>
              </w:rPr>
            </w:pPr>
            <w:r w:rsidRPr="00861957">
              <w:rPr>
                <w:b/>
                <w:color w:val="000000" w:themeColor="text1"/>
                <w:kern w:val="24"/>
              </w:rPr>
              <w:t>Baseline:</w:t>
            </w:r>
            <w:r w:rsidRPr="00861957">
              <w:rPr>
                <w:color w:val="000000" w:themeColor="text1"/>
                <w:kern w:val="24"/>
              </w:rPr>
              <w:t xml:space="preserve"> Percentage of adults and children receiving antiretroviral therapy among all eligible adults and children living with HIV (2013): 44.7% (both sexes), 43.9% (men), 46.1% (women).</w:t>
            </w:r>
            <w:r w:rsidRPr="00861957">
              <w:rPr>
                <w:color w:val="000000" w:themeColor="text1"/>
                <w:kern w:val="24"/>
              </w:rPr>
              <w:br/>
            </w:r>
            <w:r w:rsidRPr="00861957">
              <w:rPr>
                <w:b/>
                <w:color w:val="000000" w:themeColor="text1"/>
                <w:kern w:val="24"/>
              </w:rPr>
              <w:t>Target</w:t>
            </w:r>
            <w:r w:rsidRPr="00861957">
              <w:rPr>
                <w:color w:val="000000" w:themeColor="text1"/>
                <w:kern w:val="24"/>
              </w:rPr>
              <w:t>: 80%</w:t>
            </w:r>
          </w:p>
        </w:tc>
        <w:tc>
          <w:tcPr>
            <w:tcW w:w="1984" w:type="dxa"/>
            <w:shd w:val="clear" w:color="auto" w:fill="auto"/>
          </w:tcPr>
          <w:p w14:paraId="7BB9156F" w14:textId="77777777" w:rsidR="0067122A" w:rsidRPr="00861957" w:rsidRDefault="0067122A" w:rsidP="00B230A7">
            <w:pPr>
              <w:rPr>
                <w:bCs/>
              </w:rPr>
            </w:pPr>
            <w:r w:rsidRPr="00861957">
              <w:rPr>
                <w:color w:val="000000" w:themeColor="dark1"/>
                <w:kern w:val="24"/>
              </w:rPr>
              <w:t>Statistical reporting on HIV by the Ministry of Health; Annual reports to UNAIDS submitted by the Ministry of Health (GARPR reports)</w:t>
            </w:r>
          </w:p>
        </w:tc>
        <w:tc>
          <w:tcPr>
            <w:tcW w:w="3686" w:type="dxa"/>
            <w:shd w:val="clear" w:color="auto" w:fill="auto"/>
          </w:tcPr>
          <w:p w14:paraId="06782D6D" w14:textId="5F1A77C7" w:rsidR="0067122A" w:rsidRPr="00861957" w:rsidRDefault="0067122A" w:rsidP="00B230A7">
            <w:pPr>
              <w:rPr>
                <w:bCs/>
                <w:color w:val="000000" w:themeColor="text1"/>
                <w:kern w:val="24"/>
              </w:rPr>
            </w:pPr>
            <w:r w:rsidRPr="00861957">
              <w:rPr>
                <w:b/>
                <w:color w:val="000000" w:themeColor="text1"/>
                <w:kern w:val="24"/>
              </w:rPr>
              <w:t>Assumptions:</w:t>
            </w:r>
            <w:r w:rsidRPr="00861957">
              <w:rPr>
                <w:b/>
                <w:color w:val="000000" w:themeColor="text1"/>
                <w:kern w:val="24"/>
              </w:rPr>
              <w:br/>
            </w:r>
            <w:r w:rsidRPr="00861957">
              <w:rPr>
                <w:color w:val="000000" w:themeColor="text1"/>
                <w:kern w:val="24"/>
              </w:rPr>
              <w:t>Decision</w:t>
            </w:r>
            <w:r w:rsidR="00D93C56" w:rsidRPr="00861957">
              <w:rPr>
                <w:color w:val="000000" w:themeColor="text1"/>
                <w:kern w:val="24"/>
              </w:rPr>
              <w:t>-</w:t>
            </w:r>
            <w:r w:rsidRPr="00861957">
              <w:rPr>
                <w:color w:val="000000" w:themeColor="text1"/>
                <w:kern w:val="24"/>
              </w:rPr>
              <w:t>makers reali</w:t>
            </w:r>
            <w:r w:rsidR="002976CA" w:rsidRPr="00861957">
              <w:rPr>
                <w:color w:val="000000" w:themeColor="text1"/>
                <w:kern w:val="24"/>
              </w:rPr>
              <w:t>ze</w:t>
            </w:r>
            <w:r w:rsidRPr="00861957">
              <w:rPr>
                <w:color w:val="000000" w:themeColor="text1"/>
                <w:kern w:val="24"/>
              </w:rPr>
              <w:t xml:space="preserve"> that universal access to ARV treatment is both a cost-effective and economically efficient investment, </w:t>
            </w:r>
            <w:r w:rsidR="002976CA" w:rsidRPr="00861957">
              <w:rPr>
                <w:color w:val="000000" w:themeColor="text1"/>
                <w:kern w:val="24"/>
              </w:rPr>
              <w:t xml:space="preserve">which </w:t>
            </w:r>
            <w:r w:rsidRPr="00861957">
              <w:rPr>
                <w:color w:val="000000" w:themeColor="text1"/>
                <w:kern w:val="24"/>
              </w:rPr>
              <w:t>not only benefits those receiving treatment, but also has a positive effect on the overall course of the HIV epidemic;</w:t>
            </w:r>
            <w:r w:rsidRPr="00861957">
              <w:rPr>
                <w:color w:val="000000" w:themeColor="text1"/>
                <w:kern w:val="24"/>
              </w:rPr>
              <w:br/>
              <w:t>Results of the HIV response investment analysis will demonstrate to decision</w:t>
            </w:r>
            <w:r w:rsidR="00D93C56" w:rsidRPr="00861957">
              <w:rPr>
                <w:color w:val="000000" w:themeColor="text1"/>
                <w:kern w:val="24"/>
              </w:rPr>
              <w:t>-</w:t>
            </w:r>
            <w:r w:rsidRPr="00861957">
              <w:rPr>
                <w:color w:val="000000" w:themeColor="text1"/>
                <w:kern w:val="24"/>
              </w:rPr>
              <w:t xml:space="preserve">makers that investments in fighting HIV are cost-effective </w:t>
            </w:r>
          </w:p>
          <w:p w14:paraId="4B7369DE" w14:textId="5A4C2009" w:rsidR="0067122A" w:rsidRPr="00861957" w:rsidRDefault="0067122A" w:rsidP="00B230A7">
            <w:r w:rsidRPr="00861957">
              <w:rPr>
                <w:b/>
                <w:color w:val="000000" w:themeColor="text1"/>
                <w:kern w:val="24"/>
              </w:rPr>
              <w:t>Risks:</w:t>
            </w:r>
            <w:r w:rsidRPr="00861957">
              <w:rPr>
                <w:b/>
                <w:color w:val="000000" w:themeColor="text1"/>
                <w:kern w:val="24"/>
              </w:rPr>
              <w:br/>
            </w:r>
            <w:r w:rsidRPr="00861957">
              <w:rPr>
                <w:color w:val="000000" w:themeColor="text1"/>
                <w:kern w:val="24"/>
              </w:rPr>
              <w:t>Inadequate inter</w:t>
            </w:r>
            <w:r w:rsidR="002976CA" w:rsidRPr="00861957">
              <w:rPr>
                <w:color w:val="000000" w:themeColor="text1"/>
                <w:kern w:val="24"/>
              </w:rPr>
              <w:t>-</w:t>
            </w:r>
            <w:r w:rsidRPr="00861957">
              <w:rPr>
                <w:color w:val="000000" w:themeColor="text1"/>
                <w:kern w:val="24"/>
              </w:rPr>
              <w:t>agency coordination; shortage of personnel needed to provide quality multidisciplinary care to people living with HIV</w:t>
            </w:r>
          </w:p>
        </w:tc>
        <w:tc>
          <w:tcPr>
            <w:tcW w:w="1984" w:type="dxa"/>
          </w:tcPr>
          <w:p w14:paraId="25B13720" w14:textId="77777777" w:rsidR="0067122A" w:rsidRPr="00861957" w:rsidRDefault="0067122A" w:rsidP="00B230A7">
            <w:r w:rsidRPr="00861957">
              <w:rPr>
                <w:color w:val="000000" w:themeColor="dark1"/>
                <w:kern w:val="24"/>
              </w:rPr>
              <w:t>Ministry of Health, local governments and administrations, NGOs</w:t>
            </w:r>
          </w:p>
        </w:tc>
        <w:tc>
          <w:tcPr>
            <w:tcW w:w="1843" w:type="dxa"/>
          </w:tcPr>
          <w:p w14:paraId="1A9C996C" w14:textId="524DF4EC" w:rsidR="0067122A" w:rsidRPr="00861957" w:rsidRDefault="0067122A" w:rsidP="00B230A7">
            <w:pPr>
              <w:rPr>
                <w:b/>
              </w:rPr>
            </w:pPr>
            <w:r w:rsidRPr="00861957">
              <w:rPr>
                <w:b/>
              </w:rPr>
              <w:t xml:space="preserve">UNDP </w:t>
            </w:r>
            <w:r w:rsidR="000A31C4" w:rsidRPr="00861957">
              <w:rPr>
                <w:b/>
              </w:rPr>
              <w:t>$</w:t>
            </w:r>
            <w:r w:rsidR="00624F0A" w:rsidRPr="00861957">
              <w:rPr>
                <w:b/>
              </w:rPr>
              <w:t>2</w:t>
            </w:r>
            <w:r w:rsidRPr="00861957">
              <w:rPr>
                <w:b/>
              </w:rPr>
              <w:t>,</w:t>
            </w:r>
            <w:r w:rsidR="00624F0A" w:rsidRPr="00861957">
              <w:rPr>
                <w:b/>
              </w:rPr>
              <w:t>5</w:t>
            </w:r>
            <w:r w:rsidRPr="00861957">
              <w:rPr>
                <w:b/>
              </w:rPr>
              <w:t>00,000</w:t>
            </w:r>
          </w:p>
          <w:p w14:paraId="04B69310" w14:textId="157200C3" w:rsidR="0067122A" w:rsidRPr="00861957" w:rsidRDefault="0067122A" w:rsidP="00B230A7">
            <w:pPr>
              <w:rPr>
                <w:b/>
              </w:rPr>
            </w:pPr>
            <w:r w:rsidRPr="00861957">
              <w:rPr>
                <w:b/>
              </w:rPr>
              <w:t xml:space="preserve"> (to be mobili</w:t>
            </w:r>
            <w:r w:rsidR="000F002C" w:rsidRPr="00861957">
              <w:rPr>
                <w:b/>
              </w:rPr>
              <w:t>z</w:t>
            </w:r>
            <w:r w:rsidRPr="00861957">
              <w:rPr>
                <w:b/>
              </w:rPr>
              <w:t>ed)</w:t>
            </w:r>
          </w:p>
          <w:p w14:paraId="6B348395" w14:textId="41126C1C" w:rsidR="0067122A" w:rsidRPr="00861957" w:rsidRDefault="0067122A" w:rsidP="00B230A7">
            <w:pPr>
              <w:rPr>
                <w:b/>
              </w:rPr>
            </w:pPr>
            <w:r w:rsidRPr="00861957">
              <w:rPr>
                <w:b/>
              </w:rPr>
              <w:t xml:space="preserve">UNAIDS </w:t>
            </w:r>
            <w:r w:rsidR="00624F0A" w:rsidRPr="00861957">
              <w:rPr>
                <w:b/>
              </w:rPr>
              <w:t>–</w:t>
            </w:r>
            <w:r w:rsidRPr="00861957">
              <w:rPr>
                <w:b/>
              </w:rPr>
              <w:t xml:space="preserve"> </w:t>
            </w:r>
            <w:r w:rsidR="00624F0A" w:rsidRPr="00861957">
              <w:rPr>
                <w:b/>
              </w:rPr>
              <w:t>$</w:t>
            </w:r>
            <w:r w:rsidRPr="00861957">
              <w:rPr>
                <w:b/>
              </w:rPr>
              <w:t>50</w:t>
            </w:r>
            <w:r w:rsidR="00624F0A" w:rsidRPr="00861957">
              <w:rPr>
                <w:b/>
              </w:rPr>
              <w:t>,</w:t>
            </w:r>
            <w:r w:rsidRPr="00861957">
              <w:rPr>
                <w:b/>
              </w:rPr>
              <w:t>000</w:t>
            </w:r>
          </w:p>
        </w:tc>
      </w:tr>
      <w:tr w:rsidR="0067122A" w:rsidRPr="00861957" w14:paraId="79B57375" w14:textId="77777777" w:rsidTr="00FD4239">
        <w:trPr>
          <w:trHeight w:val="567"/>
        </w:trPr>
        <w:tc>
          <w:tcPr>
            <w:tcW w:w="2268" w:type="dxa"/>
            <w:vMerge/>
            <w:shd w:val="clear" w:color="auto" w:fill="auto"/>
          </w:tcPr>
          <w:p w14:paraId="62141C2A" w14:textId="77777777" w:rsidR="0067122A" w:rsidRPr="00861957" w:rsidRDefault="0067122A" w:rsidP="00B230A7">
            <w:pPr>
              <w:rPr>
                <w:b/>
                <w:bCs/>
              </w:rPr>
            </w:pPr>
          </w:p>
        </w:tc>
        <w:tc>
          <w:tcPr>
            <w:tcW w:w="3686" w:type="dxa"/>
            <w:shd w:val="clear" w:color="auto" w:fill="auto"/>
          </w:tcPr>
          <w:p w14:paraId="388955F8" w14:textId="5193E8CB" w:rsidR="0067122A" w:rsidRPr="00861957" w:rsidRDefault="0067122A" w:rsidP="00B230A7">
            <w:pPr>
              <w:rPr>
                <w:bCs/>
              </w:rPr>
            </w:pPr>
            <w:r w:rsidRPr="00861957">
              <w:rPr>
                <w:b/>
                <w:color w:val="000000" w:themeColor="text1"/>
                <w:kern w:val="24"/>
              </w:rPr>
              <w:t>Indicator 4.2.3.</w:t>
            </w:r>
            <w:r w:rsidRPr="00861957">
              <w:rPr>
                <w:color w:val="000000" w:themeColor="text1"/>
                <w:kern w:val="24"/>
              </w:rPr>
              <w:t xml:space="preserve"> </w:t>
            </w:r>
            <w:r w:rsidRPr="00861957">
              <w:rPr>
                <w:color w:val="000000" w:themeColor="text1"/>
                <w:kern w:val="24"/>
              </w:rPr>
              <w:br/>
              <w:t>Proportion of HIV</w:t>
            </w:r>
            <w:r w:rsidR="00D93C56" w:rsidRPr="00861957">
              <w:rPr>
                <w:color w:val="000000" w:themeColor="text1"/>
                <w:kern w:val="24"/>
              </w:rPr>
              <w:t>-</w:t>
            </w:r>
            <w:r w:rsidRPr="00861957">
              <w:rPr>
                <w:color w:val="000000" w:themeColor="text1"/>
                <w:kern w:val="24"/>
              </w:rPr>
              <w:t xml:space="preserve">infected children </w:t>
            </w:r>
            <w:r w:rsidRPr="00861957">
              <w:rPr>
                <w:color w:val="000000" w:themeColor="text1"/>
                <w:kern w:val="24"/>
              </w:rPr>
              <w:lastRenderedPageBreak/>
              <w:t>born to HIV-infected mothers</w:t>
            </w:r>
            <w:r w:rsidRPr="00861957">
              <w:rPr>
                <w:color w:val="000000" w:themeColor="text1"/>
                <w:kern w:val="24"/>
              </w:rPr>
              <w:br/>
            </w:r>
            <w:r w:rsidRPr="00861957">
              <w:rPr>
                <w:b/>
                <w:color w:val="000000" w:themeColor="text1"/>
                <w:kern w:val="24"/>
              </w:rPr>
              <w:t>Baseline:</w:t>
            </w:r>
            <w:r w:rsidRPr="00861957">
              <w:rPr>
                <w:color w:val="000000" w:themeColor="text1"/>
                <w:kern w:val="24"/>
              </w:rPr>
              <w:t xml:space="preserve"> 2.7% (2013)</w:t>
            </w:r>
            <w:r w:rsidRPr="00861957">
              <w:rPr>
                <w:color w:val="000000" w:themeColor="text1"/>
                <w:kern w:val="24"/>
              </w:rPr>
              <w:br/>
            </w:r>
            <w:r w:rsidRPr="00861957">
              <w:rPr>
                <w:b/>
                <w:color w:val="000000" w:themeColor="text1"/>
                <w:kern w:val="24"/>
              </w:rPr>
              <w:t xml:space="preserve">Target: </w:t>
            </w:r>
            <w:r w:rsidRPr="00861957">
              <w:rPr>
                <w:color w:val="000000" w:themeColor="text1"/>
                <w:kern w:val="24"/>
              </w:rPr>
              <w:t>&lt;1% (2020)</w:t>
            </w:r>
          </w:p>
        </w:tc>
        <w:tc>
          <w:tcPr>
            <w:tcW w:w="1984" w:type="dxa"/>
            <w:shd w:val="clear" w:color="auto" w:fill="auto"/>
          </w:tcPr>
          <w:p w14:paraId="07B3D55A" w14:textId="77777777" w:rsidR="0067122A" w:rsidRPr="00861957" w:rsidRDefault="0067122A" w:rsidP="00B230A7">
            <w:pPr>
              <w:rPr>
                <w:bCs/>
              </w:rPr>
            </w:pPr>
            <w:r w:rsidRPr="00861957">
              <w:rPr>
                <w:color w:val="000000" w:themeColor="text1"/>
                <w:kern w:val="24"/>
              </w:rPr>
              <w:lastRenderedPageBreak/>
              <w:t xml:space="preserve">Statistical reporting on HIV </w:t>
            </w:r>
            <w:r w:rsidRPr="00861957">
              <w:rPr>
                <w:color w:val="000000" w:themeColor="text1"/>
                <w:kern w:val="24"/>
              </w:rPr>
              <w:lastRenderedPageBreak/>
              <w:t>by the Ministry of Health; Annual reports to UNAIDS submitted by the Ministry of Health (GARPR reports)</w:t>
            </w:r>
          </w:p>
        </w:tc>
        <w:tc>
          <w:tcPr>
            <w:tcW w:w="3686" w:type="dxa"/>
            <w:shd w:val="clear" w:color="auto" w:fill="auto"/>
          </w:tcPr>
          <w:p w14:paraId="190C9166" w14:textId="77777777" w:rsidR="0067122A" w:rsidRPr="00861957" w:rsidRDefault="0067122A" w:rsidP="00B230A7">
            <w:pPr>
              <w:rPr>
                <w:bCs/>
                <w:color w:val="000000" w:themeColor="text1"/>
                <w:kern w:val="24"/>
              </w:rPr>
            </w:pPr>
            <w:r w:rsidRPr="00861957">
              <w:rPr>
                <w:b/>
                <w:color w:val="000000" w:themeColor="text1"/>
                <w:kern w:val="24"/>
              </w:rPr>
              <w:lastRenderedPageBreak/>
              <w:t>Assumptions:</w:t>
            </w:r>
            <w:r w:rsidRPr="00861957">
              <w:rPr>
                <w:b/>
                <w:color w:val="000000" w:themeColor="text1"/>
                <w:kern w:val="24"/>
              </w:rPr>
              <w:br/>
            </w:r>
            <w:r w:rsidRPr="00861957">
              <w:rPr>
                <w:color w:val="000000" w:themeColor="text1"/>
                <w:kern w:val="24"/>
              </w:rPr>
              <w:t xml:space="preserve">HIV-infected women plan their </w:t>
            </w:r>
            <w:r w:rsidRPr="00861957">
              <w:rPr>
                <w:color w:val="000000" w:themeColor="text1"/>
                <w:kern w:val="24"/>
              </w:rPr>
              <w:lastRenderedPageBreak/>
              <w:t xml:space="preserve">pregnancy and know their HIV status before becoming pregnant  </w:t>
            </w:r>
          </w:p>
          <w:p w14:paraId="1232B645" w14:textId="4B8F9A57" w:rsidR="0067122A" w:rsidRPr="00861957" w:rsidRDefault="0067122A" w:rsidP="00B230A7">
            <w:pPr>
              <w:rPr>
                <w:b/>
                <w:bCs/>
                <w:color w:val="000000" w:themeColor="text1"/>
                <w:kern w:val="24"/>
              </w:rPr>
            </w:pPr>
            <w:r w:rsidRPr="00861957">
              <w:rPr>
                <w:b/>
                <w:color w:val="000000" w:themeColor="text1"/>
                <w:kern w:val="24"/>
              </w:rPr>
              <w:t>Risks:</w:t>
            </w:r>
            <w:r w:rsidRPr="00861957">
              <w:rPr>
                <w:b/>
                <w:color w:val="000000" w:themeColor="text1"/>
                <w:kern w:val="24"/>
              </w:rPr>
              <w:br/>
            </w:r>
            <w:r w:rsidRPr="00861957">
              <w:rPr>
                <w:color w:val="000000" w:themeColor="text1"/>
                <w:kern w:val="24"/>
              </w:rPr>
              <w:t xml:space="preserve">Low commitment to ARV treatment and prevention; </w:t>
            </w:r>
            <w:r w:rsidR="002976CA" w:rsidRPr="00861957">
              <w:rPr>
                <w:color w:val="000000" w:themeColor="text1"/>
                <w:kern w:val="24"/>
              </w:rPr>
              <w:t xml:space="preserve">Low </w:t>
            </w:r>
            <w:r w:rsidRPr="00861957">
              <w:rPr>
                <w:color w:val="000000" w:themeColor="text1"/>
                <w:kern w:val="24"/>
              </w:rPr>
              <w:t>% of pregnant women who are not under dispensary observation and who have not received ARV prevention</w:t>
            </w:r>
            <w:r w:rsidRPr="00861957">
              <w:rPr>
                <w:bCs/>
                <w:color w:val="000000" w:themeColor="text1"/>
                <w:kern w:val="24"/>
              </w:rPr>
              <w:t xml:space="preserve"> </w:t>
            </w:r>
          </w:p>
        </w:tc>
        <w:tc>
          <w:tcPr>
            <w:tcW w:w="1984" w:type="dxa"/>
          </w:tcPr>
          <w:p w14:paraId="3E874218" w14:textId="77777777" w:rsidR="0067122A" w:rsidRPr="00861957" w:rsidRDefault="0067122A" w:rsidP="00B230A7">
            <w:r w:rsidRPr="00861957">
              <w:lastRenderedPageBreak/>
              <w:t>Ministry of Health, NGOs</w:t>
            </w:r>
          </w:p>
        </w:tc>
        <w:tc>
          <w:tcPr>
            <w:tcW w:w="1843" w:type="dxa"/>
          </w:tcPr>
          <w:p w14:paraId="65FF6211" w14:textId="3430D792" w:rsidR="0067122A" w:rsidRPr="00861957" w:rsidRDefault="0067122A" w:rsidP="00B230A7">
            <w:pPr>
              <w:rPr>
                <w:b/>
              </w:rPr>
            </w:pPr>
            <w:r w:rsidRPr="00861957">
              <w:rPr>
                <w:b/>
              </w:rPr>
              <w:t>UNICEF</w:t>
            </w:r>
            <w:r w:rsidR="00D14D03" w:rsidRPr="00861957">
              <w:rPr>
                <w:b/>
              </w:rPr>
              <w:t xml:space="preserve"> – </w:t>
            </w:r>
            <w:r w:rsidR="00624F0A" w:rsidRPr="00861957">
              <w:rPr>
                <w:b/>
              </w:rPr>
              <w:t>$</w:t>
            </w:r>
            <w:r w:rsidR="00D14D03" w:rsidRPr="00861957">
              <w:rPr>
                <w:b/>
              </w:rPr>
              <w:t>15</w:t>
            </w:r>
            <w:r w:rsidRPr="00861957">
              <w:rPr>
                <w:b/>
              </w:rPr>
              <w:t>0</w:t>
            </w:r>
            <w:r w:rsidR="00624F0A" w:rsidRPr="00861957">
              <w:rPr>
                <w:b/>
              </w:rPr>
              <w:t>,</w:t>
            </w:r>
            <w:r w:rsidRPr="00861957">
              <w:rPr>
                <w:b/>
              </w:rPr>
              <w:t xml:space="preserve">000; </w:t>
            </w:r>
            <w:r w:rsidR="00624F0A" w:rsidRPr="00861957">
              <w:rPr>
                <w:b/>
              </w:rPr>
              <w:lastRenderedPageBreak/>
              <w:t>$</w:t>
            </w:r>
            <w:r w:rsidRPr="00861957">
              <w:rPr>
                <w:b/>
              </w:rPr>
              <w:t>100</w:t>
            </w:r>
            <w:r w:rsidR="00624F0A" w:rsidRPr="00861957">
              <w:rPr>
                <w:b/>
              </w:rPr>
              <w:t>,</w:t>
            </w:r>
            <w:r w:rsidRPr="00861957">
              <w:rPr>
                <w:b/>
              </w:rPr>
              <w:t>000 (to be mobilized)</w:t>
            </w:r>
          </w:p>
          <w:p w14:paraId="11620DBB" w14:textId="3A4888CC" w:rsidR="0067122A" w:rsidRPr="00861957" w:rsidRDefault="0067122A" w:rsidP="00B230A7">
            <w:pPr>
              <w:rPr>
                <w:b/>
              </w:rPr>
            </w:pPr>
            <w:r w:rsidRPr="00861957">
              <w:rPr>
                <w:b/>
              </w:rPr>
              <w:t xml:space="preserve">UNAIDS </w:t>
            </w:r>
            <w:r w:rsidR="00624F0A" w:rsidRPr="00861957">
              <w:rPr>
                <w:b/>
              </w:rPr>
              <w:t>–</w:t>
            </w:r>
            <w:r w:rsidRPr="00861957">
              <w:rPr>
                <w:b/>
              </w:rPr>
              <w:t xml:space="preserve"> </w:t>
            </w:r>
            <w:r w:rsidR="00624F0A" w:rsidRPr="00861957">
              <w:rPr>
                <w:b/>
              </w:rPr>
              <w:t>$</w:t>
            </w:r>
            <w:r w:rsidRPr="00861957">
              <w:rPr>
                <w:b/>
              </w:rPr>
              <w:t>5</w:t>
            </w:r>
            <w:r w:rsidR="00624F0A" w:rsidRPr="00861957">
              <w:rPr>
                <w:b/>
              </w:rPr>
              <w:t>,</w:t>
            </w:r>
            <w:r w:rsidRPr="00861957">
              <w:rPr>
                <w:b/>
              </w:rPr>
              <w:t>000</w:t>
            </w:r>
          </w:p>
        </w:tc>
      </w:tr>
      <w:tr w:rsidR="0067122A" w:rsidRPr="00861957" w14:paraId="25D2A0DD" w14:textId="77777777" w:rsidTr="00FD4239">
        <w:trPr>
          <w:trHeight w:val="567"/>
        </w:trPr>
        <w:tc>
          <w:tcPr>
            <w:tcW w:w="2268" w:type="dxa"/>
            <w:vMerge/>
            <w:shd w:val="clear" w:color="auto" w:fill="auto"/>
          </w:tcPr>
          <w:p w14:paraId="411B3602" w14:textId="77777777" w:rsidR="0067122A" w:rsidRPr="00861957" w:rsidRDefault="0067122A" w:rsidP="00B230A7">
            <w:pPr>
              <w:rPr>
                <w:b/>
                <w:bCs/>
              </w:rPr>
            </w:pPr>
          </w:p>
        </w:tc>
        <w:tc>
          <w:tcPr>
            <w:tcW w:w="3686" w:type="dxa"/>
            <w:shd w:val="clear" w:color="auto" w:fill="auto"/>
          </w:tcPr>
          <w:p w14:paraId="4BF3B0C9" w14:textId="3256972D" w:rsidR="0067122A" w:rsidRPr="00861957" w:rsidRDefault="0067122A" w:rsidP="00D93C56">
            <w:pPr>
              <w:rPr>
                <w:bCs/>
              </w:rPr>
            </w:pPr>
            <w:r w:rsidRPr="00861957">
              <w:rPr>
                <w:b/>
                <w:color w:val="000000" w:themeColor="text1"/>
                <w:kern w:val="24"/>
              </w:rPr>
              <w:t xml:space="preserve">Indicator 4.2.4. </w:t>
            </w:r>
            <w:r w:rsidR="00D93C56" w:rsidRPr="00861957">
              <w:rPr>
                <w:kern w:val="24"/>
              </w:rPr>
              <w:t>T</w:t>
            </w:r>
            <w:r w:rsidRPr="00861957">
              <w:rPr>
                <w:kern w:val="24"/>
              </w:rPr>
              <w:t>otal incidence rate</w:t>
            </w:r>
            <w:r w:rsidRPr="00861957">
              <w:rPr>
                <w:color w:val="000000" w:themeColor="text1"/>
                <w:kern w:val="24"/>
              </w:rPr>
              <w:t xml:space="preserve"> </w:t>
            </w:r>
            <w:r w:rsidR="00D93C56" w:rsidRPr="00861957">
              <w:rPr>
                <w:color w:val="000000" w:themeColor="text1"/>
                <w:kern w:val="24"/>
              </w:rPr>
              <w:t xml:space="preserve">of </w:t>
            </w:r>
            <w:r w:rsidR="00D93C56" w:rsidRPr="00861957">
              <w:rPr>
                <w:kern w:val="24"/>
              </w:rPr>
              <w:t>tuberculosis</w:t>
            </w:r>
            <w:r w:rsidRPr="00861957">
              <w:rPr>
                <w:color w:val="000000" w:themeColor="text1"/>
                <w:kern w:val="24"/>
              </w:rPr>
              <w:br/>
            </w:r>
            <w:r w:rsidRPr="00861957">
              <w:rPr>
                <w:b/>
                <w:color w:val="000000" w:themeColor="text1"/>
                <w:kern w:val="24"/>
              </w:rPr>
              <w:t>Baseline:</w:t>
            </w:r>
            <w:r w:rsidRPr="00861957">
              <w:rPr>
                <w:b/>
                <w:color w:val="000000" w:themeColor="text1"/>
                <w:kern w:val="24"/>
              </w:rPr>
              <w:br/>
            </w:r>
            <w:r w:rsidRPr="00861957">
              <w:rPr>
                <w:color w:val="000000" w:themeColor="text1"/>
                <w:kern w:val="24"/>
              </w:rPr>
              <w:t xml:space="preserve">41.4 cases per 100,000 population </w:t>
            </w:r>
            <w:r w:rsidRPr="00861957">
              <w:rPr>
                <w:kern w:val="24"/>
              </w:rPr>
              <w:t>(2012)</w:t>
            </w:r>
            <w:r w:rsidRPr="00861957">
              <w:rPr>
                <w:kern w:val="24"/>
              </w:rPr>
              <w:br/>
            </w:r>
            <w:r w:rsidRPr="00861957">
              <w:rPr>
                <w:b/>
                <w:color w:val="000000" w:themeColor="text1"/>
                <w:kern w:val="24"/>
              </w:rPr>
              <w:t>Target:</w:t>
            </w:r>
            <w:r w:rsidRPr="00861957">
              <w:rPr>
                <w:b/>
                <w:color w:val="000000" w:themeColor="text1"/>
                <w:kern w:val="24"/>
              </w:rPr>
              <w:br/>
            </w:r>
            <w:r w:rsidRPr="00861957">
              <w:rPr>
                <w:color w:val="000000" w:themeColor="text1"/>
                <w:kern w:val="24"/>
              </w:rPr>
              <w:t>10% reduction o</w:t>
            </w:r>
            <w:r w:rsidR="00B67C3C" w:rsidRPr="00861957">
              <w:rPr>
                <w:color w:val="000000" w:themeColor="text1"/>
                <w:kern w:val="24"/>
              </w:rPr>
              <w:t>f the overall TB incidence rate</w:t>
            </w:r>
          </w:p>
        </w:tc>
        <w:tc>
          <w:tcPr>
            <w:tcW w:w="1984" w:type="dxa"/>
            <w:shd w:val="clear" w:color="auto" w:fill="auto"/>
          </w:tcPr>
          <w:p w14:paraId="5ED1E27D" w14:textId="77777777" w:rsidR="0067122A" w:rsidRPr="00861957" w:rsidRDefault="0067122A" w:rsidP="00B230A7">
            <w:pPr>
              <w:rPr>
                <w:bCs/>
                <w:color w:val="000000" w:themeColor="text1"/>
                <w:kern w:val="24"/>
              </w:rPr>
            </w:pPr>
            <w:r w:rsidRPr="00861957">
              <w:rPr>
                <w:bCs/>
                <w:color w:val="000000" w:themeColor="text1"/>
                <w:kern w:val="24"/>
              </w:rPr>
              <w:t>Ministry of Health</w:t>
            </w:r>
          </w:p>
          <w:p w14:paraId="34EABC96" w14:textId="77777777" w:rsidR="0067122A" w:rsidRPr="00861957" w:rsidRDefault="0067122A" w:rsidP="00B230A7">
            <w:pPr>
              <w:tabs>
                <w:tab w:val="left" w:pos="1080"/>
              </w:tabs>
              <w:rPr>
                <w:bCs/>
              </w:rPr>
            </w:pPr>
          </w:p>
        </w:tc>
        <w:tc>
          <w:tcPr>
            <w:tcW w:w="3686" w:type="dxa"/>
            <w:shd w:val="clear" w:color="auto" w:fill="auto"/>
          </w:tcPr>
          <w:p w14:paraId="2C51A4E7" w14:textId="09918ADF" w:rsidR="0067122A" w:rsidRPr="00861957" w:rsidRDefault="0067122A" w:rsidP="00B230A7">
            <w:pPr>
              <w:rPr>
                <w:bCs/>
                <w:color w:val="000000" w:themeColor="text1"/>
                <w:kern w:val="24"/>
              </w:rPr>
            </w:pPr>
            <w:r w:rsidRPr="00861957">
              <w:rPr>
                <w:b/>
                <w:color w:val="000000" w:themeColor="text1"/>
                <w:kern w:val="24"/>
              </w:rPr>
              <w:t>Assumptions:</w:t>
            </w:r>
            <w:r w:rsidRPr="00861957">
              <w:rPr>
                <w:b/>
                <w:color w:val="000000" w:themeColor="text1"/>
                <w:kern w:val="24"/>
              </w:rPr>
              <w:br/>
            </w:r>
            <w:r w:rsidRPr="00861957">
              <w:rPr>
                <w:color w:val="000000" w:themeColor="text1"/>
                <w:kern w:val="24"/>
              </w:rPr>
              <w:t xml:space="preserve">Additional funding from GFATM is expected for 2016-2018 </w:t>
            </w:r>
            <w:r w:rsidR="002976CA" w:rsidRPr="00861957">
              <w:rPr>
                <w:color w:val="000000" w:themeColor="text1"/>
                <w:kern w:val="24"/>
              </w:rPr>
              <w:t>for</w:t>
            </w:r>
            <w:r w:rsidRPr="00861957">
              <w:rPr>
                <w:color w:val="000000" w:themeColor="text1"/>
                <w:kern w:val="24"/>
              </w:rPr>
              <w:t xml:space="preserve"> a project on </w:t>
            </w:r>
            <w:r w:rsidR="002976CA" w:rsidRPr="00861957">
              <w:rPr>
                <w:color w:val="000000" w:themeColor="text1"/>
                <w:kern w:val="24"/>
              </w:rPr>
              <w:t>t</w:t>
            </w:r>
            <w:r w:rsidRPr="00861957">
              <w:rPr>
                <w:color w:val="000000" w:themeColor="text1"/>
                <w:kern w:val="24"/>
              </w:rPr>
              <w:t xml:space="preserve">uberculosis; </w:t>
            </w:r>
            <w:r w:rsidR="002976CA" w:rsidRPr="00861957">
              <w:rPr>
                <w:color w:val="000000" w:themeColor="text1"/>
                <w:kern w:val="24"/>
              </w:rPr>
              <w:t xml:space="preserve">The </w:t>
            </w:r>
            <w:r w:rsidRPr="00861957">
              <w:rPr>
                <w:color w:val="000000" w:themeColor="text1"/>
                <w:kern w:val="24"/>
              </w:rPr>
              <w:t xml:space="preserve">State Programme </w:t>
            </w:r>
            <w:r w:rsidR="002976CA" w:rsidRPr="00861957">
              <w:rPr>
                <w:color w:val="000000" w:themeColor="text1"/>
                <w:kern w:val="24"/>
              </w:rPr>
              <w:t>‘</w:t>
            </w:r>
            <w:r w:rsidRPr="00861957">
              <w:rPr>
                <w:color w:val="000000" w:themeColor="text1"/>
                <w:kern w:val="24"/>
              </w:rPr>
              <w:t>Tuberculosis</w:t>
            </w:r>
            <w:r w:rsidR="002976CA" w:rsidRPr="00861957">
              <w:rPr>
                <w:color w:val="000000" w:themeColor="text1"/>
                <w:kern w:val="24"/>
              </w:rPr>
              <w:t>’</w:t>
            </w:r>
            <w:r w:rsidRPr="00861957">
              <w:rPr>
                <w:color w:val="000000" w:themeColor="text1"/>
                <w:kern w:val="24"/>
              </w:rPr>
              <w:t xml:space="preserve"> for 2015-2020</w:t>
            </w:r>
            <w:r w:rsidR="002976CA" w:rsidRPr="00861957">
              <w:rPr>
                <w:color w:val="000000" w:themeColor="text1"/>
                <w:kern w:val="24"/>
              </w:rPr>
              <w:t xml:space="preserve"> is implemented</w:t>
            </w:r>
            <w:r w:rsidRPr="00861957">
              <w:rPr>
                <w:color w:val="000000" w:themeColor="text1"/>
                <w:kern w:val="24"/>
              </w:rPr>
              <w:t xml:space="preserve">. </w:t>
            </w:r>
          </w:p>
          <w:p w14:paraId="533006A9" w14:textId="404AC3C5" w:rsidR="0067122A" w:rsidRPr="00861957" w:rsidRDefault="0067122A" w:rsidP="00B230A7">
            <w:pPr>
              <w:rPr>
                <w:b/>
                <w:bCs/>
                <w:kern w:val="24"/>
              </w:rPr>
            </w:pPr>
            <w:r w:rsidRPr="00861957">
              <w:rPr>
                <w:b/>
                <w:kern w:val="24"/>
              </w:rPr>
              <w:t xml:space="preserve">Risks: </w:t>
            </w:r>
            <w:r w:rsidR="002976CA" w:rsidRPr="00861957">
              <w:rPr>
                <w:kern w:val="24"/>
              </w:rPr>
              <w:t>Risks related to the slowing of economic growth and consequent financing</w:t>
            </w:r>
          </w:p>
        </w:tc>
        <w:tc>
          <w:tcPr>
            <w:tcW w:w="1984" w:type="dxa"/>
          </w:tcPr>
          <w:p w14:paraId="747C6BF1" w14:textId="77777777" w:rsidR="0067122A" w:rsidRPr="00861957" w:rsidRDefault="0067122A" w:rsidP="00B230A7">
            <w:r w:rsidRPr="00861957">
              <w:rPr>
                <w:color w:val="000000" w:themeColor="dark1"/>
                <w:kern w:val="24"/>
              </w:rPr>
              <w:t>Ministry of Health, NGOs</w:t>
            </w:r>
          </w:p>
        </w:tc>
        <w:tc>
          <w:tcPr>
            <w:tcW w:w="1843" w:type="dxa"/>
          </w:tcPr>
          <w:p w14:paraId="6445E1A1" w14:textId="7766258E" w:rsidR="0067122A" w:rsidRPr="00861957" w:rsidRDefault="0067122A" w:rsidP="00B230A7">
            <w:pPr>
              <w:rPr>
                <w:b/>
              </w:rPr>
            </w:pPr>
            <w:r w:rsidRPr="00861957">
              <w:rPr>
                <w:b/>
                <w:bCs/>
              </w:rPr>
              <w:t>WHO</w:t>
            </w:r>
            <w:r w:rsidRPr="00861957">
              <w:rPr>
                <w:b/>
              </w:rPr>
              <w:t xml:space="preserve"> – </w:t>
            </w:r>
            <w:r w:rsidR="00624F0A" w:rsidRPr="00861957">
              <w:rPr>
                <w:b/>
              </w:rPr>
              <w:t>$</w:t>
            </w:r>
            <w:r w:rsidRPr="00861957">
              <w:rPr>
                <w:b/>
              </w:rPr>
              <w:t>250,000</w:t>
            </w:r>
          </w:p>
          <w:p w14:paraId="67EDB8AD" w14:textId="77777777" w:rsidR="0067122A" w:rsidRPr="00861957" w:rsidRDefault="0067122A" w:rsidP="00B230A7"/>
        </w:tc>
      </w:tr>
      <w:tr w:rsidR="0067122A" w:rsidRPr="00861957" w14:paraId="6A4148FD" w14:textId="77777777" w:rsidTr="00FD4239">
        <w:trPr>
          <w:trHeight w:val="567"/>
        </w:trPr>
        <w:tc>
          <w:tcPr>
            <w:tcW w:w="2268" w:type="dxa"/>
            <w:vMerge/>
            <w:shd w:val="clear" w:color="auto" w:fill="auto"/>
          </w:tcPr>
          <w:p w14:paraId="1C71F3DD" w14:textId="77777777" w:rsidR="0067122A" w:rsidRPr="00861957" w:rsidRDefault="0067122A" w:rsidP="00B230A7">
            <w:pPr>
              <w:rPr>
                <w:b/>
                <w:bCs/>
              </w:rPr>
            </w:pPr>
          </w:p>
        </w:tc>
        <w:tc>
          <w:tcPr>
            <w:tcW w:w="3686" w:type="dxa"/>
            <w:shd w:val="clear" w:color="auto" w:fill="auto"/>
          </w:tcPr>
          <w:p w14:paraId="5AA513E4" w14:textId="77777777" w:rsidR="0067122A" w:rsidRPr="00861957" w:rsidRDefault="0067122A" w:rsidP="00B230A7">
            <w:pPr>
              <w:rPr>
                <w:color w:val="000000" w:themeColor="text1"/>
                <w:kern w:val="24"/>
              </w:rPr>
            </w:pPr>
            <w:r w:rsidRPr="00861957">
              <w:rPr>
                <w:b/>
                <w:color w:val="000000" w:themeColor="text1"/>
                <w:kern w:val="24"/>
              </w:rPr>
              <w:t xml:space="preserve">Indicator 4.2.5. </w:t>
            </w:r>
            <w:r w:rsidRPr="00861957">
              <w:rPr>
                <w:color w:val="000000" w:themeColor="text1"/>
                <w:kern w:val="24"/>
              </w:rPr>
              <w:t xml:space="preserve">Mortality from tuberculosis </w:t>
            </w:r>
          </w:p>
          <w:p w14:paraId="09F8EAEC" w14:textId="77777777" w:rsidR="0067122A" w:rsidRPr="00861957" w:rsidRDefault="0067122A" w:rsidP="00B230A7">
            <w:pPr>
              <w:jc w:val="both"/>
              <w:rPr>
                <w:kern w:val="24"/>
              </w:rPr>
            </w:pPr>
            <w:r w:rsidRPr="00861957">
              <w:rPr>
                <w:b/>
                <w:color w:val="000000" w:themeColor="text1"/>
                <w:kern w:val="24"/>
              </w:rPr>
              <w:t xml:space="preserve">Baseline: </w:t>
            </w:r>
            <w:r w:rsidRPr="00861957">
              <w:rPr>
                <w:color w:val="000000" w:themeColor="text1"/>
                <w:kern w:val="24"/>
              </w:rPr>
              <w:t xml:space="preserve">6.9 cases per 100,000 population </w:t>
            </w:r>
            <w:r w:rsidRPr="00861957">
              <w:rPr>
                <w:kern w:val="24"/>
              </w:rPr>
              <w:t>(2012)</w:t>
            </w:r>
          </w:p>
          <w:p w14:paraId="2D591216" w14:textId="0F454026" w:rsidR="0067122A" w:rsidRPr="00861957" w:rsidRDefault="0067122A" w:rsidP="00D93C56">
            <w:pPr>
              <w:jc w:val="both"/>
              <w:rPr>
                <w:color w:val="000000" w:themeColor="text1"/>
                <w:kern w:val="24"/>
              </w:rPr>
            </w:pPr>
            <w:r w:rsidRPr="00861957">
              <w:rPr>
                <w:b/>
                <w:color w:val="000000" w:themeColor="text1"/>
                <w:kern w:val="24"/>
              </w:rPr>
              <w:t xml:space="preserve">Target: </w:t>
            </w:r>
            <w:r w:rsidRPr="00861957">
              <w:rPr>
                <w:color w:val="000000" w:themeColor="text1"/>
                <w:kern w:val="24"/>
              </w:rPr>
              <w:t>5% reduction</w:t>
            </w:r>
            <w:r w:rsidR="00D93C56" w:rsidRPr="00861957">
              <w:rPr>
                <w:color w:val="000000" w:themeColor="text1"/>
                <w:kern w:val="24"/>
              </w:rPr>
              <w:t xml:space="preserve"> from the baseline</w:t>
            </w:r>
          </w:p>
        </w:tc>
        <w:tc>
          <w:tcPr>
            <w:tcW w:w="1984" w:type="dxa"/>
            <w:shd w:val="clear" w:color="auto" w:fill="auto"/>
          </w:tcPr>
          <w:p w14:paraId="4D17B23A" w14:textId="77777777" w:rsidR="0067122A" w:rsidRPr="00861957" w:rsidRDefault="0067122A" w:rsidP="00B230A7">
            <w:pPr>
              <w:tabs>
                <w:tab w:val="left" w:pos="1080"/>
              </w:tabs>
              <w:rPr>
                <w:bCs/>
              </w:rPr>
            </w:pPr>
            <w:r w:rsidRPr="00861957">
              <w:rPr>
                <w:bCs/>
              </w:rPr>
              <w:t>Belstat</w:t>
            </w:r>
          </w:p>
        </w:tc>
        <w:tc>
          <w:tcPr>
            <w:tcW w:w="3686" w:type="dxa"/>
            <w:shd w:val="clear" w:color="auto" w:fill="auto"/>
          </w:tcPr>
          <w:p w14:paraId="211D4BEA" w14:textId="1834B075" w:rsidR="0067122A" w:rsidRPr="00861957" w:rsidRDefault="0067122A" w:rsidP="00B230A7">
            <w:pPr>
              <w:rPr>
                <w:bCs/>
                <w:color w:val="000000" w:themeColor="text1"/>
                <w:kern w:val="24"/>
              </w:rPr>
            </w:pPr>
            <w:r w:rsidRPr="00861957">
              <w:rPr>
                <w:b/>
                <w:color w:val="000000" w:themeColor="text1"/>
                <w:kern w:val="24"/>
              </w:rPr>
              <w:t xml:space="preserve">Assumptions: </w:t>
            </w:r>
            <w:r w:rsidRPr="00861957">
              <w:rPr>
                <w:b/>
                <w:color w:val="000000" w:themeColor="text1"/>
                <w:kern w:val="24"/>
              </w:rPr>
              <w:br/>
            </w:r>
            <w:r w:rsidRPr="00861957">
              <w:rPr>
                <w:color w:val="000000" w:themeColor="text1"/>
                <w:kern w:val="24"/>
              </w:rPr>
              <w:t>Additional funding from GFATM is expected for 2016</w:t>
            </w:r>
            <w:r w:rsidR="002976CA" w:rsidRPr="00861957">
              <w:rPr>
                <w:color w:val="000000" w:themeColor="text1"/>
                <w:kern w:val="24"/>
              </w:rPr>
              <w:t>–</w:t>
            </w:r>
            <w:r w:rsidRPr="00861957">
              <w:rPr>
                <w:color w:val="000000" w:themeColor="text1"/>
                <w:kern w:val="24"/>
              </w:rPr>
              <w:t>2018</w:t>
            </w:r>
            <w:r w:rsidR="002976CA" w:rsidRPr="00861957">
              <w:rPr>
                <w:color w:val="000000" w:themeColor="text1"/>
                <w:kern w:val="24"/>
              </w:rPr>
              <w:t xml:space="preserve"> for</w:t>
            </w:r>
            <w:r w:rsidRPr="00861957">
              <w:rPr>
                <w:color w:val="000000" w:themeColor="text1"/>
                <w:kern w:val="24"/>
              </w:rPr>
              <w:t xml:space="preserve"> a project on </w:t>
            </w:r>
            <w:r w:rsidR="002976CA" w:rsidRPr="00861957">
              <w:rPr>
                <w:color w:val="000000" w:themeColor="text1"/>
                <w:kern w:val="24"/>
              </w:rPr>
              <w:t>t</w:t>
            </w:r>
            <w:r w:rsidRPr="00861957">
              <w:rPr>
                <w:color w:val="000000" w:themeColor="text1"/>
                <w:kern w:val="24"/>
              </w:rPr>
              <w:t xml:space="preserve">uberculosis; </w:t>
            </w:r>
            <w:r w:rsidR="002976CA" w:rsidRPr="00861957">
              <w:rPr>
                <w:color w:val="000000" w:themeColor="text1"/>
                <w:kern w:val="24"/>
              </w:rPr>
              <w:t>T</w:t>
            </w:r>
            <w:r w:rsidRPr="00861957">
              <w:rPr>
                <w:color w:val="000000" w:themeColor="text1"/>
                <w:kern w:val="24"/>
              </w:rPr>
              <w:t xml:space="preserve">he State Programme </w:t>
            </w:r>
            <w:r w:rsidR="002976CA" w:rsidRPr="00861957">
              <w:rPr>
                <w:color w:val="000000" w:themeColor="text1"/>
                <w:kern w:val="24"/>
              </w:rPr>
              <w:t>‘</w:t>
            </w:r>
            <w:r w:rsidRPr="00861957">
              <w:rPr>
                <w:color w:val="000000" w:themeColor="text1"/>
                <w:kern w:val="24"/>
              </w:rPr>
              <w:t>Tuberculosis</w:t>
            </w:r>
            <w:r w:rsidR="002976CA" w:rsidRPr="00861957">
              <w:rPr>
                <w:color w:val="000000" w:themeColor="text1"/>
                <w:kern w:val="24"/>
              </w:rPr>
              <w:t>’</w:t>
            </w:r>
            <w:r w:rsidRPr="00861957">
              <w:rPr>
                <w:color w:val="000000" w:themeColor="text1"/>
                <w:kern w:val="24"/>
              </w:rPr>
              <w:t xml:space="preserve"> for 2015-2020</w:t>
            </w:r>
            <w:r w:rsidR="002976CA" w:rsidRPr="00861957">
              <w:rPr>
                <w:color w:val="000000" w:themeColor="text1"/>
                <w:kern w:val="24"/>
              </w:rPr>
              <w:t xml:space="preserve"> is implemented</w:t>
            </w:r>
            <w:r w:rsidRPr="00861957">
              <w:rPr>
                <w:color w:val="000000" w:themeColor="text1"/>
                <w:kern w:val="24"/>
              </w:rPr>
              <w:t xml:space="preserve">. </w:t>
            </w:r>
          </w:p>
          <w:p w14:paraId="7BF6189C" w14:textId="38623B6A" w:rsidR="0067122A" w:rsidRPr="00861957" w:rsidRDefault="0067122A" w:rsidP="00B230A7">
            <w:r w:rsidRPr="00861957">
              <w:rPr>
                <w:b/>
                <w:kern w:val="24"/>
              </w:rPr>
              <w:t>Risks:</w:t>
            </w:r>
            <w:r w:rsidRPr="00861957">
              <w:rPr>
                <w:b/>
                <w:kern w:val="24"/>
              </w:rPr>
              <w:br/>
            </w:r>
            <w:r w:rsidR="002976CA" w:rsidRPr="00861957">
              <w:rPr>
                <w:kern w:val="24"/>
              </w:rPr>
              <w:t>Risks related to the slowing of economic growth and consequent financing</w:t>
            </w:r>
          </w:p>
        </w:tc>
        <w:tc>
          <w:tcPr>
            <w:tcW w:w="1984" w:type="dxa"/>
          </w:tcPr>
          <w:p w14:paraId="2B1B1940" w14:textId="77777777" w:rsidR="0067122A" w:rsidRPr="00861957" w:rsidRDefault="0067122A" w:rsidP="00B230A7">
            <w:pPr>
              <w:rPr>
                <w:color w:val="000000" w:themeColor="dark1"/>
                <w:kern w:val="24"/>
              </w:rPr>
            </w:pPr>
            <w:r w:rsidRPr="00861957">
              <w:rPr>
                <w:color w:val="000000" w:themeColor="dark1"/>
                <w:kern w:val="24"/>
              </w:rPr>
              <w:t>Ministry of Health, NGOs</w:t>
            </w:r>
          </w:p>
        </w:tc>
        <w:tc>
          <w:tcPr>
            <w:tcW w:w="1843" w:type="dxa"/>
          </w:tcPr>
          <w:p w14:paraId="49A47A66" w14:textId="4381642A" w:rsidR="0067122A" w:rsidRPr="00861957" w:rsidRDefault="0067122A" w:rsidP="00B230A7">
            <w:pPr>
              <w:rPr>
                <w:b/>
              </w:rPr>
            </w:pPr>
            <w:r w:rsidRPr="00861957">
              <w:rPr>
                <w:b/>
              </w:rPr>
              <w:t xml:space="preserve">UNDP </w:t>
            </w:r>
            <w:r w:rsidR="00AE7C22" w:rsidRPr="00861957">
              <w:rPr>
                <w:b/>
              </w:rPr>
              <w:t>$</w:t>
            </w:r>
            <w:r w:rsidR="00624F0A" w:rsidRPr="00861957">
              <w:rPr>
                <w:b/>
              </w:rPr>
              <w:t>2</w:t>
            </w:r>
            <w:r w:rsidRPr="00861957">
              <w:rPr>
                <w:b/>
              </w:rPr>
              <w:t>,000,00</w:t>
            </w:r>
            <w:r w:rsidR="00AE7C22" w:rsidRPr="00861957">
              <w:rPr>
                <w:b/>
              </w:rPr>
              <w:t>0</w:t>
            </w:r>
          </w:p>
          <w:p w14:paraId="45F88634" w14:textId="2B8E3337" w:rsidR="0067122A" w:rsidRPr="00861957" w:rsidRDefault="0067122A" w:rsidP="00B230A7">
            <w:pPr>
              <w:rPr>
                <w:b/>
              </w:rPr>
            </w:pPr>
            <w:r w:rsidRPr="00861957">
              <w:rPr>
                <w:b/>
              </w:rPr>
              <w:t>(to be mobili</w:t>
            </w:r>
            <w:r w:rsidR="000F002C" w:rsidRPr="00861957">
              <w:rPr>
                <w:b/>
              </w:rPr>
              <w:t>z</w:t>
            </w:r>
            <w:r w:rsidRPr="00861957">
              <w:rPr>
                <w:b/>
              </w:rPr>
              <w:t>ed)</w:t>
            </w:r>
          </w:p>
        </w:tc>
      </w:tr>
      <w:tr w:rsidR="0067122A" w:rsidRPr="00861957" w14:paraId="56ED679B" w14:textId="77777777" w:rsidTr="00FD4239">
        <w:trPr>
          <w:trHeight w:val="567"/>
        </w:trPr>
        <w:tc>
          <w:tcPr>
            <w:tcW w:w="2268" w:type="dxa"/>
            <w:vMerge/>
            <w:shd w:val="clear" w:color="auto" w:fill="auto"/>
          </w:tcPr>
          <w:p w14:paraId="6599F26A" w14:textId="77777777" w:rsidR="0067122A" w:rsidRPr="00861957" w:rsidRDefault="0067122A" w:rsidP="00B230A7">
            <w:pPr>
              <w:rPr>
                <w:b/>
                <w:bCs/>
              </w:rPr>
            </w:pPr>
          </w:p>
        </w:tc>
        <w:tc>
          <w:tcPr>
            <w:tcW w:w="3686" w:type="dxa"/>
            <w:shd w:val="clear" w:color="auto" w:fill="auto"/>
          </w:tcPr>
          <w:p w14:paraId="5DF5CAE9" w14:textId="77777777" w:rsidR="0067122A" w:rsidRPr="00861957" w:rsidRDefault="0067122A" w:rsidP="00B230A7">
            <w:pPr>
              <w:rPr>
                <w:b/>
                <w:color w:val="000000" w:themeColor="text1"/>
                <w:kern w:val="24"/>
              </w:rPr>
            </w:pPr>
            <w:r w:rsidRPr="00861957">
              <w:rPr>
                <w:b/>
                <w:color w:val="000000" w:themeColor="text1"/>
                <w:kern w:val="24"/>
              </w:rPr>
              <w:t>Indicator 4.2.6.</w:t>
            </w:r>
            <w:r w:rsidRPr="00861957">
              <w:rPr>
                <w:b/>
                <w:color w:val="000000" w:themeColor="text1"/>
                <w:kern w:val="24"/>
              </w:rPr>
              <w:br/>
            </w:r>
            <w:r w:rsidRPr="00861957">
              <w:rPr>
                <w:color w:val="000000" w:themeColor="text1"/>
                <w:kern w:val="24"/>
              </w:rPr>
              <w:t xml:space="preserve">ARV treatment coverage among patients with TB/HIV </w:t>
            </w:r>
          </w:p>
          <w:p w14:paraId="397636E5" w14:textId="77777777" w:rsidR="0067122A" w:rsidRPr="00861957" w:rsidRDefault="0067122A" w:rsidP="00B230A7">
            <w:pPr>
              <w:jc w:val="both"/>
              <w:rPr>
                <w:b/>
                <w:color w:val="000000" w:themeColor="text1"/>
                <w:kern w:val="24"/>
              </w:rPr>
            </w:pPr>
            <w:r w:rsidRPr="00861957">
              <w:rPr>
                <w:b/>
                <w:kern w:val="24"/>
              </w:rPr>
              <w:t>Baseline:</w:t>
            </w:r>
            <w:r w:rsidRPr="00861957">
              <w:rPr>
                <w:kern w:val="24"/>
              </w:rPr>
              <w:t xml:space="preserve"> 67% (2013)</w:t>
            </w:r>
            <w:r w:rsidRPr="00861957">
              <w:rPr>
                <w:kern w:val="24"/>
              </w:rPr>
              <w:br/>
            </w:r>
            <w:r w:rsidRPr="00861957">
              <w:rPr>
                <w:b/>
                <w:color w:val="000000" w:themeColor="text1"/>
                <w:kern w:val="24"/>
              </w:rPr>
              <w:t xml:space="preserve">Target: </w:t>
            </w:r>
            <w:r w:rsidR="00E37E38" w:rsidRPr="00861957">
              <w:rPr>
                <w:color w:val="000000" w:themeColor="text1"/>
                <w:kern w:val="24"/>
              </w:rPr>
              <w:t>90</w:t>
            </w:r>
            <w:r w:rsidRPr="00861957">
              <w:rPr>
                <w:color w:val="000000" w:themeColor="text1"/>
                <w:kern w:val="24"/>
              </w:rPr>
              <w:t>% (2020)</w:t>
            </w:r>
          </w:p>
        </w:tc>
        <w:tc>
          <w:tcPr>
            <w:tcW w:w="1984" w:type="dxa"/>
            <w:shd w:val="clear" w:color="auto" w:fill="auto"/>
          </w:tcPr>
          <w:p w14:paraId="0724B866" w14:textId="77777777" w:rsidR="0067122A" w:rsidRPr="00861957" w:rsidRDefault="0067122A" w:rsidP="00B230A7">
            <w:pPr>
              <w:rPr>
                <w:color w:val="000000" w:themeColor="dark1"/>
                <w:kern w:val="24"/>
              </w:rPr>
            </w:pPr>
            <w:r w:rsidRPr="00861957">
              <w:rPr>
                <w:color w:val="000000" w:themeColor="dark1"/>
                <w:kern w:val="24"/>
              </w:rPr>
              <w:t>Ministry of Health</w:t>
            </w:r>
          </w:p>
          <w:p w14:paraId="26C2E64A" w14:textId="77777777" w:rsidR="0067122A" w:rsidRPr="00861957" w:rsidRDefault="0067122A" w:rsidP="00B230A7">
            <w:pPr>
              <w:tabs>
                <w:tab w:val="left" w:pos="1080"/>
              </w:tabs>
              <w:rPr>
                <w:bCs/>
              </w:rPr>
            </w:pPr>
          </w:p>
        </w:tc>
        <w:tc>
          <w:tcPr>
            <w:tcW w:w="3686" w:type="dxa"/>
            <w:shd w:val="clear" w:color="auto" w:fill="auto"/>
          </w:tcPr>
          <w:p w14:paraId="1E09786E" w14:textId="4DBDB946" w:rsidR="0067122A" w:rsidRPr="00861957" w:rsidRDefault="0067122A" w:rsidP="00B230A7">
            <w:r w:rsidRPr="00861957">
              <w:rPr>
                <w:b/>
                <w:color w:val="000000" w:themeColor="text1"/>
                <w:kern w:val="24"/>
              </w:rPr>
              <w:t>Assumptions:</w:t>
            </w:r>
            <w:r w:rsidRPr="00861957">
              <w:rPr>
                <w:b/>
                <w:color w:val="000000" w:themeColor="text1"/>
                <w:kern w:val="24"/>
              </w:rPr>
              <w:br/>
            </w:r>
            <w:r w:rsidRPr="00861957">
              <w:rPr>
                <w:color w:val="000000" w:themeColor="text1"/>
                <w:kern w:val="24"/>
              </w:rPr>
              <w:t xml:space="preserve">High commitment to ARV treatment among patients with TB/HIV </w:t>
            </w:r>
            <w:r w:rsidRPr="00861957">
              <w:rPr>
                <w:color w:val="000000" w:themeColor="text1"/>
                <w:kern w:val="24"/>
              </w:rPr>
              <w:br/>
            </w:r>
            <w:r w:rsidRPr="00861957">
              <w:rPr>
                <w:b/>
                <w:kern w:val="24"/>
              </w:rPr>
              <w:t xml:space="preserve">Risks: </w:t>
            </w:r>
            <w:r w:rsidR="002976CA" w:rsidRPr="00861957">
              <w:rPr>
                <w:kern w:val="24"/>
              </w:rPr>
              <w:t>Risks related to the slowing of economic growth and consequent financing</w:t>
            </w:r>
          </w:p>
        </w:tc>
        <w:tc>
          <w:tcPr>
            <w:tcW w:w="1984" w:type="dxa"/>
          </w:tcPr>
          <w:p w14:paraId="6C5DDBBD" w14:textId="77777777" w:rsidR="0067122A" w:rsidRPr="00861957" w:rsidRDefault="0067122A" w:rsidP="00B230A7">
            <w:r w:rsidRPr="00861957">
              <w:rPr>
                <w:color w:val="000000" w:themeColor="dark1"/>
                <w:kern w:val="24"/>
              </w:rPr>
              <w:t>Ministry of Health, NGOs</w:t>
            </w:r>
          </w:p>
        </w:tc>
        <w:tc>
          <w:tcPr>
            <w:tcW w:w="1843" w:type="dxa"/>
          </w:tcPr>
          <w:p w14:paraId="67C3E24F" w14:textId="67178D18" w:rsidR="0067122A" w:rsidRPr="00861957" w:rsidRDefault="0067122A" w:rsidP="00B230A7">
            <w:pPr>
              <w:rPr>
                <w:b/>
              </w:rPr>
            </w:pPr>
            <w:r w:rsidRPr="00861957">
              <w:rPr>
                <w:b/>
              </w:rPr>
              <w:t>UNDP $</w:t>
            </w:r>
            <w:r w:rsidR="00624F0A" w:rsidRPr="00861957">
              <w:rPr>
                <w:b/>
              </w:rPr>
              <w:t>1,4</w:t>
            </w:r>
            <w:r w:rsidRPr="00861957">
              <w:rPr>
                <w:b/>
              </w:rPr>
              <w:t>00,000</w:t>
            </w:r>
          </w:p>
          <w:p w14:paraId="60CDEC41" w14:textId="027981A2" w:rsidR="0067122A" w:rsidRPr="00861957" w:rsidRDefault="0067122A" w:rsidP="00B230A7">
            <w:r w:rsidRPr="00861957">
              <w:rPr>
                <w:b/>
              </w:rPr>
              <w:t>(to be mobili</w:t>
            </w:r>
            <w:r w:rsidR="000F002C" w:rsidRPr="00861957">
              <w:rPr>
                <w:b/>
              </w:rPr>
              <w:t>z</w:t>
            </w:r>
            <w:r w:rsidRPr="00861957">
              <w:rPr>
                <w:b/>
              </w:rPr>
              <w:t>ed)</w:t>
            </w:r>
          </w:p>
        </w:tc>
      </w:tr>
      <w:tr w:rsidR="0067122A" w:rsidRPr="00861957" w14:paraId="387ED034" w14:textId="77777777" w:rsidTr="00FD4239">
        <w:trPr>
          <w:trHeight w:val="567"/>
        </w:trPr>
        <w:tc>
          <w:tcPr>
            <w:tcW w:w="2268" w:type="dxa"/>
            <w:vMerge/>
            <w:shd w:val="clear" w:color="auto" w:fill="auto"/>
          </w:tcPr>
          <w:p w14:paraId="6CAC9805" w14:textId="77777777" w:rsidR="0067122A" w:rsidRPr="00861957" w:rsidRDefault="0067122A" w:rsidP="00B230A7">
            <w:pPr>
              <w:rPr>
                <w:b/>
                <w:bCs/>
              </w:rPr>
            </w:pPr>
          </w:p>
        </w:tc>
        <w:tc>
          <w:tcPr>
            <w:tcW w:w="3686" w:type="dxa"/>
            <w:shd w:val="clear" w:color="auto" w:fill="auto"/>
          </w:tcPr>
          <w:p w14:paraId="3450FB8B" w14:textId="059CDFEE" w:rsidR="0067122A" w:rsidRPr="00861957" w:rsidRDefault="0067122A" w:rsidP="00B230A7">
            <w:pPr>
              <w:jc w:val="both"/>
              <w:rPr>
                <w:bCs/>
              </w:rPr>
            </w:pPr>
            <w:r w:rsidRPr="00861957">
              <w:rPr>
                <w:b/>
                <w:kern w:val="24"/>
              </w:rPr>
              <w:t>Indicator 4.2.7</w:t>
            </w:r>
            <w:r w:rsidRPr="00861957">
              <w:rPr>
                <w:kern w:val="24"/>
              </w:rPr>
              <w:t>. Coverage of PLHIV by Isoniazid preventive treatment</w:t>
            </w:r>
            <w:r w:rsidRPr="00861957">
              <w:rPr>
                <w:kern w:val="24"/>
              </w:rPr>
              <w:br/>
            </w:r>
            <w:r w:rsidRPr="00861957">
              <w:rPr>
                <w:b/>
                <w:kern w:val="24"/>
              </w:rPr>
              <w:t xml:space="preserve">Baseline: </w:t>
            </w:r>
            <w:r w:rsidRPr="00861957">
              <w:rPr>
                <w:kern w:val="24"/>
              </w:rPr>
              <w:t>26.3% - proportion of adults and children enrolled in HIV care receiving preventive treatment by Isoniazid (2013)</w:t>
            </w:r>
            <w:r w:rsidRPr="00861957">
              <w:rPr>
                <w:kern w:val="24"/>
              </w:rPr>
              <w:br/>
            </w:r>
            <w:r w:rsidRPr="00861957">
              <w:rPr>
                <w:b/>
                <w:kern w:val="24"/>
              </w:rPr>
              <w:t>Target</w:t>
            </w:r>
            <w:r w:rsidRPr="00861957">
              <w:rPr>
                <w:kern w:val="24"/>
              </w:rPr>
              <w:t>: 75% of PLHIV</w:t>
            </w:r>
            <w:r w:rsidR="00CB7407" w:rsidRPr="00CB7407">
              <w:rPr>
                <w:kern w:val="24"/>
                <w:lang w:val="en-US"/>
              </w:rPr>
              <w:t xml:space="preserve"> </w:t>
            </w:r>
            <w:r w:rsidR="00CB7407">
              <w:rPr>
                <w:kern w:val="24"/>
                <w:lang w:val="en-US"/>
              </w:rPr>
              <w:t>receive treatment</w:t>
            </w:r>
            <w:r w:rsidRPr="00861957">
              <w:rPr>
                <w:kern w:val="24"/>
              </w:rPr>
              <w:t xml:space="preserve"> (2020)</w:t>
            </w:r>
          </w:p>
        </w:tc>
        <w:tc>
          <w:tcPr>
            <w:tcW w:w="1984" w:type="dxa"/>
            <w:shd w:val="clear" w:color="auto" w:fill="auto"/>
          </w:tcPr>
          <w:p w14:paraId="21CEC369" w14:textId="77777777" w:rsidR="0067122A" w:rsidRPr="00861957" w:rsidRDefault="0067122A" w:rsidP="00B230A7">
            <w:pPr>
              <w:rPr>
                <w:color w:val="000000" w:themeColor="dark1"/>
                <w:kern w:val="24"/>
              </w:rPr>
            </w:pPr>
            <w:r w:rsidRPr="00861957">
              <w:rPr>
                <w:color w:val="000000" w:themeColor="dark1"/>
                <w:kern w:val="24"/>
              </w:rPr>
              <w:t>Ministry of Health</w:t>
            </w:r>
          </w:p>
        </w:tc>
        <w:tc>
          <w:tcPr>
            <w:tcW w:w="3686" w:type="dxa"/>
            <w:shd w:val="clear" w:color="auto" w:fill="auto"/>
          </w:tcPr>
          <w:p w14:paraId="142B6AAA" w14:textId="593EE394" w:rsidR="0067122A" w:rsidRPr="00861957" w:rsidRDefault="0067122A" w:rsidP="00B230A7">
            <w:pPr>
              <w:rPr>
                <w:bCs/>
                <w:kern w:val="24"/>
              </w:rPr>
            </w:pPr>
            <w:r w:rsidRPr="00861957">
              <w:rPr>
                <w:b/>
                <w:kern w:val="24"/>
              </w:rPr>
              <w:t>Assumptions:</w:t>
            </w:r>
            <w:r w:rsidRPr="00861957">
              <w:rPr>
                <w:b/>
                <w:kern w:val="24"/>
              </w:rPr>
              <w:br/>
            </w:r>
            <w:r w:rsidRPr="00861957">
              <w:rPr>
                <w:kern w:val="24"/>
              </w:rPr>
              <w:t>The relevant State Programmes and GFATM grants for 2016-2018 have components to support coordination between TB and HIV services</w:t>
            </w:r>
          </w:p>
          <w:p w14:paraId="60A7B53A" w14:textId="5CAD7B26" w:rsidR="0067122A" w:rsidRPr="00861957" w:rsidRDefault="0067122A" w:rsidP="00B230A7">
            <w:r w:rsidRPr="00861957">
              <w:rPr>
                <w:b/>
                <w:kern w:val="24"/>
              </w:rPr>
              <w:t xml:space="preserve">Risks: </w:t>
            </w:r>
            <w:r w:rsidR="002976CA" w:rsidRPr="00861957">
              <w:rPr>
                <w:kern w:val="24"/>
              </w:rPr>
              <w:t>Risks related to the slowing of economic growth and consequent financing</w:t>
            </w:r>
          </w:p>
        </w:tc>
        <w:tc>
          <w:tcPr>
            <w:tcW w:w="1984" w:type="dxa"/>
          </w:tcPr>
          <w:p w14:paraId="1CE05820" w14:textId="77777777" w:rsidR="0067122A" w:rsidRPr="00861957" w:rsidRDefault="0067122A" w:rsidP="00B230A7">
            <w:r w:rsidRPr="00861957">
              <w:rPr>
                <w:color w:val="000000" w:themeColor="dark1"/>
                <w:kern w:val="24"/>
              </w:rPr>
              <w:t>Ministry of Health, NGOs</w:t>
            </w:r>
          </w:p>
        </w:tc>
        <w:tc>
          <w:tcPr>
            <w:tcW w:w="1843" w:type="dxa"/>
          </w:tcPr>
          <w:p w14:paraId="65A1863C" w14:textId="0D8CADBC" w:rsidR="0067122A" w:rsidRPr="00861957" w:rsidRDefault="0067122A" w:rsidP="00B230A7">
            <w:pPr>
              <w:rPr>
                <w:b/>
              </w:rPr>
            </w:pPr>
            <w:r w:rsidRPr="00861957">
              <w:rPr>
                <w:b/>
              </w:rPr>
              <w:t>UNDP $</w:t>
            </w:r>
            <w:r w:rsidR="00624F0A" w:rsidRPr="00861957">
              <w:rPr>
                <w:b/>
              </w:rPr>
              <w:t>1,</w:t>
            </w:r>
            <w:r w:rsidRPr="00861957">
              <w:rPr>
                <w:b/>
              </w:rPr>
              <w:t>300,000</w:t>
            </w:r>
          </w:p>
          <w:p w14:paraId="00A797FF" w14:textId="065A3BEC" w:rsidR="0067122A" w:rsidRPr="00861957" w:rsidRDefault="0067122A" w:rsidP="00B230A7">
            <w:r w:rsidRPr="00861957">
              <w:rPr>
                <w:b/>
              </w:rPr>
              <w:t>(to be mobili</w:t>
            </w:r>
            <w:r w:rsidR="000F002C" w:rsidRPr="00861957">
              <w:rPr>
                <w:b/>
              </w:rPr>
              <w:t>z</w:t>
            </w:r>
            <w:r w:rsidRPr="00861957">
              <w:rPr>
                <w:b/>
              </w:rPr>
              <w:t>ed)</w:t>
            </w:r>
          </w:p>
        </w:tc>
      </w:tr>
      <w:tr w:rsidR="000715E7" w:rsidRPr="00861957" w14:paraId="57A4D52E" w14:textId="77777777" w:rsidTr="00FD4239">
        <w:trPr>
          <w:trHeight w:val="567"/>
        </w:trPr>
        <w:tc>
          <w:tcPr>
            <w:tcW w:w="2268" w:type="dxa"/>
            <w:vMerge w:val="restart"/>
            <w:shd w:val="clear" w:color="auto" w:fill="auto"/>
          </w:tcPr>
          <w:p w14:paraId="74062811" w14:textId="3859239B" w:rsidR="000715E7" w:rsidRPr="00861957" w:rsidRDefault="000715E7" w:rsidP="00440ACD">
            <w:pPr>
              <w:pStyle w:val="PlainText"/>
              <w:jc w:val="both"/>
              <w:rPr>
                <w:rFonts w:ascii="Times New Roman" w:hAnsi="Times New Roman" w:cs="Times New Roman"/>
                <w:sz w:val="24"/>
                <w:szCs w:val="24"/>
                <w:lang w:val="en-GB"/>
              </w:rPr>
            </w:pPr>
            <w:r w:rsidRPr="00861957">
              <w:rPr>
                <w:rFonts w:ascii="Times New Roman" w:hAnsi="Times New Roman" w:cs="Times New Roman"/>
                <w:b/>
                <w:sz w:val="24"/>
                <w:szCs w:val="24"/>
                <w:lang w:val="en-GB"/>
              </w:rPr>
              <w:t>Outcome 4.3:</w:t>
            </w:r>
            <w:r w:rsidRPr="00861957">
              <w:rPr>
                <w:rFonts w:ascii="Times New Roman" w:hAnsi="Times New Roman" w:cs="Times New Roman"/>
                <w:sz w:val="24"/>
                <w:szCs w:val="24"/>
                <w:lang w:val="en-GB"/>
              </w:rPr>
              <w:t xml:space="preserve"> By 2020, </w:t>
            </w:r>
            <w:r w:rsidR="00A27989" w:rsidRPr="00861957">
              <w:rPr>
                <w:rFonts w:ascii="Times New Roman" w:hAnsi="Times New Roman" w:cs="Times New Roman"/>
                <w:sz w:val="24"/>
                <w:szCs w:val="24"/>
                <w:lang w:val="en-GB"/>
              </w:rPr>
              <w:t>vulnerable groups and the population at large</w:t>
            </w:r>
            <w:r w:rsidR="00183CFB" w:rsidRPr="00861957">
              <w:rPr>
                <w:rFonts w:ascii="Times New Roman" w:hAnsi="Times New Roman" w:cs="Times New Roman"/>
                <w:sz w:val="24"/>
                <w:szCs w:val="24"/>
                <w:lang w:val="en-GB"/>
              </w:rPr>
              <w:t xml:space="preserve"> </w:t>
            </w:r>
            <w:r w:rsidR="007411C6" w:rsidRPr="00861957">
              <w:rPr>
                <w:rFonts w:ascii="Times New Roman" w:hAnsi="Times New Roman" w:cs="Times New Roman"/>
                <w:sz w:val="24"/>
                <w:szCs w:val="24"/>
                <w:lang w:val="en-GB"/>
              </w:rPr>
              <w:t xml:space="preserve">will </w:t>
            </w:r>
            <w:r w:rsidRPr="00861957">
              <w:rPr>
                <w:rFonts w:ascii="Times New Roman" w:hAnsi="Times New Roman" w:cs="Times New Roman"/>
                <w:sz w:val="24"/>
                <w:szCs w:val="24"/>
                <w:lang w:val="en-GB"/>
              </w:rPr>
              <w:t xml:space="preserve">have equal access to </w:t>
            </w:r>
            <w:r w:rsidR="007411C6" w:rsidRPr="00861957">
              <w:rPr>
                <w:rFonts w:ascii="Times New Roman" w:hAnsi="Times New Roman" w:cs="Times New Roman"/>
                <w:sz w:val="24"/>
                <w:szCs w:val="24"/>
                <w:lang w:val="en-GB"/>
              </w:rPr>
              <w:t>high-</w:t>
            </w:r>
            <w:r w:rsidRPr="00861957">
              <w:rPr>
                <w:rFonts w:ascii="Times New Roman" w:hAnsi="Times New Roman" w:cs="Times New Roman"/>
                <w:sz w:val="24"/>
                <w:szCs w:val="24"/>
                <w:lang w:val="en-GB"/>
              </w:rPr>
              <w:t>quality health</w:t>
            </w:r>
            <w:r w:rsidR="00D16AEE" w:rsidRPr="00861957">
              <w:rPr>
                <w:rFonts w:ascii="Times New Roman" w:hAnsi="Times New Roman" w:cs="Times New Roman"/>
                <w:sz w:val="24"/>
                <w:szCs w:val="24"/>
                <w:lang w:val="en-GB"/>
              </w:rPr>
              <w:t>care</w:t>
            </w:r>
            <w:r w:rsidRPr="00861957">
              <w:rPr>
                <w:rFonts w:ascii="Times New Roman" w:hAnsi="Times New Roman" w:cs="Times New Roman"/>
                <w:sz w:val="24"/>
                <w:szCs w:val="24"/>
                <w:lang w:val="en-GB"/>
              </w:rPr>
              <w:t xml:space="preserve">, education and social protection services that effectively address their needs </w:t>
            </w:r>
          </w:p>
          <w:p w14:paraId="2B3BFCED" w14:textId="77777777" w:rsidR="00514747" w:rsidRPr="00861957" w:rsidRDefault="00514747" w:rsidP="00B230A7">
            <w:pPr>
              <w:rPr>
                <w:b/>
                <w:bCs/>
              </w:rPr>
            </w:pPr>
          </w:p>
          <w:p w14:paraId="3762E764" w14:textId="77777777" w:rsidR="000715E7" w:rsidRPr="00861957" w:rsidRDefault="00514747" w:rsidP="00B230A7">
            <w:pPr>
              <w:rPr>
                <w:b/>
                <w:bCs/>
              </w:rPr>
            </w:pPr>
            <w:r w:rsidRPr="00861957">
              <w:rPr>
                <w:b/>
                <w:bCs/>
              </w:rPr>
              <w:t>IOM, UNDP, UNESCO, UNFPA, UNHCR, UNICEF, UNODC, WHO</w:t>
            </w:r>
          </w:p>
          <w:p w14:paraId="6853B241" w14:textId="77777777" w:rsidR="000715E7" w:rsidRPr="00861957" w:rsidRDefault="000715E7" w:rsidP="00B230A7">
            <w:pPr>
              <w:rPr>
                <w:b/>
                <w:bCs/>
                <w:color w:val="000000" w:themeColor="text1"/>
                <w:kern w:val="24"/>
              </w:rPr>
            </w:pPr>
          </w:p>
          <w:p w14:paraId="6DEA5A07" w14:textId="77777777" w:rsidR="000715E7" w:rsidRPr="00861957" w:rsidRDefault="000715E7" w:rsidP="00B230A7">
            <w:pPr>
              <w:rPr>
                <w:b/>
                <w:bCs/>
              </w:rPr>
            </w:pPr>
          </w:p>
        </w:tc>
        <w:tc>
          <w:tcPr>
            <w:tcW w:w="3686" w:type="dxa"/>
            <w:shd w:val="clear" w:color="auto" w:fill="auto"/>
          </w:tcPr>
          <w:p w14:paraId="528CA665" w14:textId="77777777" w:rsidR="000715E7" w:rsidRPr="00861957" w:rsidRDefault="000715E7" w:rsidP="00B230A7">
            <w:pPr>
              <w:jc w:val="both"/>
              <w:rPr>
                <w:b/>
                <w:color w:val="000000" w:themeColor="text1"/>
                <w:kern w:val="24"/>
              </w:rPr>
            </w:pPr>
            <w:r w:rsidRPr="00861957">
              <w:rPr>
                <w:b/>
                <w:color w:val="000000" w:themeColor="dark1"/>
                <w:kern w:val="24"/>
              </w:rPr>
              <w:t xml:space="preserve">Indicator </w:t>
            </w:r>
            <w:r w:rsidRPr="00861957">
              <w:rPr>
                <w:b/>
                <w:color w:val="000000" w:themeColor="text1"/>
                <w:kern w:val="24"/>
              </w:rPr>
              <w:t>4.3.1.</w:t>
            </w:r>
          </w:p>
          <w:p w14:paraId="78D84116" w14:textId="3CC07191" w:rsidR="000715E7" w:rsidRPr="00861957" w:rsidRDefault="000715E7" w:rsidP="00CE5BCD">
            <w:pPr>
              <w:jc w:val="both"/>
              <w:rPr>
                <w:kern w:val="24"/>
              </w:rPr>
            </w:pPr>
            <w:r w:rsidRPr="00861957">
              <w:rPr>
                <w:color w:val="000000" w:themeColor="dark1"/>
                <w:kern w:val="24"/>
              </w:rPr>
              <w:t xml:space="preserve">Approval of </w:t>
            </w:r>
            <w:r w:rsidR="00CE5BCD" w:rsidRPr="00861957">
              <w:rPr>
                <w:color w:val="000000" w:themeColor="dark1"/>
                <w:kern w:val="24"/>
              </w:rPr>
              <w:t>a</w:t>
            </w:r>
            <w:r w:rsidRPr="00861957">
              <w:rPr>
                <w:color w:val="000000" w:themeColor="dark1"/>
                <w:kern w:val="24"/>
              </w:rPr>
              <w:t xml:space="preserve"> National Reproductive Health Concept</w:t>
            </w:r>
            <w:r w:rsidRPr="00861957">
              <w:rPr>
                <w:color w:val="000000" w:themeColor="dark1"/>
                <w:kern w:val="24"/>
              </w:rPr>
              <w:br/>
            </w:r>
            <w:r w:rsidRPr="00861957">
              <w:rPr>
                <w:b/>
                <w:color w:val="000000" w:themeColor="dark1"/>
                <w:kern w:val="24"/>
              </w:rPr>
              <w:t>Baseline:</w:t>
            </w:r>
            <w:r w:rsidRPr="00861957">
              <w:rPr>
                <w:color w:val="000000" w:themeColor="dark1"/>
                <w:kern w:val="24"/>
              </w:rPr>
              <w:t xml:space="preserve"> National Reproductive Health Concept has been drafted</w:t>
            </w:r>
            <w:r w:rsidRPr="00861957">
              <w:rPr>
                <w:color w:val="000000" w:themeColor="dark1"/>
                <w:kern w:val="24"/>
              </w:rPr>
              <w:br/>
            </w:r>
            <w:r w:rsidRPr="00861957">
              <w:rPr>
                <w:b/>
                <w:color w:val="000000" w:themeColor="dark1"/>
                <w:kern w:val="24"/>
              </w:rPr>
              <w:t>Target:</w:t>
            </w:r>
            <w:r w:rsidRPr="00861957">
              <w:rPr>
                <w:color w:val="000000" w:themeColor="dark1"/>
                <w:kern w:val="24"/>
              </w:rPr>
              <w:t xml:space="preserve"> National Reproductive Health Concept has been approved; provisions of the Concept have been integrated in</w:t>
            </w:r>
            <w:r w:rsidR="00CE5BCD" w:rsidRPr="00861957">
              <w:rPr>
                <w:color w:val="000000" w:themeColor="dark1"/>
                <w:kern w:val="24"/>
              </w:rPr>
              <w:t>to</w:t>
            </w:r>
            <w:r w:rsidRPr="00861957">
              <w:rPr>
                <w:color w:val="000000" w:themeColor="dark1"/>
                <w:kern w:val="24"/>
              </w:rPr>
              <w:t xml:space="preserve"> national programmes and plans</w:t>
            </w:r>
          </w:p>
        </w:tc>
        <w:tc>
          <w:tcPr>
            <w:tcW w:w="1984" w:type="dxa"/>
            <w:shd w:val="clear" w:color="auto" w:fill="auto"/>
          </w:tcPr>
          <w:p w14:paraId="1B45E560" w14:textId="77777777" w:rsidR="000715E7" w:rsidRPr="00861957" w:rsidRDefault="000715E7" w:rsidP="00B230A7">
            <w:pPr>
              <w:tabs>
                <w:tab w:val="left" w:pos="1080"/>
              </w:tabs>
              <w:rPr>
                <w:bCs/>
              </w:rPr>
            </w:pPr>
            <w:r w:rsidRPr="00861957">
              <w:rPr>
                <w:color w:val="000000" w:themeColor="dark1"/>
                <w:kern w:val="24"/>
              </w:rPr>
              <w:t>Ministry of Health</w:t>
            </w:r>
          </w:p>
        </w:tc>
        <w:tc>
          <w:tcPr>
            <w:tcW w:w="3686" w:type="dxa"/>
            <w:shd w:val="clear" w:color="auto" w:fill="auto"/>
          </w:tcPr>
          <w:p w14:paraId="637D5B6E" w14:textId="3DD19C45" w:rsidR="000715E7" w:rsidRPr="00861957" w:rsidRDefault="000715E7" w:rsidP="000715E7">
            <w:pPr>
              <w:rPr>
                <w:bCs/>
                <w:kern w:val="24"/>
              </w:rPr>
            </w:pPr>
            <w:r w:rsidRPr="00861957">
              <w:rPr>
                <w:b/>
                <w:kern w:val="24"/>
              </w:rPr>
              <w:t xml:space="preserve">Assumptions: </w:t>
            </w:r>
            <w:r w:rsidRPr="00861957">
              <w:rPr>
                <w:b/>
                <w:kern w:val="24"/>
              </w:rPr>
              <w:br/>
            </w:r>
            <w:r w:rsidRPr="00861957">
              <w:rPr>
                <w:kern w:val="24"/>
              </w:rPr>
              <w:t>Improving reproductive health is a recogni</w:t>
            </w:r>
            <w:r w:rsidR="000F002C" w:rsidRPr="00861957">
              <w:rPr>
                <w:kern w:val="24"/>
              </w:rPr>
              <w:t>z</w:t>
            </w:r>
            <w:r w:rsidRPr="00861957">
              <w:rPr>
                <w:kern w:val="24"/>
              </w:rPr>
              <w:t xml:space="preserve">ed priority  </w:t>
            </w:r>
          </w:p>
          <w:p w14:paraId="5B2976B5" w14:textId="2D64DFAE" w:rsidR="000715E7" w:rsidRPr="00861957" w:rsidRDefault="000715E7" w:rsidP="0091275A">
            <w:pPr>
              <w:rPr>
                <w:color w:val="000000" w:themeColor="dark1"/>
                <w:kern w:val="24"/>
              </w:rPr>
            </w:pPr>
            <w:r w:rsidRPr="00861957">
              <w:rPr>
                <w:b/>
                <w:kern w:val="24"/>
              </w:rPr>
              <w:t xml:space="preserve">Risks: </w:t>
            </w:r>
            <w:r w:rsidRPr="00861957">
              <w:rPr>
                <w:b/>
                <w:kern w:val="24"/>
              </w:rPr>
              <w:br/>
            </w:r>
            <w:r w:rsidRPr="00861957">
              <w:rPr>
                <w:kern w:val="24"/>
              </w:rPr>
              <w:t>Insufficient support for the development and adoption of the Concept at national level</w:t>
            </w:r>
            <w:r w:rsidRPr="00861957">
              <w:t xml:space="preserve"> </w:t>
            </w:r>
          </w:p>
        </w:tc>
        <w:tc>
          <w:tcPr>
            <w:tcW w:w="1984" w:type="dxa"/>
          </w:tcPr>
          <w:p w14:paraId="60BBDF3C" w14:textId="77777777" w:rsidR="000715E7" w:rsidRPr="00861957" w:rsidRDefault="000715E7" w:rsidP="00B230A7">
            <w:r w:rsidRPr="00861957">
              <w:rPr>
                <w:color w:val="000000" w:themeColor="dark1"/>
                <w:kern w:val="24"/>
              </w:rPr>
              <w:t>Ministry of Health, NGOs</w:t>
            </w:r>
          </w:p>
        </w:tc>
        <w:tc>
          <w:tcPr>
            <w:tcW w:w="1843" w:type="dxa"/>
          </w:tcPr>
          <w:p w14:paraId="226FE6B4" w14:textId="6359C238" w:rsidR="000715E7" w:rsidRPr="00861957" w:rsidRDefault="000715E7" w:rsidP="000715E7">
            <w:pPr>
              <w:rPr>
                <w:b/>
              </w:rPr>
            </w:pPr>
            <w:r w:rsidRPr="00861957">
              <w:rPr>
                <w:b/>
              </w:rPr>
              <w:t xml:space="preserve">UNFPA – </w:t>
            </w:r>
            <w:r w:rsidR="00624F0A" w:rsidRPr="00861957">
              <w:rPr>
                <w:b/>
              </w:rPr>
              <w:t>$</w:t>
            </w:r>
            <w:r w:rsidRPr="00861957">
              <w:rPr>
                <w:b/>
              </w:rPr>
              <w:t>80</w:t>
            </w:r>
            <w:r w:rsidR="00624F0A" w:rsidRPr="00861957">
              <w:rPr>
                <w:b/>
              </w:rPr>
              <w:t>,</w:t>
            </w:r>
            <w:r w:rsidRPr="00861957">
              <w:rPr>
                <w:b/>
              </w:rPr>
              <w:t>000</w:t>
            </w:r>
          </w:p>
          <w:p w14:paraId="39F23C11" w14:textId="11E5DD2C" w:rsidR="000715E7" w:rsidRPr="00861957" w:rsidRDefault="00624F0A" w:rsidP="000715E7">
            <w:pPr>
              <w:rPr>
                <w:b/>
              </w:rPr>
            </w:pPr>
            <w:r w:rsidRPr="00861957">
              <w:rPr>
                <w:b/>
              </w:rPr>
              <w:t>$</w:t>
            </w:r>
            <w:r w:rsidR="000715E7" w:rsidRPr="00861957">
              <w:rPr>
                <w:b/>
              </w:rPr>
              <w:t>40</w:t>
            </w:r>
            <w:r w:rsidRPr="00861957">
              <w:rPr>
                <w:b/>
              </w:rPr>
              <w:t>,</w:t>
            </w:r>
            <w:r w:rsidR="000715E7" w:rsidRPr="00861957">
              <w:rPr>
                <w:b/>
              </w:rPr>
              <w:t>000 (to be mobili</w:t>
            </w:r>
            <w:r w:rsidR="000F002C" w:rsidRPr="00861957">
              <w:rPr>
                <w:b/>
              </w:rPr>
              <w:t>z</w:t>
            </w:r>
            <w:r w:rsidR="000715E7" w:rsidRPr="00861957">
              <w:rPr>
                <w:b/>
              </w:rPr>
              <w:t>ed)</w:t>
            </w:r>
          </w:p>
          <w:p w14:paraId="1CF72641" w14:textId="0D12BEC5" w:rsidR="000715E7" w:rsidRPr="00861957" w:rsidRDefault="000715E7" w:rsidP="00B230A7">
            <w:pPr>
              <w:rPr>
                <w:b/>
                <w:color w:val="000000" w:themeColor="text1"/>
              </w:rPr>
            </w:pPr>
            <w:r w:rsidRPr="00861957">
              <w:rPr>
                <w:b/>
                <w:color w:val="000000" w:themeColor="text1"/>
              </w:rPr>
              <w:t xml:space="preserve">UNICEF </w:t>
            </w:r>
            <w:r w:rsidR="00D57966" w:rsidRPr="00861957">
              <w:rPr>
                <w:b/>
                <w:color w:val="000000" w:themeColor="text1"/>
              </w:rPr>
              <w:t>–</w:t>
            </w:r>
            <w:r w:rsidRPr="00861957">
              <w:rPr>
                <w:b/>
                <w:color w:val="000000" w:themeColor="text1"/>
              </w:rPr>
              <w:t xml:space="preserve"> </w:t>
            </w:r>
            <w:r w:rsidR="00624F0A" w:rsidRPr="00861957">
              <w:rPr>
                <w:b/>
                <w:color w:val="000000" w:themeColor="text1"/>
              </w:rPr>
              <w:t>$</w:t>
            </w:r>
            <w:r w:rsidRPr="00861957">
              <w:rPr>
                <w:b/>
                <w:color w:val="000000" w:themeColor="text1"/>
              </w:rPr>
              <w:t>10</w:t>
            </w:r>
            <w:r w:rsidR="00624F0A" w:rsidRPr="00861957">
              <w:rPr>
                <w:b/>
                <w:color w:val="000000" w:themeColor="text1"/>
              </w:rPr>
              <w:t>,</w:t>
            </w:r>
            <w:r w:rsidRPr="00861957">
              <w:rPr>
                <w:b/>
                <w:color w:val="000000" w:themeColor="text1"/>
              </w:rPr>
              <w:t>000</w:t>
            </w:r>
          </w:p>
          <w:p w14:paraId="5083496E" w14:textId="1DB5691C" w:rsidR="00D57966" w:rsidRPr="00861957" w:rsidRDefault="00D57966" w:rsidP="00B230A7">
            <w:r w:rsidRPr="00861957">
              <w:rPr>
                <w:b/>
                <w:color w:val="000000" w:themeColor="text1"/>
              </w:rPr>
              <w:t xml:space="preserve">UNESCO – </w:t>
            </w:r>
            <w:r w:rsidR="00624F0A" w:rsidRPr="00861957">
              <w:rPr>
                <w:b/>
                <w:color w:val="000000" w:themeColor="text1"/>
              </w:rPr>
              <w:t>$</w:t>
            </w:r>
            <w:r w:rsidRPr="00861957">
              <w:rPr>
                <w:b/>
                <w:color w:val="000000" w:themeColor="text1"/>
              </w:rPr>
              <w:t>50,000</w:t>
            </w:r>
          </w:p>
        </w:tc>
      </w:tr>
      <w:tr w:rsidR="000715E7" w:rsidRPr="00861957" w14:paraId="439E8C75" w14:textId="77777777" w:rsidTr="00FD4239">
        <w:trPr>
          <w:trHeight w:val="567"/>
        </w:trPr>
        <w:tc>
          <w:tcPr>
            <w:tcW w:w="2268" w:type="dxa"/>
            <w:vMerge/>
            <w:shd w:val="clear" w:color="auto" w:fill="auto"/>
          </w:tcPr>
          <w:p w14:paraId="699325D7" w14:textId="77777777" w:rsidR="000715E7" w:rsidRPr="00861957" w:rsidRDefault="000715E7" w:rsidP="00B230A7">
            <w:pPr>
              <w:rPr>
                <w:b/>
                <w:bCs/>
                <w:color w:val="000000" w:themeColor="text1"/>
                <w:kern w:val="24"/>
              </w:rPr>
            </w:pPr>
          </w:p>
        </w:tc>
        <w:tc>
          <w:tcPr>
            <w:tcW w:w="3686" w:type="dxa"/>
            <w:shd w:val="clear" w:color="auto" w:fill="auto"/>
          </w:tcPr>
          <w:p w14:paraId="4D1FAB08" w14:textId="72FA63A2" w:rsidR="000715E7" w:rsidRPr="00861957" w:rsidRDefault="000715E7" w:rsidP="00CB7407">
            <w:pPr>
              <w:rPr>
                <w:b/>
                <w:color w:val="000000" w:themeColor="text1"/>
                <w:kern w:val="24"/>
              </w:rPr>
            </w:pPr>
            <w:r w:rsidRPr="00861957">
              <w:rPr>
                <w:b/>
                <w:color w:val="000000" w:themeColor="text1"/>
                <w:kern w:val="24"/>
              </w:rPr>
              <w:t xml:space="preserve">Indicator 4.3.2. </w:t>
            </w:r>
            <w:r w:rsidRPr="00861957">
              <w:rPr>
                <w:color w:val="000000" w:themeColor="text1"/>
                <w:kern w:val="24"/>
              </w:rPr>
              <w:t>Proportion of young men and women (aged 14</w:t>
            </w:r>
            <w:r w:rsidR="00CE5BCD" w:rsidRPr="00861957">
              <w:rPr>
                <w:color w:val="000000" w:themeColor="text1"/>
                <w:kern w:val="24"/>
              </w:rPr>
              <w:t>-</w:t>
            </w:r>
            <w:r w:rsidRPr="00861957">
              <w:rPr>
                <w:color w:val="000000" w:themeColor="text1"/>
                <w:kern w:val="24"/>
              </w:rPr>
              <w:t xml:space="preserve">18), including </w:t>
            </w:r>
            <w:r w:rsidR="00351963" w:rsidRPr="00861957">
              <w:rPr>
                <w:color w:val="000000" w:themeColor="text1"/>
                <w:kern w:val="24"/>
              </w:rPr>
              <w:t>adolescents</w:t>
            </w:r>
            <w:r w:rsidRPr="00861957">
              <w:rPr>
                <w:color w:val="000000" w:themeColor="text1"/>
                <w:kern w:val="24"/>
              </w:rPr>
              <w:t xml:space="preserve"> from risk groups, using youth</w:t>
            </w:r>
            <w:r w:rsidR="0091275A" w:rsidRPr="00861957">
              <w:rPr>
                <w:color w:val="000000" w:themeColor="text1"/>
                <w:kern w:val="24"/>
              </w:rPr>
              <w:t>-</w:t>
            </w:r>
            <w:r w:rsidRPr="00861957">
              <w:rPr>
                <w:color w:val="000000" w:themeColor="text1"/>
                <w:kern w:val="24"/>
              </w:rPr>
              <w:t xml:space="preserve">friendly health </w:t>
            </w:r>
            <w:r w:rsidRPr="008B2AD6">
              <w:rPr>
                <w:color w:val="000000" w:themeColor="text1"/>
                <w:kern w:val="24"/>
              </w:rPr>
              <w:t>services</w:t>
            </w:r>
            <w:r w:rsidRPr="008B2AD6">
              <w:rPr>
                <w:strike/>
                <w:color w:val="FF0000"/>
                <w:kern w:val="24"/>
              </w:rPr>
              <w:br/>
            </w:r>
            <w:r w:rsidRPr="008B2AD6">
              <w:rPr>
                <w:b/>
                <w:color w:val="000000" w:themeColor="text1"/>
                <w:kern w:val="24"/>
              </w:rPr>
              <w:t xml:space="preserve">Baseline: </w:t>
            </w:r>
            <w:r w:rsidR="00CB7407" w:rsidRPr="008B2AD6">
              <w:rPr>
                <w:kern w:val="24"/>
              </w:rPr>
              <w:t>Will be determined in 2016.</w:t>
            </w:r>
            <w:r w:rsidRPr="008B2AD6">
              <w:rPr>
                <w:kern w:val="24"/>
              </w:rPr>
              <w:t xml:space="preserve"> </w:t>
            </w:r>
            <w:r w:rsidRPr="008B2AD6">
              <w:rPr>
                <w:kern w:val="24"/>
              </w:rPr>
              <w:br/>
            </w:r>
            <w:r w:rsidRPr="008B2AD6">
              <w:rPr>
                <w:b/>
                <w:color w:val="000000" w:themeColor="text1"/>
                <w:kern w:val="24"/>
              </w:rPr>
              <w:t xml:space="preserve">Target: </w:t>
            </w:r>
            <w:r w:rsidR="00CB7407" w:rsidRPr="008B2AD6">
              <w:rPr>
                <w:color w:val="000000" w:themeColor="text1"/>
                <w:kern w:val="24"/>
              </w:rPr>
              <w:t>Increase by 30</w:t>
            </w:r>
            <w:r w:rsidRPr="008B2AD6">
              <w:rPr>
                <w:color w:val="000000" w:themeColor="text1"/>
                <w:kern w:val="24"/>
              </w:rPr>
              <w:t>%</w:t>
            </w:r>
          </w:p>
        </w:tc>
        <w:tc>
          <w:tcPr>
            <w:tcW w:w="1984" w:type="dxa"/>
            <w:shd w:val="clear" w:color="auto" w:fill="auto"/>
          </w:tcPr>
          <w:p w14:paraId="52F12A65" w14:textId="77777777" w:rsidR="000715E7" w:rsidRPr="00861957" w:rsidRDefault="000715E7" w:rsidP="00B230A7">
            <w:pPr>
              <w:tabs>
                <w:tab w:val="left" w:pos="1080"/>
              </w:tabs>
              <w:rPr>
                <w:bCs/>
              </w:rPr>
            </w:pPr>
            <w:r w:rsidRPr="00861957">
              <w:rPr>
                <w:color w:val="000000" w:themeColor="text1"/>
                <w:kern w:val="24"/>
              </w:rPr>
              <w:t>Ministry of Health</w:t>
            </w:r>
          </w:p>
        </w:tc>
        <w:tc>
          <w:tcPr>
            <w:tcW w:w="3686" w:type="dxa"/>
            <w:shd w:val="clear" w:color="auto" w:fill="auto"/>
          </w:tcPr>
          <w:p w14:paraId="08F45264" w14:textId="27F8E689" w:rsidR="000715E7" w:rsidRPr="00861957" w:rsidRDefault="000715E7" w:rsidP="000715E7">
            <w:pPr>
              <w:rPr>
                <w:bCs/>
                <w:color w:val="000000" w:themeColor="text1"/>
                <w:kern w:val="24"/>
              </w:rPr>
            </w:pPr>
            <w:r w:rsidRPr="00861957">
              <w:rPr>
                <w:b/>
                <w:color w:val="000000" w:themeColor="text1"/>
                <w:kern w:val="24"/>
              </w:rPr>
              <w:t xml:space="preserve">Assumptions: </w:t>
            </w:r>
            <w:r w:rsidRPr="00861957">
              <w:rPr>
                <w:color w:val="000000" w:themeColor="text1"/>
                <w:kern w:val="24"/>
              </w:rPr>
              <w:t xml:space="preserve">Enactment of amendments to the law </w:t>
            </w:r>
            <w:r w:rsidR="006E520E" w:rsidRPr="00861957">
              <w:rPr>
                <w:color w:val="000000" w:themeColor="text1"/>
                <w:kern w:val="24"/>
              </w:rPr>
              <w:t>‘</w:t>
            </w:r>
            <w:r w:rsidRPr="00861957">
              <w:rPr>
                <w:color w:val="000000" w:themeColor="text1"/>
                <w:kern w:val="24"/>
              </w:rPr>
              <w:t>On Health Care</w:t>
            </w:r>
            <w:r w:rsidR="006E520E" w:rsidRPr="00861957">
              <w:rPr>
                <w:color w:val="000000" w:themeColor="text1"/>
                <w:kern w:val="24"/>
              </w:rPr>
              <w:t>’</w:t>
            </w:r>
            <w:r w:rsidRPr="00861957">
              <w:rPr>
                <w:color w:val="000000" w:themeColor="text1"/>
                <w:kern w:val="24"/>
              </w:rPr>
              <w:t xml:space="preserve"> enabling </w:t>
            </w:r>
            <w:r w:rsidR="00351963" w:rsidRPr="00861957">
              <w:rPr>
                <w:color w:val="000000" w:themeColor="text1"/>
                <w:kern w:val="24"/>
              </w:rPr>
              <w:t>adolescents</w:t>
            </w:r>
            <w:r w:rsidRPr="00861957">
              <w:rPr>
                <w:color w:val="000000" w:themeColor="text1"/>
                <w:kern w:val="24"/>
              </w:rPr>
              <w:t xml:space="preserve"> over </w:t>
            </w:r>
            <w:r w:rsidR="0091275A" w:rsidRPr="00861957">
              <w:rPr>
                <w:color w:val="000000" w:themeColor="text1"/>
                <w:kern w:val="24"/>
              </w:rPr>
              <w:t xml:space="preserve">the age of </w:t>
            </w:r>
            <w:r w:rsidRPr="00861957">
              <w:rPr>
                <w:color w:val="000000" w:themeColor="text1"/>
                <w:kern w:val="24"/>
              </w:rPr>
              <w:t>14 to seek simple medical treatment without parental consent will increase demand for youth-friendly healthcare services;</w:t>
            </w:r>
            <w:r w:rsidR="0091275A" w:rsidRPr="00861957">
              <w:rPr>
                <w:color w:val="000000" w:themeColor="text1"/>
                <w:kern w:val="24"/>
              </w:rPr>
              <w:t xml:space="preserve"> The</w:t>
            </w:r>
            <w:r w:rsidRPr="00861957">
              <w:rPr>
                <w:color w:val="000000" w:themeColor="text1"/>
                <w:kern w:val="24"/>
              </w:rPr>
              <w:br/>
            </w:r>
            <w:r w:rsidR="0091275A" w:rsidRPr="00861957">
              <w:rPr>
                <w:color w:val="000000" w:themeColor="text1"/>
                <w:kern w:val="24"/>
              </w:rPr>
              <w:t>n</w:t>
            </w:r>
            <w:r w:rsidRPr="00861957">
              <w:rPr>
                <w:color w:val="000000" w:themeColor="text1"/>
                <w:kern w:val="24"/>
              </w:rPr>
              <w:t xml:space="preserve">ew National </w:t>
            </w:r>
            <w:r w:rsidR="00EE1315" w:rsidRPr="00861957">
              <w:rPr>
                <w:color w:val="000000" w:themeColor="text1"/>
                <w:kern w:val="24"/>
              </w:rPr>
              <w:t xml:space="preserve">Programme for </w:t>
            </w:r>
            <w:r w:rsidRPr="00861957">
              <w:rPr>
                <w:color w:val="000000" w:themeColor="text1"/>
                <w:kern w:val="24"/>
              </w:rPr>
              <w:t xml:space="preserve">Demographic Security 2016-2020 will provide for the opening of new youth-friendly health care centres in all communities with </w:t>
            </w:r>
            <w:r w:rsidR="00351963" w:rsidRPr="00861957">
              <w:rPr>
                <w:color w:val="000000" w:themeColor="text1"/>
                <w:kern w:val="24"/>
              </w:rPr>
              <w:t>adolescent</w:t>
            </w:r>
            <w:r w:rsidRPr="00861957">
              <w:rPr>
                <w:color w:val="000000" w:themeColor="text1"/>
                <w:kern w:val="24"/>
              </w:rPr>
              <w:t xml:space="preserve"> populations over 3</w:t>
            </w:r>
            <w:r w:rsidR="0091275A" w:rsidRPr="00861957">
              <w:rPr>
                <w:color w:val="000000" w:themeColor="text1"/>
                <w:kern w:val="24"/>
              </w:rPr>
              <w:t>,</w:t>
            </w:r>
            <w:r w:rsidRPr="00861957">
              <w:rPr>
                <w:color w:val="000000" w:themeColor="text1"/>
                <w:kern w:val="24"/>
              </w:rPr>
              <w:t>000</w:t>
            </w:r>
          </w:p>
          <w:p w14:paraId="200976CF" w14:textId="12B0D756" w:rsidR="000715E7" w:rsidRPr="00861957" w:rsidRDefault="000715E7" w:rsidP="00B230A7">
            <w:r w:rsidRPr="00861957">
              <w:rPr>
                <w:b/>
                <w:color w:val="000000" w:themeColor="text1"/>
                <w:kern w:val="24"/>
              </w:rPr>
              <w:t xml:space="preserve">Risks: </w:t>
            </w:r>
            <w:r w:rsidRPr="00861957">
              <w:rPr>
                <w:b/>
                <w:color w:val="000000" w:themeColor="text1"/>
                <w:kern w:val="24"/>
              </w:rPr>
              <w:br/>
            </w:r>
            <w:r w:rsidRPr="00861957">
              <w:rPr>
                <w:color w:val="000000" w:themeColor="text1"/>
                <w:kern w:val="24"/>
              </w:rPr>
              <w:t>Ex</w:t>
            </w:r>
            <w:r w:rsidR="0091275A" w:rsidRPr="00861957">
              <w:rPr>
                <w:color w:val="000000" w:themeColor="text1"/>
                <w:kern w:val="24"/>
              </w:rPr>
              <w:t>pan</w:t>
            </w:r>
            <w:r w:rsidRPr="00861957">
              <w:rPr>
                <w:color w:val="000000" w:themeColor="text1"/>
                <w:kern w:val="24"/>
              </w:rPr>
              <w:t>sion of the network of youth-</w:t>
            </w:r>
            <w:r w:rsidRPr="00861957">
              <w:rPr>
                <w:color w:val="000000" w:themeColor="text1"/>
                <w:kern w:val="24"/>
              </w:rPr>
              <w:lastRenderedPageBreak/>
              <w:t xml:space="preserve">friendly services is prevented by funding shortfalls; </w:t>
            </w:r>
            <w:r w:rsidRPr="00861957">
              <w:rPr>
                <w:color w:val="000000" w:themeColor="text1"/>
                <w:kern w:val="24"/>
              </w:rPr>
              <w:br/>
              <w:t>Shortage of qualified personnel and insufficient financial incentives to attract and retain staff</w:t>
            </w:r>
          </w:p>
        </w:tc>
        <w:tc>
          <w:tcPr>
            <w:tcW w:w="1984" w:type="dxa"/>
          </w:tcPr>
          <w:p w14:paraId="261FAAAF" w14:textId="0FD247F4" w:rsidR="000715E7" w:rsidRPr="00861957" w:rsidRDefault="000715E7" w:rsidP="00B230A7">
            <w:pPr>
              <w:rPr>
                <w:color w:val="000000" w:themeColor="dark1"/>
                <w:kern w:val="24"/>
              </w:rPr>
            </w:pPr>
            <w:r w:rsidRPr="00861957">
              <w:rPr>
                <w:color w:val="000000" w:themeColor="dark1"/>
                <w:kern w:val="24"/>
              </w:rPr>
              <w:lastRenderedPageBreak/>
              <w:t xml:space="preserve">Local governments and administrations; Ministry of Health, Ministry of Education; Ministry of </w:t>
            </w:r>
            <w:r w:rsidR="00AA1F38" w:rsidRPr="00861957">
              <w:rPr>
                <w:color w:val="000000" w:themeColor="dark1"/>
                <w:kern w:val="24"/>
              </w:rPr>
              <w:t>I</w:t>
            </w:r>
            <w:r w:rsidRPr="00861957">
              <w:rPr>
                <w:color w:val="000000" w:themeColor="dark1"/>
                <w:kern w:val="24"/>
              </w:rPr>
              <w:t xml:space="preserve">nformation, Belarusian </w:t>
            </w:r>
            <w:r w:rsidR="00AA1F38" w:rsidRPr="00861957">
              <w:rPr>
                <w:color w:val="000000" w:themeColor="dark1"/>
                <w:kern w:val="24"/>
              </w:rPr>
              <w:t>B</w:t>
            </w:r>
            <w:r w:rsidRPr="00861957">
              <w:rPr>
                <w:color w:val="000000" w:themeColor="dark1"/>
                <w:kern w:val="24"/>
              </w:rPr>
              <w:t xml:space="preserve">roadcasting </w:t>
            </w:r>
            <w:r w:rsidR="00AA1F38" w:rsidRPr="00861957">
              <w:rPr>
                <w:color w:val="000000" w:themeColor="dark1"/>
                <w:kern w:val="24"/>
              </w:rPr>
              <w:t>C</w:t>
            </w:r>
            <w:r w:rsidRPr="00861957">
              <w:rPr>
                <w:color w:val="000000" w:themeColor="dark1"/>
                <w:kern w:val="24"/>
              </w:rPr>
              <w:t xml:space="preserve">ompany, ONT, STV, internet portals, Ministry of Culture, NGOs    </w:t>
            </w:r>
          </w:p>
        </w:tc>
        <w:tc>
          <w:tcPr>
            <w:tcW w:w="1843" w:type="dxa"/>
          </w:tcPr>
          <w:p w14:paraId="27E3B9FE" w14:textId="66E20BC9" w:rsidR="000715E7" w:rsidRPr="00861957" w:rsidRDefault="00D41197" w:rsidP="000715E7">
            <w:pPr>
              <w:rPr>
                <w:b/>
                <w:color w:val="000000" w:themeColor="text1"/>
              </w:rPr>
            </w:pPr>
            <w:r w:rsidRPr="00861957">
              <w:rPr>
                <w:b/>
                <w:color w:val="000000" w:themeColor="text1"/>
              </w:rPr>
              <w:t xml:space="preserve">UNICEF – </w:t>
            </w:r>
            <w:r w:rsidR="00624F0A" w:rsidRPr="00861957">
              <w:rPr>
                <w:b/>
                <w:color w:val="000000" w:themeColor="text1"/>
              </w:rPr>
              <w:t>$</w:t>
            </w:r>
            <w:r w:rsidRPr="00861957">
              <w:rPr>
                <w:b/>
                <w:color w:val="000000" w:themeColor="text1"/>
              </w:rPr>
              <w:t>25</w:t>
            </w:r>
            <w:r w:rsidR="000715E7" w:rsidRPr="00861957">
              <w:rPr>
                <w:b/>
                <w:color w:val="000000" w:themeColor="text1"/>
              </w:rPr>
              <w:t>0</w:t>
            </w:r>
            <w:r w:rsidR="00624F0A" w:rsidRPr="00861957">
              <w:rPr>
                <w:b/>
                <w:color w:val="000000" w:themeColor="text1"/>
              </w:rPr>
              <w:t>,</w:t>
            </w:r>
            <w:r w:rsidR="000715E7" w:rsidRPr="00861957">
              <w:rPr>
                <w:b/>
                <w:color w:val="000000" w:themeColor="text1"/>
              </w:rPr>
              <w:t>000;</w:t>
            </w:r>
          </w:p>
          <w:p w14:paraId="66630483" w14:textId="111F1D81" w:rsidR="000715E7" w:rsidRPr="00861957" w:rsidRDefault="00624F0A" w:rsidP="000715E7">
            <w:pPr>
              <w:rPr>
                <w:b/>
                <w:color w:val="000000" w:themeColor="text1"/>
              </w:rPr>
            </w:pPr>
            <w:r w:rsidRPr="00861957">
              <w:rPr>
                <w:b/>
                <w:color w:val="000000" w:themeColor="text1"/>
              </w:rPr>
              <w:t>$</w:t>
            </w:r>
            <w:r w:rsidR="00D41197" w:rsidRPr="00861957">
              <w:rPr>
                <w:b/>
                <w:color w:val="000000" w:themeColor="text1"/>
              </w:rPr>
              <w:t>7</w:t>
            </w:r>
            <w:r w:rsidR="007F3619" w:rsidRPr="00861957">
              <w:rPr>
                <w:b/>
                <w:color w:val="000000" w:themeColor="text1"/>
              </w:rPr>
              <w:t>0</w:t>
            </w:r>
            <w:r w:rsidR="000715E7" w:rsidRPr="00861957">
              <w:rPr>
                <w:b/>
                <w:color w:val="000000" w:themeColor="text1"/>
              </w:rPr>
              <w:t>0</w:t>
            </w:r>
            <w:r w:rsidRPr="00861957">
              <w:rPr>
                <w:b/>
                <w:color w:val="000000" w:themeColor="text1"/>
              </w:rPr>
              <w:t>,</w:t>
            </w:r>
            <w:r w:rsidR="000715E7" w:rsidRPr="00861957">
              <w:rPr>
                <w:b/>
                <w:color w:val="000000" w:themeColor="text1"/>
              </w:rPr>
              <w:t>000 (to be mobili</w:t>
            </w:r>
            <w:r w:rsidR="000F002C" w:rsidRPr="00861957">
              <w:rPr>
                <w:b/>
                <w:color w:val="000000" w:themeColor="text1"/>
              </w:rPr>
              <w:t>z</w:t>
            </w:r>
            <w:r w:rsidR="000715E7" w:rsidRPr="00861957">
              <w:rPr>
                <w:b/>
                <w:color w:val="000000" w:themeColor="text1"/>
              </w:rPr>
              <w:t>ed)</w:t>
            </w:r>
          </w:p>
          <w:p w14:paraId="7FB0FB1D" w14:textId="467F6760" w:rsidR="000715E7" w:rsidRPr="00861957" w:rsidRDefault="000715E7" w:rsidP="00B230A7">
            <w:pPr>
              <w:rPr>
                <w:b/>
              </w:rPr>
            </w:pPr>
            <w:r w:rsidRPr="00861957">
              <w:rPr>
                <w:b/>
                <w:color w:val="000000" w:themeColor="text1"/>
              </w:rPr>
              <w:t xml:space="preserve">UNFPA – </w:t>
            </w:r>
            <w:r w:rsidR="00624F0A" w:rsidRPr="00861957">
              <w:rPr>
                <w:b/>
                <w:color w:val="000000" w:themeColor="text1"/>
              </w:rPr>
              <w:t>$</w:t>
            </w:r>
            <w:r w:rsidRPr="00861957">
              <w:rPr>
                <w:b/>
                <w:color w:val="000000" w:themeColor="text1"/>
              </w:rPr>
              <w:t>10,000</w:t>
            </w:r>
          </w:p>
        </w:tc>
      </w:tr>
      <w:tr w:rsidR="000715E7" w:rsidRPr="00861957" w14:paraId="5E1805DB" w14:textId="77777777" w:rsidTr="00FD4239">
        <w:trPr>
          <w:trHeight w:val="567"/>
        </w:trPr>
        <w:tc>
          <w:tcPr>
            <w:tcW w:w="2268" w:type="dxa"/>
            <w:vMerge/>
            <w:shd w:val="clear" w:color="auto" w:fill="auto"/>
          </w:tcPr>
          <w:p w14:paraId="347F472F" w14:textId="77777777" w:rsidR="000715E7" w:rsidRPr="00861957" w:rsidRDefault="000715E7" w:rsidP="00B230A7">
            <w:pPr>
              <w:rPr>
                <w:b/>
                <w:bCs/>
              </w:rPr>
            </w:pPr>
          </w:p>
        </w:tc>
        <w:tc>
          <w:tcPr>
            <w:tcW w:w="3686" w:type="dxa"/>
            <w:shd w:val="clear" w:color="auto" w:fill="auto"/>
          </w:tcPr>
          <w:p w14:paraId="11DAB862" w14:textId="330DF8AE" w:rsidR="000715E7" w:rsidRPr="00861957" w:rsidRDefault="000715E7" w:rsidP="000715E7">
            <w:pPr>
              <w:rPr>
                <w:color w:val="000000" w:themeColor="dark1"/>
                <w:kern w:val="24"/>
              </w:rPr>
            </w:pPr>
            <w:r w:rsidRPr="00861957">
              <w:rPr>
                <w:b/>
                <w:color w:val="000000" w:themeColor="dark1"/>
                <w:kern w:val="24"/>
              </w:rPr>
              <w:t xml:space="preserve">Indicator </w:t>
            </w:r>
            <w:r w:rsidRPr="00861957">
              <w:rPr>
                <w:b/>
                <w:color w:val="000000" w:themeColor="text1"/>
                <w:kern w:val="24"/>
              </w:rPr>
              <w:t>4.3.3</w:t>
            </w:r>
            <w:r w:rsidR="00EA0935" w:rsidRPr="00861957">
              <w:rPr>
                <w:b/>
                <w:color w:val="000000" w:themeColor="text1"/>
                <w:kern w:val="24"/>
              </w:rPr>
              <w:t>.</w:t>
            </w:r>
            <w:r w:rsidRPr="00861957">
              <w:rPr>
                <w:b/>
                <w:color w:val="000000" w:themeColor="dark1"/>
                <w:kern w:val="24"/>
              </w:rPr>
              <w:br/>
            </w:r>
            <w:r w:rsidRPr="00861957">
              <w:rPr>
                <w:color w:val="000000" w:themeColor="dark1"/>
                <w:kern w:val="24"/>
              </w:rPr>
              <w:t>Prevalence of modern methods of contraception</w:t>
            </w:r>
          </w:p>
          <w:p w14:paraId="0EE04712" w14:textId="77777777" w:rsidR="000715E7" w:rsidRPr="00861957" w:rsidRDefault="000715E7" w:rsidP="00B230A7">
            <w:pPr>
              <w:rPr>
                <w:b/>
                <w:color w:val="000000" w:themeColor="text1"/>
                <w:kern w:val="24"/>
              </w:rPr>
            </w:pPr>
            <w:r w:rsidRPr="00861957">
              <w:rPr>
                <w:b/>
                <w:color w:val="000000" w:themeColor="dark1"/>
                <w:kern w:val="24"/>
              </w:rPr>
              <w:t>Baseline:</w:t>
            </w:r>
            <w:r w:rsidRPr="00861957">
              <w:rPr>
                <w:color w:val="000000" w:themeColor="dark1"/>
                <w:kern w:val="24"/>
              </w:rPr>
              <w:t xml:space="preserve"> 51.2%</w:t>
            </w:r>
            <w:r w:rsidRPr="00861957">
              <w:rPr>
                <w:color w:val="000000" w:themeColor="dark1"/>
                <w:kern w:val="24"/>
              </w:rPr>
              <w:br/>
            </w:r>
            <w:r w:rsidRPr="00861957">
              <w:rPr>
                <w:b/>
                <w:color w:val="000000" w:themeColor="dark1"/>
                <w:kern w:val="24"/>
              </w:rPr>
              <w:t>Target:</w:t>
            </w:r>
            <w:r w:rsidRPr="00861957">
              <w:rPr>
                <w:color w:val="000000" w:themeColor="dark1"/>
                <w:kern w:val="24"/>
              </w:rPr>
              <w:t xml:space="preserve"> 58%</w:t>
            </w:r>
          </w:p>
        </w:tc>
        <w:tc>
          <w:tcPr>
            <w:tcW w:w="1984" w:type="dxa"/>
            <w:shd w:val="clear" w:color="auto" w:fill="auto"/>
          </w:tcPr>
          <w:p w14:paraId="4D132B3F" w14:textId="77777777" w:rsidR="000715E7" w:rsidRPr="00861957" w:rsidRDefault="000715E7" w:rsidP="00B230A7">
            <w:pPr>
              <w:tabs>
                <w:tab w:val="left" w:pos="1080"/>
              </w:tabs>
              <w:rPr>
                <w:bCs/>
              </w:rPr>
            </w:pPr>
            <w:r w:rsidRPr="00861957">
              <w:rPr>
                <w:color w:val="000000" w:themeColor="dark1"/>
                <w:kern w:val="24"/>
              </w:rPr>
              <w:t>Multiple Indicator Cluster Survey - Belarus</w:t>
            </w:r>
          </w:p>
        </w:tc>
        <w:tc>
          <w:tcPr>
            <w:tcW w:w="3686" w:type="dxa"/>
            <w:shd w:val="clear" w:color="auto" w:fill="auto"/>
          </w:tcPr>
          <w:p w14:paraId="736EE215" w14:textId="71BBAABD" w:rsidR="000715E7" w:rsidRPr="00861957" w:rsidRDefault="000715E7" w:rsidP="000715E7">
            <w:pPr>
              <w:rPr>
                <w:bCs/>
                <w:color w:val="FF0000"/>
                <w:kern w:val="24"/>
              </w:rPr>
            </w:pPr>
            <w:r w:rsidRPr="00861957">
              <w:rPr>
                <w:b/>
                <w:kern w:val="24"/>
              </w:rPr>
              <w:t xml:space="preserve">Assumptions: </w:t>
            </w:r>
            <w:r w:rsidRPr="00861957">
              <w:rPr>
                <w:b/>
                <w:kern w:val="24"/>
              </w:rPr>
              <w:br/>
            </w:r>
            <w:r w:rsidRPr="00861957">
              <w:rPr>
                <w:kern w:val="24"/>
              </w:rPr>
              <w:t xml:space="preserve">Women are aware </w:t>
            </w:r>
            <w:r w:rsidR="0091275A" w:rsidRPr="00861957">
              <w:rPr>
                <w:kern w:val="24"/>
              </w:rPr>
              <w:t xml:space="preserve">of </w:t>
            </w:r>
            <w:r w:rsidRPr="00861957">
              <w:rPr>
                <w:kern w:val="24"/>
              </w:rPr>
              <w:t>modern methods of contraception and are willing to use them</w:t>
            </w:r>
          </w:p>
          <w:p w14:paraId="7FE4236E" w14:textId="4791FC70" w:rsidR="000715E7" w:rsidRPr="00861957" w:rsidRDefault="000715E7" w:rsidP="0091275A">
            <w:r w:rsidRPr="00861957">
              <w:rPr>
                <w:b/>
                <w:kern w:val="24"/>
              </w:rPr>
              <w:t xml:space="preserve">Risks: </w:t>
            </w:r>
            <w:r w:rsidRPr="00861957">
              <w:rPr>
                <w:kern w:val="24"/>
              </w:rPr>
              <w:t xml:space="preserve">High cost of contraceptives (the pill)  </w:t>
            </w:r>
          </w:p>
        </w:tc>
        <w:tc>
          <w:tcPr>
            <w:tcW w:w="1984" w:type="dxa"/>
          </w:tcPr>
          <w:p w14:paraId="6E303110" w14:textId="77777777" w:rsidR="000715E7" w:rsidRPr="00861957" w:rsidRDefault="000715E7" w:rsidP="00B230A7">
            <w:r w:rsidRPr="00861957">
              <w:rPr>
                <w:color w:val="000000" w:themeColor="dark1"/>
                <w:kern w:val="24"/>
              </w:rPr>
              <w:t>Ministry of Health, Ministry of Information, Belarusian Broadcasting Company, ONT, STV, internet portals, NGOs</w:t>
            </w:r>
          </w:p>
        </w:tc>
        <w:tc>
          <w:tcPr>
            <w:tcW w:w="1843" w:type="dxa"/>
          </w:tcPr>
          <w:p w14:paraId="49D727A0" w14:textId="3CE76633" w:rsidR="000715E7" w:rsidRPr="00861957" w:rsidRDefault="000715E7" w:rsidP="00B230A7">
            <w:pPr>
              <w:rPr>
                <w:b/>
                <w:color w:val="000000" w:themeColor="text1"/>
              </w:rPr>
            </w:pPr>
            <w:r w:rsidRPr="00861957">
              <w:rPr>
                <w:b/>
              </w:rPr>
              <w:t xml:space="preserve">UNFPA – </w:t>
            </w:r>
            <w:r w:rsidR="00624F0A" w:rsidRPr="00861957">
              <w:rPr>
                <w:b/>
              </w:rPr>
              <w:t>$</w:t>
            </w:r>
            <w:r w:rsidRPr="00861957">
              <w:rPr>
                <w:b/>
              </w:rPr>
              <w:t>60,000</w:t>
            </w:r>
          </w:p>
        </w:tc>
      </w:tr>
      <w:tr w:rsidR="000715E7" w:rsidRPr="00861957" w14:paraId="459E2F95" w14:textId="77777777" w:rsidTr="00FD4239">
        <w:trPr>
          <w:trHeight w:val="567"/>
        </w:trPr>
        <w:tc>
          <w:tcPr>
            <w:tcW w:w="2268" w:type="dxa"/>
            <w:vMerge/>
            <w:shd w:val="clear" w:color="auto" w:fill="auto"/>
          </w:tcPr>
          <w:p w14:paraId="5AA58F81" w14:textId="77777777" w:rsidR="000715E7" w:rsidRPr="00861957" w:rsidRDefault="000715E7" w:rsidP="00B230A7">
            <w:pPr>
              <w:rPr>
                <w:b/>
                <w:bCs/>
              </w:rPr>
            </w:pPr>
          </w:p>
        </w:tc>
        <w:tc>
          <w:tcPr>
            <w:tcW w:w="3686" w:type="dxa"/>
            <w:shd w:val="clear" w:color="auto" w:fill="auto"/>
          </w:tcPr>
          <w:p w14:paraId="1C7F25C0" w14:textId="55291EE8" w:rsidR="000715E7" w:rsidRPr="00861957" w:rsidRDefault="000715E7" w:rsidP="000715E7">
            <w:pPr>
              <w:rPr>
                <w:kern w:val="24"/>
              </w:rPr>
            </w:pPr>
            <w:r w:rsidRPr="00861957">
              <w:rPr>
                <w:b/>
                <w:kern w:val="24"/>
              </w:rPr>
              <w:t xml:space="preserve">Indicator </w:t>
            </w:r>
            <w:r w:rsidRPr="00861957">
              <w:rPr>
                <w:b/>
                <w:color w:val="000000" w:themeColor="text1"/>
                <w:kern w:val="24"/>
              </w:rPr>
              <w:t xml:space="preserve">4.3.4. </w:t>
            </w:r>
            <w:r w:rsidRPr="00861957">
              <w:rPr>
                <w:b/>
                <w:color w:val="FF0000"/>
                <w:kern w:val="24"/>
              </w:rPr>
              <w:br/>
            </w:r>
            <w:r w:rsidRPr="00861957">
              <w:rPr>
                <w:kern w:val="24"/>
              </w:rPr>
              <w:t>Number of pregnancies (live births and abortions) per 1000 women aged 15-19</w:t>
            </w:r>
          </w:p>
          <w:p w14:paraId="54D80114" w14:textId="6EAC68D2" w:rsidR="000715E7" w:rsidRPr="00861957" w:rsidRDefault="000715E7" w:rsidP="00E01E00">
            <w:pPr>
              <w:rPr>
                <w:bCs/>
              </w:rPr>
            </w:pPr>
            <w:r w:rsidRPr="00861957">
              <w:rPr>
                <w:b/>
                <w:kern w:val="24"/>
              </w:rPr>
              <w:t xml:space="preserve">Baseline: </w:t>
            </w:r>
            <w:r w:rsidRPr="00861957">
              <w:rPr>
                <w:i/>
                <w:kern w:val="24"/>
              </w:rPr>
              <w:t>Births:</w:t>
            </w:r>
            <w:r w:rsidRPr="00861957">
              <w:rPr>
                <w:kern w:val="24"/>
              </w:rPr>
              <w:t xml:space="preserve"> </w:t>
            </w:r>
            <w:r w:rsidR="00E01E00" w:rsidRPr="00861957">
              <w:rPr>
                <w:kern w:val="24"/>
              </w:rPr>
              <w:t>5</w:t>
            </w:r>
            <w:r w:rsidR="0091275A" w:rsidRPr="00861957">
              <w:rPr>
                <w:kern w:val="24"/>
              </w:rPr>
              <w:t>,</w:t>
            </w:r>
            <w:r w:rsidR="00E01E00" w:rsidRPr="00861957">
              <w:rPr>
                <w:kern w:val="24"/>
              </w:rPr>
              <w:t>575 (23.2</w:t>
            </w:r>
            <w:r w:rsidRPr="00861957">
              <w:rPr>
                <w:kern w:val="24"/>
              </w:rPr>
              <w:t xml:space="preserve"> per 1000 women aged 15-19) (2013); </w:t>
            </w:r>
            <w:r w:rsidRPr="00861957">
              <w:rPr>
                <w:i/>
                <w:kern w:val="24"/>
              </w:rPr>
              <w:t>Abortions</w:t>
            </w:r>
            <w:r w:rsidRPr="00861957">
              <w:rPr>
                <w:kern w:val="24"/>
              </w:rPr>
              <w:t>: 1</w:t>
            </w:r>
            <w:r w:rsidR="0091275A" w:rsidRPr="00861957">
              <w:rPr>
                <w:kern w:val="24"/>
              </w:rPr>
              <w:t>,</w:t>
            </w:r>
            <w:r w:rsidRPr="00861957">
              <w:rPr>
                <w:kern w:val="24"/>
              </w:rPr>
              <w:t>830 (7.6 per 1000 women aged 15-19) (2013)</w:t>
            </w:r>
            <w:r w:rsidRPr="00861957">
              <w:rPr>
                <w:kern w:val="24"/>
              </w:rPr>
              <w:br/>
            </w:r>
            <w:r w:rsidRPr="00861957">
              <w:rPr>
                <w:b/>
                <w:kern w:val="24"/>
              </w:rPr>
              <w:t>Target:</w:t>
            </w:r>
            <w:r w:rsidRPr="00861957">
              <w:rPr>
                <w:kern w:val="24"/>
              </w:rPr>
              <w:t xml:space="preserve"> </w:t>
            </w:r>
            <w:r w:rsidRPr="00861957">
              <w:rPr>
                <w:i/>
                <w:kern w:val="24"/>
              </w:rPr>
              <w:t>Births:</w:t>
            </w:r>
            <w:r w:rsidRPr="00861957">
              <w:rPr>
                <w:kern w:val="24"/>
              </w:rPr>
              <w:t xml:space="preserve"> Reduction by 25%; </w:t>
            </w:r>
            <w:r w:rsidRPr="00861957">
              <w:rPr>
                <w:i/>
                <w:kern w:val="24"/>
              </w:rPr>
              <w:t>Abortions:</w:t>
            </w:r>
            <w:r w:rsidRPr="00861957">
              <w:rPr>
                <w:kern w:val="24"/>
              </w:rPr>
              <w:t xml:space="preserve"> Reduction by 25%</w:t>
            </w:r>
          </w:p>
        </w:tc>
        <w:tc>
          <w:tcPr>
            <w:tcW w:w="1984" w:type="dxa"/>
            <w:shd w:val="clear" w:color="auto" w:fill="auto"/>
          </w:tcPr>
          <w:p w14:paraId="7DAE3D4B" w14:textId="77777777" w:rsidR="000715E7" w:rsidRPr="00861957" w:rsidRDefault="000715E7" w:rsidP="00B230A7">
            <w:pPr>
              <w:tabs>
                <w:tab w:val="left" w:pos="1080"/>
              </w:tabs>
              <w:rPr>
                <w:bCs/>
              </w:rPr>
            </w:pPr>
            <w:r w:rsidRPr="00861957">
              <w:rPr>
                <w:bCs/>
              </w:rPr>
              <w:t>Belstat</w:t>
            </w:r>
          </w:p>
        </w:tc>
        <w:tc>
          <w:tcPr>
            <w:tcW w:w="3686" w:type="dxa"/>
            <w:shd w:val="clear" w:color="auto" w:fill="auto"/>
          </w:tcPr>
          <w:p w14:paraId="20726F11" w14:textId="0689357A" w:rsidR="000715E7" w:rsidRPr="00861957" w:rsidRDefault="000715E7" w:rsidP="000715E7">
            <w:pPr>
              <w:rPr>
                <w:bCs/>
                <w:kern w:val="24"/>
              </w:rPr>
            </w:pPr>
            <w:r w:rsidRPr="00861957">
              <w:rPr>
                <w:b/>
                <w:kern w:val="24"/>
              </w:rPr>
              <w:t>Assumptions:</w:t>
            </w:r>
            <w:r w:rsidRPr="00861957">
              <w:rPr>
                <w:b/>
                <w:kern w:val="24"/>
              </w:rPr>
              <w:br/>
            </w:r>
            <w:r w:rsidR="0091275A" w:rsidRPr="00861957">
              <w:rPr>
                <w:kern w:val="24"/>
              </w:rPr>
              <w:t xml:space="preserve">The </w:t>
            </w:r>
            <w:r w:rsidRPr="00861957">
              <w:rPr>
                <w:kern w:val="24"/>
              </w:rPr>
              <w:t xml:space="preserve">National </w:t>
            </w:r>
            <w:r w:rsidR="00EE1315" w:rsidRPr="00861957">
              <w:rPr>
                <w:kern w:val="24"/>
              </w:rPr>
              <w:t xml:space="preserve">Programme for </w:t>
            </w:r>
            <w:r w:rsidRPr="00861957">
              <w:rPr>
                <w:kern w:val="24"/>
              </w:rPr>
              <w:t>Demographic Security 2016-2020 is active</w:t>
            </w:r>
          </w:p>
          <w:p w14:paraId="611BAC93" w14:textId="77777777" w:rsidR="000715E7" w:rsidRPr="00861957" w:rsidRDefault="000715E7" w:rsidP="00351963">
            <w:r w:rsidRPr="00861957">
              <w:rPr>
                <w:b/>
                <w:kern w:val="24"/>
              </w:rPr>
              <w:t>Risks:</w:t>
            </w:r>
            <w:r w:rsidRPr="00861957">
              <w:rPr>
                <w:b/>
                <w:kern w:val="24"/>
              </w:rPr>
              <w:br/>
            </w:r>
            <w:r w:rsidRPr="00861957">
              <w:rPr>
                <w:kern w:val="24"/>
              </w:rPr>
              <w:t xml:space="preserve">Early onset of sexual activity, low awareness of the consequences of an unwanted pregnancy, combined with low prevalence of contraception among </w:t>
            </w:r>
            <w:r w:rsidR="00351963" w:rsidRPr="00861957">
              <w:rPr>
                <w:kern w:val="24"/>
              </w:rPr>
              <w:t>adolescents</w:t>
            </w:r>
          </w:p>
        </w:tc>
        <w:tc>
          <w:tcPr>
            <w:tcW w:w="1984" w:type="dxa"/>
          </w:tcPr>
          <w:p w14:paraId="7DB87597" w14:textId="77777777" w:rsidR="000715E7" w:rsidRPr="00861957" w:rsidRDefault="000715E7" w:rsidP="00B230A7">
            <w:r w:rsidRPr="00861957">
              <w:rPr>
                <w:color w:val="000000" w:themeColor="dark1"/>
                <w:kern w:val="24"/>
              </w:rPr>
              <w:t>Ministry of Health; Ministry of Education; Ministry of Information, Belarusian Broadcasting Company, ONT, STV, internet portals, NGOs</w:t>
            </w:r>
          </w:p>
        </w:tc>
        <w:tc>
          <w:tcPr>
            <w:tcW w:w="1843" w:type="dxa"/>
          </w:tcPr>
          <w:p w14:paraId="28841B2B" w14:textId="3D468EF1" w:rsidR="000715E7" w:rsidRPr="00861957" w:rsidRDefault="000715E7" w:rsidP="000715E7">
            <w:pPr>
              <w:rPr>
                <w:b/>
                <w:color w:val="000000" w:themeColor="text1"/>
              </w:rPr>
            </w:pPr>
            <w:r w:rsidRPr="00861957">
              <w:rPr>
                <w:b/>
                <w:color w:val="000000" w:themeColor="text1"/>
              </w:rPr>
              <w:t xml:space="preserve">UNICEF – </w:t>
            </w:r>
            <w:r w:rsidR="00624F0A" w:rsidRPr="00861957">
              <w:rPr>
                <w:b/>
                <w:color w:val="000000" w:themeColor="text1"/>
              </w:rPr>
              <w:t>$</w:t>
            </w:r>
            <w:r w:rsidRPr="00861957">
              <w:rPr>
                <w:b/>
                <w:color w:val="000000" w:themeColor="text1"/>
              </w:rPr>
              <w:t>100</w:t>
            </w:r>
            <w:r w:rsidR="00624F0A" w:rsidRPr="00861957">
              <w:rPr>
                <w:b/>
                <w:color w:val="000000" w:themeColor="text1"/>
              </w:rPr>
              <w:t>,</w:t>
            </w:r>
            <w:r w:rsidRPr="00861957">
              <w:rPr>
                <w:b/>
                <w:color w:val="000000" w:themeColor="text1"/>
              </w:rPr>
              <w:t>000</w:t>
            </w:r>
          </w:p>
          <w:p w14:paraId="6F12F717" w14:textId="56E69615" w:rsidR="000715E7" w:rsidRPr="00861957" w:rsidRDefault="000715E7" w:rsidP="00B230A7">
            <w:r w:rsidRPr="00861957">
              <w:rPr>
                <w:b/>
                <w:color w:val="000000" w:themeColor="text1"/>
              </w:rPr>
              <w:t xml:space="preserve">UNFPA – </w:t>
            </w:r>
            <w:r w:rsidR="00624F0A" w:rsidRPr="00861957">
              <w:rPr>
                <w:b/>
                <w:color w:val="000000" w:themeColor="text1"/>
              </w:rPr>
              <w:t>$</w:t>
            </w:r>
            <w:r w:rsidRPr="00861957">
              <w:rPr>
                <w:b/>
                <w:color w:val="000000" w:themeColor="text1"/>
              </w:rPr>
              <w:t>60,000</w:t>
            </w:r>
          </w:p>
        </w:tc>
      </w:tr>
      <w:tr w:rsidR="000715E7" w:rsidRPr="00861957" w14:paraId="5CAC6995" w14:textId="77777777" w:rsidTr="00FD4239">
        <w:trPr>
          <w:trHeight w:val="567"/>
        </w:trPr>
        <w:tc>
          <w:tcPr>
            <w:tcW w:w="2268" w:type="dxa"/>
            <w:vMerge/>
            <w:shd w:val="clear" w:color="auto" w:fill="auto"/>
          </w:tcPr>
          <w:p w14:paraId="60943521" w14:textId="77777777" w:rsidR="000715E7" w:rsidRPr="00861957" w:rsidRDefault="000715E7" w:rsidP="00B230A7">
            <w:pPr>
              <w:rPr>
                <w:b/>
                <w:bCs/>
              </w:rPr>
            </w:pPr>
          </w:p>
        </w:tc>
        <w:tc>
          <w:tcPr>
            <w:tcW w:w="3686" w:type="dxa"/>
            <w:shd w:val="clear" w:color="auto" w:fill="auto"/>
          </w:tcPr>
          <w:p w14:paraId="30C71033" w14:textId="05FAA1C3" w:rsidR="000715E7" w:rsidRPr="00861957" w:rsidRDefault="000715E7" w:rsidP="00B230A7">
            <w:pPr>
              <w:rPr>
                <w:bCs/>
              </w:rPr>
            </w:pPr>
            <w:r w:rsidRPr="00861957">
              <w:rPr>
                <w:b/>
                <w:color w:val="000000" w:themeColor="dark1"/>
                <w:kern w:val="24"/>
              </w:rPr>
              <w:t>Indicator 4.3.5.</w:t>
            </w:r>
            <w:r w:rsidRPr="00861957">
              <w:rPr>
                <w:color w:val="000000" w:themeColor="dark1"/>
                <w:kern w:val="24"/>
              </w:rPr>
              <w:br/>
              <w:t>Ratification of the Convention on the Rights of Persons with Disabilities and alignment of the national legislation with its provisions</w:t>
            </w:r>
            <w:r w:rsidRPr="00861957">
              <w:rPr>
                <w:color w:val="000000" w:themeColor="dark1"/>
                <w:kern w:val="24"/>
              </w:rPr>
              <w:br/>
            </w:r>
            <w:r w:rsidRPr="00861957">
              <w:rPr>
                <w:b/>
                <w:color w:val="000000" w:themeColor="dark1"/>
                <w:kern w:val="24"/>
              </w:rPr>
              <w:t xml:space="preserve">Baseline: </w:t>
            </w:r>
            <w:r w:rsidR="0091275A" w:rsidRPr="00861957">
              <w:rPr>
                <w:color w:val="000000" w:themeColor="dark1"/>
                <w:kern w:val="24"/>
              </w:rPr>
              <w:t xml:space="preserve">The </w:t>
            </w:r>
            <w:r w:rsidRPr="00861957">
              <w:rPr>
                <w:color w:val="000000" w:themeColor="dark1"/>
                <w:kern w:val="24"/>
              </w:rPr>
              <w:t xml:space="preserve">Convention on the Rights of Persons with Disabilities </w:t>
            </w:r>
            <w:r w:rsidR="0091275A" w:rsidRPr="00861957">
              <w:rPr>
                <w:color w:val="000000" w:themeColor="dark1"/>
                <w:kern w:val="24"/>
              </w:rPr>
              <w:t xml:space="preserve">has been </w:t>
            </w:r>
            <w:r w:rsidRPr="00861957">
              <w:rPr>
                <w:color w:val="000000" w:themeColor="dark1"/>
                <w:kern w:val="24"/>
              </w:rPr>
              <w:t xml:space="preserve">discussed </w:t>
            </w:r>
            <w:r w:rsidRPr="00861957">
              <w:rPr>
                <w:color w:val="000000" w:themeColor="dark1"/>
                <w:kern w:val="24"/>
              </w:rPr>
              <w:br/>
            </w:r>
            <w:r w:rsidRPr="00861957">
              <w:rPr>
                <w:b/>
                <w:color w:val="000000" w:themeColor="dark1"/>
                <w:kern w:val="24"/>
              </w:rPr>
              <w:t xml:space="preserve">Target: </w:t>
            </w:r>
            <w:r w:rsidR="0091275A" w:rsidRPr="00861957">
              <w:rPr>
                <w:color w:val="000000" w:themeColor="dark1"/>
                <w:kern w:val="24"/>
              </w:rPr>
              <w:t>The</w:t>
            </w:r>
            <w:r w:rsidR="0091275A" w:rsidRPr="00861957">
              <w:rPr>
                <w:b/>
                <w:color w:val="000000" w:themeColor="dark1"/>
                <w:kern w:val="24"/>
              </w:rPr>
              <w:t xml:space="preserve"> </w:t>
            </w:r>
            <w:r w:rsidRPr="00861957">
              <w:rPr>
                <w:color w:val="000000" w:themeColor="dark1"/>
                <w:kern w:val="24"/>
              </w:rPr>
              <w:t xml:space="preserve">Convention on the Rights of Persons with Disabilities </w:t>
            </w:r>
            <w:r w:rsidR="0091275A" w:rsidRPr="00861957">
              <w:rPr>
                <w:color w:val="000000" w:themeColor="dark1"/>
                <w:kern w:val="24"/>
              </w:rPr>
              <w:lastRenderedPageBreak/>
              <w:t>has been</w:t>
            </w:r>
            <w:r w:rsidRPr="00861957">
              <w:rPr>
                <w:color w:val="000000" w:themeColor="dark1"/>
                <w:kern w:val="24"/>
              </w:rPr>
              <w:t xml:space="preserve"> ratified and the national legislation is aligned with its provisions</w:t>
            </w:r>
          </w:p>
        </w:tc>
        <w:tc>
          <w:tcPr>
            <w:tcW w:w="1984" w:type="dxa"/>
            <w:shd w:val="clear" w:color="auto" w:fill="auto"/>
          </w:tcPr>
          <w:p w14:paraId="5FC54CDE" w14:textId="77777777" w:rsidR="000715E7" w:rsidRPr="00861957" w:rsidRDefault="000715E7" w:rsidP="00B230A7">
            <w:pPr>
              <w:tabs>
                <w:tab w:val="left" w:pos="1080"/>
              </w:tabs>
              <w:rPr>
                <w:bCs/>
              </w:rPr>
            </w:pPr>
            <w:r w:rsidRPr="00861957">
              <w:rPr>
                <w:color w:val="000000" w:themeColor="dark1"/>
                <w:kern w:val="24"/>
              </w:rPr>
              <w:lastRenderedPageBreak/>
              <w:t>Reference depository of legal information of the Republic of Belarus</w:t>
            </w:r>
          </w:p>
        </w:tc>
        <w:tc>
          <w:tcPr>
            <w:tcW w:w="3686" w:type="dxa"/>
            <w:shd w:val="clear" w:color="auto" w:fill="auto"/>
          </w:tcPr>
          <w:p w14:paraId="2F22C068" w14:textId="7B1C663E" w:rsidR="000715E7" w:rsidRPr="00861957" w:rsidRDefault="000715E7" w:rsidP="00B230A7">
            <w:pPr>
              <w:rPr>
                <w:bCs/>
                <w:kern w:val="24"/>
              </w:rPr>
            </w:pPr>
            <w:r w:rsidRPr="00861957">
              <w:rPr>
                <w:b/>
                <w:kern w:val="24"/>
              </w:rPr>
              <w:t>Assumptions:</w:t>
            </w:r>
            <w:r w:rsidRPr="00861957">
              <w:rPr>
                <w:b/>
                <w:kern w:val="24"/>
              </w:rPr>
              <w:br/>
            </w:r>
            <w:r w:rsidRPr="00861957">
              <w:rPr>
                <w:kern w:val="24"/>
              </w:rPr>
              <w:t>Decision</w:t>
            </w:r>
            <w:r w:rsidR="00D93C56" w:rsidRPr="00861957">
              <w:rPr>
                <w:kern w:val="24"/>
              </w:rPr>
              <w:t>-</w:t>
            </w:r>
            <w:r w:rsidRPr="00861957">
              <w:rPr>
                <w:kern w:val="24"/>
              </w:rPr>
              <w:t>makers understand the need for improvements to the national legal framework on various aspects of living with disability</w:t>
            </w:r>
          </w:p>
          <w:p w14:paraId="633C34DD" w14:textId="77777777" w:rsidR="000715E7" w:rsidRPr="00861957" w:rsidRDefault="000715E7" w:rsidP="00B230A7">
            <w:r w:rsidRPr="00861957">
              <w:rPr>
                <w:b/>
                <w:kern w:val="24"/>
              </w:rPr>
              <w:t xml:space="preserve">Risks: </w:t>
            </w:r>
            <w:r w:rsidRPr="00861957">
              <w:rPr>
                <w:b/>
                <w:kern w:val="24"/>
              </w:rPr>
              <w:br/>
            </w:r>
            <w:r w:rsidRPr="00861957">
              <w:rPr>
                <w:kern w:val="24"/>
              </w:rPr>
              <w:t>Financing shortages may prevent enactment of the relevant legislation</w:t>
            </w:r>
          </w:p>
        </w:tc>
        <w:tc>
          <w:tcPr>
            <w:tcW w:w="1984" w:type="dxa"/>
          </w:tcPr>
          <w:p w14:paraId="17C4EF62" w14:textId="0CC73857" w:rsidR="000715E7" w:rsidRPr="00861957" w:rsidRDefault="000715E7" w:rsidP="00CB7407">
            <w:pPr>
              <w:rPr>
                <w:color w:val="000000" w:themeColor="dark1"/>
                <w:kern w:val="24"/>
              </w:rPr>
            </w:pPr>
            <w:r w:rsidRPr="00861957">
              <w:rPr>
                <w:color w:val="000000" w:themeColor="dark1"/>
                <w:kern w:val="24"/>
              </w:rPr>
              <w:t>National Assembly of Belarus, National Law Drafting Centre, Ministry of Labour and Social Protection, Ministry of Health, NGOs</w:t>
            </w:r>
          </w:p>
        </w:tc>
        <w:tc>
          <w:tcPr>
            <w:tcW w:w="1843" w:type="dxa"/>
          </w:tcPr>
          <w:p w14:paraId="7920480F" w14:textId="5995FDC3" w:rsidR="000715E7" w:rsidRPr="00861957" w:rsidRDefault="000715E7" w:rsidP="00B230A7">
            <w:pPr>
              <w:rPr>
                <w:b/>
                <w:color w:val="000000" w:themeColor="text1"/>
              </w:rPr>
            </w:pPr>
            <w:r w:rsidRPr="00861957">
              <w:rPr>
                <w:b/>
                <w:color w:val="000000" w:themeColor="text1"/>
              </w:rPr>
              <w:t xml:space="preserve">UNICEF – </w:t>
            </w:r>
            <w:r w:rsidR="00624F0A" w:rsidRPr="00861957">
              <w:rPr>
                <w:b/>
                <w:color w:val="000000" w:themeColor="text1"/>
              </w:rPr>
              <w:t>$</w:t>
            </w:r>
            <w:r w:rsidRPr="00861957">
              <w:rPr>
                <w:b/>
                <w:color w:val="000000" w:themeColor="text1"/>
              </w:rPr>
              <w:t>100</w:t>
            </w:r>
            <w:r w:rsidR="00624F0A" w:rsidRPr="00861957">
              <w:rPr>
                <w:b/>
                <w:color w:val="000000" w:themeColor="text1"/>
              </w:rPr>
              <w:t>,</w:t>
            </w:r>
            <w:r w:rsidRPr="00861957">
              <w:rPr>
                <w:b/>
                <w:color w:val="000000" w:themeColor="text1"/>
              </w:rPr>
              <w:t>000;</w:t>
            </w:r>
          </w:p>
          <w:p w14:paraId="66794FE6" w14:textId="48B0C55E" w:rsidR="000715E7" w:rsidRPr="00861957" w:rsidRDefault="000715E7" w:rsidP="00B230A7">
            <w:pPr>
              <w:rPr>
                <w:b/>
                <w:color w:val="000000" w:themeColor="text1"/>
              </w:rPr>
            </w:pPr>
            <w:r w:rsidRPr="00861957">
              <w:rPr>
                <w:b/>
                <w:color w:val="000000" w:themeColor="text1"/>
              </w:rPr>
              <w:t xml:space="preserve">IOM – </w:t>
            </w:r>
            <w:r w:rsidR="00F554F0">
              <w:rPr>
                <w:b/>
                <w:color w:val="000000" w:themeColor="text1"/>
              </w:rPr>
              <w:t>$</w:t>
            </w:r>
            <w:r w:rsidRPr="00861957">
              <w:rPr>
                <w:b/>
                <w:color w:val="000000" w:themeColor="text1"/>
              </w:rPr>
              <w:t>100</w:t>
            </w:r>
            <w:r w:rsidR="00624F0A" w:rsidRPr="00861957">
              <w:rPr>
                <w:b/>
                <w:color w:val="000000" w:themeColor="text1"/>
              </w:rPr>
              <w:t>,</w:t>
            </w:r>
            <w:r w:rsidRPr="00861957">
              <w:rPr>
                <w:b/>
                <w:color w:val="000000" w:themeColor="text1"/>
              </w:rPr>
              <w:t xml:space="preserve">000;      </w:t>
            </w:r>
            <w:r w:rsidR="00624F0A" w:rsidRPr="00861957">
              <w:rPr>
                <w:b/>
                <w:color w:val="000000" w:themeColor="text1"/>
              </w:rPr>
              <w:t>$</w:t>
            </w:r>
            <w:r w:rsidRPr="00861957">
              <w:rPr>
                <w:b/>
                <w:color w:val="000000" w:themeColor="text1"/>
              </w:rPr>
              <w:t>200 000 (</w:t>
            </w:r>
            <w:r w:rsidRPr="00861957">
              <w:rPr>
                <w:b/>
              </w:rPr>
              <w:t>to be mobili</w:t>
            </w:r>
            <w:r w:rsidR="000F002C" w:rsidRPr="00861957">
              <w:rPr>
                <w:b/>
              </w:rPr>
              <w:t>z</w:t>
            </w:r>
            <w:r w:rsidRPr="00861957">
              <w:rPr>
                <w:b/>
              </w:rPr>
              <w:t>ed</w:t>
            </w:r>
            <w:r w:rsidRPr="00861957">
              <w:rPr>
                <w:b/>
                <w:color w:val="000000" w:themeColor="text1"/>
              </w:rPr>
              <w:t>)</w:t>
            </w:r>
          </w:p>
          <w:p w14:paraId="56FB0C56" w14:textId="4FC02DCD" w:rsidR="000715E7" w:rsidRPr="00861957" w:rsidRDefault="000715E7" w:rsidP="00B230A7">
            <w:pPr>
              <w:rPr>
                <w:b/>
                <w:color w:val="000000" w:themeColor="text1"/>
              </w:rPr>
            </w:pPr>
            <w:r w:rsidRPr="00861957">
              <w:rPr>
                <w:b/>
                <w:color w:val="000000" w:themeColor="text1"/>
              </w:rPr>
              <w:t xml:space="preserve">UNFPA – </w:t>
            </w:r>
            <w:r w:rsidR="00624F0A" w:rsidRPr="00861957">
              <w:rPr>
                <w:b/>
                <w:color w:val="000000" w:themeColor="text1"/>
              </w:rPr>
              <w:t>$</w:t>
            </w:r>
            <w:r w:rsidRPr="00861957">
              <w:rPr>
                <w:b/>
                <w:color w:val="000000" w:themeColor="text1"/>
              </w:rPr>
              <w:t>10</w:t>
            </w:r>
            <w:r w:rsidR="00624F0A" w:rsidRPr="00861957">
              <w:rPr>
                <w:b/>
                <w:color w:val="000000" w:themeColor="text1"/>
              </w:rPr>
              <w:t>,</w:t>
            </w:r>
            <w:r w:rsidRPr="00861957">
              <w:rPr>
                <w:b/>
                <w:color w:val="000000" w:themeColor="text1"/>
              </w:rPr>
              <w:t>000</w:t>
            </w:r>
            <w:r w:rsidR="00624F0A" w:rsidRPr="00861957">
              <w:rPr>
                <w:b/>
                <w:color w:val="000000" w:themeColor="text1"/>
              </w:rPr>
              <w:t>, UNDP - $500,000</w:t>
            </w:r>
          </w:p>
          <w:p w14:paraId="78151AA7" w14:textId="77777777" w:rsidR="000715E7" w:rsidRPr="00861957" w:rsidRDefault="000715E7" w:rsidP="00B230A7">
            <w:pPr>
              <w:rPr>
                <w:b/>
                <w:color w:val="000000" w:themeColor="text1"/>
              </w:rPr>
            </w:pPr>
          </w:p>
        </w:tc>
      </w:tr>
      <w:tr w:rsidR="000715E7" w:rsidRPr="00861957" w14:paraId="52948208" w14:textId="77777777" w:rsidTr="00FD4239">
        <w:trPr>
          <w:trHeight w:val="567"/>
        </w:trPr>
        <w:tc>
          <w:tcPr>
            <w:tcW w:w="2268" w:type="dxa"/>
            <w:vMerge/>
            <w:shd w:val="clear" w:color="auto" w:fill="auto"/>
          </w:tcPr>
          <w:p w14:paraId="5D5B6F24" w14:textId="77777777" w:rsidR="000715E7" w:rsidRPr="00861957" w:rsidRDefault="000715E7" w:rsidP="00440ACD">
            <w:pPr>
              <w:rPr>
                <w:b/>
                <w:bCs/>
              </w:rPr>
            </w:pPr>
          </w:p>
        </w:tc>
        <w:tc>
          <w:tcPr>
            <w:tcW w:w="3686" w:type="dxa"/>
            <w:shd w:val="clear" w:color="auto" w:fill="auto"/>
          </w:tcPr>
          <w:p w14:paraId="17C39524" w14:textId="780C1507" w:rsidR="000715E7" w:rsidRPr="00861957" w:rsidRDefault="000715E7" w:rsidP="0091275A">
            <w:pPr>
              <w:rPr>
                <w:b/>
                <w:color w:val="000000" w:themeColor="text1"/>
                <w:kern w:val="24"/>
              </w:rPr>
            </w:pPr>
            <w:r w:rsidRPr="00861957">
              <w:rPr>
                <w:b/>
                <w:color w:val="000000" w:themeColor="dark1"/>
                <w:kern w:val="24"/>
              </w:rPr>
              <w:t>Indicator 4.3.6.</w:t>
            </w:r>
            <w:r w:rsidRPr="00861957">
              <w:rPr>
                <w:b/>
                <w:color w:val="000000" w:themeColor="dark1"/>
                <w:kern w:val="24"/>
              </w:rPr>
              <w:br/>
            </w:r>
            <w:r w:rsidRPr="00861957">
              <w:rPr>
                <w:color w:val="000000" w:themeColor="dark1"/>
                <w:kern w:val="24"/>
              </w:rPr>
              <w:t xml:space="preserve">Coverage of children with disabilities </w:t>
            </w:r>
            <w:r w:rsidR="0091275A" w:rsidRPr="00861957">
              <w:rPr>
                <w:color w:val="000000" w:themeColor="dark1"/>
                <w:kern w:val="24"/>
              </w:rPr>
              <w:t xml:space="preserve">by </w:t>
            </w:r>
            <w:r w:rsidRPr="00861957">
              <w:rPr>
                <w:color w:val="000000" w:themeColor="dark1"/>
                <w:kern w:val="24"/>
              </w:rPr>
              <w:t>inclusive education</w:t>
            </w:r>
            <w:r w:rsidRPr="00861957">
              <w:rPr>
                <w:color w:val="000000" w:themeColor="dark1"/>
                <w:kern w:val="24"/>
              </w:rPr>
              <w:br/>
            </w:r>
            <w:r w:rsidRPr="00861957">
              <w:rPr>
                <w:b/>
                <w:color w:val="000000" w:themeColor="dark1"/>
                <w:kern w:val="24"/>
              </w:rPr>
              <w:t>Baseline:</w:t>
            </w:r>
            <w:r w:rsidRPr="00861957">
              <w:rPr>
                <w:color w:val="000000" w:themeColor="dark1"/>
                <w:kern w:val="24"/>
              </w:rPr>
              <w:t xml:space="preserve"> In 2014, 70% of children with disabilities were enrolled in mainstream education (pre-school and general secondary)</w:t>
            </w:r>
            <w:r w:rsidRPr="00861957">
              <w:rPr>
                <w:color w:val="000000" w:themeColor="dark1"/>
                <w:kern w:val="24"/>
              </w:rPr>
              <w:br/>
            </w:r>
            <w:r w:rsidRPr="00861957">
              <w:rPr>
                <w:b/>
                <w:color w:val="000000" w:themeColor="dark1"/>
                <w:kern w:val="24"/>
              </w:rPr>
              <w:t>Target:</w:t>
            </w:r>
            <w:r w:rsidRPr="00861957">
              <w:rPr>
                <w:color w:val="000000" w:themeColor="dark1"/>
                <w:kern w:val="24"/>
              </w:rPr>
              <w:t xml:space="preserve"> 80% of children with disabilities are enrolled in inclusive education programmes</w:t>
            </w:r>
          </w:p>
        </w:tc>
        <w:tc>
          <w:tcPr>
            <w:tcW w:w="1984" w:type="dxa"/>
            <w:shd w:val="clear" w:color="auto" w:fill="auto"/>
          </w:tcPr>
          <w:p w14:paraId="453D507B" w14:textId="77777777" w:rsidR="000715E7" w:rsidRPr="00861957" w:rsidRDefault="000715E7" w:rsidP="00B230A7">
            <w:pPr>
              <w:rPr>
                <w:color w:val="000000" w:themeColor="dark1"/>
                <w:kern w:val="24"/>
              </w:rPr>
            </w:pPr>
            <w:r w:rsidRPr="00861957">
              <w:rPr>
                <w:color w:val="000000" w:themeColor="dark1"/>
                <w:kern w:val="24"/>
              </w:rPr>
              <w:t>Ministry of Education</w:t>
            </w:r>
          </w:p>
          <w:p w14:paraId="5C4566AF" w14:textId="77777777" w:rsidR="000715E7" w:rsidRPr="00861957" w:rsidRDefault="000715E7" w:rsidP="00B230A7">
            <w:pPr>
              <w:tabs>
                <w:tab w:val="left" w:pos="1080"/>
              </w:tabs>
              <w:rPr>
                <w:bCs/>
              </w:rPr>
            </w:pPr>
          </w:p>
          <w:p w14:paraId="6D8125E8" w14:textId="77777777" w:rsidR="000715E7" w:rsidRPr="00861957" w:rsidRDefault="000715E7" w:rsidP="00B230A7"/>
          <w:p w14:paraId="0E98296C" w14:textId="77777777" w:rsidR="000715E7" w:rsidRPr="00861957" w:rsidRDefault="000715E7" w:rsidP="00B230A7"/>
          <w:p w14:paraId="7E79DC89" w14:textId="77777777" w:rsidR="000715E7" w:rsidRPr="00861957" w:rsidRDefault="000715E7" w:rsidP="000715E7">
            <w:pPr>
              <w:tabs>
                <w:tab w:val="left" w:pos="1080"/>
              </w:tabs>
              <w:rPr>
                <w:bCs/>
              </w:rPr>
            </w:pPr>
          </w:p>
        </w:tc>
        <w:tc>
          <w:tcPr>
            <w:tcW w:w="3686" w:type="dxa"/>
            <w:shd w:val="clear" w:color="auto" w:fill="auto"/>
          </w:tcPr>
          <w:p w14:paraId="240E7ED7" w14:textId="028F99BE" w:rsidR="000715E7" w:rsidRPr="00861957" w:rsidRDefault="000715E7" w:rsidP="00B230A7">
            <w:pPr>
              <w:rPr>
                <w:bCs/>
                <w:kern w:val="24"/>
              </w:rPr>
            </w:pPr>
            <w:r w:rsidRPr="00861957">
              <w:rPr>
                <w:b/>
                <w:kern w:val="24"/>
              </w:rPr>
              <w:t xml:space="preserve">Assumptions: </w:t>
            </w:r>
            <w:r w:rsidRPr="00861957">
              <w:rPr>
                <w:b/>
                <w:kern w:val="24"/>
              </w:rPr>
              <w:br/>
            </w:r>
            <w:r w:rsidRPr="00861957">
              <w:rPr>
                <w:kern w:val="24"/>
              </w:rPr>
              <w:t>A concept of inclusive educatio</w:t>
            </w:r>
            <w:r w:rsidR="0091275A" w:rsidRPr="00861957">
              <w:rPr>
                <w:kern w:val="24"/>
              </w:rPr>
              <w:t>n is</w:t>
            </w:r>
            <w:r w:rsidRPr="00861957">
              <w:rPr>
                <w:kern w:val="24"/>
              </w:rPr>
              <w:t xml:space="preserve"> drafted and adopted, with sections on educational support for children with disabilities</w:t>
            </w:r>
          </w:p>
          <w:p w14:paraId="5B24B660" w14:textId="5A09CC96" w:rsidR="000715E7" w:rsidRPr="00861957" w:rsidRDefault="000715E7" w:rsidP="000715E7">
            <w:r w:rsidRPr="00861957">
              <w:rPr>
                <w:b/>
                <w:kern w:val="24"/>
              </w:rPr>
              <w:t xml:space="preserve">Risks: </w:t>
            </w:r>
            <w:r w:rsidRPr="00861957">
              <w:rPr>
                <w:kern w:val="24"/>
              </w:rPr>
              <w:t>Growth in the number of children with disabilities; Shortage of qualified staff and financial resources; Right of parental choice o</w:t>
            </w:r>
            <w:r w:rsidR="00AA1F38" w:rsidRPr="00861957">
              <w:rPr>
                <w:kern w:val="24"/>
              </w:rPr>
              <w:t>n</w:t>
            </w:r>
            <w:r w:rsidRPr="00861957">
              <w:rPr>
                <w:kern w:val="24"/>
              </w:rPr>
              <w:t xml:space="preserve"> the form of education; Stigma attached to disability</w:t>
            </w:r>
          </w:p>
        </w:tc>
        <w:tc>
          <w:tcPr>
            <w:tcW w:w="1984" w:type="dxa"/>
          </w:tcPr>
          <w:p w14:paraId="2A756A87" w14:textId="1F9AD969" w:rsidR="000715E7" w:rsidRPr="00861957" w:rsidRDefault="000715E7" w:rsidP="000715E7">
            <w:r w:rsidRPr="00861957">
              <w:rPr>
                <w:color w:val="000000" w:themeColor="dark1"/>
                <w:kern w:val="24"/>
              </w:rPr>
              <w:t xml:space="preserve">Ministry of Education; Ministry of Information, Belarusian </w:t>
            </w:r>
            <w:r w:rsidR="00AA1F38" w:rsidRPr="00861957">
              <w:rPr>
                <w:color w:val="000000" w:themeColor="dark1"/>
                <w:kern w:val="24"/>
              </w:rPr>
              <w:t>B</w:t>
            </w:r>
            <w:r w:rsidRPr="00861957">
              <w:rPr>
                <w:color w:val="000000" w:themeColor="dark1"/>
                <w:kern w:val="24"/>
              </w:rPr>
              <w:t xml:space="preserve">roadcasting </w:t>
            </w:r>
            <w:r w:rsidR="00AA1F38" w:rsidRPr="00861957">
              <w:rPr>
                <w:color w:val="000000" w:themeColor="dark1"/>
                <w:kern w:val="24"/>
              </w:rPr>
              <w:t>C</w:t>
            </w:r>
            <w:r w:rsidRPr="00861957">
              <w:rPr>
                <w:color w:val="000000" w:themeColor="dark1"/>
                <w:kern w:val="24"/>
              </w:rPr>
              <w:t xml:space="preserve">ompany, ONT, STV, </w:t>
            </w:r>
            <w:r w:rsidR="00AA1F38" w:rsidRPr="00861957">
              <w:rPr>
                <w:color w:val="000000" w:themeColor="dark1"/>
                <w:kern w:val="24"/>
              </w:rPr>
              <w:t>i</w:t>
            </w:r>
            <w:r w:rsidRPr="00861957">
              <w:rPr>
                <w:color w:val="000000" w:themeColor="dark1"/>
                <w:kern w:val="24"/>
              </w:rPr>
              <w:t>nternet-portals, local governments and administrations, NGOs</w:t>
            </w:r>
          </w:p>
        </w:tc>
        <w:tc>
          <w:tcPr>
            <w:tcW w:w="1843" w:type="dxa"/>
          </w:tcPr>
          <w:p w14:paraId="758474DD" w14:textId="2CA9FA3B" w:rsidR="000715E7" w:rsidRPr="00861957" w:rsidRDefault="000715E7" w:rsidP="00B230A7">
            <w:pPr>
              <w:rPr>
                <w:b/>
                <w:color w:val="000000" w:themeColor="text1"/>
              </w:rPr>
            </w:pPr>
            <w:r w:rsidRPr="00861957">
              <w:rPr>
                <w:b/>
                <w:color w:val="000000" w:themeColor="text1"/>
              </w:rPr>
              <w:t xml:space="preserve">UNICEF – </w:t>
            </w:r>
            <w:r w:rsidR="00624F0A" w:rsidRPr="00861957">
              <w:rPr>
                <w:b/>
                <w:color w:val="000000" w:themeColor="text1"/>
              </w:rPr>
              <w:t>$</w:t>
            </w:r>
            <w:r w:rsidRPr="00861957">
              <w:rPr>
                <w:b/>
                <w:color w:val="000000" w:themeColor="text1"/>
              </w:rPr>
              <w:t>200</w:t>
            </w:r>
            <w:r w:rsidR="00624F0A" w:rsidRPr="00861957">
              <w:rPr>
                <w:b/>
                <w:color w:val="000000" w:themeColor="text1"/>
              </w:rPr>
              <w:t>,</w:t>
            </w:r>
            <w:r w:rsidRPr="00861957">
              <w:rPr>
                <w:b/>
                <w:color w:val="000000" w:themeColor="text1"/>
              </w:rPr>
              <w:t xml:space="preserve">000; </w:t>
            </w:r>
            <w:r w:rsidR="00624F0A" w:rsidRPr="00861957">
              <w:rPr>
                <w:b/>
                <w:color w:val="000000" w:themeColor="text1"/>
              </w:rPr>
              <w:t>$</w:t>
            </w:r>
            <w:r w:rsidRPr="00861957">
              <w:rPr>
                <w:b/>
                <w:color w:val="000000" w:themeColor="text1"/>
              </w:rPr>
              <w:t>200</w:t>
            </w:r>
            <w:r w:rsidR="00624F0A" w:rsidRPr="00861957">
              <w:rPr>
                <w:b/>
                <w:color w:val="000000" w:themeColor="text1"/>
              </w:rPr>
              <w:t>,</w:t>
            </w:r>
            <w:r w:rsidRPr="00861957">
              <w:rPr>
                <w:b/>
                <w:color w:val="000000" w:themeColor="text1"/>
              </w:rPr>
              <w:t>000</w:t>
            </w:r>
          </w:p>
          <w:p w14:paraId="7584287C" w14:textId="1293473F" w:rsidR="000715E7" w:rsidRPr="00861957" w:rsidRDefault="000715E7" w:rsidP="000715E7">
            <w:pPr>
              <w:rPr>
                <w:b/>
                <w:color w:val="000000" w:themeColor="text1"/>
              </w:rPr>
            </w:pPr>
            <w:r w:rsidRPr="00861957">
              <w:rPr>
                <w:b/>
                <w:color w:val="000000" w:themeColor="text1"/>
              </w:rPr>
              <w:t>(</w:t>
            </w:r>
            <w:r w:rsidRPr="00861957">
              <w:rPr>
                <w:b/>
              </w:rPr>
              <w:t>to be mobili</w:t>
            </w:r>
            <w:r w:rsidR="000F002C" w:rsidRPr="00861957">
              <w:rPr>
                <w:b/>
              </w:rPr>
              <w:t>z</w:t>
            </w:r>
            <w:r w:rsidRPr="00861957">
              <w:rPr>
                <w:b/>
              </w:rPr>
              <w:t>ed</w:t>
            </w:r>
            <w:r w:rsidRPr="00861957">
              <w:rPr>
                <w:b/>
                <w:color w:val="000000" w:themeColor="text1"/>
              </w:rPr>
              <w:t>)</w:t>
            </w:r>
          </w:p>
          <w:p w14:paraId="6A1213F5" w14:textId="0FF178F0" w:rsidR="00D57966" w:rsidRPr="00861957" w:rsidRDefault="00D57966" w:rsidP="000715E7">
            <w:pPr>
              <w:rPr>
                <w:b/>
                <w:color w:val="000000" w:themeColor="text1"/>
              </w:rPr>
            </w:pPr>
            <w:r w:rsidRPr="00861957">
              <w:rPr>
                <w:b/>
                <w:color w:val="000000" w:themeColor="text1"/>
              </w:rPr>
              <w:t xml:space="preserve">UNESCO – </w:t>
            </w:r>
            <w:r w:rsidR="00624F0A" w:rsidRPr="00861957">
              <w:rPr>
                <w:b/>
                <w:color w:val="000000" w:themeColor="text1"/>
              </w:rPr>
              <w:t>$</w:t>
            </w:r>
            <w:r w:rsidRPr="00861957">
              <w:rPr>
                <w:b/>
                <w:color w:val="000000" w:themeColor="text1"/>
              </w:rPr>
              <w:t>25,000</w:t>
            </w:r>
          </w:p>
        </w:tc>
      </w:tr>
      <w:tr w:rsidR="000715E7" w:rsidRPr="00861957" w14:paraId="0FE9051F" w14:textId="77777777" w:rsidTr="00FD4239">
        <w:trPr>
          <w:trHeight w:val="567"/>
        </w:trPr>
        <w:tc>
          <w:tcPr>
            <w:tcW w:w="2268" w:type="dxa"/>
            <w:vMerge/>
            <w:shd w:val="clear" w:color="auto" w:fill="auto"/>
          </w:tcPr>
          <w:p w14:paraId="264D598E" w14:textId="77777777" w:rsidR="000715E7" w:rsidRPr="00861957" w:rsidRDefault="000715E7" w:rsidP="00440ACD">
            <w:pPr>
              <w:pStyle w:val="PlainText"/>
              <w:jc w:val="both"/>
              <w:rPr>
                <w:rFonts w:ascii="Times New Roman" w:hAnsi="Times New Roman" w:cs="Times New Roman"/>
                <w:b/>
                <w:sz w:val="24"/>
                <w:szCs w:val="24"/>
                <w:lang w:val="en-GB"/>
              </w:rPr>
            </w:pPr>
          </w:p>
        </w:tc>
        <w:tc>
          <w:tcPr>
            <w:tcW w:w="3686" w:type="dxa"/>
            <w:shd w:val="clear" w:color="auto" w:fill="auto"/>
          </w:tcPr>
          <w:p w14:paraId="00715E9A" w14:textId="06604AE4" w:rsidR="000715E7" w:rsidRPr="00861957" w:rsidRDefault="000715E7" w:rsidP="00B230A7">
            <w:pPr>
              <w:rPr>
                <w:color w:val="000000" w:themeColor="dark1"/>
                <w:kern w:val="24"/>
              </w:rPr>
            </w:pPr>
            <w:r w:rsidRPr="00861957">
              <w:rPr>
                <w:b/>
                <w:color w:val="000000" w:themeColor="dark1"/>
                <w:kern w:val="24"/>
              </w:rPr>
              <w:t>Indicator 4.3.7.</w:t>
            </w:r>
            <w:r w:rsidRPr="00861957">
              <w:rPr>
                <w:color w:val="000000" w:themeColor="dark1"/>
                <w:kern w:val="24"/>
              </w:rPr>
              <w:br/>
              <w:t xml:space="preserve">Proportion of children with disabilities under </w:t>
            </w:r>
            <w:r w:rsidR="0091275A" w:rsidRPr="00861957">
              <w:rPr>
                <w:color w:val="000000" w:themeColor="dark1"/>
                <w:kern w:val="24"/>
              </w:rPr>
              <w:t>three</w:t>
            </w:r>
            <w:r w:rsidRPr="00861957">
              <w:rPr>
                <w:color w:val="000000" w:themeColor="dark1"/>
                <w:kern w:val="24"/>
              </w:rPr>
              <w:t xml:space="preserve"> years of age with access to appropriate early intervention services </w:t>
            </w:r>
            <w:r w:rsidR="00351963" w:rsidRPr="00861957">
              <w:rPr>
                <w:color w:val="000000" w:themeColor="dark1"/>
                <w:kern w:val="24"/>
              </w:rPr>
              <w:t>at the</w:t>
            </w:r>
            <w:r w:rsidR="0091275A" w:rsidRPr="00861957">
              <w:rPr>
                <w:color w:val="000000" w:themeColor="dark1"/>
                <w:kern w:val="24"/>
              </w:rPr>
              <w:t>ir</w:t>
            </w:r>
            <w:r w:rsidR="00351963" w:rsidRPr="00861957">
              <w:rPr>
                <w:color w:val="000000" w:themeColor="dark1"/>
                <w:kern w:val="24"/>
              </w:rPr>
              <w:t xml:space="preserve"> place of residence</w:t>
            </w:r>
          </w:p>
          <w:p w14:paraId="1846EE66" w14:textId="77777777" w:rsidR="000715E7" w:rsidRPr="00861957" w:rsidRDefault="000715E7" w:rsidP="00440ACD">
            <w:pPr>
              <w:rPr>
                <w:b/>
                <w:color w:val="000000" w:themeColor="text1"/>
                <w:kern w:val="24"/>
              </w:rPr>
            </w:pPr>
            <w:r w:rsidRPr="00861957">
              <w:rPr>
                <w:b/>
                <w:color w:val="000000" w:themeColor="dark1"/>
                <w:kern w:val="24"/>
              </w:rPr>
              <w:t>Baseline:</w:t>
            </w:r>
            <w:r w:rsidRPr="00861957">
              <w:rPr>
                <w:color w:val="000000" w:themeColor="dark1"/>
                <w:kern w:val="24"/>
              </w:rPr>
              <w:t xml:space="preserve"> 67.5%</w:t>
            </w:r>
            <w:r w:rsidRPr="00861957">
              <w:rPr>
                <w:color w:val="000000" w:themeColor="dark1"/>
                <w:kern w:val="24"/>
              </w:rPr>
              <w:br/>
            </w:r>
            <w:r w:rsidRPr="00861957">
              <w:rPr>
                <w:b/>
                <w:color w:val="000000" w:themeColor="dark1"/>
                <w:kern w:val="24"/>
              </w:rPr>
              <w:t>Target:</w:t>
            </w:r>
            <w:r w:rsidRPr="00861957">
              <w:rPr>
                <w:color w:val="000000" w:themeColor="dark1"/>
                <w:kern w:val="24"/>
              </w:rPr>
              <w:t xml:space="preserve"> 90%</w:t>
            </w:r>
          </w:p>
        </w:tc>
        <w:tc>
          <w:tcPr>
            <w:tcW w:w="1984" w:type="dxa"/>
            <w:shd w:val="clear" w:color="auto" w:fill="auto"/>
          </w:tcPr>
          <w:p w14:paraId="74347839" w14:textId="77777777" w:rsidR="000715E7" w:rsidRPr="00861957" w:rsidRDefault="000715E7" w:rsidP="000715E7">
            <w:pPr>
              <w:tabs>
                <w:tab w:val="left" w:pos="1080"/>
              </w:tabs>
              <w:rPr>
                <w:bCs/>
              </w:rPr>
            </w:pPr>
            <w:r w:rsidRPr="00861957">
              <w:rPr>
                <w:color w:val="000000" w:themeColor="dark1"/>
                <w:kern w:val="24"/>
              </w:rPr>
              <w:t>Ministry of Health</w:t>
            </w:r>
          </w:p>
        </w:tc>
        <w:tc>
          <w:tcPr>
            <w:tcW w:w="3686" w:type="dxa"/>
            <w:shd w:val="clear" w:color="auto" w:fill="auto"/>
          </w:tcPr>
          <w:p w14:paraId="1BF51EC1" w14:textId="3725C1CE" w:rsidR="000715E7" w:rsidRPr="00861957" w:rsidRDefault="000715E7" w:rsidP="00B230A7">
            <w:pPr>
              <w:rPr>
                <w:bCs/>
                <w:kern w:val="24"/>
              </w:rPr>
            </w:pPr>
            <w:r w:rsidRPr="00861957">
              <w:rPr>
                <w:b/>
                <w:kern w:val="24"/>
              </w:rPr>
              <w:t>Assumptions:</w:t>
            </w:r>
            <w:r w:rsidRPr="00861957">
              <w:rPr>
                <w:b/>
                <w:kern w:val="24"/>
              </w:rPr>
              <w:br/>
            </w:r>
            <w:r w:rsidRPr="00861957">
              <w:rPr>
                <w:kern w:val="24"/>
              </w:rPr>
              <w:t>Decision</w:t>
            </w:r>
            <w:r w:rsidR="00D93C56" w:rsidRPr="00861957">
              <w:rPr>
                <w:kern w:val="24"/>
              </w:rPr>
              <w:t>-</w:t>
            </w:r>
            <w:r w:rsidRPr="00861957">
              <w:rPr>
                <w:kern w:val="24"/>
              </w:rPr>
              <w:t xml:space="preserve">makers understand the significance of early identification and rehabilitation of children with disabilities </w:t>
            </w:r>
          </w:p>
          <w:p w14:paraId="25A98D89" w14:textId="5267312E" w:rsidR="000715E7" w:rsidRPr="00861957" w:rsidRDefault="000715E7" w:rsidP="00AA1F38">
            <w:r w:rsidRPr="00861957">
              <w:rPr>
                <w:b/>
                <w:kern w:val="24"/>
              </w:rPr>
              <w:t>Risks:</w:t>
            </w:r>
            <w:r w:rsidRPr="00861957">
              <w:rPr>
                <w:b/>
                <w:kern w:val="24"/>
              </w:rPr>
              <w:br/>
            </w:r>
            <w:r w:rsidRPr="00861957">
              <w:rPr>
                <w:kern w:val="24"/>
              </w:rPr>
              <w:t xml:space="preserve">Prevalence of </w:t>
            </w:r>
            <w:r w:rsidR="00AA1F38" w:rsidRPr="00861957">
              <w:rPr>
                <w:kern w:val="24"/>
              </w:rPr>
              <w:t xml:space="preserve">a </w:t>
            </w:r>
            <w:r w:rsidRPr="00861957">
              <w:rPr>
                <w:kern w:val="24"/>
              </w:rPr>
              <w:t>medical model of disability; Shortage of qualified staff</w:t>
            </w:r>
            <w:r w:rsidR="00AA1F38" w:rsidRPr="00861957">
              <w:rPr>
                <w:kern w:val="24"/>
              </w:rPr>
              <w:t>;</w:t>
            </w:r>
            <w:r w:rsidRPr="00861957">
              <w:rPr>
                <w:kern w:val="24"/>
              </w:rPr>
              <w:t xml:space="preserve"> </w:t>
            </w:r>
            <w:r w:rsidR="00AA1F38" w:rsidRPr="00861957">
              <w:rPr>
                <w:kern w:val="24"/>
              </w:rPr>
              <w:t>I</w:t>
            </w:r>
            <w:r w:rsidRPr="00861957">
              <w:rPr>
                <w:kern w:val="24"/>
              </w:rPr>
              <w:t>neffective inter</w:t>
            </w:r>
            <w:r w:rsidR="002976CA" w:rsidRPr="00861957">
              <w:rPr>
                <w:kern w:val="24"/>
              </w:rPr>
              <w:t>-</w:t>
            </w:r>
            <w:r w:rsidRPr="00861957">
              <w:rPr>
                <w:kern w:val="24"/>
              </w:rPr>
              <w:t>agency coordination</w:t>
            </w:r>
          </w:p>
        </w:tc>
        <w:tc>
          <w:tcPr>
            <w:tcW w:w="1984" w:type="dxa"/>
          </w:tcPr>
          <w:p w14:paraId="74A775D1" w14:textId="77777777" w:rsidR="000715E7" w:rsidRPr="00861957" w:rsidRDefault="000715E7" w:rsidP="000715E7">
            <w:pPr>
              <w:rPr>
                <w:color w:val="000000" w:themeColor="dark1"/>
                <w:kern w:val="24"/>
              </w:rPr>
            </w:pPr>
            <w:r w:rsidRPr="00861957">
              <w:rPr>
                <w:color w:val="000000" w:themeColor="dark1"/>
                <w:kern w:val="24"/>
              </w:rPr>
              <w:t>Ministry of Health, Ministry of Education, local governments and administrations, NGOs</w:t>
            </w:r>
          </w:p>
        </w:tc>
        <w:tc>
          <w:tcPr>
            <w:tcW w:w="1843" w:type="dxa"/>
          </w:tcPr>
          <w:p w14:paraId="575FC3D7" w14:textId="5BD683C2" w:rsidR="000715E7" w:rsidRPr="00861957" w:rsidRDefault="000715E7" w:rsidP="00624F0A">
            <w:pPr>
              <w:rPr>
                <w:b/>
                <w:color w:val="00B050"/>
              </w:rPr>
            </w:pPr>
            <w:r w:rsidRPr="00861957">
              <w:rPr>
                <w:b/>
                <w:color w:val="000000" w:themeColor="text1"/>
              </w:rPr>
              <w:t xml:space="preserve">UNICEF – </w:t>
            </w:r>
            <w:r w:rsidR="00624F0A" w:rsidRPr="00861957">
              <w:rPr>
                <w:b/>
                <w:color w:val="000000" w:themeColor="text1"/>
              </w:rPr>
              <w:t>$</w:t>
            </w:r>
            <w:r w:rsidRPr="00861957">
              <w:rPr>
                <w:b/>
                <w:color w:val="000000" w:themeColor="text1"/>
              </w:rPr>
              <w:t>350</w:t>
            </w:r>
            <w:r w:rsidR="00624F0A" w:rsidRPr="00861957">
              <w:rPr>
                <w:b/>
                <w:color w:val="000000" w:themeColor="text1"/>
              </w:rPr>
              <w:t>,</w:t>
            </w:r>
            <w:r w:rsidRPr="00861957">
              <w:rPr>
                <w:b/>
                <w:color w:val="000000" w:themeColor="text1"/>
              </w:rPr>
              <w:t xml:space="preserve">000; </w:t>
            </w:r>
            <w:r w:rsidR="00624F0A" w:rsidRPr="00861957">
              <w:rPr>
                <w:b/>
                <w:color w:val="000000" w:themeColor="text1"/>
              </w:rPr>
              <w:t>$</w:t>
            </w:r>
            <w:r w:rsidRPr="00861957">
              <w:rPr>
                <w:b/>
                <w:color w:val="000000" w:themeColor="text1"/>
              </w:rPr>
              <w:t>100</w:t>
            </w:r>
            <w:r w:rsidR="00624F0A" w:rsidRPr="00861957">
              <w:rPr>
                <w:b/>
                <w:color w:val="000000" w:themeColor="text1"/>
              </w:rPr>
              <w:t>,</w:t>
            </w:r>
            <w:r w:rsidRPr="00861957">
              <w:rPr>
                <w:b/>
                <w:color w:val="000000" w:themeColor="text1"/>
              </w:rPr>
              <w:t>000 (to be mobili</w:t>
            </w:r>
            <w:r w:rsidR="000F002C" w:rsidRPr="00861957">
              <w:rPr>
                <w:b/>
                <w:color w:val="000000" w:themeColor="text1"/>
              </w:rPr>
              <w:t>z</w:t>
            </w:r>
            <w:r w:rsidRPr="00861957">
              <w:rPr>
                <w:b/>
                <w:color w:val="000000" w:themeColor="text1"/>
              </w:rPr>
              <w:t>ed)</w:t>
            </w:r>
          </w:p>
        </w:tc>
      </w:tr>
      <w:tr w:rsidR="000715E7" w:rsidRPr="00861957" w14:paraId="7CF6D5BF" w14:textId="77777777" w:rsidTr="00FD4239">
        <w:trPr>
          <w:trHeight w:val="567"/>
        </w:trPr>
        <w:tc>
          <w:tcPr>
            <w:tcW w:w="2268" w:type="dxa"/>
            <w:vMerge/>
            <w:shd w:val="clear" w:color="auto" w:fill="auto"/>
          </w:tcPr>
          <w:p w14:paraId="79762CF5" w14:textId="77777777" w:rsidR="000715E7" w:rsidRPr="00861957" w:rsidRDefault="000715E7" w:rsidP="00440ACD">
            <w:pPr>
              <w:pStyle w:val="PlainText"/>
              <w:jc w:val="both"/>
              <w:rPr>
                <w:rFonts w:ascii="Times New Roman" w:hAnsi="Times New Roman" w:cs="Times New Roman"/>
                <w:b/>
                <w:sz w:val="24"/>
                <w:szCs w:val="24"/>
                <w:lang w:val="en-GB"/>
              </w:rPr>
            </w:pPr>
          </w:p>
        </w:tc>
        <w:tc>
          <w:tcPr>
            <w:tcW w:w="3686" w:type="dxa"/>
            <w:shd w:val="clear" w:color="auto" w:fill="auto"/>
          </w:tcPr>
          <w:p w14:paraId="45A7A3C5" w14:textId="77777777" w:rsidR="000715E7" w:rsidRPr="00861957" w:rsidRDefault="000715E7" w:rsidP="000715E7">
            <w:pPr>
              <w:rPr>
                <w:bCs/>
              </w:rPr>
            </w:pPr>
            <w:r w:rsidRPr="00861957">
              <w:rPr>
                <w:b/>
                <w:color w:val="000000" w:themeColor="dark1"/>
                <w:kern w:val="24"/>
              </w:rPr>
              <w:t>Indicator 4.3.8.</w:t>
            </w:r>
            <w:r w:rsidRPr="00861957">
              <w:rPr>
                <w:color w:val="000000" w:themeColor="dark1"/>
                <w:kern w:val="24"/>
              </w:rPr>
              <w:t xml:space="preserve"> </w:t>
            </w:r>
            <w:r w:rsidRPr="00861957">
              <w:rPr>
                <w:color w:val="000000" w:themeColor="dark1"/>
                <w:kern w:val="24"/>
              </w:rPr>
              <w:br/>
              <w:t xml:space="preserve">Ratio of children without parental support who have been placed in institutions to those placed in family care  </w:t>
            </w:r>
            <w:r w:rsidRPr="00861957">
              <w:rPr>
                <w:color w:val="000000" w:themeColor="dark1"/>
                <w:kern w:val="24"/>
              </w:rPr>
              <w:br/>
            </w:r>
            <w:r w:rsidRPr="00861957">
              <w:rPr>
                <w:b/>
                <w:color w:val="000000" w:themeColor="dark1"/>
                <w:kern w:val="24"/>
              </w:rPr>
              <w:t>Baseline:</w:t>
            </w:r>
            <w:r w:rsidRPr="00861957">
              <w:rPr>
                <w:color w:val="000000" w:themeColor="dark1"/>
                <w:kern w:val="24"/>
              </w:rPr>
              <w:t xml:space="preserve"> Proportion of orphans and children without parental support placed in family care 80% </w:t>
            </w:r>
            <w:r w:rsidRPr="00861957">
              <w:rPr>
                <w:color w:val="000000" w:themeColor="dark1"/>
                <w:kern w:val="24"/>
              </w:rPr>
              <w:lastRenderedPageBreak/>
              <w:t>(2015)</w:t>
            </w:r>
            <w:r w:rsidRPr="00861957">
              <w:rPr>
                <w:color w:val="000000" w:themeColor="dark1"/>
                <w:kern w:val="24"/>
              </w:rPr>
              <w:br/>
            </w:r>
            <w:r w:rsidRPr="00861957">
              <w:rPr>
                <w:b/>
                <w:color w:val="000000" w:themeColor="dark1"/>
                <w:kern w:val="24"/>
              </w:rPr>
              <w:t>Target:</w:t>
            </w:r>
            <w:r w:rsidRPr="00861957">
              <w:rPr>
                <w:color w:val="000000" w:themeColor="dark1"/>
                <w:kern w:val="24"/>
              </w:rPr>
              <w:t xml:space="preserve"> 85% (2020)</w:t>
            </w:r>
          </w:p>
        </w:tc>
        <w:tc>
          <w:tcPr>
            <w:tcW w:w="1984" w:type="dxa"/>
            <w:shd w:val="clear" w:color="auto" w:fill="auto"/>
          </w:tcPr>
          <w:p w14:paraId="4B42A4A4" w14:textId="77777777" w:rsidR="000715E7" w:rsidRPr="00861957" w:rsidRDefault="000715E7" w:rsidP="000715E7">
            <w:pPr>
              <w:tabs>
                <w:tab w:val="left" w:pos="1080"/>
              </w:tabs>
              <w:rPr>
                <w:bCs/>
              </w:rPr>
            </w:pPr>
            <w:r w:rsidRPr="00861957">
              <w:rPr>
                <w:color w:val="000000" w:themeColor="dark1"/>
                <w:kern w:val="24"/>
              </w:rPr>
              <w:lastRenderedPageBreak/>
              <w:t>Ministry of Education</w:t>
            </w:r>
          </w:p>
        </w:tc>
        <w:tc>
          <w:tcPr>
            <w:tcW w:w="3686" w:type="dxa"/>
            <w:shd w:val="clear" w:color="auto" w:fill="auto"/>
          </w:tcPr>
          <w:p w14:paraId="56B30CE1" w14:textId="4F897F58" w:rsidR="000715E7" w:rsidRPr="00861957" w:rsidRDefault="000715E7" w:rsidP="00B230A7">
            <w:pPr>
              <w:rPr>
                <w:bCs/>
                <w:kern w:val="24"/>
              </w:rPr>
            </w:pPr>
            <w:r w:rsidRPr="00861957">
              <w:rPr>
                <w:b/>
                <w:kern w:val="24"/>
              </w:rPr>
              <w:t>Assumptions</w:t>
            </w:r>
            <w:r w:rsidRPr="00861957">
              <w:rPr>
                <w:kern w:val="24"/>
              </w:rPr>
              <w:t>:</w:t>
            </w:r>
            <w:r w:rsidRPr="00861957">
              <w:rPr>
                <w:kern w:val="24"/>
              </w:rPr>
              <w:br/>
              <w:t>Belarus is implementing a strategy on de-institutionali</w:t>
            </w:r>
            <w:r w:rsidR="000F002C" w:rsidRPr="00861957">
              <w:rPr>
                <w:kern w:val="24"/>
              </w:rPr>
              <w:t>z</w:t>
            </w:r>
            <w:r w:rsidRPr="00861957">
              <w:rPr>
                <w:kern w:val="24"/>
              </w:rPr>
              <w:t>ing care for orphaned children</w:t>
            </w:r>
          </w:p>
          <w:p w14:paraId="2E0203C2" w14:textId="77777777" w:rsidR="000715E7" w:rsidRPr="00861957" w:rsidRDefault="000715E7" w:rsidP="00B230A7">
            <w:pPr>
              <w:rPr>
                <w:bCs/>
                <w:kern w:val="24"/>
              </w:rPr>
            </w:pPr>
            <w:r w:rsidRPr="00861957">
              <w:rPr>
                <w:b/>
                <w:kern w:val="24"/>
              </w:rPr>
              <w:t>Risks</w:t>
            </w:r>
            <w:r w:rsidRPr="00861957">
              <w:rPr>
                <w:kern w:val="24"/>
              </w:rPr>
              <w:t xml:space="preserve">: </w:t>
            </w:r>
            <w:r w:rsidRPr="00861957">
              <w:rPr>
                <w:kern w:val="24"/>
              </w:rPr>
              <w:br/>
              <w:t>Ineffective preventive work with vulnerable families increases the risk of child removal</w:t>
            </w:r>
          </w:p>
          <w:p w14:paraId="1E56F229" w14:textId="77777777" w:rsidR="000715E7" w:rsidRPr="00861957" w:rsidRDefault="000715E7" w:rsidP="000715E7"/>
        </w:tc>
        <w:tc>
          <w:tcPr>
            <w:tcW w:w="1984" w:type="dxa"/>
          </w:tcPr>
          <w:p w14:paraId="0894C9B8" w14:textId="77777777" w:rsidR="000715E7" w:rsidRPr="00861957" w:rsidRDefault="000715E7" w:rsidP="000715E7">
            <w:r w:rsidRPr="00861957">
              <w:rPr>
                <w:color w:val="000000" w:themeColor="dark1"/>
                <w:kern w:val="24"/>
              </w:rPr>
              <w:t>Ministry of Education, local governments and administrations, NGOs</w:t>
            </w:r>
          </w:p>
        </w:tc>
        <w:tc>
          <w:tcPr>
            <w:tcW w:w="1843" w:type="dxa"/>
          </w:tcPr>
          <w:p w14:paraId="4F0B3B82" w14:textId="68E732F3" w:rsidR="000715E7" w:rsidRPr="00861957" w:rsidRDefault="000715E7" w:rsidP="000715E7">
            <w:r w:rsidRPr="00861957">
              <w:rPr>
                <w:b/>
                <w:color w:val="000000" w:themeColor="text1"/>
              </w:rPr>
              <w:t xml:space="preserve">UNICEF – </w:t>
            </w:r>
            <w:r w:rsidR="00624F0A" w:rsidRPr="00861957">
              <w:rPr>
                <w:b/>
                <w:color w:val="000000" w:themeColor="text1"/>
              </w:rPr>
              <w:t>$</w:t>
            </w:r>
            <w:r w:rsidRPr="00861957">
              <w:rPr>
                <w:b/>
                <w:color w:val="000000" w:themeColor="text1"/>
              </w:rPr>
              <w:t>250</w:t>
            </w:r>
            <w:r w:rsidR="00624F0A" w:rsidRPr="00861957">
              <w:rPr>
                <w:b/>
                <w:color w:val="000000" w:themeColor="text1"/>
              </w:rPr>
              <w:t>,</w:t>
            </w:r>
            <w:r w:rsidRPr="00861957">
              <w:rPr>
                <w:b/>
                <w:color w:val="000000" w:themeColor="text1"/>
              </w:rPr>
              <w:t xml:space="preserve">000; </w:t>
            </w:r>
            <w:r w:rsidR="00624F0A" w:rsidRPr="00861957">
              <w:rPr>
                <w:b/>
                <w:color w:val="000000" w:themeColor="text1"/>
              </w:rPr>
              <w:t>$</w:t>
            </w:r>
            <w:r w:rsidRPr="00861957">
              <w:rPr>
                <w:b/>
                <w:color w:val="000000" w:themeColor="text1"/>
              </w:rPr>
              <w:t>800</w:t>
            </w:r>
            <w:r w:rsidR="00624F0A" w:rsidRPr="00861957">
              <w:rPr>
                <w:b/>
                <w:color w:val="000000" w:themeColor="text1"/>
              </w:rPr>
              <w:t>,</w:t>
            </w:r>
            <w:r w:rsidRPr="00861957">
              <w:rPr>
                <w:b/>
                <w:color w:val="000000" w:themeColor="text1"/>
              </w:rPr>
              <w:t>000 (</w:t>
            </w:r>
            <w:r w:rsidRPr="00861957">
              <w:rPr>
                <w:b/>
              </w:rPr>
              <w:t>to be mobili</w:t>
            </w:r>
            <w:r w:rsidR="000F002C" w:rsidRPr="00861957">
              <w:rPr>
                <w:b/>
              </w:rPr>
              <w:t>z</w:t>
            </w:r>
            <w:r w:rsidRPr="00861957">
              <w:rPr>
                <w:b/>
              </w:rPr>
              <w:t>ed</w:t>
            </w:r>
            <w:r w:rsidRPr="00861957">
              <w:rPr>
                <w:b/>
                <w:color w:val="000000" w:themeColor="text1"/>
              </w:rPr>
              <w:t>)</w:t>
            </w:r>
          </w:p>
        </w:tc>
      </w:tr>
      <w:tr w:rsidR="000715E7" w:rsidRPr="00861957" w14:paraId="086FC1A9" w14:textId="77777777" w:rsidTr="00FD4239">
        <w:trPr>
          <w:trHeight w:val="567"/>
        </w:trPr>
        <w:tc>
          <w:tcPr>
            <w:tcW w:w="2268" w:type="dxa"/>
            <w:vMerge/>
            <w:shd w:val="clear" w:color="auto" w:fill="auto"/>
          </w:tcPr>
          <w:p w14:paraId="2472F354" w14:textId="77777777" w:rsidR="000715E7" w:rsidRPr="00861957" w:rsidRDefault="000715E7" w:rsidP="00440ACD">
            <w:pPr>
              <w:pStyle w:val="PlainText"/>
              <w:jc w:val="both"/>
              <w:rPr>
                <w:rFonts w:ascii="Times New Roman" w:hAnsi="Times New Roman" w:cs="Times New Roman"/>
                <w:b/>
                <w:sz w:val="24"/>
                <w:szCs w:val="24"/>
                <w:lang w:val="en-GB"/>
              </w:rPr>
            </w:pPr>
          </w:p>
        </w:tc>
        <w:tc>
          <w:tcPr>
            <w:tcW w:w="3686" w:type="dxa"/>
            <w:shd w:val="clear" w:color="auto" w:fill="auto"/>
          </w:tcPr>
          <w:p w14:paraId="68EDA96A" w14:textId="2EC18445" w:rsidR="000715E7" w:rsidRPr="00861957" w:rsidRDefault="000715E7" w:rsidP="000715E7">
            <w:pPr>
              <w:rPr>
                <w:bCs/>
              </w:rPr>
            </w:pPr>
            <w:r w:rsidRPr="00861957">
              <w:rPr>
                <w:b/>
                <w:color w:val="000000" w:themeColor="dark1"/>
                <w:kern w:val="24"/>
              </w:rPr>
              <w:t>Indicator 4.3.9.</w:t>
            </w:r>
            <w:r w:rsidRPr="00861957">
              <w:rPr>
                <w:color w:val="000000" w:themeColor="dark1"/>
                <w:kern w:val="24"/>
              </w:rPr>
              <w:t xml:space="preserve">  </w:t>
            </w:r>
            <w:r w:rsidRPr="00861957">
              <w:rPr>
                <w:color w:val="000000" w:themeColor="dark1"/>
                <w:kern w:val="24"/>
              </w:rPr>
              <w:br/>
              <w:t xml:space="preserve">Proportion of alternative penalties </w:t>
            </w:r>
            <w:r w:rsidR="0091275A" w:rsidRPr="00861957">
              <w:rPr>
                <w:color w:val="000000" w:themeColor="dark1"/>
                <w:kern w:val="24"/>
              </w:rPr>
              <w:t>i</w:t>
            </w:r>
            <w:r w:rsidRPr="00861957">
              <w:rPr>
                <w:color w:val="000000" w:themeColor="dark1"/>
                <w:kern w:val="24"/>
              </w:rPr>
              <w:t>n juvenile offender cases</w:t>
            </w:r>
            <w:r w:rsidRPr="00861957">
              <w:rPr>
                <w:color w:val="000000" w:themeColor="dark1"/>
                <w:kern w:val="24"/>
              </w:rPr>
              <w:br/>
            </w:r>
            <w:r w:rsidRPr="00861957">
              <w:rPr>
                <w:b/>
                <w:color w:val="000000" w:themeColor="dark1"/>
                <w:kern w:val="24"/>
              </w:rPr>
              <w:t>Baseline:</w:t>
            </w:r>
            <w:r w:rsidRPr="00861957">
              <w:rPr>
                <w:color w:val="000000" w:themeColor="dark1"/>
                <w:kern w:val="24"/>
              </w:rPr>
              <w:t xml:space="preserve"> 82</w:t>
            </w:r>
            <w:r w:rsidR="0091275A" w:rsidRPr="00861957">
              <w:rPr>
                <w:color w:val="000000" w:themeColor="dark1"/>
                <w:kern w:val="24"/>
              </w:rPr>
              <w:t>.</w:t>
            </w:r>
            <w:r w:rsidRPr="00861957">
              <w:rPr>
                <w:color w:val="000000" w:themeColor="dark1"/>
                <w:kern w:val="24"/>
              </w:rPr>
              <w:t>2</w:t>
            </w:r>
            <w:r w:rsidRPr="00861957">
              <w:rPr>
                <w:kern w:val="24"/>
              </w:rPr>
              <w:t>% (2012)</w:t>
            </w:r>
            <w:r w:rsidRPr="00861957">
              <w:rPr>
                <w:kern w:val="24"/>
              </w:rPr>
              <w:br/>
            </w:r>
            <w:r w:rsidRPr="00861957">
              <w:rPr>
                <w:b/>
                <w:color w:val="000000" w:themeColor="dark1"/>
                <w:kern w:val="24"/>
              </w:rPr>
              <w:t>Target:</w:t>
            </w:r>
            <w:r w:rsidRPr="00861957">
              <w:rPr>
                <w:color w:val="000000" w:themeColor="dark1"/>
                <w:kern w:val="24"/>
              </w:rPr>
              <w:t xml:space="preserve"> 90% (2020)</w:t>
            </w:r>
          </w:p>
        </w:tc>
        <w:tc>
          <w:tcPr>
            <w:tcW w:w="1984" w:type="dxa"/>
            <w:shd w:val="clear" w:color="auto" w:fill="auto"/>
          </w:tcPr>
          <w:p w14:paraId="008947CA" w14:textId="77777777" w:rsidR="000715E7" w:rsidRPr="00861957" w:rsidRDefault="000715E7" w:rsidP="000715E7">
            <w:pPr>
              <w:tabs>
                <w:tab w:val="left" w:pos="1080"/>
              </w:tabs>
              <w:rPr>
                <w:bCs/>
              </w:rPr>
            </w:pPr>
            <w:r w:rsidRPr="00861957">
              <w:rPr>
                <w:color w:val="000000" w:themeColor="dark1"/>
                <w:kern w:val="24"/>
              </w:rPr>
              <w:t>Supreme Court</w:t>
            </w:r>
          </w:p>
        </w:tc>
        <w:tc>
          <w:tcPr>
            <w:tcW w:w="3686" w:type="dxa"/>
            <w:shd w:val="clear" w:color="auto" w:fill="auto"/>
          </w:tcPr>
          <w:p w14:paraId="2D93C2A9" w14:textId="67F815E6" w:rsidR="000715E7" w:rsidRPr="00861957" w:rsidRDefault="000715E7" w:rsidP="00CB7407">
            <w:r w:rsidRPr="00861957">
              <w:rPr>
                <w:b/>
                <w:kern w:val="24"/>
              </w:rPr>
              <w:t>Assumptions:</w:t>
            </w:r>
            <w:r w:rsidRPr="00861957">
              <w:rPr>
                <w:b/>
                <w:kern w:val="24"/>
              </w:rPr>
              <w:br/>
            </w:r>
            <w:r w:rsidRPr="00861957">
              <w:rPr>
                <w:kern w:val="24"/>
              </w:rPr>
              <w:t>Speciali</w:t>
            </w:r>
            <w:r w:rsidR="000F002C" w:rsidRPr="00861957">
              <w:rPr>
                <w:kern w:val="24"/>
              </w:rPr>
              <w:t>z</w:t>
            </w:r>
            <w:r w:rsidRPr="00861957">
              <w:rPr>
                <w:kern w:val="24"/>
              </w:rPr>
              <w:t xml:space="preserve">ation of the justice system with respect to juvenile offenders </w:t>
            </w:r>
            <w:r w:rsidR="00AA1F38" w:rsidRPr="00861957">
              <w:rPr>
                <w:kern w:val="24"/>
              </w:rPr>
              <w:t>is ongoing</w:t>
            </w:r>
            <w:r w:rsidRPr="00861957">
              <w:rPr>
                <w:kern w:val="24"/>
              </w:rPr>
              <w:br/>
            </w:r>
            <w:r w:rsidRPr="00861957">
              <w:rPr>
                <w:b/>
                <w:kern w:val="24"/>
              </w:rPr>
              <w:t xml:space="preserve">Risks: </w:t>
            </w:r>
            <w:r w:rsidRPr="00861957">
              <w:rPr>
                <w:b/>
                <w:kern w:val="24"/>
              </w:rPr>
              <w:br/>
            </w:r>
            <w:r w:rsidR="00AA1F38" w:rsidRPr="00861957">
              <w:rPr>
                <w:kern w:val="24"/>
              </w:rPr>
              <w:t>The l</w:t>
            </w:r>
            <w:r w:rsidRPr="00861957">
              <w:rPr>
                <w:kern w:val="24"/>
              </w:rPr>
              <w:t>egal framework is not fully consistent with international standards regarding juveniles; Financial shortages may slow down the institutionali</w:t>
            </w:r>
            <w:r w:rsidR="000F002C" w:rsidRPr="00861957">
              <w:rPr>
                <w:kern w:val="24"/>
              </w:rPr>
              <w:t>z</w:t>
            </w:r>
            <w:r w:rsidRPr="00861957">
              <w:rPr>
                <w:kern w:val="24"/>
              </w:rPr>
              <w:t>ation of the probation and mediation systems</w:t>
            </w:r>
          </w:p>
        </w:tc>
        <w:tc>
          <w:tcPr>
            <w:tcW w:w="1984" w:type="dxa"/>
          </w:tcPr>
          <w:p w14:paraId="189FA2AB" w14:textId="77777777" w:rsidR="000715E7" w:rsidRPr="00861957" w:rsidRDefault="000715E7" w:rsidP="00B230A7">
            <w:pPr>
              <w:rPr>
                <w:color w:val="000000" w:themeColor="dark1"/>
                <w:kern w:val="24"/>
              </w:rPr>
            </w:pPr>
            <w:r w:rsidRPr="00861957">
              <w:rPr>
                <w:color w:val="000000" w:themeColor="dark1"/>
                <w:kern w:val="24"/>
              </w:rPr>
              <w:t xml:space="preserve">Supreme Court, Commission for Juvenile Affairs under the Council of Ministers </w:t>
            </w:r>
          </w:p>
          <w:p w14:paraId="3F302DDC" w14:textId="336D06A0" w:rsidR="000715E7" w:rsidRPr="00861957" w:rsidRDefault="000715E7" w:rsidP="006A1E21">
            <w:pPr>
              <w:rPr>
                <w:color w:val="000000" w:themeColor="dark1"/>
                <w:kern w:val="24"/>
              </w:rPr>
            </w:pPr>
            <w:r w:rsidRPr="00861957">
              <w:rPr>
                <w:color w:val="000000" w:themeColor="dark1"/>
                <w:kern w:val="24"/>
              </w:rPr>
              <w:t>Ministry of</w:t>
            </w:r>
            <w:r w:rsidR="006A1E21" w:rsidRPr="00861957">
              <w:rPr>
                <w:color w:val="000000" w:themeColor="dark1"/>
                <w:kern w:val="24"/>
              </w:rPr>
              <w:t xml:space="preserve"> </w:t>
            </w:r>
            <w:r w:rsidR="006A1E21" w:rsidRPr="00861957">
              <w:t>Internal Affairs</w:t>
            </w:r>
            <w:r w:rsidRPr="00861957">
              <w:rPr>
                <w:color w:val="000000" w:themeColor="dark1"/>
                <w:kern w:val="24"/>
              </w:rPr>
              <w:t>, Ministry of Education, local governments and administrations, NGOs</w:t>
            </w:r>
          </w:p>
        </w:tc>
        <w:tc>
          <w:tcPr>
            <w:tcW w:w="1843" w:type="dxa"/>
          </w:tcPr>
          <w:p w14:paraId="365C27CD" w14:textId="78A3FB71" w:rsidR="000715E7" w:rsidRPr="00861957" w:rsidRDefault="000715E7" w:rsidP="000715E7">
            <w:pPr>
              <w:rPr>
                <w:b/>
                <w:color w:val="00B050"/>
              </w:rPr>
            </w:pPr>
            <w:r w:rsidRPr="00861957">
              <w:rPr>
                <w:b/>
                <w:color w:val="000000" w:themeColor="text1"/>
              </w:rPr>
              <w:t xml:space="preserve">UNICEF – </w:t>
            </w:r>
            <w:r w:rsidR="00624F0A" w:rsidRPr="00861957">
              <w:rPr>
                <w:b/>
                <w:color w:val="000000" w:themeColor="text1"/>
              </w:rPr>
              <w:t>$</w:t>
            </w:r>
            <w:r w:rsidRPr="00861957">
              <w:rPr>
                <w:b/>
                <w:color w:val="000000" w:themeColor="text1"/>
              </w:rPr>
              <w:t>300</w:t>
            </w:r>
            <w:r w:rsidR="00624F0A" w:rsidRPr="00861957">
              <w:rPr>
                <w:b/>
                <w:color w:val="000000" w:themeColor="text1"/>
              </w:rPr>
              <w:t>,</w:t>
            </w:r>
            <w:r w:rsidRPr="00861957">
              <w:rPr>
                <w:b/>
                <w:color w:val="000000" w:themeColor="text1"/>
              </w:rPr>
              <w:t xml:space="preserve">000; </w:t>
            </w:r>
            <w:r w:rsidR="00624F0A" w:rsidRPr="00861957">
              <w:rPr>
                <w:b/>
                <w:color w:val="000000" w:themeColor="text1"/>
              </w:rPr>
              <w:t>$</w:t>
            </w:r>
            <w:r w:rsidRPr="00861957">
              <w:rPr>
                <w:b/>
                <w:color w:val="000000" w:themeColor="text1"/>
              </w:rPr>
              <w:t>1</w:t>
            </w:r>
            <w:r w:rsidR="00624F0A" w:rsidRPr="00861957">
              <w:rPr>
                <w:b/>
                <w:color w:val="000000" w:themeColor="text1"/>
              </w:rPr>
              <w:t>,</w:t>
            </w:r>
            <w:r w:rsidRPr="00861957">
              <w:rPr>
                <w:b/>
                <w:color w:val="000000" w:themeColor="text1"/>
              </w:rPr>
              <w:t>000</w:t>
            </w:r>
            <w:r w:rsidR="00624F0A" w:rsidRPr="00861957">
              <w:rPr>
                <w:b/>
                <w:color w:val="000000" w:themeColor="text1"/>
              </w:rPr>
              <w:t>,</w:t>
            </w:r>
            <w:r w:rsidRPr="00861957">
              <w:rPr>
                <w:b/>
                <w:color w:val="000000" w:themeColor="text1"/>
              </w:rPr>
              <w:t>000 (</w:t>
            </w:r>
            <w:r w:rsidRPr="00861957">
              <w:rPr>
                <w:b/>
              </w:rPr>
              <w:t>to be mobili</w:t>
            </w:r>
            <w:r w:rsidR="000F002C" w:rsidRPr="00861957">
              <w:rPr>
                <w:b/>
              </w:rPr>
              <w:t>z</w:t>
            </w:r>
            <w:r w:rsidRPr="00861957">
              <w:rPr>
                <w:b/>
              </w:rPr>
              <w:t>ed</w:t>
            </w:r>
            <w:r w:rsidRPr="00861957">
              <w:rPr>
                <w:b/>
                <w:color w:val="000000" w:themeColor="text1"/>
              </w:rPr>
              <w:t>)</w:t>
            </w:r>
          </w:p>
        </w:tc>
      </w:tr>
      <w:tr w:rsidR="000715E7" w:rsidRPr="00861957" w14:paraId="5C4D18A9" w14:textId="77777777" w:rsidTr="00FD4239">
        <w:trPr>
          <w:trHeight w:val="567"/>
        </w:trPr>
        <w:tc>
          <w:tcPr>
            <w:tcW w:w="2268" w:type="dxa"/>
            <w:vMerge/>
            <w:shd w:val="clear" w:color="auto" w:fill="auto"/>
          </w:tcPr>
          <w:p w14:paraId="4265303C" w14:textId="77777777" w:rsidR="000715E7" w:rsidRPr="00861957" w:rsidRDefault="000715E7" w:rsidP="00B230A7">
            <w:pPr>
              <w:rPr>
                <w:b/>
                <w:bCs/>
              </w:rPr>
            </w:pPr>
          </w:p>
        </w:tc>
        <w:tc>
          <w:tcPr>
            <w:tcW w:w="3686" w:type="dxa"/>
            <w:shd w:val="clear" w:color="auto" w:fill="auto"/>
          </w:tcPr>
          <w:p w14:paraId="3EF83E58" w14:textId="45F21DA7" w:rsidR="000715E7" w:rsidRPr="00861957" w:rsidRDefault="000715E7" w:rsidP="00B230A7">
            <w:pPr>
              <w:rPr>
                <w:color w:val="000000" w:themeColor="dark1"/>
                <w:kern w:val="24"/>
              </w:rPr>
            </w:pPr>
            <w:r w:rsidRPr="00861957">
              <w:rPr>
                <w:b/>
                <w:color w:val="000000" w:themeColor="dark1"/>
                <w:kern w:val="24"/>
              </w:rPr>
              <w:t>Indicator 4.3.10.</w:t>
            </w:r>
            <w:r w:rsidRPr="00861957">
              <w:rPr>
                <w:color w:val="000000" w:themeColor="dark1"/>
                <w:kern w:val="24"/>
              </w:rPr>
              <w:t xml:space="preserve"> </w:t>
            </w:r>
            <w:r w:rsidR="0091275A" w:rsidRPr="00861957">
              <w:rPr>
                <w:color w:val="000000" w:themeColor="dark1"/>
                <w:kern w:val="24"/>
              </w:rPr>
              <w:t>Extent to which  a u</w:t>
            </w:r>
            <w:r w:rsidRPr="00861957">
              <w:rPr>
                <w:color w:val="000000" w:themeColor="dark1"/>
                <w:kern w:val="24"/>
              </w:rPr>
              <w:t>niform state programme is developed and implemented to teach the state languages of Belarus to migrants, including refugees and other persons of concern to UNHCR, and to test and certify the knowledge of such languages</w:t>
            </w:r>
          </w:p>
          <w:p w14:paraId="547C99EC" w14:textId="74687664" w:rsidR="000715E7" w:rsidRPr="00861957" w:rsidRDefault="000715E7" w:rsidP="0091275A">
            <w:pPr>
              <w:rPr>
                <w:color w:val="000000" w:themeColor="dark1"/>
                <w:kern w:val="24"/>
              </w:rPr>
            </w:pPr>
            <w:r w:rsidRPr="00861957">
              <w:rPr>
                <w:b/>
                <w:color w:val="000000" w:themeColor="dark1"/>
                <w:kern w:val="24"/>
              </w:rPr>
              <w:t xml:space="preserve">Baseline: </w:t>
            </w:r>
            <w:r w:rsidRPr="00861957">
              <w:rPr>
                <w:b/>
                <w:color w:val="000000" w:themeColor="dark1"/>
                <w:kern w:val="24"/>
              </w:rPr>
              <w:br/>
            </w:r>
            <w:r w:rsidRPr="00861957">
              <w:rPr>
                <w:color w:val="000000" w:themeColor="dark1"/>
                <w:kern w:val="24"/>
              </w:rPr>
              <w:t xml:space="preserve">Cooperation with educational institutions </w:t>
            </w:r>
            <w:r w:rsidR="0091275A" w:rsidRPr="00861957">
              <w:rPr>
                <w:color w:val="000000" w:themeColor="dark1"/>
                <w:kern w:val="24"/>
              </w:rPr>
              <w:t xml:space="preserve">in this area </w:t>
            </w:r>
            <w:r w:rsidRPr="00861957">
              <w:rPr>
                <w:color w:val="000000" w:themeColor="dark1"/>
                <w:kern w:val="24"/>
              </w:rPr>
              <w:t>is mostly sporadic</w:t>
            </w:r>
            <w:r w:rsidRPr="00861957">
              <w:rPr>
                <w:color w:val="000000" w:themeColor="dark1"/>
                <w:kern w:val="24"/>
              </w:rPr>
              <w:br/>
            </w:r>
            <w:r w:rsidRPr="00861957">
              <w:rPr>
                <w:b/>
                <w:color w:val="000000" w:themeColor="dark1"/>
                <w:kern w:val="24"/>
              </w:rPr>
              <w:t>Target:</w:t>
            </w:r>
            <w:r w:rsidRPr="00861957">
              <w:rPr>
                <w:color w:val="000000" w:themeColor="dark1"/>
                <w:kern w:val="24"/>
              </w:rPr>
              <w:t xml:space="preserve"> </w:t>
            </w:r>
            <w:r w:rsidRPr="00861957">
              <w:rPr>
                <w:color w:val="000000" w:themeColor="dark1"/>
                <w:kern w:val="24"/>
              </w:rPr>
              <w:br/>
              <w:t>A uniform language training, testing and certification programme is operational throughout the country; the number of people certified their knowledge of languages through the system.</w:t>
            </w:r>
          </w:p>
        </w:tc>
        <w:tc>
          <w:tcPr>
            <w:tcW w:w="1984" w:type="dxa"/>
            <w:shd w:val="clear" w:color="auto" w:fill="auto"/>
          </w:tcPr>
          <w:p w14:paraId="4B29D869" w14:textId="77777777" w:rsidR="000715E7" w:rsidRPr="00861957" w:rsidRDefault="000715E7" w:rsidP="00B230A7">
            <w:pPr>
              <w:tabs>
                <w:tab w:val="left" w:pos="1080"/>
              </w:tabs>
              <w:rPr>
                <w:bCs/>
              </w:rPr>
            </w:pPr>
            <w:r w:rsidRPr="00861957">
              <w:rPr>
                <w:color w:val="000000" w:themeColor="dark1"/>
                <w:kern w:val="24"/>
              </w:rPr>
              <w:t>Ministry of Education</w:t>
            </w:r>
          </w:p>
        </w:tc>
        <w:tc>
          <w:tcPr>
            <w:tcW w:w="3686" w:type="dxa"/>
            <w:shd w:val="clear" w:color="auto" w:fill="auto"/>
          </w:tcPr>
          <w:p w14:paraId="1F6020A5" w14:textId="6692DBA7" w:rsidR="000715E7" w:rsidRPr="00861957" w:rsidRDefault="000715E7" w:rsidP="00B230A7">
            <w:pPr>
              <w:rPr>
                <w:b/>
                <w:bCs/>
                <w:kern w:val="24"/>
              </w:rPr>
            </w:pPr>
            <w:r w:rsidRPr="00861957">
              <w:rPr>
                <w:b/>
                <w:kern w:val="24"/>
              </w:rPr>
              <w:t>Assumptions:</w:t>
            </w:r>
            <w:r w:rsidRPr="00861957">
              <w:rPr>
                <w:b/>
                <w:kern w:val="24"/>
              </w:rPr>
              <w:br/>
            </w:r>
            <w:r w:rsidRPr="00861957">
              <w:rPr>
                <w:kern w:val="24"/>
              </w:rPr>
              <w:t>Decision</w:t>
            </w:r>
            <w:r w:rsidR="00D93C56" w:rsidRPr="00861957">
              <w:rPr>
                <w:kern w:val="24"/>
              </w:rPr>
              <w:t>-</w:t>
            </w:r>
            <w:r w:rsidRPr="00861957">
              <w:rPr>
                <w:kern w:val="24"/>
              </w:rPr>
              <w:t>makers understand the importance of social integration for migrants, including refugees and other persons of concern to UNHCR;</w:t>
            </w:r>
          </w:p>
          <w:p w14:paraId="45D10E04" w14:textId="2B018324" w:rsidR="000715E7" w:rsidRPr="00861957" w:rsidRDefault="000715E7" w:rsidP="00B230A7">
            <w:pPr>
              <w:rPr>
                <w:color w:val="000000"/>
              </w:rPr>
            </w:pPr>
            <w:r w:rsidRPr="00861957">
              <w:rPr>
                <w:color w:val="000000"/>
              </w:rPr>
              <w:t>The general public have a tolerant attitude to migrants, including refugees and other persons of concern to UNHCR</w:t>
            </w:r>
          </w:p>
          <w:p w14:paraId="00139283" w14:textId="77777777" w:rsidR="000715E7" w:rsidRPr="00861957" w:rsidRDefault="000715E7" w:rsidP="00B230A7">
            <w:r w:rsidRPr="00861957">
              <w:rPr>
                <w:b/>
                <w:kern w:val="24"/>
              </w:rPr>
              <w:t xml:space="preserve">Risks: </w:t>
            </w:r>
            <w:r w:rsidRPr="00861957">
              <w:rPr>
                <w:b/>
                <w:kern w:val="24"/>
              </w:rPr>
              <w:br/>
            </w:r>
            <w:r w:rsidRPr="00861957">
              <w:rPr>
                <w:kern w:val="24"/>
              </w:rPr>
              <w:t>Financial shortages may slow implementation</w:t>
            </w:r>
            <w:r w:rsidRPr="00861957">
              <w:rPr>
                <w:bCs/>
                <w:kern w:val="24"/>
              </w:rPr>
              <w:t xml:space="preserve"> </w:t>
            </w:r>
            <w:r w:rsidRPr="00861957">
              <w:rPr>
                <w:color w:val="000000" w:themeColor="dark1"/>
                <w:kern w:val="24"/>
              </w:rPr>
              <w:t>of the uniform language training system</w:t>
            </w:r>
          </w:p>
        </w:tc>
        <w:tc>
          <w:tcPr>
            <w:tcW w:w="1984" w:type="dxa"/>
          </w:tcPr>
          <w:p w14:paraId="09E86404" w14:textId="77777777" w:rsidR="000715E7" w:rsidRPr="00861957" w:rsidRDefault="000715E7" w:rsidP="00B230A7">
            <w:r w:rsidRPr="00861957">
              <w:rPr>
                <w:color w:val="000000" w:themeColor="dark1"/>
                <w:kern w:val="24"/>
              </w:rPr>
              <w:t>Ministry of Education, Belarusian State University and other state universities, NGOs</w:t>
            </w:r>
          </w:p>
        </w:tc>
        <w:tc>
          <w:tcPr>
            <w:tcW w:w="1843" w:type="dxa"/>
          </w:tcPr>
          <w:p w14:paraId="33519851" w14:textId="390E8ED0" w:rsidR="000715E7" w:rsidRPr="00861957" w:rsidRDefault="000715E7" w:rsidP="00B230A7">
            <w:pPr>
              <w:rPr>
                <w:b/>
                <w:color w:val="000000" w:themeColor="text1"/>
              </w:rPr>
            </w:pPr>
            <w:r w:rsidRPr="00861957">
              <w:rPr>
                <w:b/>
                <w:color w:val="000000" w:themeColor="text1"/>
              </w:rPr>
              <w:t xml:space="preserve">UNHCR – </w:t>
            </w:r>
            <w:r w:rsidR="00624F0A" w:rsidRPr="00861957">
              <w:rPr>
                <w:b/>
                <w:color w:val="000000" w:themeColor="text1"/>
              </w:rPr>
              <w:t>$</w:t>
            </w:r>
            <w:r w:rsidRPr="00861957">
              <w:rPr>
                <w:b/>
                <w:color w:val="000000" w:themeColor="text1"/>
              </w:rPr>
              <w:t>20,000</w:t>
            </w:r>
          </w:p>
        </w:tc>
      </w:tr>
      <w:tr w:rsidR="000715E7" w:rsidRPr="00861957" w14:paraId="7E93FB98" w14:textId="77777777" w:rsidTr="000715E7">
        <w:trPr>
          <w:trHeight w:val="567"/>
        </w:trPr>
        <w:tc>
          <w:tcPr>
            <w:tcW w:w="2268" w:type="dxa"/>
            <w:vMerge/>
            <w:shd w:val="clear" w:color="auto" w:fill="auto"/>
          </w:tcPr>
          <w:p w14:paraId="14B7ECC4" w14:textId="77777777" w:rsidR="000715E7" w:rsidRPr="00861957" w:rsidRDefault="000715E7" w:rsidP="00B230A7">
            <w:pPr>
              <w:rPr>
                <w:b/>
                <w:bCs/>
              </w:rPr>
            </w:pPr>
          </w:p>
        </w:tc>
        <w:tc>
          <w:tcPr>
            <w:tcW w:w="3686" w:type="dxa"/>
            <w:shd w:val="clear" w:color="auto" w:fill="auto"/>
          </w:tcPr>
          <w:p w14:paraId="6F02E382" w14:textId="7410BE03" w:rsidR="000715E7" w:rsidRPr="00861957" w:rsidRDefault="000715E7" w:rsidP="00B230A7">
            <w:pPr>
              <w:rPr>
                <w:color w:val="000000" w:themeColor="dark1"/>
                <w:kern w:val="24"/>
              </w:rPr>
            </w:pPr>
            <w:r w:rsidRPr="00861957">
              <w:rPr>
                <w:b/>
                <w:color w:val="000000" w:themeColor="dark1"/>
                <w:kern w:val="24"/>
              </w:rPr>
              <w:t xml:space="preserve">Indicators 4.3.11. </w:t>
            </w:r>
            <w:r w:rsidRPr="00861957">
              <w:rPr>
                <w:b/>
                <w:color w:val="000000" w:themeColor="dark1"/>
                <w:kern w:val="24"/>
              </w:rPr>
              <w:br/>
            </w:r>
            <w:r w:rsidRPr="00861957">
              <w:rPr>
                <w:color w:val="000000" w:themeColor="dark1"/>
                <w:kern w:val="24"/>
              </w:rPr>
              <w:t>Improvement of national legislation in the field of combatting human trafficking in line with the international conventions and protocols</w:t>
            </w:r>
          </w:p>
          <w:p w14:paraId="5CDED6EE" w14:textId="2C920E57" w:rsidR="000715E7" w:rsidRPr="00861957" w:rsidRDefault="000715E7" w:rsidP="0091275A">
            <w:pPr>
              <w:rPr>
                <w:bCs/>
                <w:strike/>
              </w:rPr>
            </w:pPr>
            <w:r w:rsidRPr="00861957">
              <w:rPr>
                <w:b/>
                <w:color w:val="000000" w:themeColor="dark1"/>
                <w:kern w:val="24"/>
              </w:rPr>
              <w:t xml:space="preserve">Baseline: </w:t>
            </w:r>
            <w:r w:rsidR="0091275A" w:rsidRPr="00861957">
              <w:rPr>
                <w:color w:val="000000" w:themeColor="dark1"/>
                <w:kern w:val="24"/>
              </w:rPr>
              <w:t xml:space="preserve">A </w:t>
            </w:r>
            <w:r w:rsidRPr="00861957">
              <w:rPr>
                <w:color w:val="000000" w:themeColor="dark1"/>
                <w:kern w:val="24"/>
              </w:rPr>
              <w:t>formalized national redirecting mechanism</w:t>
            </w:r>
            <w:r w:rsidR="0091275A" w:rsidRPr="00861957">
              <w:rPr>
                <w:color w:val="000000" w:themeColor="dark1"/>
                <w:kern w:val="24"/>
              </w:rPr>
              <w:t xml:space="preserve"> is non-existent</w:t>
            </w:r>
            <w:r w:rsidRPr="00861957">
              <w:rPr>
                <w:color w:val="000000" w:themeColor="dark1"/>
                <w:kern w:val="24"/>
              </w:rPr>
              <w:t>; relevant redirecting actions are sporadic and are not supported by relevant legislation</w:t>
            </w:r>
            <w:r w:rsidRPr="00861957">
              <w:rPr>
                <w:color w:val="000000" w:themeColor="dark1"/>
                <w:kern w:val="24"/>
              </w:rPr>
              <w:br/>
            </w:r>
            <w:r w:rsidRPr="00861957">
              <w:rPr>
                <w:b/>
                <w:color w:val="000000" w:themeColor="dark1"/>
                <w:kern w:val="24"/>
              </w:rPr>
              <w:t xml:space="preserve">Target: </w:t>
            </w:r>
            <w:r w:rsidRPr="00861957">
              <w:rPr>
                <w:color w:val="000000" w:themeColor="dark1"/>
                <w:kern w:val="24"/>
              </w:rPr>
              <w:t xml:space="preserve">relevant national legislation </w:t>
            </w:r>
            <w:r w:rsidR="0091275A" w:rsidRPr="00861957">
              <w:rPr>
                <w:color w:val="000000" w:themeColor="dark1"/>
                <w:kern w:val="24"/>
              </w:rPr>
              <w:t xml:space="preserve">has been </w:t>
            </w:r>
            <w:r w:rsidRPr="00861957">
              <w:rPr>
                <w:color w:val="000000" w:themeColor="dark1"/>
                <w:kern w:val="24"/>
              </w:rPr>
              <w:t>improved; the national redirecting mechanism is implemented and functions effectively</w:t>
            </w:r>
          </w:p>
        </w:tc>
        <w:tc>
          <w:tcPr>
            <w:tcW w:w="1984" w:type="dxa"/>
            <w:shd w:val="clear" w:color="auto" w:fill="auto"/>
          </w:tcPr>
          <w:p w14:paraId="6BE84718" w14:textId="7A3CF060" w:rsidR="000715E7" w:rsidRPr="00861957" w:rsidRDefault="000715E7" w:rsidP="006A1E21">
            <w:r w:rsidRPr="00861957">
              <w:rPr>
                <w:color w:val="000000" w:themeColor="dark1"/>
                <w:kern w:val="24"/>
              </w:rPr>
              <w:t xml:space="preserve">Statistics of IOM and the Ministry </w:t>
            </w:r>
            <w:r w:rsidR="006A1E21" w:rsidRPr="00861957">
              <w:rPr>
                <w:color w:val="000000" w:themeColor="dark1"/>
                <w:kern w:val="24"/>
              </w:rPr>
              <w:t xml:space="preserve">of Internal Affairs </w:t>
            </w:r>
            <w:r w:rsidRPr="00861957">
              <w:rPr>
                <w:color w:val="000000" w:themeColor="dark1"/>
                <w:kern w:val="24"/>
              </w:rPr>
              <w:t>on the number of identified victims of human trafficking, including those that received necessary assistance</w:t>
            </w:r>
          </w:p>
        </w:tc>
        <w:tc>
          <w:tcPr>
            <w:tcW w:w="3686" w:type="dxa"/>
            <w:shd w:val="clear" w:color="auto" w:fill="auto"/>
          </w:tcPr>
          <w:p w14:paraId="19368B3D" w14:textId="0AA384B1" w:rsidR="000715E7" w:rsidRDefault="000715E7" w:rsidP="00B230A7">
            <w:pPr>
              <w:rPr>
                <w:bCs/>
                <w:kern w:val="24"/>
              </w:rPr>
            </w:pPr>
            <w:r w:rsidRPr="00861957">
              <w:rPr>
                <w:b/>
                <w:bCs/>
                <w:kern w:val="24"/>
              </w:rPr>
              <w:t xml:space="preserve">Assumptions: </w:t>
            </w:r>
            <w:r w:rsidRPr="00861957">
              <w:rPr>
                <w:b/>
                <w:bCs/>
                <w:kern w:val="24"/>
              </w:rPr>
              <w:br/>
            </w:r>
            <w:r w:rsidRPr="00861957">
              <w:rPr>
                <w:bCs/>
                <w:kern w:val="24"/>
              </w:rPr>
              <w:t>The Government and relevant state bodies understand the importance of implement</w:t>
            </w:r>
            <w:r w:rsidR="00AA1F38" w:rsidRPr="00861957">
              <w:rPr>
                <w:bCs/>
                <w:kern w:val="24"/>
              </w:rPr>
              <w:t>ing</w:t>
            </w:r>
            <w:r w:rsidRPr="00861957">
              <w:rPr>
                <w:bCs/>
                <w:kern w:val="24"/>
              </w:rPr>
              <w:t xml:space="preserve"> this mechanism and support such implementation</w:t>
            </w:r>
          </w:p>
          <w:p w14:paraId="5C88708F" w14:textId="57F97102" w:rsidR="00CB7407" w:rsidRPr="00861957" w:rsidRDefault="00CB7407" w:rsidP="00CB7407">
            <w:pPr>
              <w:rPr>
                <w:bCs/>
                <w:kern w:val="24"/>
              </w:rPr>
            </w:pPr>
            <w:r w:rsidRPr="00861957">
              <w:rPr>
                <w:b/>
                <w:bCs/>
                <w:kern w:val="24"/>
              </w:rPr>
              <w:t>Risks:</w:t>
            </w:r>
            <w:r w:rsidRPr="00861957">
              <w:rPr>
                <w:b/>
                <w:bCs/>
                <w:kern w:val="24"/>
              </w:rPr>
              <w:br/>
            </w:r>
            <w:r w:rsidRPr="00861957">
              <w:rPr>
                <w:bCs/>
                <w:kern w:val="24"/>
              </w:rPr>
              <w:t>The Government does not prioritize implementation of this mechanism and does not consider it to be high on the agenda; Not all state bodies involved in combatting human trafficking are interested in the existence of this mechanism</w:t>
            </w:r>
          </w:p>
          <w:p w14:paraId="1230ED56" w14:textId="23B1FE51" w:rsidR="00CB7407" w:rsidRPr="00861957" w:rsidRDefault="00CB7407" w:rsidP="00B230A7"/>
        </w:tc>
        <w:tc>
          <w:tcPr>
            <w:tcW w:w="1984" w:type="dxa"/>
            <w:shd w:val="clear" w:color="auto" w:fill="auto"/>
          </w:tcPr>
          <w:p w14:paraId="7A0DBC14" w14:textId="77777777" w:rsidR="000715E7" w:rsidRPr="00861957" w:rsidRDefault="000715E7" w:rsidP="00B230A7">
            <w:r w:rsidRPr="00861957">
              <w:rPr>
                <w:color w:val="000000" w:themeColor="dark1"/>
                <w:kern w:val="24"/>
              </w:rPr>
              <w:t>Ministry of Internal Affairs, Ministry of Labour and Social Protection, Ministry of Health, Ministry of Education, General Prosecutor’s Office, the Investigative Committee, regional courts, NGOs</w:t>
            </w:r>
          </w:p>
        </w:tc>
        <w:tc>
          <w:tcPr>
            <w:tcW w:w="1843" w:type="dxa"/>
            <w:shd w:val="clear" w:color="auto" w:fill="auto"/>
          </w:tcPr>
          <w:p w14:paraId="7BF5422C" w14:textId="17714C12" w:rsidR="000715E7" w:rsidRPr="00861957" w:rsidRDefault="000715E7" w:rsidP="00B230A7">
            <w:pPr>
              <w:rPr>
                <w:b/>
              </w:rPr>
            </w:pPr>
            <w:r w:rsidRPr="00861957">
              <w:rPr>
                <w:b/>
              </w:rPr>
              <w:t xml:space="preserve">IOM – </w:t>
            </w:r>
            <w:r w:rsidR="00624F0A" w:rsidRPr="00861957">
              <w:rPr>
                <w:b/>
              </w:rPr>
              <w:t>$</w:t>
            </w:r>
            <w:r w:rsidRPr="00861957">
              <w:rPr>
                <w:b/>
              </w:rPr>
              <w:t>140</w:t>
            </w:r>
            <w:r w:rsidR="00624F0A" w:rsidRPr="00861957">
              <w:rPr>
                <w:b/>
              </w:rPr>
              <w:t>,</w:t>
            </w:r>
            <w:r w:rsidRPr="00861957">
              <w:rPr>
                <w:b/>
              </w:rPr>
              <w:t xml:space="preserve">000; </w:t>
            </w:r>
            <w:r w:rsidR="00624F0A" w:rsidRPr="00861957">
              <w:rPr>
                <w:b/>
              </w:rPr>
              <w:t>$</w:t>
            </w:r>
            <w:r w:rsidRPr="00861957">
              <w:rPr>
                <w:b/>
              </w:rPr>
              <w:t>300</w:t>
            </w:r>
            <w:r w:rsidR="00624F0A" w:rsidRPr="00861957">
              <w:rPr>
                <w:b/>
              </w:rPr>
              <w:t>,</w:t>
            </w:r>
            <w:r w:rsidRPr="00861957">
              <w:rPr>
                <w:b/>
              </w:rPr>
              <w:t>000 (to be mobili</w:t>
            </w:r>
            <w:r w:rsidR="000F002C" w:rsidRPr="00861957">
              <w:rPr>
                <w:b/>
              </w:rPr>
              <w:t>z</w:t>
            </w:r>
            <w:r w:rsidRPr="00861957">
              <w:rPr>
                <w:b/>
              </w:rPr>
              <w:t>ed)</w:t>
            </w:r>
          </w:p>
          <w:p w14:paraId="0AF89C61" w14:textId="77777777" w:rsidR="000715E7" w:rsidRPr="00861957" w:rsidRDefault="006A01B6" w:rsidP="00B230A7">
            <w:pPr>
              <w:rPr>
                <w:b/>
              </w:rPr>
            </w:pPr>
            <w:r w:rsidRPr="00861957">
              <w:rPr>
                <w:b/>
                <w:color w:val="000000" w:themeColor="text1"/>
              </w:rPr>
              <w:t>OHCHR - $300,000</w:t>
            </w:r>
          </w:p>
        </w:tc>
      </w:tr>
      <w:tr w:rsidR="003B573C" w:rsidRPr="00861957" w14:paraId="3B91D91C" w14:textId="77777777" w:rsidTr="00FD4239">
        <w:trPr>
          <w:trHeight w:val="3289"/>
        </w:trPr>
        <w:tc>
          <w:tcPr>
            <w:tcW w:w="2268" w:type="dxa"/>
            <w:vMerge w:val="restart"/>
            <w:shd w:val="clear" w:color="auto" w:fill="auto"/>
          </w:tcPr>
          <w:p w14:paraId="0E27E591" w14:textId="7AE858F7" w:rsidR="003B573C" w:rsidRPr="00861957" w:rsidRDefault="003B573C" w:rsidP="00175F19">
            <w:pPr>
              <w:pStyle w:val="PlainText"/>
              <w:jc w:val="both"/>
              <w:rPr>
                <w:rFonts w:ascii="Times New Roman" w:hAnsi="Times New Roman" w:cs="Times New Roman"/>
                <w:bCs/>
                <w:color w:val="000000" w:themeColor="text1"/>
                <w:kern w:val="24"/>
                <w:sz w:val="24"/>
                <w:szCs w:val="24"/>
                <w:lang w:val="en-GB"/>
              </w:rPr>
            </w:pPr>
            <w:r w:rsidRPr="00861957">
              <w:rPr>
                <w:rFonts w:ascii="Times New Roman" w:hAnsi="Times New Roman" w:cs="Times New Roman"/>
                <w:b/>
                <w:sz w:val="24"/>
                <w:szCs w:val="24"/>
                <w:lang w:val="en-GB"/>
              </w:rPr>
              <w:t>Outcome 4.4:</w:t>
            </w:r>
            <w:r w:rsidRPr="00861957">
              <w:rPr>
                <w:rFonts w:ascii="Times New Roman" w:hAnsi="Times New Roman" w:cs="Times New Roman"/>
                <w:sz w:val="24"/>
                <w:szCs w:val="24"/>
                <w:lang w:val="en-GB"/>
              </w:rPr>
              <w:t xml:space="preserve"> By 2020, the system </w:t>
            </w:r>
            <w:r w:rsidR="007411C6" w:rsidRPr="00861957">
              <w:rPr>
                <w:rFonts w:ascii="Times New Roman" w:hAnsi="Times New Roman" w:cs="Times New Roman"/>
                <w:sz w:val="24"/>
                <w:szCs w:val="24"/>
                <w:lang w:val="en-GB"/>
              </w:rPr>
              <w:t>for</w:t>
            </w:r>
            <w:r w:rsidRPr="00861957">
              <w:rPr>
                <w:rFonts w:ascii="Times New Roman" w:hAnsi="Times New Roman" w:cs="Times New Roman"/>
                <w:sz w:val="24"/>
                <w:szCs w:val="24"/>
                <w:lang w:val="en-GB"/>
              </w:rPr>
              <w:t xml:space="preserve"> ensuring </w:t>
            </w:r>
            <w:r w:rsidR="007411C6" w:rsidRPr="00861957">
              <w:rPr>
                <w:rFonts w:ascii="Times New Roman" w:hAnsi="Times New Roman" w:cs="Times New Roman"/>
                <w:sz w:val="24"/>
                <w:szCs w:val="24"/>
                <w:lang w:val="en-GB"/>
              </w:rPr>
              <w:t xml:space="preserve">the </w:t>
            </w:r>
            <w:r w:rsidRPr="00861957">
              <w:rPr>
                <w:rFonts w:ascii="Times New Roman" w:hAnsi="Times New Roman" w:cs="Times New Roman"/>
                <w:sz w:val="24"/>
                <w:szCs w:val="24"/>
                <w:lang w:val="en-GB"/>
              </w:rPr>
              <w:t xml:space="preserve">life safety of children and adults </w:t>
            </w:r>
            <w:r w:rsidR="007411C6" w:rsidRPr="00861957">
              <w:rPr>
                <w:rFonts w:ascii="Times New Roman" w:hAnsi="Times New Roman" w:cs="Times New Roman"/>
                <w:sz w:val="24"/>
                <w:szCs w:val="24"/>
                <w:lang w:val="en-GB"/>
              </w:rPr>
              <w:t>will be</w:t>
            </w:r>
            <w:r w:rsidRPr="00861957">
              <w:rPr>
                <w:rFonts w:ascii="Times New Roman" w:hAnsi="Times New Roman" w:cs="Times New Roman"/>
                <w:sz w:val="24"/>
                <w:szCs w:val="24"/>
                <w:lang w:val="en-GB"/>
              </w:rPr>
              <w:t xml:space="preserve"> significantly enhanced</w:t>
            </w:r>
            <w:r w:rsidRPr="00861957">
              <w:rPr>
                <w:rFonts w:ascii="Times New Roman" w:hAnsi="Times New Roman" w:cs="Times New Roman"/>
                <w:sz w:val="24"/>
                <w:szCs w:val="24"/>
                <w:lang w:val="en-GB"/>
              </w:rPr>
              <w:br/>
            </w:r>
          </w:p>
          <w:p w14:paraId="2B9E9C02" w14:textId="77777777" w:rsidR="003B573C" w:rsidRPr="00861957" w:rsidRDefault="000228CA" w:rsidP="00B230A7">
            <w:pPr>
              <w:rPr>
                <w:b/>
                <w:bCs/>
                <w:color w:val="000000" w:themeColor="text1"/>
                <w:kern w:val="24"/>
              </w:rPr>
            </w:pPr>
            <w:r w:rsidRPr="00861957">
              <w:rPr>
                <w:b/>
                <w:bCs/>
                <w:color w:val="000000" w:themeColor="text1"/>
                <w:kern w:val="24"/>
              </w:rPr>
              <w:t>IOM, UNAIDS, UNDP, UNFPA, UNHCR, UNICEF, UNODC, WHO</w:t>
            </w:r>
          </w:p>
          <w:p w14:paraId="7ED3B245" w14:textId="77777777" w:rsidR="003B573C" w:rsidRPr="00861957" w:rsidRDefault="003B573C" w:rsidP="00B230A7">
            <w:pPr>
              <w:rPr>
                <w:b/>
                <w:bCs/>
                <w:color w:val="000000" w:themeColor="text1"/>
                <w:kern w:val="24"/>
              </w:rPr>
            </w:pPr>
          </w:p>
        </w:tc>
        <w:tc>
          <w:tcPr>
            <w:tcW w:w="3686" w:type="dxa"/>
            <w:shd w:val="clear" w:color="auto" w:fill="auto"/>
          </w:tcPr>
          <w:p w14:paraId="1A6AEE17" w14:textId="77777777" w:rsidR="003B573C" w:rsidRPr="00861957" w:rsidRDefault="003B573C" w:rsidP="00B230A7">
            <w:pPr>
              <w:rPr>
                <w:b/>
              </w:rPr>
            </w:pPr>
            <w:r w:rsidRPr="00861957">
              <w:rPr>
                <w:b/>
              </w:rPr>
              <w:t>Indicator 4.4.1.</w:t>
            </w:r>
          </w:p>
          <w:p w14:paraId="133CA6EC" w14:textId="44A486AB" w:rsidR="003B573C" w:rsidRPr="00861957" w:rsidRDefault="00CC1A1C" w:rsidP="00B230A7">
            <w:pPr>
              <w:rPr>
                <w:color w:val="000000" w:themeColor="dark1"/>
                <w:kern w:val="24"/>
              </w:rPr>
            </w:pPr>
            <w:r w:rsidRPr="00861957">
              <w:rPr>
                <w:color w:val="000000" w:themeColor="dark1"/>
                <w:kern w:val="24"/>
              </w:rPr>
              <w:t>Extent to which i</w:t>
            </w:r>
            <w:r w:rsidR="003B573C" w:rsidRPr="00861957">
              <w:rPr>
                <w:color w:val="000000" w:themeColor="dark1"/>
                <w:kern w:val="24"/>
              </w:rPr>
              <w:t>nitiatives have been implemented to ensure systematic action on</w:t>
            </w:r>
            <w:r w:rsidRPr="00861957">
              <w:rPr>
                <w:color w:val="000000" w:themeColor="dark1"/>
                <w:kern w:val="24"/>
              </w:rPr>
              <w:t xml:space="preserve"> the</w:t>
            </w:r>
            <w:r w:rsidR="003B573C" w:rsidRPr="00861957">
              <w:rPr>
                <w:color w:val="000000" w:themeColor="dark1"/>
                <w:kern w:val="24"/>
              </w:rPr>
              <w:t xml:space="preserve"> prevention of domestic violence in accordance with relevant international standards</w:t>
            </w:r>
            <w:r w:rsidR="003B573C" w:rsidRPr="00861957">
              <w:rPr>
                <w:color w:val="000000" w:themeColor="dark1"/>
                <w:kern w:val="24"/>
              </w:rPr>
              <w:br/>
            </w:r>
            <w:r w:rsidR="003B573C" w:rsidRPr="00861957">
              <w:rPr>
                <w:b/>
                <w:color w:val="000000" w:themeColor="dark1"/>
                <w:kern w:val="24"/>
              </w:rPr>
              <w:t xml:space="preserve">Baseline: </w:t>
            </w:r>
            <w:r w:rsidR="003B573C" w:rsidRPr="00861957">
              <w:rPr>
                <w:color w:val="000000" w:themeColor="dark1"/>
                <w:kern w:val="24"/>
              </w:rPr>
              <w:t>At present, most actions to prevent domestic violence are governed by the Law ‘On Basic Activities Aimed at Offence Prevention’</w:t>
            </w:r>
            <w:r w:rsidRPr="00861957">
              <w:rPr>
                <w:color w:val="000000" w:themeColor="dark1"/>
                <w:kern w:val="24"/>
              </w:rPr>
              <w:t>, passed on</w:t>
            </w:r>
            <w:r w:rsidR="003B573C" w:rsidRPr="00861957">
              <w:rPr>
                <w:color w:val="000000" w:themeColor="dark1"/>
                <w:kern w:val="24"/>
              </w:rPr>
              <w:t xml:space="preserve"> 4 January 2014; mechanisms </w:t>
            </w:r>
            <w:r w:rsidRPr="00861957">
              <w:rPr>
                <w:color w:val="000000" w:themeColor="dark1"/>
                <w:kern w:val="24"/>
              </w:rPr>
              <w:t>for</w:t>
            </w:r>
            <w:r w:rsidR="003B573C" w:rsidRPr="00861957">
              <w:rPr>
                <w:color w:val="000000" w:themeColor="dark1"/>
                <w:kern w:val="24"/>
              </w:rPr>
              <w:t xml:space="preserve"> inter</w:t>
            </w:r>
            <w:r w:rsidRPr="00861957">
              <w:rPr>
                <w:color w:val="000000" w:themeColor="dark1"/>
                <w:kern w:val="24"/>
              </w:rPr>
              <w:t>-</w:t>
            </w:r>
            <w:r w:rsidR="003B573C" w:rsidRPr="00861957">
              <w:rPr>
                <w:color w:val="000000" w:themeColor="dark1"/>
                <w:kern w:val="24"/>
              </w:rPr>
              <w:t xml:space="preserve">departmental interaction and cooperation with NGOs on </w:t>
            </w:r>
            <w:r w:rsidR="00EA0935" w:rsidRPr="00861957">
              <w:rPr>
                <w:color w:val="000000" w:themeColor="dark1"/>
                <w:kern w:val="24"/>
              </w:rPr>
              <w:t xml:space="preserve">the prevention of </w:t>
            </w:r>
            <w:r w:rsidR="003B573C" w:rsidRPr="00861957">
              <w:rPr>
                <w:color w:val="000000" w:themeColor="dark1"/>
                <w:kern w:val="24"/>
              </w:rPr>
              <w:t xml:space="preserve">domestic violence and provision of help to victims of domestic violence are established in </w:t>
            </w:r>
            <w:r w:rsidR="003B573C" w:rsidRPr="00861957">
              <w:rPr>
                <w:color w:val="000000" w:themeColor="dark1"/>
                <w:kern w:val="24"/>
              </w:rPr>
              <w:lastRenderedPageBreak/>
              <w:t>2% of districts</w:t>
            </w:r>
            <w:r w:rsidR="003B573C" w:rsidRPr="00861957">
              <w:rPr>
                <w:b/>
                <w:color w:val="000000" w:themeColor="dark1"/>
                <w:kern w:val="24"/>
              </w:rPr>
              <w:br/>
              <w:t xml:space="preserve">Target: </w:t>
            </w:r>
            <w:r w:rsidR="003B573C" w:rsidRPr="00861957">
              <w:rPr>
                <w:color w:val="000000" w:themeColor="dark1"/>
                <w:kern w:val="24"/>
              </w:rPr>
              <w:t xml:space="preserve">A draft law ‘On </w:t>
            </w:r>
            <w:r w:rsidR="00EA0935" w:rsidRPr="00861957">
              <w:rPr>
                <w:color w:val="000000" w:themeColor="dark1"/>
                <w:kern w:val="24"/>
              </w:rPr>
              <w:t>P</w:t>
            </w:r>
            <w:r w:rsidR="003B573C" w:rsidRPr="00861957">
              <w:rPr>
                <w:color w:val="000000" w:themeColor="dark1"/>
                <w:kern w:val="24"/>
              </w:rPr>
              <w:t>reventi</w:t>
            </w:r>
            <w:r w:rsidR="00EA0935" w:rsidRPr="00861957">
              <w:rPr>
                <w:color w:val="000000" w:themeColor="dark1"/>
                <w:kern w:val="24"/>
              </w:rPr>
              <w:t>ng</w:t>
            </w:r>
            <w:r w:rsidR="003B573C" w:rsidRPr="00861957">
              <w:rPr>
                <w:color w:val="000000" w:themeColor="dark1"/>
                <w:kern w:val="24"/>
              </w:rPr>
              <w:t xml:space="preserve"> and </w:t>
            </w:r>
            <w:r w:rsidR="00EA0935" w:rsidRPr="00861957">
              <w:rPr>
                <w:color w:val="000000" w:themeColor="dark1"/>
                <w:kern w:val="24"/>
              </w:rPr>
              <w:t>C</w:t>
            </w:r>
            <w:r w:rsidR="003B573C" w:rsidRPr="00861957">
              <w:rPr>
                <w:color w:val="000000" w:themeColor="dark1"/>
                <w:kern w:val="24"/>
              </w:rPr>
              <w:t xml:space="preserve">ombatting </w:t>
            </w:r>
            <w:r w:rsidR="00EA0935" w:rsidRPr="00861957">
              <w:rPr>
                <w:color w:val="000000" w:themeColor="dark1"/>
                <w:kern w:val="24"/>
              </w:rPr>
              <w:t>D</w:t>
            </w:r>
            <w:r w:rsidR="003B573C" w:rsidRPr="00861957">
              <w:rPr>
                <w:color w:val="000000" w:themeColor="dark1"/>
                <w:kern w:val="24"/>
              </w:rPr>
              <w:t xml:space="preserve">omestic </w:t>
            </w:r>
            <w:r w:rsidR="00EA0935" w:rsidRPr="00861957">
              <w:rPr>
                <w:color w:val="000000" w:themeColor="dark1"/>
                <w:kern w:val="24"/>
              </w:rPr>
              <w:t>V</w:t>
            </w:r>
            <w:r w:rsidR="003B573C" w:rsidRPr="00861957">
              <w:rPr>
                <w:color w:val="000000" w:themeColor="dark1"/>
                <w:kern w:val="24"/>
              </w:rPr>
              <w:t>iolence’ is developed (2017); mechanisms of inter</w:t>
            </w:r>
            <w:r w:rsidRPr="00861957">
              <w:rPr>
                <w:color w:val="000000" w:themeColor="dark1"/>
                <w:kern w:val="24"/>
              </w:rPr>
              <w:t>-</w:t>
            </w:r>
            <w:r w:rsidR="003B573C" w:rsidRPr="00861957">
              <w:rPr>
                <w:color w:val="000000" w:themeColor="dark1"/>
                <w:kern w:val="24"/>
              </w:rPr>
              <w:t xml:space="preserve">departmental interaction and cooperation with NGOs on </w:t>
            </w:r>
            <w:r w:rsidR="00EA0935" w:rsidRPr="00861957">
              <w:rPr>
                <w:color w:val="000000" w:themeColor="dark1"/>
                <w:kern w:val="24"/>
              </w:rPr>
              <w:t xml:space="preserve">the prevention of </w:t>
            </w:r>
            <w:r w:rsidR="003B573C" w:rsidRPr="00861957">
              <w:rPr>
                <w:color w:val="000000" w:themeColor="dark1"/>
                <w:kern w:val="24"/>
              </w:rPr>
              <w:t>domestic violence and provision of help to victims of domestic violence are established in 25% of districts</w:t>
            </w:r>
          </w:p>
          <w:p w14:paraId="18DC78EA" w14:textId="77777777" w:rsidR="003B573C" w:rsidRPr="00861957" w:rsidRDefault="003B573C" w:rsidP="00B230A7">
            <w:pPr>
              <w:rPr>
                <w:color w:val="000000" w:themeColor="dark1"/>
                <w:kern w:val="24"/>
              </w:rPr>
            </w:pPr>
          </w:p>
        </w:tc>
        <w:tc>
          <w:tcPr>
            <w:tcW w:w="1984" w:type="dxa"/>
            <w:shd w:val="clear" w:color="auto" w:fill="auto"/>
          </w:tcPr>
          <w:p w14:paraId="5D175FEE" w14:textId="77777777" w:rsidR="003B573C" w:rsidRPr="00861957" w:rsidRDefault="003B573C" w:rsidP="00B230A7">
            <w:pPr>
              <w:tabs>
                <w:tab w:val="left" w:pos="1080"/>
              </w:tabs>
              <w:rPr>
                <w:bCs/>
              </w:rPr>
            </w:pPr>
            <w:r w:rsidRPr="00861957">
              <w:rPr>
                <w:color w:val="000000" w:themeColor="dark1"/>
                <w:kern w:val="24"/>
              </w:rPr>
              <w:lastRenderedPageBreak/>
              <w:t>Law drafting plan (</w:t>
            </w:r>
            <w:hyperlink r:id="rId15">
              <w:r w:rsidRPr="00861957">
                <w:rPr>
                  <w:rStyle w:val="Hyperlink"/>
                  <w:kern w:val="24"/>
                </w:rPr>
                <w:t>www.center.gov.by</w:t>
              </w:r>
            </w:hyperlink>
            <w:r w:rsidRPr="00861957">
              <w:rPr>
                <w:rStyle w:val="Hyperlink"/>
                <w:kern w:val="24"/>
              </w:rPr>
              <w:t>)</w:t>
            </w:r>
          </w:p>
        </w:tc>
        <w:tc>
          <w:tcPr>
            <w:tcW w:w="3686" w:type="dxa"/>
            <w:shd w:val="clear" w:color="auto" w:fill="auto"/>
          </w:tcPr>
          <w:p w14:paraId="699EBD34" w14:textId="76CF1560" w:rsidR="003B573C" w:rsidRPr="00861957" w:rsidRDefault="003B573C" w:rsidP="00B230A7">
            <w:pPr>
              <w:rPr>
                <w:bCs/>
                <w:kern w:val="24"/>
              </w:rPr>
            </w:pPr>
            <w:r w:rsidRPr="00861957">
              <w:rPr>
                <w:b/>
                <w:kern w:val="24"/>
              </w:rPr>
              <w:t>Assumptions:</w:t>
            </w:r>
            <w:r w:rsidRPr="00861957">
              <w:rPr>
                <w:b/>
                <w:kern w:val="24"/>
              </w:rPr>
              <w:br/>
            </w:r>
            <w:r w:rsidRPr="00861957">
              <w:rPr>
                <w:kern w:val="24"/>
              </w:rPr>
              <w:t>The need to adopt a dedicated legal instrument on domestic violence prevention is supported by the key line ministries</w:t>
            </w:r>
          </w:p>
          <w:p w14:paraId="029F0807" w14:textId="0173FA1E" w:rsidR="00CB7407" w:rsidRPr="00861957" w:rsidRDefault="00CB7407" w:rsidP="00CB7407">
            <w:pPr>
              <w:rPr>
                <w:kern w:val="24"/>
              </w:rPr>
            </w:pPr>
            <w:r w:rsidRPr="00861957">
              <w:rPr>
                <w:b/>
                <w:kern w:val="24"/>
              </w:rPr>
              <w:t xml:space="preserve">Risks: </w:t>
            </w:r>
            <w:r w:rsidRPr="00861957">
              <w:rPr>
                <w:b/>
                <w:kern w:val="24"/>
              </w:rPr>
              <w:br/>
            </w:r>
            <w:r w:rsidRPr="00861957">
              <w:rPr>
                <w:kern w:val="24"/>
              </w:rPr>
              <w:t>Funding shortages may have a negative impact on the progress of initiatives</w:t>
            </w:r>
          </w:p>
          <w:p w14:paraId="09CD535A" w14:textId="77777777" w:rsidR="003B573C" w:rsidRPr="00861957" w:rsidRDefault="003B573C" w:rsidP="00B230A7"/>
        </w:tc>
        <w:tc>
          <w:tcPr>
            <w:tcW w:w="1984" w:type="dxa"/>
          </w:tcPr>
          <w:p w14:paraId="250366E8" w14:textId="594EF623" w:rsidR="003B573C" w:rsidRPr="00861957" w:rsidRDefault="003B573C" w:rsidP="006A1E21">
            <w:r w:rsidRPr="00861957">
              <w:rPr>
                <w:color w:val="000000" w:themeColor="dark1"/>
                <w:kern w:val="24"/>
              </w:rPr>
              <w:t>National Assembly of Belarus, Ministry of</w:t>
            </w:r>
            <w:r w:rsidR="006A1E21" w:rsidRPr="00861957">
              <w:rPr>
                <w:color w:val="000000" w:themeColor="dark1"/>
                <w:kern w:val="24"/>
              </w:rPr>
              <w:t xml:space="preserve"> </w:t>
            </w:r>
            <w:r w:rsidR="006A1E21" w:rsidRPr="00861957">
              <w:t>Internal Affairs</w:t>
            </w:r>
            <w:r w:rsidRPr="00861957">
              <w:rPr>
                <w:color w:val="000000" w:themeColor="dark1"/>
                <w:kern w:val="24"/>
              </w:rPr>
              <w:t>, National Law Drafting Centre, Ministry of Labour and Social Protection, Ministry of Justice, National Law Drafting Centre, NGOs</w:t>
            </w:r>
          </w:p>
        </w:tc>
        <w:tc>
          <w:tcPr>
            <w:tcW w:w="1843" w:type="dxa"/>
          </w:tcPr>
          <w:p w14:paraId="0E8FA980" w14:textId="653B3E13" w:rsidR="003B573C" w:rsidRPr="00861957" w:rsidRDefault="003B573C" w:rsidP="00B230A7">
            <w:pPr>
              <w:rPr>
                <w:b/>
                <w:color w:val="000000" w:themeColor="text1"/>
              </w:rPr>
            </w:pPr>
            <w:r w:rsidRPr="00861957">
              <w:rPr>
                <w:b/>
                <w:color w:val="000000" w:themeColor="text1"/>
              </w:rPr>
              <w:t xml:space="preserve">UNICEF – </w:t>
            </w:r>
            <w:r w:rsidR="00624F0A" w:rsidRPr="00861957">
              <w:rPr>
                <w:b/>
                <w:color w:val="000000" w:themeColor="text1"/>
              </w:rPr>
              <w:t>$</w:t>
            </w:r>
            <w:r w:rsidRPr="00861957">
              <w:rPr>
                <w:b/>
                <w:color w:val="000000" w:themeColor="text1"/>
              </w:rPr>
              <w:t>150</w:t>
            </w:r>
            <w:r w:rsidR="00624F0A" w:rsidRPr="00861957">
              <w:rPr>
                <w:b/>
                <w:color w:val="000000" w:themeColor="text1"/>
              </w:rPr>
              <w:t>,</w:t>
            </w:r>
            <w:r w:rsidRPr="00861957">
              <w:rPr>
                <w:b/>
                <w:color w:val="000000" w:themeColor="text1"/>
              </w:rPr>
              <w:t xml:space="preserve">000; </w:t>
            </w:r>
            <w:r w:rsidR="00624F0A" w:rsidRPr="00861957">
              <w:rPr>
                <w:b/>
                <w:color w:val="000000" w:themeColor="text1"/>
              </w:rPr>
              <w:t>$</w:t>
            </w:r>
            <w:r w:rsidRPr="00861957">
              <w:rPr>
                <w:b/>
                <w:color w:val="000000" w:themeColor="text1"/>
              </w:rPr>
              <w:t>250</w:t>
            </w:r>
            <w:r w:rsidR="00624F0A" w:rsidRPr="00861957">
              <w:rPr>
                <w:b/>
                <w:color w:val="000000" w:themeColor="text1"/>
              </w:rPr>
              <w:t>,</w:t>
            </w:r>
            <w:r w:rsidRPr="00861957">
              <w:rPr>
                <w:b/>
                <w:color w:val="000000" w:themeColor="text1"/>
              </w:rPr>
              <w:t>000 (to be mobilized)</w:t>
            </w:r>
          </w:p>
          <w:p w14:paraId="38665776" w14:textId="4545811F" w:rsidR="003B573C" w:rsidRPr="00861957" w:rsidRDefault="003B573C" w:rsidP="00B230A7">
            <w:pPr>
              <w:rPr>
                <w:b/>
                <w:color w:val="000000" w:themeColor="text1"/>
              </w:rPr>
            </w:pPr>
            <w:r w:rsidRPr="00861957">
              <w:rPr>
                <w:b/>
                <w:color w:val="000000" w:themeColor="text1"/>
              </w:rPr>
              <w:t xml:space="preserve">UNFPA – </w:t>
            </w:r>
            <w:r w:rsidR="00624F0A" w:rsidRPr="00861957">
              <w:rPr>
                <w:b/>
                <w:color w:val="000000" w:themeColor="text1"/>
              </w:rPr>
              <w:t>$</w:t>
            </w:r>
            <w:r w:rsidRPr="00861957">
              <w:rPr>
                <w:b/>
                <w:color w:val="000000" w:themeColor="text1"/>
              </w:rPr>
              <w:t>90</w:t>
            </w:r>
            <w:r w:rsidR="00624F0A" w:rsidRPr="00861957">
              <w:rPr>
                <w:b/>
                <w:color w:val="000000" w:themeColor="text1"/>
              </w:rPr>
              <w:t>,</w:t>
            </w:r>
            <w:r w:rsidRPr="00861957">
              <w:rPr>
                <w:b/>
                <w:color w:val="000000" w:themeColor="text1"/>
              </w:rPr>
              <w:t xml:space="preserve">000; </w:t>
            </w:r>
            <w:r w:rsidR="00624F0A" w:rsidRPr="00861957">
              <w:rPr>
                <w:b/>
                <w:color w:val="000000" w:themeColor="text1"/>
              </w:rPr>
              <w:t>$</w:t>
            </w:r>
            <w:r w:rsidRPr="00861957">
              <w:rPr>
                <w:b/>
                <w:color w:val="000000" w:themeColor="text1"/>
              </w:rPr>
              <w:t>500,000 (</w:t>
            </w:r>
            <w:r w:rsidRPr="00861957">
              <w:rPr>
                <w:b/>
              </w:rPr>
              <w:t>to be mobili</w:t>
            </w:r>
            <w:r w:rsidR="000F002C" w:rsidRPr="00861957">
              <w:rPr>
                <w:b/>
              </w:rPr>
              <w:t>z</w:t>
            </w:r>
            <w:r w:rsidRPr="00861957">
              <w:rPr>
                <w:b/>
              </w:rPr>
              <w:t>ed</w:t>
            </w:r>
            <w:r w:rsidRPr="00861957">
              <w:rPr>
                <w:b/>
                <w:color w:val="000000" w:themeColor="text1"/>
              </w:rPr>
              <w:t>)</w:t>
            </w:r>
          </w:p>
          <w:p w14:paraId="49361A0A" w14:textId="77777777" w:rsidR="003B573C" w:rsidRPr="00861957" w:rsidRDefault="003B573C" w:rsidP="00C216D1"/>
        </w:tc>
      </w:tr>
      <w:tr w:rsidR="003B573C" w:rsidRPr="00861957" w14:paraId="1D54E549" w14:textId="77777777" w:rsidTr="00FD4239">
        <w:trPr>
          <w:trHeight w:val="567"/>
        </w:trPr>
        <w:tc>
          <w:tcPr>
            <w:tcW w:w="2268" w:type="dxa"/>
            <w:vMerge/>
            <w:shd w:val="clear" w:color="auto" w:fill="auto"/>
          </w:tcPr>
          <w:p w14:paraId="6542DB17" w14:textId="77777777" w:rsidR="003B573C" w:rsidRPr="00861957" w:rsidRDefault="003B573C" w:rsidP="00175F19">
            <w:pPr>
              <w:rPr>
                <w:b/>
                <w:bCs/>
              </w:rPr>
            </w:pPr>
          </w:p>
        </w:tc>
        <w:tc>
          <w:tcPr>
            <w:tcW w:w="3686" w:type="dxa"/>
            <w:shd w:val="clear" w:color="auto" w:fill="auto"/>
          </w:tcPr>
          <w:p w14:paraId="50DBEBFA" w14:textId="462D37B6" w:rsidR="003B573C" w:rsidRPr="00861957" w:rsidRDefault="003B573C" w:rsidP="00B230A7">
            <w:pPr>
              <w:rPr>
                <w:color w:val="000000" w:themeColor="dark1"/>
                <w:kern w:val="24"/>
              </w:rPr>
            </w:pPr>
            <w:r w:rsidRPr="00861957">
              <w:rPr>
                <w:b/>
                <w:color w:val="000000" w:themeColor="dark1"/>
                <w:kern w:val="24"/>
              </w:rPr>
              <w:t xml:space="preserve">Indicator 4.4.2. </w:t>
            </w:r>
            <w:r w:rsidRPr="00861957">
              <w:rPr>
                <w:b/>
                <w:color w:val="000000" w:themeColor="dark1"/>
                <w:kern w:val="24"/>
              </w:rPr>
              <w:br/>
            </w:r>
            <w:r w:rsidRPr="00861957">
              <w:rPr>
                <w:color w:val="000000" w:themeColor="dark1"/>
                <w:kern w:val="24"/>
              </w:rPr>
              <w:t>Number of victims of domestic violence (disaggregated by age and sex) who have benefit</w:t>
            </w:r>
            <w:r w:rsidR="00EA0935" w:rsidRPr="00861957">
              <w:rPr>
                <w:color w:val="000000" w:themeColor="dark1"/>
                <w:kern w:val="24"/>
              </w:rPr>
              <w:t>t</w:t>
            </w:r>
            <w:r w:rsidRPr="00861957">
              <w:rPr>
                <w:color w:val="000000" w:themeColor="dark1"/>
                <w:kern w:val="24"/>
              </w:rPr>
              <w:t>ed from social services (temporary shelter, social patronage, information and advice, etc.)</w:t>
            </w:r>
            <w:r w:rsidRPr="00861957">
              <w:rPr>
                <w:color w:val="000000" w:themeColor="dark1"/>
                <w:kern w:val="24"/>
              </w:rPr>
              <w:br/>
            </w:r>
            <w:r w:rsidRPr="00861957">
              <w:rPr>
                <w:b/>
                <w:color w:val="000000" w:themeColor="dark1"/>
                <w:kern w:val="24"/>
              </w:rPr>
              <w:t>Baseline:</w:t>
            </w:r>
            <w:r w:rsidRPr="00861957">
              <w:rPr>
                <w:color w:val="000000" w:themeColor="dark1"/>
                <w:kern w:val="24"/>
              </w:rPr>
              <w:t xml:space="preserve"> To be determined in 2015</w:t>
            </w:r>
            <w:r w:rsidRPr="00861957">
              <w:rPr>
                <w:color w:val="000000" w:themeColor="dark1"/>
                <w:kern w:val="24"/>
              </w:rPr>
              <w:br/>
            </w:r>
            <w:r w:rsidRPr="00861957">
              <w:rPr>
                <w:b/>
                <w:color w:val="000000" w:themeColor="dark1"/>
                <w:kern w:val="24"/>
              </w:rPr>
              <w:t xml:space="preserve">Target: </w:t>
            </w:r>
            <w:r w:rsidRPr="00861957">
              <w:rPr>
                <w:color w:val="000000" w:themeColor="dark1"/>
                <w:kern w:val="24"/>
              </w:rPr>
              <w:t>Increase by 10%</w:t>
            </w:r>
          </w:p>
        </w:tc>
        <w:tc>
          <w:tcPr>
            <w:tcW w:w="1984" w:type="dxa"/>
            <w:shd w:val="clear" w:color="auto" w:fill="auto"/>
          </w:tcPr>
          <w:p w14:paraId="1FF8C1DF" w14:textId="77777777" w:rsidR="003B573C" w:rsidRPr="00861957" w:rsidRDefault="003B573C" w:rsidP="00B230A7">
            <w:pPr>
              <w:tabs>
                <w:tab w:val="left" w:pos="1080"/>
              </w:tabs>
              <w:rPr>
                <w:bCs/>
              </w:rPr>
            </w:pPr>
            <w:r w:rsidRPr="00861957">
              <w:rPr>
                <w:color w:val="000000" w:themeColor="text1"/>
                <w:kern w:val="24"/>
              </w:rPr>
              <w:t xml:space="preserve">Ministry of Labour and Social Protection (database on </w:t>
            </w:r>
            <w:r w:rsidRPr="00861957">
              <w:rPr>
                <w:color w:val="000000" w:themeColor="dark1"/>
                <w:kern w:val="24"/>
              </w:rPr>
              <w:t>victims of domestic violence is established)</w:t>
            </w:r>
          </w:p>
        </w:tc>
        <w:tc>
          <w:tcPr>
            <w:tcW w:w="3686" w:type="dxa"/>
            <w:shd w:val="clear" w:color="auto" w:fill="auto"/>
          </w:tcPr>
          <w:p w14:paraId="253238A4" w14:textId="7A579729" w:rsidR="003B573C" w:rsidRPr="00861957" w:rsidRDefault="003B573C" w:rsidP="00EA0935">
            <w:pPr>
              <w:rPr>
                <w:bCs/>
                <w:kern w:val="24"/>
              </w:rPr>
            </w:pPr>
            <w:r w:rsidRPr="00861957">
              <w:rPr>
                <w:b/>
                <w:kern w:val="24"/>
              </w:rPr>
              <w:t>Assumptions:</w:t>
            </w:r>
            <w:r w:rsidRPr="00861957">
              <w:rPr>
                <w:b/>
                <w:kern w:val="24"/>
              </w:rPr>
              <w:br/>
            </w:r>
            <w:r w:rsidRPr="00861957">
              <w:rPr>
                <w:kern w:val="24"/>
              </w:rPr>
              <w:t xml:space="preserve">Local governments and administrations support an inter-agency approach to assisting victims; Victims are informed about available </w:t>
            </w:r>
            <w:r w:rsidR="00EA0935" w:rsidRPr="00861957">
              <w:rPr>
                <w:kern w:val="24"/>
              </w:rPr>
              <w:t>services</w:t>
            </w:r>
            <w:r w:rsidRPr="00861957">
              <w:rPr>
                <w:kern w:val="24"/>
              </w:rPr>
              <w:br/>
            </w:r>
            <w:r w:rsidRPr="00861957">
              <w:rPr>
                <w:b/>
                <w:kern w:val="24"/>
              </w:rPr>
              <w:t xml:space="preserve">Risks: </w:t>
            </w:r>
            <w:r w:rsidRPr="00861957">
              <w:rPr>
                <w:b/>
                <w:kern w:val="24"/>
              </w:rPr>
              <w:br/>
            </w:r>
            <w:r w:rsidRPr="00861957">
              <w:rPr>
                <w:kern w:val="24"/>
              </w:rPr>
              <w:t>Insufficient financing for the provision of temporary shelter</w:t>
            </w:r>
          </w:p>
        </w:tc>
        <w:tc>
          <w:tcPr>
            <w:tcW w:w="1984" w:type="dxa"/>
          </w:tcPr>
          <w:p w14:paraId="12B3C100" w14:textId="0D4EF23D" w:rsidR="003B573C" w:rsidRPr="00861957" w:rsidRDefault="003B573C" w:rsidP="006A1E21">
            <w:r w:rsidRPr="00861957">
              <w:rPr>
                <w:color w:val="000000" w:themeColor="dark1"/>
                <w:kern w:val="24"/>
              </w:rPr>
              <w:t>Ministry of Labour and Social Protection, Ministry of</w:t>
            </w:r>
            <w:r w:rsidR="006A1E21" w:rsidRPr="00861957">
              <w:rPr>
                <w:color w:val="000000" w:themeColor="dark1"/>
                <w:kern w:val="24"/>
              </w:rPr>
              <w:t xml:space="preserve"> </w:t>
            </w:r>
            <w:r w:rsidR="006A1E21" w:rsidRPr="00861957">
              <w:t>Internal Affairs</w:t>
            </w:r>
            <w:r w:rsidRPr="00861957">
              <w:rPr>
                <w:color w:val="000000" w:themeColor="dark1"/>
                <w:kern w:val="24"/>
              </w:rPr>
              <w:t>, Ministry of Health, local governments and administrations, NGOs</w:t>
            </w:r>
          </w:p>
        </w:tc>
        <w:tc>
          <w:tcPr>
            <w:tcW w:w="1843" w:type="dxa"/>
          </w:tcPr>
          <w:p w14:paraId="14FFD32D" w14:textId="478E51D4" w:rsidR="003B573C" w:rsidRPr="00861957" w:rsidRDefault="003B573C" w:rsidP="00B230A7">
            <w:pPr>
              <w:rPr>
                <w:b/>
                <w:color w:val="000000" w:themeColor="text1"/>
              </w:rPr>
            </w:pPr>
            <w:r w:rsidRPr="00861957">
              <w:rPr>
                <w:b/>
                <w:color w:val="000000" w:themeColor="text1"/>
              </w:rPr>
              <w:t xml:space="preserve">UNICEF – </w:t>
            </w:r>
            <w:r w:rsidR="00624F0A" w:rsidRPr="00861957">
              <w:rPr>
                <w:b/>
                <w:color w:val="000000" w:themeColor="text1"/>
              </w:rPr>
              <w:t>$</w:t>
            </w:r>
            <w:r w:rsidRPr="00861957">
              <w:rPr>
                <w:b/>
                <w:color w:val="000000" w:themeColor="text1"/>
              </w:rPr>
              <w:t>300</w:t>
            </w:r>
            <w:r w:rsidR="00624F0A" w:rsidRPr="00861957">
              <w:rPr>
                <w:b/>
                <w:color w:val="000000" w:themeColor="text1"/>
              </w:rPr>
              <w:t>,</w:t>
            </w:r>
            <w:r w:rsidRPr="00861957">
              <w:rPr>
                <w:b/>
                <w:color w:val="000000" w:themeColor="text1"/>
              </w:rPr>
              <w:t xml:space="preserve">000; </w:t>
            </w:r>
            <w:r w:rsidR="00624F0A" w:rsidRPr="00861957">
              <w:rPr>
                <w:b/>
                <w:color w:val="000000" w:themeColor="text1"/>
              </w:rPr>
              <w:t>$</w:t>
            </w:r>
            <w:r w:rsidRPr="00861957">
              <w:rPr>
                <w:b/>
                <w:color w:val="000000" w:themeColor="text1"/>
              </w:rPr>
              <w:t>150</w:t>
            </w:r>
            <w:r w:rsidR="00624F0A" w:rsidRPr="00861957">
              <w:rPr>
                <w:b/>
                <w:color w:val="000000" w:themeColor="text1"/>
              </w:rPr>
              <w:t>,</w:t>
            </w:r>
            <w:r w:rsidRPr="00861957">
              <w:rPr>
                <w:b/>
                <w:color w:val="000000" w:themeColor="text1"/>
              </w:rPr>
              <w:t>000</w:t>
            </w:r>
          </w:p>
          <w:p w14:paraId="35552556" w14:textId="28AFC8AE" w:rsidR="003B573C" w:rsidRPr="00861957" w:rsidRDefault="003B573C" w:rsidP="00B230A7">
            <w:pPr>
              <w:rPr>
                <w:b/>
                <w:color w:val="000000" w:themeColor="text1"/>
              </w:rPr>
            </w:pPr>
            <w:r w:rsidRPr="00861957">
              <w:rPr>
                <w:b/>
                <w:color w:val="000000" w:themeColor="text1"/>
              </w:rPr>
              <w:t>(</w:t>
            </w:r>
            <w:r w:rsidRPr="00861957">
              <w:rPr>
                <w:b/>
              </w:rPr>
              <w:t>to be mobili</w:t>
            </w:r>
            <w:r w:rsidR="000F002C" w:rsidRPr="00861957">
              <w:rPr>
                <w:b/>
              </w:rPr>
              <w:t>z</w:t>
            </w:r>
            <w:r w:rsidRPr="00861957">
              <w:rPr>
                <w:b/>
              </w:rPr>
              <w:t>ed</w:t>
            </w:r>
            <w:r w:rsidRPr="00861957">
              <w:rPr>
                <w:b/>
                <w:color w:val="000000" w:themeColor="text1"/>
              </w:rPr>
              <w:t>)</w:t>
            </w:r>
          </w:p>
          <w:p w14:paraId="1E8632BB" w14:textId="7AB28FBA" w:rsidR="003B573C" w:rsidRPr="00861957" w:rsidRDefault="003B573C" w:rsidP="00B230A7">
            <w:pPr>
              <w:rPr>
                <w:b/>
              </w:rPr>
            </w:pPr>
            <w:r w:rsidRPr="00861957">
              <w:rPr>
                <w:b/>
                <w:color w:val="000000" w:themeColor="text1"/>
              </w:rPr>
              <w:t xml:space="preserve">UNFPA – </w:t>
            </w:r>
            <w:r w:rsidR="00624F0A" w:rsidRPr="00861957">
              <w:rPr>
                <w:b/>
                <w:color w:val="000000" w:themeColor="text1"/>
              </w:rPr>
              <w:t>$</w:t>
            </w:r>
            <w:r w:rsidRPr="00861957">
              <w:rPr>
                <w:b/>
                <w:color w:val="000000" w:themeColor="text1"/>
              </w:rPr>
              <w:t>350,000 (</w:t>
            </w:r>
            <w:r w:rsidRPr="00861957">
              <w:rPr>
                <w:b/>
              </w:rPr>
              <w:t>to be mobili</w:t>
            </w:r>
            <w:r w:rsidR="000F002C" w:rsidRPr="00861957">
              <w:rPr>
                <w:b/>
              </w:rPr>
              <w:t>z</w:t>
            </w:r>
            <w:r w:rsidRPr="00861957">
              <w:rPr>
                <w:b/>
              </w:rPr>
              <w:t>ed</w:t>
            </w:r>
            <w:r w:rsidRPr="00861957">
              <w:rPr>
                <w:b/>
                <w:color w:val="000000" w:themeColor="text1"/>
              </w:rPr>
              <w:t>)</w:t>
            </w:r>
          </w:p>
        </w:tc>
      </w:tr>
      <w:tr w:rsidR="003B573C" w:rsidRPr="00861957" w14:paraId="1D51AED5" w14:textId="77777777" w:rsidTr="00FD4239">
        <w:trPr>
          <w:trHeight w:val="567"/>
        </w:trPr>
        <w:tc>
          <w:tcPr>
            <w:tcW w:w="2268" w:type="dxa"/>
            <w:vMerge/>
            <w:shd w:val="clear" w:color="auto" w:fill="auto"/>
          </w:tcPr>
          <w:p w14:paraId="5CECE195" w14:textId="77777777" w:rsidR="003B573C" w:rsidRPr="00861957" w:rsidRDefault="003B573C" w:rsidP="00B230A7">
            <w:pPr>
              <w:rPr>
                <w:b/>
                <w:bCs/>
              </w:rPr>
            </w:pPr>
          </w:p>
        </w:tc>
        <w:tc>
          <w:tcPr>
            <w:tcW w:w="3686" w:type="dxa"/>
            <w:shd w:val="clear" w:color="auto" w:fill="auto"/>
          </w:tcPr>
          <w:p w14:paraId="0696F696" w14:textId="77777777" w:rsidR="003B573C" w:rsidRPr="00861957" w:rsidRDefault="003B573C" w:rsidP="00B230A7">
            <w:pPr>
              <w:rPr>
                <w:color w:val="000000" w:themeColor="dark1"/>
                <w:kern w:val="24"/>
              </w:rPr>
            </w:pPr>
            <w:r w:rsidRPr="00861957">
              <w:rPr>
                <w:b/>
                <w:color w:val="000000" w:themeColor="dark1"/>
                <w:kern w:val="24"/>
              </w:rPr>
              <w:t>Indicator 4.4.3.</w:t>
            </w:r>
            <w:r w:rsidRPr="00861957">
              <w:rPr>
                <w:color w:val="000000" w:themeColor="dark1"/>
                <w:kern w:val="24"/>
              </w:rPr>
              <w:t xml:space="preserve"> Mortality among children aged 0-17 from external causes (per 100,000 child population) </w:t>
            </w:r>
            <w:r w:rsidRPr="00861957">
              <w:rPr>
                <w:color w:val="000000" w:themeColor="dark1"/>
                <w:kern w:val="24"/>
              </w:rPr>
              <w:br/>
            </w:r>
            <w:r w:rsidRPr="00861957">
              <w:rPr>
                <w:b/>
                <w:color w:val="000000" w:themeColor="dark1"/>
                <w:kern w:val="24"/>
              </w:rPr>
              <w:t>Baseline:</w:t>
            </w:r>
            <w:r w:rsidRPr="00861957">
              <w:rPr>
                <w:color w:val="000000" w:themeColor="dark1"/>
                <w:kern w:val="24"/>
              </w:rPr>
              <w:t xml:space="preserve"> 14.1 per 100,000 children (2012)</w:t>
            </w:r>
            <w:r w:rsidRPr="00861957">
              <w:rPr>
                <w:color w:val="000000" w:themeColor="dark1"/>
                <w:kern w:val="24"/>
              </w:rPr>
              <w:br/>
            </w:r>
            <w:r w:rsidRPr="00861957">
              <w:rPr>
                <w:b/>
                <w:color w:val="000000" w:themeColor="dark1"/>
                <w:kern w:val="24"/>
              </w:rPr>
              <w:t>Target:</w:t>
            </w:r>
            <w:r w:rsidRPr="00861957">
              <w:rPr>
                <w:color w:val="000000" w:themeColor="dark1"/>
                <w:kern w:val="24"/>
              </w:rPr>
              <w:t xml:space="preserve"> 12.0 per 100,000 children (2019)        </w:t>
            </w:r>
          </w:p>
        </w:tc>
        <w:tc>
          <w:tcPr>
            <w:tcW w:w="1984" w:type="dxa"/>
            <w:shd w:val="clear" w:color="auto" w:fill="auto"/>
          </w:tcPr>
          <w:p w14:paraId="687E89B8" w14:textId="77777777" w:rsidR="003B573C" w:rsidRPr="00861957" w:rsidRDefault="003B573C" w:rsidP="00B230A7">
            <w:pPr>
              <w:tabs>
                <w:tab w:val="left" w:pos="1080"/>
              </w:tabs>
              <w:rPr>
                <w:bCs/>
              </w:rPr>
            </w:pPr>
            <w:r w:rsidRPr="00861957">
              <w:rPr>
                <w:color w:val="000000" w:themeColor="dark1"/>
                <w:kern w:val="24"/>
              </w:rPr>
              <w:t>Belstat</w:t>
            </w:r>
          </w:p>
        </w:tc>
        <w:tc>
          <w:tcPr>
            <w:tcW w:w="3686" w:type="dxa"/>
            <w:shd w:val="clear" w:color="auto" w:fill="auto"/>
          </w:tcPr>
          <w:p w14:paraId="59763EA5" w14:textId="4BABEE54" w:rsidR="003B573C" w:rsidRPr="00861957" w:rsidRDefault="003B573C" w:rsidP="00B230A7">
            <w:pPr>
              <w:rPr>
                <w:bCs/>
                <w:kern w:val="24"/>
              </w:rPr>
            </w:pPr>
            <w:r w:rsidRPr="00861957">
              <w:rPr>
                <w:b/>
                <w:kern w:val="24"/>
              </w:rPr>
              <w:t>Assumptions:</w:t>
            </w:r>
            <w:r w:rsidRPr="00861957">
              <w:rPr>
                <w:b/>
                <w:kern w:val="24"/>
              </w:rPr>
              <w:br/>
            </w:r>
            <w:r w:rsidR="00EA0935" w:rsidRPr="00861957">
              <w:rPr>
                <w:kern w:val="24"/>
              </w:rPr>
              <w:t xml:space="preserve">An </w:t>
            </w:r>
            <w:r w:rsidRPr="00861957">
              <w:rPr>
                <w:kern w:val="24"/>
              </w:rPr>
              <w:t>inter</w:t>
            </w:r>
            <w:r w:rsidR="00EA0935" w:rsidRPr="00861957">
              <w:rPr>
                <w:kern w:val="24"/>
              </w:rPr>
              <w:t>-</w:t>
            </w:r>
            <w:r w:rsidRPr="00861957">
              <w:rPr>
                <w:kern w:val="24"/>
              </w:rPr>
              <w:t xml:space="preserve">ministerial action plan for 2014-2018 on </w:t>
            </w:r>
            <w:r w:rsidR="00EA0935" w:rsidRPr="00861957">
              <w:rPr>
                <w:kern w:val="24"/>
              </w:rPr>
              <w:t xml:space="preserve">the </w:t>
            </w:r>
            <w:r w:rsidRPr="00861957">
              <w:rPr>
                <w:kern w:val="24"/>
              </w:rPr>
              <w:t xml:space="preserve">prevention of injuries and trauma among children </w:t>
            </w:r>
            <w:r w:rsidR="00EA0935" w:rsidRPr="00861957">
              <w:rPr>
                <w:kern w:val="24"/>
              </w:rPr>
              <w:t>is implemented</w:t>
            </w:r>
          </w:p>
          <w:p w14:paraId="284E21E0" w14:textId="5864EEC9" w:rsidR="003B573C" w:rsidRPr="00861957" w:rsidRDefault="003B573C" w:rsidP="00B230A7">
            <w:r w:rsidRPr="00861957">
              <w:rPr>
                <w:b/>
                <w:kern w:val="24"/>
              </w:rPr>
              <w:t>Risks:</w:t>
            </w:r>
            <w:r w:rsidRPr="00861957">
              <w:rPr>
                <w:b/>
                <w:kern w:val="24"/>
              </w:rPr>
              <w:br/>
            </w:r>
            <w:r w:rsidRPr="00861957">
              <w:rPr>
                <w:kern w:val="24"/>
              </w:rPr>
              <w:t>Shortage of qualified staff, ineffective inter</w:t>
            </w:r>
            <w:r w:rsidR="002976CA" w:rsidRPr="00861957">
              <w:rPr>
                <w:kern w:val="24"/>
              </w:rPr>
              <w:t>-</w:t>
            </w:r>
            <w:r w:rsidRPr="00861957">
              <w:rPr>
                <w:kern w:val="24"/>
              </w:rPr>
              <w:t>agency coordination</w:t>
            </w:r>
          </w:p>
        </w:tc>
        <w:tc>
          <w:tcPr>
            <w:tcW w:w="1984" w:type="dxa"/>
          </w:tcPr>
          <w:p w14:paraId="5876515C" w14:textId="1922B7D7" w:rsidR="003B573C" w:rsidRPr="00861957" w:rsidRDefault="003B573C" w:rsidP="006A1E21">
            <w:r w:rsidRPr="00861957">
              <w:rPr>
                <w:color w:val="000000" w:themeColor="dark1"/>
                <w:kern w:val="24"/>
              </w:rPr>
              <w:t>Ministry of Health, Ministry of</w:t>
            </w:r>
            <w:r w:rsidR="006A1E21" w:rsidRPr="00861957">
              <w:rPr>
                <w:color w:val="000000" w:themeColor="dark1"/>
                <w:kern w:val="24"/>
              </w:rPr>
              <w:t xml:space="preserve"> </w:t>
            </w:r>
            <w:r w:rsidR="006A1E21" w:rsidRPr="00861957">
              <w:t>Internal Affairs</w:t>
            </w:r>
            <w:r w:rsidRPr="00861957">
              <w:rPr>
                <w:color w:val="000000" w:themeColor="dark1"/>
                <w:kern w:val="24"/>
              </w:rPr>
              <w:t>, Ministry of Emergenc</w:t>
            </w:r>
            <w:r w:rsidR="00E44AE9" w:rsidRPr="00861957">
              <w:rPr>
                <w:color w:val="000000" w:themeColor="dark1"/>
                <w:kern w:val="24"/>
              </w:rPr>
              <w:t>y Situations</w:t>
            </w:r>
            <w:r w:rsidRPr="00861957">
              <w:rPr>
                <w:color w:val="000000" w:themeColor="dark1"/>
                <w:kern w:val="24"/>
              </w:rPr>
              <w:t xml:space="preserve">, Ministry of Education, Ministry of Information, television companies, </w:t>
            </w:r>
            <w:r w:rsidR="007F4EB7" w:rsidRPr="00861957">
              <w:rPr>
                <w:color w:val="000000" w:themeColor="dark1"/>
                <w:kern w:val="24"/>
              </w:rPr>
              <w:lastRenderedPageBreak/>
              <w:t>i</w:t>
            </w:r>
            <w:r w:rsidRPr="00861957">
              <w:rPr>
                <w:color w:val="000000" w:themeColor="dark1"/>
                <w:kern w:val="24"/>
              </w:rPr>
              <w:t>nternet portals, Bel</w:t>
            </w:r>
            <w:r w:rsidR="00AA1F38" w:rsidRPr="00861957">
              <w:rPr>
                <w:color w:val="000000" w:themeColor="dark1"/>
                <w:kern w:val="24"/>
              </w:rPr>
              <w:t>s</w:t>
            </w:r>
            <w:r w:rsidRPr="00861957">
              <w:rPr>
                <w:color w:val="000000" w:themeColor="dark1"/>
                <w:kern w:val="24"/>
              </w:rPr>
              <w:t>tat, local governments and administrations, NGOs</w:t>
            </w:r>
          </w:p>
        </w:tc>
        <w:tc>
          <w:tcPr>
            <w:tcW w:w="1843" w:type="dxa"/>
          </w:tcPr>
          <w:p w14:paraId="4E1C1F19" w14:textId="7AB33262" w:rsidR="003B573C" w:rsidRPr="00861957" w:rsidRDefault="003B573C" w:rsidP="00B230A7">
            <w:pPr>
              <w:rPr>
                <w:b/>
                <w:color w:val="000000" w:themeColor="text1"/>
              </w:rPr>
            </w:pPr>
            <w:r w:rsidRPr="00861957">
              <w:rPr>
                <w:b/>
                <w:color w:val="000000" w:themeColor="text1"/>
              </w:rPr>
              <w:lastRenderedPageBreak/>
              <w:t xml:space="preserve">UNICEF – </w:t>
            </w:r>
            <w:r w:rsidR="00624F0A" w:rsidRPr="00861957">
              <w:rPr>
                <w:b/>
                <w:color w:val="000000" w:themeColor="text1"/>
              </w:rPr>
              <w:t>$</w:t>
            </w:r>
            <w:r w:rsidRPr="00861957">
              <w:rPr>
                <w:b/>
                <w:color w:val="000000" w:themeColor="text1"/>
              </w:rPr>
              <w:t>600</w:t>
            </w:r>
            <w:r w:rsidR="00624F0A" w:rsidRPr="00861957">
              <w:rPr>
                <w:b/>
                <w:color w:val="000000" w:themeColor="text1"/>
              </w:rPr>
              <w:t>,</w:t>
            </w:r>
            <w:r w:rsidRPr="00861957">
              <w:rPr>
                <w:b/>
                <w:color w:val="000000" w:themeColor="text1"/>
              </w:rPr>
              <w:t>000</w:t>
            </w:r>
          </w:p>
          <w:p w14:paraId="27E1D268" w14:textId="56062140" w:rsidR="003B573C" w:rsidRPr="00861957" w:rsidRDefault="003B573C" w:rsidP="00B230A7">
            <w:pPr>
              <w:rPr>
                <w:b/>
                <w:color w:val="000000" w:themeColor="text1"/>
              </w:rPr>
            </w:pPr>
            <w:r w:rsidRPr="00861957">
              <w:rPr>
                <w:b/>
                <w:bCs/>
              </w:rPr>
              <w:t>WHO</w:t>
            </w:r>
            <w:r w:rsidRPr="00861957">
              <w:rPr>
                <w:b/>
              </w:rPr>
              <w:t xml:space="preserve"> </w:t>
            </w:r>
            <w:r w:rsidR="00624F0A" w:rsidRPr="00861957">
              <w:rPr>
                <w:b/>
              </w:rPr>
              <w:t>–</w:t>
            </w:r>
            <w:r w:rsidRPr="00861957">
              <w:rPr>
                <w:b/>
              </w:rPr>
              <w:t xml:space="preserve"> </w:t>
            </w:r>
            <w:r w:rsidR="00624F0A" w:rsidRPr="00861957">
              <w:rPr>
                <w:b/>
              </w:rPr>
              <w:t>$</w:t>
            </w:r>
            <w:r w:rsidRPr="00861957">
              <w:rPr>
                <w:b/>
              </w:rPr>
              <w:t>50</w:t>
            </w:r>
            <w:r w:rsidR="00624F0A" w:rsidRPr="00861957">
              <w:rPr>
                <w:b/>
              </w:rPr>
              <w:t>,</w:t>
            </w:r>
            <w:r w:rsidRPr="00861957">
              <w:rPr>
                <w:b/>
              </w:rPr>
              <w:t>000</w:t>
            </w:r>
          </w:p>
        </w:tc>
      </w:tr>
      <w:tr w:rsidR="003B573C" w:rsidRPr="00861957" w14:paraId="11CB615B" w14:textId="77777777" w:rsidTr="00FD4239">
        <w:trPr>
          <w:trHeight w:val="567"/>
        </w:trPr>
        <w:tc>
          <w:tcPr>
            <w:tcW w:w="2268" w:type="dxa"/>
            <w:vMerge/>
            <w:shd w:val="clear" w:color="auto" w:fill="auto"/>
          </w:tcPr>
          <w:p w14:paraId="61ACED0E" w14:textId="77777777" w:rsidR="003B573C" w:rsidRPr="00861957" w:rsidRDefault="003B573C" w:rsidP="00B230A7">
            <w:pPr>
              <w:rPr>
                <w:b/>
                <w:bCs/>
              </w:rPr>
            </w:pPr>
          </w:p>
        </w:tc>
        <w:tc>
          <w:tcPr>
            <w:tcW w:w="3686" w:type="dxa"/>
            <w:shd w:val="clear" w:color="auto" w:fill="auto"/>
          </w:tcPr>
          <w:p w14:paraId="420F1D75" w14:textId="77777777" w:rsidR="003B573C" w:rsidRPr="00861957" w:rsidRDefault="003B573C" w:rsidP="00B230A7">
            <w:pPr>
              <w:jc w:val="both"/>
              <w:rPr>
                <w:b/>
                <w:kern w:val="24"/>
              </w:rPr>
            </w:pPr>
            <w:r w:rsidRPr="00861957">
              <w:rPr>
                <w:b/>
                <w:kern w:val="24"/>
              </w:rPr>
              <w:t>Indicator 4.4.4.</w:t>
            </w:r>
          </w:p>
          <w:p w14:paraId="58E9F682" w14:textId="77777777" w:rsidR="003B573C" w:rsidRPr="00861957" w:rsidRDefault="003B573C" w:rsidP="00351963">
            <w:pPr>
              <w:jc w:val="both"/>
              <w:rPr>
                <w:bCs/>
              </w:rPr>
            </w:pPr>
            <w:r w:rsidRPr="00861957">
              <w:rPr>
                <w:kern w:val="24"/>
              </w:rPr>
              <w:t xml:space="preserve">Number of </w:t>
            </w:r>
            <w:r w:rsidR="00351963" w:rsidRPr="00861957">
              <w:rPr>
                <w:kern w:val="24"/>
              </w:rPr>
              <w:t>adolescents</w:t>
            </w:r>
            <w:r w:rsidRPr="00861957">
              <w:rPr>
                <w:kern w:val="24"/>
              </w:rPr>
              <w:t xml:space="preserve"> (girls and boys) who have been taken off the narcological register due to the discontinuation of the use of psychoactive substances</w:t>
            </w:r>
            <w:r w:rsidRPr="00861957">
              <w:rPr>
                <w:kern w:val="24"/>
              </w:rPr>
              <w:br/>
            </w:r>
            <w:r w:rsidRPr="00861957">
              <w:rPr>
                <w:b/>
                <w:kern w:val="24"/>
              </w:rPr>
              <w:t xml:space="preserve">Baseline: </w:t>
            </w:r>
            <w:r w:rsidRPr="00861957">
              <w:rPr>
                <w:kern w:val="24"/>
              </w:rPr>
              <w:t>To be determined in 2015</w:t>
            </w:r>
            <w:r w:rsidRPr="00861957">
              <w:rPr>
                <w:kern w:val="24"/>
              </w:rPr>
              <w:br/>
            </w:r>
            <w:r w:rsidRPr="00861957">
              <w:rPr>
                <w:b/>
                <w:kern w:val="24"/>
              </w:rPr>
              <w:t xml:space="preserve">Target: </w:t>
            </w:r>
            <w:r w:rsidRPr="00861957">
              <w:rPr>
                <w:kern w:val="24"/>
              </w:rPr>
              <w:t xml:space="preserve">Increase by 50%  </w:t>
            </w:r>
          </w:p>
        </w:tc>
        <w:tc>
          <w:tcPr>
            <w:tcW w:w="1984" w:type="dxa"/>
            <w:shd w:val="clear" w:color="auto" w:fill="auto"/>
          </w:tcPr>
          <w:p w14:paraId="22A2AD60" w14:textId="77777777" w:rsidR="003B573C" w:rsidRPr="00861957" w:rsidRDefault="003B573C" w:rsidP="00B230A7">
            <w:pPr>
              <w:tabs>
                <w:tab w:val="left" w:pos="1080"/>
              </w:tabs>
              <w:rPr>
                <w:bCs/>
              </w:rPr>
            </w:pPr>
            <w:r w:rsidRPr="00861957">
              <w:rPr>
                <w:color w:val="000000" w:themeColor="text1"/>
                <w:kern w:val="24"/>
              </w:rPr>
              <w:t>Ministry of Health</w:t>
            </w:r>
          </w:p>
          <w:p w14:paraId="55E1EEAD" w14:textId="77777777" w:rsidR="003B573C" w:rsidRPr="00861957" w:rsidRDefault="003B573C" w:rsidP="00B230A7">
            <w:pPr>
              <w:tabs>
                <w:tab w:val="left" w:pos="1080"/>
              </w:tabs>
              <w:rPr>
                <w:bCs/>
              </w:rPr>
            </w:pPr>
          </w:p>
        </w:tc>
        <w:tc>
          <w:tcPr>
            <w:tcW w:w="3686" w:type="dxa"/>
            <w:shd w:val="clear" w:color="auto" w:fill="auto"/>
          </w:tcPr>
          <w:p w14:paraId="578E4288" w14:textId="63F37E1B" w:rsidR="003B573C" w:rsidRPr="00861957" w:rsidRDefault="003B573C" w:rsidP="00351963">
            <w:pPr>
              <w:rPr>
                <w:bCs/>
                <w:kern w:val="24"/>
              </w:rPr>
            </w:pPr>
            <w:r w:rsidRPr="00861957">
              <w:rPr>
                <w:b/>
                <w:kern w:val="24"/>
              </w:rPr>
              <w:t xml:space="preserve">Assumptions: </w:t>
            </w:r>
            <w:r w:rsidRPr="00861957">
              <w:rPr>
                <w:b/>
                <w:kern w:val="24"/>
              </w:rPr>
              <w:br/>
            </w:r>
            <w:r w:rsidRPr="00861957">
              <w:rPr>
                <w:kern w:val="24"/>
              </w:rPr>
              <w:t xml:space="preserve">An effective system </w:t>
            </w:r>
            <w:r w:rsidR="00E80476" w:rsidRPr="00861957">
              <w:rPr>
                <w:kern w:val="24"/>
              </w:rPr>
              <w:t xml:space="preserve">exists for the </w:t>
            </w:r>
            <w:r w:rsidRPr="00861957">
              <w:rPr>
                <w:kern w:val="24"/>
              </w:rPr>
              <w:t xml:space="preserve"> psychosocial rehabilitation of </w:t>
            </w:r>
            <w:r w:rsidR="00351963" w:rsidRPr="00861957">
              <w:rPr>
                <w:kern w:val="24"/>
              </w:rPr>
              <w:t>adolescent</w:t>
            </w:r>
            <w:r w:rsidRPr="00861957">
              <w:rPr>
                <w:kern w:val="24"/>
              </w:rPr>
              <w:t xml:space="preserve"> users of psychoactive substances</w:t>
            </w:r>
            <w:r w:rsidRPr="00861957">
              <w:rPr>
                <w:kern w:val="24"/>
              </w:rPr>
              <w:br/>
            </w:r>
            <w:r w:rsidRPr="00861957">
              <w:rPr>
                <w:b/>
                <w:kern w:val="24"/>
              </w:rPr>
              <w:t>Risks:</w:t>
            </w:r>
            <w:r w:rsidRPr="00861957">
              <w:rPr>
                <w:b/>
                <w:kern w:val="24"/>
              </w:rPr>
              <w:br/>
            </w:r>
            <w:r w:rsidRPr="00861957">
              <w:rPr>
                <w:kern w:val="24"/>
              </w:rPr>
              <w:t>Possible risks related to the stigma attached to being on the narcological register</w:t>
            </w:r>
          </w:p>
        </w:tc>
        <w:tc>
          <w:tcPr>
            <w:tcW w:w="1984" w:type="dxa"/>
          </w:tcPr>
          <w:p w14:paraId="079B3387" w14:textId="3734FA88" w:rsidR="003B573C" w:rsidRPr="00861957" w:rsidRDefault="003B573C" w:rsidP="006A1E21">
            <w:r w:rsidRPr="00861957">
              <w:rPr>
                <w:color w:val="000000" w:themeColor="dark1"/>
                <w:kern w:val="24"/>
              </w:rPr>
              <w:t xml:space="preserve">Ministry of </w:t>
            </w:r>
            <w:r w:rsidR="00E80476" w:rsidRPr="00861957">
              <w:rPr>
                <w:color w:val="000000" w:themeColor="dark1"/>
                <w:kern w:val="24"/>
              </w:rPr>
              <w:t>H</w:t>
            </w:r>
            <w:r w:rsidRPr="00861957">
              <w:rPr>
                <w:color w:val="000000" w:themeColor="dark1"/>
                <w:kern w:val="24"/>
              </w:rPr>
              <w:t>ealth, Ministry of</w:t>
            </w:r>
            <w:r w:rsidR="006A1E21" w:rsidRPr="00861957">
              <w:rPr>
                <w:color w:val="000000" w:themeColor="dark1"/>
                <w:kern w:val="24"/>
              </w:rPr>
              <w:t xml:space="preserve"> </w:t>
            </w:r>
            <w:r w:rsidR="006A1E21" w:rsidRPr="00861957">
              <w:t>Internal Affairs</w:t>
            </w:r>
            <w:r w:rsidRPr="00861957">
              <w:rPr>
                <w:color w:val="000000" w:themeColor="dark1"/>
                <w:kern w:val="24"/>
              </w:rPr>
              <w:t xml:space="preserve">, Ministry of Education; Ministry of Labour and Social Protection, NGOs  </w:t>
            </w:r>
          </w:p>
        </w:tc>
        <w:tc>
          <w:tcPr>
            <w:tcW w:w="1843" w:type="dxa"/>
          </w:tcPr>
          <w:p w14:paraId="68146688" w14:textId="546C2A15" w:rsidR="003B573C" w:rsidRPr="00861957" w:rsidRDefault="003B573C" w:rsidP="00B230A7">
            <w:pPr>
              <w:rPr>
                <w:b/>
                <w:color w:val="000000" w:themeColor="text1"/>
              </w:rPr>
            </w:pPr>
            <w:r w:rsidRPr="00861957">
              <w:rPr>
                <w:b/>
                <w:color w:val="000000" w:themeColor="text1"/>
              </w:rPr>
              <w:t xml:space="preserve">UNICEF – </w:t>
            </w:r>
            <w:r w:rsidR="00624F0A" w:rsidRPr="00861957">
              <w:rPr>
                <w:b/>
                <w:color w:val="000000" w:themeColor="text1"/>
              </w:rPr>
              <w:t>$</w:t>
            </w:r>
            <w:r w:rsidRPr="00861957">
              <w:rPr>
                <w:b/>
                <w:color w:val="000000" w:themeColor="text1"/>
              </w:rPr>
              <w:t>100</w:t>
            </w:r>
            <w:r w:rsidR="00624F0A" w:rsidRPr="00861957">
              <w:rPr>
                <w:b/>
                <w:color w:val="000000" w:themeColor="text1"/>
              </w:rPr>
              <w:t>,</w:t>
            </w:r>
            <w:r w:rsidRPr="00861957">
              <w:rPr>
                <w:b/>
                <w:color w:val="000000" w:themeColor="text1"/>
              </w:rPr>
              <w:t xml:space="preserve">000; </w:t>
            </w:r>
            <w:r w:rsidR="00624F0A" w:rsidRPr="00861957">
              <w:rPr>
                <w:b/>
                <w:color w:val="000000" w:themeColor="text1"/>
              </w:rPr>
              <w:t>$</w:t>
            </w:r>
            <w:r w:rsidRPr="00861957">
              <w:rPr>
                <w:b/>
                <w:color w:val="000000" w:themeColor="text1"/>
              </w:rPr>
              <w:t>150</w:t>
            </w:r>
            <w:r w:rsidR="00624F0A" w:rsidRPr="00861957">
              <w:rPr>
                <w:b/>
                <w:color w:val="000000" w:themeColor="text1"/>
              </w:rPr>
              <w:t>,</w:t>
            </w:r>
            <w:r w:rsidRPr="00861957">
              <w:rPr>
                <w:b/>
                <w:color w:val="000000" w:themeColor="text1"/>
              </w:rPr>
              <w:t>000</w:t>
            </w:r>
          </w:p>
          <w:p w14:paraId="71AE5ADA" w14:textId="067C042F" w:rsidR="003B573C" w:rsidRPr="00861957" w:rsidRDefault="003B573C" w:rsidP="00B230A7">
            <w:pPr>
              <w:rPr>
                <w:b/>
                <w:color w:val="000000" w:themeColor="text1"/>
              </w:rPr>
            </w:pPr>
            <w:r w:rsidRPr="00861957">
              <w:rPr>
                <w:b/>
                <w:color w:val="000000" w:themeColor="text1"/>
              </w:rPr>
              <w:t>(</w:t>
            </w:r>
            <w:r w:rsidRPr="00861957">
              <w:rPr>
                <w:b/>
              </w:rPr>
              <w:t>to be mobili</w:t>
            </w:r>
            <w:r w:rsidR="000F002C" w:rsidRPr="00861957">
              <w:rPr>
                <w:b/>
              </w:rPr>
              <w:t>z</w:t>
            </w:r>
            <w:r w:rsidRPr="00861957">
              <w:rPr>
                <w:b/>
              </w:rPr>
              <w:t>ed</w:t>
            </w:r>
            <w:r w:rsidRPr="00861957">
              <w:rPr>
                <w:b/>
                <w:color w:val="000000" w:themeColor="text1"/>
              </w:rPr>
              <w:t>)</w:t>
            </w:r>
          </w:p>
          <w:p w14:paraId="48E0492B" w14:textId="77777777" w:rsidR="003B573C" w:rsidRPr="00861957" w:rsidRDefault="003B573C" w:rsidP="00B230A7">
            <w:pPr>
              <w:rPr>
                <w:b/>
                <w:color w:val="000000" w:themeColor="text1"/>
              </w:rPr>
            </w:pPr>
            <w:r w:rsidRPr="00861957">
              <w:rPr>
                <w:b/>
                <w:color w:val="000000" w:themeColor="text1"/>
              </w:rPr>
              <w:t>UNODC–</w:t>
            </w:r>
          </w:p>
          <w:p w14:paraId="5F63C6B8" w14:textId="48AC164B" w:rsidR="003B573C" w:rsidRPr="00861957" w:rsidRDefault="00624F0A" w:rsidP="00B230A7">
            <w:pPr>
              <w:rPr>
                <w:b/>
                <w:color w:val="000000" w:themeColor="text1"/>
              </w:rPr>
            </w:pPr>
            <w:r w:rsidRPr="00861957">
              <w:rPr>
                <w:b/>
                <w:color w:val="000000" w:themeColor="text1"/>
              </w:rPr>
              <w:t>$</w:t>
            </w:r>
            <w:r w:rsidR="003B573C" w:rsidRPr="00861957">
              <w:rPr>
                <w:b/>
                <w:color w:val="000000" w:themeColor="text1"/>
              </w:rPr>
              <w:t>50</w:t>
            </w:r>
            <w:r w:rsidRPr="00861957">
              <w:rPr>
                <w:b/>
                <w:color w:val="000000" w:themeColor="text1"/>
              </w:rPr>
              <w:t>,</w:t>
            </w:r>
            <w:r w:rsidR="003B573C" w:rsidRPr="00861957">
              <w:rPr>
                <w:b/>
                <w:color w:val="000000" w:themeColor="text1"/>
              </w:rPr>
              <w:t>000</w:t>
            </w:r>
          </w:p>
        </w:tc>
      </w:tr>
      <w:tr w:rsidR="003B573C" w:rsidRPr="00861957" w14:paraId="63955890" w14:textId="77777777" w:rsidTr="000715E7">
        <w:trPr>
          <w:trHeight w:val="567"/>
        </w:trPr>
        <w:tc>
          <w:tcPr>
            <w:tcW w:w="2268" w:type="dxa"/>
            <w:vMerge/>
            <w:shd w:val="clear" w:color="auto" w:fill="auto"/>
          </w:tcPr>
          <w:p w14:paraId="426291BC" w14:textId="77777777" w:rsidR="003B573C" w:rsidRPr="00861957" w:rsidRDefault="003B573C" w:rsidP="00B230A7">
            <w:pPr>
              <w:rPr>
                <w:b/>
                <w:bCs/>
              </w:rPr>
            </w:pPr>
          </w:p>
        </w:tc>
        <w:tc>
          <w:tcPr>
            <w:tcW w:w="3686" w:type="dxa"/>
            <w:shd w:val="clear" w:color="auto" w:fill="auto"/>
          </w:tcPr>
          <w:p w14:paraId="5A7DC38B" w14:textId="5EB92B35" w:rsidR="003B573C" w:rsidRPr="00861957" w:rsidRDefault="003B573C" w:rsidP="00EA0935">
            <w:pPr>
              <w:rPr>
                <w:color w:val="000000" w:themeColor="dark1"/>
                <w:kern w:val="24"/>
              </w:rPr>
            </w:pPr>
            <w:r w:rsidRPr="00861957">
              <w:rPr>
                <w:b/>
                <w:kern w:val="24"/>
              </w:rPr>
              <w:t xml:space="preserve">Indicator 4.4.5. </w:t>
            </w:r>
            <w:r w:rsidRPr="00861957">
              <w:rPr>
                <w:kern w:val="24"/>
              </w:rPr>
              <w:t>Proportion of crimes committed in a state of drug intoxication (by age and sex of the person)</w:t>
            </w:r>
            <w:r w:rsidRPr="00861957">
              <w:rPr>
                <w:kern w:val="24"/>
              </w:rPr>
              <w:br/>
            </w:r>
            <w:r w:rsidRPr="00861957">
              <w:rPr>
                <w:b/>
                <w:kern w:val="24"/>
              </w:rPr>
              <w:t>Baseline:</w:t>
            </w:r>
            <w:r w:rsidRPr="00861957">
              <w:rPr>
                <w:b/>
                <w:kern w:val="24"/>
              </w:rPr>
              <w:br/>
            </w:r>
            <w:r w:rsidRPr="00861957">
              <w:rPr>
                <w:kern w:val="24"/>
              </w:rPr>
              <w:t>In 2013, 1</w:t>
            </w:r>
            <w:r w:rsidR="00EA0935" w:rsidRPr="00861957">
              <w:rPr>
                <w:kern w:val="24"/>
              </w:rPr>
              <w:t>,</w:t>
            </w:r>
            <w:r w:rsidRPr="00861957">
              <w:rPr>
                <w:kern w:val="24"/>
              </w:rPr>
              <w:t xml:space="preserve">709 crimes committed by persons in a state of drug intoxication </w:t>
            </w:r>
            <w:r w:rsidR="00EA0935" w:rsidRPr="00861957">
              <w:rPr>
                <w:kern w:val="24"/>
              </w:rPr>
              <w:t xml:space="preserve">were </w:t>
            </w:r>
            <w:r w:rsidRPr="00861957">
              <w:rPr>
                <w:kern w:val="24"/>
              </w:rPr>
              <w:t>investigated</w:t>
            </w:r>
            <w:r w:rsidRPr="00861957">
              <w:rPr>
                <w:kern w:val="24"/>
              </w:rPr>
              <w:br/>
            </w:r>
            <w:r w:rsidRPr="00861957">
              <w:rPr>
                <w:b/>
                <w:kern w:val="24"/>
              </w:rPr>
              <w:t>Target:</w:t>
            </w:r>
            <w:r w:rsidRPr="00861957">
              <w:rPr>
                <w:b/>
                <w:kern w:val="24"/>
              </w:rPr>
              <w:br/>
            </w:r>
            <w:r w:rsidRPr="00861957">
              <w:rPr>
                <w:kern w:val="24"/>
              </w:rPr>
              <w:t>10% reduction from the baseline</w:t>
            </w:r>
          </w:p>
        </w:tc>
        <w:tc>
          <w:tcPr>
            <w:tcW w:w="1984" w:type="dxa"/>
            <w:shd w:val="clear" w:color="auto" w:fill="auto"/>
          </w:tcPr>
          <w:p w14:paraId="25C39B11" w14:textId="77777777" w:rsidR="003B573C" w:rsidRPr="00861957" w:rsidRDefault="003B573C" w:rsidP="00B230A7">
            <w:pPr>
              <w:tabs>
                <w:tab w:val="left" w:pos="1080"/>
              </w:tabs>
              <w:rPr>
                <w:bCs/>
              </w:rPr>
            </w:pPr>
            <w:r w:rsidRPr="00861957">
              <w:t xml:space="preserve">Ministry of Internal Affairs </w:t>
            </w:r>
          </w:p>
        </w:tc>
        <w:tc>
          <w:tcPr>
            <w:tcW w:w="3686" w:type="dxa"/>
            <w:shd w:val="clear" w:color="auto" w:fill="auto"/>
          </w:tcPr>
          <w:p w14:paraId="5C20A068" w14:textId="00BB6993" w:rsidR="003B573C" w:rsidRPr="00861957" w:rsidRDefault="003B573C" w:rsidP="00E80476">
            <w:r w:rsidRPr="00861957">
              <w:rPr>
                <w:b/>
              </w:rPr>
              <w:t>Assumptions:</w:t>
            </w:r>
            <w:r w:rsidRPr="00861957">
              <w:rPr>
                <w:b/>
              </w:rPr>
              <w:br/>
            </w:r>
            <w:r w:rsidRPr="00861957">
              <w:t>Effective prevention activities</w:t>
            </w:r>
            <w:r w:rsidR="00E80476" w:rsidRPr="00861957">
              <w:t xml:space="preserve"> and m</w:t>
            </w:r>
            <w:r w:rsidRPr="00861957">
              <w:t xml:space="preserve">odern methods of psychosocial rehabilitation </w:t>
            </w:r>
            <w:r w:rsidR="00E80476" w:rsidRPr="00861957">
              <w:t>are in place</w:t>
            </w:r>
            <w:r w:rsidRPr="00861957">
              <w:br/>
            </w:r>
            <w:r w:rsidRPr="00861957">
              <w:br/>
            </w:r>
            <w:r w:rsidRPr="00861957">
              <w:rPr>
                <w:b/>
              </w:rPr>
              <w:t>Risks:</w:t>
            </w:r>
            <w:r w:rsidRPr="00861957">
              <w:rPr>
                <w:b/>
              </w:rPr>
              <w:br/>
            </w:r>
            <w:r w:rsidRPr="00861957">
              <w:t>Emergence of new drugs that are hard to control</w:t>
            </w:r>
          </w:p>
        </w:tc>
        <w:tc>
          <w:tcPr>
            <w:tcW w:w="1984" w:type="dxa"/>
          </w:tcPr>
          <w:p w14:paraId="6AB6AFB0" w14:textId="30CDCD4C" w:rsidR="003B573C" w:rsidRPr="00861957" w:rsidRDefault="003B573C" w:rsidP="006A1E21">
            <w:r w:rsidRPr="00861957">
              <w:t>Ministry of</w:t>
            </w:r>
            <w:r w:rsidR="006A1E21" w:rsidRPr="00861957">
              <w:t xml:space="preserve"> Internal Affairs</w:t>
            </w:r>
            <w:r w:rsidRPr="00861957">
              <w:t>, Ministry of Education, Ministry of Health; NGOs</w:t>
            </w:r>
          </w:p>
        </w:tc>
        <w:tc>
          <w:tcPr>
            <w:tcW w:w="1843" w:type="dxa"/>
          </w:tcPr>
          <w:p w14:paraId="7D7EE114" w14:textId="77777777" w:rsidR="003B573C" w:rsidRPr="00861957" w:rsidRDefault="003B573C" w:rsidP="00B230A7">
            <w:pPr>
              <w:rPr>
                <w:b/>
                <w:color w:val="000000" w:themeColor="text1"/>
              </w:rPr>
            </w:pPr>
            <w:r w:rsidRPr="00861957">
              <w:rPr>
                <w:b/>
                <w:color w:val="000000" w:themeColor="text1"/>
              </w:rPr>
              <w:t>UNODC –</w:t>
            </w:r>
          </w:p>
          <w:p w14:paraId="078DBCEC" w14:textId="0B762017" w:rsidR="003B573C" w:rsidRPr="00861957" w:rsidRDefault="00624F0A" w:rsidP="00B230A7">
            <w:pPr>
              <w:rPr>
                <w:b/>
              </w:rPr>
            </w:pPr>
            <w:r w:rsidRPr="00861957">
              <w:rPr>
                <w:b/>
                <w:color w:val="000000" w:themeColor="text1"/>
              </w:rPr>
              <w:t>$</w:t>
            </w:r>
            <w:r w:rsidR="003B573C" w:rsidRPr="00861957">
              <w:rPr>
                <w:b/>
                <w:color w:val="000000" w:themeColor="text1"/>
              </w:rPr>
              <w:t>100</w:t>
            </w:r>
            <w:r w:rsidRPr="00861957">
              <w:rPr>
                <w:b/>
                <w:color w:val="000000" w:themeColor="text1"/>
              </w:rPr>
              <w:t>,</w:t>
            </w:r>
            <w:r w:rsidR="003B573C" w:rsidRPr="00861957">
              <w:rPr>
                <w:b/>
                <w:color w:val="000000" w:themeColor="text1"/>
              </w:rPr>
              <w:t>000</w:t>
            </w:r>
          </w:p>
        </w:tc>
      </w:tr>
      <w:tr w:rsidR="003B573C" w:rsidRPr="00861957" w14:paraId="1268A249" w14:textId="77777777" w:rsidTr="00FD4239">
        <w:trPr>
          <w:trHeight w:val="567"/>
        </w:trPr>
        <w:tc>
          <w:tcPr>
            <w:tcW w:w="2268" w:type="dxa"/>
            <w:vMerge/>
            <w:shd w:val="clear" w:color="auto" w:fill="auto"/>
          </w:tcPr>
          <w:p w14:paraId="73737A4E" w14:textId="77777777" w:rsidR="003B573C" w:rsidRPr="00861957" w:rsidRDefault="003B573C" w:rsidP="00B230A7">
            <w:pPr>
              <w:rPr>
                <w:b/>
                <w:bCs/>
              </w:rPr>
            </w:pPr>
          </w:p>
        </w:tc>
        <w:tc>
          <w:tcPr>
            <w:tcW w:w="3686" w:type="dxa"/>
            <w:shd w:val="clear" w:color="auto" w:fill="auto"/>
          </w:tcPr>
          <w:p w14:paraId="3027F50D" w14:textId="0584E709" w:rsidR="003B573C" w:rsidRPr="00861957" w:rsidRDefault="003B573C" w:rsidP="00EA0935">
            <w:pPr>
              <w:rPr>
                <w:color w:val="000000" w:themeColor="dark1"/>
                <w:kern w:val="24"/>
              </w:rPr>
            </w:pPr>
            <w:r w:rsidRPr="00861957">
              <w:rPr>
                <w:b/>
                <w:kern w:val="24"/>
              </w:rPr>
              <w:t xml:space="preserve">Indicator 4.4.6.  </w:t>
            </w:r>
            <w:r w:rsidRPr="00861957">
              <w:rPr>
                <w:kern w:val="24"/>
              </w:rPr>
              <w:t xml:space="preserve">Establishment of a system of psychosocial rehabilitation </w:t>
            </w:r>
            <w:r w:rsidR="00EA0935" w:rsidRPr="00861957">
              <w:rPr>
                <w:kern w:val="24"/>
              </w:rPr>
              <w:t>for</w:t>
            </w:r>
            <w:r w:rsidRPr="00861957">
              <w:rPr>
                <w:kern w:val="24"/>
              </w:rPr>
              <w:t xml:space="preserve"> drug-dependent individuals</w:t>
            </w:r>
            <w:r w:rsidRPr="00861957">
              <w:rPr>
                <w:kern w:val="24"/>
              </w:rPr>
              <w:br/>
            </w:r>
            <w:r w:rsidRPr="00861957">
              <w:rPr>
                <w:b/>
                <w:kern w:val="24"/>
              </w:rPr>
              <w:t xml:space="preserve">Baseline: </w:t>
            </w:r>
            <w:r w:rsidRPr="00861957">
              <w:rPr>
                <w:kern w:val="24"/>
              </w:rPr>
              <w:t>Medical rehabilitation wards are operated by state healthcare facilities and NGOs</w:t>
            </w:r>
            <w:r w:rsidRPr="00861957">
              <w:rPr>
                <w:kern w:val="24"/>
              </w:rPr>
              <w:br/>
            </w:r>
            <w:r w:rsidRPr="00861957">
              <w:rPr>
                <w:b/>
                <w:kern w:val="24"/>
              </w:rPr>
              <w:t xml:space="preserve">Target: </w:t>
            </w:r>
            <w:r w:rsidRPr="00861957">
              <w:rPr>
                <w:kern w:val="24"/>
              </w:rPr>
              <w:t xml:space="preserve"> An operational system of psychosocial rehabilitation </w:t>
            </w:r>
            <w:r w:rsidR="00EA0935" w:rsidRPr="00861957">
              <w:rPr>
                <w:kern w:val="24"/>
              </w:rPr>
              <w:t>for</w:t>
            </w:r>
            <w:r w:rsidRPr="00861957">
              <w:rPr>
                <w:kern w:val="24"/>
              </w:rPr>
              <w:t xml:space="preserve"> </w:t>
            </w:r>
            <w:r w:rsidRPr="00861957">
              <w:rPr>
                <w:kern w:val="24"/>
              </w:rPr>
              <w:lastRenderedPageBreak/>
              <w:t>drug-dependent individuals is in place</w:t>
            </w:r>
          </w:p>
        </w:tc>
        <w:tc>
          <w:tcPr>
            <w:tcW w:w="1984" w:type="dxa"/>
            <w:shd w:val="clear" w:color="auto" w:fill="auto"/>
          </w:tcPr>
          <w:p w14:paraId="07F0D129" w14:textId="77777777" w:rsidR="003B573C" w:rsidRPr="00861957" w:rsidRDefault="003B573C" w:rsidP="00B230A7">
            <w:r w:rsidRPr="00861957">
              <w:rPr>
                <w:color w:val="000000" w:themeColor="dark1"/>
                <w:kern w:val="24"/>
              </w:rPr>
              <w:lastRenderedPageBreak/>
              <w:t>Data source to be determined</w:t>
            </w:r>
          </w:p>
          <w:p w14:paraId="3C94D8C7" w14:textId="77777777" w:rsidR="003B573C" w:rsidRPr="00861957" w:rsidRDefault="003B573C" w:rsidP="00B230A7">
            <w:pPr>
              <w:tabs>
                <w:tab w:val="left" w:pos="1080"/>
              </w:tabs>
              <w:rPr>
                <w:color w:val="000000" w:themeColor="dark1"/>
                <w:kern w:val="24"/>
                <w:highlight w:val="yellow"/>
              </w:rPr>
            </w:pPr>
          </w:p>
        </w:tc>
        <w:tc>
          <w:tcPr>
            <w:tcW w:w="3686" w:type="dxa"/>
            <w:shd w:val="clear" w:color="auto" w:fill="auto"/>
          </w:tcPr>
          <w:p w14:paraId="354D1DB0" w14:textId="5CAAE932" w:rsidR="003B573C" w:rsidRPr="00861957" w:rsidRDefault="003B573C" w:rsidP="00B230A7">
            <w:pPr>
              <w:rPr>
                <w:bCs/>
                <w:kern w:val="24"/>
              </w:rPr>
            </w:pPr>
            <w:r w:rsidRPr="00861957">
              <w:rPr>
                <w:b/>
                <w:kern w:val="24"/>
              </w:rPr>
              <w:t xml:space="preserve">Assumptions: </w:t>
            </w:r>
            <w:r w:rsidRPr="00861957">
              <w:rPr>
                <w:b/>
                <w:kern w:val="24"/>
              </w:rPr>
              <w:br/>
            </w:r>
            <w:r w:rsidRPr="00861957">
              <w:rPr>
                <w:kern w:val="24"/>
              </w:rPr>
              <w:t>Agencies responsible for</w:t>
            </w:r>
            <w:r w:rsidR="00E80476" w:rsidRPr="00861957">
              <w:rPr>
                <w:kern w:val="24"/>
              </w:rPr>
              <w:t xml:space="preserve"> the</w:t>
            </w:r>
            <w:r w:rsidRPr="00861957">
              <w:rPr>
                <w:kern w:val="24"/>
              </w:rPr>
              <w:t xml:space="preserve"> provision of psychosocial rehabilitation services to patients with drug dependency are defined by the legislation </w:t>
            </w:r>
            <w:r w:rsidRPr="00861957">
              <w:rPr>
                <w:kern w:val="24"/>
              </w:rPr>
              <w:br/>
            </w:r>
            <w:r w:rsidRPr="00861957">
              <w:rPr>
                <w:b/>
                <w:kern w:val="24"/>
              </w:rPr>
              <w:t xml:space="preserve">Risks: </w:t>
            </w:r>
            <w:r w:rsidRPr="00861957">
              <w:rPr>
                <w:kern w:val="24"/>
              </w:rPr>
              <w:t>Shortage of qualified staff, ineffective inter</w:t>
            </w:r>
            <w:r w:rsidR="002976CA" w:rsidRPr="00861957">
              <w:rPr>
                <w:kern w:val="24"/>
              </w:rPr>
              <w:t>-</w:t>
            </w:r>
            <w:r w:rsidRPr="00861957">
              <w:rPr>
                <w:kern w:val="24"/>
              </w:rPr>
              <w:t>agency coordination</w:t>
            </w:r>
          </w:p>
        </w:tc>
        <w:tc>
          <w:tcPr>
            <w:tcW w:w="1984" w:type="dxa"/>
          </w:tcPr>
          <w:p w14:paraId="6A78C925" w14:textId="569FEF94" w:rsidR="003B573C" w:rsidRPr="00861957" w:rsidRDefault="003B573C" w:rsidP="006A1E21">
            <w:pPr>
              <w:rPr>
                <w:color w:val="000000" w:themeColor="dark1"/>
                <w:kern w:val="24"/>
                <w:highlight w:val="yellow"/>
              </w:rPr>
            </w:pPr>
            <w:r w:rsidRPr="00861957">
              <w:rPr>
                <w:color w:val="000000" w:themeColor="dark1"/>
                <w:kern w:val="24"/>
              </w:rPr>
              <w:t>Ministry of Health, Ministry of Education, Ministry of</w:t>
            </w:r>
            <w:r w:rsidR="006A1E21" w:rsidRPr="00861957">
              <w:t xml:space="preserve"> Internal Affairs</w:t>
            </w:r>
            <w:r w:rsidRPr="00861957">
              <w:rPr>
                <w:color w:val="000000" w:themeColor="dark1"/>
                <w:kern w:val="24"/>
              </w:rPr>
              <w:t xml:space="preserve">, NGOs    </w:t>
            </w:r>
          </w:p>
        </w:tc>
        <w:tc>
          <w:tcPr>
            <w:tcW w:w="1843" w:type="dxa"/>
          </w:tcPr>
          <w:p w14:paraId="36C972F9" w14:textId="26DAC267" w:rsidR="003B573C" w:rsidRPr="00861957" w:rsidRDefault="003B573C" w:rsidP="00B230A7">
            <w:pPr>
              <w:rPr>
                <w:b/>
                <w:color w:val="000000" w:themeColor="text1"/>
              </w:rPr>
            </w:pPr>
            <w:r w:rsidRPr="00861957">
              <w:rPr>
                <w:b/>
                <w:color w:val="000000" w:themeColor="text1"/>
              </w:rPr>
              <w:t>UNICEF –</w:t>
            </w:r>
            <w:r w:rsidR="00624F0A" w:rsidRPr="00861957">
              <w:rPr>
                <w:b/>
                <w:color w:val="000000" w:themeColor="text1"/>
              </w:rPr>
              <w:t>$</w:t>
            </w:r>
            <w:r w:rsidRPr="00861957">
              <w:rPr>
                <w:b/>
                <w:color w:val="000000" w:themeColor="text1"/>
              </w:rPr>
              <w:t>150</w:t>
            </w:r>
            <w:r w:rsidR="00624F0A" w:rsidRPr="00861957">
              <w:rPr>
                <w:b/>
                <w:color w:val="000000" w:themeColor="text1"/>
              </w:rPr>
              <w:t>,</w:t>
            </w:r>
            <w:r w:rsidRPr="00861957">
              <w:rPr>
                <w:b/>
                <w:color w:val="000000" w:themeColor="text1"/>
              </w:rPr>
              <w:t xml:space="preserve">000; </w:t>
            </w:r>
            <w:r w:rsidR="00624F0A" w:rsidRPr="00861957">
              <w:rPr>
                <w:b/>
                <w:color w:val="000000" w:themeColor="text1"/>
              </w:rPr>
              <w:t>$</w:t>
            </w:r>
            <w:r w:rsidRPr="00861957">
              <w:rPr>
                <w:b/>
                <w:color w:val="000000" w:themeColor="text1"/>
              </w:rPr>
              <w:t>500</w:t>
            </w:r>
            <w:r w:rsidR="00624F0A" w:rsidRPr="00861957">
              <w:rPr>
                <w:b/>
                <w:color w:val="000000" w:themeColor="text1"/>
              </w:rPr>
              <w:t>,</w:t>
            </w:r>
            <w:r w:rsidRPr="00861957">
              <w:rPr>
                <w:b/>
                <w:color w:val="000000" w:themeColor="text1"/>
              </w:rPr>
              <w:t>000</w:t>
            </w:r>
          </w:p>
          <w:p w14:paraId="694C8ED3" w14:textId="50B6DA28" w:rsidR="003B573C" w:rsidRPr="00861957" w:rsidRDefault="003B573C" w:rsidP="00B230A7">
            <w:pPr>
              <w:rPr>
                <w:b/>
                <w:color w:val="000000" w:themeColor="text1"/>
              </w:rPr>
            </w:pPr>
            <w:r w:rsidRPr="00861957">
              <w:rPr>
                <w:b/>
                <w:color w:val="000000" w:themeColor="text1"/>
              </w:rPr>
              <w:t>(</w:t>
            </w:r>
            <w:r w:rsidRPr="00861957">
              <w:rPr>
                <w:b/>
              </w:rPr>
              <w:t>to be mobili</w:t>
            </w:r>
            <w:r w:rsidR="000F002C" w:rsidRPr="00861957">
              <w:rPr>
                <w:b/>
              </w:rPr>
              <w:t>z</w:t>
            </w:r>
            <w:r w:rsidRPr="00861957">
              <w:rPr>
                <w:b/>
              </w:rPr>
              <w:t>ed</w:t>
            </w:r>
            <w:r w:rsidRPr="00861957">
              <w:rPr>
                <w:b/>
                <w:color w:val="000000" w:themeColor="text1"/>
              </w:rPr>
              <w:t>)</w:t>
            </w:r>
          </w:p>
          <w:p w14:paraId="391022B9" w14:textId="77777777" w:rsidR="003B573C" w:rsidRPr="00861957" w:rsidRDefault="003B573C" w:rsidP="00B230A7">
            <w:pPr>
              <w:rPr>
                <w:b/>
                <w:color w:val="000000" w:themeColor="text1"/>
              </w:rPr>
            </w:pPr>
            <w:r w:rsidRPr="00861957">
              <w:rPr>
                <w:b/>
                <w:color w:val="000000" w:themeColor="text1"/>
              </w:rPr>
              <w:t>UNODC –</w:t>
            </w:r>
          </w:p>
          <w:p w14:paraId="3B10E687" w14:textId="6627440E" w:rsidR="003B573C" w:rsidRPr="00861957" w:rsidRDefault="00624F0A" w:rsidP="00B230A7">
            <w:pPr>
              <w:rPr>
                <w:b/>
              </w:rPr>
            </w:pPr>
            <w:r w:rsidRPr="00861957">
              <w:rPr>
                <w:b/>
                <w:color w:val="000000" w:themeColor="text1"/>
              </w:rPr>
              <w:t>$</w:t>
            </w:r>
            <w:r w:rsidR="003B573C" w:rsidRPr="00861957">
              <w:rPr>
                <w:b/>
                <w:color w:val="000000" w:themeColor="text1"/>
              </w:rPr>
              <w:t>200</w:t>
            </w:r>
            <w:r w:rsidRPr="00861957">
              <w:rPr>
                <w:b/>
                <w:color w:val="000000" w:themeColor="text1"/>
              </w:rPr>
              <w:t>,</w:t>
            </w:r>
            <w:r w:rsidR="003B573C" w:rsidRPr="00861957">
              <w:rPr>
                <w:b/>
                <w:color w:val="000000" w:themeColor="text1"/>
              </w:rPr>
              <w:t>000</w:t>
            </w:r>
          </w:p>
        </w:tc>
      </w:tr>
      <w:tr w:rsidR="003B573C" w:rsidRPr="00861957" w14:paraId="1BBD6858" w14:textId="77777777" w:rsidTr="00FD4239">
        <w:trPr>
          <w:trHeight w:val="567"/>
        </w:trPr>
        <w:tc>
          <w:tcPr>
            <w:tcW w:w="2268" w:type="dxa"/>
            <w:vMerge/>
            <w:shd w:val="clear" w:color="auto" w:fill="auto"/>
          </w:tcPr>
          <w:p w14:paraId="53268ACF" w14:textId="77777777" w:rsidR="003B573C" w:rsidRPr="00861957" w:rsidRDefault="003B573C" w:rsidP="00B230A7">
            <w:pPr>
              <w:rPr>
                <w:b/>
                <w:bCs/>
              </w:rPr>
            </w:pPr>
          </w:p>
        </w:tc>
        <w:tc>
          <w:tcPr>
            <w:tcW w:w="3686" w:type="dxa"/>
            <w:shd w:val="clear" w:color="auto" w:fill="auto"/>
          </w:tcPr>
          <w:p w14:paraId="08A7FB33" w14:textId="77777777" w:rsidR="003B573C" w:rsidRPr="00861957" w:rsidRDefault="003B573C" w:rsidP="00183CFB">
            <w:pPr>
              <w:rPr>
                <w:b/>
                <w:color w:val="000000" w:themeColor="dark1"/>
                <w:kern w:val="24"/>
              </w:rPr>
            </w:pPr>
            <w:r w:rsidRPr="00861957">
              <w:rPr>
                <w:b/>
                <w:color w:val="000000" w:themeColor="dark1"/>
                <w:kern w:val="24"/>
              </w:rPr>
              <w:t>Indicator 4.4.7.</w:t>
            </w:r>
          </w:p>
          <w:p w14:paraId="2F5C7865" w14:textId="11DBFEC2" w:rsidR="003B573C" w:rsidRPr="00861957" w:rsidRDefault="003B573C" w:rsidP="00183CFB">
            <w:pPr>
              <w:rPr>
                <w:color w:val="000000" w:themeColor="dark1"/>
                <w:kern w:val="24"/>
              </w:rPr>
            </w:pPr>
            <w:r w:rsidRPr="00861957">
              <w:rPr>
                <w:color w:val="000000" w:themeColor="dark1"/>
                <w:kern w:val="24"/>
              </w:rPr>
              <w:t xml:space="preserve">Adoption of legislation that allows </w:t>
            </w:r>
          </w:p>
          <w:p w14:paraId="09837C42" w14:textId="227FB76A" w:rsidR="003B573C" w:rsidRPr="00861957" w:rsidRDefault="003B573C" w:rsidP="00183CFB">
            <w:pPr>
              <w:rPr>
                <w:b/>
                <w:color w:val="000000" w:themeColor="dark1"/>
                <w:kern w:val="24"/>
              </w:rPr>
            </w:pPr>
            <w:r w:rsidRPr="00861957">
              <w:rPr>
                <w:color w:val="000000" w:themeColor="dark1"/>
                <w:kern w:val="24"/>
              </w:rPr>
              <w:t xml:space="preserve">individuals with </w:t>
            </w:r>
            <w:r w:rsidR="00EA0935" w:rsidRPr="00861957">
              <w:rPr>
                <w:color w:val="000000" w:themeColor="dark1"/>
                <w:kern w:val="24"/>
              </w:rPr>
              <w:t xml:space="preserve">a </w:t>
            </w:r>
            <w:r w:rsidRPr="00861957">
              <w:rPr>
                <w:color w:val="000000" w:themeColor="dark1"/>
                <w:kern w:val="24"/>
              </w:rPr>
              <w:t xml:space="preserve">drug dependency </w:t>
            </w:r>
            <w:r w:rsidR="00EA0935" w:rsidRPr="00861957">
              <w:rPr>
                <w:color w:val="000000" w:themeColor="dark1"/>
                <w:kern w:val="24"/>
              </w:rPr>
              <w:t xml:space="preserve">who have been convicted of a drug-related crime for the first time </w:t>
            </w:r>
            <w:r w:rsidRPr="00861957">
              <w:rPr>
                <w:color w:val="000000" w:themeColor="dark1"/>
                <w:kern w:val="24"/>
              </w:rPr>
              <w:t xml:space="preserve">to </w:t>
            </w:r>
            <w:r w:rsidR="00EA0935" w:rsidRPr="00861957">
              <w:rPr>
                <w:color w:val="000000" w:themeColor="dark1"/>
                <w:kern w:val="24"/>
              </w:rPr>
              <w:t xml:space="preserve">be sent to </w:t>
            </w:r>
            <w:r w:rsidRPr="00861957">
              <w:rPr>
                <w:color w:val="000000" w:themeColor="dark1"/>
                <w:kern w:val="24"/>
              </w:rPr>
              <w:t>treatment (as an alternative to imprisonment)</w:t>
            </w:r>
          </w:p>
          <w:p w14:paraId="1442A0FC" w14:textId="77777777" w:rsidR="003B573C" w:rsidRPr="00861957" w:rsidRDefault="003B573C" w:rsidP="00183CFB">
            <w:pPr>
              <w:rPr>
                <w:b/>
                <w:color w:val="000000" w:themeColor="dark1"/>
                <w:kern w:val="24"/>
              </w:rPr>
            </w:pPr>
            <w:r w:rsidRPr="00861957">
              <w:rPr>
                <w:b/>
                <w:color w:val="000000" w:themeColor="dark1"/>
                <w:kern w:val="24"/>
              </w:rPr>
              <w:t xml:space="preserve">Baseline: </w:t>
            </w:r>
          </w:p>
          <w:p w14:paraId="5B268F14" w14:textId="77777777" w:rsidR="003B573C" w:rsidRPr="00861957" w:rsidRDefault="003B573C" w:rsidP="00183CFB">
            <w:pPr>
              <w:rPr>
                <w:b/>
                <w:color w:val="000000" w:themeColor="dark1"/>
                <w:kern w:val="24"/>
              </w:rPr>
            </w:pPr>
            <w:r w:rsidRPr="00861957">
              <w:rPr>
                <w:color w:val="000000" w:themeColor="dark1"/>
                <w:kern w:val="24"/>
              </w:rPr>
              <w:t>Relevant legislation does not exist</w:t>
            </w:r>
          </w:p>
          <w:p w14:paraId="714BE08F" w14:textId="77777777" w:rsidR="003B573C" w:rsidRPr="00861957" w:rsidRDefault="003B573C" w:rsidP="00183CFB">
            <w:pPr>
              <w:rPr>
                <w:bCs/>
              </w:rPr>
            </w:pPr>
            <w:r w:rsidRPr="00861957">
              <w:rPr>
                <w:b/>
                <w:bCs/>
              </w:rPr>
              <w:t>Target</w:t>
            </w:r>
            <w:r w:rsidRPr="00861957">
              <w:rPr>
                <w:bCs/>
              </w:rPr>
              <w:t>:</w:t>
            </w:r>
          </w:p>
          <w:p w14:paraId="06F2B62E" w14:textId="77777777" w:rsidR="003B573C" w:rsidRPr="00861957" w:rsidRDefault="003B573C" w:rsidP="00183CFB">
            <w:pPr>
              <w:rPr>
                <w:b/>
                <w:color w:val="000000" w:themeColor="dark1"/>
                <w:kern w:val="24"/>
                <w:highlight w:val="cyan"/>
              </w:rPr>
            </w:pPr>
            <w:r w:rsidRPr="00861957">
              <w:rPr>
                <w:bCs/>
              </w:rPr>
              <w:t>2020 – relevant legislation adopted</w:t>
            </w:r>
          </w:p>
        </w:tc>
        <w:tc>
          <w:tcPr>
            <w:tcW w:w="1984" w:type="dxa"/>
            <w:shd w:val="clear" w:color="auto" w:fill="auto"/>
          </w:tcPr>
          <w:p w14:paraId="2843A94D" w14:textId="0549865A" w:rsidR="003B573C" w:rsidRPr="00150457" w:rsidRDefault="003B573C" w:rsidP="0069379D">
            <w:pPr>
              <w:tabs>
                <w:tab w:val="left" w:pos="1080"/>
              </w:tabs>
              <w:rPr>
                <w:color w:val="000000" w:themeColor="dark1"/>
                <w:kern w:val="24"/>
                <w:lang w:val="es-ES"/>
              </w:rPr>
            </w:pPr>
            <w:r w:rsidRPr="00150457">
              <w:rPr>
                <w:color w:val="000000" w:themeColor="dark1"/>
                <w:kern w:val="24"/>
                <w:lang w:val="es-ES"/>
              </w:rPr>
              <w:t>Legal database (</w:t>
            </w:r>
            <w:hyperlink r:id="rId16" w:history="1">
              <w:r w:rsidR="0069379D" w:rsidRPr="00DA50B4">
                <w:rPr>
                  <w:rStyle w:val="Hyperlink"/>
                  <w:kern w:val="24"/>
                  <w:lang w:val="es-ES"/>
                </w:rPr>
                <w:t>http://www.center.gov.by</w:t>
              </w:r>
            </w:hyperlink>
            <w:r w:rsidRPr="00150457">
              <w:rPr>
                <w:color w:val="000000" w:themeColor="dark1"/>
                <w:kern w:val="24"/>
                <w:lang w:val="es-ES"/>
              </w:rPr>
              <w:t>)</w:t>
            </w:r>
          </w:p>
        </w:tc>
        <w:tc>
          <w:tcPr>
            <w:tcW w:w="3686" w:type="dxa"/>
            <w:shd w:val="clear" w:color="auto" w:fill="auto"/>
          </w:tcPr>
          <w:p w14:paraId="46C2B75A" w14:textId="1D229911" w:rsidR="003B573C" w:rsidRPr="00861957" w:rsidRDefault="003B573C" w:rsidP="00183CFB">
            <w:pPr>
              <w:rPr>
                <w:kern w:val="24"/>
              </w:rPr>
            </w:pPr>
            <w:r w:rsidRPr="00861957">
              <w:rPr>
                <w:b/>
                <w:kern w:val="24"/>
              </w:rPr>
              <w:t>Assumptions:</w:t>
            </w:r>
            <w:r w:rsidRPr="00861957">
              <w:rPr>
                <w:b/>
                <w:kern w:val="24"/>
              </w:rPr>
              <w:br/>
            </w:r>
            <w:r w:rsidRPr="00861957">
              <w:rPr>
                <w:kern w:val="24"/>
              </w:rPr>
              <w:t>A favourable environment</w:t>
            </w:r>
            <w:r w:rsidR="00E80476" w:rsidRPr="00861957">
              <w:rPr>
                <w:kern w:val="24"/>
              </w:rPr>
              <w:t xml:space="preserve"> exists</w:t>
            </w:r>
            <w:r w:rsidRPr="00861957">
              <w:rPr>
                <w:kern w:val="24"/>
              </w:rPr>
              <w:t xml:space="preserve"> for</w:t>
            </w:r>
            <w:r w:rsidR="00E80476" w:rsidRPr="00861957">
              <w:rPr>
                <w:kern w:val="24"/>
              </w:rPr>
              <w:t xml:space="preserve"> the</w:t>
            </w:r>
            <w:r w:rsidRPr="00861957">
              <w:rPr>
                <w:kern w:val="24"/>
              </w:rPr>
              <w:t xml:space="preserve"> further humani</w:t>
            </w:r>
            <w:r w:rsidR="000F002C" w:rsidRPr="00861957">
              <w:rPr>
                <w:kern w:val="24"/>
              </w:rPr>
              <w:t>z</w:t>
            </w:r>
            <w:r w:rsidRPr="00861957">
              <w:rPr>
                <w:kern w:val="24"/>
              </w:rPr>
              <w:t xml:space="preserve">ation of criminal law </w:t>
            </w:r>
          </w:p>
          <w:p w14:paraId="3700E35E" w14:textId="77777777" w:rsidR="003B573C" w:rsidRPr="00861957" w:rsidRDefault="003B573C" w:rsidP="00183CFB">
            <w:pPr>
              <w:rPr>
                <w:color w:val="000000"/>
                <w:kern w:val="24"/>
              </w:rPr>
            </w:pPr>
            <w:r w:rsidRPr="00861957">
              <w:rPr>
                <w:b/>
                <w:kern w:val="24"/>
              </w:rPr>
              <w:t>Risks:</w:t>
            </w:r>
            <w:r w:rsidRPr="00861957">
              <w:rPr>
                <w:b/>
                <w:kern w:val="24"/>
              </w:rPr>
              <w:br/>
            </w:r>
            <w:r w:rsidRPr="00861957">
              <w:rPr>
                <w:color w:val="000000"/>
                <w:kern w:val="24"/>
              </w:rPr>
              <w:t xml:space="preserve">Difficulties in developing a consolidated position on draft laws among all interested parties </w:t>
            </w:r>
          </w:p>
          <w:p w14:paraId="381F67AA" w14:textId="77777777" w:rsidR="003B573C" w:rsidRPr="00861957" w:rsidRDefault="003B573C" w:rsidP="00183CFB">
            <w:pPr>
              <w:rPr>
                <w:b/>
                <w:bCs/>
                <w:kern w:val="24"/>
              </w:rPr>
            </w:pPr>
          </w:p>
        </w:tc>
        <w:tc>
          <w:tcPr>
            <w:tcW w:w="1984" w:type="dxa"/>
          </w:tcPr>
          <w:p w14:paraId="27D8A86B" w14:textId="5356D074" w:rsidR="003B573C" w:rsidRPr="00861957" w:rsidRDefault="003B573C" w:rsidP="006A1E21">
            <w:pPr>
              <w:rPr>
                <w:color w:val="000000" w:themeColor="dark1"/>
                <w:kern w:val="24"/>
              </w:rPr>
            </w:pPr>
            <w:r w:rsidRPr="00861957">
              <w:rPr>
                <w:color w:val="000000" w:themeColor="dark1"/>
                <w:kern w:val="24"/>
              </w:rPr>
              <w:t>National Assembly of Belarus, Ministry of</w:t>
            </w:r>
            <w:r w:rsidR="006A1E21" w:rsidRPr="00861957">
              <w:rPr>
                <w:color w:val="000000" w:themeColor="dark1"/>
                <w:kern w:val="24"/>
              </w:rPr>
              <w:t xml:space="preserve"> </w:t>
            </w:r>
            <w:r w:rsidR="006A1E21" w:rsidRPr="00861957">
              <w:t>Internal Affairs</w:t>
            </w:r>
            <w:r w:rsidRPr="00861957">
              <w:rPr>
                <w:color w:val="000000" w:themeColor="dark1"/>
                <w:kern w:val="24"/>
              </w:rPr>
              <w:t>; Ministry of Justice; Ministry of Health; Ministry of Education; Ministry of Labour and Social Protection, NGOs</w:t>
            </w:r>
          </w:p>
        </w:tc>
        <w:tc>
          <w:tcPr>
            <w:tcW w:w="1843" w:type="dxa"/>
          </w:tcPr>
          <w:p w14:paraId="3DC1EB89" w14:textId="180DE731" w:rsidR="003B573C" w:rsidRPr="00861957" w:rsidRDefault="003B573C" w:rsidP="00183CFB">
            <w:pPr>
              <w:rPr>
                <w:b/>
                <w:color w:val="000000" w:themeColor="text1"/>
              </w:rPr>
            </w:pPr>
            <w:r w:rsidRPr="00861957">
              <w:rPr>
                <w:b/>
                <w:color w:val="000000" w:themeColor="text1"/>
              </w:rPr>
              <w:t xml:space="preserve">UNICEF – </w:t>
            </w:r>
            <w:r w:rsidR="00624F0A" w:rsidRPr="00861957">
              <w:rPr>
                <w:b/>
                <w:color w:val="000000" w:themeColor="text1"/>
              </w:rPr>
              <w:t>$</w:t>
            </w:r>
            <w:r w:rsidRPr="00861957">
              <w:rPr>
                <w:b/>
                <w:color w:val="000000" w:themeColor="text1"/>
              </w:rPr>
              <w:t>10</w:t>
            </w:r>
            <w:r w:rsidR="00624F0A" w:rsidRPr="00861957">
              <w:rPr>
                <w:b/>
                <w:color w:val="000000" w:themeColor="text1"/>
              </w:rPr>
              <w:t>,</w:t>
            </w:r>
            <w:r w:rsidRPr="00861957">
              <w:rPr>
                <w:b/>
                <w:color w:val="000000" w:themeColor="text1"/>
              </w:rPr>
              <w:t>000</w:t>
            </w:r>
          </w:p>
          <w:p w14:paraId="5375B85E" w14:textId="6BE3E30A" w:rsidR="003B573C" w:rsidRPr="00861957" w:rsidRDefault="003B573C" w:rsidP="00183CFB">
            <w:pPr>
              <w:rPr>
                <w:b/>
                <w:color w:val="000000" w:themeColor="text1"/>
              </w:rPr>
            </w:pPr>
            <w:r w:rsidRPr="00861957">
              <w:rPr>
                <w:b/>
                <w:color w:val="000000" w:themeColor="text1"/>
              </w:rPr>
              <w:t xml:space="preserve">UNAIDS – </w:t>
            </w:r>
            <w:r w:rsidR="00624F0A" w:rsidRPr="00861957">
              <w:rPr>
                <w:b/>
                <w:color w:val="000000" w:themeColor="text1"/>
              </w:rPr>
              <w:t>$</w:t>
            </w:r>
            <w:r w:rsidRPr="00861957">
              <w:rPr>
                <w:b/>
                <w:color w:val="000000" w:themeColor="text1"/>
              </w:rPr>
              <w:t>10</w:t>
            </w:r>
            <w:r w:rsidR="00624F0A" w:rsidRPr="00861957">
              <w:rPr>
                <w:b/>
                <w:color w:val="000000" w:themeColor="text1"/>
              </w:rPr>
              <w:t>,</w:t>
            </w:r>
            <w:r w:rsidRPr="00861957">
              <w:rPr>
                <w:b/>
                <w:color w:val="000000" w:themeColor="text1"/>
              </w:rPr>
              <w:t>000</w:t>
            </w:r>
          </w:p>
          <w:p w14:paraId="662EC091" w14:textId="77777777" w:rsidR="003B573C" w:rsidRPr="00861957" w:rsidRDefault="003B573C" w:rsidP="00183CFB">
            <w:pPr>
              <w:rPr>
                <w:b/>
                <w:color w:val="000000" w:themeColor="text1"/>
              </w:rPr>
            </w:pPr>
            <w:r w:rsidRPr="00861957">
              <w:rPr>
                <w:b/>
                <w:color w:val="000000" w:themeColor="text1"/>
              </w:rPr>
              <w:t>UNODC –</w:t>
            </w:r>
          </w:p>
          <w:p w14:paraId="2A9E7363" w14:textId="640C4CBC" w:rsidR="003B573C" w:rsidRPr="00861957" w:rsidRDefault="00624F0A" w:rsidP="00183CFB">
            <w:pPr>
              <w:rPr>
                <w:b/>
                <w:color w:val="000000" w:themeColor="text1"/>
              </w:rPr>
            </w:pPr>
            <w:r w:rsidRPr="00861957">
              <w:rPr>
                <w:b/>
                <w:color w:val="000000" w:themeColor="text1"/>
              </w:rPr>
              <w:t>$</w:t>
            </w:r>
            <w:r w:rsidR="003B573C" w:rsidRPr="00861957">
              <w:rPr>
                <w:b/>
                <w:color w:val="000000" w:themeColor="text1"/>
              </w:rPr>
              <w:t>100</w:t>
            </w:r>
            <w:r w:rsidRPr="00861957">
              <w:rPr>
                <w:b/>
                <w:color w:val="000000" w:themeColor="text1"/>
              </w:rPr>
              <w:t>,</w:t>
            </w:r>
            <w:r w:rsidR="003B573C" w:rsidRPr="00861957">
              <w:rPr>
                <w:b/>
                <w:color w:val="000000" w:themeColor="text1"/>
              </w:rPr>
              <w:t>000</w:t>
            </w:r>
          </w:p>
        </w:tc>
      </w:tr>
      <w:tr w:rsidR="00624F0A" w:rsidRPr="00861957" w14:paraId="3624615E" w14:textId="77777777" w:rsidTr="00FD4239">
        <w:trPr>
          <w:trHeight w:val="567"/>
        </w:trPr>
        <w:tc>
          <w:tcPr>
            <w:tcW w:w="2268" w:type="dxa"/>
            <w:shd w:val="clear" w:color="auto" w:fill="auto"/>
          </w:tcPr>
          <w:p w14:paraId="7E7B84EA" w14:textId="77777777" w:rsidR="00624F0A" w:rsidRPr="00861957" w:rsidRDefault="00624F0A" w:rsidP="00B230A7">
            <w:pPr>
              <w:rPr>
                <w:b/>
                <w:bCs/>
              </w:rPr>
            </w:pPr>
          </w:p>
        </w:tc>
        <w:tc>
          <w:tcPr>
            <w:tcW w:w="3686" w:type="dxa"/>
            <w:shd w:val="clear" w:color="auto" w:fill="auto"/>
          </w:tcPr>
          <w:p w14:paraId="7F02052C" w14:textId="77777777" w:rsidR="00624F0A" w:rsidRPr="00861957" w:rsidRDefault="00624F0A" w:rsidP="002723B7">
            <w:pPr>
              <w:rPr>
                <w:b/>
              </w:rPr>
            </w:pPr>
            <w:r w:rsidRPr="00861957">
              <w:rPr>
                <w:b/>
              </w:rPr>
              <w:t>Indicator 4.4.8.</w:t>
            </w:r>
          </w:p>
          <w:p w14:paraId="0B8D54BC" w14:textId="2DF54F82" w:rsidR="00624F0A" w:rsidRPr="00861957" w:rsidRDefault="00624F0A" w:rsidP="002723B7">
            <w:r w:rsidRPr="00861957">
              <w:t xml:space="preserve">Share of people living in the areas that suffered most from </w:t>
            </w:r>
            <w:r w:rsidR="00EA0935" w:rsidRPr="00861957">
              <w:t xml:space="preserve">the </w:t>
            </w:r>
            <w:r w:rsidRPr="00861957">
              <w:t>Chernobyl disaster</w:t>
            </w:r>
            <w:r w:rsidR="00EA0935" w:rsidRPr="00861957">
              <w:t xml:space="preserve"> who</w:t>
            </w:r>
            <w:r w:rsidRPr="00861957">
              <w:t xml:space="preserve"> possess necessary life safety skills. </w:t>
            </w:r>
          </w:p>
          <w:p w14:paraId="47F86B6A" w14:textId="77777777" w:rsidR="00624F0A" w:rsidRPr="00861957" w:rsidRDefault="00624F0A" w:rsidP="002723B7">
            <w:pPr>
              <w:rPr>
                <w:b/>
              </w:rPr>
            </w:pPr>
            <w:r w:rsidRPr="00861957">
              <w:rPr>
                <w:b/>
              </w:rPr>
              <w:t>Baseline:</w:t>
            </w:r>
          </w:p>
          <w:p w14:paraId="203DA76A" w14:textId="36F7FF60" w:rsidR="00624F0A" w:rsidRPr="00861957" w:rsidRDefault="00624F0A" w:rsidP="002723B7">
            <w:r w:rsidRPr="00861957">
              <w:t>45%</w:t>
            </w:r>
          </w:p>
          <w:p w14:paraId="784C422E" w14:textId="77777777" w:rsidR="00624F0A" w:rsidRPr="00861957" w:rsidRDefault="00624F0A" w:rsidP="002723B7">
            <w:pPr>
              <w:rPr>
                <w:b/>
              </w:rPr>
            </w:pPr>
            <w:r w:rsidRPr="00861957">
              <w:rPr>
                <w:b/>
              </w:rPr>
              <w:t>Target:</w:t>
            </w:r>
          </w:p>
          <w:p w14:paraId="63A706B5" w14:textId="630CD4D9" w:rsidR="00624F0A" w:rsidRPr="00861957" w:rsidRDefault="00624F0A" w:rsidP="00183CFB">
            <w:pPr>
              <w:rPr>
                <w:b/>
                <w:color w:val="000000" w:themeColor="dark1"/>
                <w:kern w:val="24"/>
              </w:rPr>
            </w:pPr>
            <w:r w:rsidRPr="00861957">
              <w:t>65%</w:t>
            </w:r>
          </w:p>
        </w:tc>
        <w:tc>
          <w:tcPr>
            <w:tcW w:w="1984" w:type="dxa"/>
            <w:shd w:val="clear" w:color="auto" w:fill="auto"/>
          </w:tcPr>
          <w:p w14:paraId="19B937C8" w14:textId="62183CFB" w:rsidR="00624F0A" w:rsidRPr="00861957" w:rsidRDefault="00624F0A" w:rsidP="00183CFB">
            <w:pPr>
              <w:tabs>
                <w:tab w:val="left" w:pos="1080"/>
              </w:tabs>
              <w:rPr>
                <w:color w:val="000000" w:themeColor="dark1"/>
                <w:kern w:val="24"/>
              </w:rPr>
            </w:pPr>
            <w:r w:rsidRPr="00861957">
              <w:t>STEPS survey</w:t>
            </w:r>
          </w:p>
        </w:tc>
        <w:tc>
          <w:tcPr>
            <w:tcW w:w="3686" w:type="dxa"/>
            <w:shd w:val="clear" w:color="auto" w:fill="auto"/>
          </w:tcPr>
          <w:p w14:paraId="69595CCD" w14:textId="77777777" w:rsidR="00624F0A" w:rsidRPr="00861957" w:rsidRDefault="00624F0A" w:rsidP="002723B7">
            <w:pPr>
              <w:rPr>
                <w:b/>
              </w:rPr>
            </w:pPr>
            <w:r w:rsidRPr="00861957">
              <w:rPr>
                <w:b/>
              </w:rPr>
              <w:t>Assumptions:</w:t>
            </w:r>
          </w:p>
          <w:p w14:paraId="2F06D024" w14:textId="22C1546A" w:rsidR="00624F0A" w:rsidRDefault="00E80476" w:rsidP="00624F0A">
            <w:r w:rsidRPr="00861957">
              <w:t xml:space="preserve">A </w:t>
            </w:r>
            <w:r w:rsidR="00624F0A" w:rsidRPr="00861957">
              <w:t>State Program</w:t>
            </w:r>
            <w:r w:rsidRPr="00861957">
              <w:t>me</w:t>
            </w:r>
            <w:r w:rsidR="00624F0A" w:rsidRPr="00861957">
              <w:t xml:space="preserve"> on Overcoming the Consequences of the Chernobyl </w:t>
            </w:r>
            <w:r w:rsidRPr="00861957">
              <w:t>D</w:t>
            </w:r>
            <w:r w:rsidR="00624F0A" w:rsidRPr="00861957">
              <w:t>isaster for 2016-2020 is developed</w:t>
            </w:r>
          </w:p>
          <w:p w14:paraId="336BCD32" w14:textId="77777777" w:rsidR="00CB7407" w:rsidRPr="00861957" w:rsidRDefault="00CB7407" w:rsidP="00CB7407">
            <w:pPr>
              <w:rPr>
                <w:b/>
              </w:rPr>
            </w:pPr>
            <w:r w:rsidRPr="00861957">
              <w:rPr>
                <w:b/>
              </w:rPr>
              <w:t>Risks:</w:t>
            </w:r>
          </w:p>
          <w:p w14:paraId="49ABC204" w14:textId="651F9798" w:rsidR="00CB7407" w:rsidRPr="00861957" w:rsidRDefault="00CB7407" w:rsidP="00CB7407">
            <w:r w:rsidRPr="00861957">
              <w:t>Possible risks related to slower economic growth and a lack of financing</w:t>
            </w:r>
          </w:p>
          <w:p w14:paraId="719DA7F4" w14:textId="144AEA00" w:rsidR="00CB7407" w:rsidRPr="00861957" w:rsidRDefault="00CB7407" w:rsidP="00624F0A">
            <w:pPr>
              <w:rPr>
                <w:b/>
                <w:kern w:val="24"/>
              </w:rPr>
            </w:pPr>
          </w:p>
        </w:tc>
        <w:tc>
          <w:tcPr>
            <w:tcW w:w="1984" w:type="dxa"/>
          </w:tcPr>
          <w:p w14:paraId="4841339A" w14:textId="0B00EA28" w:rsidR="00624F0A" w:rsidRPr="00861957" w:rsidRDefault="00624F0A" w:rsidP="00183CFB">
            <w:pPr>
              <w:rPr>
                <w:color w:val="000000" w:themeColor="dark1"/>
                <w:kern w:val="24"/>
              </w:rPr>
            </w:pPr>
            <w:r w:rsidRPr="00861957">
              <w:t>Ministry of Emergency</w:t>
            </w:r>
            <w:r w:rsidR="00E44AE9" w:rsidRPr="00861957">
              <w:t xml:space="preserve"> Situations</w:t>
            </w:r>
            <w:r w:rsidRPr="00861957">
              <w:t>, Ministry of Education, National Academy of Sciences of Belarus, local executive bodies, NGOs</w:t>
            </w:r>
          </w:p>
        </w:tc>
        <w:tc>
          <w:tcPr>
            <w:tcW w:w="1843" w:type="dxa"/>
          </w:tcPr>
          <w:p w14:paraId="0E3E9FAD" w14:textId="08078FFE" w:rsidR="00624F0A" w:rsidRPr="00861957" w:rsidRDefault="00624F0A" w:rsidP="002723B7">
            <w:pPr>
              <w:rPr>
                <w:b/>
              </w:rPr>
            </w:pPr>
            <w:r w:rsidRPr="00861957">
              <w:rPr>
                <w:b/>
              </w:rPr>
              <w:t>UNDP – $1,150 000$ (to be mobili</w:t>
            </w:r>
            <w:r w:rsidR="000F002C" w:rsidRPr="00861957">
              <w:rPr>
                <w:b/>
              </w:rPr>
              <w:t>z</w:t>
            </w:r>
            <w:r w:rsidRPr="00861957">
              <w:rPr>
                <w:b/>
              </w:rPr>
              <w:t xml:space="preserve">ed) </w:t>
            </w:r>
          </w:p>
          <w:p w14:paraId="13807755" w14:textId="77777777" w:rsidR="00624F0A" w:rsidRPr="00861957" w:rsidRDefault="00624F0A" w:rsidP="002723B7">
            <w:pPr>
              <w:rPr>
                <w:b/>
              </w:rPr>
            </w:pPr>
          </w:p>
          <w:p w14:paraId="08656D72" w14:textId="52810983" w:rsidR="00624F0A" w:rsidRPr="00861957" w:rsidRDefault="00624F0A" w:rsidP="00183CFB">
            <w:pPr>
              <w:rPr>
                <w:b/>
                <w:color w:val="000000" w:themeColor="text1"/>
              </w:rPr>
            </w:pPr>
          </w:p>
        </w:tc>
      </w:tr>
      <w:tr w:rsidR="00624F0A" w:rsidRPr="00861957" w14:paraId="290ECD23" w14:textId="77777777" w:rsidTr="00FD4239">
        <w:trPr>
          <w:trHeight w:val="567"/>
        </w:trPr>
        <w:tc>
          <w:tcPr>
            <w:tcW w:w="2268" w:type="dxa"/>
            <w:shd w:val="clear" w:color="auto" w:fill="auto"/>
          </w:tcPr>
          <w:p w14:paraId="6DB3D6A5" w14:textId="77777777" w:rsidR="00624F0A" w:rsidRPr="00861957" w:rsidRDefault="00624F0A" w:rsidP="00B230A7">
            <w:pPr>
              <w:rPr>
                <w:b/>
                <w:bCs/>
              </w:rPr>
            </w:pPr>
          </w:p>
        </w:tc>
        <w:tc>
          <w:tcPr>
            <w:tcW w:w="3686" w:type="dxa"/>
            <w:shd w:val="clear" w:color="auto" w:fill="auto"/>
          </w:tcPr>
          <w:p w14:paraId="3748AA5C" w14:textId="77777777" w:rsidR="00624F0A" w:rsidRPr="00861957" w:rsidRDefault="00624F0A" w:rsidP="002723B7">
            <w:pPr>
              <w:rPr>
                <w:b/>
              </w:rPr>
            </w:pPr>
            <w:r w:rsidRPr="00861957">
              <w:rPr>
                <w:b/>
              </w:rPr>
              <w:t>Indicator 4.4.9.</w:t>
            </w:r>
          </w:p>
          <w:p w14:paraId="79BC69FA" w14:textId="252BBAB9" w:rsidR="00624F0A" w:rsidRPr="00861957" w:rsidRDefault="00624F0A" w:rsidP="002723B7">
            <w:r w:rsidRPr="00861957">
              <w:t xml:space="preserve">Number and share of communities in the territories polluted by radiation as a result of Chernobyl disaster with </w:t>
            </w:r>
            <w:r w:rsidR="00EA0935" w:rsidRPr="00861957">
              <w:t xml:space="preserve">an </w:t>
            </w:r>
            <w:r w:rsidRPr="00861957">
              <w:t xml:space="preserve">average annual effective radiation dose </w:t>
            </w:r>
            <w:r w:rsidR="00EA0935" w:rsidRPr="00861957">
              <w:t xml:space="preserve">of </w:t>
            </w:r>
            <w:r w:rsidRPr="00861957">
              <w:t>over 1 mSv/year.</w:t>
            </w:r>
          </w:p>
          <w:p w14:paraId="4C3AA4DD" w14:textId="77777777" w:rsidR="00624F0A" w:rsidRPr="00861957" w:rsidRDefault="00624F0A" w:rsidP="002723B7">
            <w:pPr>
              <w:rPr>
                <w:b/>
              </w:rPr>
            </w:pPr>
            <w:r w:rsidRPr="00861957">
              <w:rPr>
                <w:b/>
              </w:rPr>
              <w:t>Baseline:</w:t>
            </w:r>
          </w:p>
          <w:p w14:paraId="00D394AC" w14:textId="19A70E92" w:rsidR="00624F0A" w:rsidRPr="00861957" w:rsidRDefault="00624F0A" w:rsidP="002723B7">
            <w:r w:rsidRPr="00861957">
              <w:t>193 communities, 8</w:t>
            </w:r>
            <w:r w:rsidR="00EA0935" w:rsidRPr="00861957">
              <w:t>.</w:t>
            </w:r>
            <w:r w:rsidRPr="00861957">
              <w:t>1%.</w:t>
            </w:r>
          </w:p>
          <w:p w14:paraId="4FFB2A8E" w14:textId="77777777" w:rsidR="00624F0A" w:rsidRPr="00861957" w:rsidRDefault="00624F0A" w:rsidP="002723B7">
            <w:pPr>
              <w:rPr>
                <w:b/>
              </w:rPr>
            </w:pPr>
            <w:r w:rsidRPr="00861957">
              <w:rPr>
                <w:b/>
              </w:rPr>
              <w:lastRenderedPageBreak/>
              <w:t>Target:</w:t>
            </w:r>
          </w:p>
          <w:p w14:paraId="273E6C3B" w14:textId="38E6B5D4" w:rsidR="00624F0A" w:rsidRPr="00861957" w:rsidRDefault="00624F0A" w:rsidP="00183CFB">
            <w:pPr>
              <w:rPr>
                <w:b/>
                <w:color w:val="000000" w:themeColor="dark1"/>
                <w:kern w:val="24"/>
              </w:rPr>
            </w:pPr>
            <w:r w:rsidRPr="00861957">
              <w:t>84 communities, 3</w:t>
            </w:r>
            <w:r w:rsidR="00EA0935" w:rsidRPr="00861957">
              <w:t>.</w:t>
            </w:r>
            <w:r w:rsidRPr="00861957">
              <w:t>8%.</w:t>
            </w:r>
          </w:p>
        </w:tc>
        <w:tc>
          <w:tcPr>
            <w:tcW w:w="1984" w:type="dxa"/>
            <w:shd w:val="clear" w:color="auto" w:fill="auto"/>
          </w:tcPr>
          <w:p w14:paraId="20CAE9AE" w14:textId="05DA681A" w:rsidR="00624F0A" w:rsidRPr="00861957" w:rsidRDefault="00624F0A" w:rsidP="00EA0935">
            <w:pPr>
              <w:tabs>
                <w:tab w:val="left" w:pos="1080"/>
              </w:tabs>
              <w:rPr>
                <w:color w:val="000000" w:themeColor="dark1"/>
                <w:kern w:val="24"/>
              </w:rPr>
            </w:pPr>
            <w:r w:rsidRPr="00861957">
              <w:lastRenderedPageBreak/>
              <w:t xml:space="preserve">Catalogue of average annual effective radiation doses among people in Belarusian communities, approved by the </w:t>
            </w:r>
            <w:r w:rsidRPr="00861957">
              <w:lastRenderedPageBreak/>
              <w:t xml:space="preserve">Ministry of Health </w:t>
            </w:r>
          </w:p>
        </w:tc>
        <w:tc>
          <w:tcPr>
            <w:tcW w:w="3686" w:type="dxa"/>
            <w:shd w:val="clear" w:color="auto" w:fill="auto"/>
          </w:tcPr>
          <w:p w14:paraId="2515A1E5" w14:textId="77777777" w:rsidR="00624F0A" w:rsidRPr="00861957" w:rsidRDefault="00624F0A" w:rsidP="002723B7">
            <w:pPr>
              <w:rPr>
                <w:b/>
              </w:rPr>
            </w:pPr>
            <w:r w:rsidRPr="00861957">
              <w:rPr>
                <w:b/>
              </w:rPr>
              <w:lastRenderedPageBreak/>
              <w:t>Assumptions:</w:t>
            </w:r>
          </w:p>
          <w:p w14:paraId="3E057011" w14:textId="54B4FECC" w:rsidR="00624F0A" w:rsidRDefault="00E80476" w:rsidP="00624F0A">
            <w:r w:rsidRPr="00861957">
              <w:t xml:space="preserve">A </w:t>
            </w:r>
            <w:r w:rsidR="00624F0A" w:rsidRPr="00861957">
              <w:t>State Program</w:t>
            </w:r>
            <w:r w:rsidRPr="00861957">
              <w:t>me</w:t>
            </w:r>
            <w:r w:rsidR="00624F0A" w:rsidRPr="00861957">
              <w:t xml:space="preserve"> on Overcoming the Consequences of the Chernobyl </w:t>
            </w:r>
            <w:r w:rsidRPr="00861957">
              <w:t>D</w:t>
            </w:r>
            <w:r w:rsidR="00624F0A" w:rsidRPr="00861957">
              <w:t>isaster for 2016-2020 is developed</w:t>
            </w:r>
          </w:p>
          <w:p w14:paraId="71A915B6" w14:textId="77777777" w:rsidR="00CB7407" w:rsidRPr="00861957" w:rsidRDefault="00CB7407" w:rsidP="00CB7407">
            <w:pPr>
              <w:rPr>
                <w:b/>
              </w:rPr>
            </w:pPr>
            <w:r w:rsidRPr="00861957">
              <w:rPr>
                <w:b/>
              </w:rPr>
              <w:t>Risks:</w:t>
            </w:r>
          </w:p>
          <w:p w14:paraId="7EB2E9A4" w14:textId="3E9FA92F" w:rsidR="00CB7407" w:rsidRPr="00861957" w:rsidRDefault="00CB7407" w:rsidP="00CB7407">
            <w:r w:rsidRPr="00861957">
              <w:t>Possible risks related to slower economic growth and a lack of financing</w:t>
            </w:r>
          </w:p>
          <w:p w14:paraId="23736E50" w14:textId="18FFCBF5" w:rsidR="00CB7407" w:rsidRPr="00861957" w:rsidRDefault="00CB7407" w:rsidP="00624F0A">
            <w:pPr>
              <w:rPr>
                <w:b/>
                <w:kern w:val="24"/>
              </w:rPr>
            </w:pPr>
          </w:p>
        </w:tc>
        <w:tc>
          <w:tcPr>
            <w:tcW w:w="1984" w:type="dxa"/>
          </w:tcPr>
          <w:p w14:paraId="1E5BAC16" w14:textId="71D97014" w:rsidR="00624F0A" w:rsidRPr="00861957" w:rsidRDefault="00624F0A" w:rsidP="00183CFB">
            <w:pPr>
              <w:rPr>
                <w:color w:val="000000" w:themeColor="dark1"/>
                <w:kern w:val="24"/>
              </w:rPr>
            </w:pPr>
            <w:r w:rsidRPr="00861957">
              <w:lastRenderedPageBreak/>
              <w:t>Ministry of Emergency</w:t>
            </w:r>
            <w:r w:rsidR="00E44AE9" w:rsidRPr="00861957">
              <w:t xml:space="preserve"> Situations</w:t>
            </w:r>
            <w:r w:rsidRPr="00861957">
              <w:t xml:space="preserve">, Ministry of Health Care, National Academy of Sciences of </w:t>
            </w:r>
            <w:r w:rsidRPr="00861957">
              <w:lastRenderedPageBreak/>
              <w:t>Belarus, local executive bodies</w:t>
            </w:r>
          </w:p>
        </w:tc>
        <w:tc>
          <w:tcPr>
            <w:tcW w:w="1843" w:type="dxa"/>
          </w:tcPr>
          <w:p w14:paraId="2BF152EE" w14:textId="0E2A3815" w:rsidR="00624F0A" w:rsidRPr="00861957" w:rsidRDefault="00624F0A" w:rsidP="002723B7">
            <w:pPr>
              <w:rPr>
                <w:b/>
              </w:rPr>
            </w:pPr>
            <w:r w:rsidRPr="00861957">
              <w:rPr>
                <w:b/>
              </w:rPr>
              <w:lastRenderedPageBreak/>
              <w:t>UNDP – $1,100,000$ (to be mobili</w:t>
            </w:r>
            <w:r w:rsidR="000F002C" w:rsidRPr="00861957">
              <w:rPr>
                <w:b/>
              </w:rPr>
              <w:t>z</w:t>
            </w:r>
            <w:r w:rsidRPr="00861957">
              <w:rPr>
                <w:b/>
              </w:rPr>
              <w:t xml:space="preserve">ed) </w:t>
            </w:r>
          </w:p>
          <w:p w14:paraId="64073040" w14:textId="77777777" w:rsidR="00624F0A" w:rsidRPr="00861957" w:rsidRDefault="00624F0A" w:rsidP="002723B7">
            <w:pPr>
              <w:rPr>
                <w:b/>
              </w:rPr>
            </w:pPr>
          </w:p>
          <w:p w14:paraId="00FAF29A" w14:textId="12C72499" w:rsidR="00624F0A" w:rsidRPr="00861957" w:rsidRDefault="00624F0A" w:rsidP="002723B7">
            <w:pPr>
              <w:rPr>
                <w:b/>
              </w:rPr>
            </w:pPr>
            <w:r w:rsidRPr="00861957">
              <w:rPr>
                <w:b/>
              </w:rPr>
              <w:t>IAEA – $250,000</w:t>
            </w:r>
          </w:p>
          <w:p w14:paraId="5D1C1C22" w14:textId="77777777" w:rsidR="00624F0A" w:rsidRPr="00861957" w:rsidRDefault="00624F0A" w:rsidP="002723B7">
            <w:pPr>
              <w:rPr>
                <w:b/>
              </w:rPr>
            </w:pPr>
          </w:p>
          <w:p w14:paraId="2E495A8E" w14:textId="77777777" w:rsidR="00624F0A" w:rsidRPr="00861957" w:rsidRDefault="00624F0A" w:rsidP="002723B7">
            <w:pPr>
              <w:jc w:val="center"/>
              <w:rPr>
                <w:b/>
              </w:rPr>
            </w:pPr>
          </w:p>
          <w:p w14:paraId="3DE5843C" w14:textId="77777777" w:rsidR="00624F0A" w:rsidRPr="00861957" w:rsidRDefault="00624F0A" w:rsidP="00183CFB">
            <w:pPr>
              <w:rPr>
                <w:b/>
                <w:color w:val="000000" w:themeColor="text1"/>
              </w:rPr>
            </w:pPr>
          </w:p>
        </w:tc>
      </w:tr>
    </w:tbl>
    <w:p w14:paraId="22242FDC" w14:textId="77777777" w:rsidR="00624F0A" w:rsidRPr="00861957" w:rsidRDefault="00624F0A" w:rsidP="00FC062F">
      <w:pPr>
        <w:pStyle w:val="Heading1"/>
        <w:rPr>
          <w:rFonts w:ascii="Times New Roman" w:hAnsi="Times New Roman" w:cs="Times New Roman"/>
          <w:color w:val="548DD4" w:themeColor="text2" w:themeTint="99"/>
          <w:sz w:val="36"/>
          <w:szCs w:val="36"/>
        </w:rPr>
      </w:pPr>
      <w:r w:rsidRPr="00861957">
        <w:rPr>
          <w:rFonts w:ascii="Times New Roman" w:hAnsi="Times New Roman" w:cs="Times New Roman"/>
          <w:color w:val="548DD4" w:themeColor="text2" w:themeTint="99"/>
          <w:sz w:val="36"/>
          <w:szCs w:val="36"/>
        </w:rPr>
        <w:lastRenderedPageBreak/>
        <w:t xml:space="preserve"> </w:t>
      </w:r>
      <w:r w:rsidR="00014BCB" w:rsidRPr="00861957">
        <w:rPr>
          <w:rFonts w:ascii="Times New Roman" w:hAnsi="Times New Roman" w:cs="Times New Roman"/>
          <w:color w:val="548DD4" w:themeColor="text2" w:themeTint="99"/>
          <w:sz w:val="36"/>
          <w:szCs w:val="36"/>
        </w:rPr>
        <w:br/>
      </w:r>
      <w:r w:rsidR="00014BCB" w:rsidRPr="00861957">
        <w:rPr>
          <w:rFonts w:ascii="Times New Roman" w:hAnsi="Times New Roman" w:cs="Times New Roman"/>
          <w:color w:val="548DD4" w:themeColor="text2" w:themeTint="99"/>
          <w:sz w:val="36"/>
          <w:szCs w:val="36"/>
        </w:rPr>
        <w:br/>
      </w:r>
      <w:bookmarkStart w:id="46" w:name="_Toc412921088"/>
    </w:p>
    <w:p w14:paraId="5C3BF22B" w14:textId="77777777" w:rsidR="00624F0A" w:rsidRPr="00861957" w:rsidRDefault="00624F0A" w:rsidP="00624F0A"/>
    <w:p w14:paraId="52A2D418" w14:textId="77777777" w:rsidR="00624F0A" w:rsidRPr="00861957" w:rsidRDefault="00624F0A" w:rsidP="00624F0A"/>
    <w:p w14:paraId="4BAF8D56" w14:textId="77777777" w:rsidR="00624F0A" w:rsidRPr="00861957" w:rsidRDefault="00624F0A" w:rsidP="00624F0A"/>
    <w:p w14:paraId="28CDF64F" w14:textId="77777777" w:rsidR="00624F0A" w:rsidRPr="00861957" w:rsidRDefault="00624F0A" w:rsidP="00624F0A"/>
    <w:p w14:paraId="006EF4EB" w14:textId="77777777" w:rsidR="00624F0A" w:rsidRDefault="00624F0A" w:rsidP="00624F0A"/>
    <w:p w14:paraId="30BA2274" w14:textId="385B7B1F" w:rsidR="00656A64" w:rsidRDefault="00656A64">
      <w:r>
        <w:br w:type="page"/>
      </w:r>
    </w:p>
    <w:p w14:paraId="4C58C778" w14:textId="5EEA19CA" w:rsidR="00FC062F" w:rsidRPr="00861957" w:rsidRDefault="00FC062F" w:rsidP="00FC062F">
      <w:pPr>
        <w:pStyle w:val="Heading1"/>
        <w:rPr>
          <w:rFonts w:ascii="Times New Roman" w:hAnsi="Times New Roman" w:cs="Times New Roman"/>
          <w:color w:val="548DD4" w:themeColor="text2" w:themeTint="99"/>
          <w:sz w:val="36"/>
          <w:szCs w:val="36"/>
        </w:rPr>
      </w:pPr>
      <w:r w:rsidRPr="00861957">
        <w:rPr>
          <w:rFonts w:ascii="Times New Roman" w:hAnsi="Times New Roman" w:cs="Times New Roman"/>
          <w:color w:val="548DD4" w:themeColor="text2" w:themeTint="99"/>
          <w:sz w:val="36"/>
          <w:szCs w:val="36"/>
        </w:rPr>
        <w:lastRenderedPageBreak/>
        <w:t>Annex II. Monitoring &amp; Evaluation Calendar</w:t>
      </w:r>
      <w:bookmarkEnd w:id="46"/>
    </w:p>
    <w:tbl>
      <w:tblPr>
        <w:tblW w:w="15984" w:type="dxa"/>
        <w:tblLayout w:type="fixed"/>
        <w:tblLook w:val="04A0" w:firstRow="1" w:lastRow="0" w:firstColumn="1" w:lastColumn="0" w:noHBand="0" w:noVBand="1"/>
      </w:tblPr>
      <w:tblGrid>
        <w:gridCol w:w="450"/>
        <w:gridCol w:w="1501"/>
        <w:gridCol w:w="4961"/>
        <w:gridCol w:w="2977"/>
        <w:gridCol w:w="2126"/>
        <w:gridCol w:w="2410"/>
        <w:gridCol w:w="1559"/>
      </w:tblGrid>
      <w:tr w:rsidR="00FC062F" w:rsidRPr="00861957" w14:paraId="124CD0AA" w14:textId="77777777" w:rsidTr="003F64D2">
        <w:trPr>
          <w:trHeight w:val="330"/>
        </w:trPr>
        <w:tc>
          <w:tcPr>
            <w:tcW w:w="15984" w:type="dxa"/>
            <w:gridSpan w:val="7"/>
            <w:tcBorders>
              <w:top w:val="single" w:sz="8" w:space="0" w:color="auto"/>
              <w:left w:val="single" w:sz="8" w:space="0" w:color="auto"/>
              <w:bottom w:val="single" w:sz="8" w:space="0" w:color="auto"/>
              <w:right w:val="single" w:sz="8" w:space="0" w:color="000000"/>
            </w:tcBorders>
            <w:shd w:val="clear" w:color="auto" w:fill="B8CCE4"/>
            <w:noWrap/>
            <w:vAlign w:val="bottom"/>
            <w:hideMark/>
          </w:tcPr>
          <w:p w14:paraId="04E915B9" w14:textId="77777777" w:rsidR="00FC062F" w:rsidRPr="00861957" w:rsidRDefault="00FC062F" w:rsidP="00FC062F">
            <w:pPr>
              <w:spacing w:line="276" w:lineRule="auto"/>
              <w:jc w:val="center"/>
              <w:rPr>
                <w:b/>
                <w:bCs/>
                <w:color w:val="000000"/>
                <w:sz w:val="20"/>
                <w:szCs w:val="20"/>
                <w:lang w:eastAsia="en-US"/>
              </w:rPr>
            </w:pPr>
            <w:r w:rsidRPr="00861957">
              <w:rPr>
                <w:b/>
                <w:bCs/>
                <w:color w:val="000000"/>
                <w:sz w:val="20"/>
                <w:szCs w:val="20"/>
                <w:lang w:eastAsia="en-US"/>
              </w:rPr>
              <w:t xml:space="preserve">UNDAF 2016-2020 M&amp;E Calendar </w:t>
            </w:r>
          </w:p>
          <w:p w14:paraId="7CF3067C" w14:textId="77777777" w:rsidR="00FC062F" w:rsidRPr="00861957" w:rsidRDefault="00FC062F" w:rsidP="00FC062F">
            <w:pPr>
              <w:spacing w:line="276" w:lineRule="auto"/>
              <w:jc w:val="center"/>
              <w:rPr>
                <w:b/>
                <w:bCs/>
                <w:color w:val="000000"/>
                <w:sz w:val="20"/>
                <w:szCs w:val="20"/>
                <w:lang w:eastAsia="en-US"/>
              </w:rPr>
            </w:pPr>
            <w:r w:rsidRPr="00861957">
              <w:rPr>
                <w:b/>
                <w:bCs/>
                <w:color w:val="000000"/>
                <w:sz w:val="20"/>
                <w:szCs w:val="20"/>
                <w:lang w:eastAsia="en-US"/>
              </w:rPr>
              <w:t xml:space="preserve">Republic of Belarus </w:t>
            </w:r>
          </w:p>
        </w:tc>
      </w:tr>
      <w:tr w:rsidR="003F64D2" w:rsidRPr="00861957" w14:paraId="5F443D7C" w14:textId="77777777" w:rsidTr="00014BCB">
        <w:trPr>
          <w:trHeight w:val="330"/>
        </w:trPr>
        <w:tc>
          <w:tcPr>
            <w:tcW w:w="450" w:type="dxa"/>
            <w:tcBorders>
              <w:top w:val="nil"/>
              <w:left w:val="single" w:sz="8" w:space="0" w:color="auto"/>
              <w:bottom w:val="nil"/>
              <w:right w:val="single" w:sz="8" w:space="0" w:color="000000"/>
            </w:tcBorders>
            <w:shd w:val="clear" w:color="auto" w:fill="BFBFBF"/>
            <w:hideMark/>
          </w:tcPr>
          <w:p w14:paraId="27EDC8C6" w14:textId="77777777" w:rsidR="00FC062F" w:rsidRPr="00861957" w:rsidRDefault="00FC062F" w:rsidP="00FC062F">
            <w:pPr>
              <w:spacing w:line="276" w:lineRule="auto"/>
              <w:rPr>
                <w:color w:val="000000"/>
                <w:sz w:val="20"/>
                <w:szCs w:val="20"/>
                <w:lang w:eastAsia="en-US"/>
              </w:rPr>
            </w:pPr>
            <w:r w:rsidRPr="00861957">
              <w:rPr>
                <w:color w:val="000000"/>
                <w:sz w:val="20"/>
                <w:szCs w:val="20"/>
                <w:lang w:eastAsia="en-US"/>
              </w:rPr>
              <w:t> </w:t>
            </w:r>
          </w:p>
        </w:tc>
        <w:tc>
          <w:tcPr>
            <w:tcW w:w="1501" w:type="dxa"/>
            <w:tcBorders>
              <w:top w:val="nil"/>
              <w:left w:val="nil"/>
              <w:bottom w:val="nil"/>
              <w:right w:val="single" w:sz="8" w:space="0" w:color="000000"/>
            </w:tcBorders>
            <w:shd w:val="clear" w:color="auto" w:fill="BFBFBF"/>
            <w:hideMark/>
          </w:tcPr>
          <w:p w14:paraId="683C248D" w14:textId="77777777" w:rsidR="00FC062F" w:rsidRPr="00861957" w:rsidRDefault="00FC062F" w:rsidP="00FC062F">
            <w:pPr>
              <w:spacing w:line="276" w:lineRule="auto"/>
              <w:rPr>
                <w:color w:val="000000"/>
                <w:sz w:val="20"/>
                <w:szCs w:val="20"/>
                <w:lang w:eastAsia="en-US"/>
              </w:rPr>
            </w:pPr>
            <w:r w:rsidRPr="00861957">
              <w:rPr>
                <w:color w:val="000000"/>
                <w:sz w:val="20"/>
                <w:szCs w:val="20"/>
                <w:lang w:eastAsia="en-US"/>
              </w:rPr>
              <w:t> </w:t>
            </w:r>
          </w:p>
        </w:tc>
        <w:tc>
          <w:tcPr>
            <w:tcW w:w="4961" w:type="dxa"/>
            <w:tcBorders>
              <w:top w:val="nil"/>
              <w:left w:val="nil"/>
              <w:bottom w:val="single" w:sz="4" w:space="0" w:color="auto"/>
              <w:right w:val="single" w:sz="8" w:space="0" w:color="000000"/>
            </w:tcBorders>
            <w:shd w:val="clear" w:color="auto" w:fill="BFBFBF"/>
            <w:hideMark/>
          </w:tcPr>
          <w:p w14:paraId="66532025" w14:textId="77777777" w:rsidR="00FC062F" w:rsidRPr="00861957" w:rsidRDefault="00FC062F" w:rsidP="00FC062F">
            <w:pPr>
              <w:spacing w:line="276" w:lineRule="auto"/>
              <w:jc w:val="center"/>
              <w:rPr>
                <w:b/>
                <w:bCs/>
                <w:color w:val="000000"/>
                <w:sz w:val="20"/>
                <w:szCs w:val="20"/>
                <w:lang w:eastAsia="en-US"/>
              </w:rPr>
            </w:pPr>
            <w:r w:rsidRPr="00861957">
              <w:rPr>
                <w:b/>
                <w:bCs/>
                <w:color w:val="000000"/>
                <w:sz w:val="20"/>
                <w:szCs w:val="20"/>
                <w:lang w:eastAsia="en-US"/>
              </w:rPr>
              <w:t>2016</w:t>
            </w:r>
          </w:p>
        </w:tc>
        <w:tc>
          <w:tcPr>
            <w:tcW w:w="2977" w:type="dxa"/>
            <w:tcBorders>
              <w:top w:val="nil"/>
              <w:left w:val="nil"/>
              <w:bottom w:val="single" w:sz="4" w:space="0" w:color="auto"/>
              <w:right w:val="single" w:sz="8" w:space="0" w:color="000000"/>
            </w:tcBorders>
            <w:shd w:val="clear" w:color="auto" w:fill="BFBFBF"/>
            <w:hideMark/>
          </w:tcPr>
          <w:p w14:paraId="1E050D00" w14:textId="77777777" w:rsidR="00FC062F" w:rsidRPr="00861957" w:rsidRDefault="00FC062F" w:rsidP="00FC062F">
            <w:pPr>
              <w:spacing w:line="276" w:lineRule="auto"/>
              <w:jc w:val="center"/>
              <w:rPr>
                <w:b/>
                <w:bCs/>
                <w:color w:val="000000"/>
                <w:sz w:val="20"/>
                <w:szCs w:val="20"/>
                <w:lang w:eastAsia="en-US"/>
              </w:rPr>
            </w:pPr>
            <w:r w:rsidRPr="00861957">
              <w:rPr>
                <w:b/>
                <w:bCs/>
                <w:color w:val="000000"/>
                <w:sz w:val="20"/>
                <w:szCs w:val="20"/>
                <w:lang w:eastAsia="en-US"/>
              </w:rPr>
              <w:t>2017</w:t>
            </w:r>
          </w:p>
        </w:tc>
        <w:tc>
          <w:tcPr>
            <w:tcW w:w="2126" w:type="dxa"/>
            <w:tcBorders>
              <w:top w:val="nil"/>
              <w:left w:val="nil"/>
              <w:bottom w:val="single" w:sz="4" w:space="0" w:color="auto"/>
              <w:right w:val="single" w:sz="8" w:space="0" w:color="000000"/>
            </w:tcBorders>
            <w:shd w:val="clear" w:color="auto" w:fill="BFBFBF"/>
            <w:hideMark/>
          </w:tcPr>
          <w:p w14:paraId="42D07F82" w14:textId="77777777" w:rsidR="00FC062F" w:rsidRPr="00861957" w:rsidRDefault="00FC062F" w:rsidP="00FC062F">
            <w:pPr>
              <w:spacing w:line="276" w:lineRule="auto"/>
              <w:jc w:val="center"/>
              <w:rPr>
                <w:b/>
                <w:bCs/>
                <w:color w:val="000000"/>
                <w:sz w:val="20"/>
                <w:szCs w:val="20"/>
                <w:lang w:eastAsia="en-US"/>
              </w:rPr>
            </w:pPr>
            <w:r w:rsidRPr="00861957">
              <w:rPr>
                <w:b/>
                <w:bCs/>
                <w:color w:val="000000"/>
                <w:sz w:val="20"/>
                <w:szCs w:val="20"/>
                <w:lang w:eastAsia="en-US"/>
              </w:rPr>
              <w:t>2018</w:t>
            </w:r>
          </w:p>
        </w:tc>
        <w:tc>
          <w:tcPr>
            <w:tcW w:w="2410" w:type="dxa"/>
            <w:tcBorders>
              <w:top w:val="nil"/>
              <w:left w:val="nil"/>
              <w:bottom w:val="single" w:sz="4" w:space="0" w:color="auto"/>
              <w:right w:val="single" w:sz="8" w:space="0" w:color="000000"/>
            </w:tcBorders>
            <w:shd w:val="clear" w:color="auto" w:fill="BFBFBF"/>
            <w:hideMark/>
          </w:tcPr>
          <w:p w14:paraId="53B87524" w14:textId="77777777" w:rsidR="00FC062F" w:rsidRPr="00861957" w:rsidRDefault="00FC062F" w:rsidP="00FC062F">
            <w:pPr>
              <w:spacing w:line="276" w:lineRule="auto"/>
              <w:jc w:val="center"/>
              <w:rPr>
                <w:b/>
                <w:bCs/>
                <w:color w:val="000000"/>
                <w:sz w:val="20"/>
                <w:szCs w:val="20"/>
                <w:lang w:eastAsia="en-US"/>
              </w:rPr>
            </w:pPr>
            <w:r w:rsidRPr="00861957">
              <w:rPr>
                <w:b/>
                <w:bCs/>
                <w:color w:val="000000"/>
                <w:sz w:val="20"/>
                <w:szCs w:val="20"/>
                <w:lang w:eastAsia="en-US"/>
              </w:rPr>
              <w:t>2019</w:t>
            </w:r>
          </w:p>
        </w:tc>
        <w:tc>
          <w:tcPr>
            <w:tcW w:w="1559" w:type="dxa"/>
            <w:tcBorders>
              <w:top w:val="nil"/>
              <w:left w:val="nil"/>
              <w:bottom w:val="single" w:sz="4" w:space="0" w:color="auto"/>
              <w:right w:val="single" w:sz="8" w:space="0" w:color="auto"/>
            </w:tcBorders>
            <w:shd w:val="clear" w:color="auto" w:fill="BFBFBF"/>
            <w:hideMark/>
          </w:tcPr>
          <w:p w14:paraId="6672DAE4" w14:textId="77777777" w:rsidR="00FC062F" w:rsidRPr="00861957" w:rsidRDefault="00FC062F" w:rsidP="00FC062F">
            <w:pPr>
              <w:spacing w:line="276" w:lineRule="auto"/>
              <w:jc w:val="center"/>
              <w:rPr>
                <w:b/>
                <w:bCs/>
                <w:color w:val="000000"/>
                <w:sz w:val="20"/>
                <w:szCs w:val="20"/>
                <w:lang w:eastAsia="en-US"/>
              </w:rPr>
            </w:pPr>
            <w:r w:rsidRPr="00861957">
              <w:rPr>
                <w:b/>
                <w:bCs/>
                <w:color w:val="000000"/>
                <w:sz w:val="20"/>
                <w:szCs w:val="20"/>
                <w:lang w:eastAsia="en-US"/>
              </w:rPr>
              <w:t>2020</w:t>
            </w:r>
          </w:p>
        </w:tc>
      </w:tr>
      <w:tr w:rsidR="00876137" w:rsidRPr="00861957" w14:paraId="3ACED469" w14:textId="77777777" w:rsidTr="00014BCB">
        <w:trPr>
          <w:trHeight w:val="358"/>
        </w:trPr>
        <w:tc>
          <w:tcPr>
            <w:tcW w:w="450" w:type="dxa"/>
            <w:vMerge w:val="restart"/>
            <w:tcBorders>
              <w:top w:val="single" w:sz="8" w:space="0" w:color="auto"/>
              <w:left w:val="single" w:sz="8" w:space="0" w:color="auto"/>
              <w:bottom w:val="single" w:sz="8" w:space="0" w:color="000000"/>
              <w:right w:val="single" w:sz="8" w:space="0" w:color="auto"/>
            </w:tcBorders>
            <w:shd w:val="clear" w:color="auto" w:fill="BFBFBF"/>
            <w:textDirection w:val="btLr"/>
            <w:hideMark/>
          </w:tcPr>
          <w:p w14:paraId="57F7A406" w14:textId="77777777" w:rsidR="00876137" w:rsidRPr="00861957" w:rsidRDefault="00876137" w:rsidP="00FC062F">
            <w:pPr>
              <w:spacing w:line="276" w:lineRule="auto"/>
              <w:jc w:val="center"/>
              <w:rPr>
                <w:b/>
                <w:bCs/>
                <w:color w:val="000000"/>
                <w:sz w:val="20"/>
                <w:szCs w:val="20"/>
                <w:lang w:eastAsia="en-US"/>
              </w:rPr>
            </w:pPr>
            <w:r w:rsidRPr="00861957">
              <w:rPr>
                <w:b/>
                <w:bCs/>
                <w:color w:val="000000"/>
                <w:sz w:val="20"/>
                <w:szCs w:val="20"/>
                <w:lang w:eastAsia="en-US"/>
              </w:rPr>
              <w:t>UNCT M&amp;E Activities</w:t>
            </w:r>
          </w:p>
        </w:tc>
        <w:tc>
          <w:tcPr>
            <w:tcW w:w="1501" w:type="dxa"/>
            <w:tcBorders>
              <w:top w:val="single" w:sz="8" w:space="0" w:color="auto"/>
              <w:left w:val="nil"/>
              <w:bottom w:val="nil"/>
              <w:right w:val="single" w:sz="4" w:space="0" w:color="auto"/>
            </w:tcBorders>
            <w:shd w:val="clear" w:color="auto" w:fill="BFBFBF"/>
            <w:hideMark/>
          </w:tcPr>
          <w:p w14:paraId="525C5C2F" w14:textId="77777777" w:rsidR="00876137" w:rsidRPr="00861957" w:rsidRDefault="00876137" w:rsidP="00FC062F">
            <w:pPr>
              <w:spacing w:line="276" w:lineRule="auto"/>
              <w:rPr>
                <w:bCs/>
                <w:color w:val="000000"/>
                <w:sz w:val="20"/>
                <w:szCs w:val="20"/>
                <w:lang w:eastAsia="en-US"/>
              </w:rPr>
            </w:pPr>
            <w:r w:rsidRPr="00861957">
              <w:rPr>
                <w:bCs/>
                <w:color w:val="000000"/>
                <w:sz w:val="20"/>
                <w:szCs w:val="20"/>
                <w:lang w:eastAsia="en-US"/>
              </w:rPr>
              <w:t xml:space="preserve">Surveys/ </w:t>
            </w:r>
          </w:p>
        </w:tc>
        <w:tc>
          <w:tcPr>
            <w:tcW w:w="4961" w:type="dxa"/>
            <w:vMerge w:val="restart"/>
            <w:tcBorders>
              <w:top w:val="single" w:sz="4" w:space="0" w:color="auto"/>
              <w:left w:val="single" w:sz="4" w:space="0" w:color="auto"/>
              <w:bottom w:val="single" w:sz="4" w:space="0" w:color="auto"/>
              <w:right w:val="single" w:sz="4" w:space="0" w:color="auto"/>
            </w:tcBorders>
          </w:tcPr>
          <w:p w14:paraId="3C496764" w14:textId="77777777" w:rsidR="00876137" w:rsidRPr="00861957" w:rsidRDefault="00876137" w:rsidP="00BC3AB5">
            <w:pPr>
              <w:numPr>
                <w:ilvl w:val="0"/>
                <w:numId w:val="21"/>
              </w:numPr>
              <w:spacing w:line="276" w:lineRule="auto"/>
              <w:contextualSpacing/>
              <w:rPr>
                <w:sz w:val="20"/>
                <w:szCs w:val="20"/>
                <w:lang w:eastAsia="en-US"/>
              </w:rPr>
            </w:pPr>
            <w:r w:rsidRPr="00861957">
              <w:rPr>
                <w:sz w:val="20"/>
                <w:szCs w:val="20"/>
                <w:lang w:eastAsia="en-US"/>
              </w:rPr>
              <w:t xml:space="preserve">STEPS Survey </w:t>
            </w:r>
            <w:r w:rsidR="00BC3AB5" w:rsidRPr="00861957">
              <w:rPr>
                <w:sz w:val="20"/>
                <w:szCs w:val="20"/>
                <w:lang w:eastAsia="en-US"/>
              </w:rPr>
              <w:t>(WHO/WB/UNICEF/UNDP)</w:t>
            </w:r>
          </w:p>
          <w:p w14:paraId="67104BE1" w14:textId="77777777" w:rsidR="00A02422" w:rsidRPr="00861957" w:rsidRDefault="00351963" w:rsidP="00A02422">
            <w:pPr>
              <w:pStyle w:val="ListParagraph"/>
              <w:numPr>
                <w:ilvl w:val="0"/>
                <w:numId w:val="21"/>
              </w:numPr>
              <w:spacing w:line="276" w:lineRule="auto"/>
              <w:rPr>
                <w:color w:val="000000" w:themeColor="text1"/>
                <w:sz w:val="20"/>
                <w:szCs w:val="20"/>
              </w:rPr>
            </w:pPr>
            <w:r w:rsidRPr="00861957">
              <w:rPr>
                <w:color w:val="000000" w:themeColor="text1"/>
                <w:sz w:val="20"/>
                <w:szCs w:val="20"/>
              </w:rPr>
              <w:t>Time budget survey (UNICEF/UNFPA</w:t>
            </w:r>
            <w:r w:rsidR="00A02422" w:rsidRPr="00861957">
              <w:rPr>
                <w:color w:val="000000" w:themeColor="text1"/>
                <w:sz w:val="20"/>
                <w:szCs w:val="20"/>
              </w:rPr>
              <w:t>)</w:t>
            </w:r>
          </w:p>
          <w:p w14:paraId="773BEDCC" w14:textId="77777777" w:rsidR="00BC3AB5" w:rsidRPr="00861957" w:rsidRDefault="00351963" w:rsidP="00BC3AB5">
            <w:pPr>
              <w:numPr>
                <w:ilvl w:val="0"/>
                <w:numId w:val="21"/>
              </w:numPr>
              <w:spacing w:line="276" w:lineRule="auto"/>
              <w:contextualSpacing/>
              <w:rPr>
                <w:color w:val="000000" w:themeColor="text1"/>
                <w:sz w:val="20"/>
                <w:szCs w:val="20"/>
              </w:rPr>
            </w:pPr>
            <w:r w:rsidRPr="00861957">
              <w:rPr>
                <w:color w:val="000000" w:themeColor="text1"/>
                <w:sz w:val="20"/>
                <w:szCs w:val="20"/>
              </w:rPr>
              <w:t>Market</w:t>
            </w:r>
            <w:r w:rsidR="00A02422" w:rsidRPr="00861957">
              <w:rPr>
                <w:color w:val="000000" w:themeColor="text1"/>
                <w:sz w:val="20"/>
                <w:szCs w:val="20"/>
              </w:rPr>
              <w:t xml:space="preserve"> segmentation survey (UNFPA)</w:t>
            </w:r>
          </w:p>
          <w:p w14:paraId="511E9D00" w14:textId="2D4F92EB" w:rsidR="00BC3AB5" w:rsidRPr="00861957" w:rsidRDefault="007F4EB7" w:rsidP="00BC3AB5">
            <w:pPr>
              <w:numPr>
                <w:ilvl w:val="0"/>
                <w:numId w:val="21"/>
              </w:numPr>
              <w:spacing w:line="276" w:lineRule="auto"/>
              <w:contextualSpacing/>
              <w:rPr>
                <w:color w:val="000000" w:themeColor="text1"/>
                <w:sz w:val="20"/>
                <w:szCs w:val="20"/>
              </w:rPr>
            </w:pPr>
            <w:r w:rsidRPr="00861957">
              <w:rPr>
                <w:color w:val="000000" w:themeColor="text1"/>
                <w:sz w:val="20"/>
                <w:szCs w:val="20"/>
              </w:rPr>
              <w:t>S</w:t>
            </w:r>
            <w:r w:rsidR="00BC3AB5" w:rsidRPr="00861957">
              <w:rPr>
                <w:color w:val="000000" w:themeColor="text1"/>
                <w:sz w:val="20"/>
                <w:szCs w:val="20"/>
              </w:rPr>
              <w:t xml:space="preserve">ociological research </w:t>
            </w:r>
            <w:r w:rsidR="006E520E" w:rsidRPr="00861957">
              <w:rPr>
                <w:color w:val="000000" w:themeColor="text1"/>
                <w:sz w:val="20"/>
                <w:szCs w:val="20"/>
              </w:rPr>
              <w:t>‘</w:t>
            </w:r>
            <w:r w:rsidR="00BC3AB5" w:rsidRPr="00861957">
              <w:rPr>
                <w:color w:val="000000" w:themeColor="text1"/>
                <w:sz w:val="20"/>
                <w:szCs w:val="20"/>
              </w:rPr>
              <w:t>Family formation, stability of family relationships of Belarusians and fertility in changing socio-economic living conditions</w:t>
            </w:r>
            <w:r w:rsidR="006E520E" w:rsidRPr="00861957">
              <w:rPr>
                <w:color w:val="000000" w:themeColor="text1"/>
                <w:sz w:val="20"/>
                <w:szCs w:val="20"/>
              </w:rPr>
              <w:t>’</w:t>
            </w:r>
            <w:r w:rsidR="00BC3AB5" w:rsidRPr="00861957">
              <w:rPr>
                <w:color w:val="000000" w:themeColor="text1"/>
                <w:sz w:val="20"/>
                <w:szCs w:val="20"/>
              </w:rPr>
              <w:t xml:space="preserve"> (joint project of UNICEF </w:t>
            </w:r>
            <w:r w:rsidRPr="00861957">
              <w:rPr>
                <w:color w:val="000000" w:themeColor="text1"/>
                <w:sz w:val="20"/>
                <w:szCs w:val="20"/>
              </w:rPr>
              <w:t>and</w:t>
            </w:r>
            <w:r w:rsidR="00BC3AB5" w:rsidRPr="00861957">
              <w:rPr>
                <w:color w:val="000000" w:themeColor="text1"/>
                <w:sz w:val="20"/>
                <w:szCs w:val="20"/>
              </w:rPr>
              <w:t xml:space="preserve"> UNFPA)</w:t>
            </w:r>
          </w:p>
          <w:p w14:paraId="1E79E670" w14:textId="77777777" w:rsidR="00BC3AB5" w:rsidRPr="00861957" w:rsidRDefault="00BC3AB5" w:rsidP="00BC3AB5">
            <w:pPr>
              <w:numPr>
                <w:ilvl w:val="0"/>
                <w:numId w:val="21"/>
              </w:numPr>
              <w:spacing w:line="276" w:lineRule="auto"/>
              <w:contextualSpacing/>
              <w:rPr>
                <w:color w:val="000000" w:themeColor="text1"/>
                <w:sz w:val="20"/>
                <w:szCs w:val="20"/>
              </w:rPr>
            </w:pPr>
            <w:r w:rsidRPr="00861957">
              <w:rPr>
                <w:color w:val="000000" w:themeColor="text1"/>
                <w:sz w:val="20"/>
                <w:szCs w:val="20"/>
              </w:rPr>
              <w:t>Child Disability Research (UNICEF)</w:t>
            </w:r>
          </w:p>
          <w:p w14:paraId="458A1D92" w14:textId="60C406FA" w:rsidR="00EE168E" w:rsidRPr="00861957" w:rsidRDefault="00EE168E" w:rsidP="00EE168E">
            <w:pPr>
              <w:numPr>
                <w:ilvl w:val="0"/>
                <w:numId w:val="21"/>
              </w:numPr>
              <w:spacing w:line="276" w:lineRule="auto"/>
              <w:contextualSpacing/>
              <w:rPr>
                <w:color w:val="000000" w:themeColor="text1"/>
                <w:sz w:val="20"/>
                <w:szCs w:val="20"/>
              </w:rPr>
            </w:pPr>
            <w:r w:rsidRPr="00861957">
              <w:rPr>
                <w:color w:val="000000" w:themeColor="text1"/>
                <w:sz w:val="20"/>
                <w:szCs w:val="20"/>
              </w:rPr>
              <w:t xml:space="preserve">Survey on reproductive health </w:t>
            </w:r>
            <w:r w:rsidR="007F4EB7" w:rsidRPr="00861957">
              <w:rPr>
                <w:color w:val="000000" w:themeColor="text1"/>
                <w:sz w:val="20"/>
                <w:szCs w:val="20"/>
              </w:rPr>
              <w:t>and</w:t>
            </w:r>
            <w:r w:rsidRPr="00861957">
              <w:rPr>
                <w:color w:val="000000" w:themeColor="text1"/>
                <w:sz w:val="20"/>
                <w:szCs w:val="20"/>
              </w:rPr>
              <w:t xml:space="preserve"> family planning (UNFPA/UNICEF)</w:t>
            </w:r>
          </w:p>
          <w:p w14:paraId="5E9D3D6F" w14:textId="5B4C9B35" w:rsidR="00330C5F" w:rsidRPr="00861957" w:rsidRDefault="00330C5F" w:rsidP="007F4EB7">
            <w:pPr>
              <w:numPr>
                <w:ilvl w:val="0"/>
                <w:numId w:val="21"/>
              </w:numPr>
              <w:spacing w:line="276" w:lineRule="auto"/>
              <w:contextualSpacing/>
              <w:rPr>
                <w:color w:val="000000" w:themeColor="text1"/>
                <w:sz w:val="20"/>
                <w:szCs w:val="20"/>
              </w:rPr>
            </w:pPr>
            <w:r w:rsidRPr="00861957">
              <w:rPr>
                <w:color w:val="000000" w:themeColor="text1"/>
                <w:sz w:val="20"/>
                <w:szCs w:val="20"/>
              </w:rPr>
              <w:t xml:space="preserve">PWID </w:t>
            </w:r>
            <w:r w:rsidR="007F4EB7" w:rsidRPr="00861957">
              <w:rPr>
                <w:color w:val="000000" w:themeColor="text1"/>
                <w:sz w:val="20"/>
                <w:szCs w:val="20"/>
              </w:rPr>
              <w:t xml:space="preserve">national </w:t>
            </w:r>
            <w:r w:rsidRPr="00861957">
              <w:rPr>
                <w:color w:val="000000" w:themeColor="text1"/>
                <w:sz w:val="20"/>
                <w:szCs w:val="20"/>
              </w:rPr>
              <w:t>population size estimation exercise (UNODC)</w:t>
            </w:r>
          </w:p>
        </w:tc>
        <w:tc>
          <w:tcPr>
            <w:tcW w:w="2977" w:type="dxa"/>
            <w:vMerge w:val="restart"/>
            <w:tcBorders>
              <w:top w:val="single" w:sz="4" w:space="0" w:color="auto"/>
              <w:left w:val="single" w:sz="4" w:space="0" w:color="auto"/>
              <w:bottom w:val="nil"/>
              <w:right w:val="single" w:sz="4" w:space="0" w:color="auto"/>
            </w:tcBorders>
          </w:tcPr>
          <w:p w14:paraId="514AAB88" w14:textId="77777777" w:rsidR="00111D5B" w:rsidRPr="00861957" w:rsidRDefault="00111D5B" w:rsidP="00FC062F">
            <w:pPr>
              <w:spacing w:line="276" w:lineRule="auto"/>
              <w:rPr>
                <w:color w:val="000000" w:themeColor="text1"/>
                <w:sz w:val="20"/>
                <w:szCs w:val="20"/>
              </w:rPr>
            </w:pPr>
            <w:r w:rsidRPr="00861957">
              <w:rPr>
                <w:color w:val="000000" w:themeColor="text1"/>
                <w:sz w:val="20"/>
                <w:szCs w:val="20"/>
              </w:rPr>
              <w:t xml:space="preserve">- </w:t>
            </w:r>
            <w:r w:rsidR="00A02422" w:rsidRPr="00861957">
              <w:rPr>
                <w:color w:val="000000" w:themeColor="text1"/>
                <w:sz w:val="20"/>
                <w:szCs w:val="20"/>
              </w:rPr>
              <w:t>Images survey (UNFPA)</w:t>
            </w:r>
          </w:p>
          <w:p w14:paraId="38A362F0" w14:textId="77777777" w:rsidR="00111D5B" w:rsidRPr="00861957" w:rsidRDefault="00111D5B" w:rsidP="00FC062F">
            <w:pPr>
              <w:spacing w:line="276" w:lineRule="auto"/>
              <w:rPr>
                <w:color w:val="000000" w:themeColor="text1"/>
                <w:sz w:val="20"/>
                <w:szCs w:val="20"/>
              </w:rPr>
            </w:pPr>
            <w:r w:rsidRPr="00861957">
              <w:rPr>
                <w:color w:val="000000" w:themeColor="text1"/>
                <w:sz w:val="20"/>
                <w:szCs w:val="20"/>
              </w:rPr>
              <w:t>- National study ‘Violence against children in institutions’ (UNICEF)</w:t>
            </w:r>
          </w:p>
          <w:p w14:paraId="6F17658E" w14:textId="77777777" w:rsidR="00111D5B" w:rsidRPr="00861957" w:rsidRDefault="00111D5B" w:rsidP="00111D5B">
            <w:pPr>
              <w:spacing w:line="276" w:lineRule="auto"/>
              <w:rPr>
                <w:color w:val="000000" w:themeColor="text1"/>
                <w:sz w:val="20"/>
                <w:szCs w:val="20"/>
              </w:rPr>
            </w:pPr>
            <w:r w:rsidRPr="00861957">
              <w:rPr>
                <w:color w:val="000000" w:themeColor="text1"/>
                <w:sz w:val="20"/>
                <w:szCs w:val="20"/>
              </w:rPr>
              <w:t>- Survey ‘Knowledge, attitudes and practices of adolescents with regard to their health and development’ (UNICEF)</w:t>
            </w:r>
          </w:p>
        </w:tc>
        <w:tc>
          <w:tcPr>
            <w:tcW w:w="2126" w:type="dxa"/>
            <w:vMerge w:val="restart"/>
            <w:tcBorders>
              <w:top w:val="single" w:sz="4" w:space="0" w:color="auto"/>
              <w:left w:val="single" w:sz="4" w:space="0" w:color="auto"/>
              <w:bottom w:val="nil"/>
              <w:right w:val="single" w:sz="4" w:space="0" w:color="auto"/>
            </w:tcBorders>
          </w:tcPr>
          <w:p w14:paraId="6F9FE6A7" w14:textId="77777777" w:rsidR="00876137" w:rsidRPr="00861957" w:rsidRDefault="00111D5B" w:rsidP="00FC062F">
            <w:pPr>
              <w:spacing w:line="276" w:lineRule="auto"/>
              <w:rPr>
                <w:color w:val="000000" w:themeColor="text1"/>
                <w:sz w:val="20"/>
                <w:szCs w:val="20"/>
              </w:rPr>
            </w:pPr>
            <w:r w:rsidRPr="00861957">
              <w:rPr>
                <w:color w:val="000000" w:themeColor="text1"/>
                <w:sz w:val="20"/>
                <w:szCs w:val="20"/>
              </w:rPr>
              <w:t xml:space="preserve">- </w:t>
            </w:r>
            <w:r w:rsidR="00A02422" w:rsidRPr="00861957">
              <w:rPr>
                <w:color w:val="000000" w:themeColor="text1"/>
                <w:sz w:val="20"/>
                <w:szCs w:val="20"/>
              </w:rPr>
              <w:t>Gender and generation survey (UNFPA)</w:t>
            </w:r>
          </w:p>
          <w:p w14:paraId="64608E6D" w14:textId="77777777" w:rsidR="00111D5B" w:rsidRPr="00861957" w:rsidRDefault="00111D5B" w:rsidP="00FC062F">
            <w:pPr>
              <w:spacing w:line="276" w:lineRule="auto"/>
              <w:rPr>
                <w:color w:val="000000" w:themeColor="text1"/>
                <w:sz w:val="20"/>
                <w:szCs w:val="20"/>
                <w:lang w:eastAsia="en-US"/>
              </w:rPr>
            </w:pPr>
            <w:r w:rsidRPr="00861957">
              <w:rPr>
                <w:color w:val="000000" w:themeColor="text1"/>
                <w:sz w:val="20"/>
                <w:szCs w:val="20"/>
                <w:lang w:eastAsia="en-US"/>
              </w:rPr>
              <w:t>- ‘Knowledge, attitudes and practices on Better Parenting’ (UNICEF)</w:t>
            </w:r>
          </w:p>
        </w:tc>
        <w:tc>
          <w:tcPr>
            <w:tcW w:w="2410" w:type="dxa"/>
            <w:vMerge w:val="restart"/>
            <w:tcBorders>
              <w:top w:val="single" w:sz="4" w:space="0" w:color="auto"/>
              <w:left w:val="single" w:sz="4" w:space="0" w:color="auto"/>
              <w:right w:val="single" w:sz="4" w:space="0" w:color="auto"/>
            </w:tcBorders>
          </w:tcPr>
          <w:p w14:paraId="6744CBE1" w14:textId="77777777" w:rsidR="00876137" w:rsidRPr="00861957" w:rsidRDefault="004E2424" w:rsidP="00FC062F">
            <w:pPr>
              <w:rPr>
                <w:color w:val="000000" w:themeColor="text1"/>
                <w:sz w:val="20"/>
                <w:szCs w:val="20"/>
              </w:rPr>
            </w:pPr>
            <w:r w:rsidRPr="00861957">
              <w:rPr>
                <w:color w:val="000000" w:themeColor="text1"/>
                <w:sz w:val="20"/>
                <w:szCs w:val="20"/>
              </w:rPr>
              <w:t>‘Situation Analysis of children in the Republic of Belarus’ (UNICEF)</w:t>
            </w:r>
          </w:p>
        </w:tc>
        <w:tc>
          <w:tcPr>
            <w:tcW w:w="1559" w:type="dxa"/>
            <w:vMerge w:val="restart"/>
            <w:tcBorders>
              <w:top w:val="single" w:sz="4" w:space="0" w:color="auto"/>
              <w:left w:val="single" w:sz="4" w:space="0" w:color="auto"/>
              <w:right w:val="single" w:sz="4" w:space="0" w:color="auto"/>
            </w:tcBorders>
          </w:tcPr>
          <w:p w14:paraId="554E603D" w14:textId="77777777" w:rsidR="00876137" w:rsidRPr="00861957" w:rsidRDefault="004E2424" w:rsidP="004E2424">
            <w:pPr>
              <w:rPr>
                <w:color w:val="000000" w:themeColor="text1"/>
                <w:sz w:val="20"/>
                <w:szCs w:val="20"/>
                <w:lang w:eastAsia="en-US"/>
              </w:rPr>
            </w:pPr>
            <w:r w:rsidRPr="00861957">
              <w:rPr>
                <w:color w:val="000000" w:themeColor="text1"/>
                <w:sz w:val="20"/>
                <w:szCs w:val="20"/>
              </w:rPr>
              <w:t>Inclusive education study (UNICEF)</w:t>
            </w:r>
          </w:p>
        </w:tc>
      </w:tr>
      <w:tr w:rsidR="00876137" w:rsidRPr="00861957" w14:paraId="784DCC80" w14:textId="77777777" w:rsidTr="00014BCB">
        <w:trPr>
          <w:trHeight w:val="315"/>
        </w:trPr>
        <w:tc>
          <w:tcPr>
            <w:tcW w:w="450" w:type="dxa"/>
            <w:vMerge/>
            <w:tcBorders>
              <w:top w:val="single" w:sz="8" w:space="0" w:color="auto"/>
              <w:left w:val="single" w:sz="8" w:space="0" w:color="auto"/>
              <w:bottom w:val="single" w:sz="8" w:space="0" w:color="000000"/>
              <w:right w:val="single" w:sz="8" w:space="0" w:color="auto"/>
            </w:tcBorders>
            <w:vAlign w:val="center"/>
            <w:hideMark/>
          </w:tcPr>
          <w:p w14:paraId="2BB7883A" w14:textId="77777777" w:rsidR="00876137" w:rsidRPr="00861957" w:rsidRDefault="00876137" w:rsidP="00FC062F">
            <w:pPr>
              <w:rPr>
                <w:b/>
                <w:bCs/>
                <w:color w:val="000000"/>
                <w:sz w:val="20"/>
                <w:szCs w:val="20"/>
                <w:lang w:eastAsia="en-US"/>
              </w:rPr>
            </w:pPr>
          </w:p>
        </w:tc>
        <w:tc>
          <w:tcPr>
            <w:tcW w:w="1501" w:type="dxa"/>
            <w:tcBorders>
              <w:top w:val="nil"/>
              <w:left w:val="nil"/>
              <w:bottom w:val="nil"/>
              <w:right w:val="single" w:sz="4" w:space="0" w:color="auto"/>
            </w:tcBorders>
            <w:shd w:val="clear" w:color="auto" w:fill="BFBFBF"/>
            <w:hideMark/>
          </w:tcPr>
          <w:p w14:paraId="3AF1E8DF" w14:textId="77777777" w:rsidR="00876137" w:rsidRPr="00861957" w:rsidRDefault="00876137" w:rsidP="00FC062F">
            <w:pPr>
              <w:spacing w:line="276" w:lineRule="auto"/>
              <w:rPr>
                <w:bCs/>
                <w:color w:val="000000"/>
                <w:sz w:val="20"/>
                <w:szCs w:val="20"/>
                <w:lang w:eastAsia="en-US"/>
              </w:rPr>
            </w:pPr>
            <w:r w:rsidRPr="00861957">
              <w:rPr>
                <w:bCs/>
                <w:color w:val="000000"/>
                <w:sz w:val="20"/>
                <w:szCs w:val="20"/>
                <w:lang w:eastAsia="en-US"/>
              </w:rPr>
              <w:t xml:space="preserve">Studies  </w:t>
            </w: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6D7F77A5" w14:textId="77777777" w:rsidR="00876137" w:rsidRPr="00861957" w:rsidRDefault="00876137" w:rsidP="00FC062F">
            <w:pPr>
              <w:rPr>
                <w:sz w:val="20"/>
                <w:szCs w:val="20"/>
                <w:lang w:eastAsia="en-US"/>
              </w:rPr>
            </w:pPr>
          </w:p>
        </w:tc>
        <w:tc>
          <w:tcPr>
            <w:tcW w:w="2977" w:type="dxa"/>
            <w:vMerge/>
            <w:tcBorders>
              <w:top w:val="single" w:sz="4" w:space="0" w:color="auto"/>
              <w:left w:val="single" w:sz="4" w:space="0" w:color="auto"/>
              <w:bottom w:val="nil"/>
              <w:right w:val="single" w:sz="4" w:space="0" w:color="auto"/>
            </w:tcBorders>
            <w:vAlign w:val="center"/>
            <w:hideMark/>
          </w:tcPr>
          <w:p w14:paraId="4E1DDD77" w14:textId="77777777" w:rsidR="00876137" w:rsidRPr="00861957" w:rsidRDefault="00876137" w:rsidP="00FC062F">
            <w:pPr>
              <w:rPr>
                <w:color w:val="000000"/>
                <w:sz w:val="20"/>
                <w:szCs w:val="20"/>
                <w:lang w:eastAsia="en-US"/>
              </w:rPr>
            </w:pPr>
          </w:p>
        </w:tc>
        <w:tc>
          <w:tcPr>
            <w:tcW w:w="2126" w:type="dxa"/>
            <w:vMerge/>
            <w:tcBorders>
              <w:top w:val="single" w:sz="4" w:space="0" w:color="auto"/>
              <w:left w:val="single" w:sz="4" w:space="0" w:color="auto"/>
              <w:bottom w:val="nil"/>
              <w:right w:val="single" w:sz="4" w:space="0" w:color="auto"/>
            </w:tcBorders>
            <w:vAlign w:val="center"/>
            <w:hideMark/>
          </w:tcPr>
          <w:p w14:paraId="6AC6070E" w14:textId="77777777" w:rsidR="00876137" w:rsidRPr="00861957" w:rsidRDefault="00876137" w:rsidP="00FC062F">
            <w:pPr>
              <w:rPr>
                <w:sz w:val="20"/>
                <w:szCs w:val="20"/>
                <w:lang w:eastAsia="en-US"/>
              </w:rPr>
            </w:pPr>
          </w:p>
        </w:tc>
        <w:tc>
          <w:tcPr>
            <w:tcW w:w="2410" w:type="dxa"/>
            <w:vMerge/>
            <w:tcBorders>
              <w:left w:val="single" w:sz="4" w:space="0" w:color="auto"/>
              <w:right w:val="single" w:sz="4" w:space="0" w:color="auto"/>
            </w:tcBorders>
            <w:vAlign w:val="center"/>
            <w:hideMark/>
          </w:tcPr>
          <w:p w14:paraId="4A098258" w14:textId="77777777" w:rsidR="00876137" w:rsidRPr="00861957" w:rsidRDefault="00876137" w:rsidP="00FC062F">
            <w:pPr>
              <w:rPr>
                <w:color w:val="000000"/>
                <w:sz w:val="20"/>
                <w:szCs w:val="20"/>
                <w:lang w:eastAsia="en-US"/>
              </w:rPr>
            </w:pPr>
          </w:p>
        </w:tc>
        <w:tc>
          <w:tcPr>
            <w:tcW w:w="1559" w:type="dxa"/>
            <w:vMerge/>
            <w:tcBorders>
              <w:left w:val="single" w:sz="4" w:space="0" w:color="auto"/>
              <w:right w:val="single" w:sz="4" w:space="0" w:color="auto"/>
            </w:tcBorders>
            <w:vAlign w:val="center"/>
            <w:hideMark/>
          </w:tcPr>
          <w:p w14:paraId="69DA5723" w14:textId="77777777" w:rsidR="00876137" w:rsidRPr="00861957" w:rsidRDefault="00876137" w:rsidP="00FC062F">
            <w:pPr>
              <w:rPr>
                <w:color w:val="000000"/>
                <w:sz w:val="20"/>
                <w:szCs w:val="20"/>
                <w:lang w:eastAsia="en-US"/>
              </w:rPr>
            </w:pPr>
          </w:p>
        </w:tc>
      </w:tr>
      <w:tr w:rsidR="00876137" w:rsidRPr="00861957" w14:paraId="70B22B8F" w14:textId="77777777" w:rsidTr="00014BCB">
        <w:trPr>
          <w:trHeight w:val="493"/>
        </w:trPr>
        <w:tc>
          <w:tcPr>
            <w:tcW w:w="450" w:type="dxa"/>
            <w:vMerge/>
            <w:tcBorders>
              <w:top w:val="single" w:sz="8" w:space="0" w:color="auto"/>
              <w:left w:val="single" w:sz="8" w:space="0" w:color="auto"/>
              <w:bottom w:val="single" w:sz="8" w:space="0" w:color="000000"/>
              <w:right w:val="single" w:sz="8" w:space="0" w:color="auto"/>
            </w:tcBorders>
            <w:vAlign w:val="center"/>
            <w:hideMark/>
          </w:tcPr>
          <w:p w14:paraId="5BAB5531" w14:textId="77777777" w:rsidR="00876137" w:rsidRPr="00861957" w:rsidRDefault="00876137" w:rsidP="00FC062F">
            <w:pPr>
              <w:rPr>
                <w:b/>
                <w:bCs/>
                <w:color w:val="000000"/>
                <w:sz w:val="20"/>
                <w:szCs w:val="20"/>
                <w:lang w:eastAsia="en-US"/>
              </w:rPr>
            </w:pPr>
          </w:p>
        </w:tc>
        <w:tc>
          <w:tcPr>
            <w:tcW w:w="1501" w:type="dxa"/>
            <w:tcBorders>
              <w:top w:val="nil"/>
              <w:left w:val="nil"/>
              <w:bottom w:val="nil"/>
              <w:right w:val="single" w:sz="4" w:space="0" w:color="auto"/>
            </w:tcBorders>
            <w:shd w:val="clear" w:color="auto" w:fill="BFBFBF"/>
            <w:hideMark/>
          </w:tcPr>
          <w:p w14:paraId="56F01B08" w14:textId="77777777" w:rsidR="00876137" w:rsidRPr="00861957" w:rsidRDefault="00876137" w:rsidP="00FC062F">
            <w:pPr>
              <w:spacing w:line="276" w:lineRule="auto"/>
              <w:rPr>
                <w:color w:val="000000"/>
                <w:sz w:val="20"/>
                <w:szCs w:val="20"/>
                <w:lang w:eastAsia="en-US"/>
              </w:rPr>
            </w:pPr>
            <w:r w:rsidRPr="00861957">
              <w:rPr>
                <w:color w:val="000000"/>
                <w:sz w:val="20"/>
                <w:szCs w:val="20"/>
                <w:lang w:eastAsia="en-US"/>
              </w:rPr>
              <w:t> </w:t>
            </w: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5449E0C4" w14:textId="77777777" w:rsidR="00876137" w:rsidRPr="00861957" w:rsidRDefault="00876137" w:rsidP="00FC062F">
            <w:pPr>
              <w:rPr>
                <w:sz w:val="20"/>
                <w:szCs w:val="20"/>
                <w:lang w:eastAsia="en-US"/>
              </w:rPr>
            </w:pPr>
          </w:p>
        </w:tc>
        <w:tc>
          <w:tcPr>
            <w:tcW w:w="2977" w:type="dxa"/>
            <w:vMerge/>
            <w:tcBorders>
              <w:top w:val="single" w:sz="4" w:space="0" w:color="auto"/>
              <w:left w:val="single" w:sz="4" w:space="0" w:color="auto"/>
              <w:bottom w:val="nil"/>
              <w:right w:val="single" w:sz="4" w:space="0" w:color="auto"/>
            </w:tcBorders>
            <w:vAlign w:val="center"/>
            <w:hideMark/>
          </w:tcPr>
          <w:p w14:paraId="31409765" w14:textId="77777777" w:rsidR="00876137" w:rsidRPr="00861957" w:rsidRDefault="00876137" w:rsidP="00FC062F">
            <w:pPr>
              <w:rPr>
                <w:color w:val="000000"/>
                <w:sz w:val="20"/>
                <w:szCs w:val="20"/>
                <w:lang w:eastAsia="en-US"/>
              </w:rPr>
            </w:pPr>
          </w:p>
        </w:tc>
        <w:tc>
          <w:tcPr>
            <w:tcW w:w="2126" w:type="dxa"/>
            <w:vMerge/>
            <w:tcBorders>
              <w:top w:val="single" w:sz="4" w:space="0" w:color="auto"/>
              <w:left w:val="single" w:sz="4" w:space="0" w:color="auto"/>
              <w:bottom w:val="nil"/>
              <w:right w:val="single" w:sz="4" w:space="0" w:color="auto"/>
            </w:tcBorders>
            <w:vAlign w:val="center"/>
            <w:hideMark/>
          </w:tcPr>
          <w:p w14:paraId="15FCCF84" w14:textId="77777777" w:rsidR="00876137" w:rsidRPr="00861957" w:rsidRDefault="00876137" w:rsidP="00FC062F">
            <w:pPr>
              <w:rPr>
                <w:sz w:val="20"/>
                <w:szCs w:val="20"/>
                <w:lang w:eastAsia="en-US"/>
              </w:rPr>
            </w:pPr>
          </w:p>
        </w:tc>
        <w:tc>
          <w:tcPr>
            <w:tcW w:w="2410" w:type="dxa"/>
            <w:vMerge/>
            <w:tcBorders>
              <w:left w:val="single" w:sz="4" w:space="0" w:color="auto"/>
              <w:right w:val="single" w:sz="4" w:space="0" w:color="auto"/>
            </w:tcBorders>
            <w:vAlign w:val="center"/>
            <w:hideMark/>
          </w:tcPr>
          <w:p w14:paraId="1EB1BBEB" w14:textId="77777777" w:rsidR="00876137" w:rsidRPr="00861957" w:rsidRDefault="00876137" w:rsidP="00FC062F">
            <w:pPr>
              <w:rPr>
                <w:color w:val="000000"/>
                <w:sz w:val="20"/>
                <w:szCs w:val="20"/>
                <w:lang w:eastAsia="en-US"/>
              </w:rPr>
            </w:pPr>
          </w:p>
        </w:tc>
        <w:tc>
          <w:tcPr>
            <w:tcW w:w="1559" w:type="dxa"/>
            <w:vMerge/>
            <w:tcBorders>
              <w:left w:val="single" w:sz="4" w:space="0" w:color="auto"/>
              <w:right w:val="single" w:sz="4" w:space="0" w:color="auto"/>
            </w:tcBorders>
            <w:vAlign w:val="center"/>
            <w:hideMark/>
          </w:tcPr>
          <w:p w14:paraId="2382EC5B" w14:textId="77777777" w:rsidR="00876137" w:rsidRPr="00861957" w:rsidRDefault="00876137" w:rsidP="00FC062F">
            <w:pPr>
              <w:rPr>
                <w:color w:val="000000"/>
                <w:sz w:val="20"/>
                <w:szCs w:val="20"/>
                <w:lang w:eastAsia="en-US"/>
              </w:rPr>
            </w:pPr>
          </w:p>
        </w:tc>
      </w:tr>
      <w:tr w:rsidR="00876137" w:rsidRPr="00861957" w14:paraId="27E717F8" w14:textId="77777777" w:rsidTr="00014BCB">
        <w:trPr>
          <w:trHeight w:val="300"/>
        </w:trPr>
        <w:tc>
          <w:tcPr>
            <w:tcW w:w="450" w:type="dxa"/>
            <w:vMerge/>
            <w:tcBorders>
              <w:top w:val="single" w:sz="8" w:space="0" w:color="auto"/>
              <w:left w:val="single" w:sz="8" w:space="0" w:color="auto"/>
              <w:bottom w:val="single" w:sz="8" w:space="0" w:color="000000"/>
              <w:right w:val="single" w:sz="8" w:space="0" w:color="auto"/>
            </w:tcBorders>
            <w:vAlign w:val="center"/>
            <w:hideMark/>
          </w:tcPr>
          <w:p w14:paraId="7E3DF83E" w14:textId="77777777" w:rsidR="00876137" w:rsidRPr="00861957" w:rsidRDefault="00876137" w:rsidP="00FC062F">
            <w:pPr>
              <w:rPr>
                <w:b/>
                <w:bCs/>
                <w:color w:val="000000"/>
                <w:sz w:val="20"/>
                <w:szCs w:val="20"/>
                <w:lang w:eastAsia="en-US"/>
              </w:rPr>
            </w:pPr>
          </w:p>
        </w:tc>
        <w:tc>
          <w:tcPr>
            <w:tcW w:w="1501" w:type="dxa"/>
            <w:tcBorders>
              <w:top w:val="nil"/>
              <w:left w:val="nil"/>
              <w:bottom w:val="nil"/>
              <w:right w:val="single" w:sz="4" w:space="0" w:color="auto"/>
            </w:tcBorders>
            <w:shd w:val="clear" w:color="auto" w:fill="BFBFBF"/>
            <w:hideMark/>
          </w:tcPr>
          <w:p w14:paraId="2A6966EC" w14:textId="77777777" w:rsidR="00876137" w:rsidRPr="00861957" w:rsidRDefault="00876137" w:rsidP="00FC062F">
            <w:pPr>
              <w:spacing w:line="276" w:lineRule="auto"/>
              <w:rPr>
                <w:color w:val="000000"/>
                <w:sz w:val="20"/>
                <w:szCs w:val="20"/>
                <w:lang w:eastAsia="en-US"/>
              </w:rPr>
            </w:pPr>
            <w:r w:rsidRPr="00861957">
              <w:rPr>
                <w:color w:val="000000"/>
                <w:sz w:val="20"/>
                <w:szCs w:val="20"/>
                <w:lang w:eastAsia="en-US"/>
              </w:rPr>
              <w:t> </w:t>
            </w: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289E4414" w14:textId="77777777" w:rsidR="00876137" w:rsidRPr="00861957" w:rsidRDefault="00876137" w:rsidP="00FC062F">
            <w:pPr>
              <w:rPr>
                <w:sz w:val="20"/>
                <w:szCs w:val="20"/>
                <w:lang w:eastAsia="en-US"/>
              </w:rPr>
            </w:pPr>
          </w:p>
        </w:tc>
        <w:tc>
          <w:tcPr>
            <w:tcW w:w="2977" w:type="dxa"/>
            <w:tcBorders>
              <w:top w:val="nil"/>
              <w:left w:val="single" w:sz="4" w:space="0" w:color="auto"/>
              <w:bottom w:val="nil"/>
              <w:right w:val="single" w:sz="8" w:space="0" w:color="auto"/>
            </w:tcBorders>
            <w:hideMark/>
          </w:tcPr>
          <w:p w14:paraId="5AA66CA9" w14:textId="77777777" w:rsidR="00876137" w:rsidRPr="00861957" w:rsidRDefault="00876137" w:rsidP="00FC062F">
            <w:pPr>
              <w:spacing w:line="276" w:lineRule="auto"/>
              <w:rPr>
                <w:color w:val="000000"/>
                <w:sz w:val="20"/>
                <w:szCs w:val="20"/>
                <w:lang w:eastAsia="en-US"/>
              </w:rPr>
            </w:pPr>
            <w:r w:rsidRPr="00861957">
              <w:rPr>
                <w:color w:val="000000"/>
                <w:sz w:val="20"/>
                <w:szCs w:val="20"/>
                <w:lang w:eastAsia="en-US"/>
              </w:rPr>
              <w:t> </w:t>
            </w:r>
          </w:p>
        </w:tc>
        <w:tc>
          <w:tcPr>
            <w:tcW w:w="2126" w:type="dxa"/>
            <w:tcBorders>
              <w:top w:val="nil"/>
              <w:left w:val="nil"/>
              <w:bottom w:val="nil"/>
              <w:right w:val="single" w:sz="4" w:space="0" w:color="auto"/>
            </w:tcBorders>
            <w:hideMark/>
          </w:tcPr>
          <w:p w14:paraId="3DA36E7B" w14:textId="77777777" w:rsidR="00876137" w:rsidRPr="00861957" w:rsidRDefault="00876137" w:rsidP="00FC062F">
            <w:pPr>
              <w:spacing w:line="276" w:lineRule="auto"/>
              <w:rPr>
                <w:color w:val="000000"/>
                <w:sz w:val="20"/>
                <w:szCs w:val="20"/>
                <w:lang w:eastAsia="en-US"/>
              </w:rPr>
            </w:pPr>
            <w:r w:rsidRPr="00861957">
              <w:rPr>
                <w:color w:val="000000"/>
                <w:sz w:val="20"/>
                <w:szCs w:val="20"/>
                <w:lang w:eastAsia="en-US"/>
              </w:rPr>
              <w:t> </w:t>
            </w:r>
          </w:p>
        </w:tc>
        <w:tc>
          <w:tcPr>
            <w:tcW w:w="2410" w:type="dxa"/>
            <w:vMerge/>
            <w:tcBorders>
              <w:left w:val="single" w:sz="4" w:space="0" w:color="auto"/>
              <w:right w:val="single" w:sz="4" w:space="0" w:color="auto"/>
            </w:tcBorders>
            <w:vAlign w:val="center"/>
            <w:hideMark/>
          </w:tcPr>
          <w:p w14:paraId="41D22B6B" w14:textId="77777777" w:rsidR="00876137" w:rsidRPr="00861957" w:rsidRDefault="00876137" w:rsidP="00FC062F">
            <w:pPr>
              <w:rPr>
                <w:color w:val="000000"/>
                <w:sz w:val="20"/>
                <w:szCs w:val="20"/>
                <w:lang w:eastAsia="en-US"/>
              </w:rPr>
            </w:pPr>
          </w:p>
        </w:tc>
        <w:tc>
          <w:tcPr>
            <w:tcW w:w="1559" w:type="dxa"/>
            <w:vMerge/>
            <w:tcBorders>
              <w:left w:val="single" w:sz="4" w:space="0" w:color="auto"/>
              <w:right w:val="single" w:sz="4" w:space="0" w:color="auto"/>
            </w:tcBorders>
            <w:vAlign w:val="center"/>
            <w:hideMark/>
          </w:tcPr>
          <w:p w14:paraId="36D86D55" w14:textId="77777777" w:rsidR="00876137" w:rsidRPr="00861957" w:rsidRDefault="00876137" w:rsidP="00FC062F">
            <w:pPr>
              <w:rPr>
                <w:color w:val="000000"/>
                <w:sz w:val="20"/>
                <w:szCs w:val="20"/>
                <w:lang w:eastAsia="en-US"/>
              </w:rPr>
            </w:pPr>
          </w:p>
        </w:tc>
      </w:tr>
      <w:tr w:rsidR="00876137" w:rsidRPr="00861957" w14:paraId="5143509A" w14:textId="77777777" w:rsidTr="00014BCB">
        <w:trPr>
          <w:trHeight w:val="600"/>
        </w:trPr>
        <w:tc>
          <w:tcPr>
            <w:tcW w:w="450" w:type="dxa"/>
            <w:vMerge/>
            <w:tcBorders>
              <w:top w:val="single" w:sz="8" w:space="0" w:color="auto"/>
              <w:left w:val="single" w:sz="8" w:space="0" w:color="auto"/>
              <w:bottom w:val="single" w:sz="8" w:space="0" w:color="000000"/>
              <w:right w:val="single" w:sz="8" w:space="0" w:color="auto"/>
            </w:tcBorders>
            <w:vAlign w:val="center"/>
            <w:hideMark/>
          </w:tcPr>
          <w:p w14:paraId="678F4083" w14:textId="77777777" w:rsidR="00876137" w:rsidRPr="00861957" w:rsidRDefault="00876137" w:rsidP="00FC062F">
            <w:pPr>
              <w:rPr>
                <w:b/>
                <w:bCs/>
                <w:color w:val="000000"/>
                <w:sz w:val="20"/>
                <w:szCs w:val="20"/>
                <w:lang w:eastAsia="en-US"/>
              </w:rPr>
            </w:pPr>
          </w:p>
        </w:tc>
        <w:tc>
          <w:tcPr>
            <w:tcW w:w="1501" w:type="dxa"/>
            <w:tcBorders>
              <w:top w:val="nil"/>
              <w:left w:val="nil"/>
              <w:bottom w:val="nil"/>
              <w:right w:val="single" w:sz="4" w:space="0" w:color="auto"/>
            </w:tcBorders>
            <w:shd w:val="clear" w:color="auto" w:fill="BFBFBF"/>
            <w:hideMark/>
          </w:tcPr>
          <w:p w14:paraId="7DAABD00" w14:textId="77777777" w:rsidR="00876137" w:rsidRPr="00861957" w:rsidRDefault="00876137" w:rsidP="00FC062F">
            <w:pPr>
              <w:spacing w:line="276" w:lineRule="auto"/>
              <w:rPr>
                <w:color w:val="000000"/>
                <w:sz w:val="20"/>
                <w:szCs w:val="20"/>
                <w:lang w:eastAsia="en-US"/>
              </w:rPr>
            </w:pPr>
            <w:r w:rsidRPr="00861957">
              <w:rPr>
                <w:color w:val="000000"/>
                <w:sz w:val="20"/>
                <w:szCs w:val="20"/>
                <w:lang w:eastAsia="en-US"/>
              </w:rPr>
              <w:t> </w:t>
            </w: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1A2199EB" w14:textId="77777777" w:rsidR="00876137" w:rsidRPr="00861957" w:rsidRDefault="00876137" w:rsidP="00FC062F">
            <w:pPr>
              <w:rPr>
                <w:sz w:val="20"/>
                <w:szCs w:val="20"/>
                <w:lang w:eastAsia="en-US"/>
              </w:rPr>
            </w:pPr>
          </w:p>
        </w:tc>
        <w:tc>
          <w:tcPr>
            <w:tcW w:w="2977" w:type="dxa"/>
            <w:tcBorders>
              <w:top w:val="nil"/>
              <w:left w:val="single" w:sz="4" w:space="0" w:color="auto"/>
              <w:right w:val="single" w:sz="8" w:space="0" w:color="auto"/>
            </w:tcBorders>
            <w:hideMark/>
          </w:tcPr>
          <w:p w14:paraId="161A9C06" w14:textId="77777777" w:rsidR="00876137" w:rsidRPr="00861957" w:rsidRDefault="00876137" w:rsidP="00FC062F">
            <w:pPr>
              <w:spacing w:line="276" w:lineRule="auto"/>
              <w:rPr>
                <w:color w:val="000000"/>
                <w:sz w:val="20"/>
                <w:szCs w:val="20"/>
                <w:lang w:eastAsia="en-US"/>
              </w:rPr>
            </w:pPr>
            <w:r w:rsidRPr="00861957">
              <w:rPr>
                <w:color w:val="000000"/>
                <w:sz w:val="20"/>
                <w:szCs w:val="20"/>
                <w:lang w:eastAsia="en-US"/>
              </w:rPr>
              <w:t> </w:t>
            </w:r>
          </w:p>
        </w:tc>
        <w:tc>
          <w:tcPr>
            <w:tcW w:w="2126" w:type="dxa"/>
            <w:tcBorders>
              <w:top w:val="nil"/>
              <w:left w:val="nil"/>
              <w:right w:val="single" w:sz="4" w:space="0" w:color="auto"/>
            </w:tcBorders>
            <w:hideMark/>
          </w:tcPr>
          <w:p w14:paraId="15E048E1" w14:textId="77777777" w:rsidR="00876137" w:rsidRPr="00861957" w:rsidRDefault="00876137" w:rsidP="00FC062F">
            <w:pPr>
              <w:spacing w:line="276" w:lineRule="auto"/>
              <w:rPr>
                <w:color w:val="000000"/>
                <w:sz w:val="20"/>
                <w:szCs w:val="20"/>
                <w:lang w:eastAsia="en-US"/>
              </w:rPr>
            </w:pPr>
            <w:r w:rsidRPr="00861957">
              <w:rPr>
                <w:color w:val="000000"/>
                <w:sz w:val="20"/>
                <w:szCs w:val="20"/>
                <w:lang w:eastAsia="en-US"/>
              </w:rPr>
              <w:t> </w:t>
            </w:r>
          </w:p>
        </w:tc>
        <w:tc>
          <w:tcPr>
            <w:tcW w:w="2410" w:type="dxa"/>
            <w:vMerge/>
            <w:tcBorders>
              <w:left w:val="single" w:sz="4" w:space="0" w:color="auto"/>
              <w:right w:val="single" w:sz="4" w:space="0" w:color="auto"/>
            </w:tcBorders>
            <w:vAlign w:val="center"/>
            <w:hideMark/>
          </w:tcPr>
          <w:p w14:paraId="5858AA24" w14:textId="77777777" w:rsidR="00876137" w:rsidRPr="00861957" w:rsidRDefault="00876137" w:rsidP="00FC062F">
            <w:pPr>
              <w:rPr>
                <w:color w:val="000000"/>
                <w:sz w:val="20"/>
                <w:szCs w:val="20"/>
                <w:lang w:eastAsia="en-US"/>
              </w:rPr>
            </w:pPr>
          </w:p>
        </w:tc>
        <w:tc>
          <w:tcPr>
            <w:tcW w:w="1559" w:type="dxa"/>
            <w:vMerge/>
            <w:tcBorders>
              <w:left w:val="single" w:sz="4" w:space="0" w:color="auto"/>
              <w:right w:val="single" w:sz="4" w:space="0" w:color="auto"/>
            </w:tcBorders>
            <w:vAlign w:val="center"/>
            <w:hideMark/>
          </w:tcPr>
          <w:p w14:paraId="5C840F14" w14:textId="77777777" w:rsidR="00876137" w:rsidRPr="00861957" w:rsidRDefault="00876137" w:rsidP="00FC062F">
            <w:pPr>
              <w:rPr>
                <w:color w:val="000000"/>
                <w:sz w:val="20"/>
                <w:szCs w:val="20"/>
                <w:lang w:eastAsia="en-US"/>
              </w:rPr>
            </w:pPr>
          </w:p>
        </w:tc>
      </w:tr>
      <w:tr w:rsidR="00876137" w:rsidRPr="00861957" w14:paraId="41BD4546" w14:textId="77777777" w:rsidTr="008B2AD6">
        <w:trPr>
          <w:trHeight w:val="135"/>
        </w:trPr>
        <w:tc>
          <w:tcPr>
            <w:tcW w:w="450" w:type="dxa"/>
            <w:vMerge/>
            <w:tcBorders>
              <w:top w:val="single" w:sz="8" w:space="0" w:color="auto"/>
              <w:left w:val="single" w:sz="8" w:space="0" w:color="auto"/>
              <w:bottom w:val="single" w:sz="8" w:space="0" w:color="000000"/>
              <w:right w:val="single" w:sz="8" w:space="0" w:color="auto"/>
            </w:tcBorders>
            <w:vAlign w:val="center"/>
            <w:hideMark/>
          </w:tcPr>
          <w:p w14:paraId="1E77F1B9" w14:textId="77777777" w:rsidR="00876137" w:rsidRPr="00861957" w:rsidRDefault="00876137" w:rsidP="00FC062F">
            <w:pPr>
              <w:rPr>
                <w:b/>
                <w:bCs/>
                <w:color w:val="000000"/>
                <w:sz w:val="20"/>
                <w:szCs w:val="20"/>
                <w:lang w:eastAsia="en-US"/>
              </w:rPr>
            </w:pPr>
          </w:p>
        </w:tc>
        <w:tc>
          <w:tcPr>
            <w:tcW w:w="1501" w:type="dxa"/>
            <w:tcBorders>
              <w:top w:val="nil"/>
              <w:left w:val="nil"/>
              <w:bottom w:val="single" w:sz="4" w:space="0" w:color="auto"/>
              <w:right w:val="single" w:sz="4" w:space="0" w:color="auto"/>
            </w:tcBorders>
            <w:shd w:val="clear" w:color="auto" w:fill="BFBFBF"/>
            <w:hideMark/>
          </w:tcPr>
          <w:p w14:paraId="7A810E82" w14:textId="77777777" w:rsidR="00876137" w:rsidRPr="00861957" w:rsidRDefault="00876137" w:rsidP="00FC062F">
            <w:pPr>
              <w:spacing w:line="276" w:lineRule="auto"/>
              <w:rPr>
                <w:color w:val="000000"/>
                <w:sz w:val="20"/>
                <w:szCs w:val="20"/>
                <w:lang w:eastAsia="en-US"/>
              </w:rPr>
            </w:pPr>
            <w:r w:rsidRPr="00861957">
              <w:rPr>
                <w:color w:val="000000"/>
                <w:sz w:val="20"/>
                <w:szCs w:val="20"/>
                <w:lang w:eastAsia="en-US"/>
              </w:rPr>
              <w:t> </w:t>
            </w: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44169C4B" w14:textId="77777777" w:rsidR="00876137" w:rsidRPr="00861957" w:rsidRDefault="00876137" w:rsidP="00FC062F">
            <w:pPr>
              <w:rPr>
                <w:sz w:val="20"/>
                <w:szCs w:val="20"/>
                <w:lang w:eastAsia="en-US"/>
              </w:rPr>
            </w:pPr>
          </w:p>
        </w:tc>
        <w:tc>
          <w:tcPr>
            <w:tcW w:w="2977" w:type="dxa"/>
            <w:tcBorders>
              <w:top w:val="nil"/>
              <w:left w:val="single" w:sz="4" w:space="0" w:color="auto"/>
              <w:bottom w:val="single" w:sz="4" w:space="0" w:color="auto"/>
              <w:right w:val="single" w:sz="8" w:space="0" w:color="auto"/>
            </w:tcBorders>
            <w:hideMark/>
          </w:tcPr>
          <w:p w14:paraId="3276C7E2" w14:textId="77777777" w:rsidR="00876137" w:rsidRPr="00861957" w:rsidRDefault="00876137" w:rsidP="00FC062F">
            <w:pPr>
              <w:spacing w:line="276" w:lineRule="auto"/>
              <w:rPr>
                <w:color w:val="000000"/>
                <w:sz w:val="20"/>
                <w:szCs w:val="20"/>
                <w:lang w:eastAsia="en-US"/>
              </w:rPr>
            </w:pPr>
            <w:r w:rsidRPr="00861957">
              <w:rPr>
                <w:color w:val="000000"/>
                <w:sz w:val="20"/>
                <w:szCs w:val="20"/>
                <w:lang w:eastAsia="en-US"/>
              </w:rPr>
              <w:t> </w:t>
            </w:r>
          </w:p>
        </w:tc>
        <w:tc>
          <w:tcPr>
            <w:tcW w:w="2126" w:type="dxa"/>
            <w:tcBorders>
              <w:top w:val="nil"/>
              <w:left w:val="nil"/>
              <w:bottom w:val="single" w:sz="4" w:space="0" w:color="auto"/>
              <w:right w:val="single" w:sz="4" w:space="0" w:color="auto"/>
            </w:tcBorders>
            <w:hideMark/>
          </w:tcPr>
          <w:p w14:paraId="11DEEC64" w14:textId="77777777" w:rsidR="00876137" w:rsidRPr="00861957" w:rsidRDefault="00876137" w:rsidP="00FC062F">
            <w:pPr>
              <w:spacing w:line="276" w:lineRule="auto"/>
              <w:rPr>
                <w:color w:val="000000"/>
                <w:sz w:val="20"/>
                <w:szCs w:val="20"/>
                <w:lang w:eastAsia="en-US"/>
              </w:rPr>
            </w:pPr>
            <w:r w:rsidRPr="00861957">
              <w:rPr>
                <w:color w:val="000000"/>
                <w:sz w:val="20"/>
                <w:szCs w:val="20"/>
                <w:lang w:eastAsia="en-US"/>
              </w:rPr>
              <w:t> </w:t>
            </w:r>
          </w:p>
        </w:tc>
        <w:tc>
          <w:tcPr>
            <w:tcW w:w="2410" w:type="dxa"/>
            <w:vMerge/>
            <w:tcBorders>
              <w:left w:val="single" w:sz="4" w:space="0" w:color="auto"/>
              <w:bottom w:val="single" w:sz="4" w:space="0" w:color="auto"/>
              <w:right w:val="single" w:sz="4" w:space="0" w:color="auto"/>
            </w:tcBorders>
            <w:vAlign w:val="center"/>
            <w:hideMark/>
          </w:tcPr>
          <w:p w14:paraId="301F7027" w14:textId="77777777" w:rsidR="00876137" w:rsidRPr="00861957" w:rsidRDefault="00876137" w:rsidP="00FC062F">
            <w:pPr>
              <w:rPr>
                <w:color w:val="000000"/>
                <w:sz w:val="20"/>
                <w:szCs w:val="20"/>
                <w:lang w:eastAsia="en-US"/>
              </w:rPr>
            </w:pPr>
          </w:p>
        </w:tc>
        <w:tc>
          <w:tcPr>
            <w:tcW w:w="1559" w:type="dxa"/>
            <w:vMerge/>
            <w:tcBorders>
              <w:left w:val="single" w:sz="4" w:space="0" w:color="auto"/>
              <w:bottom w:val="single" w:sz="4" w:space="0" w:color="auto"/>
              <w:right w:val="single" w:sz="4" w:space="0" w:color="auto"/>
            </w:tcBorders>
            <w:vAlign w:val="center"/>
            <w:hideMark/>
          </w:tcPr>
          <w:p w14:paraId="411E4802" w14:textId="77777777" w:rsidR="00876137" w:rsidRPr="00861957" w:rsidRDefault="00876137" w:rsidP="00FC062F">
            <w:pPr>
              <w:rPr>
                <w:color w:val="000000"/>
                <w:sz w:val="20"/>
                <w:szCs w:val="20"/>
                <w:lang w:eastAsia="en-US"/>
              </w:rPr>
            </w:pPr>
          </w:p>
        </w:tc>
      </w:tr>
      <w:tr w:rsidR="003F64D2" w:rsidRPr="00861957" w14:paraId="0F7F55F1" w14:textId="77777777" w:rsidTr="008B2AD6">
        <w:trPr>
          <w:trHeight w:val="376"/>
        </w:trPr>
        <w:tc>
          <w:tcPr>
            <w:tcW w:w="450" w:type="dxa"/>
            <w:vMerge/>
            <w:tcBorders>
              <w:top w:val="single" w:sz="8" w:space="0" w:color="auto"/>
              <w:left w:val="single" w:sz="8" w:space="0" w:color="auto"/>
              <w:bottom w:val="single" w:sz="8" w:space="0" w:color="000000"/>
              <w:right w:val="single" w:sz="4" w:space="0" w:color="auto"/>
            </w:tcBorders>
            <w:vAlign w:val="center"/>
            <w:hideMark/>
          </w:tcPr>
          <w:p w14:paraId="15177263" w14:textId="77777777" w:rsidR="00FC062F" w:rsidRPr="00861957" w:rsidRDefault="00FC062F" w:rsidP="00FC062F">
            <w:pPr>
              <w:rPr>
                <w:b/>
                <w:bCs/>
                <w:color w:val="000000"/>
                <w:sz w:val="20"/>
                <w:szCs w:val="20"/>
                <w:lang w:eastAsia="en-US"/>
              </w:rPr>
            </w:pPr>
          </w:p>
        </w:tc>
        <w:tc>
          <w:tcPr>
            <w:tcW w:w="1501" w:type="dxa"/>
            <w:tcBorders>
              <w:top w:val="single" w:sz="4" w:space="0" w:color="auto"/>
              <w:left w:val="single" w:sz="4" w:space="0" w:color="auto"/>
              <w:bottom w:val="single" w:sz="4" w:space="0" w:color="auto"/>
              <w:right w:val="single" w:sz="4" w:space="0" w:color="auto"/>
            </w:tcBorders>
            <w:shd w:val="clear" w:color="auto" w:fill="BFBFBF"/>
            <w:hideMark/>
          </w:tcPr>
          <w:p w14:paraId="3F8BFF48" w14:textId="77777777" w:rsidR="00FC062F" w:rsidRPr="00861957" w:rsidRDefault="00FC062F" w:rsidP="00FC062F">
            <w:pPr>
              <w:spacing w:line="276" w:lineRule="auto"/>
              <w:rPr>
                <w:bCs/>
                <w:color w:val="000000"/>
                <w:sz w:val="20"/>
                <w:szCs w:val="20"/>
                <w:lang w:eastAsia="en-US"/>
              </w:rPr>
            </w:pPr>
            <w:r w:rsidRPr="00861957">
              <w:rPr>
                <w:bCs/>
                <w:color w:val="000000"/>
                <w:sz w:val="20"/>
                <w:szCs w:val="20"/>
                <w:lang w:eastAsia="en-US"/>
              </w:rPr>
              <w:t>Monitoring Systems</w:t>
            </w:r>
          </w:p>
        </w:tc>
        <w:tc>
          <w:tcPr>
            <w:tcW w:w="4961" w:type="dxa"/>
            <w:tcBorders>
              <w:top w:val="single" w:sz="4" w:space="0" w:color="auto"/>
              <w:left w:val="single" w:sz="4" w:space="0" w:color="auto"/>
              <w:bottom w:val="single" w:sz="4" w:space="0" w:color="auto"/>
              <w:right w:val="single" w:sz="4" w:space="0" w:color="auto"/>
            </w:tcBorders>
            <w:hideMark/>
          </w:tcPr>
          <w:p w14:paraId="78CD3349" w14:textId="77777777" w:rsidR="00876137" w:rsidRPr="00861957" w:rsidRDefault="00876137" w:rsidP="00876137">
            <w:pPr>
              <w:pStyle w:val="ListParagraph"/>
              <w:numPr>
                <w:ilvl w:val="0"/>
                <w:numId w:val="23"/>
              </w:numPr>
              <w:tabs>
                <w:tab w:val="left" w:pos="342"/>
              </w:tabs>
              <w:spacing w:line="276" w:lineRule="auto"/>
              <w:ind w:left="72" w:firstLine="0"/>
              <w:rPr>
                <w:sz w:val="20"/>
                <w:szCs w:val="20"/>
              </w:rPr>
            </w:pPr>
            <w:r w:rsidRPr="00861957">
              <w:rPr>
                <w:sz w:val="20"/>
                <w:szCs w:val="20"/>
              </w:rPr>
              <w:t>UBRAF Reporting (Joint UN Team on AIDS reporting on UN-specific contribution, results and accountability to the global and national HIV response) (UNAIDS)</w:t>
            </w:r>
          </w:p>
          <w:p w14:paraId="73357852" w14:textId="77777777" w:rsidR="00876137" w:rsidRPr="00861957" w:rsidRDefault="00876137" w:rsidP="00876137">
            <w:pPr>
              <w:pStyle w:val="ListParagraph"/>
              <w:numPr>
                <w:ilvl w:val="0"/>
                <w:numId w:val="23"/>
              </w:numPr>
              <w:tabs>
                <w:tab w:val="left" w:pos="342"/>
              </w:tabs>
              <w:spacing w:line="276" w:lineRule="auto"/>
              <w:ind w:left="72" w:firstLine="0"/>
              <w:rPr>
                <w:sz w:val="20"/>
                <w:szCs w:val="20"/>
              </w:rPr>
            </w:pPr>
            <w:r w:rsidRPr="00861957">
              <w:rPr>
                <w:color w:val="000000"/>
                <w:sz w:val="20"/>
                <w:szCs w:val="20"/>
              </w:rPr>
              <w:t>Global AIDS Response Progress Report (GARPR) monitors the progress of the global and national AIDS response (completed by government officials, submitted to UNAIDS)</w:t>
            </w:r>
          </w:p>
          <w:p w14:paraId="6555C4EB" w14:textId="77777777" w:rsidR="004473A7" w:rsidRPr="00861957" w:rsidRDefault="00A02422" w:rsidP="004473A7">
            <w:pPr>
              <w:pStyle w:val="ListParagraph"/>
              <w:numPr>
                <w:ilvl w:val="0"/>
                <w:numId w:val="23"/>
              </w:numPr>
              <w:tabs>
                <w:tab w:val="left" w:pos="342"/>
              </w:tabs>
              <w:spacing w:line="276" w:lineRule="auto"/>
              <w:ind w:left="72" w:firstLine="0"/>
              <w:rPr>
                <w:sz w:val="20"/>
                <w:szCs w:val="20"/>
              </w:rPr>
            </w:pPr>
            <w:r w:rsidRPr="00861957">
              <w:rPr>
                <w:color w:val="000000" w:themeColor="text1"/>
                <w:sz w:val="20"/>
                <w:szCs w:val="20"/>
              </w:rPr>
              <w:t>Project monitoring reports (UNFPA)</w:t>
            </w:r>
          </w:p>
          <w:p w14:paraId="26705133" w14:textId="77777777" w:rsidR="004473A7" w:rsidRPr="00861957" w:rsidRDefault="004473A7" w:rsidP="004473A7">
            <w:pPr>
              <w:pStyle w:val="ListParagraph"/>
              <w:numPr>
                <w:ilvl w:val="0"/>
                <w:numId w:val="23"/>
              </w:numPr>
              <w:tabs>
                <w:tab w:val="left" w:pos="342"/>
              </w:tabs>
              <w:spacing w:line="276" w:lineRule="auto"/>
              <w:ind w:left="72" w:firstLine="0"/>
              <w:rPr>
                <w:sz w:val="20"/>
                <w:szCs w:val="20"/>
              </w:rPr>
            </w:pPr>
            <w:r w:rsidRPr="00861957">
              <w:rPr>
                <w:sz w:val="20"/>
                <w:szCs w:val="20"/>
              </w:rPr>
              <w:t>CFCI monitoring system on child rights and well-being (UNICEF)</w:t>
            </w:r>
          </w:p>
        </w:tc>
        <w:tc>
          <w:tcPr>
            <w:tcW w:w="2977" w:type="dxa"/>
            <w:tcBorders>
              <w:top w:val="single" w:sz="4" w:space="0" w:color="auto"/>
              <w:left w:val="single" w:sz="4" w:space="0" w:color="auto"/>
              <w:bottom w:val="single" w:sz="4" w:space="0" w:color="auto"/>
              <w:right w:val="single" w:sz="4" w:space="0" w:color="auto"/>
            </w:tcBorders>
            <w:hideMark/>
          </w:tcPr>
          <w:p w14:paraId="3DE7E599" w14:textId="77777777" w:rsidR="00FC062F" w:rsidRPr="00861957" w:rsidRDefault="00876137" w:rsidP="00FC062F">
            <w:pPr>
              <w:spacing w:line="276" w:lineRule="auto"/>
              <w:rPr>
                <w:sz w:val="20"/>
                <w:szCs w:val="20"/>
              </w:rPr>
            </w:pPr>
            <w:r w:rsidRPr="00861957">
              <w:rPr>
                <w:sz w:val="20"/>
                <w:szCs w:val="20"/>
              </w:rPr>
              <w:t>- UBRAF Reporting (UNAIDS)</w:t>
            </w:r>
          </w:p>
          <w:p w14:paraId="045FF0C8" w14:textId="77777777" w:rsidR="00876137" w:rsidRPr="00861957" w:rsidRDefault="00876137" w:rsidP="00FC062F">
            <w:pPr>
              <w:spacing w:line="276" w:lineRule="auto"/>
              <w:rPr>
                <w:color w:val="000000"/>
                <w:sz w:val="20"/>
                <w:szCs w:val="20"/>
              </w:rPr>
            </w:pPr>
            <w:r w:rsidRPr="00861957">
              <w:rPr>
                <w:color w:val="000000"/>
                <w:sz w:val="20"/>
                <w:szCs w:val="20"/>
              </w:rPr>
              <w:t>- Global AIDS Response Progress Report (GARPR) (government officials, UNAIDS)</w:t>
            </w:r>
          </w:p>
          <w:p w14:paraId="6FA4E618" w14:textId="77777777" w:rsidR="00A02422" w:rsidRPr="00861957" w:rsidRDefault="00A02422" w:rsidP="00FC062F">
            <w:pPr>
              <w:spacing w:line="276" w:lineRule="auto"/>
              <w:rPr>
                <w:color w:val="000000" w:themeColor="text1"/>
                <w:sz w:val="20"/>
                <w:szCs w:val="20"/>
              </w:rPr>
            </w:pPr>
            <w:r w:rsidRPr="00861957">
              <w:rPr>
                <w:color w:val="000000" w:themeColor="text1"/>
                <w:sz w:val="20"/>
                <w:szCs w:val="20"/>
              </w:rPr>
              <w:t>- Project monitoring reports (UNFPA)</w:t>
            </w:r>
          </w:p>
          <w:p w14:paraId="241C24D3" w14:textId="77777777" w:rsidR="00395890" w:rsidRPr="00861957" w:rsidRDefault="00395890" w:rsidP="00FC062F">
            <w:pPr>
              <w:spacing w:line="276" w:lineRule="auto"/>
              <w:rPr>
                <w:color w:val="000000"/>
                <w:sz w:val="20"/>
                <w:szCs w:val="20"/>
                <w:lang w:eastAsia="en-US"/>
              </w:rPr>
            </w:pPr>
            <w:r w:rsidRPr="00861957">
              <w:rPr>
                <w:color w:val="000000"/>
                <w:sz w:val="20"/>
                <w:szCs w:val="20"/>
                <w:lang w:eastAsia="en-US"/>
              </w:rPr>
              <w:t>- Combined fifth and sixth periodic report on implementation of the Convention on the Rights of the Child (UNICEF)</w:t>
            </w:r>
          </w:p>
        </w:tc>
        <w:tc>
          <w:tcPr>
            <w:tcW w:w="2126" w:type="dxa"/>
            <w:tcBorders>
              <w:top w:val="single" w:sz="4" w:space="0" w:color="auto"/>
              <w:left w:val="single" w:sz="4" w:space="0" w:color="auto"/>
              <w:bottom w:val="single" w:sz="4" w:space="0" w:color="auto"/>
              <w:right w:val="single" w:sz="4" w:space="0" w:color="auto"/>
            </w:tcBorders>
            <w:hideMark/>
          </w:tcPr>
          <w:p w14:paraId="66BD811A" w14:textId="77777777" w:rsidR="00876137" w:rsidRPr="00861957" w:rsidRDefault="00FC062F" w:rsidP="00876137">
            <w:pPr>
              <w:spacing w:line="276" w:lineRule="auto"/>
              <w:rPr>
                <w:sz w:val="20"/>
                <w:szCs w:val="20"/>
              </w:rPr>
            </w:pPr>
            <w:r w:rsidRPr="00861957">
              <w:rPr>
                <w:color w:val="000000"/>
                <w:sz w:val="20"/>
                <w:szCs w:val="20"/>
                <w:lang w:eastAsia="en-US"/>
              </w:rPr>
              <w:t> </w:t>
            </w:r>
            <w:r w:rsidR="00876137" w:rsidRPr="00861957">
              <w:rPr>
                <w:sz w:val="20"/>
                <w:szCs w:val="20"/>
              </w:rPr>
              <w:t>- UBRAF Reporting (UNAIDS)</w:t>
            </w:r>
          </w:p>
          <w:p w14:paraId="0F0EA31B" w14:textId="77777777" w:rsidR="00FC062F" w:rsidRPr="00861957" w:rsidRDefault="00876137" w:rsidP="00876137">
            <w:pPr>
              <w:spacing w:line="276" w:lineRule="auto"/>
              <w:rPr>
                <w:color w:val="000000"/>
                <w:sz w:val="20"/>
                <w:szCs w:val="20"/>
              </w:rPr>
            </w:pPr>
            <w:r w:rsidRPr="00861957">
              <w:rPr>
                <w:color w:val="000000"/>
                <w:sz w:val="20"/>
                <w:szCs w:val="20"/>
              </w:rPr>
              <w:t>- Global AIDS Response Progress Report (GARPR) (government officials, UNAIDS)</w:t>
            </w:r>
          </w:p>
          <w:p w14:paraId="3F94026C" w14:textId="77777777" w:rsidR="00A02422" w:rsidRPr="00861957" w:rsidRDefault="00A02422" w:rsidP="00876137">
            <w:pPr>
              <w:spacing w:line="276" w:lineRule="auto"/>
              <w:rPr>
                <w:color w:val="000000" w:themeColor="text1"/>
                <w:sz w:val="20"/>
                <w:szCs w:val="20"/>
                <w:lang w:eastAsia="en-US"/>
              </w:rPr>
            </w:pPr>
            <w:r w:rsidRPr="00861957">
              <w:rPr>
                <w:color w:val="000000" w:themeColor="text1"/>
                <w:sz w:val="20"/>
                <w:szCs w:val="20"/>
              </w:rPr>
              <w:t>- Project monitoring reports (UNFPA)</w:t>
            </w:r>
          </w:p>
          <w:p w14:paraId="2C2DCB3E" w14:textId="77777777" w:rsidR="00FC062F" w:rsidRPr="00861957" w:rsidRDefault="00FC062F" w:rsidP="00FC062F">
            <w:pPr>
              <w:jc w:val="right"/>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73DAD37A" w14:textId="77777777" w:rsidR="00876137" w:rsidRPr="00861957" w:rsidRDefault="00876137" w:rsidP="00876137">
            <w:pPr>
              <w:spacing w:line="276" w:lineRule="auto"/>
              <w:rPr>
                <w:sz w:val="20"/>
                <w:szCs w:val="20"/>
              </w:rPr>
            </w:pPr>
            <w:r w:rsidRPr="00861957">
              <w:rPr>
                <w:sz w:val="20"/>
                <w:szCs w:val="20"/>
              </w:rPr>
              <w:t>- UBRAF Reporting (UNAIDS)</w:t>
            </w:r>
          </w:p>
          <w:p w14:paraId="2CEFD3E0" w14:textId="77777777" w:rsidR="00FC062F" w:rsidRPr="00861957" w:rsidRDefault="00876137" w:rsidP="00876137">
            <w:pPr>
              <w:rPr>
                <w:color w:val="000000"/>
                <w:sz w:val="20"/>
                <w:szCs w:val="20"/>
              </w:rPr>
            </w:pPr>
            <w:r w:rsidRPr="00861957">
              <w:rPr>
                <w:color w:val="000000"/>
                <w:sz w:val="20"/>
                <w:szCs w:val="20"/>
              </w:rPr>
              <w:t>- Global AIDS Response Progress Report (GARPR) (government officials, UNAIDS)</w:t>
            </w:r>
          </w:p>
          <w:p w14:paraId="07A00914" w14:textId="77777777" w:rsidR="00A02422" w:rsidRPr="00861957" w:rsidRDefault="00A02422" w:rsidP="00876137">
            <w:pPr>
              <w:rPr>
                <w:color w:val="000000"/>
                <w:sz w:val="20"/>
                <w:szCs w:val="20"/>
                <w:lang w:eastAsia="en-US"/>
              </w:rPr>
            </w:pPr>
            <w:r w:rsidRPr="00861957">
              <w:rPr>
                <w:color w:val="000000" w:themeColor="text1"/>
                <w:sz w:val="20"/>
                <w:szCs w:val="20"/>
              </w:rPr>
              <w:t>- Project monitoring reports (UNFPA)</w:t>
            </w:r>
          </w:p>
        </w:tc>
        <w:tc>
          <w:tcPr>
            <w:tcW w:w="1559" w:type="dxa"/>
            <w:tcBorders>
              <w:top w:val="single" w:sz="4" w:space="0" w:color="auto"/>
              <w:left w:val="single" w:sz="4" w:space="0" w:color="auto"/>
              <w:bottom w:val="single" w:sz="4" w:space="0" w:color="auto"/>
              <w:right w:val="single" w:sz="4" w:space="0" w:color="auto"/>
            </w:tcBorders>
            <w:hideMark/>
          </w:tcPr>
          <w:p w14:paraId="2188E96F" w14:textId="77777777" w:rsidR="00876137" w:rsidRPr="00861957" w:rsidRDefault="00876137" w:rsidP="00876137">
            <w:pPr>
              <w:spacing w:line="276" w:lineRule="auto"/>
              <w:rPr>
                <w:sz w:val="20"/>
                <w:szCs w:val="20"/>
              </w:rPr>
            </w:pPr>
            <w:r w:rsidRPr="00861957">
              <w:rPr>
                <w:sz w:val="20"/>
                <w:szCs w:val="20"/>
              </w:rPr>
              <w:t>- UBRAF Reporting (UNAIDS)</w:t>
            </w:r>
          </w:p>
          <w:p w14:paraId="1C6FFE66" w14:textId="77777777" w:rsidR="00FC062F" w:rsidRPr="00861957" w:rsidRDefault="00876137" w:rsidP="00876137">
            <w:pPr>
              <w:rPr>
                <w:color w:val="000000"/>
                <w:sz w:val="20"/>
                <w:szCs w:val="20"/>
                <w:lang w:eastAsia="en-US"/>
              </w:rPr>
            </w:pPr>
            <w:r w:rsidRPr="00861957">
              <w:rPr>
                <w:color w:val="000000"/>
                <w:sz w:val="20"/>
                <w:szCs w:val="20"/>
              </w:rPr>
              <w:t>- Global AIDS Response Progress Report (GARPR) (government officials, UNAIDS)</w:t>
            </w:r>
          </w:p>
        </w:tc>
      </w:tr>
      <w:tr w:rsidR="003F64D2" w:rsidRPr="00861957" w14:paraId="65AFB935" w14:textId="77777777" w:rsidTr="008B2AD6">
        <w:trPr>
          <w:trHeight w:val="330"/>
        </w:trPr>
        <w:tc>
          <w:tcPr>
            <w:tcW w:w="450" w:type="dxa"/>
            <w:vMerge/>
            <w:tcBorders>
              <w:top w:val="single" w:sz="8" w:space="0" w:color="auto"/>
              <w:left w:val="single" w:sz="8" w:space="0" w:color="auto"/>
              <w:bottom w:val="single" w:sz="8" w:space="0" w:color="000000"/>
              <w:right w:val="single" w:sz="4" w:space="0" w:color="auto"/>
            </w:tcBorders>
            <w:vAlign w:val="center"/>
            <w:hideMark/>
          </w:tcPr>
          <w:p w14:paraId="2310AB96" w14:textId="77777777" w:rsidR="00FC062F" w:rsidRPr="00861957" w:rsidRDefault="00FC062F" w:rsidP="00FC062F">
            <w:pPr>
              <w:rPr>
                <w:b/>
                <w:bCs/>
                <w:color w:val="000000"/>
                <w:sz w:val="20"/>
                <w:szCs w:val="20"/>
                <w:lang w:eastAsia="en-US"/>
              </w:rPr>
            </w:pPr>
          </w:p>
        </w:tc>
        <w:tc>
          <w:tcPr>
            <w:tcW w:w="1501" w:type="dxa"/>
            <w:tcBorders>
              <w:top w:val="single" w:sz="4" w:space="0" w:color="auto"/>
              <w:left w:val="single" w:sz="4" w:space="0" w:color="auto"/>
              <w:bottom w:val="single" w:sz="4" w:space="0" w:color="auto"/>
              <w:right w:val="single" w:sz="4" w:space="0" w:color="auto"/>
            </w:tcBorders>
            <w:shd w:val="clear" w:color="auto" w:fill="BFBFBF"/>
            <w:hideMark/>
          </w:tcPr>
          <w:p w14:paraId="51935356" w14:textId="77777777" w:rsidR="00FC062F" w:rsidRPr="00861957" w:rsidRDefault="00FC062F" w:rsidP="00FC062F">
            <w:pPr>
              <w:spacing w:line="276" w:lineRule="auto"/>
              <w:rPr>
                <w:bCs/>
                <w:color w:val="000000"/>
                <w:sz w:val="20"/>
                <w:szCs w:val="20"/>
                <w:lang w:eastAsia="en-US"/>
              </w:rPr>
            </w:pPr>
            <w:r w:rsidRPr="00861957">
              <w:rPr>
                <w:bCs/>
                <w:color w:val="000000"/>
                <w:sz w:val="20"/>
                <w:szCs w:val="20"/>
                <w:lang w:eastAsia="en-US"/>
              </w:rPr>
              <w:t xml:space="preserve">Evaluations </w:t>
            </w:r>
          </w:p>
        </w:tc>
        <w:tc>
          <w:tcPr>
            <w:tcW w:w="4961" w:type="dxa"/>
            <w:tcBorders>
              <w:top w:val="single" w:sz="4" w:space="0" w:color="auto"/>
              <w:left w:val="single" w:sz="4" w:space="0" w:color="auto"/>
              <w:bottom w:val="single" w:sz="4" w:space="0" w:color="auto"/>
              <w:right w:val="single" w:sz="4" w:space="0" w:color="auto"/>
            </w:tcBorders>
            <w:hideMark/>
          </w:tcPr>
          <w:p w14:paraId="1BF0ECC7" w14:textId="24EB19CC" w:rsidR="00FC062F" w:rsidRPr="00861957" w:rsidRDefault="00682BB1" w:rsidP="00FC062F">
            <w:pPr>
              <w:spacing w:line="276" w:lineRule="auto"/>
              <w:rPr>
                <w:color w:val="000000"/>
                <w:sz w:val="20"/>
                <w:szCs w:val="20"/>
                <w:lang w:eastAsia="en-US"/>
              </w:rPr>
            </w:pPr>
            <w:r w:rsidRPr="00861957">
              <w:rPr>
                <w:color w:val="000000" w:themeColor="text1"/>
                <w:sz w:val="20"/>
                <w:szCs w:val="20"/>
              </w:rPr>
              <w:t>UNICEF assistance to strengthening</w:t>
            </w:r>
            <w:r w:rsidR="007F4EB7" w:rsidRPr="00861957">
              <w:rPr>
                <w:color w:val="000000" w:themeColor="text1"/>
                <w:sz w:val="20"/>
                <w:szCs w:val="20"/>
              </w:rPr>
              <w:t xml:space="preserve"> the</w:t>
            </w:r>
            <w:r w:rsidRPr="00861957">
              <w:rPr>
                <w:color w:val="000000" w:themeColor="text1"/>
                <w:sz w:val="20"/>
                <w:szCs w:val="20"/>
              </w:rPr>
              <w:t xml:space="preserve"> national system of integrated support </w:t>
            </w:r>
            <w:r w:rsidR="007F4EB7" w:rsidRPr="00861957">
              <w:rPr>
                <w:color w:val="000000" w:themeColor="text1"/>
                <w:sz w:val="20"/>
                <w:szCs w:val="20"/>
              </w:rPr>
              <w:t>for</w:t>
            </w:r>
            <w:r w:rsidRPr="00861957">
              <w:rPr>
                <w:color w:val="000000" w:themeColor="text1"/>
                <w:sz w:val="20"/>
                <w:szCs w:val="20"/>
              </w:rPr>
              <w:t xml:space="preserve"> children with special needs and disabilities and their families</w:t>
            </w:r>
          </w:p>
        </w:tc>
        <w:tc>
          <w:tcPr>
            <w:tcW w:w="2977" w:type="dxa"/>
            <w:tcBorders>
              <w:top w:val="single" w:sz="4" w:space="0" w:color="auto"/>
              <w:left w:val="single" w:sz="4" w:space="0" w:color="auto"/>
              <w:bottom w:val="single" w:sz="4" w:space="0" w:color="auto"/>
              <w:right w:val="single" w:sz="4" w:space="0" w:color="auto"/>
            </w:tcBorders>
            <w:hideMark/>
          </w:tcPr>
          <w:p w14:paraId="04B83C4E" w14:textId="77777777" w:rsidR="00FC062F" w:rsidRPr="00861957" w:rsidRDefault="00A32787" w:rsidP="00FC062F">
            <w:pPr>
              <w:spacing w:line="276" w:lineRule="auto"/>
              <w:rPr>
                <w:color w:val="000000"/>
                <w:sz w:val="20"/>
                <w:szCs w:val="20"/>
                <w:lang w:eastAsia="en-US"/>
              </w:rPr>
            </w:pPr>
            <w:r w:rsidRPr="00861957">
              <w:rPr>
                <w:color w:val="000000" w:themeColor="text1"/>
                <w:sz w:val="20"/>
                <w:szCs w:val="20"/>
              </w:rPr>
              <w:t>Project evaluation (UNFPA)</w:t>
            </w:r>
          </w:p>
        </w:tc>
        <w:tc>
          <w:tcPr>
            <w:tcW w:w="2126" w:type="dxa"/>
            <w:tcBorders>
              <w:top w:val="single" w:sz="4" w:space="0" w:color="auto"/>
              <w:left w:val="single" w:sz="4" w:space="0" w:color="auto"/>
              <w:bottom w:val="single" w:sz="4" w:space="0" w:color="auto"/>
              <w:right w:val="single" w:sz="4" w:space="0" w:color="auto"/>
            </w:tcBorders>
            <w:hideMark/>
          </w:tcPr>
          <w:p w14:paraId="2AEE1DAE" w14:textId="77777777" w:rsidR="00FC062F" w:rsidRPr="00861957" w:rsidRDefault="00FC062F" w:rsidP="00FC062F">
            <w:pPr>
              <w:spacing w:line="276" w:lineRule="auto"/>
              <w:rPr>
                <w:color w:val="000000"/>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0BF56F89" w14:textId="6A495CE8" w:rsidR="00FC062F" w:rsidRPr="00861957" w:rsidRDefault="00224A4F" w:rsidP="00224A4F">
            <w:pPr>
              <w:spacing w:line="276" w:lineRule="auto"/>
              <w:rPr>
                <w:sz w:val="20"/>
                <w:szCs w:val="20"/>
              </w:rPr>
            </w:pPr>
            <w:r w:rsidRPr="00861957">
              <w:rPr>
                <w:sz w:val="20"/>
                <w:szCs w:val="20"/>
              </w:rPr>
              <w:t>UNDAF Outcome 1.2 Final Evaluation</w:t>
            </w:r>
          </w:p>
          <w:p w14:paraId="61C48DA5" w14:textId="1B7E1A28" w:rsidR="00224A4F" w:rsidRPr="00861957" w:rsidRDefault="00224A4F" w:rsidP="00224A4F">
            <w:pPr>
              <w:spacing w:line="276" w:lineRule="auto"/>
              <w:rPr>
                <w:sz w:val="20"/>
                <w:szCs w:val="20"/>
              </w:rPr>
            </w:pPr>
            <w:r w:rsidRPr="00861957">
              <w:rPr>
                <w:sz w:val="20"/>
                <w:szCs w:val="20"/>
              </w:rPr>
              <w:t>UNDAF Outcome 4.3 Final Evaluation</w:t>
            </w:r>
          </w:p>
          <w:p w14:paraId="4C7AD998" w14:textId="77777777" w:rsidR="00AD08B3" w:rsidRPr="00861957" w:rsidRDefault="00AD08B3" w:rsidP="00AD08B3">
            <w:pPr>
              <w:spacing w:line="276" w:lineRule="auto"/>
              <w:rPr>
                <w:color w:val="000000"/>
                <w:sz w:val="20"/>
                <w:szCs w:val="20"/>
                <w:lang w:eastAsia="en-US"/>
              </w:rPr>
            </w:pPr>
            <w:r w:rsidRPr="00861957">
              <w:rPr>
                <w:sz w:val="20"/>
                <w:szCs w:val="20"/>
              </w:rPr>
              <w:t>CP Evaluation (UNFPA)</w:t>
            </w:r>
          </w:p>
        </w:tc>
        <w:tc>
          <w:tcPr>
            <w:tcW w:w="1559" w:type="dxa"/>
            <w:tcBorders>
              <w:top w:val="single" w:sz="4" w:space="0" w:color="auto"/>
              <w:left w:val="single" w:sz="4" w:space="0" w:color="auto"/>
              <w:bottom w:val="single" w:sz="4" w:space="0" w:color="auto"/>
              <w:right w:val="single" w:sz="4" w:space="0" w:color="auto"/>
            </w:tcBorders>
            <w:hideMark/>
          </w:tcPr>
          <w:p w14:paraId="1FFA7037" w14:textId="77777777" w:rsidR="00FC062F" w:rsidRPr="00861957" w:rsidRDefault="00FC062F" w:rsidP="00FC062F">
            <w:pPr>
              <w:spacing w:line="276" w:lineRule="auto"/>
              <w:rPr>
                <w:color w:val="000000"/>
                <w:sz w:val="20"/>
                <w:szCs w:val="20"/>
                <w:lang w:eastAsia="en-US"/>
              </w:rPr>
            </w:pPr>
            <w:r w:rsidRPr="00861957">
              <w:rPr>
                <w:color w:val="000000"/>
                <w:sz w:val="20"/>
                <w:szCs w:val="20"/>
                <w:lang w:eastAsia="en-US"/>
              </w:rPr>
              <w:t> </w:t>
            </w:r>
          </w:p>
        </w:tc>
      </w:tr>
      <w:tr w:rsidR="003F64D2" w:rsidRPr="00861957" w14:paraId="4A3D660E" w14:textId="77777777" w:rsidTr="008B2AD6">
        <w:trPr>
          <w:trHeight w:val="330"/>
        </w:trPr>
        <w:tc>
          <w:tcPr>
            <w:tcW w:w="450" w:type="dxa"/>
            <w:vMerge/>
            <w:tcBorders>
              <w:top w:val="single" w:sz="8" w:space="0" w:color="auto"/>
              <w:left w:val="single" w:sz="8" w:space="0" w:color="auto"/>
              <w:bottom w:val="single" w:sz="8" w:space="0" w:color="000000"/>
              <w:right w:val="single" w:sz="4" w:space="0" w:color="auto"/>
            </w:tcBorders>
            <w:vAlign w:val="center"/>
            <w:hideMark/>
          </w:tcPr>
          <w:p w14:paraId="21610E2E" w14:textId="77777777" w:rsidR="00FC062F" w:rsidRPr="00861957" w:rsidRDefault="00FC062F" w:rsidP="00FC062F">
            <w:pPr>
              <w:rPr>
                <w:b/>
                <w:bCs/>
                <w:color w:val="000000"/>
                <w:sz w:val="20"/>
                <w:szCs w:val="20"/>
                <w:lang w:eastAsia="en-US"/>
              </w:rPr>
            </w:pPr>
          </w:p>
        </w:tc>
        <w:tc>
          <w:tcPr>
            <w:tcW w:w="1501" w:type="dxa"/>
            <w:tcBorders>
              <w:top w:val="single" w:sz="4" w:space="0" w:color="auto"/>
              <w:left w:val="single" w:sz="4" w:space="0" w:color="auto"/>
              <w:bottom w:val="single" w:sz="4" w:space="0" w:color="auto"/>
              <w:right w:val="single" w:sz="4" w:space="0" w:color="auto"/>
            </w:tcBorders>
            <w:shd w:val="clear" w:color="auto" w:fill="BFBFBF"/>
            <w:hideMark/>
          </w:tcPr>
          <w:p w14:paraId="2369D214" w14:textId="77777777" w:rsidR="00FC062F" w:rsidRPr="00861957" w:rsidRDefault="00FC062F" w:rsidP="00FC062F">
            <w:pPr>
              <w:spacing w:line="276" w:lineRule="auto"/>
              <w:rPr>
                <w:bCs/>
                <w:color w:val="000000"/>
                <w:sz w:val="20"/>
                <w:szCs w:val="20"/>
                <w:lang w:eastAsia="en-US"/>
              </w:rPr>
            </w:pPr>
            <w:r w:rsidRPr="00861957">
              <w:rPr>
                <w:bCs/>
                <w:color w:val="000000"/>
                <w:sz w:val="20"/>
                <w:szCs w:val="20"/>
                <w:lang w:eastAsia="en-US"/>
              </w:rPr>
              <w:t xml:space="preserve">Reviews </w:t>
            </w:r>
          </w:p>
        </w:tc>
        <w:tc>
          <w:tcPr>
            <w:tcW w:w="4961" w:type="dxa"/>
            <w:tcBorders>
              <w:top w:val="single" w:sz="4" w:space="0" w:color="auto"/>
              <w:left w:val="single" w:sz="4" w:space="0" w:color="auto"/>
              <w:bottom w:val="single" w:sz="4" w:space="0" w:color="auto"/>
              <w:right w:val="single" w:sz="4" w:space="0" w:color="auto"/>
            </w:tcBorders>
          </w:tcPr>
          <w:p w14:paraId="2DAD1B2A" w14:textId="4FBE3D42" w:rsidR="00FC062F" w:rsidRPr="00861957" w:rsidRDefault="00040965" w:rsidP="00FC062F">
            <w:pPr>
              <w:spacing w:line="276" w:lineRule="auto"/>
              <w:rPr>
                <w:color w:val="000000"/>
                <w:sz w:val="20"/>
                <w:szCs w:val="20"/>
                <w:lang w:eastAsia="en-US"/>
              </w:rPr>
            </w:pPr>
            <w:r w:rsidRPr="00861957">
              <w:rPr>
                <w:color w:val="000000"/>
                <w:sz w:val="20"/>
                <w:szCs w:val="20"/>
                <w:lang w:eastAsia="en-US"/>
              </w:rPr>
              <w:t>- Environmental Performance Review (UNECE)</w:t>
            </w:r>
          </w:p>
          <w:p w14:paraId="64F7E230" w14:textId="77777777" w:rsidR="00040965" w:rsidRPr="00861957" w:rsidRDefault="00040965" w:rsidP="00FC062F">
            <w:pPr>
              <w:spacing w:line="276" w:lineRule="auto"/>
              <w:rPr>
                <w:color w:val="000000"/>
                <w:sz w:val="20"/>
                <w:szCs w:val="20"/>
                <w:lang w:eastAsia="en-US"/>
              </w:rPr>
            </w:pPr>
            <w:r w:rsidRPr="00861957">
              <w:rPr>
                <w:color w:val="000000"/>
                <w:sz w:val="20"/>
                <w:szCs w:val="20"/>
                <w:lang w:eastAsia="en-US"/>
              </w:rPr>
              <w:t>- Year-End Report (UNHCR)</w:t>
            </w:r>
          </w:p>
          <w:p w14:paraId="14AD33AA" w14:textId="77777777" w:rsidR="00682BB1" w:rsidRPr="00861957" w:rsidRDefault="00682BB1" w:rsidP="00FC062F">
            <w:pPr>
              <w:spacing w:line="276" w:lineRule="auto"/>
              <w:rPr>
                <w:color w:val="000000" w:themeColor="text1"/>
                <w:sz w:val="20"/>
                <w:szCs w:val="20"/>
                <w:lang w:eastAsia="en-US"/>
              </w:rPr>
            </w:pPr>
            <w:r w:rsidRPr="00861957">
              <w:rPr>
                <w:color w:val="000000" w:themeColor="text1"/>
                <w:sz w:val="20"/>
                <w:szCs w:val="20"/>
              </w:rPr>
              <w:t>- Annual UNICEF programme review</w:t>
            </w:r>
          </w:p>
          <w:p w14:paraId="53A3CDA2" w14:textId="77777777" w:rsidR="00682BB1" w:rsidRPr="00861957" w:rsidRDefault="00682BB1" w:rsidP="00040965">
            <w:pPr>
              <w:spacing w:line="276" w:lineRule="auto"/>
              <w:rPr>
                <w:color w:val="000000"/>
                <w:sz w:val="20"/>
                <w:szCs w:val="20"/>
                <w:lang w:eastAsia="en-US"/>
              </w:rPr>
            </w:pPr>
          </w:p>
          <w:p w14:paraId="4E14A7A0" w14:textId="77777777" w:rsidR="00682BB1" w:rsidRPr="00861957" w:rsidRDefault="00682BB1" w:rsidP="00682BB1">
            <w:pPr>
              <w:rPr>
                <w:sz w:val="20"/>
                <w:szCs w:val="20"/>
                <w:lang w:eastAsia="en-US"/>
              </w:rPr>
            </w:pPr>
          </w:p>
          <w:p w14:paraId="096F94EC" w14:textId="77777777" w:rsidR="00682BB1" w:rsidRPr="00861957" w:rsidRDefault="00682BB1" w:rsidP="00682BB1">
            <w:pPr>
              <w:rPr>
                <w:sz w:val="20"/>
                <w:szCs w:val="20"/>
                <w:lang w:eastAsia="en-US"/>
              </w:rPr>
            </w:pPr>
          </w:p>
          <w:p w14:paraId="18B0D583" w14:textId="77777777" w:rsidR="00682BB1" w:rsidRPr="00861957" w:rsidRDefault="00682BB1" w:rsidP="00682BB1">
            <w:pPr>
              <w:rPr>
                <w:sz w:val="20"/>
                <w:szCs w:val="20"/>
                <w:lang w:eastAsia="en-US"/>
              </w:rPr>
            </w:pPr>
          </w:p>
          <w:p w14:paraId="52FBC9C5" w14:textId="77777777" w:rsidR="00040965" w:rsidRPr="00861957" w:rsidRDefault="00682BB1" w:rsidP="00682BB1">
            <w:pPr>
              <w:tabs>
                <w:tab w:val="left" w:pos="4287"/>
              </w:tabs>
              <w:rPr>
                <w:sz w:val="20"/>
                <w:szCs w:val="20"/>
                <w:lang w:eastAsia="en-US"/>
              </w:rPr>
            </w:pPr>
            <w:r w:rsidRPr="00861957">
              <w:rPr>
                <w:sz w:val="20"/>
                <w:szCs w:val="20"/>
                <w:lang w:eastAsia="en-US"/>
              </w:rPr>
              <w:tab/>
            </w:r>
          </w:p>
        </w:tc>
        <w:tc>
          <w:tcPr>
            <w:tcW w:w="2977" w:type="dxa"/>
            <w:tcBorders>
              <w:top w:val="single" w:sz="4" w:space="0" w:color="auto"/>
              <w:left w:val="single" w:sz="4" w:space="0" w:color="auto"/>
              <w:bottom w:val="single" w:sz="4" w:space="0" w:color="auto"/>
              <w:right w:val="single" w:sz="4" w:space="0" w:color="auto"/>
            </w:tcBorders>
          </w:tcPr>
          <w:p w14:paraId="207879D6" w14:textId="77777777" w:rsidR="00FC062F" w:rsidRPr="00861957" w:rsidRDefault="00040965" w:rsidP="00FC062F">
            <w:pPr>
              <w:spacing w:line="276" w:lineRule="auto"/>
              <w:rPr>
                <w:color w:val="000000"/>
                <w:sz w:val="20"/>
                <w:szCs w:val="20"/>
                <w:lang w:eastAsia="en-US"/>
              </w:rPr>
            </w:pPr>
            <w:r w:rsidRPr="00861957">
              <w:rPr>
                <w:color w:val="000000"/>
                <w:sz w:val="20"/>
                <w:szCs w:val="20"/>
                <w:lang w:eastAsia="en-US"/>
              </w:rPr>
              <w:lastRenderedPageBreak/>
              <w:t xml:space="preserve">- </w:t>
            </w:r>
            <w:r w:rsidR="003511AA" w:rsidRPr="00861957">
              <w:rPr>
                <w:color w:val="000000"/>
                <w:sz w:val="20"/>
                <w:szCs w:val="20"/>
                <w:lang w:eastAsia="en-US"/>
              </w:rPr>
              <w:t>The Second Innovation Performance Review (UNECE)</w:t>
            </w:r>
          </w:p>
          <w:p w14:paraId="48E6D677" w14:textId="77777777" w:rsidR="00040965" w:rsidRPr="00861957" w:rsidRDefault="00040965" w:rsidP="00FC062F">
            <w:pPr>
              <w:spacing w:line="276" w:lineRule="auto"/>
              <w:rPr>
                <w:color w:val="000000"/>
                <w:sz w:val="20"/>
                <w:szCs w:val="20"/>
                <w:lang w:eastAsia="en-US"/>
              </w:rPr>
            </w:pPr>
            <w:r w:rsidRPr="00861957">
              <w:rPr>
                <w:color w:val="000000"/>
                <w:sz w:val="20"/>
                <w:szCs w:val="20"/>
                <w:lang w:eastAsia="en-US"/>
              </w:rPr>
              <w:t>- Year-End Report (UNHCR)</w:t>
            </w:r>
          </w:p>
          <w:p w14:paraId="5ABE7742" w14:textId="77777777" w:rsidR="006B6002" w:rsidRPr="00861957" w:rsidRDefault="006B6002" w:rsidP="00FC062F">
            <w:pPr>
              <w:spacing w:line="276" w:lineRule="auto"/>
              <w:rPr>
                <w:color w:val="000000"/>
                <w:sz w:val="20"/>
                <w:szCs w:val="20"/>
                <w:lang w:eastAsia="en-US"/>
              </w:rPr>
            </w:pPr>
            <w:r w:rsidRPr="00861957">
              <w:rPr>
                <w:color w:val="000000"/>
                <w:sz w:val="20"/>
                <w:szCs w:val="20"/>
                <w:lang w:eastAsia="en-US"/>
              </w:rPr>
              <w:t>- Mid-Year Review (UNFPA)</w:t>
            </w:r>
          </w:p>
          <w:p w14:paraId="57F20B9F" w14:textId="77777777" w:rsidR="00682BB1" w:rsidRPr="00861957" w:rsidRDefault="00682BB1" w:rsidP="00FC062F">
            <w:pPr>
              <w:spacing w:line="276" w:lineRule="auto"/>
              <w:rPr>
                <w:color w:val="000000" w:themeColor="text1"/>
                <w:sz w:val="20"/>
                <w:szCs w:val="20"/>
                <w:lang w:eastAsia="en-US"/>
              </w:rPr>
            </w:pPr>
            <w:r w:rsidRPr="00861957">
              <w:rPr>
                <w:color w:val="000000" w:themeColor="text1"/>
                <w:sz w:val="20"/>
                <w:szCs w:val="20"/>
              </w:rPr>
              <w:lastRenderedPageBreak/>
              <w:t>- Annual UNICEF programme review</w:t>
            </w:r>
          </w:p>
        </w:tc>
        <w:tc>
          <w:tcPr>
            <w:tcW w:w="2126" w:type="dxa"/>
            <w:tcBorders>
              <w:top w:val="single" w:sz="4" w:space="0" w:color="auto"/>
              <w:left w:val="single" w:sz="4" w:space="0" w:color="auto"/>
              <w:bottom w:val="single" w:sz="4" w:space="0" w:color="auto"/>
              <w:right w:val="single" w:sz="4" w:space="0" w:color="auto"/>
            </w:tcBorders>
          </w:tcPr>
          <w:p w14:paraId="7BB4BB22" w14:textId="5040E6D1" w:rsidR="00FC062F" w:rsidRPr="00861957" w:rsidRDefault="00040965" w:rsidP="008B2AD6">
            <w:pPr>
              <w:rPr>
                <w:sz w:val="20"/>
                <w:szCs w:val="20"/>
              </w:rPr>
            </w:pPr>
            <w:r w:rsidRPr="00861957">
              <w:rPr>
                <w:sz w:val="20"/>
                <w:szCs w:val="20"/>
              </w:rPr>
              <w:lastRenderedPageBreak/>
              <w:t xml:space="preserve">- </w:t>
            </w:r>
            <w:r w:rsidR="003511AA" w:rsidRPr="00861957">
              <w:rPr>
                <w:sz w:val="20"/>
                <w:szCs w:val="20"/>
              </w:rPr>
              <w:t xml:space="preserve">Mid-Term Review of UNDP’s CPD Priority Area 2: ‘Growth and development are inclusive and </w:t>
            </w:r>
            <w:r w:rsidR="003511AA" w:rsidRPr="00861957">
              <w:rPr>
                <w:sz w:val="20"/>
                <w:szCs w:val="20"/>
              </w:rPr>
              <w:lastRenderedPageBreak/>
              <w:t xml:space="preserve">sustainable, incorporating productive capacities that target employment and </w:t>
            </w:r>
            <w:r w:rsidR="006D2717" w:rsidRPr="00861957">
              <w:rPr>
                <w:sz w:val="20"/>
                <w:szCs w:val="20"/>
              </w:rPr>
              <w:t xml:space="preserve">the creation of </w:t>
            </w:r>
            <w:r w:rsidR="003511AA" w:rsidRPr="00861957">
              <w:rPr>
                <w:sz w:val="20"/>
                <w:szCs w:val="20"/>
              </w:rPr>
              <w:t>livelihoods</w:t>
            </w:r>
            <w:r w:rsidR="006D2717" w:rsidRPr="00861957">
              <w:rPr>
                <w:sz w:val="20"/>
                <w:szCs w:val="20"/>
              </w:rPr>
              <w:t xml:space="preserve"> </w:t>
            </w:r>
            <w:r w:rsidR="003511AA" w:rsidRPr="00861957">
              <w:rPr>
                <w:sz w:val="20"/>
                <w:szCs w:val="20"/>
              </w:rPr>
              <w:t>for vulnerable groups’</w:t>
            </w:r>
          </w:p>
          <w:p w14:paraId="5F7C0887" w14:textId="77777777" w:rsidR="00040965" w:rsidRPr="00861957" w:rsidRDefault="00040965" w:rsidP="008B2AD6">
            <w:pPr>
              <w:rPr>
                <w:color w:val="000000"/>
                <w:sz w:val="20"/>
                <w:szCs w:val="20"/>
                <w:lang w:eastAsia="en-US"/>
              </w:rPr>
            </w:pPr>
            <w:r w:rsidRPr="00861957">
              <w:rPr>
                <w:color w:val="000000"/>
                <w:sz w:val="20"/>
                <w:szCs w:val="20"/>
                <w:lang w:eastAsia="en-US"/>
              </w:rPr>
              <w:t>- Year-End Report (UNHCR)</w:t>
            </w:r>
          </w:p>
          <w:p w14:paraId="34600294" w14:textId="77777777" w:rsidR="00682BB1" w:rsidRPr="00861957" w:rsidRDefault="00682BB1" w:rsidP="008B2AD6">
            <w:pPr>
              <w:rPr>
                <w:color w:val="000000"/>
                <w:sz w:val="20"/>
                <w:szCs w:val="20"/>
                <w:lang w:eastAsia="en-US"/>
              </w:rPr>
            </w:pPr>
            <w:r w:rsidRPr="00861957">
              <w:rPr>
                <w:color w:val="000000"/>
                <w:sz w:val="20"/>
                <w:szCs w:val="20"/>
                <w:lang w:eastAsia="en-US"/>
              </w:rPr>
              <w:t>-</w:t>
            </w:r>
            <w:r w:rsidRPr="00861957">
              <w:rPr>
                <w:color w:val="FF0000"/>
                <w:sz w:val="20"/>
                <w:szCs w:val="20"/>
              </w:rPr>
              <w:t xml:space="preserve"> </w:t>
            </w:r>
            <w:r w:rsidRPr="00861957">
              <w:rPr>
                <w:color w:val="000000" w:themeColor="text1"/>
                <w:sz w:val="20"/>
                <w:szCs w:val="20"/>
              </w:rPr>
              <w:t>Mid-Term UNICEF programme review</w:t>
            </w:r>
          </w:p>
        </w:tc>
        <w:tc>
          <w:tcPr>
            <w:tcW w:w="2410" w:type="dxa"/>
            <w:tcBorders>
              <w:top w:val="single" w:sz="4" w:space="0" w:color="auto"/>
              <w:left w:val="single" w:sz="4" w:space="0" w:color="auto"/>
              <w:bottom w:val="single" w:sz="4" w:space="0" w:color="auto"/>
              <w:right w:val="single" w:sz="4" w:space="0" w:color="auto"/>
            </w:tcBorders>
          </w:tcPr>
          <w:p w14:paraId="624FB1F1" w14:textId="77777777" w:rsidR="00FC062F" w:rsidRPr="00861957" w:rsidRDefault="00682BB1" w:rsidP="00FC062F">
            <w:pPr>
              <w:spacing w:line="276" w:lineRule="auto"/>
              <w:rPr>
                <w:color w:val="000000"/>
                <w:sz w:val="20"/>
                <w:szCs w:val="20"/>
                <w:lang w:eastAsia="en-US"/>
              </w:rPr>
            </w:pPr>
            <w:r w:rsidRPr="00861957">
              <w:rPr>
                <w:color w:val="000000"/>
                <w:sz w:val="20"/>
                <w:szCs w:val="20"/>
                <w:lang w:eastAsia="en-US"/>
              </w:rPr>
              <w:lastRenderedPageBreak/>
              <w:t xml:space="preserve">- </w:t>
            </w:r>
            <w:r w:rsidR="00040965" w:rsidRPr="00861957">
              <w:rPr>
                <w:color w:val="000000"/>
                <w:sz w:val="20"/>
                <w:szCs w:val="20"/>
                <w:lang w:eastAsia="en-US"/>
              </w:rPr>
              <w:t>Year-End Report (UNHCR)</w:t>
            </w:r>
          </w:p>
          <w:p w14:paraId="266A6403" w14:textId="77777777" w:rsidR="00682BB1" w:rsidRPr="00861957" w:rsidRDefault="00682BB1" w:rsidP="00682BB1">
            <w:pPr>
              <w:spacing w:line="276" w:lineRule="auto"/>
              <w:rPr>
                <w:color w:val="000000" w:themeColor="text1"/>
                <w:sz w:val="20"/>
                <w:szCs w:val="20"/>
                <w:lang w:eastAsia="en-US"/>
              </w:rPr>
            </w:pPr>
            <w:r w:rsidRPr="00861957">
              <w:rPr>
                <w:color w:val="000000" w:themeColor="text1"/>
                <w:sz w:val="20"/>
                <w:szCs w:val="20"/>
              </w:rPr>
              <w:t>- Annual UNICEF programme review</w:t>
            </w:r>
          </w:p>
          <w:p w14:paraId="5A8B8B6C" w14:textId="77777777" w:rsidR="00682BB1" w:rsidRPr="00861957" w:rsidRDefault="00682BB1" w:rsidP="00FC062F">
            <w:pPr>
              <w:spacing w:line="276" w:lineRule="auto"/>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670A140" w14:textId="77777777" w:rsidR="00FC062F" w:rsidRPr="00861957" w:rsidRDefault="00682BB1" w:rsidP="00FC062F">
            <w:pPr>
              <w:spacing w:line="276" w:lineRule="auto"/>
              <w:rPr>
                <w:color w:val="000000"/>
                <w:sz w:val="20"/>
                <w:szCs w:val="20"/>
                <w:lang w:eastAsia="en-US"/>
              </w:rPr>
            </w:pPr>
            <w:r w:rsidRPr="00861957">
              <w:rPr>
                <w:color w:val="000000"/>
                <w:sz w:val="20"/>
                <w:szCs w:val="20"/>
                <w:lang w:eastAsia="en-US"/>
              </w:rPr>
              <w:lastRenderedPageBreak/>
              <w:t xml:space="preserve">- </w:t>
            </w:r>
            <w:r w:rsidR="00040965" w:rsidRPr="00861957">
              <w:rPr>
                <w:color w:val="000000"/>
                <w:sz w:val="20"/>
                <w:szCs w:val="20"/>
                <w:lang w:eastAsia="en-US"/>
              </w:rPr>
              <w:t>Year-End Report (UNHCR)</w:t>
            </w:r>
          </w:p>
          <w:p w14:paraId="19E6E720" w14:textId="77777777" w:rsidR="00682BB1" w:rsidRPr="00861957" w:rsidRDefault="00682BB1" w:rsidP="00FC062F">
            <w:pPr>
              <w:spacing w:line="276" w:lineRule="auto"/>
              <w:rPr>
                <w:color w:val="000000" w:themeColor="text1"/>
                <w:sz w:val="20"/>
                <w:szCs w:val="20"/>
                <w:lang w:eastAsia="en-US"/>
              </w:rPr>
            </w:pPr>
            <w:r w:rsidRPr="00861957">
              <w:rPr>
                <w:color w:val="000000" w:themeColor="text1"/>
                <w:sz w:val="20"/>
                <w:szCs w:val="20"/>
              </w:rPr>
              <w:lastRenderedPageBreak/>
              <w:t>- Annual UNICEF programme review</w:t>
            </w:r>
          </w:p>
        </w:tc>
      </w:tr>
      <w:tr w:rsidR="003F64D2" w:rsidRPr="00861957" w14:paraId="415B71B3" w14:textId="77777777" w:rsidTr="008B2AD6">
        <w:trPr>
          <w:trHeight w:val="645"/>
        </w:trPr>
        <w:tc>
          <w:tcPr>
            <w:tcW w:w="450" w:type="dxa"/>
            <w:vMerge w:val="restart"/>
            <w:tcBorders>
              <w:top w:val="nil"/>
              <w:left w:val="single" w:sz="8" w:space="0" w:color="auto"/>
              <w:bottom w:val="single" w:sz="8" w:space="0" w:color="000000"/>
              <w:right w:val="single" w:sz="8" w:space="0" w:color="000000"/>
            </w:tcBorders>
            <w:shd w:val="clear" w:color="auto" w:fill="BFBFBF"/>
            <w:textDirection w:val="btLr"/>
            <w:hideMark/>
          </w:tcPr>
          <w:p w14:paraId="3081001A" w14:textId="77777777" w:rsidR="00FC062F" w:rsidRPr="00861957" w:rsidRDefault="00FC062F" w:rsidP="00FC062F">
            <w:pPr>
              <w:spacing w:line="276" w:lineRule="auto"/>
              <w:jc w:val="center"/>
              <w:rPr>
                <w:b/>
                <w:bCs/>
                <w:color w:val="000000"/>
                <w:sz w:val="20"/>
                <w:szCs w:val="20"/>
                <w:lang w:eastAsia="en-US"/>
              </w:rPr>
            </w:pPr>
            <w:r w:rsidRPr="00861957">
              <w:rPr>
                <w:b/>
                <w:bCs/>
                <w:color w:val="000000"/>
                <w:sz w:val="20"/>
                <w:szCs w:val="20"/>
                <w:lang w:eastAsia="en-US"/>
              </w:rPr>
              <w:lastRenderedPageBreak/>
              <w:t>Planning Reference</w:t>
            </w:r>
          </w:p>
        </w:tc>
        <w:tc>
          <w:tcPr>
            <w:tcW w:w="1501" w:type="dxa"/>
            <w:tcBorders>
              <w:top w:val="single" w:sz="4" w:space="0" w:color="auto"/>
              <w:left w:val="nil"/>
              <w:bottom w:val="single" w:sz="8" w:space="0" w:color="000000"/>
              <w:right w:val="single" w:sz="8" w:space="0" w:color="000000"/>
            </w:tcBorders>
            <w:shd w:val="clear" w:color="auto" w:fill="BFBFBF"/>
            <w:hideMark/>
          </w:tcPr>
          <w:p w14:paraId="5FEDB731" w14:textId="77777777" w:rsidR="00FC062F" w:rsidRPr="00861957" w:rsidRDefault="00FC062F" w:rsidP="00014BCB">
            <w:pPr>
              <w:spacing w:line="276" w:lineRule="auto"/>
              <w:rPr>
                <w:bCs/>
                <w:color w:val="000000"/>
                <w:sz w:val="20"/>
                <w:szCs w:val="20"/>
                <w:lang w:eastAsia="en-US"/>
              </w:rPr>
            </w:pPr>
            <w:r w:rsidRPr="00861957">
              <w:rPr>
                <w:bCs/>
                <w:color w:val="000000"/>
                <w:sz w:val="20"/>
                <w:szCs w:val="20"/>
                <w:lang w:eastAsia="en-US"/>
              </w:rPr>
              <w:t>UNDAF Eval</w:t>
            </w:r>
            <w:r w:rsidR="00014BCB" w:rsidRPr="00861957">
              <w:rPr>
                <w:bCs/>
                <w:color w:val="000000"/>
                <w:sz w:val="20"/>
                <w:szCs w:val="20"/>
                <w:lang w:eastAsia="en-US"/>
              </w:rPr>
              <w:t>uation</w:t>
            </w:r>
            <w:r w:rsidRPr="00861957">
              <w:rPr>
                <w:bCs/>
                <w:color w:val="000000"/>
                <w:sz w:val="20"/>
                <w:szCs w:val="20"/>
                <w:lang w:eastAsia="en-US"/>
              </w:rPr>
              <w:t xml:space="preserve"> Milestones </w:t>
            </w:r>
          </w:p>
        </w:tc>
        <w:tc>
          <w:tcPr>
            <w:tcW w:w="4961" w:type="dxa"/>
            <w:tcBorders>
              <w:top w:val="single" w:sz="4" w:space="0" w:color="auto"/>
              <w:left w:val="nil"/>
              <w:bottom w:val="single" w:sz="8" w:space="0" w:color="000000"/>
              <w:right w:val="single" w:sz="8" w:space="0" w:color="000000"/>
            </w:tcBorders>
            <w:shd w:val="clear" w:color="auto" w:fill="CCFF99"/>
            <w:hideMark/>
          </w:tcPr>
          <w:p w14:paraId="3D99B329" w14:textId="77777777" w:rsidR="00FC062F" w:rsidRPr="008B2AD6" w:rsidRDefault="00FC062F" w:rsidP="00FC062F">
            <w:pPr>
              <w:spacing w:line="276" w:lineRule="auto"/>
              <w:rPr>
                <w:color w:val="000000"/>
                <w:sz w:val="20"/>
                <w:szCs w:val="20"/>
                <w:lang w:eastAsia="en-US"/>
              </w:rPr>
            </w:pPr>
            <w:r w:rsidRPr="008B2AD6">
              <w:rPr>
                <w:color w:val="000000"/>
                <w:sz w:val="20"/>
                <w:szCs w:val="20"/>
                <w:lang w:eastAsia="en-US"/>
              </w:rPr>
              <w:t> UNDAF Annual Progress Report</w:t>
            </w:r>
          </w:p>
        </w:tc>
        <w:tc>
          <w:tcPr>
            <w:tcW w:w="2977" w:type="dxa"/>
            <w:tcBorders>
              <w:top w:val="single" w:sz="4" w:space="0" w:color="auto"/>
              <w:left w:val="nil"/>
              <w:bottom w:val="single" w:sz="8" w:space="0" w:color="000000"/>
              <w:right w:val="single" w:sz="8" w:space="0" w:color="000000"/>
            </w:tcBorders>
            <w:shd w:val="clear" w:color="auto" w:fill="CCFF99"/>
            <w:hideMark/>
          </w:tcPr>
          <w:p w14:paraId="4C7AF600" w14:textId="77777777" w:rsidR="00FC062F" w:rsidRPr="008B2AD6" w:rsidRDefault="00FC062F" w:rsidP="00FC062F">
            <w:pPr>
              <w:spacing w:line="276" w:lineRule="auto"/>
              <w:rPr>
                <w:color w:val="000000"/>
                <w:sz w:val="20"/>
                <w:szCs w:val="20"/>
                <w:lang w:eastAsia="en-US"/>
              </w:rPr>
            </w:pPr>
            <w:r w:rsidRPr="008B2AD6">
              <w:rPr>
                <w:color w:val="000000"/>
                <w:sz w:val="20"/>
                <w:szCs w:val="20"/>
                <w:lang w:eastAsia="en-US"/>
              </w:rPr>
              <w:t> UNDAF Annual Progress Report</w:t>
            </w:r>
          </w:p>
        </w:tc>
        <w:tc>
          <w:tcPr>
            <w:tcW w:w="2126" w:type="dxa"/>
            <w:tcBorders>
              <w:top w:val="single" w:sz="4" w:space="0" w:color="auto"/>
              <w:left w:val="nil"/>
              <w:bottom w:val="single" w:sz="8" w:space="0" w:color="000000"/>
              <w:right w:val="single" w:sz="8" w:space="0" w:color="000000"/>
            </w:tcBorders>
            <w:shd w:val="clear" w:color="auto" w:fill="CCFF99"/>
            <w:hideMark/>
          </w:tcPr>
          <w:p w14:paraId="243C2A21" w14:textId="77777777" w:rsidR="00FC062F" w:rsidRPr="008B2AD6" w:rsidRDefault="00FC062F" w:rsidP="00FC062F">
            <w:pPr>
              <w:spacing w:line="276" w:lineRule="auto"/>
              <w:rPr>
                <w:color w:val="000000"/>
                <w:sz w:val="20"/>
                <w:szCs w:val="20"/>
                <w:lang w:eastAsia="en-US"/>
              </w:rPr>
            </w:pPr>
            <w:r w:rsidRPr="008B2AD6">
              <w:rPr>
                <w:color w:val="000000"/>
                <w:sz w:val="20"/>
                <w:szCs w:val="20"/>
                <w:lang w:eastAsia="en-US"/>
              </w:rPr>
              <w:t> UNDAF Annual Progress Report</w:t>
            </w:r>
          </w:p>
        </w:tc>
        <w:tc>
          <w:tcPr>
            <w:tcW w:w="2410" w:type="dxa"/>
            <w:tcBorders>
              <w:top w:val="single" w:sz="4" w:space="0" w:color="auto"/>
              <w:left w:val="nil"/>
              <w:bottom w:val="single" w:sz="8" w:space="0" w:color="000000"/>
              <w:right w:val="single" w:sz="8" w:space="0" w:color="000000"/>
            </w:tcBorders>
            <w:shd w:val="clear" w:color="auto" w:fill="CCFF99"/>
            <w:hideMark/>
          </w:tcPr>
          <w:p w14:paraId="3328FC72" w14:textId="77777777" w:rsidR="00FC062F" w:rsidRPr="008B2AD6" w:rsidRDefault="00FC062F" w:rsidP="00FC062F">
            <w:pPr>
              <w:spacing w:line="276" w:lineRule="auto"/>
              <w:rPr>
                <w:color w:val="000000"/>
                <w:sz w:val="20"/>
                <w:szCs w:val="20"/>
                <w:lang w:eastAsia="en-US"/>
              </w:rPr>
            </w:pPr>
            <w:r w:rsidRPr="008B2AD6">
              <w:rPr>
                <w:color w:val="000000"/>
                <w:sz w:val="20"/>
                <w:szCs w:val="20"/>
                <w:lang w:eastAsia="en-US"/>
              </w:rPr>
              <w:t xml:space="preserve">UNDAF Annual Progress Report </w:t>
            </w:r>
          </w:p>
          <w:p w14:paraId="46696DB1" w14:textId="77777777" w:rsidR="00FC062F" w:rsidRPr="008B2AD6" w:rsidRDefault="00224A4F" w:rsidP="00FC062F">
            <w:pPr>
              <w:spacing w:line="276" w:lineRule="auto"/>
              <w:rPr>
                <w:color w:val="000000"/>
                <w:sz w:val="20"/>
                <w:szCs w:val="20"/>
                <w:lang w:eastAsia="en-US"/>
              </w:rPr>
            </w:pPr>
            <w:r w:rsidRPr="008B2AD6">
              <w:rPr>
                <w:color w:val="000000"/>
                <w:sz w:val="20"/>
                <w:szCs w:val="20"/>
                <w:lang w:eastAsia="en-US"/>
              </w:rPr>
              <w:t>Final U</w:t>
            </w:r>
            <w:r w:rsidR="00FC062F" w:rsidRPr="008B2AD6">
              <w:rPr>
                <w:color w:val="000000"/>
                <w:sz w:val="20"/>
                <w:szCs w:val="20"/>
                <w:lang w:eastAsia="en-US"/>
              </w:rPr>
              <w:t>NDAF Evaluation</w:t>
            </w:r>
          </w:p>
        </w:tc>
        <w:tc>
          <w:tcPr>
            <w:tcW w:w="1559" w:type="dxa"/>
            <w:tcBorders>
              <w:top w:val="single" w:sz="4" w:space="0" w:color="auto"/>
              <w:left w:val="nil"/>
              <w:bottom w:val="single" w:sz="8" w:space="0" w:color="000000"/>
              <w:right w:val="single" w:sz="8" w:space="0" w:color="auto"/>
            </w:tcBorders>
            <w:shd w:val="clear" w:color="auto" w:fill="CCFF99"/>
            <w:hideMark/>
          </w:tcPr>
          <w:p w14:paraId="55A1F5B1" w14:textId="77777777" w:rsidR="00FC062F" w:rsidRPr="008B2AD6" w:rsidRDefault="00FC062F" w:rsidP="00FC062F">
            <w:pPr>
              <w:spacing w:line="276" w:lineRule="auto"/>
              <w:rPr>
                <w:color w:val="000000"/>
                <w:sz w:val="20"/>
                <w:szCs w:val="20"/>
                <w:lang w:eastAsia="en-US"/>
              </w:rPr>
            </w:pPr>
            <w:r w:rsidRPr="008B2AD6">
              <w:rPr>
                <w:color w:val="000000"/>
                <w:sz w:val="20"/>
                <w:szCs w:val="20"/>
                <w:lang w:eastAsia="en-US"/>
              </w:rPr>
              <w:t> UNDAF Annual Progress Report</w:t>
            </w:r>
          </w:p>
        </w:tc>
      </w:tr>
      <w:tr w:rsidR="003F64D2" w:rsidRPr="00861957" w14:paraId="241BE51E" w14:textId="77777777" w:rsidTr="00014BCB">
        <w:trPr>
          <w:trHeight w:val="645"/>
        </w:trPr>
        <w:tc>
          <w:tcPr>
            <w:tcW w:w="450" w:type="dxa"/>
            <w:vMerge/>
            <w:tcBorders>
              <w:top w:val="nil"/>
              <w:left w:val="single" w:sz="8" w:space="0" w:color="auto"/>
              <w:bottom w:val="single" w:sz="8" w:space="0" w:color="000000"/>
              <w:right w:val="single" w:sz="8" w:space="0" w:color="000000"/>
            </w:tcBorders>
            <w:vAlign w:val="center"/>
            <w:hideMark/>
          </w:tcPr>
          <w:p w14:paraId="6C25B72B" w14:textId="77777777" w:rsidR="00FC062F" w:rsidRPr="00861957" w:rsidRDefault="00FC062F" w:rsidP="00FC062F">
            <w:pPr>
              <w:rPr>
                <w:b/>
                <w:bCs/>
                <w:color w:val="000000"/>
                <w:sz w:val="20"/>
                <w:szCs w:val="20"/>
                <w:lang w:eastAsia="en-US"/>
              </w:rPr>
            </w:pPr>
          </w:p>
        </w:tc>
        <w:tc>
          <w:tcPr>
            <w:tcW w:w="1501" w:type="dxa"/>
            <w:tcBorders>
              <w:top w:val="nil"/>
              <w:left w:val="nil"/>
              <w:bottom w:val="nil"/>
              <w:right w:val="single" w:sz="8" w:space="0" w:color="000000"/>
            </w:tcBorders>
            <w:shd w:val="clear" w:color="auto" w:fill="BFBFBF"/>
            <w:hideMark/>
          </w:tcPr>
          <w:p w14:paraId="7DF0CFF9" w14:textId="77777777" w:rsidR="00FC062F" w:rsidRPr="00861957" w:rsidRDefault="00FC062F" w:rsidP="00FC062F">
            <w:pPr>
              <w:spacing w:line="276" w:lineRule="auto"/>
              <w:rPr>
                <w:bCs/>
                <w:color w:val="000000"/>
                <w:sz w:val="20"/>
                <w:szCs w:val="20"/>
                <w:lang w:eastAsia="en-US"/>
              </w:rPr>
            </w:pPr>
            <w:r w:rsidRPr="00861957">
              <w:rPr>
                <w:bCs/>
                <w:color w:val="000000"/>
                <w:sz w:val="20"/>
                <w:szCs w:val="20"/>
                <w:lang w:eastAsia="en-US"/>
              </w:rPr>
              <w:t>Capacity Development</w:t>
            </w:r>
          </w:p>
        </w:tc>
        <w:tc>
          <w:tcPr>
            <w:tcW w:w="4961" w:type="dxa"/>
            <w:tcBorders>
              <w:top w:val="nil"/>
              <w:left w:val="nil"/>
              <w:bottom w:val="single" w:sz="8" w:space="0" w:color="000000"/>
              <w:right w:val="single" w:sz="8" w:space="0" w:color="000000"/>
            </w:tcBorders>
            <w:shd w:val="clear" w:color="auto" w:fill="CCFF99"/>
          </w:tcPr>
          <w:p w14:paraId="1A677E1E" w14:textId="77777777" w:rsidR="00FC062F" w:rsidRPr="008B2AD6" w:rsidRDefault="00FC062F" w:rsidP="008B2AD6">
            <w:pPr>
              <w:numPr>
                <w:ilvl w:val="0"/>
                <w:numId w:val="22"/>
              </w:numPr>
              <w:contextualSpacing/>
              <w:rPr>
                <w:sz w:val="20"/>
                <w:szCs w:val="20"/>
                <w:lang w:eastAsia="en-US"/>
              </w:rPr>
            </w:pPr>
            <w:r w:rsidRPr="008B2AD6">
              <w:rPr>
                <w:color w:val="000000"/>
                <w:sz w:val="20"/>
                <w:szCs w:val="20"/>
                <w:lang w:eastAsia="en-US"/>
              </w:rPr>
              <w:t>UNFPA-UNICEF work on capacity development of the</w:t>
            </w:r>
            <w:r w:rsidR="00D55717" w:rsidRPr="008B2AD6">
              <w:rPr>
                <w:color w:val="000000"/>
                <w:sz w:val="20"/>
                <w:szCs w:val="20"/>
                <w:lang w:eastAsia="en-US"/>
              </w:rPr>
              <w:t xml:space="preserve"> National Statistical Committee</w:t>
            </w:r>
          </w:p>
          <w:p w14:paraId="4FC0A627" w14:textId="77777777" w:rsidR="0071643B" w:rsidRPr="008B2AD6" w:rsidRDefault="0071643B" w:rsidP="008B2AD6">
            <w:pPr>
              <w:numPr>
                <w:ilvl w:val="0"/>
                <w:numId w:val="22"/>
              </w:numPr>
              <w:contextualSpacing/>
              <w:rPr>
                <w:sz w:val="20"/>
                <w:szCs w:val="20"/>
                <w:lang w:val="en-US" w:eastAsia="en-US"/>
              </w:rPr>
            </w:pPr>
            <w:r w:rsidRPr="008B2AD6">
              <w:rPr>
                <w:color w:val="000000"/>
                <w:sz w:val="20"/>
                <w:szCs w:val="20"/>
                <w:lang w:val="en-US" w:eastAsia="en-US"/>
              </w:rPr>
              <w:t>UNWTO work on capacity development related to Belarus’ system of tourism statistics</w:t>
            </w:r>
          </w:p>
          <w:p w14:paraId="0F5E05B7" w14:textId="0E2113FA" w:rsidR="006B6002" w:rsidRPr="008B2AD6" w:rsidRDefault="006B6002" w:rsidP="008B2AD6">
            <w:pPr>
              <w:numPr>
                <w:ilvl w:val="0"/>
                <w:numId w:val="22"/>
              </w:numPr>
              <w:contextualSpacing/>
              <w:rPr>
                <w:sz w:val="20"/>
                <w:szCs w:val="20"/>
                <w:lang w:eastAsia="en-US"/>
              </w:rPr>
            </w:pPr>
            <w:r w:rsidRPr="008B2AD6">
              <w:rPr>
                <w:color w:val="000000" w:themeColor="text1"/>
                <w:sz w:val="20"/>
                <w:szCs w:val="20"/>
              </w:rPr>
              <w:t>UNFPA work on capacity develop</w:t>
            </w:r>
            <w:r w:rsidR="007F4EB7" w:rsidRPr="008B2AD6">
              <w:rPr>
                <w:color w:val="000000" w:themeColor="text1"/>
                <w:sz w:val="20"/>
                <w:szCs w:val="20"/>
              </w:rPr>
              <w:t>ment</w:t>
            </w:r>
            <w:r w:rsidRPr="008B2AD6">
              <w:rPr>
                <w:color w:val="000000" w:themeColor="text1"/>
                <w:sz w:val="20"/>
                <w:szCs w:val="20"/>
              </w:rPr>
              <w:t xml:space="preserve"> in the areas of Reproductive </w:t>
            </w:r>
            <w:r w:rsidR="007F4EB7" w:rsidRPr="008B2AD6">
              <w:rPr>
                <w:color w:val="000000" w:themeColor="text1"/>
                <w:sz w:val="20"/>
                <w:szCs w:val="20"/>
              </w:rPr>
              <w:t>h</w:t>
            </w:r>
            <w:r w:rsidRPr="008B2AD6">
              <w:rPr>
                <w:color w:val="000000" w:themeColor="text1"/>
                <w:sz w:val="20"/>
                <w:szCs w:val="20"/>
              </w:rPr>
              <w:t>ealth, Gender-based violence/domestic violence, demography, gender equality</w:t>
            </w:r>
          </w:p>
          <w:p w14:paraId="250DF587" w14:textId="77777777" w:rsidR="00D55717" w:rsidRPr="008B2AD6" w:rsidRDefault="00D55717" w:rsidP="008B2AD6">
            <w:pPr>
              <w:pStyle w:val="ListParagraph"/>
              <w:numPr>
                <w:ilvl w:val="0"/>
                <w:numId w:val="22"/>
              </w:numPr>
              <w:rPr>
                <w:sz w:val="20"/>
                <w:szCs w:val="20"/>
              </w:rPr>
            </w:pPr>
            <w:r w:rsidRPr="008B2AD6">
              <w:rPr>
                <w:color w:val="000000" w:themeColor="text1"/>
                <w:sz w:val="20"/>
                <w:szCs w:val="20"/>
              </w:rPr>
              <w:t>Disability measurement methodology training for all national stakeholders (UNICEF)</w:t>
            </w:r>
          </w:p>
        </w:tc>
        <w:tc>
          <w:tcPr>
            <w:tcW w:w="2977" w:type="dxa"/>
            <w:tcBorders>
              <w:top w:val="nil"/>
              <w:left w:val="nil"/>
              <w:bottom w:val="nil"/>
              <w:right w:val="single" w:sz="8" w:space="0" w:color="000000"/>
            </w:tcBorders>
            <w:shd w:val="clear" w:color="auto" w:fill="CCFF99"/>
            <w:hideMark/>
          </w:tcPr>
          <w:p w14:paraId="68CF4D03" w14:textId="77777777" w:rsidR="00FC062F" w:rsidRPr="008B2AD6" w:rsidRDefault="006B6002" w:rsidP="008B2AD6">
            <w:pPr>
              <w:rPr>
                <w:color w:val="000000" w:themeColor="text1"/>
                <w:sz w:val="20"/>
                <w:szCs w:val="20"/>
              </w:rPr>
            </w:pPr>
            <w:r w:rsidRPr="008B2AD6">
              <w:rPr>
                <w:color w:val="000000" w:themeColor="text1"/>
                <w:sz w:val="20"/>
                <w:szCs w:val="20"/>
              </w:rPr>
              <w:t>UNFPA work on capacity develop</w:t>
            </w:r>
            <w:r w:rsidR="006D2717" w:rsidRPr="008B2AD6">
              <w:rPr>
                <w:color w:val="000000" w:themeColor="text1"/>
                <w:sz w:val="20"/>
                <w:szCs w:val="20"/>
              </w:rPr>
              <w:t>ment</w:t>
            </w:r>
            <w:r w:rsidRPr="008B2AD6">
              <w:rPr>
                <w:color w:val="000000" w:themeColor="text1"/>
                <w:sz w:val="20"/>
                <w:szCs w:val="20"/>
              </w:rPr>
              <w:t xml:space="preserve"> in the areas of Reproductive </w:t>
            </w:r>
            <w:r w:rsidR="006D2717" w:rsidRPr="008B2AD6">
              <w:rPr>
                <w:color w:val="000000" w:themeColor="text1"/>
                <w:sz w:val="20"/>
                <w:szCs w:val="20"/>
              </w:rPr>
              <w:t>h</w:t>
            </w:r>
            <w:r w:rsidRPr="008B2AD6">
              <w:rPr>
                <w:color w:val="000000" w:themeColor="text1"/>
                <w:sz w:val="20"/>
                <w:szCs w:val="20"/>
              </w:rPr>
              <w:t>ealth, Gender-based violence/domestic violence, demography, gender equality</w:t>
            </w:r>
          </w:p>
          <w:p w14:paraId="73CA4ACC" w14:textId="77777777" w:rsidR="0071643B" w:rsidRPr="008B2AD6" w:rsidRDefault="0071643B" w:rsidP="008B2AD6">
            <w:pPr>
              <w:rPr>
                <w:color w:val="000000" w:themeColor="text1"/>
                <w:sz w:val="20"/>
                <w:szCs w:val="20"/>
              </w:rPr>
            </w:pPr>
          </w:p>
          <w:p w14:paraId="32A464BA" w14:textId="77777777" w:rsidR="0071643B" w:rsidRPr="008B2AD6" w:rsidRDefault="0071643B" w:rsidP="008B2AD6">
            <w:pPr>
              <w:rPr>
                <w:sz w:val="20"/>
                <w:szCs w:val="20"/>
                <w:lang w:val="en-US" w:eastAsia="en-US"/>
              </w:rPr>
            </w:pPr>
            <w:r w:rsidRPr="008B2AD6">
              <w:rPr>
                <w:color w:val="000000"/>
                <w:sz w:val="20"/>
                <w:szCs w:val="20"/>
                <w:lang w:val="en-US" w:eastAsia="en-US"/>
              </w:rPr>
              <w:t>UNWTO work on capacity development related to Belarus’ system of tourism statistics</w:t>
            </w:r>
          </w:p>
          <w:p w14:paraId="2EF6A08F" w14:textId="77777777" w:rsidR="0071643B" w:rsidRPr="008B2AD6" w:rsidRDefault="0071643B" w:rsidP="008B2AD6">
            <w:pPr>
              <w:rPr>
                <w:color w:val="000000" w:themeColor="text1"/>
                <w:sz w:val="20"/>
                <w:szCs w:val="20"/>
                <w:lang w:val="en-US" w:eastAsia="en-US"/>
              </w:rPr>
            </w:pPr>
          </w:p>
          <w:p w14:paraId="239110CA" w14:textId="467A57D4" w:rsidR="00406E7E" w:rsidRPr="008B2AD6" w:rsidRDefault="00406E7E" w:rsidP="008B2AD6">
            <w:pPr>
              <w:rPr>
                <w:color w:val="000000" w:themeColor="text1"/>
                <w:sz w:val="20"/>
                <w:szCs w:val="20"/>
                <w:lang w:val="en-US" w:eastAsia="en-US"/>
              </w:rPr>
            </w:pPr>
            <w:r w:rsidRPr="008B2AD6">
              <w:rPr>
                <w:color w:val="000000" w:themeColor="text1"/>
                <w:sz w:val="20"/>
                <w:szCs w:val="20"/>
                <w:lang w:val="en-US" w:eastAsia="en-US"/>
              </w:rPr>
              <w:t>UNWTO to deliver capacity building courses for tourism-related SMEs and relevant tourism stakeholders</w:t>
            </w:r>
          </w:p>
        </w:tc>
        <w:tc>
          <w:tcPr>
            <w:tcW w:w="2126" w:type="dxa"/>
            <w:tcBorders>
              <w:top w:val="nil"/>
              <w:left w:val="nil"/>
              <w:bottom w:val="single" w:sz="8" w:space="0" w:color="000000"/>
              <w:right w:val="single" w:sz="8" w:space="0" w:color="000000"/>
            </w:tcBorders>
            <w:shd w:val="clear" w:color="auto" w:fill="CCFF99"/>
            <w:hideMark/>
          </w:tcPr>
          <w:p w14:paraId="37AD87FD" w14:textId="77777777" w:rsidR="00FC062F" w:rsidRPr="008B2AD6" w:rsidRDefault="006B6002" w:rsidP="008B2AD6">
            <w:pPr>
              <w:rPr>
                <w:color w:val="000000" w:themeColor="text1"/>
                <w:sz w:val="20"/>
                <w:szCs w:val="20"/>
              </w:rPr>
            </w:pPr>
            <w:r w:rsidRPr="008B2AD6">
              <w:rPr>
                <w:color w:val="000000" w:themeColor="text1"/>
                <w:sz w:val="20"/>
                <w:szCs w:val="20"/>
              </w:rPr>
              <w:t>UNFPA work on capacity develop</w:t>
            </w:r>
            <w:r w:rsidR="006D2717" w:rsidRPr="008B2AD6">
              <w:rPr>
                <w:color w:val="000000" w:themeColor="text1"/>
                <w:sz w:val="20"/>
                <w:szCs w:val="20"/>
              </w:rPr>
              <w:t>ment</w:t>
            </w:r>
            <w:r w:rsidRPr="008B2AD6">
              <w:rPr>
                <w:color w:val="000000" w:themeColor="text1"/>
                <w:sz w:val="20"/>
                <w:szCs w:val="20"/>
              </w:rPr>
              <w:t xml:space="preserve"> in the areas of Reproductive </w:t>
            </w:r>
            <w:r w:rsidR="006D2717" w:rsidRPr="008B2AD6">
              <w:rPr>
                <w:color w:val="000000" w:themeColor="text1"/>
                <w:sz w:val="20"/>
                <w:szCs w:val="20"/>
              </w:rPr>
              <w:t>h</w:t>
            </w:r>
            <w:r w:rsidRPr="008B2AD6">
              <w:rPr>
                <w:color w:val="000000" w:themeColor="text1"/>
                <w:sz w:val="20"/>
                <w:szCs w:val="20"/>
              </w:rPr>
              <w:t>ealth, Gender-based violence/domestic violence, demography, gender equality</w:t>
            </w:r>
          </w:p>
          <w:p w14:paraId="1746CB9B" w14:textId="77777777" w:rsidR="0071643B" w:rsidRPr="008B2AD6" w:rsidRDefault="0071643B" w:rsidP="008B2AD6">
            <w:pPr>
              <w:rPr>
                <w:color w:val="000000" w:themeColor="text1"/>
                <w:sz w:val="20"/>
                <w:szCs w:val="20"/>
              </w:rPr>
            </w:pPr>
          </w:p>
          <w:p w14:paraId="0F3DD992" w14:textId="11FDB2DB" w:rsidR="0071643B" w:rsidRPr="008B2AD6" w:rsidRDefault="0071643B" w:rsidP="008B2AD6">
            <w:pPr>
              <w:rPr>
                <w:color w:val="000000" w:themeColor="text1"/>
                <w:sz w:val="20"/>
                <w:szCs w:val="20"/>
                <w:lang w:eastAsia="en-US"/>
              </w:rPr>
            </w:pPr>
            <w:r w:rsidRPr="008B2AD6">
              <w:rPr>
                <w:color w:val="000000"/>
                <w:sz w:val="20"/>
                <w:szCs w:val="20"/>
                <w:lang w:val="en-US" w:eastAsia="en-US"/>
              </w:rPr>
              <w:t>UNWTO work on capacity development related to Belarus’ system of tourism statistics</w:t>
            </w:r>
          </w:p>
        </w:tc>
        <w:tc>
          <w:tcPr>
            <w:tcW w:w="2410" w:type="dxa"/>
            <w:tcBorders>
              <w:top w:val="nil"/>
              <w:left w:val="nil"/>
              <w:bottom w:val="single" w:sz="8" w:space="0" w:color="000000"/>
              <w:right w:val="single" w:sz="8" w:space="0" w:color="000000"/>
            </w:tcBorders>
            <w:shd w:val="clear" w:color="auto" w:fill="CCFF99"/>
            <w:hideMark/>
          </w:tcPr>
          <w:p w14:paraId="52D074C1" w14:textId="77777777" w:rsidR="00FC062F" w:rsidRPr="008B2AD6" w:rsidRDefault="00FC062F" w:rsidP="00FC062F">
            <w:pPr>
              <w:spacing w:line="276" w:lineRule="auto"/>
              <w:rPr>
                <w:color w:val="000000"/>
                <w:sz w:val="20"/>
                <w:szCs w:val="20"/>
                <w:lang w:eastAsia="en-US"/>
              </w:rPr>
            </w:pPr>
            <w:r w:rsidRPr="008B2AD6">
              <w:rPr>
                <w:color w:val="000000"/>
                <w:sz w:val="20"/>
                <w:szCs w:val="20"/>
                <w:lang w:eastAsia="en-US"/>
              </w:rPr>
              <w:t> </w:t>
            </w:r>
          </w:p>
        </w:tc>
        <w:tc>
          <w:tcPr>
            <w:tcW w:w="1559" w:type="dxa"/>
            <w:tcBorders>
              <w:top w:val="nil"/>
              <w:left w:val="nil"/>
              <w:bottom w:val="single" w:sz="8" w:space="0" w:color="000000"/>
              <w:right w:val="single" w:sz="8" w:space="0" w:color="auto"/>
            </w:tcBorders>
            <w:shd w:val="clear" w:color="auto" w:fill="CCFF99"/>
            <w:hideMark/>
          </w:tcPr>
          <w:p w14:paraId="221BEB3A" w14:textId="77777777" w:rsidR="00FC062F" w:rsidRPr="008B2AD6" w:rsidRDefault="00FC062F" w:rsidP="00FC062F">
            <w:pPr>
              <w:spacing w:line="276" w:lineRule="auto"/>
              <w:rPr>
                <w:color w:val="000000"/>
                <w:sz w:val="20"/>
                <w:szCs w:val="20"/>
                <w:lang w:eastAsia="en-US"/>
              </w:rPr>
            </w:pPr>
            <w:r w:rsidRPr="008B2AD6">
              <w:rPr>
                <w:color w:val="000000"/>
                <w:sz w:val="20"/>
                <w:szCs w:val="20"/>
                <w:lang w:eastAsia="en-US"/>
              </w:rPr>
              <w:t> </w:t>
            </w:r>
          </w:p>
        </w:tc>
      </w:tr>
      <w:tr w:rsidR="003F64D2" w:rsidRPr="00861957" w14:paraId="4871C518" w14:textId="77777777" w:rsidTr="00014BCB">
        <w:trPr>
          <w:trHeight w:val="600"/>
        </w:trPr>
        <w:tc>
          <w:tcPr>
            <w:tcW w:w="450" w:type="dxa"/>
            <w:vMerge/>
            <w:tcBorders>
              <w:top w:val="nil"/>
              <w:left w:val="single" w:sz="8" w:space="0" w:color="auto"/>
              <w:bottom w:val="single" w:sz="8" w:space="0" w:color="000000"/>
              <w:right w:val="single" w:sz="8" w:space="0" w:color="000000"/>
            </w:tcBorders>
            <w:vAlign w:val="center"/>
            <w:hideMark/>
          </w:tcPr>
          <w:p w14:paraId="5D316997" w14:textId="77777777" w:rsidR="00FC062F" w:rsidRPr="00861957" w:rsidRDefault="00FC062F" w:rsidP="00FC062F">
            <w:pPr>
              <w:rPr>
                <w:b/>
                <w:bCs/>
                <w:color w:val="000000"/>
                <w:sz w:val="20"/>
                <w:szCs w:val="20"/>
                <w:lang w:eastAsia="en-US"/>
              </w:rPr>
            </w:pPr>
          </w:p>
        </w:tc>
        <w:tc>
          <w:tcPr>
            <w:tcW w:w="1501" w:type="dxa"/>
            <w:vMerge w:val="restart"/>
            <w:tcBorders>
              <w:top w:val="single" w:sz="8" w:space="0" w:color="auto"/>
              <w:left w:val="single" w:sz="8" w:space="0" w:color="auto"/>
              <w:bottom w:val="single" w:sz="8" w:space="0" w:color="000000"/>
              <w:right w:val="single" w:sz="8" w:space="0" w:color="auto"/>
            </w:tcBorders>
            <w:shd w:val="clear" w:color="auto" w:fill="BFBFBF"/>
            <w:hideMark/>
          </w:tcPr>
          <w:p w14:paraId="4BACC0D0" w14:textId="77777777" w:rsidR="00FC062F" w:rsidRPr="00861957" w:rsidRDefault="00FC062F" w:rsidP="00FC062F">
            <w:pPr>
              <w:spacing w:line="276" w:lineRule="auto"/>
              <w:rPr>
                <w:bCs/>
                <w:color w:val="000000"/>
                <w:sz w:val="20"/>
                <w:szCs w:val="20"/>
                <w:lang w:eastAsia="en-US"/>
              </w:rPr>
            </w:pPr>
            <w:r w:rsidRPr="00861957">
              <w:rPr>
                <w:bCs/>
                <w:color w:val="000000"/>
                <w:sz w:val="20"/>
                <w:szCs w:val="20"/>
                <w:lang w:eastAsia="en-US"/>
              </w:rPr>
              <w:t xml:space="preserve">Use of info </w:t>
            </w:r>
          </w:p>
        </w:tc>
        <w:tc>
          <w:tcPr>
            <w:tcW w:w="4961" w:type="dxa"/>
            <w:shd w:val="clear" w:color="auto" w:fill="CCFF99"/>
          </w:tcPr>
          <w:p w14:paraId="3D6DC82D" w14:textId="57FD9B8D" w:rsidR="00FC062F" w:rsidRPr="008B2AD6" w:rsidRDefault="00DE6C9C" w:rsidP="00FC062F">
            <w:pPr>
              <w:spacing w:line="276" w:lineRule="auto"/>
              <w:rPr>
                <w:sz w:val="20"/>
                <w:szCs w:val="20"/>
                <w:lang w:eastAsia="en-US"/>
              </w:rPr>
            </w:pPr>
            <w:r w:rsidRPr="008B2AD6">
              <w:rPr>
                <w:sz w:val="20"/>
                <w:szCs w:val="20"/>
                <w:lang w:eastAsia="en-US"/>
              </w:rPr>
              <w:t xml:space="preserve">- CRING reporting on </w:t>
            </w:r>
            <w:r w:rsidR="007F4EB7" w:rsidRPr="008B2AD6">
              <w:rPr>
                <w:sz w:val="20"/>
                <w:szCs w:val="20"/>
                <w:lang w:eastAsia="en-US"/>
              </w:rPr>
              <w:t xml:space="preserve">the </w:t>
            </w:r>
            <w:r w:rsidRPr="008B2AD6">
              <w:rPr>
                <w:sz w:val="20"/>
                <w:szCs w:val="20"/>
                <w:lang w:eastAsia="en-US"/>
              </w:rPr>
              <w:t xml:space="preserve">situation </w:t>
            </w:r>
            <w:r w:rsidR="007F4EB7" w:rsidRPr="008B2AD6">
              <w:rPr>
                <w:sz w:val="20"/>
                <w:szCs w:val="20"/>
                <w:lang w:eastAsia="en-US"/>
              </w:rPr>
              <w:t xml:space="preserve">of children </w:t>
            </w:r>
            <w:r w:rsidRPr="008B2AD6">
              <w:rPr>
                <w:sz w:val="20"/>
                <w:szCs w:val="20"/>
                <w:lang w:eastAsia="en-US"/>
              </w:rPr>
              <w:t>(UNICEF)</w:t>
            </w:r>
          </w:p>
          <w:p w14:paraId="37A52D4E" w14:textId="5572598F" w:rsidR="00DE6C9C" w:rsidRPr="008B2AD6" w:rsidRDefault="00DE6C9C" w:rsidP="007F4EB7">
            <w:pPr>
              <w:spacing w:line="276" w:lineRule="auto"/>
              <w:rPr>
                <w:sz w:val="20"/>
                <w:szCs w:val="20"/>
                <w:lang w:eastAsia="en-US"/>
              </w:rPr>
            </w:pPr>
            <w:r w:rsidRPr="008B2AD6">
              <w:rPr>
                <w:sz w:val="20"/>
                <w:szCs w:val="20"/>
                <w:lang w:eastAsia="en-US"/>
              </w:rPr>
              <w:t xml:space="preserve">- Input to National Plan on Child </w:t>
            </w:r>
            <w:r w:rsidR="007F4EB7" w:rsidRPr="008B2AD6">
              <w:rPr>
                <w:sz w:val="20"/>
                <w:szCs w:val="20"/>
                <w:lang w:eastAsia="en-US"/>
              </w:rPr>
              <w:t>D</w:t>
            </w:r>
            <w:r w:rsidRPr="008B2AD6">
              <w:rPr>
                <w:sz w:val="20"/>
                <w:szCs w:val="20"/>
                <w:lang w:eastAsia="en-US"/>
              </w:rPr>
              <w:t>evelopment (UNICEF)</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CCFF99"/>
          </w:tcPr>
          <w:p w14:paraId="56C7E3B3" w14:textId="77777777" w:rsidR="00FC062F" w:rsidRPr="008B2AD6" w:rsidRDefault="00DE6C9C" w:rsidP="00FC062F">
            <w:pPr>
              <w:spacing w:line="276" w:lineRule="auto"/>
              <w:rPr>
                <w:color w:val="000000"/>
                <w:sz w:val="20"/>
                <w:szCs w:val="20"/>
                <w:lang w:eastAsia="en-US"/>
              </w:rPr>
            </w:pPr>
            <w:r w:rsidRPr="008B2AD6">
              <w:rPr>
                <w:color w:val="000000" w:themeColor="text1"/>
                <w:sz w:val="20"/>
                <w:szCs w:val="20"/>
              </w:rPr>
              <w:t>Combined fifth and sixth periodic report on implementation of the Convention on the Rights of the Child (UNICEF)</w:t>
            </w:r>
          </w:p>
        </w:tc>
        <w:tc>
          <w:tcPr>
            <w:tcW w:w="2126" w:type="dxa"/>
            <w:vMerge w:val="restart"/>
            <w:tcBorders>
              <w:top w:val="nil"/>
              <w:left w:val="nil"/>
              <w:bottom w:val="single" w:sz="8" w:space="0" w:color="000000"/>
              <w:right w:val="single" w:sz="8" w:space="0" w:color="000000"/>
            </w:tcBorders>
            <w:shd w:val="clear" w:color="auto" w:fill="CCFF99"/>
          </w:tcPr>
          <w:p w14:paraId="4D77261D" w14:textId="4E87479A" w:rsidR="00FC062F" w:rsidRPr="008B2AD6" w:rsidRDefault="00406E7E" w:rsidP="00FC062F">
            <w:pPr>
              <w:spacing w:line="276" w:lineRule="auto"/>
              <w:rPr>
                <w:color w:val="000000"/>
                <w:sz w:val="20"/>
                <w:szCs w:val="20"/>
                <w:lang w:eastAsia="en-US"/>
              </w:rPr>
            </w:pPr>
            <w:r w:rsidRPr="008B2AD6">
              <w:rPr>
                <w:color w:val="000000"/>
                <w:sz w:val="20"/>
                <w:szCs w:val="20"/>
                <w:lang w:eastAsia="en-US"/>
              </w:rPr>
              <w:t>Tourism Law</w:t>
            </w:r>
            <w:r w:rsidRPr="008B2AD6">
              <w:rPr>
                <w:color w:val="000000"/>
                <w:sz w:val="20"/>
                <w:szCs w:val="20"/>
                <w:lang w:val="en-US" w:eastAsia="en-US"/>
              </w:rPr>
              <w:t xml:space="preserve"> for Belarus</w:t>
            </w:r>
            <w:r w:rsidRPr="008B2AD6">
              <w:rPr>
                <w:color w:val="000000"/>
                <w:sz w:val="20"/>
                <w:szCs w:val="20"/>
                <w:lang w:eastAsia="en-US"/>
              </w:rPr>
              <w:t xml:space="preserve"> (UNWTO)</w:t>
            </w:r>
          </w:p>
        </w:tc>
        <w:tc>
          <w:tcPr>
            <w:tcW w:w="2410" w:type="dxa"/>
            <w:vMerge w:val="restart"/>
            <w:tcBorders>
              <w:top w:val="nil"/>
              <w:left w:val="single" w:sz="8" w:space="0" w:color="000000"/>
              <w:bottom w:val="single" w:sz="8" w:space="0" w:color="000000"/>
              <w:right w:val="single" w:sz="8" w:space="0" w:color="000000"/>
            </w:tcBorders>
            <w:shd w:val="clear" w:color="auto" w:fill="CCFF99"/>
          </w:tcPr>
          <w:p w14:paraId="6EFE0970" w14:textId="77777777" w:rsidR="00FC062F" w:rsidRPr="008B2AD6" w:rsidRDefault="00FC062F" w:rsidP="00FC062F">
            <w:pPr>
              <w:spacing w:line="276" w:lineRule="auto"/>
              <w:rPr>
                <w:color w:val="000000"/>
                <w:sz w:val="20"/>
                <w:szCs w:val="20"/>
                <w:lang w:eastAsia="en-US"/>
              </w:rPr>
            </w:pPr>
          </w:p>
        </w:tc>
        <w:tc>
          <w:tcPr>
            <w:tcW w:w="1559" w:type="dxa"/>
            <w:vMerge w:val="restart"/>
            <w:tcBorders>
              <w:top w:val="nil"/>
              <w:left w:val="single" w:sz="8" w:space="0" w:color="000000"/>
              <w:bottom w:val="single" w:sz="8" w:space="0" w:color="000000"/>
              <w:right w:val="single" w:sz="8" w:space="0" w:color="auto"/>
            </w:tcBorders>
            <w:shd w:val="clear" w:color="auto" w:fill="CCFF99"/>
          </w:tcPr>
          <w:p w14:paraId="22BD04E7" w14:textId="77777777" w:rsidR="00FC062F" w:rsidRPr="008B2AD6" w:rsidRDefault="00FC062F" w:rsidP="00FC062F">
            <w:pPr>
              <w:spacing w:line="276" w:lineRule="auto"/>
              <w:rPr>
                <w:color w:val="000000"/>
                <w:sz w:val="20"/>
                <w:szCs w:val="20"/>
                <w:lang w:eastAsia="en-US"/>
              </w:rPr>
            </w:pPr>
          </w:p>
        </w:tc>
      </w:tr>
      <w:tr w:rsidR="003F64D2" w:rsidRPr="00861957" w14:paraId="75CE89C0" w14:textId="77777777" w:rsidTr="00014BCB">
        <w:trPr>
          <w:trHeight w:val="300"/>
        </w:trPr>
        <w:tc>
          <w:tcPr>
            <w:tcW w:w="450" w:type="dxa"/>
            <w:vMerge/>
            <w:tcBorders>
              <w:top w:val="nil"/>
              <w:left w:val="single" w:sz="8" w:space="0" w:color="auto"/>
              <w:bottom w:val="single" w:sz="8" w:space="0" w:color="000000"/>
              <w:right w:val="single" w:sz="8" w:space="0" w:color="000000"/>
            </w:tcBorders>
            <w:vAlign w:val="center"/>
            <w:hideMark/>
          </w:tcPr>
          <w:p w14:paraId="4FA305E1" w14:textId="77777777" w:rsidR="00FC062F" w:rsidRPr="00861957" w:rsidRDefault="00FC062F" w:rsidP="00FC062F">
            <w:pPr>
              <w:rPr>
                <w:b/>
                <w:bCs/>
                <w:color w:val="000000"/>
                <w:sz w:val="20"/>
                <w:szCs w:val="20"/>
                <w:lang w:eastAsia="en-US"/>
              </w:rPr>
            </w:pPr>
          </w:p>
        </w:tc>
        <w:tc>
          <w:tcPr>
            <w:tcW w:w="1501" w:type="dxa"/>
            <w:vMerge/>
            <w:tcBorders>
              <w:top w:val="single" w:sz="8" w:space="0" w:color="auto"/>
              <w:left w:val="single" w:sz="8" w:space="0" w:color="auto"/>
              <w:bottom w:val="single" w:sz="8" w:space="0" w:color="000000"/>
              <w:right w:val="single" w:sz="8" w:space="0" w:color="auto"/>
            </w:tcBorders>
            <w:vAlign w:val="center"/>
            <w:hideMark/>
          </w:tcPr>
          <w:p w14:paraId="3C25729D" w14:textId="77777777" w:rsidR="00FC062F" w:rsidRPr="00861957" w:rsidRDefault="00FC062F" w:rsidP="00FC062F">
            <w:pPr>
              <w:rPr>
                <w:bCs/>
                <w:color w:val="000000"/>
                <w:sz w:val="20"/>
                <w:szCs w:val="20"/>
                <w:lang w:eastAsia="en-US"/>
              </w:rPr>
            </w:pPr>
          </w:p>
        </w:tc>
        <w:tc>
          <w:tcPr>
            <w:tcW w:w="4961" w:type="dxa"/>
            <w:shd w:val="clear" w:color="auto" w:fill="CCFF99"/>
          </w:tcPr>
          <w:p w14:paraId="03AABDC4" w14:textId="77777777" w:rsidR="00FC062F" w:rsidRPr="00861957" w:rsidRDefault="00FC062F" w:rsidP="00FC062F">
            <w:pPr>
              <w:spacing w:line="276" w:lineRule="auto"/>
              <w:rPr>
                <w:sz w:val="20"/>
                <w:szCs w:val="20"/>
                <w:lang w:eastAsia="en-US"/>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14:paraId="483EBBAE" w14:textId="77777777" w:rsidR="00FC062F" w:rsidRPr="00861957" w:rsidRDefault="00FC062F" w:rsidP="00FC062F">
            <w:pPr>
              <w:rPr>
                <w:color w:val="000000"/>
                <w:sz w:val="20"/>
                <w:szCs w:val="20"/>
                <w:lang w:eastAsia="en-US"/>
              </w:rPr>
            </w:pPr>
          </w:p>
        </w:tc>
        <w:tc>
          <w:tcPr>
            <w:tcW w:w="2126" w:type="dxa"/>
            <w:vMerge/>
            <w:tcBorders>
              <w:top w:val="nil"/>
              <w:left w:val="nil"/>
              <w:bottom w:val="single" w:sz="8" w:space="0" w:color="000000"/>
              <w:right w:val="single" w:sz="8" w:space="0" w:color="000000"/>
            </w:tcBorders>
            <w:vAlign w:val="center"/>
            <w:hideMark/>
          </w:tcPr>
          <w:p w14:paraId="29B2D3E2" w14:textId="77777777" w:rsidR="00FC062F" w:rsidRPr="00861957" w:rsidRDefault="00FC062F" w:rsidP="00FC062F">
            <w:pPr>
              <w:rPr>
                <w:color w:val="000000"/>
                <w:sz w:val="20"/>
                <w:szCs w:val="20"/>
                <w:lang w:eastAsia="en-US"/>
              </w:rPr>
            </w:pPr>
          </w:p>
        </w:tc>
        <w:tc>
          <w:tcPr>
            <w:tcW w:w="2410" w:type="dxa"/>
            <w:vMerge/>
            <w:tcBorders>
              <w:top w:val="nil"/>
              <w:left w:val="single" w:sz="8" w:space="0" w:color="000000"/>
              <w:bottom w:val="single" w:sz="8" w:space="0" w:color="000000"/>
              <w:right w:val="single" w:sz="8" w:space="0" w:color="000000"/>
            </w:tcBorders>
            <w:vAlign w:val="center"/>
            <w:hideMark/>
          </w:tcPr>
          <w:p w14:paraId="4C775E7E" w14:textId="77777777" w:rsidR="00FC062F" w:rsidRPr="00861957" w:rsidRDefault="00FC062F" w:rsidP="00FC062F">
            <w:pPr>
              <w:rPr>
                <w:color w:val="000000"/>
                <w:sz w:val="20"/>
                <w:szCs w:val="20"/>
                <w:lang w:eastAsia="en-US"/>
              </w:rPr>
            </w:pPr>
          </w:p>
        </w:tc>
        <w:tc>
          <w:tcPr>
            <w:tcW w:w="1559" w:type="dxa"/>
            <w:vMerge/>
            <w:tcBorders>
              <w:top w:val="nil"/>
              <w:left w:val="single" w:sz="8" w:space="0" w:color="000000"/>
              <w:bottom w:val="single" w:sz="8" w:space="0" w:color="000000"/>
              <w:right w:val="single" w:sz="8" w:space="0" w:color="auto"/>
            </w:tcBorders>
            <w:vAlign w:val="center"/>
            <w:hideMark/>
          </w:tcPr>
          <w:p w14:paraId="1A70D600" w14:textId="77777777" w:rsidR="00FC062F" w:rsidRPr="00861957" w:rsidRDefault="00FC062F" w:rsidP="00FC062F">
            <w:pPr>
              <w:rPr>
                <w:color w:val="000000"/>
                <w:sz w:val="20"/>
                <w:szCs w:val="20"/>
                <w:lang w:eastAsia="en-US"/>
              </w:rPr>
            </w:pPr>
          </w:p>
        </w:tc>
      </w:tr>
      <w:tr w:rsidR="003F64D2" w:rsidRPr="00861957" w14:paraId="439BE8A6" w14:textId="77777777" w:rsidTr="008B2AD6">
        <w:trPr>
          <w:trHeight w:val="129"/>
        </w:trPr>
        <w:tc>
          <w:tcPr>
            <w:tcW w:w="450" w:type="dxa"/>
            <w:vMerge/>
            <w:tcBorders>
              <w:top w:val="nil"/>
              <w:left w:val="single" w:sz="8" w:space="0" w:color="auto"/>
              <w:bottom w:val="single" w:sz="8" w:space="0" w:color="000000"/>
              <w:right w:val="single" w:sz="8" w:space="0" w:color="000000"/>
            </w:tcBorders>
            <w:vAlign w:val="center"/>
            <w:hideMark/>
          </w:tcPr>
          <w:p w14:paraId="0F877D18" w14:textId="77777777" w:rsidR="00FC062F" w:rsidRPr="00861957" w:rsidRDefault="00FC062F" w:rsidP="00FC062F">
            <w:pPr>
              <w:rPr>
                <w:b/>
                <w:bCs/>
                <w:color w:val="000000"/>
                <w:sz w:val="20"/>
                <w:szCs w:val="20"/>
                <w:lang w:eastAsia="en-US"/>
              </w:rPr>
            </w:pPr>
          </w:p>
        </w:tc>
        <w:tc>
          <w:tcPr>
            <w:tcW w:w="1501" w:type="dxa"/>
            <w:vMerge/>
            <w:tcBorders>
              <w:top w:val="single" w:sz="8" w:space="0" w:color="auto"/>
              <w:left w:val="single" w:sz="8" w:space="0" w:color="auto"/>
              <w:bottom w:val="single" w:sz="8" w:space="0" w:color="000000"/>
              <w:right w:val="single" w:sz="8" w:space="0" w:color="auto"/>
            </w:tcBorders>
            <w:vAlign w:val="center"/>
            <w:hideMark/>
          </w:tcPr>
          <w:p w14:paraId="5BD6BC3D" w14:textId="77777777" w:rsidR="00FC062F" w:rsidRPr="00861957" w:rsidRDefault="00FC062F" w:rsidP="00FC062F">
            <w:pPr>
              <w:rPr>
                <w:bCs/>
                <w:color w:val="000000"/>
                <w:sz w:val="20"/>
                <w:szCs w:val="20"/>
                <w:lang w:eastAsia="en-US"/>
              </w:rPr>
            </w:pPr>
          </w:p>
        </w:tc>
        <w:tc>
          <w:tcPr>
            <w:tcW w:w="4961" w:type="dxa"/>
            <w:shd w:val="clear" w:color="auto" w:fill="CCFF99"/>
          </w:tcPr>
          <w:p w14:paraId="580044AE" w14:textId="77777777" w:rsidR="00FC062F" w:rsidRPr="00861957" w:rsidRDefault="00FC062F" w:rsidP="00FC062F">
            <w:pPr>
              <w:spacing w:line="276" w:lineRule="auto"/>
              <w:rPr>
                <w:sz w:val="20"/>
                <w:szCs w:val="20"/>
                <w:lang w:eastAsia="en-US"/>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14:paraId="1D579CDB" w14:textId="77777777" w:rsidR="00FC062F" w:rsidRPr="00861957" w:rsidRDefault="00FC062F" w:rsidP="00FC062F">
            <w:pPr>
              <w:rPr>
                <w:color w:val="000000"/>
                <w:sz w:val="20"/>
                <w:szCs w:val="20"/>
                <w:lang w:eastAsia="en-US"/>
              </w:rPr>
            </w:pPr>
          </w:p>
        </w:tc>
        <w:tc>
          <w:tcPr>
            <w:tcW w:w="2126" w:type="dxa"/>
            <w:vMerge/>
            <w:tcBorders>
              <w:top w:val="nil"/>
              <w:left w:val="nil"/>
              <w:bottom w:val="single" w:sz="8" w:space="0" w:color="000000"/>
              <w:right w:val="single" w:sz="8" w:space="0" w:color="000000"/>
            </w:tcBorders>
            <w:vAlign w:val="center"/>
            <w:hideMark/>
          </w:tcPr>
          <w:p w14:paraId="452948A3" w14:textId="77777777" w:rsidR="00FC062F" w:rsidRPr="00861957" w:rsidRDefault="00FC062F" w:rsidP="00FC062F">
            <w:pPr>
              <w:rPr>
                <w:color w:val="000000"/>
                <w:sz w:val="20"/>
                <w:szCs w:val="20"/>
                <w:lang w:eastAsia="en-US"/>
              </w:rPr>
            </w:pPr>
          </w:p>
        </w:tc>
        <w:tc>
          <w:tcPr>
            <w:tcW w:w="2410" w:type="dxa"/>
            <w:vMerge/>
            <w:tcBorders>
              <w:top w:val="nil"/>
              <w:left w:val="single" w:sz="8" w:space="0" w:color="000000"/>
              <w:bottom w:val="single" w:sz="8" w:space="0" w:color="000000"/>
              <w:right w:val="single" w:sz="8" w:space="0" w:color="000000"/>
            </w:tcBorders>
            <w:vAlign w:val="center"/>
            <w:hideMark/>
          </w:tcPr>
          <w:p w14:paraId="5BD46F34" w14:textId="77777777" w:rsidR="00FC062F" w:rsidRPr="00861957" w:rsidRDefault="00FC062F" w:rsidP="00FC062F">
            <w:pPr>
              <w:rPr>
                <w:color w:val="000000"/>
                <w:sz w:val="20"/>
                <w:szCs w:val="20"/>
                <w:lang w:eastAsia="en-US"/>
              </w:rPr>
            </w:pPr>
          </w:p>
        </w:tc>
        <w:tc>
          <w:tcPr>
            <w:tcW w:w="1559" w:type="dxa"/>
            <w:vMerge/>
            <w:tcBorders>
              <w:top w:val="nil"/>
              <w:left w:val="single" w:sz="8" w:space="0" w:color="000000"/>
              <w:bottom w:val="single" w:sz="8" w:space="0" w:color="000000"/>
              <w:right w:val="single" w:sz="8" w:space="0" w:color="auto"/>
            </w:tcBorders>
            <w:vAlign w:val="center"/>
            <w:hideMark/>
          </w:tcPr>
          <w:p w14:paraId="7FBAFD7F" w14:textId="77777777" w:rsidR="00FC062F" w:rsidRPr="00861957" w:rsidRDefault="00FC062F" w:rsidP="00FC062F">
            <w:pPr>
              <w:rPr>
                <w:color w:val="000000"/>
                <w:sz w:val="20"/>
                <w:szCs w:val="20"/>
                <w:lang w:eastAsia="en-US"/>
              </w:rPr>
            </w:pPr>
          </w:p>
        </w:tc>
      </w:tr>
      <w:tr w:rsidR="003F64D2" w:rsidRPr="00861957" w14:paraId="7AEE5448" w14:textId="77777777" w:rsidTr="00014BCB">
        <w:trPr>
          <w:trHeight w:val="358"/>
        </w:trPr>
        <w:tc>
          <w:tcPr>
            <w:tcW w:w="450" w:type="dxa"/>
            <w:vMerge/>
            <w:tcBorders>
              <w:top w:val="nil"/>
              <w:left w:val="single" w:sz="8" w:space="0" w:color="auto"/>
              <w:bottom w:val="single" w:sz="8" w:space="0" w:color="000000"/>
              <w:right w:val="single" w:sz="8" w:space="0" w:color="000000"/>
            </w:tcBorders>
            <w:vAlign w:val="center"/>
            <w:hideMark/>
          </w:tcPr>
          <w:p w14:paraId="4F38F75A" w14:textId="77777777" w:rsidR="00FC062F" w:rsidRPr="00861957" w:rsidRDefault="00FC062F" w:rsidP="00FC062F">
            <w:pPr>
              <w:rPr>
                <w:b/>
                <w:bCs/>
                <w:color w:val="000000"/>
                <w:sz w:val="20"/>
                <w:szCs w:val="20"/>
                <w:lang w:eastAsia="en-US"/>
              </w:rPr>
            </w:pPr>
          </w:p>
        </w:tc>
        <w:tc>
          <w:tcPr>
            <w:tcW w:w="1501" w:type="dxa"/>
            <w:tcBorders>
              <w:top w:val="nil"/>
              <w:left w:val="nil"/>
              <w:bottom w:val="single" w:sz="8" w:space="0" w:color="auto"/>
              <w:right w:val="nil"/>
            </w:tcBorders>
            <w:shd w:val="clear" w:color="auto" w:fill="BFBFBF"/>
            <w:hideMark/>
          </w:tcPr>
          <w:p w14:paraId="577629BC" w14:textId="77777777" w:rsidR="00FC062F" w:rsidRPr="00861957" w:rsidRDefault="00FC062F" w:rsidP="00FC062F">
            <w:pPr>
              <w:spacing w:line="276" w:lineRule="auto"/>
              <w:rPr>
                <w:bCs/>
                <w:color w:val="000000"/>
                <w:sz w:val="20"/>
                <w:szCs w:val="20"/>
                <w:lang w:eastAsia="en-US"/>
              </w:rPr>
            </w:pPr>
            <w:r w:rsidRPr="00861957">
              <w:rPr>
                <w:bCs/>
                <w:color w:val="000000"/>
                <w:sz w:val="20"/>
                <w:szCs w:val="20"/>
                <w:lang w:eastAsia="en-US"/>
              </w:rPr>
              <w:t xml:space="preserve">Partner M&amp;E Activities </w:t>
            </w:r>
          </w:p>
        </w:tc>
        <w:tc>
          <w:tcPr>
            <w:tcW w:w="4961" w:type="dxa"/>
            <w:tcBorders>
              <w:top w:val="single" w:sz="8" w:space="0" w:color="auto"/>
              <w:left w:val="single" w:sz="8" w:space="0" w:color="auto"/>
              <w:bottom w:val="single" w:sz="8" w:space="0" w:color="auto"/>
              <w:right w:val="single" w:sz="8" w:space="0" w:color="auto"/>
            </w:tcBorders>
            <w:shd w:val="clear" w:color="auto" w:fill="CCFF99"/>
          </w:tcPr>
          <w:p w14:paraId="6B2BFCAB" w14:textId="1EE2A2A3" w:rsidR="00DE6C9C" w:rsidRPr="00861957" w:rsidRDefault="00DE6C9C" w:rsidP="00FC062F">
            <w:pPr>
              <w:spacing w:line="276" w:lineRule="auto"/>
              <w:rPr>
                <w:sz w:val="20"/>
                <w:szCs w:val="20"/>
                <w:lang w:eastAsia="en-US"/>
              </w:rPr>
            </w:pPr>
            <w:r w:rsidRPr="00861957">
              <w:rPr>
                <w:sz w:val="20"/>
                <w:szCs w:val="20"/>
                <w:lang w:eastAsia="en-US"/>
              </w:rPr>
              <w:t>- Socio-economic database on SDG progress (UNICEF)</w:t>
            </w:r>
          </w:p>
          <w:p w14:paraId="11891121" w14:textId="77777777" w:rsidR="00DE6C9C" w:rsidRPr="00861957" w:rsidRDefault="00DE6C9C" w:rsidP="00FC062F">
            <w:pPr>
              <w:spacing w:line="276" w:lineRule="auto"/>
              <w:rPr>
                <w:sz w:val="20"/>
                <w:szCs w:val="20"/>
                <w:lang w:eastAsia="en-US"/>
              </w:rPr>
            </w:pPr>
            <w:r w:rsidRPr="00861957">
              <w:rPr>
                <w:sz w:val="20"/>
                <w:szCs w:val="20"/>
                <w:lang w:eastAsia="en-US"/>
              </w:rPr>
              <w:t>- TransMonEE database on vulnerable children (UNICEF)</w:t>
            </w:r>
          </w:p>
          <w:p w14:paraId="5262CCC5" w14:textId="7785F8F7" w:rsidR="00FC062F" w:rsidRPr="00861957" w:rsidRDefault="00DE6C9C" w:rsidP="007F4EB7">
            <w:pPr>
              <w:spacing w:line="276" w:lineRule="auto"/>
              <w:rPr>
                <w:sz w:val="20"/>
                <w:szCs w:val="20"/>
                <w:lang w:eastAsia="en-US"/>
              </w:rPr>
            </w:pPr>
            <w:r w:rsidRPr="00861957">
              <w:rPr>
                <w:sz w:val="20"/>
                <w:szCs w:val="20"/>
                <w:lang w:eastAsia="en-US"/>
              </w:rPr>
              <w:t xml:space="preserve">- </w:t>
            </w:r>
            <w:r w:rsidR="007F4EB7" w:rsidRPr="00861957">
              <w:rPr>
                <w:sz w:val="20"/>
                <w:szCs w:val="20"/>
                <w:lang w:eastAsia="en-US"/>
              </w:rPr>
              <w:t xml:space="preserve">Annual report on the situation of the </w:t>
            </w:r>
            <w:r w:rsidRPr="00861957">
              <w:rPr>
                <w:sz w:val="20"/>
                <w:szCs w:val="20"/>
                <w:lang w:eastAsia="en-US"/>
              </w:rPr>
              <w:t>Children of Belarus (UNICEF)</w:t>
            </w:r>
          </w:p>
        </w:tc>
        <w:tc>
          <w:tcPr>
            <w:tcW w:w="2977" w:type="dxa"/>
            <w:tcBorders>
              <w:top w:val="nil"/>
              <w:left w:val="nil"/>
              <w:bottom w:val="single" w:sz="8" w:space="0" w:color="auto"/>
              <w:right w:val="single" w:sz="8" w:space="0" w:color="000000"/>
            </w:tcBorders>
            <w:shd w:val="clear" w:color="auto" w:fill="CCFF99"/>
          </w:tcPr>
          <w:p w14:paraId="33567ABB" w14:textId="77777777" w:rsidR="00FC062F" w:rsidRPr="00861957" w:rsidRDefault="00FC062F" w:rsidP="00FC062F">
            <w:pPr>
              <w:spacing w:line="276" w:lineRule="auto"/>
              <w:rPr>
                <w:color w:val="000000"/>
                <w:sz w:val="20"/>
                <w:szCs w:val="20"/>
                <w:lang w:eastAsia="en-US"/>
              </w:rPr>
            </w:pPr>
          </w:p>
        </w:tc>
        <w:tc>
          <w:tcPr>
            <w:tcW w:w="2126" w:type="dxa"/>
            <w:tcBorders>
              <w:top w:val="nil"/>
              <w:left w:val="nil"/>
              <w:bottom w:val="single" w:sz="8" w:space="0" w:color="auto"/>
              <w:right w:val="single" w:sz="8" w:space="0" w:color="000000"/>
            </w:tcBorders>
            <w:shd w:val="clear" w:color="auto" w:fill="CCFF99"/>
          </w:tcPr>
          <w:p w14:paraId="17AF379F" w14:textId="77777777" w:rsidR="00FC062F" w:rsidRPr="00861957" w:rsidRDefault="00FC062F" w:rsidP="00FC062F">
            <w:pPr>
              <w:spacing w:line="276" w:lineRule="auto"/>
              <w:rPr>
                <w:color w:val="000000"/>
                <w:sz w:val="20"/>
                <w:szCs w:val="20"/>
                <w:lang w:eastAsia="en-US"/>
              </w:rPr>
            </w:pPr>
          </w:p>
        </w:tc>
        <w:tc>
          <w:tcPr>
            <w:tcW w:w="2410" w:type="dxa"/>
            <w:tcBorders>
              <w:top w:val="nil"/>
              <w:left w:val="nil"/>
              <w:bottom w:val="single" w:sz="8" w:space="0" w:color="auto"/>
              <w:right w:val="single" w:sz="8" w:space="0" w:color="000000"/>
            </w:tcBorders>
            <w:shd w:val="clear" w:color="auto" w:fill="CCFF99"/>
          </w:tcPr>
          <w:p w14:paraId="37F58084" w14:textId="77777777" w:rsidR="00FC062F" w:rsidRPr="00861957" w:rsidRDefault="00A02422" w:rsidP="00A02422">
            <w:pPr>
              <w:spacing w:line="276" w:lineRule="auto"/>
              <w:rPr>
                <w:color w:val="000000"/>
                <w:sz w:val="20"/>
                <w:szCs w:val="20"/>
                <w:lang w:eastAsia="en-US"/>
              </w:rPr>
            </w:pPr>
            <w:r w:rsidRPr="00861957">
              <w:rPr>
                <w:color w:val="000000"/>
                <w:sz w:val="20"/>
                <w:szCs w:val="20"/>
                <w:lang w:eastAsia="en-US"/>
              </w:rPr>
              <w:t>CENSUS (National Statistical Committee and UNFPA)</w:t>
            </w:r>
          </w:p>
        </w:tc>
        <w:tc>
          <w:tcPr>
            <w:tcW w:w="1559" w:type="dxa"/>
            <w:tcBorders>
              <w:top w:val="nil"/>
              <w:left w:val="nil"/>
              <w:bottom w:val="single" w:sz="8" w:space="0" w:color="auto"/>
              <w:right w:val="single" w:sz="8" w:space="0" w:color="auto"/>
            </w:tcBorders>
            <w:shd w:val="clear" w:color="auto" w:fill="CCFF99"/>
          </w:tcPr>
          <w:p w14:paraId="605012CE" w14:textId="77777777" w:rsidR="00FC062F" w:rsidRPr="00861957" w:rsidRDefault="00FC062F" w:rsidP="00FC062F">
            <w:pPr>
              <w:spacing w:line="276" w:lineRule="auto"/>
              <w:rPr>
                <w:color w:val="000000"/>
                <w:sz w:val="20"/>
                <w:szCs w:val="20"/>
                <w:lang w:eastAsia="en-US"/>
              </w:rPr>
            </w:pPr>
          </w:p>
        </w:tc>
      </w:tr>
    </w:tbl>
    <w:p w14:paraId="24243A21" w14:textId="77777777" w:rsidR="0088739F" w:rsidRPr="00861957" w:rsidRDefault="0088739F" w:rsidP="00CB7407">
      <w:pPr>
        <w:jc w:val="both"/>
        <w:rPr>
          <w:b/>
        </w:rPr>
      </w:pPr>
    </w:p>
    <w:sectPr w:rsidR="0088739F" w:rsidRPr="00861957" w:rsidSect="00EB4049">
      <w:pgSz w:w="16838" w:h="11906" w:orient="landscape"/>
      <w:pgMar w:top="709"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7D108" w14:textId="77777777" w:rsidR="00025481" w:rsidRDefault="00025481" w:rsidP="00722238">
      <w:r>
        <w:separator/>
      </w:r>
    </w:p>
  </w:endnote>
  <w:endnote w:type="continuationSeparator" w:id="0">
    <w:p w14:paraId="2B20F7D6" w14:textId="77777777" w:rsidR="00025481" w:rsidRDefault="00025481" w:rsidP="00722238">
      <w:r>
        <w:continuationSeparator/>
      </w:r>
    </w:p>
  </w:endnote>
  <w:endnote w:type="continuationNotice" w:id="1">
    <w:p w14:paraId="1FECE6D0" w14:textId="77777777" w:rsidR="00025481" w:rsidRDefault="00025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3D3A2" w14:textId="77777777" w:rsidR="00025481" w:rsidRDefault="00025481" w:rsidP="00722238">
      <w:r>
        <w:separator/>
      </w:r>
    </w:p>
  </w:footnote>
  <w:footnote w:type="continuationSeparator" w:id="0">
    <w:p w14:paraId="36CADBE0" w14:textId="77777777" w:rsidR="00025481" w:rsidRDefault="00025481" w:rsidP="00722238">
      <w:r>
        <w:continuationSeparator/>
      </w:r>
    </w:p>
  </w:footnote>
  <w:footnote w:type="continuationNotice" w:id="1">
    <w:p w14:paraId="0E3E90D8" w14:textId="77777777" w:rsidR="00025481" w:rsidRDefault="00025481"/>
  </w:footnote>
  <w:footnote w:id="2">
    <w:p w14:paraId="7893307F" w14:textId="77777777" w:rsidR="00E10906" w:rsidRPr="001B64D2" w:rsidRDefault="00E10906" w:rsidP="001B64D2">
      <w:pPr>
        <w:pStyle w:val="CommentText"/>
      </w:pPr>
      <w:r>
        <w:rPr>
          <w:rStyle w:val="FootnoteReference"/>
        </w:rPr>
        <w:footnoteRef/>
      </w:r>
      <w:r>
        <w:t xml:space="preserve"> National Statistical Committee. URL: </w:t>
      </w:r>
      <w:r w:rsidRPr="000C48F1">
        <w:t>http://www.belstat.gov.by/en/bgd/katalog-publikatsii/public_compilation/index_155/</w:t>
      </w:r>
    </w:p>
  </w:footnote>
  <w:footnote w:id="3">
    <w:p w14:paraId="41B8768A" w14:textId="78CBFF0B" w:rsidR="00E10906" w:rsidRPr="003012AA" w:rsidRDefault="00E10906">
      <w:pPr>
        <w:pStyle w:val="FootnoteText"/>
      </w:pPr>
      <w:r>
        <w:rPr>
          <w:rStyle w:val="FootnoteReference"/>
        </w:rPr>
        <w:footnoteRef/>
      </w:r>
      <w:r>
        <w:t xml:space="preserve"> The </w:t>
      </w:r>
      <w:r w:rsidRPr="003012AA">
        <w:t>World Bank's Worldwide Governance Indicators 1996-2013. URL: info.worldbank.org/governance/wgi/index.aspx</w:t>
      </w:r>
    </w:p>
  </w:footnote>
  <w:footnote w:id="4">
    <w:p w14:paraId="5CA87674" w14:textId="48DFE9D2" w:rsidR="00E10906" w:rsidRPr="008645FD" w:rsidRDefault="00E10906" w:rsidP="002A089F">
      <w:pPr>
        <w:jc w:val="both"/>
        <w:rPr>
          <w:color w:val="000000" w:themeColor="text1"/>
          <w:sz w:val="20"/>
          <w:szCs w:val="20"/>
        </w:rPr>
      </w:pPr>
      <w:r w:rsidRPr="008645FD">
        <w:rPr>
          <w:rStyle w:val="FootnoteReference"/>
          <w:color w:val="000000" w:themeColor="text1"/>
          <w:sz w:val="20"/>
          <w:szCs w:val="20"/>
        </w:rPr>
        <w:footnoteRef/>
      </w:r>
      <w:r>
        <w:t xml:space="preserve"> </w:t>
      </w:r>
      <w:hyperlink r:id="rId1" w:history="1">
        <w:r w:rsidRPr="008645FD">
          <w:rPr>
            <w:rStyle w:val="Hyperlink"/>
            <w:color w:val="000000" w:themeColor="text1"/>
            <w:sz w:val="20"/>
            <w:szCs w:val="20"/>
          </w:rPr>
          <w:t>http://www.ohchr.org/EN/Issues/Development/GoodGovernance/Pages/GoodGovernanceIndex.aspx</w:t>
        </w:r>
      </w:hyperlink>
    </w:p>
  </w:footnote>
  <w:footnote w:id="5">
    <w:p w14:paraId="45D536AD" w14:textId="77777777" w:rsidR="00E10906" w:rsidRPr="006830E9" w:rsidRDefault="00E10906" w:rsidP="00DF3C2C">
      <w:pPr>
        <w:pStyle w:val="FootnoteText"/>
      </w:pPr>
      <w:r>
        <w:rPr>
          <w:rStyle w:val="FootnoteReference"/>
        </w:rPr>
        <w:footnoteRef/>
      </w:r>
      <w:r>
        <w:t xml:space="preserve"> </w:t>
      </w:r>
      <w:r w:rsidRPr="00AF4365">
        <w:rPr>
          <w:color w:val="000000"/>
          <w:shd w:val="clear" w:color="auto" w:fill="FFFFFF"/>
          <w:lang w:val="en-US"/>
        </w:rPr>
        <w:t>UNECE (2013). 'Adapted Global Assessment of the National Statistical System of the Republic of Belarus'.</w:t>
      </w:r>
    </w:p>
  </w:footnote>
  <w:footnote w:id="6">
    <w:p w14:paraId="1F9F7253" w14:textId="7D59E333" w:rsidR="00E10906" w:rsidRPr="001805A6" w:rsidRDefault="00E10906" w:rsidP="00D276D8">
      <w:pPr>
        <w:pStyle w:val="FootnoteText"/>
        <w:rPr>
          <w:color w:val="000000" w:themeColor="text1"/>
        </w:rPr>
      </w:pPr>
      <w:r w:rsidRPr="001805A6">
        <w:rPr>
          <w:rStyle w:val="FootnoteReference"/>
          <w:color w:val="000000" w:themeColor="text1"/>
        </w:rPr>
        <w:footnoteRef/>
      </w:r>
      <w:r w:rsidRPr="001805A6">
        <w:rPr>
          <w:color w:val="000000" w:themeColor="text1"/>
        </w:rPr>
        <w:t xml:space="preserve"> </w:t>
      </w:r>
      <w:r w:rsidRPr="001805A6">
        <w:rPr>
          <w:color w:val="000000" w:themeColor="text1"/>
          <w:lang w:val="en-US"/>
        </w:rPr>
        <w:t xml:space="preserve">General Assembly </w:t>
      </w:r>
      <w:r>
        <w:rPr>
          <w:color w:val="000000" w:themeColor="text1"/>
          <w:lang w:val="en-US"/>
        </w:rPr>
        <w:t>R</w:t>
      </w:r>
      <w:r w:rsidRPr="001805A6">
        <w:rPr>
          <w:color w:val="000000" w:themeColor="text1"/>
          <w:lang w:val="en-US"/>
        </w:rPr>
        <w:t>esolution 48/134 of 20 December 1993.</w:t>
      </w:r>
    </w:p>
  </w:footnote>
  <w:footnote w:id="7">
    <w:p w14:paraId="42F1AE12" w14:textId="77777777" w:rsidR="00E10906" w:rsidRPr="00E44B57" w:rsidRDefault="00E10906" w:rsidP="00895F0D">
      <w:pPr>
        <w:pStyle w:val="FootnoteText"/>
        <w:rPr>
          <w:lang w:val="en-US"/>
        </w:rPr>
      </w:pPr>
      <w:r w:rsidRPr="00E44B57">
        <w:rPr>
          <w:rStyle w:val="FootnoteReference"/>
        </w:rPr>
        <w:footnoteRef/>
      </w:r>
      <w:r w:rsidRPr="00E44B57">
        <w:t xml:space="preserve"> http://www.government.by/upload/docs/directive4_en.pdf</w:t>
      </w:r>
    </w:p>
  </w:footnote>
  <w:footnote w:id="8">
    <w:p w14:paraId="4CAFD329" w14:textId="77777777" w:rsidR="00E10906" w:rsidRPr="00E203E5" w:rsidRDefault="00E10906" w:rsidP="00895F0D">
      <w:pPr>
        <w:pStyle w:val="FootnoteText"/>
        <w:rPr>
          <w:lang w:val="en-US"/>
        </w:rPr>
      </w:pPr>
      <w:r>
        <w:rPr>
          <w:rStyle w:val="FootnoteReference"/>
        </w:rPr>
        <w:footnoteRef/>
      </w:r>
      <w:r w:rsidRPr="00E203E5">
        <w:t>http://www.ifc.org/wps/wcm/connect/1524c88043ec41a085d4bd869243d457/Business_Environment_in_Belarus_2013_Survey_Report_En.pdf?MOD=AJPERES</w:t>
      </w:r>
    </w:p>
  </w:footnote>
  <w:footnote w:id="9">
    <w:p w14:paraId="1044B7F2" w14:textId="7C6E1EB9" w:rsidR="00E10906" w:rsidRDefault="00E10906" w:rsidP="00895F0D">
      <w:pPr>
        <w:pStyle w:val="FootnoteText"/>
      </w:pPr>
      <w:r>
        <w:rPr>
          <w:rStyle w:val="FootnoteReference"/>
        </w:rPr>
        <w:footnoteRef/>
      </w:r>
      <w:r>
        <w:t xml:space="preserve"> United Nations Economic Commission for Europe (UNECE) (2012) Regulatory and Procedural Barriers to Trade in Belarus: Needs Assessment, United Nations: New York and Geneva.</w:t>
      </w:r>
    </w:p>
  </w:footnote>
  <w:footnote w:id="10">
    <w:p w14:paraId="37516F8B" w14:textId="5B54B020" w:rsidR="00E10906" w:rsidRDefault="00E10906" w:rsidP="00895F0D">
      <w:pPr>
        <w:pStyle w:val="FootnoteText"/>
      </w:pPr>
      <w:r>
        <w:rPr>
          <w:rStyle w:val="FootnoteReference"/>
        </w:rPr>
        <w:footnoteRef/>
      </w:r>
      <w:r>
        <w:t xml:space="preserve"> For a detailed overview of these measures see UNECE (2014) ‘UNECE country studies on regulatory and procedural barriers to trade: follow-up and policy implications Removing Regulatory and Procedural Barriers to Trade in Belarus’, submitted by the Government of Belarus to the UNECE Trade Committee, Sixth session, 10-12 February.</w:t>
      </w:r>
    </w:p>
  </w:footnote>
  <w:footnote w:id="11">
    <w:p w14:paraId="4A30FCEA" w14:textId="5AF59038" w:rsidR="00E10906" w:rsidRDefault="00E10906" w:rsidP="00895F0D">
      <w:pPr>
        <w:pStyle w:val="FootnoteText"/>
      </w:pPr>
      <w:r>
        <w:rPr>
          <w:rStyle w:val="FootnoteReference"/>
        </w:rPr>
        <w:footnoteRef/>
      </w:r>
      <w:r>
        <w:t xml:space="preserve"> United Nations Economic Commission for Europe (UNECE) (2012) Regulatory and Procedural Barriers to Trade in Belarus: Needs Assessment, United Nations: New York and Geneva.</w:t>
      </w:r>
    </w:p>
  </w:footnote>
  <w:footnote w:id="12">
    <w:p w14:paraId="5463798B" w14:textId="77777777" w:rsidR="00E10906" w:rsidRPr="001F4C9C" w:rsidRDefault="00E10906" w:rsidP="00895F0D">
      <w:pPr>
        <w:pStyle w:val="FootnoteText"/>
        <w:rPr>
          <w:lang w:val="en-US"/>
        </w:rPr>
      </w:pPr>
      <w:r>
        <w:rPr>
          <w:rStyle w:val="FootnoteReference"/>
        </w:rPr>
        <w:footnoteRef/>
      </w:r>
      <w:r w:rsidRPr="001F4C9C">
        <w:t>http://www.ifc.org/wps/wcm/connect/1524c88043ec41a085d4bd869243d457/Business_Environment_in_Belarus_2013_Survey_Report_En.pdf?MOD=AJPERES</w:t>
      </w:r>
    </w:p>
  </w:footnote>
  <w:footnote w:id="13">
    <w:p w14:paraId="073AAFDA" w14:textId="19AA90F5" w:rsidR="00E10906" w:rsidRDefault="00E10906" w:rsidP="00895F0D">
      <w:pPr>
        <w:pStyle w:val="FootnoteText"/>
      </w:pPr>
      <w:r>
        <w:rPr>
          <w:rStyle w:val="FootnoteReference"/>
        </w:rPr>
        <w:footnoteRef/>
      </w:r>
      <w:r>
        <w:t xml:space="preserve"> United Nations Economic Commission for Europe (UNECE) (2012) Regulatory and Procedural Barriers to Trade in Belarus: Needs Assessment, United Nations: New York and Geneva.</w:t>
      </w:r>
    </w:p>
  </w:footnote>
  <w:footnote w:id="14">
    <w:p w14:paraId="7178F650" w14:textId="77777777" w:rsidR="00E10906" w:rsidRPr="00C2180D" w:rsidRDefault="00E10906" w:rsidP="000F735D">
      <w:pPr>
        <w:pStyle w:val="FootnoteText"/>
        <w:rPr>
          <w:lang w:val="en-US"/>
        </w:rPr>
      </w:pPr>
      <w:r>
        <w:rPr>
          <w:rStyle w:val="FootnoteReference"/>
        </w:rPr>
        <w:footnoteRef/>
      </w:r>
      <w:r>
        <w:t xml:space="preserve"> </w:t>
      </w:r>
      <w:r>
        <w:rPr>
          <w:lang w:val="en-US"/>
        </w:rPr>
        <w:t>UNESCO Institute for Statistics (2011).</w:t>
      </w:r>
    </w:p>
  </w:footnote>
  <w:footnote w:id="15">
    <w:p w14:paraId="488E5D23" w14:textId="77777777" w:rsidR="00E10906" w:rsidRPr="007C1439" w:rsidRDefault="00E10906" w:rsidP="000F735D">
      <w:pPr>
        <w:rPr>
          <w:sz w:val="20"/>
          <w:szCs w:val="20"/>
          <w:lang w:val="en-US"/>
        </w:rPr>
      </w:pPr>
      <w:r w:rsidRPr="007C1439">
        <w:rPr>
          <w:rStyle w:val="FootnoteReference"/>
          <w:sz w:val="20"/>
          <w:szCs w:val="20"/>
        </w:rPr>
        <w:footnoteRef/>
      </w:r>
      <w:r w:rsidRPr="007C1439">
        <w:rPr>
          <w:sz w:val="20"/>
          <w:szCs w:val="20"/>
        </w:rPr>
        <w:t xml:space="preserve"> </w:t>
      </w:r>
      <w:r w:rsidRPr="007C1439">
        <w:rPr>
          <w:sz w:val="20"/>
          <w:szCs w:val="20"/>
          <w:lang w:val="en-US"/>
        </w:rPr>
        <w:t>UNECE (2011), 'Innovation Performance Review: Belarus', United Nations Publications, New York and Geneva.</w:t>
      </w:r>
    </w:p>
  </w:footnote>
  <w:footnote w:id="16">
    <w:p w14:paraId="1897EE25" w14:textId="3F87CDF6" w:rsidR="00E10906" w:rsidRPr="00842C5C" w:rsidRDefault="00E10906" w:rsidP="009E5AC4">
      <w:pPr>
        <w:tabs>
          <w:tab w:val="left" w:pos="3255"/>
        </w:tabs>
        <w:jc w:val="both"/>
        <w:rPr>
          <w:color w:val="000000" w:themeColor="text1"/>
          <w:sz w:val="20"/>
          <w:szCs w:val="20"/>
        </w:rPr>
      </w:pPr>
      <w:r w:rsidRPr="00842C5C">
        <w:rPr>
          <w:rStyle w:val="FootnoteReference"/>
          <w:color w:val="000000" w:themeColor="text1"/>
          <w:sz w:val="20"/>
          <w:szCs w:val="20"/>
        </w:rPr>
        <w:footnoteRef/>
      </w:r>
      <w:r>
        <w:rPr>
          <w:color w:val="000000" w:themeColor="text1"/>
          <w:sz w:val="20"/>
          <w:szCs w:val="20"/>
        </w:rPr>
        <w:t xml:space="preserve"> </w:t>
      </w:r>
      <w:r w:rsidRPr="00842C5C">
        <w:rPr>
          <w:color w:val="000000" w:themeColor="text1"/>
          <w:sz w:val="20"/>
          <w:szCs w:val="20"/>
        </w:rPr>
        <w:t xml:space="preserve">The Scientific-Research Economic Institute of the Republic of Belarus (2012). ‘Sustainable Development of the Republic of Belarus Based on </w:t>
      </w:r>
      <w:r>
        <w:rPr>
          <w:color w:val="000000" w:themeColor="text1"/>
          <w:sz w:val="20"/>
          <w:szCs w:val="20"/>
        </w:rPr>
        <w:t xml:space="preserve">the </w:t>
      </w:r>
      <w:r w:rsidRPr="00842C5C">
        <w:rPr>
          <w:color w:val="000000" w:themeColor="text1"/>
          <w:sz w:val="20"/>
          <w:szCs w:val="20"/>
        </w:rPr>
        <w:t xml:space="preserve">Principles </w:t>
      </w:r>
      <w:r>
        <w:rPr>
          <w:color w:val="000000" w:themeColor="text1"/>
          <w:sz w:val="20"/>
          <w:szCs w:val="20"/>
        </w:rPr>
        <w:t xml:space="preserve">of </w:t>
      </w:r>
      <w:r w:rsidRPr="00842C5C">
        <w:rPr>
          <w:color w:val="000000" w:themeColor="text1"/>
          <w:sz w:val="20"/>
          <w:szCs w:val="20"/>
        </w:rPr>
        <w:t>Green Economy’, National Report, Minsk, 2012.</w:t>
      </w:r>
    </w:p>
  </w:footnote>
  <w:footnote w:id="17">
    <w:p w14:paraId="1797C089" w14:textId="57F530BB" w:rsidR="00E10906" w:rsidRPr="006064AD" w:rsidRDefault="00E10906" w:rsidP="00A80E9F">
      <w:pPr>
        <w:pStyle w:val="FootnoteText"/>
        <w:rPr>
          <w:lang w:val="en-US"/>
        </w:rPr>
      </w:pPr>
      <w:r>
        <w:rPr>
          <w:rStyle w:val="FootnoteReference"/>
        </w:rPr>
        <w:footnoteRef/>
      </w:r>
      <w:r>
        <w:t xml:space="preserve"> The Scientific-Research Economic Institute of the Republic of Belarus (2012). ‘Sustainable Development of the Republic of Belarus Based on the </w:t>
      </w:r>
      <w:r w:rsidRPr="00842C5C">
        <w:rPr>
          <w:color w:val="000000" w:themeColor="text1"/>
        </w:rPr>
        <w:t>Principles</w:t>
      </w:r>
      <w:r>
        <w:t xml:space="preserve"> of Green Economy’, National Report, Minsk, 2012.</w:t>
      </w:r>
    </w:p>
  </w:footnote>
  <w:footnote w:id="18">
    <w:p w14:paraId="33C1F900" w14:textId="77777777" w:rsidR="00E10906" w:rsidRPr="00842C5C" w:rsidRDefault="00E10906" w:rsidP="00983159">
      <w:pPr>
        <w:tabs>
          <w:tab w:val="left" w:pos="3255"/>
        </w:tabs>
        <w:jc w:val="both"/>
        <w:rPr>
          <w:color w:val="000000" w:themeColor="text1"/>
          <w:sz w:val="20"/>
          <w:szCs w:val="20"/>
        </w:rPr>
      </w:pPr>
      <w:r w:rsidRPr="00842C5C">
        <w:rPr>
          <w:rStyle w:val="FootnoteReference"/>
          <w:color w:val="000000" w:themeColor="text1"/>
          <w:sz w:val="20"/>
          <w:szCs w:val="20"/>
        </w:rPr>
        <w:footnoteRef/>
      </w:r>
      <w:hyperlink r:id="rId2" w:history="1">
        <w:r w:rsidRPr="00842C5C">
          <w:rPr>
            <w:rStyle w:val="Hyperlink"/>
            <w:color w:val="000000" w:themeColor="text1"/>
            <w:sz w:val="20"/>
            <w:szCs w:val="20"/>
          </w:rPr>
          <w:t>http://www-wds.worldbank.org/external/default/WDSContentServer/WDSP/IB/2013/12/09/000461832_20131209105632/Rendered/PDF/774580CAS0P1320C0disclosed060130130.pdf</w:t>
        </w:r>
      </w:hyperlink>
    </w:p>
  </w:footnote>
  <w:footnote w:id="19">
    <w:p w14:paraId="337A3570" w14:textId="745B5205" w:rsidR="00E10906" w:rsidRPr="001805A6" w:rsidRDefault="00E10906" w:rsidP="0094565B">
      <w:pPr>
        <w:pStyle w:val="FootnoteText"/>
        <w:rPr>
          <w:color w:val="000000" w:themeColor="text1"/>
        </w:rPr>
      </w:pPr>
      <w:r w:rsidRPr="001805A6">
        <w:rPr>
          <w:rStyle w:val="FootnoteReference"/>
          <w:color w:val="000000" w:themeColor="text1"/>
        </w:rPr>
        <w:footnoteRef/>
      </w:r>
      <w:r w:rsidRPr="001805A6">
        <w:rPr>
          <w:color w:val="000000" w:themeColor="text1"/>
        </w:rPr>
        <w:t xml:space="preserve"> The Scientific-Research Economic Institute of the Republic of Belarus (2012). ‘Sustainable Development of the Republic of Belarus Based on </w:t>
      </w:r>
      <w:r>
        <w:rPr>
          <w:color w:val="000000" w:themeColor="text1"/>
        </w:rPr>
        <w:t xml:space="preserve">the </w:t>
      </w:r>
      <w:r w:rsidRPr="00842C5C">
        <w:rPr>
          <w:color w:val="000000" w:themeColor="text1"/>
        </w:rPr>
        <w:t>Principles</w:t>
      </w:r>
      <w:r w:rsidRPr="001805A6">
        <w:rPr>
          <w:color w:val="000000" w:themeColor="text1"/>
        </w:rPr>
        <w:t xml:space="preserve"> </w:t>
      </w:r>
      <w:r>
        <w:rPr>
          <w:color w:val="000000" w:themeColor="text1"/>
        </w:rPr>
        <w:t xml:space="preserve">of </w:t>
      </w:r>
      <w:r w:rsidRPr="001805A6">
        <w:rPr>
          <w:color w:val="000000" w:themeColor="text1"/>
        </w:rPr>
        <w:t>Green Economy’, National Report, Minsk, 2012.</w:t>
      </w:r>
    </w:p>
  </w:footnote>
  <w:footnote w:id="20">
    <w:p w14:paraId="7260EB9E" w14:textId="77777777" w:rsidR="00E10906" w:rsidRPr="004D5104" w:rsidRDefault="00E10906" w:rsidP="00510812">
      <w:pPr>
        <w:pStyle w:val="FootnoteText"/>
      </w:pPr>
      <w:r>
        <w:rPr>
          <w:rStyle w:val="FootnoteReference"/>
        </w:rPr>
        <w:footnoteRef/>
      </w:r>
      <w:r>
        <w:t xml:space="preserve"> </w:t>
      </w:r>
      <w:r w:rsidRPr="004D5104">
        <w:t>http://www-wds.worldbank.org/external/default/WDSContentServer/WDSP/IB/2013/12/09/000461832_20131209105632/Rendered/PDF/774580CAS0P1320C0disclosed060130130.pdf</w:t>
      </w:r>
    </w:p>
  </w:footnote>
  <w:footnote w:id="21">
    <w:p w14:paraId="0B3BF5C0" w14:textId="77777777" w:rsidR="00E10906" w:rsidRPr="007A680E" w:rsidRDefault="00E10906" w:rsidP="00510812">
      <w:pPr>
        <w:pStyle w:val="FootnoteText"/>
      </w:pPr>
      <w:r>
        <w:rPr>
          <w:rStyle w:val="FootnoteReference"/>
        </w:rPr>
        <w:footnoteRef/>
      </w:r>
      <w:r>
        <w:t xml:space="preserve"> </w:t>
      </w:r>
      <w:r w:rsidRPr="007A680E">
        <w:t>http://www-wds.worldbank.org/external/default/WDSContentServer/WDSP/IB/2013/12/09/000461832_20131209105632/Rendered/PDF/774580CAS0P1320C0disclosed060130130.pdf</w:t>
      </w:r>
    </w:p>
  </w:footnote>
  <w:footnote w:id="22">
    <w:p w14:paraId="164F8910" w14:textId="77777777" w:rsidR="00E10906" w:rsidRPr="004241F5" w:rsidRDefault="00E10906" w:rsidP="00510812">
      <w:pPr>
        <w:pStyle w:val="FootnoteText"/>
      </w:pPr>
      <w:r>
        <w:rPr>
          <w:rStyle w:val="FootnoteReference"/>
        </w:rPr>
        <w:footnoteRef/>
      </w:r>
      <w:r>
        <w:t xml:space="preserve"> </w:t>
      </w:r>
      <w:r w:rsidRPr="004241F5">
        <w:t>http://hdr.undp.org/en/content/human-development-report-2014</w:t>
      </w:r>
    </w:p>
  </w:footnote>
  <w:footnote w:id="23">
    <w:p w14:paraId="0449FB24" w14:textId="77777777" w:rsidR="00E10906" w:rsidRPr="002723B7" w:rsidRDefault="00E10906" w:rsidP="00222023">
      <w:pPr>
        <w:pStyle w:val="FootnoteText"/>
        <w:rPr>
          <w:lang w:val="pl-PL"/>
        </w:rPr>
      </w:pPr>
      <w:r>
        <w:rPr>
          <w:rStyle w:val="FootnoteReference"/>
        </w:rPr>
        <w:footnoteRef/>
      </w:r>
      <w:r>
        <w:t xml:space="preserve"> WHO (2014), ‘</w:t>
      </w:r>
      <w:r w:rsidRPr="00D94402">
        <w:t>Health 2020: the European policy for health and well-being</w:t>
      </w:r>
      <w:r>
        <w:t xml:space="preserve">’. </w:t>
      </w:r>
      <w:r w:rsidRPr="002723B7">
        <w:rPr>
          <w:lang w:val="pl-PL"/>
        </w:rPr>
        <w:t>URL: http://www.euro.who.int/en/health-topics/health-policy/health-2020-the-european-policy-for-health-and-well-being</w:t>
      </w:r>
    </w:p>
  </w:footnote>
  <w:footnote w:id="24">
    <w:p w14:paraId="25343CC4" w14:textId="77777777" w:rsidR="00E10906" w:rsidRPr="002723B7" w:rsidRDefault="00E10906">
      <w:pPr>
        <w:pStyle w:val="FootnoteText"/>
        <w:rPr>
          <w:lang w:val="pl-PL"/>
        </w:rPr>
      </w:pPr>
      <w:r>
        <w:rPr>
          <w:rStyle w:val="FootnoteReference"/>
        </w:rPr>
        <w:footnoteRef/>
      </w:r>
      <w:r w:rsidRPr="002723B7">
        <w:rPr>
          <w:lang w:val="pl-PL"/>
        </w:rPr>
        <w:t xml:space="preserve"> http://www.afro.who.int/en/clusters-a-programmes/dpc/non-communicable-diseases-managementndm/npc-features/3222-key-messages.html</w:t>
      </w:r>
    </w:p>
  </w:footnote>
  <w:footnote w:id="25">
    <w:p w14:paraId="600BF6E1" w14:textId="77777777" w:rsidR="00E10906" w:rsidRPr="002723B7" w:rsidRDefault="00E10906" w:rsidP="00D21696">
      <w:pPr>
        <w:jc w:val="both"/>
        <w:rPr>
          <w:sz w:val="20"/>
          <w:szCs w:val="20"/>
          <w:lang w:val="pl-PL"/>
        </w:rPr>
      </w:pPr>
      <w:r w:rsidRPr="00C07A3E">
        <w:rPr>
          <w:rStyle w:val="FootnoteReference"/>
          <w:sz w:val="20"/>
          <w:szCs w:val="20"/>
        </w:rPr>
        <w:footnoteRef/>
      </w:r>
      <w:r w:rsidRPr="002723B7">
        <w:rPr>
          <w:sz w:val="20"/>
          <w:szCs w:val="20"/>
          <w:lang w:val="pl-PL"/>
        </w:rPr>
        <w:t xml:space="preserve"> http://apps.who.int/gho/data/node.main.18?lang=en</w:t>
      </w:r>
    </w:p>
  </w:footnote>
  <w:footnote w:id="26">
    <w:p w14:paraId="460B011C" w14:textId="77777777" w:rsidR="00E10906" w:rsidRPr="002723B7" w:rsidRDefault="00E10906" w:rsidP="00D21696">
      <w:pPr>
        <w:pStyle w:val="FootnoteText"/>
        <w:rPr>
          <w:lang w:val="pl-PL"/>
        </w:rPr>
      </w:pPr>
      <w:r w:rsidRPr="00C07A3E">
        <w:rPr>
          <w:rStyle w:val="FootnoteReference"/>
        </w:rPr>
        <w:footnoteRef/>
      </w:r>
      <w:r w:rsidRPr="002723B7">
        <w:rPr>
          <w:lang w:val="pl-PL"/>
        </w:rPr>
        <w:t xml:space="preserve"> http://who.int/nmh/countries/blr_en.pdf?ua=1</w:t>
      </w:r>
    </w:p>
  </w:footnote>
  <w:footnote w:id="27">
    <w:p w14:paraId="2F36742D" w14:textId="77777777" w:rsidR="00E10906" w:rsidRPr="002723B7" w:rsidRDefault="00E10906" w:rsidP="00D21696">
      <w:pPr>
        <w:pStyle w:val="FootnoteText"/>
        <w:rPr>
          <w:lang w:val="pl-PL"/>
        </w:rPr>
      </w:pPr>
      <w:r w:rsidRPr="00C07A3E">
        <w:rPr>
          <w:rStyle w:val="FootnoteReference"/>
        </w:rPr>
        <w:footnoteRef/>
      </w:r>
      <w:r w:rsidRPr="002723B7">
        <w:rPr>
          <w:lang w:val="pl-PL"/>
        </w:rPr>
        <w:t xml:space="preserve"> http://who.int/nmh/countries/blr_en.pdf?ua=1</w:t>
      </w:r>
    </w:p>
  </w:footnote>
  <w:footnote w:id="28">
    <w:p w14:paraId="5713B67E" w14:textId="77777777" w:rsidR="00E10906" w:rsidRPr="002723B7" w:rsidRDefault="00E10906" w:rsidP="00D21696">
      <w:pPr>
        <w:pStyle w:val="FootnoteText"/>
        <w:rPr>
          <w:lang w:val="pl-PL"/>
        </w:rPr>
      </w:pPr>
      <w:r w:rsidRPr="00C07A3E">
        <w:rPr>
          <w:rStyle w:val="FootnoteReference"/>
        </w:rPr>
        <w:footnoteRef/>
      </w:r>
      <w:r w:rsidRPr="002723B7">
        <w:rPr>
          <w:lang w:val="pl-PL"/>
        </w:rPr>
        <w:t xml:space="preserve"> http://hdr.undp.org/en/content/human-development-report-2014</w:t>
      </w:r>
    </w:p>
  </w:footnote>
  <w:footnote w:id="29">
    <w:p w14:paraId="2A4CD8F1" w14:textId="77777777" w:rsidR="00E10906" w:rsidRPr="002723B7" w:rsidRDefault="00E10906" w:rsidP="00D21696">
      <w:pPr>
        <w:pStyle w:val="FootnoteText"/>
        <w:rPr>
          <w:lang w:val="pl-PL"/>
        </w:rPr>
      </w:pPr>
      <w:r>
        <w:rPr>
          <w:rStyle w:val="FootnoteReference"/>
        </w:rPr>
        <w:footnoteRef/>
      </w:r>
      <w:r w:rsidRPr="002723B7">
        <w:rPr>
          <w:lang w:val="pl-PL"/>
        </w:rPr>
        <w:t xml:space="preserve"> http://www.fao.org/docrep/018/i3300e/i3300e.pdf</w:t>
      </w:r>
    </w:p>
  </w:footnote>
  <w:footnote w:id="30">
    <w:p w14:paraId="612B4EDF" w14:textId="77777777" w:rsidR="00E10906" w:rsidRDefault="00E10906" w:rsidP="00B53AB0">
      <w:pPr>
        <w:pStyle w:val="FootnoteText"/>
      </w:pPr>
      <w:r>
        <w:rPr>
          <w:rStyle w:val="FootnoteReference"/>
        </w:rPr>
        <w:footnoteRef/>
      </w:r>
      <w:r>
        <w:t xml:space="preserve"> </w:t>
      </w:r>
      <w:r w:rsidRPr="00EA17EC">
        <w:t>Consolidated guidelines on HIV prevention, diagnosis, treatment and care for key populations http://apps.who.int/iris/bitstream/10665/128048/1/9789241507431_eng.pdf?ua=1&amp;ua=1</w:t>
      </w:r>
    </w:p>
  </w:footnote>
  <w:footnote w:id="31">
    <w:p w14:paraId="306E5D32" w14:textId="29A9AEB5" w:rsidR="00E10906" w:rsidRPr="00337CCF" w:rsidRDefault="00E10906" w:rsidP="004F443B">
      <w:pPr>
        <w:jc w:val="both"/>
        <w:rPr>
          <w:sz w:val="20"/>
          <w:szCs w:val="20"/>
        </w:rPr>
      </w:pPr>
      <w:r w:rsidRPr="00337CCF">
        <w:rPr>
          <w:rStyle w:val="FootnoteReference"/>
          <w:sz w:val="20"/>
          <w:szCs w:val="20"/>
        </w:rPr>
        <w:footnoteRef/>
      </w:r>
      <w:r w:rsidRPr="00337CCF">
        <w:rPr>
          <w:sz w:val="20"/>
          <w:szCs w:val="20"/>
        </w:rPr>
        <w:t xml:space="preserve"> Mid-Term Review of the Government of Belarus – UNICEF Programme of Cooperation 2011-2015 (MTR Report)</w:t>
      </w:r>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2722D" w14:textId="77777777" w:rsidR="00E10906" w:rsidRDefault="00E10906">
    <w:pPr>
      <w:pStyle w:val="Header"/>
    </w:pPr>
    <w:r>
      <w:rPr>
        <w:noProof/>
        <w:lang w:val="en-US" w:eastAsia="en-US"/>
      </w:rPr>
      <mc:AlternateContent>
        <mc:Choice Requires="wps">
          <w:drawing>
            <wp:anchor distT="0" distB="0" distL="114300" distR="114300" simplePos="0" relativeHeight="251658240" behindDoc="0" locked="0" layoutInCell="0" allowOverlap="1" wp14:anchorId="6CA6235F" wp14:editId="3CA7F164">
              <wp:simplePos x="0" y="0"/>
              <wp:positionH relativeFrom="page">
                <wp:posOffset>876301</wp:posOffset>
              </wp:positionH>
              <wp:positionV relativeFrom="page">
                <wp:posOffset>276225</wp:posOffset>
              </wp:positionV>
              <wp:extent cx="6499860" cy="175260"/>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752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A1731" w14:textId="7855C17D" w:rsidR="00E10906" w:rsidRPr="00FB192F" w:rsidRDefault="00E10906" w:rsidP="00511C1D">
                          <w:pPr>
                            <w:rPr>
                              <w:lang w:val="en-US"/>
                            </w:rPr>
                          </w:pPr>
                          <w:r>
                            <w:rPr>
                              <w:lang w:val="en-US"/>
                            </w:rPr>
                            <w:t>United Nations Development Assistance Framework for the Republic of Belarus for 2016-2020</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6CA6235F" id="_x0000_t202" coordsize="21600,21600" o:spt="202" path="m,l,21600r21600,l21600,xe">
              <v:stroke joinstyle="miter"/>
              <v:path gradientshapeok="t" o:connecttype="rect"/>
            </v:shapetype>
            <v:shape id="Text Box 475" o:spid="_x0000_s1026" type="#_x0000_t202" style="position:absolute;margin-left:69pt;margin-top:21.75pt;width:511.8pt;height:1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0HqQIAAJ8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" o:allowincell="f" filled="f" stroked="f">
              <v:textbox style="mso-fit-shape-to-text:t" inset=",0,,0">
                <w:txbxContent>
                  <w:p w14:paraId="14FA1731" w14:textId="7855C17D" w:rsidR="00E10906" w:rsidRPr="00FB192F" w:rsidRDefault="00E10906" w:rsidP="00511C1D">
                    <w:pPr>
                      <w:rPr>
                        <w:lang w:val="en-US"/>
                      </w:rPr>
                    </w:pPr>
                    <w:r>
                      <w:rPr>
                        <w:lang w:val="en-US"/>
                      </w:rPr>
                      <w:t>United Nations Development Assistance Framework for the Republic of Belarus for 2016-2020</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7216" behindDoc="0" locked="0" layoutInCell="0" allowOverlap="1" wp14:anchorId="11E4692A" wp14:editId="02A32FF3">
              <wp:simplePos x="0" y="0"/>
              <wp:positionH relativeFrom="page">
                <wp:posOffset>7020560</wp:posOffset>
              </wp:positionH>
              <wp:positionV relativeFrom="page">
                <wp:posOffset>271780</wp:posOffset>
              </wp:positionV>
              <wp:extent cx="354965" cy="175260"/>
              <wp:effectExtent l="0" t="0" r="1905"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5260"/>
                      </a:xfrm>
                      <a:prstGeom prst="rect">
                        <a:avLst/>
                      </a:prstGeom>
                      <a:solidFill>
                        <a:srgbClr val="4F81BD"/>
                      </a:solidFill>
                      <a:extLst/>
                    </wps:spPr>
                    <wps:txbx>
                      <w:txbxContent>
                        <w:p w14:paraId="2F4D03FC" w14:textId="77777777" w:rsidR="00E10906" w:rsidRPr="00FB192F" w:rsidRDefault="00E10906">
                          <w:pPr>
                            <w:rPr>
                              <w:color w:val="FFFFFF"/>
                            </w:rPr>
                          </w:pPr>
                          <w:r w:rsidRPr="00FB192F">
                            <w:fldChar w:fldCharType="begin"/>
                          </w:r>
                          <w:r w:rsidRPr="00FB192F">
                            <w:instrText xml:space="preserve"> PAGE   \* MERGEFORMAT </w:instrText>
                          </w:r>
                          <w:r w:rsidRPr="00FB192F">
                            <w:fldChar w:fldCharType="separate"/>
                          </w:r>
                          <w:r w:rsidR="003B7805" w:rsidRPr="003B7805">
                            <w:rPr>
                              <w:noProof/>
                              <w:color w:val="FFFFFF"/>
                            </w:rPr>
                            <w:t>59</w:t>
                          </w:r>
                          <w:r w:rsidRPr="00FB192F">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1E4692A" id="_x0000_t202" coordsize="21600,21600" o:spt="202" path="m,l,21600r21600,l21600,xe">
              <v:stroke joinstyle="miter"/>
              <v:path gradientshapeok="t" o:connecttype="rect"/>
            </v:shapetype>
            <v:shape id="Text Box 476" o:spid="_x0000_s1027" type="#_x0000_t202" style="position:absolute;margin-left:552.8pt;margin-top:21.4pt;width:27.95pt;height:13.8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" o:allowincell="f" fillcolor="#4f81bd" stroked="f">
              <v:textbox style="mso-fit-shape-to-text:t" inset=",0,,0">
                <w:txbxContent>
                  <w:p w14:paraId="2F4D03FC" w14:textId="77777777" w:rsidR="00E10906" w:rsidRPr="00FB192F" w:rsidRDefault="00E10906">
                    <w:pPr>
                      <w:rPr>
                        <w:color w:val="FFFFFF"/>
                      </w:rPr>
                    </w:pPr>
                    <w:r w:rsidRPr="00FB192F">
                      <w:fldChar w:fldCharType="begin"/>
                    </w:r>
                    <w:r w:rsidRPr="00FB192F">
                      <w:instrText xml:space="preserve"> PAGE   \* MERGEFORMAT </w:instrText>
                    </w:r>
                    <w:r w:rsidRPr="00FB192F">
                      <w:fldChar w:fldCharType="separate"/>
                    </w:r>
                    <w:r w:rsidR="003B7805" w:rsidRPr="003B7805">
                      <w:rPr>
                        <w:noProof/>
                        <w:color w:val="FFFFFF"/>
                      </w:rPr>
                      <w:t>59</w:t>
                    </w:r>
                    <w:r w:rsidRPr="00FB192F">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BF9"/>
    <w:multiLevelType w:val="hybridMultilevel"/>
    <w:tmpl w:val="CE366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C77C2"/>
    <w:multiLevelType w:val="hybridMultilevel"/>
    <w:tmpl w:val="32068B26"/>
    <w:lvl w:ilvl="0" w:tplc="0BCCF8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9E60B3"/>
    <w:multiLevelType w:val="hybridMultilevel"/>
    <w:tmpl w:val="A7C6D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F119B"/>
    <w:multiLevelType w:val="hybridMultilevel"/>
    <w:tmpl w:val="184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F7D81"/>
    <w:multiLevelType w:val="hybridMultilevel"/>
    <w:tmpl w:val="00EEF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D34017"/>
    <w:multiLevelType w:val="hybridMultilevel"/>
    <w:tmpl w:val="E7D6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90C38"/>
    <w:multiLevelType w:val="hybridMultilevel"/>
    <w:tmpl w:val="194E16E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75A2"/>
    <w:multiLevelType w:val="hybridMultilevel"/>
    <w:tmpl w:val="52087D0A"/>
    <w:lvl w:ilvl="0" w:tplc="BEAE8FC8">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C2C4E"/>
    <w:multiLevelType w:val="multilevel"/>
    <w:tmpl w:val="7BF03050"/>
    <w:lvl w:ilvl="0">
      <w:start w:val="1"/>
      <w:numFmt w:val="decimal"/>
      <w:lvlText w:val="%1."/>
      <w:lvlJc w:val="left"/>
      <w:pPr>
        <w:ind w:left="72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300F6F54"/>
    <w:multiLevelType w:val="hybridMultilevel"/>
    <w:tmpl w:val="95624B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B0F7E0D"/>
    <w:multiLevelType w:val="multilevel"/>
    <w:tmpl w:val="14C8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63889"/>
    <w:multiLevelType w:val="hybridMultilevel"/>
    <w:tmpl w:val="714CF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ED1E7B"/>
    <w:multiLevelType w:val="hybridMultilevel"/>
    <w:tmpl w:val="2A625E12"/>
    <w:lvl w:ilvl="0" w:tplc="E43C988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5F11FD"/>
    <w:multiLevelType w:val="hybridMultilevel"/>
    <w:tmpl w:val="4C421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16339F"/>
    <w:multiLevelType w:val="hybridMultilevel"/>
    <w:tmpl w:val="501CA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39406A"/>
    <w:multiLevelType w:val="hybridMultilevel"/>
    <w:tmpl w:val="A30EF71C"/>
    <w:lvl w:ilvl="0" w:tplc="BEAE8FC8">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57994C8F"/>
    <w:multiLevelType w:val="hybridMultilevel"/>
    <w:tmpl w:val="A5A2D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845B1D"/>
    <w:multiLevelType w:val="hybridMultilevel"/>
    <w:tmpl w:val="5246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F57BF"/>
    <w:multiLevelType w:val="multilevel"/>
    <w:tmpl w:val="1BA0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483BA2"/>
    <w:multiLevelType w:val="hybridMultilevel"/>
    <w:tmpl w:val="DAFA2F8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6E3374A9"/>
    <w:multiLevelType w:val="hybridMultilevel"/>
    <w:tmpl w:val="295AE90C"/>
    <w:lvl w:ilvl="0" w:tplc="04FCB878">
      <w:start w:val="1"/>
      <w:numFmt w:val="bullet"/>
      <w:pStyle w:val="BodyBullets"/>
      <w:lvlText w:val=""/>
      <w:lvlJc w:val="left"/>
      <w:pPr>
        <w:tabs>
          <w:tab w:val="num" w:pos="1136"/>
        </w:tabs>
        <w:ind w:left="1420" w:firstLine="0"/>
      </w:pPr>
      <w:rPr>
        <w:rFonts w:ascii="Symbol" w:hAnsi="Symbol" w:hint="default"/>
        <w:color w:val="000000"/>
        <w:sz w:val="20"/>
        <w:szCs w:val="20"/>
      </w:rPr>
    </w:lvl>
    <w:lvl w:ilvl="1" w:tplc="4C98BFBC">
      <w:start w:val="1"/>
      <w:numFmt w:val="bullet"/>
      <w:lvlText w:val="o"/>
      <w:lvlJc w:val="left"/>
      <w:pPr>
        <w:tabs>
          <w:tab w:val="num" w:pos="2576"/>
        </w:tabs>
        <w:ind w:left="2576" w:hanging="360"/>
      </w:pPr>
      <w:rPr>
        <w:rFonts w:ascii="Courier New" w:hAnsi="Courier New" w:cs="Courier New" w:hint="default"/>
      </w:rPr>
    </w:lvl>
    <w:lvl w:ilvl="2" w:tplc="135054F0">
      <w:start w:val="1"/>
      <w:numFmt w:val="bullet"/>
      <w:lvlText w:val=""/>
      <w:lvlJc w:val="left"/>
      <w:pPr>
        <w:tabs>
          <w:tab w:val="num" w:pos="3296"/>
        </w:tabs>
        <w:ind w:left="3296" w:hanging="360"/>
      </w:pPr>
      <w:rPr>
        <w:rFonts w:ascii="Wingdings" w:hAnsi="Wingdings" w:hint="default"/>
      </w:rPr>
    </w:lvl>
    <w:lvl w:ilvl="3" w:tplc="E62CB330">
      <w:start w:val="1"/>
      <w:numFmt w:val="bullet"/>
      <w:lvlText w:val=""/>
      <w:lvlJc w:val="left"/>
      <w:pPr>
        <w:tabs>
          <w:tab w:val="num" w:pos="4016"/>
        </w:tabs>
        <w:ind w:left="4016" w:hanging="360"/>
      </w:pPr>
      <w:rPr>
        <w:rFonts w:ascii="Symbol" w:hAnsi="Symbol" w:hint="default"/>
      </w:rPr>
    </w:lvl>
    <w:lvl w:ilvl="4" w:tplc="B2E6AA6A">
      <w:start w:val="1"/>
      <w:numFmt w:val="bullet"/>
      <w:lvlText w:val="o"/>
      <w:lvlJc w:val="left"/>
      <w:pPr>
        <w:tabs>
          <w:tab w:val="num" w:pos="4736"/>
        </w:tabs>
        <w:ind w:left="4736" w:hanging="360"/>
      </w:pPr>
      <w:rPr>
        <w:rFonts w:ascii="Courier New" w:hAnsi="Courier New" w:cs="Courier New" w:hint="default"/>
      </w:rPr>
    </w:lvl>
    <w:lvl w:ilvl="5" w:tplc="3DBCB4CA">
      <w:start w:val="1"/>
      <w:numFmt w:val="bullet"/>
      <w:lvlText w:val=""/>
      <w:lvlJc w:val="left"/>
      <w:pPr>
        <w:tabs>
          <w:tab w:val="num" w:pos="5456"/>
        </w:tabs>
        <w:ind w:left="5456" w:hanging="360"/>
      </w:pPr>
      <w:rPr>
        <w:rFonts w:ascii="Wingdings" w:hAnsi="Wingdings" w:hint="default"/>
      </w:rPr>
    </w:lvl>
    <w:lvl w:ilvl="6" w:tplc="2C704268">
      <w:start w:val="1"/>
      <w:numFmt w:val="bullet"/>
      <w:lvlText w:val=""/>
      <w:lvlJc w:val="left"/>
      <w:pPr>
        <w:tabs>
          <w:tab w:val="num" w:pos="6176"/>
        </w:tabs>
        <w:ind w:left="6176" w:hanging="360"/>
      </w:pPr>
      <w:rPr>
        <w:rFonts w:ascii="Symbol" w:hAnsi="Symbol" w:hint="default"/>
      </w:rPr>
    </w:lvl>
    <w:lvl w:ilvl="7" w:tplc="E83C0360">
      <w:start w:val="1"/>
      <w:numFmt w:val="bullet"/>
      <w:lvlText w:val="o"/>
      <w:lvlJc w:val="left"/>
      <w:pPr>
        <w:tabs>
          <w:tab w:val="num" w:pos="6896"/>
        </w:tabs>
        <w:ind w:left="6896" w:hanging="360"/>
      </w:pPr>
      <w:rPr>
        <w:rFonts w:ascii="Courier New" w:hAnsi="Courier New" w:cs="Courier New" w:hint="default"/>
      </w:rPr>
    </w:lvl>
    <w:lvl w:ilvl="8" w:tplc="DF10E750">
      <w:start w:val="1"/>
      <w:numFmt w:val="bullet"/>
      <w:lvlText w:val=""/>
      <w:lvlJc w:val="left"/>
      <w:pPr>
        <w:tabs>
          <w:tab w:val="num" w:pos="7616"/>
        </w:tabs>
        <w:ind w:left="7616" w:hanging="360"/>
      </w:pPr>
      <w:rPr>
        <w:rFonts w:ascii="Wingdings" w:hAnsi="Wingdings" w:hint="default"/>
      </w:rPr>
    </w:lvl>
  </w:abstractNum>
  <w:abstractNum w:abstractNumId="21" w15:restartNumberingAfterBreak="0">
    <w:nsid w:val="780D50DC"/>
    <w:multiLevelType w:val="hybridMultilevel"/>
    <w:tmpl w:val="A3A2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C587C"/>
    <w:multiLevelType w:val="multilevel"/>
    <w:tmpl w:val="AB08D7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A416F9A"/>
    <w:multiLevelType w:val="hybridMultilevel"/>
    <w:tmpl w:val="5288BFF0"/>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1C1D5F"/>
    <w:multiLevelType w:val="hybridMultilevel"/>
    <w:tmpl w:val="787C8A1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2"/>
  </w:num>
  <w:num w:numId="4">
    <w:abstractNumId w:val="19"/>
  </w:num>
  <w:num w:numId="5">
    <w:abstractNumId w:val="16"/>
  </w:num>
  <w:num w:numId="6">
    <w:abstractNumId w:val="1"/>
  </w:num>
  <w:num w:numId="7">
    <w:abstractNumId w:val="14"/>
  </w:num>
  <w:num w:numId="8">
    <w:abstractNumId w:val="13"/>
  </w:num>
  <w:num w:numId="9">
    <w:abstractNumId w:val="6"/>
  </w:num>
  <w:num w:numId="10">
    <w:abstractNumId w:val="8"/>
  </w:num>
  <w:num w:numId="11">
    <w:abstractNumId w:val="3"/>
  </w:num>
  <w:num w:numId="12">
    <w:abstractNumId w:val="17"/>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0"/>
  </w:num>
  <w:num w:numId="16">
    <w:abstractNumId w:val="0"/>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5"/>
  </w:num>
  <w:num w:numId="20">
    <w:abstractNumId w:val="23"/>
  </w:num>
  <w:num w:numId="21">
    <w:abstractNumId w:val="15"/>
  </w:num>
  <w:num w:numId="22">
    <w:abstractNumId w:val="7"/>
  </w:num>
  <w:num w:numId="23">
    <w:abstractNumId w:val="21"/>
  </w:num>
  <w:num w:numId="24">
    <w:abstractNumId w:val="4"/>
  </w:num>
  <w:num w:numId="2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38"/>
    <w:rsid w:val="00000249"/>
    <w:rsid w:val="0000026F"/>
    <w:rsid w:val="00000504"/>
    <w:rsid w:val="000009A0"/>
    <w:rsid w:val="00000F12"/>
    <w:rsid w:val="00001538"/>
    <w:rsid w:val="00001D54"/>
    <w:rsid w:val="00002067"/>
    <w:rsid w:val="00002498"/>
    <w:rsid w:val="000024B2"/>
    <w:rsid w:val="00002B9C"/>
    <w:rsid w:val="0000319A"/>
    <w:rsid w:val="000034F8"/>
    <w:rsid w:val="000036E4"/>
    <w:rsid w:val="0000376C"/>
    <w:rsid w:val="000040EE"/>
    <w:rsid w:val="00004287"/>
    <w:rsid w:val="0000495C"/>
    <w:rsid w:val="00004B78"/>
    <w:rsid w:val="00004D54"/>
    <w:rsid w:val="00004DF4"/>
    <w:rsid w:val="00005284"/>
    <w:rsid w:val="00005C9A"/>
    <w:rsid w:val="00005F68"/>
    <w:rsid w:val="000060FF"/>
    <w:rsid w:val="00006558"/>
    <w:rsid w:val="000071C8"/>
    <w:rsid w:val="00007777"/>
    <w:rsid w:val="000077CF"/>
    <w:rsid w:val="000106BB"/>
    <w:rsid w:val="00010EB1"/>
    <w:rsid w:val="00010FD4"/>
    <w:rsid w:val="0001165E"/>
    <w:rsid w:val="000117B5"/>
    <w:rsid w:val="0001181A"/>
    <w:rsid w:val="00011AB9"/>
    <w:rsid w:val="00011C60"/>
    <w:rsid w:val="000127C5"/>
    <w:rsid w:val="00012EDE"/>
    <w:rsid w:val="0001326F"/>
    <w:rsid w:val="00013418"/>
    <w:rsid w:val="00013742"/>
    <w:rsid w:val="00013FFF"/>
    <w:rsid w:val="00014456"/>
    <w:rsid w:val="00014659"/>
    <w:rsid w:val="000149F8"/>
    <w:rsid w:val="00014BCB"/>
    <w:rsid w:val="00015463"/>
    <w:rsid w:val="0001597A"/>
    <w:rsid w:val="00015B8E"/>
    <w:rsid w:val="000164A6"/>
    <w:rsid w:val="00016C7C"/>
    <w:rsid w:val="00016ECD"/>
    <w:rsid w:val="000170A8"/>
    <w:rsid w:val="000177E8"/>
    <w:rsid w:val="00017BE8"/>
    <w:rsid w:val="00020552"/>
    <w:rsid w:val="000210D2"/>
    <w:rsid w:val="0002153B"/>
    <w:rsid w:val="00021B9E"/>
    <w:rsid w:val="0002221B"/>
    <w:rsid w:val="0002223F"/>
    <w:rsid w:val="00022804"/>
    <w:rsid w:val="000228CA"/>
    <w:rsid w:val="00022973"/>
    <w:rsid w:val="00022FEB"/>
    <w:rsid w:val="000235A7"/>
    <w:rsid w:val="00023D27"/>
    <w:rsid w:val="0002462E"/>
    <w:rsid w:val="00024AA1"/>
    <w:rsid w:val="00024D2E"/>
    <w:rsid w:val="00024E41"/>
    <w:rsid w:val="000251BF"/>
    <w:rsid w:val="00025481"/>
    <w:rsid w:val="00025A3F"/>
    <w:rsid w:val="00025D84"/>
    <w:rsid w:val="00026A2D"/>
    <w:rsid w:val="00026E27"/>
    <w:rsid w:val="00026EF3"/>
    <w:rsid w:val="0002713F"/>
    <w:rsid w:val="00027DF4"/>
    <w:rsid w:val="00027FA6"/>
    <w:rsid w:val="00030564"/>
    <w:rsid w:val="0003056E"/>
    <w:rsid w:val="00030FA5"/>
    <w:rsid w:val="000310E1"/>
    <w:rsid w:val="00031416"/>
    <w:rsid w:val="0003161A"/>
    <w:rsid w:val="000327C8"/>
    <w:rsid w:val="00033277"/>
    <w:rsid w:val="000335F7"/>
    <w:rsid w:val="00033FCC"/>
    <w:rsid w:val="0003438A"/>
    <w:rsid w:val="00034C9D"/>
    <w:rsid w:val="00034E11"/>
    <w:rsid w:val="0003524B"/>
    <w:rsid w:val="00035539"/>
    <w:rsid w:val="00035582"/>
    <w:rsid w:val="000356F0"/>
    <w:rsid w:val="00035BE2"/>
    <w:rsid w:val="0003689F"/>
    <w:rsid w:val="00036AB5"/>
    <w:rsid w:val="00037347"/>
    <w:rsid w:val="000374D1"/>
    <w:rsid w:val="000379DB"/>
    <w:rsid w:val="000406CD"/>
    <w:rsid w:val="000406EC"/>
    <w:rsid w:val="000408A5"/>
    <w:rsid w:val="00040965"/>
    <w:rsid w:val="000412C0"/>
    <w:rsid w:val="00041712"/>
    <w:rsid w:val="000419E2"/>
    <w:rsid w:val="00041C79"/>
    <w:rsid w:val="00041DE3"/>
    <w:rsid w:val="0004213E"/>
    <w:rsid w:val="0004237D"/>
    <w:rsid w:val="00042743"/>
    <w:rsid w:val="000428B7"/>
    <w:rsid w:val="00042DD1"/>
    <w:rsid w:val="000435EE"/>
    <w:rsid w:val="000438EF"/>
    <w:rsid w:val="00043999"/>
    <w:rsid w:val="00043A2D"/>
    <w:rsid w:val="00043A39"/>
    <w:rsid w:val="00043BA2"/>
    <w:rsid w:val="00044131"/>
    <w:rsid w:val="00044376"/>
    <w:rsid w:val="00044576"/>
    <w:rsid w:val="00044A6F"/>
    <w:rsid w:val="00046388"/>
    <w:rsid w:val="00046BE9"/>
    <w:rsid w:val="00046F06"/>
    <w:rsid w:val="00047147"/>
    <w:rsid w:val="00047400"/>
    <w:rsid w:val="000475FD"/>
    <w:rsid w:val="000476CB"/>
    <w:rsid w:val="00047855"/>
    <w:rsid w:val="00047AE4"/>
    <w:rsid w:val="00047BFD"/>
    <w:rsid w:val="00050E15"/>
    <w:rsid w:val="00051298"/>
    <w:rsid w:val="00051309"/>
    <w:rsid w:val="000517A3"/>
    <w:rsid w:val="00051AA9"/>
    <w:rsid w:val="00051CA0"/>
    <w:rsid w:val="000527D6"/>
    <w:rsid w:val="00052C4E"/>
    <w:rsid w:val="00052DCD"/>
    <w:rsid w:val="00052EFD"/>
    <w:rsid w:val="000533AC"/>
    <w:rsid w:val="00053580"/>
    <w:rsid w:val="00053E0A"/>
    <w:rsid w:val="00053FC1"/>
    <w:rsid w:val="00054594"/>
    <w:rsid w:val="00054826"/>
    <w:rsid w:val="00054A6C"/>
    <w:rsid w:val="00054EB5"/>
    <w:rsid w:val="00054F9F"/>
    <w:rsid w:val="000552DA"/>
    <w:rsid w:val="00055325"/>
    <w:rsid w:val="000554BE"/>
    <w:rsid w:val="000555D6"/>
    <w:rsid w:val="00055AA1"/>
    <w:rsid w:val="00055AE6"/>
    <w:rsid w:val="00055C5A"/>
    <w:rsid w:val="00055C80"/>
    <w:rsid w:val="00055DFD"/>
    <w:rsid w:val="0005644E"/>
    <w:rsid w:val="00056729"/>
    <w:rsid w:val="00056B9D"/>
    <w:rsid w:val="00056BB7"/>
    <w:rsid w:val="00057380"/>
    <w:rsid w:val="000575D9"/>
    <w:rsid w:val="000609AB"/>
    <w:rsid w:val="00060DBA"/>
    <w:rsid w:val="00060F28"/>
    <w:rsid w:val="00060F53"/>
    <w:rsid w:val="0006195D"/>
    <w:rsid w:val="00061D78"/>
    <w:rsid w:val="00062103"/>
    <w:rsid w:val="00062307"/>
    <w:rsid w:val="00062309"/>
    <w:rsid w:val="0006279D"/>
    <w:rsid w:val="00062CA5"/>
    <w:rsid w:val="00062EC0"/>
    <w:rsid w:val="0006321F"/>
    <w:rsid w:val="000633A9"/>
    <w:rsid w:val="00063988"/>
    <w:rsid w:val="000640C0"/>
    <w:rsid w:val="00064EE8"/>
    <w:rsid w:val="0006556F"/>
    <w:rsid w:val="0006580F"/>
    <w:rsid w:val="00065A3F"/>
    <w:rsid w:val="00065AE3"/>
    <w:rsid w:val="000661F7"/>
    <w:rsid w:val="00066CA9"/>
    <w:rsid w:val="00067A9D"/>
    <w:rsid w:val="00067B6E"/>
    <w:rsid w:val="00067F97"/>
    <w:rsid w:val="00067F9F"/>
    <w:rsid w:val="000702B8"/>
    <w:rsid w:val="000707EF"/>
    <w:rsid w:val="0007093B"/>
    <w:rsid w:val="00070DFD"/>
    <w:rsid w:val="000711E1"/>
    <w:rsid w:val="00071361"/>
    <w:rsid w:val="000715CB"/>
    <w:rsid w:val="000715E7"/>
    <w:rsid w:val="00071629"/>
    <w:rsid w:val="00071898"/>
    <w:rsid w:val="00071916"/>
    <w:rsid w:val="00071CA0"/>
    <w:rsid w:val="00071FF2"/>
    <w:rsid w:val="000726CC"/>
    <w:rsid w:val="00072BF0"/>
    <w:rsid w:val="00073402"/>
    <w:rsid w:val="00073A86"/>
    <w:rsid w:val="0007425D"/>
    <w:rsid w:val="00074413"/>
    <w:rsid w:val="000745FB"/>
    <w:rsid w:val="0007481B"/>
    <w:rsid w:val="00074AD8"/>
    <w:rsid w:val="00074B77"/>
    <w:rsid w:val="00075A83"/>
    <w:rsid w:val="0007645B"/>
    <w:rsid w:val="00076599"/>
    <w:rsid w:val="00076607"/>
    <w:rsid w:val="00076CB6"/>
    <w:rsid w:val="00076EAA"/>
    <w:rsid w:val="00077019"/>
    <w:rsid w:val="0008046B"/>
    <w:rsid w:val="00080C2B"/>
    <w:rsid w:val="000812ED"/>
    <w:rsid w:val="000821AF"/>
    <w:rsid w:val="0008271B"/>
    <w:rsid w:val="000829F4"/>
    <w:rsid w:val="00082E5B"/>
    <w:rsid w:val="000830F7"/>
    <w:rsid w:val="0008324A"/>
    <w:rsid w:val="00083400"/>
    <w:rsid w:val="00083612"/>
    <w:rsid w:val="000842C5"/>
    <w:rsid w:val="00084348"/>
    <w:rsid w:val="00084F86"/>
    <w:rsid w:val="00085230"/>
    <w:rsid w:val="00085FAA"/>
    <w:rsid w:val="00086459"/>
    <w:rsid w:val="000867B3"/>
    <w:rsid w:val="00086C41"/>
    <w:rsid w:val="00086E75"/>
    <w:rsid w:val="00087252"/>
    <w:rsid w:val="000872A6"/>
    <w:rsid w:val="00087303"/>
    <w:rsid w:val="000877CC"/>
    <w:rsid w:val="00087849"/>
    <w:rsid w:val="00087F55"/>
    <w:rsid w:val="00090448"/>
    <w:rsid w:val="0009052C"/>
    <w:rsid w:val="000905B5"/>
    <w:rsid w:val="000906D9"/>
    <w:rsid w:val="00090717"/>
    <w:rsid w:val="00090988"/>
    <w:rsid w:val="000918C4"/>
    <w:rsid w:val="00091A31"/>
    <w:rsid w:val="00091A33"/>
    <w:rsid w:val="00091DD7"/>
    <w:rsid w:val="00092662"/>
    <w:rsid w:val="00092993"/>
    <w:rsid w:val="00092AA9"/>
    <w:rsid w:val="000932E8"/>
    <w:rsid w:val="00093791"/>
    <w:rsid w:val="00093C39"/>
    <w:rsid w:val="00093EDC"/>
    <w:rsid w:val="00094389"/>
    <w:rsid w:val="000948F1"/>
    <w:rsid w:val="00094B07"/>
    <w:rsid w:val="00094FD0"/>
    <w:rsid w:val="00095453"/>
    <w:rsid w:val="000954FF"/>
    <w:rsid w:val="00095806"/>
    <w:rsid w:val="00095977"/>
    <w:rsid w:val="00095A76"/>
    <w:rsid w:val="00096743"/>
    <w:rsid w:val="00096AD2"/>
    <w:rsid w:val="000973FE"/>
    <w:rsid w:val="00097B93"/>
    <w:rsid w:val="000A04FB"/>
    <w:rsid w:val="000A06CC"/>
    <w:rsid w:val="000A0978"/>
    <w:rsid w:val="000A0C5A"/>
    <w:rsid w:val="000A17FF"/>
    <w:rsid w:val="000A1868"/>
    <w:rsid w:val="000A190E"/>
    <w:rsid w:val="000A1B44"/>
    <w:rsid w:val="000A1C51"/>
    <w:rsid w:val="000A1CD1"/>
    <w:rsid w:val="000A2495"/>
    <w:rsid w:val="000A25F8"/>
    <w:rsid w:val="000A31C4"/>
    <w:rsid w:val="000A40A0"/>
    <w:rsid w:val="000A434E"/>
    <w:rsid w:val="000A4365"/>
    <w:rsid w:val="000A4E7B"/>
    <w:rsid w:val="000A50EA"/>
    <w:rsid w:val="000A58DA"/>
    <w:rsid w:val="000A5A9A"/>
    <w:rsid w:val="000A5C2C"/>
    <w:rsid w:val="000A6016"/>
    <w:rsid w:val="000A6118"/>
    <w:rsid w:val="000A6A39"/>
    <w:rsid w:val="000A71F4"/>
    <w:rsid w:val="000A78FC"/>
    <w:rsid w:val="000A7A4D"/>
    <w:rsid w:val="000A7E34"/>
    <w:rsid w:val="000B0634"/>
    <w:rsid w:val="000B22A3"/>
    <w:rsid w:val="000B22EF"/>
    <w:rsid w:val="000B2605"/>
    <w:rsid w:val="000B2632"/>
    <w:rsid w:val="000B2E50"/>
    <w:rsid w:val="000B2EC6"/>
    <w:rsid w:val="000B3FBD"/>
    <w:rsid w:val="000B41CF"/>
    <w:rsid w:val="000B4265"/>
    <w:rsid w:val="000B4611"/>
    <w:rsid w:val="000B4718"/>
    <w:rsid w:val="000B47C6"/>
    <w:rsid w:val="000B4AF6"/>
    <w:rsid w:val="000B4D1E"/>
    <w:rsid w:val="000B4DD5"/>
    <w:rsid w:val="000B54CA"/>
    <w:rsid w:val="000B5C30"/>
    <w:rsid w:val="000B5DFE"/>
    <w:rsid w:val="000B67C9"/>
    <w:rsid w:val="000B6A14"/>
    <w:rsid w:val="000B6A81"/>
    <w:rsid w:val="000B6AD5"/>
    <w:rsid w:val="000B7627"/>
    <w:rsid w:val="000B778B"/>
    <w:rsid w:val="000B7BBB"/>
    <w:rsid w:val="000C0175"/>
    <w:rsid w:val="000C04A0"/>
    <w:rsid w:val="000C04C6"/>
    <w:rsid w:val="000C07CA"/>
    <w:rsid w:val="000C0907"/>
    <w:rsid w:val="000C0EC2"/>
    <w:rsid w:val="000C14DD"/>
    <w:rsid w:val="000C1B57"/>
    <w:rsid w:val="000C1D63"/>
    <w:rsid w:val="000C1EE4"/>
    <w:rsid w:val="000C2119"/>
    <w:rsid w:val="000C2D04"/>
    <w:rsid w:val="000C320D"/>
    <w:rsid w:val="000C37E5"/>
    <w:rsid w:val="000C37F6"/>
    <w:rsid w:val="000C381C"/>
    <w:rsid w:val="000C3F9B"/>
    <w:rsid w:val="000C423A"/>
    <w:rsid w:val="000C4455"/>
    <w:rsid w:val="000C4FE6"/>
    <w:rsid w:val="000C5CB1"/>
    <w:rsid w:val="000C5E11"/>
    <w:rsid w:val="000C6135"/>
    <w:rsid w:val="000C6214"/>
    <w:rsid w:val="000C6215"/>
    <w:rsid w:val="000C698D"/>
    <w:rsid w:val="000C706E"/>
    <w:rsid w:val="000C7888"/>
    <w:rsid w:val="000C7B57"/>
    <w:rsid w:val="000D025F"/>
    <w:rsid w:val="000D1132"/>
    <w:rsid w:val="000D13B4"/>
    <w:rsid w:val="000D164A"/>
    <w:rsid w:val="000D1978"/>
    <w:rsid w:val="000D1B43"/>
    <w:rsid w:val="000D2270"/>
    <w:rsid w:val="000D2567"/>
    <w:rsid w:val="000D2D32"/>
    <w:rsid w:val="000D2E27"/>
    <w:rsid w:val="000D2F5C"/>
    <w:rsid w:val="000D3DDD"/>
    <w:rsid w:val="000D4132"/>
    <w:rsid w:val="000D43A1"/>
    <w:rsid w:val="000D4D84"/>
    <w:rsid w:val="000D4E86"/>
    <w:rsid w:val="000D5208"/>
    <w:rsid w:val="000D52F6"/>
    <w:rsid w:val="000D53BB"/>
    <w:rsid w:val="000D5C32"/>
    <w:rsid w:val="000D5D0A"/>
    <w:rsid w:val="000D5D9E"/>
    <w:rsid w:val="000D63EF"/>
    <w:rsid w:val="000D6B41"/>
    <w:rsid w:val="000D6F60"/>
    <w:rsid w:val="000D7DA8"/>
    <w:rsid w:val="000E0479"/>
    <w:rsid w:val="000E0F9E"/>
    <w:rsid w:val="000E1DFB"/>
    <w:rsid w:val="000E1F96"/>
    <w:rsid w:val="000E26F1"/>
    <w:rsid w:val="000E28DB"/>
    <w:rsid w:val="000E3ECE"/>
    <w:rsid w:val="000E3FF3"/>
    <w:rsid w:val="000E4099"/>
    <w:rsid w:val="000E4CEC"/>
    <w:rsid w:val="000E5EC6"/>
    <w:rsid w:val="000E6238"/>
    <w:rsid w:val="000E6540"/>
    <w:rsid w:val="000E6C9B"/>
    <w:rsid w:val="000E731A"/>
    <w:rsid w:val="000E745E"/>
    <w:rsid w:val="000E7525"/>
    <w:rsid w:val="000E7798"/>
    <w:rsid w:val="000E7D67"/>
    <w:rsid w:val="000F002C"/>
    <w:rsid w:val="000F1247"/>
    <w:rsid w:val="000F183D"/>
    <w:rsid w:val="000F1B79"/>
    <w:rsid w:val="000F1F61"/>
    <w:rsid w:val="000F2221"/>
    <w:rsid w:val="000F25E6"/>
    <w:rsid w:val="000F310F"/>
    <w:rsid w:val="000F352D"/>
    <w:rsid w:val="000F3A23"/>
    <w:rsid w:val="000F41FB"/>
    <w:rsid w:val="000F429F"/>
    <w:rsid w:val="000F438C"/>
    <w:rsid w:val="000F47ED"/>
    <w:rsid w:val="000F4D22"/>
    <w:rsid w:val="000F5274"/>
    <w:rsid w:val="000F5839"/>
    <w:rsid w:val="000F5986"/>
    <w:rsid w:val="000F5A1A"/>
    <w:rsid w:val="000F6291"/>
    <w:rsid w:val="000F735D"/>
    <w:rsid w:val="000F7912"/>
    <w:rsid w:val="000F7F21"/>
    <w:rsid w:val="00100CF3"/>
    <w:rsid w:val="0010103F"/>
    <w:rsid w:val="00101472"/>
    <w:rsid w:val="0010186D"/>
    <w:rsid w:val="0010215C"/>
    <w:rsid w:val="00102166"/>
    <w:rsid w:val="00102638"/>
    <w:rsid w:val="00102D1F"/>
    <w:rsid w:val="0010328D"/>
    <w:rsid w:val="00103E8D"/>
    <w:rsid w:val="00104C58"/>
    <w:rsid w:val="00104E05"/>
    <w:rsid w:val="001050D0"/>
    <w:rsid w:val="0010573A"/>
    <w:rsid w:val="00105995"/>
    <w:rsid w:val="00105A1C"/>
    <w:rsid w:val="001063AB"/>
    <w:rsid w:val="00106567"/>
    <w:rsid w:val="001069A3"/>
    <w:rsid w:val="00106ACE"/>
    <w:rsid w:val="00106F43"/>
    <w:rsid w:val="001070DF"/>
    <w:rsid w:val="00107272"/>
    <w:rsid w:val="0010733D"/>
    <w:rsid w:val="00107351"/>
    <w:rsid w:val="00107B57"/>
    <w:rsid w:val="001101F2"/>
    <w:rsid w:val="001106AC"/>
    <w:rsid w:val="00111744"/>
    <w:rsid w:val="00111BCD"/>
    <w:rsid w:val="00111D5B"/>
    <w:rsid w:val="00112383"/>
    <w:rsid w:val="001125DB"/>
    <w:rsid w:val="0011283D"/>
    <w:rsid w:val="00112851"/>
    <w:rsid w:val="001132C6"/>
    <w:rsid w:val="0011336F"/>
    <w:rsid w:val="001133E8"/>
    <w:rsid w:val="00113C26"/>
    <w:rsid w:val="001144A9"/>
    <w:rsid w:val="001146B4"/>
    <w:rsid w:val="00114900"/>
    <w:rsid w:val="00114C77"/>
    <w:rsid w:val="00114EBC"/>
    <w:rsid w:val="00115322"/>
    <w:rsid w:val="00115373"/>
    <w:rsid w:val="00115798"/>
    <w:rsid w:val="001158C0"/>
    <w:rsid w:val="00115A1F"/>
    <w:rsid w:val="00115C28"/>
    <w:rsid w:val="001163CD"/>
    <w:rsid w:val="00116944"/>
    <w:rsid w:val="001169AA"/>
    <w:rsid w:val="00117047"/>
    <w:rsid w:val="0011739D"/>
    <w:rsid w:val="00120096"/>
    <w:rsid w:val="001202F9"/>
    <w:rsid w:val="00120621"/>
    <w:rsid w:val="00120662"/>
    <w:rsid w:val="0012180C"/>
    <w:rsid w:val="00122518"/>
    <w:rsid w:val="00122C36"/>
    <w:rsid w:val="00122F8A"/>
    <w:rsid w:val="001238E4"/>
    <w:rsid w:val="001239AE"/>
    <w:rsid w:val="001242D4"/>
    <w:rsid w:val="0012444A"/>
    <w:rsid w:val="00124795"/>
    <w:rsid w:val="00124A76"/>
    <w:rsid w:val="00124AD3"/>
    <w:rsid w:val="00124B9E"/>
    <w:rsid w:val="00124BFC"/>
    <w:rsid w:val="00124D24"/>
    <w:rsid w:val="00124FED"/>
    <w:rsid w:val="00125400"/>
    <w:rsid w:val="00125621"/>
    <w:rsid w:val="00125640"/>
    <w:rsid w:val="001256F0"/>
    <w:rsid w:val="0012594B"/>
    <w:rsid w:val="00125C4F"/>
    <w:rsid w:val="001263B1"/>
    <w:rsid w:val="00126BDA"/>
    <w:rsid w:val="00126C66"/>
    <w:rsid w:val="00126C89"/>
    <w:rsid w:val="00126FC0"/>
    <w:rsid w:val="0012712E"/>
    <w:rsid w:val="0012793D"/>
    <w:rsid w:val="00127AEC"/>
    <w:rsid w:val="00127C56"/>
    <w:rsid w:val="001304CB"/>
    <w:rsid w:val="0013059A"/>
    <w:rsid w:val="00130942"/>
    <w:rsid w:val="00131180"/>
    <w:rsid w:val="001315C1"/>
    <w:rsid w:val="001315CA"/>
    <w:rsid w:val="001325F2"/>
    <w:rsid w:val="00132942"/>
    <w:rsid w:val="00132998"/>
    <w:rsid w:val="00132A94"/>
    <w:rsid w:val="00134321"/>
    <w:rsid w:val="00134420"/>
    <w:rsid w:val="0013482E"/>
    <w:rsid w:val="00134BC2"/>
    <w:rsid w:val="00134D06"/>
    <w:rsid w:val="00134F54"/>
    <w:rsid w:val="00135303"/>
    <w:rsid w:val="001359AF"/>
    <w:rsid w:val="00136142"/>
    <w:rsid w:val="001362F7"/>
    <w:rsid w:val="001366EA"/>
    <w:rsid w:val="001369F4"/>
    <w:rsid w:val="00136B55"/>
    <w:rsid w:val="0013703F"/>
    <w:rsid w:val="00137625"/>
    <w:rsid w:val="00137B35"/>
    <w:rsid w:val="00137D3A"/>
    <w:rsid w:val="00137E44"/>
    <w:rsid w:val="00137F1F"/>
    <w:rsid w:val="0014031A"/>
    <w:rsid w:val="001407F0"/>
    <w:rsid w:val="00140834"/>
    <w:rsid w:val="00141119"/>
    <w:rsid w:val="00141C02"/>
    <w:rsid w:val="00141D6B"/>
    <w:rsid w:val="00141D8E"/>
    <w:rsid w:val="00142770"/>
    <w:rsid w:val="0014290E"/>
    <w:rsid w:val="00142AC0"/>
    <w:rsid w:val="00142C08"/>
    <w:rsid w:val="00142F66"/>
    <w:rsid w:val="001436AE"/>
    <w:rsid w:val="00143CCE"/>
    <w:rsid w:val="00143E64"/>
    <w:rsid w:val="00143FC9"/>
    <w:rsid w:val="001440AA"/>
    <w:rsid w:val="00144249"/>
    <w:rsid w:val="00144D9A"/>
    <w:rsid w:val="00145265"/>
    <w:rsid w:val="001456A2"/>
    <w:rsid w:val="001456F1"/>
    <w:rsid w:val="00145D80"/>
    <w:rsid w:val="00145DCF"/>
    <w:rsid w:val="00146981"/>
    <w:rsid w:val="00146E54"/>
    <w:rsid w:val="0014710F"/>
    <w:rsid w:val="00147CD6"/>
    <w:rsid w:val="001501ED"/>
    <w:rsid w:val="0015043C"/>
    <w:rsid w:val="00150457"/>
    <w:rsid w:val="00150565"/>
    <w:rsid w:val="00151DD8"/>
    <w:rsid w:val="001522B9"/>
    <w:rsid w:val="00152474"/>
    <w:rsid w:val="00153234"/>
    <w:rsid w:val="0015380F"/>
    <w:rsid w:val="00153921"/>
    <w:rsid w:val="00154103"/>
    <w:rsid w:val="001544FF"/>
    <w:rsid w:val="001548DC"/>
    <w:rsid w:val="00154CEC"/>
    <w:rsid w:val="00155873"/>
    <w:rsid w:val="00155A37"/>
    <w:rsid w:val="00155B94"/>
    <w:rsid w:val="00156115"/>
    <w:rsid w:val="00156507"/>
    <w:rsid w:val="001565B7"/>
    <w:rsid w:val="001567D3"/>
    <w:rsid w:val="00156923"/>
    <w:rsid w:val="00156BD9"/>
    <w:rsid w:val="00156C64"/>
    <w:rsid w:val="001574F4"/>
    <w:rsid w:val="0015771C"/>
    <w:rsid w:val="00160193"/>
    <w:rsid w:val="0016040A"/>
    <w:rsid w:val="0016044F"/>
    <w:rsid w:val="00160681"/>
    <w:rsid w:val="00160704"/>
    <w:rsid w:val="00160A70"/>
    <w:rsid w:val="00160C60"/>
    <w:rsid w:val="001618B7"/>
    <w:rsid w:val="0016225A"/>
    <w:rsid w:val="001624BA"/>
    <w:rsid w:val="00162737"/>
    <w:rsid w:val="0016276B"/>
    <w:rsid w:val="00164162"/>
    <w:rsid w:val="001644B6"/>
    <w:rsid w:val="001644C5"/>
    <w:rsid w:val="00164B88"/>
    <w:rsid w:val="00166A51"/>
    <w:rsid w:val="00166B6D"/>
    <w:rsid w:val="00166E08"/>
    <w:rsid w:val="00167105"/>
    <w:rsid w:val="00167292"/>
    <w:rsid w:val="00167DD9"/>
    <w:rsid w:val="00167DFE"/>
    <w:rsid w:val="00170120"/>
    <w:rsid w:val="001702ED"/>
    <w:rsid w:val="001703E3"/>
    <w:rsid w:val="00170ADA"/>
    <w:rsid w:val="00171A3B"/>
    <w:rsid w:val="001720F0"/>
    <w:rsid w:val="00172A32"/>
    <w:rsid w:val="0017373C"/>
    <w:rsid w:val="001744C8"/>
    <w:rsid w:val="00174FA7"/>
    <w:rsid w:val="00175481"/>
    <w:rsid w:val="00175782"/>
    <w:rsid w:val="001757B2"/>
    <w:rsid w:val="001758C1"/>
    <w:rsid w:val="001759B3"/>
    <w:rsid w:val="00175BFA"/>
    <w:rsid w:val="00175F19"/>
    <w:rsid w:val="0017681A"/>
    <w:rsid w:val="0017687D"/>
    <w:rsid w:val="00176B0A"/>
    <w:rsid w:val="00176FC6"/>
    <w:rsid w:val="00177290"/>
    <w:rsid w:val="0017783F"/>
    <w:rsid w:val="0017797A"/>
    <w:rsid w:val="001808CA"/>
    <w:rsid w:val="00180EAB"/>
    <w:rsid w:val="00181686"/>
    <w:rsid w:val="00181715"/>
    <w:rsid w:val="00181742"/>
    <w:rsid w:val="0018194D"/>
    <w:rsid w:val="00181977"/>
    <w:rsid w:val="00181A6D"/>
    <w:rsid w:val="00182264"/>
    <w:rsid w:val="001836AC"/>
    <w:rsid w:val="00183749"/>
    <w:rsid w:val="00183CED"/>
    <w:rsid w:val="00183CFB"/>
    <w:rsid w:val="00184E5C"/>
    <w:rsid w:val="00184F9D"/>
    <w:rsid w:val="00185083"/>
    <w:rsid w:val="00185269"/>
    <w:rsid w:val="00187870"/>
    <w:rsid w:val="001909CB"/>
    <w:rsid w:val="00190B65"/>
    <w:rsid w:val="00190D5A"/>
    <w:rsid w:val="0019283C"/>
    <w:rsid w:val="0019291E"/>
    <w:rsid w:val="00192FAF"/>
    <w:rsid w:val="00193BBB"/>
    <w:rsid w:val="00193E88"/>
    <w:rsid w:val="00193EF3"/>
    <w:rsid w:val="001940EF"/>
    <w:rsid w:val="00194301"/>
    <w:rsid w:val="0019474B"/>
    <w:rsid w:val="00194F47"/>
    <w:rsid w:val="001953CF"/>
    <w:rsid w:val="001953F9"/>
    <w:rsid w:val="00195563"/>
    <w:rsid w:val="00195BB9"/>
    <w:rsid w:val="0019621E"/>
    <w:rsid w:val="0019693B"/>
    <w:rsid w:val="00196C74"/>
    <w:rsid w:val="00196CB6"/>
    <w:rsid w:val="00196FA6"/>
    <w:rsid w:val="0019718A"/>
    <w:rsid w:val="001A0196"/>
    <w:rsid w:val="001A044C"/>
    <w:rsid w:val="001A057E"/>
    <w:rsid w:val="001A0A24"/>
    <w:rsid w:val="001A1309"/>
    <w:rsid w:val="001A1B0E"/>
    <w:rsid w:val="001A1CB1"/>
    <w:rsid w:val="001A2291"/>
    <w:rsid w:val="001A28A7"/>
    <w:rsid w:val="001A28AF"/>
    <w:rsid w:val="001A2CF2"/>
    <w:rsid w:val="001A32E7"/>
    <w:rsid w:val="001A32E8"/>
    <w:rsid w:val="001A3364"/>
    <w:rsid w:val="001A349A"/>
    <w:rsid w:val="001A392D"/>
    <w:rsid w:val="001A3BA4"/>
    <w:rsid w:val="001A3D61"/>
    <w:rsid w:val="001A3DD6"/>
    <w:rsid w:val="001A3EE2"/>
    <w:rsid w:val="001A4763"/>
    <w:rsid w:val="001A4F48"/>
    <w:rsid w:val="001A53AC"/>
    <w:rsid w:val="001A5829"/>
    <w:rsid w:val="001A5CF4"/>
    <w:rsid w:val="001A5DDC"/>
    <w:rsid w:val="001A614B"/>
    <w:rsid w:val="001A6313"/>
    <w:rsid w:val="001A6DC8"/>
    <w:rsid w:val="001A75E4"/>
    <w:rsid w:val="001A7B55"/>
    <w:rsid w:val="001B061B"/>
    <w:rsid w:val="001B0A51"/>
    <w:rsid w:val="001B0C5B"/>
    <w:rsid w:val="001B0D5E"/>
    <w:rsid w:val="001B1E0F"/>
    <w:rsid w:val="001B27B1"/>
    <w:rsid w:val="001B2858"/>
    <w:rsid w:val="001B30FB"/>
    <w:rsid w:val="001B3145"/>
    <w:rsid w:val="001B4182"/>
    <w:rsid w:val="001B42C7"/>
    <w:rsid w:val="001B48B9"/>
    <w:rsid w:val="001B4B85"/>
    <w:rsid w:val="001B4DB8"/>
    <w:rsid w:val="001B4EF0"/>
    <w:rsid w:val="001B4FD2"/>
    <w:rsid w:val="001B5870"/>
    <w:rsid w:val="001B5A9F"/>
    <w:rsid w:val="001B61BA"/>
    <w:rsid w:val="001B64D2"/>
    <w:rsid w:val="001B654B"/>
    <w:rsid w:val="001B70AF"/>
    <w:rsid w:val="001B71A5"/>
    <w:rsid w:val="001B72A0"/>
    <w:rsid w:val="001B7322"/>
    <w:rsid w:val="001B7623"/>
    <w:rsid w:val="001B7A30"/>
    <w:rsid w:val="001C0112"/>
    <w:rsid w:val="001C021B"/>
    <w:rsid w:val="001C06E2"/>
    <w:rsid w:val="001C0E9D"/>
    <w:rsid w:val="001C1046"/>
    <w:rsid w:val="001C18FD"/>
    <w:rsid w:val="001C2E95"/>
    <w:rsid w:val="001C32FC"/>
    <w:rsid w:val="001C3367"/>
    <w:rsid w:val="001C4AA4"/>
    <w:rsid w:val="001C54A6"/>
    <w:rsid w:val="001C5CEB"/>
    <w:rsid w:val="001C5EFD"/>
    <w:rsid w:val="001C612D"/>
    <w:rsid w:val="001C68BD"/>
    <w:rsid w:val="001C68F5"/>
    <w:rsid w:val="001C6A57"/>
    <w:rsid w:val="001C7455"/>
    <w:rsid w:val="001C7C66"/>
    <w:rsid w:val="001D02C7"/>
    <w:rsid w:val="001D03C1"/>
    <w:rsid w:val="001D062D"/>
    <w:rsid w:val="001D08FE"/>
    <w:rsid w:val="001D0EC7"/>
    <w:rsid w:val="001D1175"/>
    <w:rsid w:val="001D130C"/>
    <w:rsid w:val="001D13B0"/>
    <w:rsid w:val="001D1553"/>
    <w:rsid w:val="001D1C7D"/>
    <w:rsid w:val="001D29E6"/>
    <w:rsid w:val="001D35C3"/>
    <w:rsid w:val="001D3B55"/>
    <w:rsid w:val="001D426F"/>
    <w:rsid w:val="001D4C48"/>
    <w:rsid w:val="001D4D29"/>
    <w:rsid w:val="001D539B"/>
    <w:rsid w:val="001D56FA"/>
    <w:rsid w:val="001D60BF"/>
    <w:rsid w:val="001D66BC"/>
    <w:rsid w:val="001D6EF2"/>
    <w:rsid w:val="001D6FDE"/>
    <w:rsid w:val="001D71AC"/>
    <w:rsid w:val="001D739A"/>
    <w:rsid w:val="001E092A"/>
    <w:rsid w:val="001E0F57"/>
    <w:rsid w:val="001E0FEB"/>
    <w:rsid w:val="001E110D"/>
    <w:rsid w:val="001E1C1A"/>
    <w:rsid w:val="001E209C"/>
    <w:rsid w:val="001E228C"/>
    <w:rsid w:val="001E2E2B"/>
    <w:rsid w:val="001E2E2C"/>
    <w:rsid w:val="001E433F"/>
    <w:rsid w:val="001E4934"/>
    <w:rsid w:val="001E4F47"/>
    <w:rsid w:val="001E508C"/>
    <w:rsid w:val="001E520E"/>
    <w:rsid w:val="001E5823"/>
    <w:rsid w:val="001E5A39"/>
    <w:rsid w:val="001E5FA0"/>
    <w:rsid w:val="001E6420"/>
    <w:rsid w:val="001E6972"/>
    <w:rsid w:val="001E78C3"/>
    <w:rsid w:val="001E79C3"/>
    <w:rsid w:val="001E79FB"/>
    <w:rsid w:val="001E7B59"/>
    <w:rsid w:val="001E7E7D"/>
    <w:rsid w:val="001F0815"/>
    <w:rsid w:val="001F107A"/>
    <w:rsid w:val="001F1265"/>
    <w:rsid w:val="001F15FD"/>
    <w:rsid w:val="001F18DD"/>
    <w:rsid w:val="001F1A7A"/>
    <w:rsid w:val="001F2372"/>
    <w:rsid w:val="001F2B5A"/>
    <w:rsid w:val="001F2FE0"/>
    <w:rsid w:val="001F4324"/>
    <w:rsid w:val="001F440E"/>
    <w:rsid w:val="001F44A9"/>
    <w:rsid w:val="001F4A7B"/>
    <w:rsid w:val="001F4C9C"/>
    <w:rsid w:val="001F4D02"/>
    <w:rsid w:val="001F55DB"/>
    <w:rsid w:val="001F594B"/>
    <w:rsid w:val="001F5BB6"/>
    <w:rsid w:val="001F6A35"/>
    <w:rsid w:val="001F6F23"/>
    <w:rsid w:val="001F7BD4"/>
    <w:rsid w:val="002003ED"/>
    <w:rsid w:val="002005A8"/>
    <w:rsid w:val="0020086E"/>
    <w:rsid w:val="002009A0"/>
    <w:rsid w:val="00200B06"/>
    <w:rsid w:val="00200CC5"/>
    <w:rsid w:val="00201597"/>
    <w:rsid w:val="00201764"/>
    <w:rsid w:val="0020357E"/>
    <w:rsid w:val="002037D1"/>
    <w:rsid w:val="00203909"/>
    <w:rsid w:val="00204573"/>
    <w:rsid w:val="0020466B"/>
    <w:rsid w:val="00204FE2"/>
    <w:rsid w:val="00205082"/>
    <w:rsid w:val="0020553E"/>
    <w:rsid w:val="00205BB8"/>
    <w:rsid w:val="00205FF9"/>
    <w:rsid w:val="0020647F"/>
    <w:rsid w:val="002065E9"/>
    <w:rsid w:val="002066C1"/>
    <w:rsid w:val="00206954"/>
    <w:rsid w:val="00206CFE"/>
    <w:rsid w:val="00206ECB"/>
    <w:rsid w:val="002074BB"/>
    <w:rsid w:val="0020774F"/>
    <w:rsid w:val="00207787"/>
    <w:rsid w:val="00210135"/>
    <w:rsid w:val="0021053E"/>
    <w:rsid w:val="00210AC1"/>
    <w:rsid w:val="00210D1F"/>
    <w:rsid w:val="00210DE9"/>
    <w:rsid w:val="0021121C"/>
    <w:rsid w:val="0021124A"/>
    <w:rsid w:val="0021128E"/>
    <w:rsid w:val="00211B87"/>
    <w:rsid w:val="00211B92"/>
    <w:rsid w:val="00211D4E"/>
    <w:rsid w:val="0021223F"/>
    <w:rsid w:val="002127D8"/>
    <w:rsid w:val="0021292D"/>
    <w:rsid w:val="00212A8E"/>
    <w:rsid w:val="00212D96"/>
    <w:rsid w:val="0021322B"/>
    <w:rsid w:val="00213487"/>
    <w:rsid w:val="0021356C"/>
    <w:rsid w:val="00213A12"/>
    <w:rsid w:val="00213D4D"/>
    <w:rsid w:val="00213DC8"/>
    <w:rsid w:val="0021416F"/>
    <w:rsid w:val="00214901"/>
    <w:rsid w:val="00214CD3"/>
    <w:rsid w:val="00214DF2"/>
    <w:rsid w:val="0021521A"/>
    <w:rsid w:val="002158DB"/>
    <w:rsid w:val="00215AB5"/>
    <w:rsid w:val="00215B34"/>
    <w:rsid w:val="00215E5A"/>
    <w:rsid w:val="00216050"/>
    <w:rsid w:val="002167CC"/>
    <w:rsid w:val="00216C24"/>
    <w:rsid w:val="00216F0A"/>
    <w:rsid w:val="00216F2F"/>
    <w:rsid w:val="00217221"/>
    <w:rsid w:val="002179DF"/>
    <w:rsid w:val="0022048D"/>
    <w:rsid w:val="00220FEA"/>
    <w:rsid w:val="00221EB7"/>
    <w:rsid w:val="00222023"/>
    <w:rsid w:val="002225C7"/>
    <w:rsid w:val="00222BCD"/>
    <w:rsid w:val="00223571"/>
    <w:rsid w:val="00223AEA"/>
    <w:rsid w:val="00223DDF"/>
    <w:rsid w:val="00223F9A"/>
    <w:rsid w:val="002243E3"/>
    <w:rsid w:val="00224A4F"/>
    <w:rsid w:val="00224C77"/>
    <w:rsid w:val="00225268"/>
    <w:rsid w:val="002256FD"/>
    <w:rsid w:val="00226148"/>
    <w:rsid w:val="0022694C"/>
    <w:rsid w:val="00226CF8"/>
    <w:rsid w:val="00226EF7"/>
    <w:rsid w:val="00227017"/>
    <w:rsid w:val="00227A1D"/>
    <w:rsid w:val="00227A5D"/>
    <w:rsid w:val="00227B32"/>
    <w:rsid w:val="00227C3A"/>
    <w:rsid w:val="00230146"/>
    <w:rsid w:val="00230442"/>
    <w:rsid w:val="002305DA"/>
    <w:rsid w:val="00230B7B"/>
    <w:rsid w:val="002313E9"/>
    <w:rsid w:val="002314A5"/>
    <w:rsid w:val="002315A3"/>
    <w:rsid w:val="00231900"/>
    <w:rsid w:val="00231908"/>
    <w:rsid w:val="00231A54"/>
    <w:rsid w:val="00231B26"/>
    <w:rsid w:val="00231B27"/>
    <w:rsid w:val="00231D1B"/>
    <w:rsid w:val="002320EA"/>
    <w:rsid w:val="00233058"/>
    <w:rsid w:val="00233303"/>
    <w:rsid w:val="002335A0"/>
    <w:rsid w:val="002338FD"/>
    <w:rsid w:val="00233A63"/>
    <w:rsid w:val="00233C9B"/>
    <w:rsid w:val="00233DD7"/>
    <w:rsid w:val="00233FB1"/>
    <w:rsid w:val="0023436D"/>
    <w:rsid w:val="00234648"/>
    <w:rsid w:val="002349D9"/>
    <w:rsid w:val="00234B35"/>
    <w:rsid w:val="00234D63"/>
    <w:rsid w:val="00235132"/>
    <w:rsid w:val="002353A3"/>
    <w:rsid w:val="00235666"/>
    <w:rsid w:val="00235D99"/>
    <w:rsid w:val="00235DE7"/>
    <w:rsid w:val="00236317"/>
    <w:rsid w:val="00236EBF"/>
    <w:rsid w:val="00237459"/>
    <w:rsid w:val="0023769A"/>
    <w:rsid w:val="002378C7"/>
    <w:rsid w:val="00240511"/>
    <w:rsid w:val="0024078F"/>
    <w:rsid w:val="002417E1"/>
    <w:rsid w:val="00241B0F"/>
    <w:rsid w:val="00242469"/>
    <w:rsid w:val="002424CA"/>
    <w:rsid w:val="0024268C"/>
    <w:rsid w:val="0024272A"/>
    <w:rsid w:val="0024286E"/>
    <w:rsid w:val="00242A97"/>
    <w:rsid w:val="00242B1C"/>
    <w:rsid w:val="00242CB1"/>
    <w:rsid w:val="00242CFC"/>
    <w:rsid w:val="00242EA0"/>
    <w:rsid w:val="00242F9B"/>
    <w:rsid w:val="00243CFC"/>
    <w:rsid w:val="00244731"/>
    <w:rsid w:val="00244D6A"/>
    <w:rsid w:val="00244DFB"/>
    <w:rsid w:val="00245523"/>
    <w:rsid w:val="00245557"/>
    <w:rsid w:val="00246061"/>
    <w:rsid w:val="002463CF"/>
    <w:rsid w:val="002464DB"/>
    <w:rsid w:val="0024683F"/>
    <w:rsid w:val="002468EB"/>
    <w:rsid w:val="00247208"/>
    <w:rsid w:val="002472A0"/>
    <w:rsid w:val="00247377"/>
    <w:rsid w:val="002475B8"/>
    <w:rsid w:val="002476F5"/>
    <w:rsid w:val="00247D2D"/>
    <w:rsid w:val="00247F00"/>
    <w:rsid w:val="002505ED"/>
    <w:rsid w:val="00251399"/>
    <w:rsid w:val="002519B0"/>
    <w:rsid w:val="0025276D"/>
    <w:rsid w:val="002539A4"/>
    <w:rsid w:val="002545B9"/>
    <w:rsid w:val="00254BE3"/>
    <w:rsid w:val="0025513A"/>
    <w:rsid w:val="002551B0"/>
    <w:rsid w:val="002555A9"/>
    <w:rsid w:val="00255633"/>
    <w:rsid w:val="00255B97"/>
    <w:rsid w:val="002560A1"/>
    <w:rsid w:val="00256476"/>
    <w:rsid w:val="00256DAD"/>
    <w:rsid w:val="00256E84"/>
    <w:rsid w:val="002573E6"/>
    <w:rsid w:val="00257512"/>
    <w:rsid w:val="002578DA"/>
    <w:rsid w:val="00257A82"/>
    <w:rsid w:val="002600AA"/>
    <w:rsid w:val="002606C2"/>
    <w:rsid w:val="002609FF"/>
    <w:rsid w:val="00260C24"/>
    <w:rsid w:val="00260DF4"/>
    <w:rsid w:val="00260E5A"/>
    <w:rsid w:val="00260E80"/>
    <w:rsid w:val="0026187F"/>
    <w:rsid w:val="002619D3"/>
    <w:rsid w:val="00262AB0"/>
    <w:rsid w:val="002634D0"/>
    <w:rsid w:val="00263E8F"/>
    <w:rsid w:val="00263EC2"/>
    <w:rsid w:val="00264223"/>
    <w:rsid w:val="002645AC"/>
    <w:rsid w:val="00264DBC"/>
    <w:rsid w:val="00266B1F"/>
    <w:rsid w:val="00267948"/>
    <w:rsid w:val="002702A4"/>
    <w:rsid w:val="002704F5"/>
    <w:rsid w:val="002709AD"/>
    <w:rsid w:val="00271352"/>
    <w:rsid w:val="00271893"/>
    <w:rsid w:val="00271B4F"/>
    <w:rsid w:val="00271EB2"/>
    <w:rsid w:val="00271F1A"/>
    <w:rsid w:val="00272297"/>
    <w:rsid w:val="002723B7"/>
    <w:rsid w:val="0027277E"/>
    <w:rsid w:val="00272C66"/>
    <w:rsid w:val="00272F3D"/>
    <w:rsid w:val="0027336F"/>
    <w:rsid w:val="002737CC"/>
    <w:rsid w:val="00273A7E"/>
    <w:rsid w:val="00273C64"/>
    <w:rsid w:val="002744F2"/>
    <w:rsid w:val="0027473A"/>
    <w:rsid w:val="00274E95"/>
    <w:rsid w:val="00274F1C"/>
    <w:rsid w:val="00275413"/>
    <w:rsid w:val="00275F4D"/>
    <w:rsid w:val="00275FF6"/>
    <w:rsid w:val="002769A5"/>
    <w:rsid w:val="00276CF0"/>
    <w:rsid w:val="00276F1B"/>
    <w:rsid w:val="0027712E"/>
    <w:rsid w:val="00277369"/>
    <w:rsid w:val="00277564"/>
    <w:rsid w:val="0027763D"/>
    <w:rsid w:val="00277CFE"/>
    <w:rsid w:val="0028086B"/>
    <w:rsid w:val="00280D2A"/>
    <w:rsid w:val="00281284"/>
    <w:rsid w:val="002827FF"/>
    <w:rsid w:val="0028289B"/>
    <w:rsid w:val="002829D5"/>
    <w:rsid w:val="00282AEE"/>
    <w:rsid w:val="00282C73"/>
    <w:rsid w:val="00282CAD"/>
    <w:rsid w:val="002832E2"/>
    <w:rsid w:val="0028334F"/>
    <w:rsid w:val="0028381B"/>
    <w:rsid w:val="00283D6E"/>
    <w:rsid w:val="00283DDB"/>
    <w:rsid w:val="00283E98"/>
    <w:rsid w:val="00284022"/>
    <w:rsid w:val="002851EE"/>
    <w:rsid w:val="002859B6"/>
    <w:rsid w:val="00285BC8"/>
    <w:rsid w:val="00285C3C"/>
    <w:rsid w:val="00286BAE"/>
    <w:rsid w:val="00286CA2"/>
    <w:rsid w:val="00286EC6"/>
    <w:rsid w:val="00286F62"/>
    <w:rsid w:val="0028775D"/>
    <w:rsid w:val="002877BE"/>
    <w:rsid w:val="00287F19"/>
    <w:rsid w:val="00290006"/>
    <w:rsid w:val="0029060E"/>
    <w:rsid w:val="00291B81"/>
    <w:rsid w:val="00291E01"/>
    <w:rsid w:val="002923FD"/>
    <w:rsid w:val="0029243F"/>
    <w:rsid w:val="00293932"/>
    <w:rsid w:val="00293975"/>
    <w:rsid w:val="00293C6C"/>
    <w:rsid w:val="00293F16"/>
    <w:rsid w:val="0029443A"/>
    <w:rsid w:val="00294FF8"/>
    <w:rsid w:val="0029504A"/>
    <w:rsid w:val="002952A5"/>
    <w:rsid w:val="0029587A"/>
    <w:rsid w:val="00295B05"/>
    <w:rsid w:val="00295B57"/>
    <w:rsid w:val="002960D9"/>
    <w:rsid w:val="00296D4B"/>
    <w:rsid w:val="002976CA"/>
    <w:rsid w:val="002978D6"/>
    <w:rsid w:val="002979AE"/>
    <w:rsid w:val="002A0200"/>
    <w:rsid w:val="002A07F0"/>
    <w:rsid w:val="002A089F"/>
    <w:rsid w:val="002A0DF0"/>
    <w:rsid w:val="002A12D9"/>
    <w:rsid w:val="002A150E"/>
    <w:rsid w:val="002A1981"/>
    <w:rsid w:val="002A1E4A"/>
    <w:rsid w:val="002A1E5B"/>
    <w:rsid w:val="002A1F81"/>
    <w:rsid w:val="002A2030"/>
    <w:rsid w:val="002A22A7"/>
    <w:rsid w:val="002A254C"/>
    <w:rsid w:val="002A2576"/>
    <w:rsid w:val="002A2630"/>
    <w:rsid w:val="002A26EB"/>
    <w:rsid w:val="002A2B0E"/>
    <w:rsid w:val="002A2DB2"/>
    <w:rsid w:val="002A2E3D"/>
    <w:rsid w:val="002A2E9D"/>
    <w:rsid w:val="002A3327"/>
    <w:rsid w:val="002A42FE"/>
    <w:rsid w:val="002A45F7"/>
    <w:rsid w:val="002A46E6"/>
    <w:rsid w:val="002A485D"/>
    <w:rsid w:val="002A6346"/>
    <w:rsid w:val="002A6461"/>
    <w:rsid w:val="002A69C1"/>
    <w:rsid w:val="002A6B44"/>
    <w:rsid w:val="002A7870"/>
    <w:rsid w:val="002B02E2"/>
    <w:rsid w:val="002B0303"/>
    <w:rsid w:val="002B03DB"/>
    <w:rsid w:val="002B047E"/>
    <w:rsid w:val="002B1957"/>
    <w:rsid w:val="002B1A99"/>
    <w:rsid w:val="002B1DBE"/>
    <w:rsid w:val="002B1FC0"/>
    <w:rsid w:val="002B20B5"/>
    <w:rsid w:val="002B25D0"/>
    <w:rsid w:val="002B25F4"/>
    <w:rsid w:val="002B2664"/>
    <w:rsid w:val="002B29AF"/>
    <w:rsid w:val="002B4116"/>
    <w:rsid w:val="002B428A"/>
    <w:rsid w:val="002B48D3"/>
    <w:rsid w:val="002B51FE"/>
    <w:rsid w:val="002B52B3"/>
    <w:rsid w:val="002B54D0"/>
    <w:rsid w:val="002B579A"/>
    <w:rsid w:val="002B611D"/>
    <w:rsid w:val="002B6122"/>
    <w:rsid w:val="002B670F"/>
    <w:rsid w:val="002B67E4"/>
    <w:rsid w:val="002B680B"/>
    <w:rsid w:val="002B693C"/>
    <w:rsid w:val="002B69C2"/>
    <w:rsid w:val="002B6D25"/>
    <w:rsid w:val="002B723E"/>
    <w:rsid w:val="002B7D49"/>
    <w:rsid w:val="002B7FDE"/>
    <w:rsid w:val="002C0402"/>
    <w:rsid w:val="002C04D8"/>
    <w:rsid w:val="002C0991"/>
    <w:rsid w:val="002C0FC8"/>
    <w:rsid w:val="002C0FCA"/>
    <w:rsid w:val="002C1468"/>
    <w:rsid w:val="002C1517"/>
    <w:rsid w:val="002C15F1"/>
    <w:rsid w:val="002C230D"/>
    <w:rsid w:val="002C240A"/>
    <w:rsid w:val="002C274D"/>
    <w:rsid w:val="002C2E54"/>
    <w:rsid w:val="002C30E8"/>
    <w:rsid w:val="002C3822"/>
    <w:rsid w:val="002C4015"/>
    <w:rsid w:val="002C4123"/>
    <w:rsid w:val="002C41BA"/>
    <w:rsid w:val="002C485E"/>
    <w:rsid w:val="002C4C85"/>
    <w:rsid w:val="002C4D5B"/>
    <w:rsid w:val="002C4EFE"/>
    <w:rsid w:val="002C5011"/>
    <w:rsid w:val="002C58EA"/>
    <w:rsid w:val="002C5EF7"/>
    <w:rsid w:val="002C657C"/>
    <w:rsid w:val="002C6804"/>
    <w:rsid w:val="002C6A42"/>
    <w:rsid w:val="002C6CB1"/>
    <w:rsid w:val="002C6E4B"/>
    <w:rsid w:val="002C711D"/>
    <w:rsid w:val="002C781D"/>
    <w:rsid w:val="002C7AF5"/>
    <w:rsid w:val="002C7C7A"/>
    <w:rsid w:val="002C7F85"/>
    <w:rsid w:val="002D00A6"/>
    <w:rsid w:val="002D0355"/>
    <w:rsid w:val="002D0B53"/>
    <w:rsid w:val="002D0C82"/>
    <w:rsid w:val="002D0D13"/>
    <w:rsid w:val="002D1644"/>
    <w:rsid w:val="002D17C7"/>
    <w:rsid w:val="002D1A3A"/>
    <w:rsid w:val="002D1B79"/>
    <w:rsid w:val="002D1C73"/>
    <w:rsid w:val="002D1E79"/>
    <w:rsid w:val="002D1FB0"/>
    <w:rsid w:val="002D2AE9"/>
    <w:rsid w:val="002D2D2D"/>
    <w:rsid w:val="002D3176"/>
    <w:rsid w:val="002D3556"/>
    <w:rsid w:val="002D369E"/>
    <w:rsid w:val="002D391E"/>
    <w:rsid w:val="002D3B3A"/>
    <w:rsid w:val="002D3D9E"/>
    <w:rsid w:val="002D41BD"/>
    <w:rsid w:val="002D429C"/>
    <w:rsid w:val="002D4420"/>
    <w:rsid w:val="002D4851"/>
    <w:rsid w:val="002D4CD0"/>
    <w:rsid w:val="002D5270"/>
    <w:rsid w:val="002D590E"/>
    <w:rsid w:val="002D5C8C"/>
    <w:rsid w:val="002D5EE1"/>
    <w:rsid w:val="002D663F"/>
    <w:rsid w:val="002D6CA9"/>
    <w:rsid w:val="002D71D9"/>
    <w:rsid w:val="002D763B"/>
    <w:rsid w:val="002D7826"/>
    <w:rsid w:val="002D7A2B"/>
    <w:rsid w:val="002D7D93"/>
    <w:rsid w:val="002E094E"/>
    <w:rsid w:val="002E0A99"/>
    <w:rsid w:val="002E12F4"/>
    <w:rsid w:val="002E1E3C"/>
    <w:rsid w:val="002E1ECE"/>
    <w:rsid w:val="002E24E6"/>
    <w:rsid w:val="002E277A"/>
    <w:rsid w:val="002E372E"/>
    <w:rsid w:val="002E380F"/>
    <w:rsid w:val="002E4717"/>
    <w:rsid w:val="002E4AB6"/>
    <w:rsid w:val="002E4D74"/>
    <w:rsid w:val="002E4E2F"/>
    <w:rsid w:val="002E4FA3"/>
    <w:rsid w:val="002E546A"/>
    <w:rsid w:val="002E5B73"/>
    <w:rsid w:val="002E5B96"/>
    <w:rsid w:val="002E6183"/>
    <w:rsid w:val="002E6787"/>
    <w:rsid w:val="002E7398"/>
    <w:rsid w:val="002E78EE"/>
    <w:rsid w:val="002E7CE7"/>
    <w:rsid w:val="002F0405"/>
    <w:rsid w:val="002F0BEE"/>
    <w:rsid w:val="002F0BFC"/>
    <w:rsid w:val="002F0D95"/>
    <w:rsid w:val="002F1114"/>
    <w:rsid w:val="002F113F"/>
    <w:rsid w:val="002F15DA"/>
    <w:rsid w:val="002F16B3"/>
    <w:rsid w:val="002F19C9"/>
    <w:rsid w:val="002F1F7E"/>
    <w:rsid w:val="002F227D"/>
    <w:rsid w:val="002F2398"/>
    <w:rsid w:val="002F28BD"/>
    <w:rsid w:val="002F3199"/>
    <w:rsid w:val="002F3874"/>
    <w:rsid w:val="002F3C8E"/>
    <w:rsid w:val="002F448B"/>
    <w:rsid w:val="002F462F"/>
    <w:rsid w:val="002F4769"/>
    <w:rsid w:val="002F49D9"/>
    <w:rsid w:val="002F540D"/>
    <w:rsid w:val="002F69DF"/>
    <w:rsid w:val="002F6D17"/>
    <w:rsid w:val="002F7188"/>
    <w:rsid w:val="002F74AF"/>
    <w:rsid w:val="002F7592"/>
    <w:rsid w:val="002F76F4"/>
    <w:rsid w:val="003002C0"/>
    <w:rsid w:val="00300894"/>
    <w:rsid w:val="00300CAD"/>
    <w:rsid w:val="003012AA"/>
    <w:rsid w:val="0030190C"/>
    <w:rsid w:val="003027AE"/>
    <w:rsid w:val="003028A2"/>
    <w:rsid w:val="003036A6"/>
    <w:rsid w:val="00303BC9"/>
    <w:rsid w:val="0030471A"/>
    <w:rsid w:val="00304A65"/>
    <w:rsid w:val="00304BD4"/>
    <w:rsid w:val="00304C28"/>
    <w:rsid w:val="00304D91"/>
    <w:rsid w:val="003056C2"/>
    <w:rsid w:val="00305C4E"/>
    <w:rsid w:val="00305D46"/>
    <w:rsid w:val="00305E49"/>
    <w:rsid w:val="003067C8"/>
    <w:rsid w:val="00306A93"/>
    <w:rsid w:val="00307075"/>
    <w:rsid w:val="003072DE"/>
    <w:rsid w:val="00307356"/>
    <w:rsid w:val="0030777B"/>
    <w:rsid w:val="003078ED"/>
    <w:rsid w:val="003102A1"/>
    <w:rsid w:val="0031043E"/>
    <w:rsid w:val="00310BE0"/>
    <w:rsid w:val="003111EF"/>
    <w:rsid w:val="00311876"/>
    <w:rsid w:val="00311E44"/>
    <w:rsid w:val="0031210F"/>
    <w:rsid w:val="003121FC"/>
    <w:rsid w:val="00312554"/>
    <w:rsid w:val="003125E4"/>
    <w:rsid w:val="00312A52"/>
    <w:rsid w:val="0031308C"/>
    <w:rsid w:val="00313158"/>
    <w:rsid w:val="003137E4"/>
    <w:rsid w:val="003138AF"/>
    <w:rsid w:val="00313A07"/>
    <w:rsid w:val="00313A81"/>
    <w:rsid w:val="00313B80"/>
    <w:rsid w:val="00313E12"/>
    <w:rsid w:val="00313F54"/>
    <w:rsid w:val="00314285"/>
    <w:rsid w:val="00314365"/>
    <w:rsid w:val="003143EC"/>
    <w:rsid w:val="003148ED"/>
    <w:rsid w:val="0031496E"/>
    <w:rsid w:val="00314B2B"/>
    <w:rsid w:val="00314C13"/>
    <w:rsid w:val="00315610"/>
    <w:rsid w:val="00315BED"/>
    <w:rsid w:val="00315E5E"/>
    <w:rsid w:val="00315ED9"/>
    <w:rsid w:val="00316094"/>
    <w:rsid w:val="003161A5"/>
    <w:rsid w:val="003162AB"/>
    <w:rsid w:val="0031636F"/>
    <w:rsid w:val="003175F4"/>
    <w:rsid w:val="00317DC6"/>
    <w:rsid w:val="00320271"/>
    <w:rsid w:val="00320617"/>
    <w:rsid w:val="003207AB"/>
    <w:rsid w:val="00320A80"/>
    <w:rsid w:val="00320B68"/>
    <w:rsid w:val="00320C10"/>
    <w:rsid w:val="00320E08"/>
    <w:rsid w:val="0032142C"/>
    <w:rsid w:val="003218E2"/>
    <w:rsid w:val="00322476"/>
    <w:rsid w:val="003229C3"/>
    <w:rsid w:val="00322C62"/>
    <w:rsid w:val="00322EC9"/>
    <w:rsid w:val="00322F7C"/>
    <w:rsid w:val="003233BE"/>
    <w:rsid w:val="0032354E"/>
    <w:rsid w:val="00323834"/>
    <w:rsid w:val="00324273"/>
    <w:rsid w:val="0032451A"/>
    <w:rsid w:val="00324721"/>
    <w:rsid w:val="00325234"/>
    <w:rsid w:val="00325448"/>
    <w:rsid w:val="00325554"/>
    <w:rsid w:val="00325937"/>
    <w:rsid w:val="00325C5F"/>
    <w:rsid w:val="00325D85"/>
    <w:rsid w:val="003268BA"/>
    <w:rsid w:val="00326907"/>
    <w:rsid w:val="00326A44"/>
    <w:rsid w:val="00326D84"/>
    <w:rsid w:val="00327A16"/>
    <w:rsid w:val="0033052C"/>
    <w:rsid w:val="0033054A"/>
    <w:rsid w:val="00330C24"/>
    <w:rsid w:val="00330C5F"/>
    <w:rsid w:val="003320BD"/>
    <w:rsid w:val="00332236"/>
    <w:rsid w:val="003326FD"/>
    <w:rsid w:val="00332CAD"/>
    <w:rsid w:val="00332D57"/>
    <w:rsid w:val="003332D0"/>
    <w:rsid w:val="00333A0F"/>
    <w:rsid w:val="00333E1C"/>
    <w:rsid w:val="00333FAF"/>
    <w:rsid w:val="003344AB"/>
    <w:rsid w:val="003345CD"/>
    <w:rsid w:val="0033469D"/>
    <w:rsid w:val="003349A6"/>
    <w:rsid w:val="00334F3D"/>
    <w:rsid w:val="003353AC"/>
    <w:rsid w:val="00335548"/>
    <w:rsid w:val="00335C23"/>
    <w:rsid w:val="00335D72"/>
    <w:rsid w:val="00335EFD"/>
    <w:rsid w:val="003361FB"/>
    <w:rsid w:val="00337327"/>
    <w:rsid w:val="00337584"/>
    <w:rsid w:val="003376E3"/>
    <w:rsid w:val="00337CCF"/>
    <w:rsid w:val="00337EF7"/>
    <w:rsid w:val="00340105"/>
    <w:rsid w:val="0034020E"/>
    <w:rsid w:val="003402E4"/>
    <w:rsid w:val="00340416"/>
    <w:rsid w:val="003407F8"/>
    <w:rsid w:val="003410DB"/>
    <w:rsid w:val="00341C6A"/>
    <w:rsid w:val="00341D1A"/>
    <w:rsid w:val="00341E53"/>
    <w:rsid w:val="003429A7"/>
    <w:rsid w:val="003431BB"/>
    <w:rsid w:val="00343222"/>
    <w:rsid w:val="00343896"/>
    <w:rsid w:val="003438DB"/>
    <w:rsid w:val="00343A7E"/>
    <w:rsid w:val="00343CBC"/>
    <w:rsid w:val="00344091"/>
    <w:rsid w:val="003442C1"/>
    <w:rsid w:val="00345119"/>
    <w:rsid w:val="00345514"/>
    <w:rsid w:val="0034582D"/>
    <w:rsid w:val="00345896"/>
    <w:rsid w:val="00346233"/>
    <w:rsid w:val="003469A0"/>
    <w:rsid w:val="00347308"/>
    <w:rsid w:val="0034731D"/>
    <w:rsid w:val="003502C3"/>
    <w:rsid w:val="0035059E"/>
    <w:rsid w:val="0035060E"/>
    <w:rsid w:val="00350F09"/>
    <w:rsid w:val="0035104A"/>
    <w:rsid w:val="003511AA"/>
    <w:rsid w:val="003514A9"/>
    <w:rsid w:val="003514CB"/>
    <w:rsid w:val="00351963"/>
    <w:rsid w:val="00351A09"/>
    <w:rsid w:val="00351B29"/>
    <w:rsid w:val="00351CD8"/>
    <w:rsid w:val="003528FE"/>
    <w:rsid w:val="00352DB5"/>
    <w:rsid w:val="00353320"/>
    <w:rsid w:val="00353E80"/>
    <w:rsid w:val="00353ED8"/>
    <w:rsid w:val="00353F39"/>
    <w:rsid w:val="00354028"/>
    <w:rsid w:val="003540C2"/>
    <w:rsid w:val="00354BB3"/>
    <w:rsid w:val="00354C63"/>
    <w:rsid w:val="0035568A"/>
    <w:rsid w:val="0035568E"/>
    <w:rsid w:val="00355B0B"/>
    <w:rsid w:val="00356071"/>
    <w:rsid w:val="00356523"/>
    <w:rsid w:val="00357085"/>
    <w:rsid w:val="003577F5"/>
    <w:rsid w:val="00360B3F"/>
    <w:rsid w:val="00361329"/>
    <w:rsid w:val="00361ADC"/>
    <w:rsid w:val="00361B89"/>
    <w:rsid w:val="00362162"/>
    <w:rsid w:val="00362C29"/>
    <w:rsid w:val="00363784"/>
    <w:rsid w:val="00363D23"/>
    <w:rsid w:val="00363E7C"/>
    <w:rsid w:val="00364232"/>
    <w:rsid w:val="0036457C"/>
    <w:rsid w:val="003648A0"/>
    <w:rsid w:val="003651C1"/>
    <w:rsid w:val="00365F43"/>
    <w:rsid w:val="00366B57"/>
    <w:rsid w:val="00370B29"/>
    <w:rsid w:val="003714DA"/>
    <w:rsid w:val="00371DA5"/>
    <w:rsid w:val="00372065"/>
    <w:rsid w:val="0037206B"/>
    <w:rsid w:val="00372361"/>
    <w:rsid w:val="003726F0"/>
    <w:rsid w:val="00372929"/>
    <w:rsid w:val="00372950"/>
    <w:rsid w:val="00372BE5"/>
    <w:rsid w:val="00372C81"/>
    <w:rsid w:val="00373031"/>
    <w:rsid w:val="003730F8"/>
    <w:rsid w:val="00373844"/>
    <w:rsid w:val="00374035"/>
    <w:rsid w:val="0037425C"/>
    <w:rsid w:val="00374390"/>
    <w:rsid w:val="00374B90"/>
    <w:rsid w:val="00374D4D"/>
    <w:rsid w:val="003751EC"/>
    <w:rsid w:val="0037536A"/>
    <w:rsid w:val="00375370"/>
    <w:rsid w:val="0037540F"/>
    <w:rsid w:val="00375801"/>
    <w:rsid w:val="003759C2"/>
    <w:rsid w:val="00375C77"/>
    <w:rsid w:val="00375CEA"/>
    <w:rsid w:val="0037654F"/>
    <w:rsid w:val="00377034"/>
    <w:rsid w:val="003771CE"/>
    <w:rsid w:val="003778AF"/>
    <w:rsid w:val="003808F8"/>
    <w:rsid w:val="00380E66"/>
    <w:rsid w:val="003810BF"/>
    <w:rsid w:val="003818DA"/>
    <w:rsid w:val="00381AC4"/>
    <w:rsid w:val="003821F6"/>
    <w:rsid w:val="00382367"/>
    <w:rsid w:val="003823E4"/>
    <w:rsid w:val="0038245A"/>
    <w:rsid w:val="0038298D"/>
    <w:rsid w:val="0038300D"/>
    <w:rsid w:val="00383715"/>
    <w:rsid w:val="003837E1"/>
    <w:rsid w:val="00383CE7"/>
    <w:rsid w:val="003843A7"/>
    <w:rsid w:val="00384A8F"/>
    <w:rsid w:val="00384C4C"/>
    <w:rsid w:val="00384D18"/>
    <w:rsid w:val="00384FD7"/>
    <w:rsid w:val="003850B1"/>
    <w:rsid w:val="00385BBB"/>
    <w:rsid w:val="00385D81"/>
    <w:rsid w:val="003866B5"/>
    <w:rsid w:val="00386939"/>
    <w:rsid w:val="00386C95"/>
    <w:rsid w:val="003878BC"/>
    <w:rsid w:val="003879CC"/>
    <w:rsid w:val="00390585"/>
    <w:rsid w:val="00390985"/>
    <w:rsid w:val="00390FCE"/>
    <w:rsid w:val="003910FD"/>
    <w:rsid w:val="003914AD"/>
    <w:rsid w:val="003915CA"/>
    <w:rsid w:val="00391876"/>
    <w:rsid w:val="00391AB4"/>
    <w:rsid w:val="00391AD1"/>
    <w:rsid w:val="00391EDC"/>
    <w:rsid w:val="0039275E"/>
    <w:rsid w:val="003927BC"/>
    <w:rsid w:val="003935CD"/>
    <w:rsid w:val="00393E97"/>
    <w:rsid w:val="003941B5"/>
    <w:rsid w:val="003943B7"/>
    <w:rsid w:val="003944EF"/>
    <w:rsid w:val="003945A2"/>
    <w:rsid w:val="00394DE5"/>
    <w:rsid w:val="0039578A"/>
    <w:rsid w:val="00395890"/>
    <w:rsid w:val="00395DC4"/>
    <w:rsid w:val="00396380"/>
    <w:rsid w:val="0039653E"/>
    <w:rsid w:val="003966BD"/>
    <w:rsid w:val="00397222"/>
    <w:rsid w:val="0039752D"/>
    <w:rsid w:val="00397C5F"/>
    <w:rsid w:val="003A0270"/>
    <w:rsid w:val="003A046F"/>
    <w:rsid w:val="003A17B6"/>
    <w:rsid w:val="003A1A9C"/>
    <w:rsid w:val="003A21E3"/>
    <w:rsid w:val="003A26AD"/>
    <w:rsid w:val="003A26FF"/>
    <w:rsid w:val="003A2711"/>
    <w:rsid w:val="003A281A"/>
    <w:rsid w:val="003A2D1F"/>
    <w:rsid w:val="003A3370"/>
    <w:rsid w:val="003A3510"/>
    <w:rsid w:val="003A42F0"/>
    <w:rsid w:val="003A43DE"/>
    <w:rsid w:val="003A52D2"/>
    <w:rsid w:val="003A5622"/>
    <w:rsid w:val="003A585C"/>
    <w:rsid w:val="003A78EC"/>
    <w:rsid w:val="003A7EAD"/>
    <w:rsid w:val="003B058A"/>
    <w:rsid w:val="003B0CD2"/>
    <w:rsid w:val="003B1642"/>
    <w:rsid w:val="003B18A6"/>
    <w:rsid w:val="003B1CC8"/>
    <w:rsid w:val="003B2657"/>
    <w:rsid w:val="003B2717"/>
    <w:rsid w:val="003B2800"/>
    <w:rsid w:val="003B2AB2"/>
    <w:rsid w:val="003B2BF9"/>
    <w:rsid w:val="003B2C0E"/>
    <w:rsid w:val="003B357C"/>
    <w:rsid w:val="003B35EF"/>
    <w:rsid w:val="003B42F0"/>
    <w:rsid w:val="003B499A"/>
    <w:rsid w:val="003B5306"/>
    <w:rsid w:val="003B560D"/>
    <w:rsid w:val="003B573C"/>
    <w:rsid w:val="003B5E83"/>
    <w:rsid w:val="003B5EE6"/>
    <w:rsid w:val="003B604F"/>
    <w:rsid w:val="003B71A6"/>
    <w:rsid w:val="003B7502"/>
    <w:rsid w:val="003B7654"/>
    <w:rsid w:val="003B7718"/>
    <w:rsid w:val="003B7805"/>
    <w:rsid w:val="003C035A"/>
    <w:rsid w:val="003C09B7"/>
    <w:rsid w:val="003C0AC9"/>
    <w:rsid w:val="003C0E17"/>
    <w:rsid w:val="003C1698"/>
    <w:rsid w:val="003C1C0F"/>
    <w:rsid w:val="003C204D"/>
    <w:rsid w:val="003C24E1"/>
    <w:rsid w:val="003C2BC7"/>
    <w:rsid w:val="003C2BD4"/>
    <w:rsid w:val="003C2DC8"/>
    <w:rsid w:val="003C2E52"/>
    <w:rsid w:val="003C3D69"/>
    <w:rsid w:val="003C49A2"/>
    <w:rsid w:val="003C4A32"/>
    <w:rsid w:val="003C4E24"/>
    <w:rsid w:val="003C5582"/>
    <w:rsid w:val="003C5CFA"/>
    <w:rsid w:val="003C5DB7"/>
    <w:rsid w:val="003C5E2A"/>
    <w:rsid w:val="003C624A"/>
    <w:rsid w:val="003C63EF"/>
    <w:rsid w:val="003C68D9"/>
    <w:rsid w:val="003C740C"/>
    <w:rsid w:val="003C74CF"/>
    <w:rsid w:val="003C7830"/>
    <w:rsid w:val="003C7AC0"/>
    <w:rsid w:val="003C7CDA"/>
    <w:rsid w:val="003C7D55"/>
    <w:rsid w:val="003D0269"/>
    <w:rsid w:val="003D02BC"/>
    <w:rsid w:val="003D0577"/>
    <w:rsid w:val="003D0616"/>
    <w:rsid w:val="003D0B15"/>
    <w:rsid w:val="003D28CB"/>
    <w:rsid w:val="003D2E77"/>
    <w:rsid w:val="003D2F47"/>
    <w:rsid w:val="003D2FF9"/>
    <w:rsid w:val="003D3467"/>
    <w:rsid w:val="003D3CB9"/>
    <w:rsid w:val="003D460A"/>
    <w:rsid w:val="003D4BE0"/>
    <w:rsid w:val="003D529B"/>
    <w:rsid w:val="003D5878"/>
    <w:rsid w:val="003D5920"/>
    <w:rsid w:val="003D5CBB"/>
    <w:rsid w:val="003D5FEE"/>
    <w:rsid w:val="003D6797"/>
    <w:rsid w:val="003D6C41"/>
    <w:rsid w:val="003D6E7E"/>
    <w:rsid w:val="003D6FB0"/>
    <w:rsid w:val="003D707E"/>
    <w:rsid w:val="003D70E0"/>
    <w:rsid w:val="003D7147"/>
    <w:rsid w:val="003D71D7"/>
    <w:rsid w:val="003E07F2"/>
    <w:rsid w:val="003E1547"/>
    <w:rsid w:val="003E16E8"/>
    <w:rsid w:val="003E17E7"/>
    <w:rsid w:val="003E1BB6"/>
    <w:rsid w:val="003E1CAF"/>
    <w:rsid w:val="003E1F38"/>
    <w:rsid w:val="003E2AB7"/>
    <w:rsid w:val="003E2BA9"/>
    <w:rsid w:val="003E30CE"/>
    <w:rsid w:val="003E4350"/>
    <w:rsid w:val="003E46F2"/>
    <w:rsid w:val="003E4C5F"/>
    <w:rsid w:val="003E4FBE"/>
    <w:rsid w:val="003E512C"/>
    <w:rsid w:val="003E568E"/>
    <w:rsid w:val="003E582F"/>
    <w:rsid w:val="003E66BC"/>
    <w:rsid w:val="003E71A1"/>
    <w:rsid w:val="003E71BD"/>
    <w:rsid w:val="003E775D"/>
    <w:rsid w:val="003E7B95"/>
    <w:rsid w:val="003E7F14"/>
    <w:rsid w:val="003F0085"/>
    <w:rsid w:val="003F0BC5"/>
    <w:rsid w:val="003F157A"/>
    <w:rsid w:val="003F1CF9"/>
    <w:rsid w:val="003F2B1E"/>
    <w:rsid w:val="003F2BD5"/>
    <w:rsid w:val="003F2D3A"/>
    <w:rsid w:val="003F2E22"/>
    <w:rsid w:val="003F39AF"/>
    <w:rsid w:val="003F4996"/>
    <w:rsid w:val="003F4C19"/>
    <w:rsid w:val="003F4D58"/>
    <w:rsid w:val="003F52EB"/>
    <w:rsid w:val="003F5401"/>
    <w:rsid w:val="003F5452"/>
    <w:rsid w:val="003F5799"/>
    <w:rsid w:val="003F58D3"/>
    <w:rsid w:val="003F5F01"/>
    <w:rsid w:val="003F5F86"/>
    <w:rsid w:val="003F60E3"/>
    <w:rsid w:val="003F64D2"/>
    <w:rsid w:val="003F674C"/>
    <w:rsid w:val="003F6778"/>
    <w:rsid w:val="003F6D74"/>
    <w:rsid w:val="003F759A"/>
    <w:rsid w:val="003F7A99"/>
    <w:rsid w:val="00400BE7"/>
    <w:rsid w:val="00400D20"/>
    <w:rsid w:val="004016AF"/>
    <w:rsid w:val="00401E8E"/>
    <w:rsid w:val="00401F10"/>
    <w:rsid w:val="00402310"/>
    <w:rsid w:val="004025D7"/>
    <w:rsid w:val="00403626"/>
    <w:rsid w:val="004039C4"/>
    <w:rsid w:val="00403A45"/>
    <w:rsid w:val="00404042"/>
    <w:rsid w:val="004046AF"/>
    <w:rsid w:val="0040488F"/>
    <w:rsid w:val="00405949"/>
    <w:rsid w:val="00406926"/>
    <w:rsid w:val="00406E7E"/>
    <w:rsid w:val="00407002"/>
    <w:rsid w:val="00407C25"/>
    <w:rsid w:val="00407C42"/>
    <w:rsid w:val="00407FCA"/>
    <w:rsid w:val="0041010F"/>
    <w:rsid w:val="00410739"/>
    <w:rsid w:val="00410C98"/>
    <w:rsid w:val="0041110A"/>
    <w:rsid w:val="004114C1"/>
    <w:rsid w:val="00411688"/>
    <w:rsid w:val="0041198C"/>
    <w:rsid w:val="00411E88"/>
    <w:rsid w:val="004126A1"/>
    <w:rsid w:val="00412807"/>
    <w:rsid w:val="00413AFB"/>
    <w:rsid w:val="00413E34"/>
    <w:rsid w:val="004142AD"/>
    <w:rsid w:val="00414378"/>
    <w:rsid w:val="00414414"/>
    <w:rsid w:val="00414629"/>
    <w:rsid w:val="00414D70"/>
    <w:rsid w:val="00415187"/>
    <w:rsid w:val="004156C4"/>
    <w:rsid w:val="00415CE8"/>
    <w:rsid w:val="00416557"/>
    <w:rsid w:val="00416947"/>
    <w:rsid w:val="00416AFD"/>
    <w:rsid w:val="00416DBF"/>
    <w:rsid w:val="004172F3"/>
    <w:rsid w:val="00417D64"/>
    <w:rsid w:val="00420214"/>
    <w:rsid w:val="00420A9B"/>
    <w:rsid w:val="00420C3D"/>
    <w:rsid w:val="00420C45"/>
    <w:rsid w:val="00421478"/>
    <w:rsid w:val="00421964"/>
    <w:rsid w:val="00421BC5"/>
    <w:rsid w:val="00421D4F"/>
    <w:rsid w:val="0042219E"/>
    <w:rsid w:val="00422D80"/>
    <w:rsid w:val="00423815"/>
    <w:rsid w:val="00423FE5"/>
    <w:rsid w:val="004240BD"/>
    <w:rsid w:val="004241F5"/>
    <w:rsid w:val="00424577"/>
    <w:rsid w:val="00424C96"/>
    <w:rsid w:val="004250E1"/>
    <w:rsid w:val="0042521D"/>
    <w:rsid w:val="00425428"/>
    <w:rsid w:val="0042572E"/>
    <w:rsid w:val="004266C0"/>
    <w:rsid w:val="00426886"/>
    <w:rsid w:val="00426889"/>
    <w:rsid w:val="00426D1A"/>
    <w:rsid w:val="00426E29"/>
    <w:rsid w:val="004272A3"/>
    <w:rsid w:val="00427393"/>
    <w:rsid w:val="004276C2"/>
    <w:rsid w:val="00427732"/>
    <w:rsid w:val="0043052C"/>
    <w:rsid w:val="00430618"/>
    <w:rsid w:val="00430750"/>
    <w:rsid w:val="004311B1"/>
    <w:rsid w:val="004313E8"/>
    <w:rsid w:val="004314E8"/>
    <w:rsid w:val="00431630"/>
    <w:rsid w:val="00431E7B"/>
    <w:rsid w:val="00433801"/>
    <w:rsid w:val="00433854"/>
    <w:rsid w:val="00433AC5"/>
    <w:rsid w:val="004340A2"/>
    <w:rsid w:val="004343F3"/>
    <w:rsid w:val="004349B7"/>
    <w:rsid w:val="004349FE"/>
    <w:rsid w:val="00434C68"/>
    <w:rsid w:val="00434D03"/>
    <w:rsid w:val="00435582"/>
    <w:rsid w:val="00435B70"/>
    <w:rsid w:val="0043642E"/>
    <w:rsid w:val="00436469"/>
    <w:rsid w:val="00436ED2"/>
    <w:rsid w:val="00436FCF"/>
    <w:rsid w:val="004375C1"/>
    <w:rsid w:val="004405F8"/>
    <w:rsid w:val="00440ACD"/>
    <w:rsid w:val="00440E5A"/>
    <w:rsid w:val="00441048"/>
    <w:rsid w:val="00441A24"/>
    <w:rsid w:val="00441E8B"/>
    <w:rsid w:val="004427AF"/>
    <w:rsid w:val="00442AF9"/>
    <w:rsid w:val="00442B6F"/>
    <w:rsid w:val="00442C57"/>
    <w:rsid w:val="00443280"/>
    <w:rsid w:val="004432DB"/>
    <w:rsid w:val="00443D1C"/>
    <w:rsid w:val="00444242"/>
    <w:rsid w:val="00444377"/>
    <w:rsid w:val="004445E6"/>
    <w:rsid w:val="00444769"/>
    <w:rsid w:val="00444B6A"/>
    <w:rsid w:val="00444C24"/>
    <w:rsid w:val="00445DB0"/>
    <w:rsid w:val="00446030"/>
    <w:rsid w:val="00446654"/>
    <w:rsid w:val="00447125"/>
    <w:rsid w:val="004473A7"/>
    <w:rsid w:val="004476EF"/>
    <w:rsid w:val="004478A5"/>
    <w:rsid w:val="004502C2"/>
    <w:rsid w:val="004503C9"/>
    <w:rsid w:val="00450427"/>
    <w:rsid w:val="004508A9"/>
    <w:rsid w:val="004510E9"/>
    <w:rsid w:val="00451376"/>
    <w:rsid w:val="00451DAC"/>
    <w:rsid w:val="004520B5"/>
    <w:rsid w:val="00452365"/>
    <w:rsid w:val="004526C0"/>
    <w:rsid w:val="004526D8"/>
    <w:rsid w:val="004527A1"/>
    <w:rsid w:val="004528E0"/>
    <w:rsid w:val="004535FE"/>
    <w:rsid w:val="00453900"/>
    <w:rsid w:val="0045435E"/>
    <w:rsid w:val="00454513"/>
    <w:rsid w:val="00454719"/>
    <w:rsid w:val="00454BC6"/>
    <w:rsid w:val="00454D48"/>
    <w:rsid w:val="00454F1A"/>
    <w:rsid w:val="0045508A"/>
    <w:rsid w:val="004558B6"/>
    <w:rsid w:val="00455ACE"/>
    <w:rsid w:val="00456CCD"/>
    <w:rsid w:val="00456CD2"/>
    <w:rsid w:val="00456F21"/>
    <w:rsid w:val="004570C2"/>
    <w:rsid w:val="004573E8"/>
    <w:rsid w:val="004601AD"/>
    <w:rsid w:val="004602A4"/>
    <w:rsid w:val="0046068C"/>
    <w:rsid w:val="00460F12"/>
    <w:rsid w:val="00460FAE"/>
    <w:rsid w:val="00460FBB"/>
    <w:rsid w:val="00461401"/>
    <w:rsid w:val="00461603"/>
    <w:rsid w:val="004617B4"/>
    <w:rsid w:val="00461A6A"/>
    <w:rsid w:val="00461D3C"/>
    <w:rsid w:val="00461F75"/>
    <w:rsid w:val="00463209"/>
    <w:rsid w:val="0046339D"/>
    <w:rsid w:val="00463558"/>
    <w:rsid w:val="00463F65"/>
    <w:rsid w:val="004645C0"/>
    <w:rsid w:val="0046488D"/>
    <w:rsid w:val="00464C45"/>
    <w:rsid w:val="00464E51"/>
    <w:rsid w:val="00465673"/>
    <w:rsid w:val="00465774"/>
    <w:rsid w:val="004664AF"/>
    <w:rsid w:val="00466E8D"/>
    <w:rsid w:val="00466FDD"/>
    <w:rsid w:val="004675A2"/>
    <w:rsid w:val="004675FE"/>
    <w:rsid w:val="00467CA8"/>
    <w:rsid w:val="00467CF0"/>
    <w:rsid w:val="00470789"/>
    <w:rsid w:val="00470795"/>
    <w:rsid w:val="004707E8"/>
    <w:rsid w:val="00470DE2"/>
    <w:rsid w:val="0047121B"/>
    <w:rsid w:val="004717E9"/>
    <w:rsid w:val="0047195B"/>
    <w:rsid w:val="00471B86"/>
    <w:rsid w:val="00471EFD"/>
    <w:rsid w:val="00472789"/>
    <w:rsid w:val="00472DD2"/>
    <w:rsid w:val="004730DB"/>
    <w:rsid w:val="004735F0"/>
    <w:rsid w:val="00473941"/>
    <w:rsid w:val="00474154"/>
    <w:rsid w:val="00474180"/>
    <w:rsid w:val="00474679"/>
    <w:rsid w:val="00474AC4"/>
    <w:rsid w:val="00474E56"/>
    <w:rsid w:val="00475085"/>
    <w:rsid w:val="004756FE"/>
    <w:rsid w:val="00475825"/>
    <w:rsid w:val="00475C5C"/>
    <w:rsid w:val="0047613B"/>
    <w:rsid w:val="00476B0C"/>
    <w:rsid w:val="00477950"/>
    <w:rsid w:val="0048028C"/>
    <w:rsid w:val="00480336"/>
    <w:rsid w:val="00480422"/>
    <w:rsid w:val="004806F2"/>
    <w:rsid w:val="00481282"/>
    <w:rsid w:val="004814E1"/>
    <w:rsid w:val="00481FEF"/>
    <w:rsid w:val="004822E3"/>
    <w:rsid w:val="004828E2"/>
    <w:rsid w:val="00482955"/>
    <w:rsid w:val="00482DBA"/>
    <w:rsid w:val="00483119"/>
    <w:rsid w:val="00483E03"/>
    <w:rsid w:val="0048445C"/>
    <w:rsid w:val="00484E9E"/>
    <w:rsid w:val="00485A5F"/>
    <w:rsid w:val="00485AD7"/>
    <w:rsid w:val="00485B1C"/>
    <w:rsid w:val="004861B7"/>
    <w:rsid w:val="004866DC"/>
    <w:rsid w:val="00486DB5"/>
    <w:rsid w:val="00486DF4"/>
    <w:rsid w:val="004875C2"/>
    <w:rsid w:val="004879CC"/>
    <w:rsid w:val="00487B55"/>
    <w:rsid w:val="0049011F"/>
    <w:rsid w:val="00490A41"/>
    <w:rsid w:val="00491267"/>
    <w:rsid w:val="00491CF7"/>
    <w:rsid w:val="00491DDB"/>
    <w:rsid w:val="00492207"/>
    <w:rsid w:val="00492EC5"/>
    <w:rsid w:val="004933AE"/>
    <w:rsid w:val="00493721"/>
    <w:rsid w:val="00493837"/>
    <w:rsid w:val="00494311"/>
    <w:rsid w:val="0049488B"/>
    <w:rsid w:val="00494CB1"/>
    <w:rsid w:val="00494D6A"/>
    <w:rsid w:val="00494F25"/>
    <w:rsid w:val="00495309"/>
    <w:rsid w:val="00495418"/>
    <w:rsid w:val="0049557E"/>
    <w:rsid w:val="00495705"/>
    <w:rsid w:val="0049573C"/>
    <w:rsid w:val="00495BC2"/>
    <w:rsid w:val="00496491"/>
    <w:rsid w:val="0049649C"/>
    <w:rsid w:val="00496814"/>
    <w:rsid w:val="00497BC0"/>
    <w:rsid w:val="004A037D"/>
    <w:rsid w:val="004A09DE"/>
    <w:rsid w:val="004A11C5"/>
    <w:rsid w:val="004A1E81"/>
    <w:rsid w:val="004A2061"/>
    <w:rsid w:val="004A2483"/>
    <w:rsid w:val="004A265D"/>
    <w:rsid w:val="004A282A"/>
    <w:rsid w:val="004A4698"/>
    <w:rsid w:val="004A471A"/>
    <w:rsid w:val="004A4960"/>
    <w:rsid w:val="004A4D16"/>
    <w:rsid w:val="004A5164"/>
    <w:rsid w:val="004A5302"/>
    <w:rsid w:val="004A53E9"/>
    <w:rsid w:val="004A5B6F"/>
    <w:rsid w:val="004A604A"/>
    <w:rsid w:val="004A64BA"/>
    <w:rsid w:val="004A6F17"/>
    <w:rsid w:val="004A7532"/>
    <w:rsid w:val="004A79AC"/>
    <w:rsid w:val="004A7A4D"/>
    <w:rsid w:val="004A7C95"/>
    <w:rsid w:val="004B010F"/>
    <w:rsid w:val="004B023F"/>
    <w:rsid w:val="004B042D"/>
    <w:rsid w:val="004B0703"/>
    <w:rsid w:val="004B0870"/>
    <w:rsid w:val="004B08D8"/>
    <w:rsid w:val="004B091F"/>
    <w:rsid w:val="004B0958"/>
    <w:rsid w:val="004B0AE2"/>
    <w:rsid w:val="004B11A9"/>
    <w:rsid w:val="004B178F"/>
    <w:rsid w:val="004B190E"/>
    <w:rsid w:val="004B1CD7"/>
    <w:rsid w:val="004B21D3"/>
    <w:rsid w:val="004B2430"/>
    <w:rsid w:val="004B246B"/>
    <w:rsid w:val="004B2884"/>
    <w:rsid w:val="004B2992"/>
    <w:rsid w:val="004B2C70"/>
    <w:rsid w:val="004B3092"/>
    <w:rsid w:val="004B348B"/>
    <w:rsid w:val="004B38D9"/>
    <w:rsid w:val="004B3E7A"/>
    <w:rsid w:val="004B47D6"/>
    <w:rsid w:val="004B4E9C"/>
    <w:rsid w:val="004B5A1C"/>
    <w:rsid w:val="004B5B95"/>
    <w:rsid w:val="004B5C60"/>
    <w:rsid w:val="004B6401"/>
    <w:rsid w:val="004B6EE3"/>
    <w:rsid w:val="004B6F2A"/>
    <w:rsid w:val="004B757F"/>
    <w:rsid w:val="004B7C65"/>
    <w:rsid w:val="004B7E8D"/>
    <w:rsid w:val="004C039E"/>
    <w:rsid w:val="004C0BB1"/>
    <w:rsid w:val="004C0F26"/>
    <w:rsid w:val="004C1E94"/>
    <w:rsid w:val="004C254D"/>
    <w:rsid w:val="004C276F"/>
    <w:rsid w:val="004C2A01"/>
    <w:rsid w:val="004C2A6C"/>
    <w:rsid w:val="004C2A8C"/>
    <w:rsid w:val="004C2C55"/>
    <w:rsid w:val="004C3075"/>
    <w:rsid w:val="004C31CC"/>
    <w:rsid w:val="004C37D9"/>
    <w:rsid w:val="004C3938"/>
    <w:rsid w:val="004C3D20"/>
    <w:rsid w:val="004C45DF"/>
    <w:rsid w:val="004C5537"/>
    <w:rsid w:val="004C57E0"/>
    <w:rsid w:val="004C5D7C"/>
    <w:rsid w:val="004C5E7C"/>
    <w:rsid w:val="004C61E7"/>
    <w:rsid w:val="004C6CB1"/>
    <w:rsid w:val="004C6E1A"/>
    <w:rsid w:val="004C7080"/>
    <w:rsid w:val="004C7621"/>
    <w:rsid w:val="004C77F1"/>
    <w:rsid w:val="004C7C3C"/>
    <w:rsid w:val="004D0847"/>
    <w:rsid w:val="004D098B"/>
    <w:rsid w:val="004D0F00"/>
    <w:rsid w:val="004D10C1"/>
    <w:rsid w:val="004D1A04"/>
    <w:rsid w:val="004D1D46"/>
    <w:rsid w:val="004D2C62"/>
    <w:rsid w:val="004D3378"/>
    <w:rsid w:val="004D3559"/>
    <w:rsid w:val="004D3B12"/>
    <w:rsid w:val="004D3B80"/>
    <w:rsid w:val="004D46A8"/>
    <w:rsid w:val="004D4830"/>
    <w:rsid w:val="004D4C5F"/>
    <w:rsid w:val="004D4F07"/>
    <w:rsid w:val="004D5104"/>
    <w:rsid w:val="004D52D1"/>
    <w:rsid w:val="004D5606"/>
    <w:rsid w:val="004D5772"/>
    <w:rsid w:val="004D58D9"/>
    <w:rsid w:val="004D5B59"/>
    <w:rsid w:val="004D5DFB"/>
    <w:rsid w:val="004D6020"/>
    <w:rsid w:val="004D620D"/>
    <w:rsid w:val="004D64D2"/>
    <w:rsid w:val="004D6981"/>
    <w:rsid w:val="004D6A63"/>
    <w:rsid w:val="004D6AAB"/>
    <w:rsid w:val="004D6D8A"/>
    <w:rsid w:val="004D6E77"/>
    <w:rsid w:val="004D74C4"/>
    <w:rsid w:val="004D75F7"/>
    <w:rsid w:val="004D76CE"/>
    <w:rsid w:val="004D7D4F"/>
    <w:rsid w:val="004E0BC6"/>
    <w:rsid w:val="004E0E53"/>
    <w:rsid w:val="004E0ECE"/>
    <w:rsid w:val="004E1308"/>
    <w:rsid w:val="004E1566"/>
    <w:rsid w:val="004E2165"/>
    <w:rsid w:val="004E2424"/>
    <w:rsid w:val="004E2984"/>
    <w:rsid w:val="004E338A"/>
    <w:rsid w:val="004E35E0"/>
    <w:rsid w:val="004E4095"/>
    <w:rsid w:val="004E4C5D"/>
    <w:rsid w:val="004E5006"/>
    <w:rsid w:val="004E5658"/>
    <w:rsid w:val="004E56FC"/>
    <w:rsid w:val="004E5E30"/>
    <w:rsid w:val="004E6016"/>
    <w:rsid w:val="004E696D"/>
    <w:rsid w:val="004E69B0"/>
    <w:rsid w:val="004E6C48"/>
    <w:rsid w:val="004E73AB"/>
    <w:rsid w:val="004E75A3"/>
    <w:rsid w:val="004E793F"/>
    <w:rsid w:val="004F04AB"/>
    <w:rsid w:val="004F0532"/>
    <w:rsid w:val="004F0605"/>
    <w:rsid w:val="004F0B5F"/>
    <w:rsid w:val="004F0C3B"/>
    <w:rsid w:val="004F1460"/>
    <w:rsid w:val="004F16EB"/>
    <w:rsid w:val="004F1D43"/>
    <w:rsid w:val="004F1F44"/>
    <w:rsid w:val="004F2440"/>
    <w:rsid w:val="004F2637"/>
    <w:rsid w:val="004F268F"/>
    <w:rsid w:val="004F2ED5"/>
    <w:rsid w:val="004F34D5"/>
    <w:rsid w:val="004F3618"/>
    <w:rsid w:val="004F4271"/>
    <w:rsid w:val="004F42BD"/>
    <w:rsid w:val="004F432F"/>
    <w:rsid w:val="004F443B"/>
    <w:rsid w:val="004F4688"/>
    <w:rsid w:val="004F4924"/>
    <w:rsid w:val="004F5146"/>
    <w:rsid w:val="004F55FE"/>
    <w:rsid w:val="004F588D"/>
    <w:rsid w:val="004F6214"/>
    <w:rsid w:val="004F624D"/>
    <w:rsid w:val="004F7856"/>
    <w:rsid w:val="004F7D82"/>
    <w:rsid w:val="0050014D"/>
    <w:rsid w:val="005005ED"/>
    <w:rsid w:val="00500872"/>
    <w:rsid w:val="00500A01"/>
    <w:rsid w:val="00500BBE"/>
    <w:rsid w:val="00500C28"/>
    <w:rsid w:val="005018AB"/>
    <w:rsid w:val="00501C3F"/>
    <w:rsid w:val="00501FD8"/>
    <w:rsid w:val="005028D1"/>
    <w:rsid w:val="00503277"/>
    <w:rsid w:val="005033EB"/>
    <w:rsid w:val="00503401"/>
    <w:rsid w:val="0050342F"/>
    <w:rsid w:val="005038BC"/>
    <w:rsid w:val="00503E8D"/>
    <w:rsid w:val="0050420A"/>
    <w:rsid w:val="005042F3"/>
    <w:rsid w:val="0050494E"/>
    <w:rsid w:val="00504AD1"/>
    <w:rsid w:val="00504CD0"/>
    <w:rsid w:val="00505B33"/>
    <w:rsid w:val="00505B91"/>
    <w:rsid w:val="00505DC1"/>
    <w:rsid w:val="00505E5A"/>
    <w:rsid w:val="005061B1"/>
    <w:rsid w:val="005064EC"/>
    <w:rsid w:val="00507434"/>
    <w:rsid w:val="0050744B"/>
    <w:rsid w:val="00507E90"/>
    <w:rsid w:val="00510216"/>
    <w:rsid w:val="005107FB"/>
    <w:rsid w:val="00510812"/>
    <w:rsid w:val="005114C9"/>
    <w:rsid w:val="0051182F"/>
    <w:rsid w:val="00511C1D"/>
    <w:rsid w:val="0051274C"/>
    <w:rsid w:val="00512848"/>
    <w:rsid w:val="005129A4"/>
    <w:rsid w:val="00512C7F"/>
    <w:rsid w:val="00513221"/>
    <w:rsid w:val="00514463"/>
    <w:rsid w:val="00514747"/>
    <w:rsid w:val="00514880"/>
    <w:rsid w:val="00514FCB"/>
    <w:rsid w:val="00515847"/>
    <w:rsid w:val="00515A2A"/>
    <w:rsid w:val="00515C32"/>
    <w:rsid w:val="0051658A"/>
    <w:rsid w:val="00516818"/>
    <w:rsid w:val="005168D4"/>
    <w:rsid w:val="00516EB4"/>
    <w:rsid w:val="005171D9"/>
    <w:rsid w:val="0052020A"/>
    <w:rsid w:val="005203BA"/>
    <w:rsid w:val="005207E6"/>
    <w:rsid w:val="00520902"/>
    <w:rsid w:val="0052097A"/>
    <w:rsid w:val="005209D5"/>
    <w:rsid w:val="00520F2E"/>
    <w:rsid w:val="00520FE6"/>
    <w:rsid w:val="00521138"/>
    <w:rsid w:val="00521797"/>
    <w:rsid w:val="005217EE"/>
    <w:rsid w:val="00521D37"/>
    <w:rsid w:val="00522218"/>
    <w:rsid w:val="00522953"/>
    <w:rsid w:val="0052318F"/>
    <w:rsid w:val="00523D24"/>
    <w:rsid w:val="00523F8D"/>
    <w:rsid w:val="00524EC6"/>
    <w:rsid w:val="005250D3"/>
    <w:rsid w:val="0052515F"/>
    <w:rsid w:val="005259B6"/>
    <w:rsid w:val="00525A4F"/>
    <w:rsid w:val="00525BAC"/>
    <w:rsid w:val="00525D02"/>
    <w:rsid w:val="0052615C"/>
    <w:rsid w:val="005262FF"/>
    <w:rsid w:val="0052661E"/>
    <w:rsid w:val="005266DA"/>
    <w:rsid w:val="00526A12"/>
    <w:rsid w:val="00527555"/>
    <w:rsid w:val="005276C0"/>
    <w:rsid w:val="00527758"/>
    <w:rsid w:val="0052793A"/>
    <w:rsid w:val="00527E3C"/>
    <w:rsid w:val="00530068"/>
    <w:rsid w:val="0053019C"/>
    <w:rsid w:val="00530AD2"/>
    <w:rsid w:val="00530CBB"/>
    <w:rsid w:val="00530DED"/>
    <w:rsid w:val="00530F46"/>
    <w:rsid w:val="005311E7"/>
    <w:rsid w:val="00531553"/>
    <w:rsid w:val="00531BB8"/>
    <w:rsid w:val="0053204A"/>
    <w:rsid w:val="005322B9"/>
    <w:rsid w:val="00532B9E"/>
    <w:rsid w:val="00532C20"/>
    <w:rsid w:val="005331C9"/>
    <w:rsid w:val="005332D9"/>
    <w:rsid w:val="005335A3"/>
    <w:rsid w:val="00533D2A"/>
    <w:rsid w:val="00533FB8"/>
    <w:rsid w:val="00534707"/>
    <w:rsid w:val="0053477F"/>
    <w:rsid w:val="00534927"/>
    <w:rsid w:val="00535376"/>
    <w:rsid w:val="00535D01"/>
    <w:rsid w:val="0053615C"/>
    <w:rsid w:val="005367F6"/>
    <w:rsid w:val="00536999"/>
    <w:rsid w:val="00536B83"/>
    <w:rsid w:val="00537478"/>
    <w:rsid w:val="005378DD"/>
    <w:rsid w:val="00537ADC"/>
    <w:rsid w:val="00537D82"/>
    <w:rsid w:val="0054010D"/>
    <w:rsid w:val="00540F4E"/>
    <w:rsid w:val="00540FC9"/>
    <w:rsid w:val="00541226"/>
    <w:rsid w:val="005416B5"/>
    <w:rsid w:val="00541939"/>
    <w:rsid w:val="00542A02"/>
    <w:rsid w:val="005437F1"/>
    <w:rsid w:val="00544627"/>
    <w:rsid w:val="0054464E"/>
    <w:rsid w:val="0054478E"/>
    <w:rsid w:val="0054492D"/>
    <w:rsid w:val="00544C7D"/>
    <w:rsid w:val="00544F7B"/>
    <w:rsid w:val="0054516C"/>
    <w:rsid w:val="00545C1B"/>
    <w:rsid w:val="00545E9D"/>
    <w:rsid w:val="00546D0E"/>
    <w:rsid w:val="00546D6E"/>
    <w:rsid w:val="00546DEF"/>
    <w:rsid w:val="00547747"/>
    <w:rsid w:val="00547872"/>
    <w:rsid w:val="0054794A"/>
    <w:rsid w:val="00547C22"/>
    <w:rsid w:val="00550751"/>
    <w:rsid w:val="00551000"/>
    <w:rsid w:val="00551243"/>
    <w:rsid w:val="0055133C"/>
    <w:rsid w:val="00551801"/>
    <w:rsid w:val="00551A7A"/>
    <w:rsid w:val="00552887"/>
    <w:rsid w:val="00552E19"/>
    <w:rsid w:val="00553126"/>
    <w:rsid w:val="005537D8"/>
    <w:rsid w:val="00553907"/>
    <w:rsid w:val="00553CFF"/>
    <w:rsid w:val="0055455E"/>
    <w:rsid w:val="00554FD6"/>
    <w:rsid w:val="0055502F"/>
    <w:rsid w:val="00555233"/>
    <w:rsid w:val="005554FA"/>
    <w:rsid w:val="00555A2F"/>
    <w:rsid w:val="00555C61"/>
    <w:rsid w:val="0055642A"/>
    <w:rsid w:val="005564A5"/>
    <w:rsid w:val="005566D8"/>
    <w:rsid w:val="005567A5"/>
    <w:rsid w:val="00556D82"/>
    <w:rsid w:val="00557271"/>
    <w:rsid w:val="0055756A"/>
    <w:rsid w:val="00557A17"/>
    <w:rsid w:val="00557C52"/>
    <w:rsid w:val="00557D4A"/>
    <w:rsid w:val="005605AD"/>
    <w:rsid w:val="005606D5"/>
    <w:rsid w:val="00560960"/>
    <w:rsid w:val="00560C87"/>
    <w:rsid w:val="00561259"/>
    <w:rsid w:val="005618FB"/>
    <w:rsid w:val="00562220"/>
    <w:rsid w:val="00562BD6"/>
    <w:rsid w:val="00563028"/>
    <w:rsid w:val="0056438A"/>
    <w:rsid w:val="00564574"/>
    <w:rsid w:val="00564E93"/>
    <w:rsid w:val="00564FF6"/>
    <w:rsid w:val="00565111"/>
    <w:rsid w:val="00565456"/>
    <w:rsid w:val="00565459"/>
    <w:rsid w:val="005654E7"/>
    <w:rsid w:val="005656FC"/>
    <w:rsid w:val="0056599B"/>
    <w:rsid w:val="00565C03"/>
    <w:rsid w:val="00565FC2"/>
    <w:rsid w:val="0056662C"/>
    <w:rsid w:val="00566BC9"/>
    <w:rsid w:val="005677F8"/>
    <w:rsid w:val="0057008C"/>
    <w:rsid w:val="00570253"/>
    <w:rsid w:val="00570A0F"/>
    <w:rsid w:val="00570E54"/>
    <w:rsid w:val="00571017"/>
    <w:rsid w:val="0057120E"/>
    <w:rsid w:val="00571DE6"/>
    <w:rsid w:val="005726D4"/>
    <w:rsid w:val="005739B6"/>
    <w:rsid w:val="00573B4A"/>
    <w:rsid w:val="00573C5B"/>
    <w:rsid w:val="00574528"/>
    <w:rsid w:val="0057453F"/>
    <w:rsid w:val="005745F1"/>
    <w:rsid w:val="00574943"/>
    <w:rsid w:val="0057496A"/>
    <w:rsid w:val="00574D49"/>
    <w:rsid w:val="005758D3"/>
    <w:rsid w:val="00575911"/>
    <w:rsid w:val="00575FA5"/>
    <w:rsid w:val="00576181"/>
    <w:rsid w:val="0057622A"/>
    <w:rsid w:val="00577359"/>
    <w:rsid w:val="00577399"/>
    <w:rsid w:val="00577641"/>
    <w:rsid w:val="00577B45"/>
    <w:rsid w:val="00577B49"/>
    <w:rsid w:val="0058084A"/>
    <w:rsid w:val="00580A31"/>
    <w:rsid w:val="0058113B"/>
    <w:rsid w:val="00581D7B"/>
    <w:rsid w:val="0058264E"/>
    <w:rsid w:val="00582763"/>
    <w:rsid w:val="00583338"/>
    <w:rsid w:val="005835E5"/>
    <w:rsid w:val="0058518F"/>
    <w:rsid w:val="005852CC"/>
    <w:rsid w:val="00585767"/>
    <w:rsid w:val="0058590E"/>
    <w:rsid w:val="00585FA5"/>
    <w:rsid w:val="00585FE6"/>
    <w:rsid w:val="0058676B"/>
    <w:rsid w:val="00586943"/>
    <w:rsid w:val="00586966"/>
    <w:rsid w:val="00586A20"/>
    <w:rsid w:val="00586AC4"/>
    <w:rsid w:val="005877E1"/>
    <w:rsid w:val="0059047B"/>
    <w:rsid w:val="0059087B"/>
    <w:rsid w:val="005913A6"/>
    <w:rsid w:val="005915F6"/>
    <w:rsid w:val="005916BB"/>
    <w:rsid w:val="00591B77"/>
    <w:rsid w:val="005920D7"/>
    <w:rsid w:val="005931CA"/>
    <w:rsid w:val="0059409C"/>
    <w:rsid w:val="005943FF"/>
    <w:rsid w:val="00594DEF"/>
    <w:rsid w:val="00595203"/>
    <w:rsid w:val="00595B4A"/>
    <w:rsid w:val="00595F0C"/>
    <w:rsid w:val="005964A9"/>
    <w:rsid w:val="0059660E"/>
    <w:rsid w:val="00596BD7"/>
    <w:rsid w:val="00596E65"/>
    <w:rsid w:val="00596EB6"/>
    <w:rsid w:val="005974E5"/>
    <w:rsid w:val="00597BBA"/>
    <w:rsid w:val="005A0185"/>
    <w:rsid w:val="005A0445"/>
    <w:rsid w:val="005A0679"/>
    <w:rsid w:val="005A0E08"/>
    <w:rsid w:val="005A0EAF"/>
    <w:rsid w:val="005A16FD"/>
    <w:rsid w:val="005A1C3C"/>
    <w:rsid w:val="005A1CE0"/>
    <w:rsid w:val="005A2B35"/>
    <w:rsid w:val="005A376E"/>
    <w:rsid w:val="005A3C9F"/>
    <w:rsid w:val="005A52A0"/>
    <w:rsid w:val="005A6117"/>
    <w:rsid w:val="005A6200"/>
    <w:rsid w:val="005A6385"/>
    <w:rsid w:val="005A66CC"/>
    <w:rsid w:val="005A66E1"/>
    <w:rsid w:val="005A6757"/>
    <w:rsid w:val="005A719E"/>
    <w:rsid w:val="005A7980"/>
    <w:rsid w:val="005A7CBB"/>
    <w:rsid w:val="005B038F"/>
    <w:rsid w:val="005B0DDC"/>
    <w:rsid w:val="005B1EAB"/>
    <w:rsid w:val="005B1FE6"/>
    <w:rsid w:val="005B2007"/>
    <w:rsid w:val="005B2592"/>
    <w:rsid w:val="005B2D57"/>
    <w:rsid w:val="005B35C3"/>
    <w:rsid w:val="005B394A"/>
    <w:rsid w:val="005B3D73"/>
    <w:rsid w:val="005B46C4"/>
    <w:rsid w:val="005B4D7F"/>
    <w:rsid w:val="005B524A"/>
    <w:rsid w:val="005B57AB"/>
    <w:rsid w:val="005B6D80"/>
    <w:rsid w:val="005B70AD"/>
    <w:rsid w:val="005B70E0"/>
    <w:rsid w:val="005B7321"/>
    <w:rsid w:val="005B750D"/>
    <w:rsid w:val="005B7616"/>
    <w:rsid w:val="005B7F9D"/>
    <w:rsid w:val="005C0839"/>
    <w:rsid w:val="005C124C"/>
    <w:rsid w:val="005C1295"/>
    <w:rsid w:val="005C17AB"/>
    <w:rsid w:val="005C1954"/>
    <w:rsid w:val="005C2361"/>
    <w:rsid w:val="005C3622"/>
    <w:rsid w:val="005C3CA8"/>
    <w:rsid w:val="005C3E47"/>
    <w:rsid w:val="005C3EED"/>
    <w:rsid w:val="005C4111"/>
    <w:rsid w:val="005C44BC"/>
    <w:rsid w:val="005C4B81"/>
    <w:rsid w:val="005C5092"/>
    <w:rsid w:val="005C57DF"/>
    <w:rsid w:val="005C61D4"/>
    <w:rsid w:val="005C63CA"/>
    <w:rsid w:val="005C72B9"/>
    <w:rsid w:val="005D03E2"/>
    <w:rsid w:val="005D0C9B"/>
    <w:rsid w:val="005D0F99"/>
    <w:rsid w:val="005D139B"/>
    <w:rsid w:val="005D144C"/>
    <w:rsid w:val="005D14F6"/>
    <w:rsid w:val="005D1766"/>
    <w:rsid w:val="005D1C65"/>
    <w:rsid w:val="005D21C1"/>
    <w:rsid w:val="005D37B3"/>
    <w:rsid w:val="005D3C37"/>
    <w:rsid w:val="005D3EB1"/>
    <w:rsid w:val="005D4A70"/>
    <w:rsid w:val="005D520B"/>
    <w:rsid w:val="005D52AB"/>
    <w:rsid w:val="005D5BCB"/>
    <w:rsid w:val="005D67ED"/>
    <w:rsid w:val="005D684D"/>
    <w:rsid w:val="005D6922"/>
    <w:rsid w:val="005D6A76"/>
    <w:rsid w:val="005D6C00"/>
    <w:rsid w:val="005D6FD6"/>
    <w:rsid w:val="005D73D6"/>
    <w:rsid w:val="005D75C7"/>
    <w:rsid w:val="005D7A73"/>
    <w:rsid w:val="005D7BC7"/>
    <w:rsid w:val="005D7D26"/>
    <w:rsid w:val="005D7FD3"/>
    <w:rsid w:val="005E0366"/>
    <w:rsid w:val="005E0DC8"/>
    <w:rsid w:val="005E10C4"/>
    <w:rsid w:val="005E11FA"/>
    <w:rsid w:val="005E15A6"/>
    <w:rsid w:val="005E18D9"/>
    <w:rsid w:val="005E1A2A"/>
    <w:rsid w:val="005E2841"/>
    <w:rsid w:val="005E2B42"/>
    <w:rsid w:val="005E2D22"/>
    <w:rsid w:val="005E320D"/>
    <w:rsid w:val="005E3782"/>
    <w:rsid w:val="005E3D3C"/>
    <w:rsid w:val="005E3E0F"/>
    <w:rsid w:val="005E3FA8"/>
    <w:rsid w:val="005E3FC8"/>
    <w:rsid w:val="005E40B3"/>
    <w:rsid w:val="005E4668"/>
    <w:rsid w:val="005E4DF6"/>
    <w:rsid w:val="005E4E0B"/>
    <w:rsid w:val="005E52A0"/>
    <w:rsid w:val="005E57C9"/>
    <w:rsid w:val="005E5E9C"/>
    <w:rsid w:val="005E6646"/>
    <w:rsid w:val="005E6DF7"/>
    <w:rsid w:val="005E707A"/>
    <w:rsid w:val="005E76E6"/>
    <w:rsid w:val="005E7B9D"/>
    <w:rsid w:val="005F02C0"/>
    <w:rsid w:val="005F054C"/>
    <w:rsid w:val="005F0C66"/>
    <w:rsid w:val="005F0EF1"/>
    <w:rsid w:val="005F0F78"/>
    <w:rsid w:val="005F1365"/>
    <w:rsid w:val="005F14A9"/>
    <w:rsid w:val="005F161A"/>
    <w:rsid w:val="005F1691"/>
    <w:rsid w:val="005F1E10"/>
    <w:rsid w:val="005F1F33"/>
    <w:rsid w:val="005F2599"/>
    <w:rsid w:val="005F25AC"/>
    <w:rsid w:val="005F26EC"/>
    <w:rsid w:val="005F2CEC"/>
    <w:rsid w:val="005F342A"/>
    <w:rsid w:val="005F3668"/>
    <w:rsid w:val="005F3ED7"/>
    <w:rsid w:val="005F402A"/>
    <w:rsid w:val="005F4056"/>
    <w:rsid w:val="005F40E9"/>
    <w:rsid w:val="005F4A6A"/>
    <w:rsid w:val="005F4B7B"/>
    <w:rsid w:val="005F5370"/>
    <w:rsid w:val="005F53C5"/>
    <w:rsid w:val="005F5976"/>
    <w:rsid w:val="005F5ACB"/>
    <w:rsid w:val="005F5CF9"/>
    <w:rsid w:val="005F5DBF"/>
    <w:rsid w:val="005F614D"/>
    <w:rsid w:val="005F61C6"/>
    <w:rsid w:val="005F6214"/>
    <w:rsid w:val="005F6401"/>
    <w:rsid w:val="005F6404"/>
    <w:rsid w:val="005F68F7"/>
    <w:rsid w:val="005F7B4E"/>
    <w:rsid w:val="005F7ECE"/>
    <w:rsid w:val="005F7F0A"/>
    <w:rsid w:val="006001DF"/>
    <w:rsid w:val="00600451"/>
    <w:rsid w:val="00600BAB"/>
    <w:rsid w:val="00601A8B"/>
    <w:rsid w:val="00601E82"/>
    <w:rsid w:val="00601FFD"/>
    <w:rsid w:val="0060200C"/>
    <w:rsid w:val="00602F4F"/>
    <w:rsid w:val="00603103"/>
    <w:rsid w:val="0060320F"/>
    <w:rsid w:val="0060360C"/>
    <w:rsid w:val="006037F6"/>
    <w:rsid w:val="00603A88"/>
    <w:rsid w:val="006043BD"/>
    <w:rsid w:val="0060495F"/>
    <w:rsid w:val="00604A39"/>
    <w:rsid w:val="0060525F"/>
    <w:rsid w:val="006057F8"/>
    <w:rsid w:val="00605CF8"/>
    <w:rsid w:val="006064AD"/>
    <w:rsid w:val="0060687A"/>
    <w:rsid w:val="0060692A"/>
    <w:rsid w:val="006069EA"/>
    <w:rsid w:val="00606AF0"/>
    <w:rsid w:val="0060784F"/>
    <w:rsid w:val="0060786D"/>
    <w:rsid w:val="00607B79"/>
    <w:rsid w:val="006102DF"/>
    <w:rsid w:val="006103FB"/>
    <w:rsid w:val="00610EE0"/>
    <w:rsid w:val="0061179C"/>
    <w:rsid w:val="00611846"/>
    <w:rsid w:val="00611E08"/>
    <w:rsid w:val="0061215B"/>
    <w:rsid w:val="00612630"/>
    <w:rsid w:val="00612AD1"/>
    <w:rsid w:val="00613020"/>
    <w:rsid w:val="006134E6"/>
    <w:rsid w:val="00613BAE"/>
    <w:rsid w:val="00613D17"/>
    <w:rsid w:val="00613F09"/>
    <w:rsid w:val="0061403C"/>
    <w:rsid w:val="006140DC"/>
    <w:rsid w:val="0061428D"/>
    <w:rsid w:val="00614360"/>
    <w:rsid w:val="006148F0"/>
    <w:rsid w:val="00614AEA"/>
    <w:rsid w:val="00614BCC"/>
    <w:rsid w:val="00615377"/>
    <w:rsid w:val="006153B4"/>
    <w:rsid w:val="00615BA0"/>
    <w:rsid w:val="006160D4"/>
    <w:rsid w:val="00616206"/>
    <w:rsid w:val="0061654C"/>
    <w:rsid w:val="00616AC9"/>
    <w:rsid w:val="00616B7B"/>
    <w:rsid w:val="00616F1D"/>
    <w:rsid w:val="00617200"/>
    <w:rsid w:val="00617308"/>
    <w:rsid w:val="0061736D"/>
    <w:rsid w:val="006175D9"/>
    <w:rsid w:val="0061765B"/>
    <w:rsid w:val="006204D1"/>
    <w:rsid w:val="00620882"/>
    <w:rsid w:val="00620B6C"/>
    <w:rsid w:val="00620EC8"/>
    <w:rsid w:val="00620FAF"/>
    <w:rsid w:val="00620FE4"/>
    <w:rsid w:val="0062142C"/>
    <w:rsid w:val="006219AC"/>
    <w:rsid w:val="00621A52"/>
    <w:rsid w:val="00621AD8"/>
    <w:rsid w:val="00621DE1"/>
    <w:rsid w:val="00621EE8"/>
    <w:rsid w:val="006220F7"/>
    <w:rsid w:val="006225B1"/>
    <w:rsid w:val="00622F55"/>
    <w:rsid w:val="00623331"/>
    <w:rsid w:val="006237DB"/>
    <w:rsid w:val="00623C3D"/>
    <w:rsid w:val="00623FC7"/>
    <w:rsid w:val="00624603"/>
    <w:rsid w:val="00624605"/>
    <w:rsid w:val="00624F0A"/>
    <w:rsid w:val="006250C7"/>
    <w:rsid w:val="006257C1"/>
    <w:rsid w:val="0062595B"/>
    <w:rsid w:val="00625A19"/>
    <w:rsid w:val="00625B92"/>
    <w:rsid w:val="00625EBF"/>
    <w:rsid w:val="006260A5"/>
    <w:rsid w:val="006262DC"/>
    <w:rsid w:val="00626809"/>
    <w:rsid w:val="00626987"/>
    <w:rsid w:val="006273E7"/>
    <w:rsid w:val="006301D9"/>
    <w:rsid w:val="006302B8"/>
    <w:rsid w:val="00630B90"/>
    <w:rsid w:val="00632502"/>
    <w:rsid w:val="00632AF1"/>
    <w:rsid w:val="00633225"/>
    <w:rsid w:val="006338E7"/>
    <w:rsid w:val="00633CD2"/>
    <w:rsid w:val="00634F17"/>
    <w:rsid w:val="0063503D"/>
    <w:rsid w:val="006350B5"/>
    <w:rsid w:val="006352E8"/>
    <w:rsid w:val="00635E31"/>
    <w:rsid w:val="006362AE"/>
    <w:rsid w:val="00637CC4"/>
    <w:rsid w:val="00637F42"/>
    <w:rsid w:val="006400B3"/>
    <w:rsid w:val="006402F1"/>
    <w:rsid w:val="00640785"/>
    <w:rsid w:val="006408AA"/>
    <w:rsid w:val="00640DA7"/>
    <w:rsid w:val="006410E4"/>
    <w:rsid w:val="00641641"/>
    <w:rsid w:val="00641C8D"/>
    <w:rsid w:val="00642091"/>
    <w:rsid w:val="0064280E"/>
    <w:rsid w:val="00642A7D"/>
    <w:rsid w:val="00642A89"/>
    <w:rsid w:val="00642BFE"/>
    <w:rsid w:val="0064412C"/>
    <w:rsid w:val="00644385"/>
    <w:rsid w:val="00644835"/>
    <w:rsid w:val="006452D8"/>
    <w:rsid w:val="00645DCE"/>
    <w:rsid w:val="006461FB"/>
    <w:rsid w:val="00646847"/>
    <w:rsid w:val="006468C9"/>
    <w:rsid w:val="00646C75"/>
    <w:rsid w:val="00647976"/>
    <w:rsid w:val="00650080"/>
    <w:rsid w:val="00650F39"/>
    <w:rsid w:val="0065126D"/>
    <w:rsid w:val="00651422"/>
    <w:rsid w:val="00651853"/>
    <w:rsid w:val="006518FB"/>
    <w:rsid w:val="0065192E"/>
    <w:rsid w:val="00651A2F"/>
    <w:rsid w:val="0065232B"/>
    <w:rsid w:val="00652B29"/>
    <w:rsid w:val="006534FE"/>
    <w:rsid w:val="00653C01"/>
    <w:rsid w:val="00653C49"/>
    <w:rsid w:val="00653EF7"/>
    <w:rsid w:val="0065423C"/>
    <w:rsid w:val="0065483B"/>
    <w:rsid w:val="0065496E"/>
    <w:rsid w:val="00654F12"/>
    <w:rsid w:val="006550E1"/>
    <w:rsid w:val="00655216"/>
    <w:rsid w:val="00655D3B"/>
    <w:rsid w:val="00656156"/>
    <w:rsid w:val="006561C3"/>
    <w:rsid w:val="00656312"/>
    <w:rsid w:val="00656A64"/>
    <w:rsid w:val="00656ADF"/>
    <w:rsid w:val="0065719B"/>
    <w:rsid w:val="006571CC"/>
    <w:rsid w:val="00657DE6"/>
    <w:rsid w:val="00657E03"/>
    <w:rsid w:val="00657E1A"/>
    <w:rsid w:val="00660262"/>
    <w:rsid w:val="00660B3F"/>
    <w:rsid w:val="00660B58"/>
    <w:rsid w:val="00660BD5"/>
    <w:rsid w:val="00661F79"/>
    <w:rsid w:val="006620E7"/>
    <w:rsid w:val="0066265C"/>
    <w:rsid w:val="00662C84"/>
    <w:rsid w:val="00662CE2"/>
    <w:rsid w:val="006632E6"/>
    <w:rsid w:val="00663552"/>
    <w:rsid w:val="00663893"/>
    <w:rsid w:val="00663A96"/>
    <w:rsid w:val="00663E4F"/>
    <w:rsid w:val="0066470A"/>
    <w:rsid w:val="00665187"/>
    <w:rsid w:val="006651BC"/>
    <w:rsid w:val="00665429"/>
    <w:rsid w:val="006655AE"/>
    <w:rsid w:val="00665859"/>
    <w:rsid w:val="00665AFF"/>
    <w:rsid w:val="00665B2A"/>
    <w:rsid w:val="00665F1B"/>
    <w:rsid w:val="00666284"/>
    <w:rsid w:val="00666590"/>
    <w:rsid w:val="00666622"/>
    <w:rsid w:val="00666B3B"/>
    <w:rsid w:val="00667419"/>
    <w:rsid w:val="006675AB"/>
    <w:rsid w:val="00667814"/>
    <w:rsid w:val="00667B59"/>
    <w:rsid w:val="00670867"/>
    <w:rsid w:val="00670C0F"/>
    <w:rsid w:val="0067122A"/>
    <w:rsid w:val="00671701"/>
    <w:rsid w:val="006718B8"/>
    <w:rsid w:val="00671CCE"/>
    <w:rsid w:val="00672293"/>
    <w:rsid w:val="0067250C"/>
    <w:rsid w:val="0067274C"/>
    <w:rsid w:val="00672D18"/>
    <w:rsid w:val="00672DCB"/>
    <w:rsid w:val="00673314"/>
    <w:rsid w:val="00673672"/>
    <w:rsid w:val="006739F0"/>
    <w:rsid w:val="00673F59"/>
    <w:rsid w:val="006744C1"/>
    <w:rsid w:val="0067492C"/>
    <w:rsid w:val="00674ECB"/>
    <w:rsid w:val="00675646"/>
    <w:rsid w:val="0067569B"/>
    <w:rsid w:val="00675DD5"/>
    <w:rsid w:val="00675F2E"/>
    <w:rsid w:val="00677210"/>
    <w:rsid w:val="00677598"/>
    <w:rsid w:val="0067760B"/>
    <w:rsid w:val="00677690"/>
    <w:rsid w:val="00677848"/>
    <w:rsid w:val="00677ED9"/>
    <w:rsid w:val="00680022"/>
    <w:rsid w:val="0068027F"/>
    <w:rsid w:val="00680347"/>
    <w:rsid w:val="0068035A"/>
    <w:rsid w:val="006805D0"/>
    <w:rsid w:val="00680870"/>
    <w:rsid w:val="00680CAE"/>
    <w:rsid w:val="00680D45"/>
    <w:rsid w:val="00681025"/>
    <w:rsid w:val="006815E4"/>
    <w:rsid w:val="00681746"/>
    <w:rsid w:val="00681958"/>
    <w:rsid w:val="00681A8F"/>
    <w:rsid w:val="00681C97"/>
    <w:rsid w:val="006822CA"/>
    <w:rsid w:val="006824FE"/>
    <w:rsid w:val="00682BB1"/>
    <w:rsid w:val="00682E62"/>
    <w:rsid w:val="006830E9"/>
    <w:rsid w:val="00683305"/>
    <w:rsid w:val="006833FB"/>
    <w:rsid w:val="006834D0"/>
    <w:rsid w:val="00683C76"/>
    <w:rsid w:val="00683CDA"/>
    <w:rsid w:val="0068416F"/>
    <w:rsid w:val="00684C7D"/>
    <w:rsid w:val="00684CE5"/>
    <w:rsid w:val="00684F34"/>
    <w:rsid w:val="006853F1"/>
    <w:rsid w:val="00685F0D"/>
    <w:rsid w:val="00685FA5"/>
    <w:rsid w:val="00686BC7"/>
    <w:rsid w:val="00687FB1"/>
    <w:rsid w:val="00687FE1"/>
    <w:rsid w:val="0069020D"/>
    <w:rsid w:val="00690AB3"/>
    <w:rsid w:val="00690FA1"/>
    <w:rsid w:val="00691023"/>
    <w:rsid w:val="006911E2"/>
    <w:rsid w:val="0069139E"/>
    <w:rsid w:val="00691C7B"/>
    <w:rsid w:val="00692BD8"/>
    <w:rsid w:val="00692D08"/>
    <w:rsid w:val="00692E75"/>
    <w:rsid w:val="0069379D"/>
    <w:rsid w:val="00693CDC"/>
    <w:rsid w:val="00693D0F"/>
    <w:rsid w:val="00694202"/>
    <w:rsid w:val="00694849"/>
    <w:rsid w:val="00694957"/>
    <w:rsid w:val="00694EB3"/>
    <w:rsid w:val="00694F18"/>
    <w:rsid w:val="00695955"/>
    <w:rsid w:val="00695B08"/>
    <w:rsid w:val="00695C13"/>
    <w:rsid w:val="00695DE0"/>
    <w:rsid w:val="00695EC0"/>
    <w:rsid w:val="00695EF2"/>
    <w:rsid w:val="00696293"/>
    <w:rsid w:val="00696955"/>
    <w:rsid w:val="00696E0C"/>
    <w:rsid w:val="006979DD"/>
    <w:rsid w:val="00697DD0"/>
    <w:rsid w:val="00697EB8"/>
    <w:rsid w:val="006A01B6"/>
    <w:rsid w:val="006A02DB"/>
    <w:rsid w:val="006A05B1"/>
    <w:rsid w:val="006A0B00"/>
    <w:rsid w:val="006A1338"/>
    <w:rsid w:val="006A15FC"/>
    <w:rsid w:val="006A162E"/>
    <w:rsid w:val="006A1A21"/>
    <w:rsid w:val="006A1A95"/>
    <w:rsid w:val="006A1E21"/>
    <w:rsid w:val="006A1FA5"/>
    <w:rsid w:val="006A2179"/>
    <w:rsid w:val="006A25B3"/>
    <w:rsid w:val="006A2FD0"/>
    <w:rsid w:val="006A34AC"/>
    <w:rsid w:val="006A35B7"/>
    <w:rsid w:val="006A4061"/>
    <w:rsid w:val="006A50DB"/>
    <w:rsid w:val="006A5526"/>
    <w:rsid w:val="006A5957"/>
    <w:rsid w:val="006A5AA2"/>
    <w:rsid w:val="006A6FA4"/>
    <w:rsid w:val="006A727A"/>
    <w:rsid w:val="006A7380"/>
    <w:rsid w:val="006A76CD"/>
    <w:rsid w:val="006A7C37"/>
    <w:rsid w:val="006A7D8C"/>
    <w:rsid w:val="006B01B9"/>
    <w:rsid w:val="006B11C5"/>
    <w:rsid w:val="006B11D7"/>
    <w:rsid w:val="006B1388"/>
    <w:rsid w:val="006B20A5"/>
    <w:rsid w:val="006B216D"/>
    <w:rsid w:val="006B241D"/>
    <w:rsid w:val="006B260A"/>
    <w:rsid w:val="006B316C"/>
    <w:rsid w:val="006B39FC"/>
    <w:rsid w:val="006B45A2"/>
    <w:rsid w:val="006B4675"/>
    <w:rsid w:val="006B4827"/>
    <w:rsid w:val="006B4B61"/>
    <w:rsid w:val="006B4B66"/>
    <w:rsid w:val="006B5273"/>
    <w:rsid w:val="006B53D6"/>
    <w:rsid w:val="006B5662"/>
    <w:rsid w:val="006B587A"/>
    <w:rsid w:val="006B594E"/>
    <w:rsid w:val="006B5B55"/>
    <w:rsid w:val="006B6002"/>
    <w:rsid w:val="006B6183"/>
    <w:rsid w:val="006B655E"/>
    <w:rsid w:val="006B6A40"/>
    <w:rsid w:val="006B6F20"/>
    <w:rsid w:val="006B79C8"/>
    <w:rsid w:val="006B7DCA"/>
    <w:rsid w:val="006B7FBE"/>
    <w:rsid w:val="006C0190"/>
    <w:rsid w:val="006C0595"/>
    <w:rsid w:val="006C08BB"/>
    <w:rsid w:val="006C0AF6"/>
    <w:rsid w:val="006C1291"/>
    <w:rsid w:val="006C1591"/>
    <w:rsid w:val="006C18F0"/>
    <w:rsid w:val="006C1A44"/>
    <w:rsid w:val="006C1BBE"/>
    <w:rsid w:val="006C1C97"/>
    <w:rsid w:val="006C275A"/>
    <w:rsid w:val="006C2997"/>
    <w:rsid w:val="006C2E9E"/>
    <w:rsid w:val="006C38C0"/>
    <w:rsid w:val="006C42EE"/>
    <w:rsid w:val="006C4374"/>
    <w:rsid w:val="006C443F"/>
    <w:rsid w:val="006C4875"/>
    <w:rsid w:val="006C4A95"/>
    <w:rsid w:val="006C4C71"/>
    <w:rsid w:val="006C4DE9"/>
    <w:rsid w:val="006C4F3A"/>
    <w:rsid w:val="006C527E"/>
    <w:rsid w:val="006C543A"/>
    <w:rsid w:val="006C654D"/>
    <w:rsid w:val="006C693C"/>
    <w:rsid w:val="006C7019"/>
    <w:rsid w:val="006C75D8"/>
    <w:rsid w:val="006C7977"/>
    <w:rsid w:val="006D0114"/>
    <w:rsid w:val="006D041D"/>
    <w:rsid w:val="006D0BA2"/>
    <w:rsid w:val="006D0EB6"/>
    <w:rsid w:val="006D1255"/>
    <w:rsid w:val="006D1715"/>
    <w:rsid w:val="006D2717"/>
    <w:rsid w:val="006D3160"/>
    <w:rsid w:val="006D33A9"/>
    <w:rsid w:val="006D370C"/>
    <w:rsid w:val="006D3790"/>
    <w:rsid w:val="006D3A05"/>
    <w:rsid w:val="006D40D9"/>
    <w:rsid w:val="006D4AC2"/>
    <w:rsid w:val="006D4B10"/>
    <w:rsid w:val="006D54C9"/>
    <w:rsid w:val="006D598D"/>
    <w:rsid w:val="006D5E77"/>
    <w:rsid w:val="006D655F"/>
    <w:rsid w:val="006D7218"/>
    <w:rsid w:val="006D74F6"/>
    <w:rsid w:val="006D7FA0"/>
    <w:rsid w:val="006E00CA"/>
    <w:rsid w:val="006E061E"/>
    <w:rsid w:val="006E13B7"/>
    <w:rsid w:val="006E176E"/>
    <w:rsid w:val="006E18CB"/>
    <w:rsid w:val="006E1A24"/>
    <w:rsid w:val="006E1AD4"/>
    <w:rsid w:val="006E1BCA"/>
    <w:rsid w:val="006E1C64"/>
    <w:rsid w:val="006E1FD4"/>
    <w:rsid w:val="006E200B"/>
    <w:rsid w:val="006E3250"/>
    <w:rsid w:val="006E342E"/>
    <w:rsid w:val="006E3773"/>
    <w:rsid w:val="006E3833"/>
    <w:rsid w:val="006E3ADE"/>
    <w:rsid w:val="006E3B2A"/>
    <w:rsid w:val="006E4A73"/>
    <w:rsid w:val="006E4A93"/>
    <w:rsid w:val="006E4C84"/>
    <w:rsid w:val="006E51A7"/>
    <w:rsid w:val="006E520E"/>
    <w:rsid w:val="006E5BD5"/>
    <w:rsid w:val="006E5BFE"/>
    <w:rsid w:val="006E627C"/>
    <w:rsid w:val="006E703F"/>
    <w:rsid w:val="006E70E2"/>
    <w:rsid w:val="006F0342"/>
    <w:rsid w:val="006F0462"/>
    <w:rsid w:val="006F07A4"/>
    <w:rsid w:val="006F0823"/>
    <w:rsid w:val="006F1F3E"/>
    <w:rsid w:val="006F2544"/>
    <w:rsid w:val="006F2700"/>
    <w:rsid w:val="006F2793"/>
    <w:rsid w:val="006F2A35"/>
    <w:rsid w:val="006F2CB0"/>
    <w:rsid w:val="006F3527"/>
    <w:rsid w:val="006F403E"/>
    <w:rsid w:val="006F4714"/>
    <w:rsid w:val="006F48CF"/>
    <w:rsid w:val="006F4D70"/>
    <w:rsid w:val="006F4E60"/>
    <w:rsid w:val="006F4E8A"/>
    <w:rsid w:val="006F5793"/>
    <w:rsid w:val="006F5BA8"/>
    <w:rsid w:val="006F69E7"/>
    <w:rsid w:val="006F7056"/>
    <w:rsid w:val="006F72BB"/>
    <w:rsid w:val="006F758A"/>
    <w:rsid w:val="006F7D79"/>
    <w:rsid w:val="007001A0"/>
    <w:rsid w:val="00700F65"/>
    <w:rsid w:val="00701037"/>
    <w:rsid w:val="007018EC"/>
    <w:rsid w:val="007025D9"/>
    <w:rsid w:val="007025E3"/>
    <w:rsid w:val="00702A5A"/>
    <w:rsid w:val="00702EC0"/>
    <w:rsid w:val="00702F45"/>
    <w:rsid w:val="007032D5"/>
    <w:rsid w:val="007033B1"/>
    <w:rsid w:val="007038FF"/>
    <w:rsid w:val="00703C4E"/>
    <w:rsid w:val="00703F33"/>
    <w:rsid w:val="0070452B"/>
    <w:rsid w:val="007047ED"/>
    <w:rsid w:val="00704ECC"/>
    <w:rsid w:val="007050AC"/>
    <w:rsid w:val="00705581"/>
    <w:rsid w:val="00705993"/>
    <w:rsid w:val="007066E5"/>
    <w:rsid w:val="00706A70"/>
    <w:rsid w:val="00707118"/>
    <w:rsid w:val="00707E75"/>
    <w:rsid w:val="00710DDA"/>
    <w:rsid w:val="00710F86"/>
    <w:rsid w:val="00711A2E"/>
    <w:rsid w:val="00711A88"/>
    <w:rsid w:val="00712377"/>
    <w:rsid w:val="00712E7F"/>
    <w:rsid w:val="00713499"/>
    <w:rsid w:val="00713501"/>
    <w:rsid w:val="00713640"/>
    <w:rsid w:val="00713D49"/>
    <w:rsid w:val="00714105"/>
    <w:rsid w:val="00714518"/>
    <w:rsid w:val="0071586D"/>
    <w:rsid w:val="00716289"/>
    <w:rsid w:val="0071643B"/>
    <w:rsid w:val="00716C95"/>
    <w:rsid w:val="00716F57"/>
    <w:rsid w:val="00716F92"/>
    <w:rsid w:val="00716FA0"/>
    <w:rsid w:val="00720503"/>
    <w:rsid w:val="00720A25"/>
    <w:rsid w:val="00720CF6"/>
    <w:rsid w:val="0072142A"/>
    <w:rsid w:val="007214B0"/>
    <w:rsid w:val="007216AD"/>
    <w:rsid w:val="007218FA"/>
    <w:rsid w:val="00721ACE"/>
    <w:rsid w:val="00721BF1"/>
    <w:rsid w:val="00722238"/>
    <w:rsid w:val="00722781"/>
    <w:rsid w:val="00722D18"/>
    <w:rsid w:val="00722F59"/>
    <w:rsid w:val="0072304B"/>
    <w:rsid w:val="007230D0"/>
    <w:rsid w:val="00723207"/>
    <w:rsid w:val="0072405E"/>
    <w:rsid w:val="007240CA"/>
    <w:rsid w:val="00724266"/>
    <w:rsid w:val="00724278"/>
    <w:rsid w:val="0072465D"/>
    <w:rsid w:val="0072472F"/>
    <w:rsid w:val="0072482B"/>
    <w:rsid w:val="00724BCE"/>
    <w:rsid w:val="00725599"/>
    <w:rsid w:val="007257E4"/>
    <w:rsid w:val="007259EC"/>
    <w:rsid w:val="00725FB0"/>
    <w:rsid w:val="00726021"/>
    <w:rsid w:val="0072651E"/>
    <w:rsid w:val="00726781"/>
    <w:rsid w:val="00726ACA"/>
    <w:rsid w:val="00726D30"/>
    <w:rsid w:val="0072711C"/>
    <w:rsid w:val="00727242"/>
    <w:rsid w:val="007279B8"/>
    <w:rsid w:val="00727ADD"/>
    <w:rsid w:val="00727D96"/>
    <w:rsid w:val="00727E15"/>
    <w:rsid w:val="007301C7"/>
    <w:rsid w:val="0073092A"/>
    <w:rsid w:val="00730EBD"/>
    <w:rsid w:val="00730F2E"/>
    <w:rsid w:val="007319E0"/>
    <w:rsid w:val="007322D9"/>
    <w:rsid w:val="0073237E"/>
    <w:rsid w:val="00732868"/>
    <w:rsid w:val="00732920"/>
    <w:rsid w:val="00732D9A"/>
    <w:rsid w:val="007332C7"/>
    <w:rsid w:val="00733441"/>
    <w:rsid w:val="00733492"/>
    <w:rsid w:val="00733CE3"/>
    <w:rsid w:val="00733D05"/>
    <w:rsid w:val="0073403F"/>
    <w:rsid w:val="007343AE"/>
    <w:rsid w:val="00734802"/>
    <w:rsid w:val="00734879"/>
    <w:rsid w:val="00734CCE"/>
    <w:rsid w:val="00734D59"/>
    <w:rsid w:val="00734EEA"/>
    <w:rsid w:val="0073524B"/>
    <w:rsid w:val="00735517"/>
    <w:rsid w:val="0073563E"/>
    <w:rsid w:val="007358AC"/>
    <w:rsid w:val="00735C41"/>
    <w:rsid w:val="0073617B"/>
    <w:rsid w:val="007363EA"/>
    <w:rsid w:val="00736E40"/>
    <w:rsid w:val="00736EB8"/>
    <w:rsid w:val="00737673"/>
    <w:rsid w:val="00737900"/>
    <w:rsid w:val="0073795F"/>
    <w:rsid w:val="007379F1"/>
    <w:rsid w:val="00740079"/>
    <w:rsid w:val="00740EA1"/>
    <w:rsid w:val="0074100E"/>
    <w:rsid w:val="007411C6"/>
    <w:rsid w:val="0074144E"/>
    <w:rsid w:val="00741629"/>
    <w:rsid w:val="007418FA"/>
    <w:rsid w:val="00741BB9"/>
    <w:rsid w:val="0074213A"/>
    <w:rsid w:val="0074259D"/>
    <w:rsid w:val="00742608"/>
    <w:rsid w:val="00742960"/>
    <w:rsid w:val="00742C68"/>
    <w:rsid w:val="00743443"/>
    <w:rsid w:val="00743587"/>
    <w:rsid w:val="007437B5"/>
    <w:rsid w:val="007438F3"/>
    <w:rsid w:val="00744627"/>
    <w:rsid w:val="00744DB5"/>
    <w:rsid w:val="00744ED4"/>
    <w:rsid w:val="007452BA"/>
    <w:rsid w:val="00745BDE"/>
    <w:rsid w:val="00745C1C"/>
    <w:rsid w:val="00745DB9"/>
    <w:rsid w:val="0074614F"/>
    <w:rsid w:val="00746165"/>
    <w:rsid w:val="00746170"/>
    <w:rsid w:val="0074633B"/>
    <w:rsid w:val="007463DA"/>
    <w:rsid w:val="00746833"/>
    <w:rsid w:val="007468AC"/>
    <w:rsid w:val="00746B6A"/>
    <w:rsid w:val="00746BB0"/>
    <w:rsid w:val="0074756D"/>
    <w:rsid w:val="007475F0"/>
    <w:rsid w:val="007476AE"/>
    <w:rsid w:val="00750809"/>
    <w:rsid w:val="00750BC3"/>
    <w:rsid w:val="00750D80"/>
    <w:rsid w:val="0075113D"/>
    <w:rsid w:val="00751241"/>
    <w:rsid w:val="007513B0"/>
    <w:rsid w:val="007515AB"/>
    <w:rsid w:val="00751D4D"/>
    <w:rsid w:val="00751DD2"/>
    <w:rsid w:val="00751E83"/>
    <w:rsid w:val="0075286B"/>
    <w:rsid w:val="00752B32"/>
    <w:rsid w:val="00753848"/>
    <w:rsid w:val="00753F98"/>
    <w:rsid w:val="00754794"/>
    <w:rsid w:val="00755259"/>
    <w:rsid w:val="00755670"/>
    <w:rsid w:val="007556DA"/>
    <w:rsid w:val="00755D4C"/>
    <w:rsid w:val="00756001"/>
    <w:rsid w:val="00756302"/>
    <w:rsid w:val="00756345"/>
    <w:rsid w:val="00756DDE"/>
    <w:rsid w:val="00756F89"/>
    <w:rsid w:val="007573CC"/>
    <w:rsid w:val="007607CB"/>
    <w:rsid w:val="00761278"/>
    <w:rsid w:val="007612D0"/>
    <w:rsid w:val="0076214E"/>
    <w:rsid w:val="007624AE"/>
    <w:rsid w:val="00762928"/>
    <w:rsid w:val="00762A9A"/>
    <w:rsid w:val="00762BDF"/>
    <w:rsid w:val="0076301F"/>
    <w:rsid w:val="007632A0"/>
    <w:rsid w:val="007639DC"/>
    <w:rsid w:val="0076432F"/>
    <w:rsid w:val="00764EF8"/>
    <w:rsid w:val="0076514C"/>
    <w:rsid w:val="007669C0"/>
    <w:rsid w:val="00766C96"/>
    <w:rsid w:val="00767A90"/>
    <w:rsid w:val="0077096E"/>
    <w:rsid w:val="00770976"/>
    <w:rsid w:val="00770C2C"/>
    <w:rsid w:val="00770C69"/>
    <w:rsid w:val="00770D7D"/>
    <w:rsid w:val="00770E2A"/>
    <w:rsid w:val="00770E39"/>
    <w:rsid w:val="00770EBF"/>
    <w:rsid w:val="00771033"/>
    <w:rsid w:val="00771334"/>
    <w:rsid w:val="007713E2"/>
    <w:rsid w:val="0077207A"/>
    <w:rsid w:val="007723C1"/>
    <w:rsid w:val="00772B8F"/>
    <w:rsid w:val="00773221"/>
    <w:rsid w:val="0077334E"/>
    <w:rsid w:val="0077336C"/>
    <w:rsid w:val="00773A07"/>
    <w:rsid w:val="00774390"/>
    <w:rsid w:val="007745DD"/>
    <w:rsid w:val="00774851"/>
    <w:rsid w:val="007748AF"/>
    <w:rsid w:val="00775230"/>
    <w:rsid w:val="0077543D"/>
    <w:rsid w:val="007757BF"/>
    <w:rsid w:val="00775A5A"/>
    <w:rsid w:val="00775B12"/>
    <w:rsid w:val="00775F5C"/>
    <w:rsid w:val="007765D9"/>
    <w:rsid w:val="00776790"/>
    <w:rsid w:val="00776EF4"/>
    <w:rsid w:val="0077749F"/>
    <w:rsid w:val="007778DF"/>
    <w:rsid w:val="00777D24"/>
    <w:rsid w:val="00777E04"/>
    <w:rsid w:val="00777FE3"/>
    <w:rsid w:val="00780138"/>
    <w:rsid w:val="007801B5"/>
    <w:rsid w:val="00780662"/>
    <w:rsid w:val="00780ACB"/>
    <w:rsid w:val="00780D5C"/>
    <w:rsid w:val="00780EE0"/>
    <w:rsid w:val="00781669"/>
    <w:rsid w:val="00781925"/>
    <w:rsid w:val="00781B85"/>
    <w:rsid w:val="00781E28"/>
    <w:rsid w:val="00781F9C"/>
    <w:rsid w:val="007821A7"/>
    <w:rsid w:val="0078271E"/>
    <w:rsid w:val="00783172"/>
    <w:rsid w:val="00783239"/>
    <w:rsid w:val="00783A2D"/>
    <w:rsid w:val="00784040"/>
    <w:rsid w:val="0078438C"/>
    <w:rsid w:val="0078464C"/>
    <w:rsid w:val="007851A3"/>
    <w:rsid w:val="0078542C"/>
    <w:rsid w:val="00785576"/>
    <w:rsid w:val="00786266"/>
    <w:rsid w:val="0078643C"/>
    <w:rsid w:val="007864E8"/>
    <w:rsid w:val="00786C28"/>
    <w:rsid w:val="00787499"/>
    <w:rsid w:val="00787E3C"/>
    <w:rsid w:val="00787FB3"/>
    <w:rsid w:val="00790323"/>
    <w:rsid w:val="00790555"/>
    <w:rsid w:val="00790BC3"/>
    <w:rsid w:val="00790DC9"/>
    <w:rsid w:val="00791100"/>
    <w:rsid w:val="0079117D"/>
    <w:rsid w:val="00791445"/>
    <w:rsid w:val="00792521"/>
    <w:rsid w:val="007926FB"/>
    <w:rsid w:val="0079307B"/>
    <w:rsid w:val="0079394A"/>
    <w:rsid w:val="0079403D"/>
    <w:rsid w:val="00794B5A"/>
    <w:rsid w:val="00795222"/>
    <w:rsid w:val="007952B7"/>
    <w:rsid w:val="007956B8"/>
    <w:rsid w:val="00795998"/>
    <w:rsid w:val="00796005"/>
    <w:rsid w:val="007968BA"/>
    <w:rsid w:val="00796A65"/>
    <w:rsid w:val="00796DAB"/>
    <w:rsid w:val="007979C8"/>
    <w:rsid w:val="00797F31"/>
    <w:rsid w:val="007A151C"/>
    <w:rsid w:val="007A1988"/>
    <w:rsid w:val="007A1C91"/>
    <w:rsid w:val="007A29A7"/>
    <w:rsid w:val="007A3A70"/>
    <w:rsid w:val="007A3C40"/>
    <w:rsid w:val="007A41D3"/>
    <w:rsid w:val="007A5D49"/>
    <w:rsid w:val="007A61AB"/>
    <w:rsid w:val="007A62D5"/>
    <w:rsid w:val="007A6688"/>
    <w:rsid w:val="007A680E"/>
    <w:rsid w:val="007A7094"/>
    <w:rsid w:val="007A716C"/>
    <w:rsid w:val="007A74DC"/>
    <w:rsid w:val="007A76F9"/>
    <w:rsid w:val="007A7744"/>
    <w:rsid w:val="007A781F"/>
    <w:rsid w:val="007A7922"/>
    <w:rsid w:val="007A7AE0"/>
    <w:rsid w:val="007A7EAB"/>
    <w:rsid w:val="007B0502"/>
    <w:rsid w:val="007B1205"/>
    <w:rsid w:val="007B1ED0"/>
    <w:rsid w:val="007B23CE"/>
    <w:rsid w:val="007B2416"/>
    <w:rsid w:val="007B323A"/>
    <w:rsid w:val="007B328E"/>
    <w:rsid w:val="007B33C4"/>
    <w:rsid w:val="007B40B6"/>
    <w:rsid w:val="007B4232"/>
    <w:rsid w:val="007B42EC"/>
    <w:rsid w:val="007B468A"/>
    <w:rsid w:val="007B4D9A"/>
    <w:rsid w:val="007B57F1"/>
    <w:rsid w:val="007B611D"/>
    <w:rsid w:val="007B662B"/>
    <w:rsid w:val="007B696F"/>
    <w:rsid w:val="007B703C"/>
    <w:rsid w:val="007B71A9"/>
    <w:rsid w:val="007B72F6"/>
    <w:rsid w:val="007B7C4F"/>
    <w:rsid w:val="007B7C6D"/>
    <w:rsid w:val="007B7E4A"/>
    <w:rsid w:val="007C0147"/>
    <w:rsid w:val="007C0635"/>
    <w:rsid w:val="007C07CB"/>
    <w:rsid w:val="007C0813"/>
    <w:rsid w:val="007C0CE5"/>
    <w:rsid w:val="007C1126"/>
    <w:rsid w:val="007C1215"/>
    <w:rsid w:val="007C1CA1"/>
    <w:rsid w:val="007C1DF6"/>
    <w:rsid w:val="007C1F1B"/>
    <w:rsid w:val="007C2ACA"/>
    <w:rsid w:val="007C309F"/>
    <w:rsid w:val="007C3923"/>
    <w:rsid w:val="007C3CAE"/>
    <w:rsid w:val="007C3CF8"/>
    <w:rsid w:val="007C3D2C"/>
    <w:rsid w:val="007C3F77"/>
    <w:rsid w:val="007C41AD"/>
    <w:rsid w:val="007C4712"/>
    <w:rsid w:val="007C49EC"/>
    <w:rsid w:val="007C4D69"/>
    <w:rsid w:val="007C4F16"/>
    <w:rsid w:val="007C55DB"/>
    <w:rsid w:val="007C57C0"/>
    <w:rsid w:val="007C5B8B"/>
    <w:rsid w:val="007C5E39"/>
    <w:rsid w:val="007C5EA4"/>
    <w:rsid w:val="007C6B0C"/>
    <w:rsid w:val="007C6BA7"/>
    <w:rsid w:val="007C72DE"/>
    <w:rsid w:val="007C73F6"/>
    <w:rsid w:val="007C7464"/>
    <w:rsid w:val="007D0656"/>
    <w:rsid w:val="007D0C6C"/>
    <w:rsid w:val="007D0DEF"/>
    <w:rsid w:val="007D1251"/>
    <w:rsid w:val="007D1254"/>
    <w:rsid w:val="007D1467"/>
    <w:rsid w:val="007D1696"/>
    <w:rsid w:val="007D17D0"/>
    <w:rsid w:val="007D193D"/>
    <w:rsid w:val="007D194F"/>
    <w:rsid w:val="007D1D37"/>
    <w:rsid w:val="007D20AD"/>
    <w:rsid w:val="007D20FE"/>
    <w:rsid w:val="007D219A"/>
    <w:rsid w:val="007D2D57"/>
    <w:rsid w:val="007D2ED6"/>
    <w:rsid w:val="007D3338"/>
    <w:rsid w:val="007D3E92"/>
    <w:rsid w:val="007D42FF"/>
    <w:rsid w:val="007D4412"/>
    <w:rsid w:val="007D4428"/>
    <w:rsid w:val="007D493E"/>
    <w:rsid w:val="007D5348"/>
    <w:rsid w:val="007D5560"/>
    <w:rsid w:val="007D580D"/>
    <w:rsid w:val="007D62F7"/>
    <w:rsid w:val="007D6536"/>
    <w:rsid w:val="007D6F1A"/>
    <w:rsid w:val="007D6FC4"/>
    <w:rsid w:val="007D72C8"/>
    <w:rsid w:val="007D731B"/>
    <w:rsid w:val="007D73CA"/>
    <w:rsid w:val="007D7982"/>
    <w:rsid w:val="007D7990"/>
    <w:rsid w:val="007D79D6"/>
    <w:rsid w:val="007D7A3B"/>
    <w:rsid w:val="007E054D"/>
    <w:rsid w:val="007E078B"/>
    <w:rsid w:val="007E0B90"/>
    <w:rsid w:val="007E0E95"/>
    <w:rsid w:val="007E19D5"/>
    <w:rsid w:val="007E2FE7"/>
    <w:rsid w:val="007E32C4"/>
    <w:rsid w:val="007E3793"/>
    <w:rsid w:val="007E3FF7"/>
    <w:rsid w:val="007E4DA4"/>
    <w:rsid w:val="007E5A68"/>
    <w:rsid w:val="007E5ACE"/>
    <w:rsid w:val="007E6221"/>
    <w:rsid w:val="007E66DF"/>
    <w:rsid w:val="007E69DA"/>
    <w:rsid w:val="007E6D46"/>
    <w:rsid w:val="007E7360"/>
    <w:rsid w:val="007E73AF"/>
    <w:rsid w:val="007E7606"/>
    <w:rsid w:val="007E79AE"/>
    <w:rsid w:val="007F110B"/>
    <w:rsid w:val="007F1506"/>
    <w:rsid w:val="007F1A64"/>
    <w:rsid w:val="007F1B12"/>
    <w:rsid w:val="007F2284"/>
    <w:rsid w:val="007F2D48"/>
    <w:rsid w:val="007F3619"/>
    <w:rsid w:val="007F3FF7"/>
    <w:rsid w:val="007F4513"/>
    <w:rsid w:val="007F4725"/>
    <w:rsid w:val="007F4A1A"/>
    <w:rsid w:val="007F4A61"/>
    <w:rsid w:val="007F4E6D"/>
    <w:rsid w:val="007F4EB7"/>
    <w:rsid w:val="007F4EDC"/>
    <w:rsid w:val="007F4F2E"/>
    <w:rsid w:val="007F5596"/>
    <w:rsid w:val="007F622B"/>
    <w:rsid w:val="007F64CA"/>
    <w:rsid w:val="007F66EB"/>
    <w:rsid w:val="007F6C4E"/>
    <w:rsid w:val="007F7029"/>
    <w:rsid w:val="007F73BB"/>
    <w:rsid w:val="008002FB"/>
    <w:rsid w:val="00800554"/>
    <w:rsid w:val="00800726"/>
    <w:rsid w:val="008008F8"/>
    <w:rsid w:val="00800935"/>
    <w:rsid w:val="00800B51"/>
    <w:rsid w:val="00800CD5"/>
    <w:rsid w:val="00800DEC"/>
    <w:rsid w:val="00800EB4"/>
    <w:rsid w:val="0080102A"/>
    <w:rsid w:val="0080111D"/>
    <w:rsid w:val="008012B1"/>
    <w:rsid w:val="00801501"/>
    <w:rsid w:val="00801A72"/>
    <w:rsid w:val="00801D10"/>
    <w:rsid w:val="00801DFE"/>
    <w:rsid w:val="00802263"/>
    <w:rsid w:val="00802669"/>
    <w:rsid w:val="00802E33"/>
    <w:rsid w:val="00804020"/>
    <w:rsid w:val="00804CC6"/>
    <w:rsid w:val="00804D4E"/>
    <w:rsid w:val="0080557E"/>
    <w:rsid w:val="00805664"/>
    <w:rsid w:val="00806065"/>
    <w:rsid w:val="00807644"/>
    <w:rsid w:val="00807817"/>
    <w:rsid w:val="00807958"/>
    <w:rsid w:val="00807AEE"/>
    <w:rsid w:val="00807F94"/>
    <w:rsid w:val="0081069C"/>
    <w:rsid w:val="00810DF9"/>
    <w:rsid w:val="00810E65"/>
    <w:rsid w:val="00811173"/>
    <w:rsid w:val="008115CE"/>
    <w:rsid w:val="0081179F"/>
    <w:rsid w:val="00812869"/>
    <w:rsid w:val="00812985"/>
    <w:rsid w:val="00812EB0"/>
    <w:rsid w:val="00813077"/>
    <w:rsid w:val="008132DF"/>
    <w:rsid w:val="008137AB"/>
    <w:rsid w:val="008142AE"/>
    <w:rsid w:val="008142EC"/>
    <w:rsid w:val="00814628"/>
    <w:rsid w:val="00814BB8"/>
    <w:rsid w:val="008150ED"/>
    <w:rsid w:val="00815224"/>
    <w:rsid w:val="008152A1"/>
    <w:rsid w:val="0081572B"/>
    <w:rsid w:val="008159AB"/>
    <w:rsid w:val="00815C85"/>
    <w:rsid w:val="00816467"/>
    <w:rsid w:val="00816BBE"/>
    <w:rsid w:val="00816BF1"/>
    <w:rsid w:val="00817514"/>
    <w:rsid w:val="008178CF"/>
    <w:rsid w:val="008179B2"/>
    <w:rsid w:val="00821D51"/>
    <w:rsid w:val="00822006"/>
    <w:rsid w:val="00822814"/>
    <w:rsid w:val="00822E54"/>
    <w:rsid w:val="00822EA6"/>
    <w:rsid w:val="00823074"/>
    <w:rsid w:val="008232D9"/>
    <w:rsid w:val="0082367C"/>
    <w:rsid w:val="00823C37"/>
    <w:rsid w:val="00824117"/>
    <w:rsid w:val="008241CE"/>
    <w:rsid w:val="008241D5"/>
    <w:rsid w:val="00824775"/>
    <w:rsid w:val="00824AE3"/>
    <w:rsid w:val="00824E71"/>
    <w:rsid w:val="008251B8"/>
    <w:rsid w:val="00825271"/>
    <w:rsid w:val="008255F8"/>
    <w:rsid w:val="0082582D"/>
    <w:rsid w:val="00825DC2"/>
    <w:rsid w:val="00826AEB"/>
    <w:rsid w:val="00826FC0"/>
    <w:rsid w:val="008270CB"/>
    <w:rsid w:val="00827A6C"/>
    <w:rsid w:val="00827DE4"/>
    <w:rsid w:val="0083004C"/>
    <w:rsid w:val="00830191"/>
    <w:rsid w:val="00830262"/>
    <w:rsid w:val="00830579"/>
    <w:rsid w:val="00830654"/>
    <w:rsid w:val="0083244C"/>
    <w:rsid w:val="00832582"/>
    <w:rsid w:val="008325E5"/>
    <w:rsid w:val="00832692"/>
    <w:rsid w:val="00832A27"/>
    <w:rsid w:val="008330DC"/>
    <w:rsid w:val="0083323F"/>
    <w:rsid w:val="0083371C"/>
    <w:rsid w:val="00833A91"/>
    <w:rsid w:val="00834321"/>
    <w:rsid w:val="00834AFB"/>
    <w:rsid w:val="00834DC8"/>
    <w:rsid w:val="00835923"/>
    <w:rsid w:val="00835E4D"/>
    <w:rsid w:val="00836848"/>
    <w:rsid w:val="008369FA"/>
    <w:rsid w:val="00837BA3"/>
    <w:rsid w:val="00837DE3"/>
    <w:rsid w:val="00837E65"/>
    <w:rsid w:val="008402FB"/>
    <w:rsid w:val="00841219"/>
    <w:rsid w:val="00841237"/>
    <w:rsid w:val="00842A77"/>
    <w:rsid w:val="00842B19"/>
    <w:rsid w:val="00842C9A"/>
    <w:rsid w:val="00843011"/>
    <w:rsid w:val="00843245"/>
    <w:rsid w:val="008432E6"/>
    <w:rsid w:val="008437CA"/>
    <w:rsid w:val="008439EA"/>
    <w:rsid w:val="00843BE3"/>
    <w:rsid w:val="00843C29"/>
    <w:rsid w:val="00843F00"/>
    <w:rsid w:val="00843F1A"/>
    <w:rsid w:val="00843F2C"/>
    <w:rsid w:val="00844AD0"/>
    <w:rsid w:val="00844B8A"/>
    <w:rsid w:val="00845A3D"/>
    <w:rsid w:val="00845AD0"/>
    <w:rsid w:val="00845B00"/>
    <w:rsid w:val="00845B6F"/>
    <w:rsid w:val="00845DE3"/>
    <w:rsid w:val="00845E14"/>
    <w:rsid w:val="00845F97"/>
    <w:rsid w:val="0084633A"/>
    <w:rsid w:val="008465F5"/>
    <w:rsid w:val="008469DD"/>
    <w:rsid w:val="0084717A"/>
    <w:rsid w:val="00847797"/>
    <w:rsid w:val="0085001D"/>
    <w:rsid w:val="008504C7"/>
    <w:rsid w:val="00850D02"/>
    <w:rsid w:val="0085134A"/>
    <w:rsid w:val="00852866"/>
    <w:rsid w:val="008530C6"/>
    <w:rsid w:val="00853B71"/>
    <w:rsid w:val="00854349"/>
    <w:rsid w:val="0085447B"/>
    <w:rsid w:val="00854D1C"/>
    <w:rsid w:val="0085550A"/>
    <w:rsid w:val="00856185"/>
    <w:rsid w:val="0085654A"/>
    <w:rsid w:val="00857173"/>
    <w:rsid w:val="0085727A"/>
    <w:rsid w:val="00857760"/>
    <w:rsid w:val="008600BB"/>
    <w:rsid w:val="008610A5"/>
    <w:rsid w:val="00861376"/>
    <w:rsid w:val="00861957"/>
    <w:rsid w:val="008619DA"/>
    <w:rsid w:val="00861D06"/>
    <w:rsid w:val="00861DDB"/>
    <w:rsid w:val="00862061"/>
    <w:rsid w:val="00862738"/>
    <w:rsid w:val="008627FC"/>
    <w:rsid w:val="00862A18"/>
    <w:rsid w:val="00862A7B"/>
    <w:rsid w:val="00863097"/>
    <w:rsid w:val="008631D9"/>
    <w:rsid w:val="00863474"/>
    <w:rsid w:val="00863950"/>
    <w:rsid w:val="008639EF"/>
    <w:rsid w:val="00863B3E"/>
    <w:rsid w:val="00863B7F"/>
    <w:rsid w:val="00864397"/>
    <w:rsid w:val="008644CF"/>
    <w:rsid w:val="008646E3"/>
    <w:rsid w:val="00864761"/>
    <w:rsid w:val="00864B30"/>
    <w:rsid w:val="00864B9B"/>
    <w:rsid w:val="00864D64"/>
    <w:rsid w:val="00865155"/>
    <w:rsid w:val="00865617"/>
    <w:rsid w:val="008658C5"/>
    <w:rsid w:val="008662DD"/>
    <w:rsid w:val="0086646E"/>
    <w:rsid w:val="008664F1"/>
    <w:rsid w:val="00866C49"/>
    <w:rsid w:val="008701C6"/>
    <w:rsid w:val="0087079C"/>
    <w:rsid w:val="008708F9"/>
    <w:rsid w:val="00871233"/>
    <w:rsid w:val="00871248"/>
    <w:rsid w:val="008716EF"/>
    <w:rsid w:val="008717EE"/>
    <w:rsid w:val="008722F6"/>
    <w:rsid w:val="00873012"/>
    <w:rsid w:val="00873219"/>
    <w:rsid w:val="0087353D"/>
    <w:rsid w:val="0087376E"/>
    <w:rsid w:val="00874335"/>
    <w:rsid w:val="0087457D"/>
    <w:rsid w:val="00874855"/>
    <w:rsid w:val="00875002"/>
    <w:rsid w:val="0087568D"/>
    <w:rsid w:val="00875929"/>
    <w:rsid w:val="00875B11"/>
    <w:rsid w:val="00876137"/>
    <w:rsid w:val="0087623D"/>
    <w:rsid w:val="00876517"/>
    <w:rsid w:val="0087653F"/>
    <w:rsid w:val="00876A2A"/>
    <w:rsid w:val="008779B1"/>
    <w:rsid w:val="00877EB8"/>
    <w:rsid w:val="00880625"/>
    <w:rsid w:val="00880841"/>
    <w:rsid w:val="00880AF0"/>
    <w:rsid w:val="00880BB7"/>
    <w:rsid w:val="00880DC3"/>
    <w:rsid w:val="00881237"/>
    <w:rsid w:val="00881871"/>
    <w:rsid w:val="008818B4"/>
    <w:rsid w:val="008823C1"/>
    <w:rsid w:val="00882962"/>
    <w:rsid w:val="00882D02"/>
    <w:rsid w:val="008836AC"/>
    <w:rsid w:val="00883A1D"/>
    <w:rsid w:val="00883C27"/>
    <w:rsid w:val="00883D51"/>
    <w:rsid w:val="00883F14"/>
    <w:rsid w:val="00883FFE"/>
    <w:rsid w:val="00884298"/>
    <w:rsid w:val="00884B65"/>
    <w:rsid w:val="00884BAF"/>
    <w:rsid w:val="008852E5"/>
    <w:rsid w:val="00885A70"/>
    <w:rsid w:val="00885C87"/>
    <w:rsid w:val="008864A7"/>
    <w:rsid w:val="008864B3"/>
    <w:rsid w:val="008868D3"/>
    <w:rsid w:val="00886E22"/>
    <w:rsid w:val="0088714F"/>
    <w:rsid w:val="0088739F"/>
    <w:rsid w:val="008875A3"/>
    <w:rsid w:val="008877E0"/>
    <w:rsid w:val="008879B5"/>
    <w:rsid w:val="00887BEF"/>
    <w:rsid w:val="00887F7B"/>
    <w:rsid w:val="008908A4"/>
    <w:rsid w:val="008909AA"/>
    <w:rsid w:val="00890C3D"/>
    <w:rsid w:val="00890E1D"/>
    <w:rsid w:val="008913E3"/>
    <w:rsid w:val="00891630"/>
    <w:rsid w:val="008922C9"/>
    <w:rsid w:val="00892459"/>
    <w:rsid w:val="0089258A"/>
    <w:rsid w:val="00892BAD"/>
    <w:rsid w:val="00892E83"/>
    <w:rsid w:val="0089378C"/>
    <w:rsid w:val="00893853"/>
    <w:rsid w:val="008940A0"/>
    <w:rsid w:val="0089435C"/>
    <w:rsid w:val="00894617"/>
    <w:rsid w:val="008946A4"/>
    <w:rsid w:val="0089485E"/>
    <w:rsid w:val="00894DE2"/>
    <w:rsid w:val="00894E0C"/>
    <w:rsid w:val="008950F3"/>
    <w:rsid w:val="0089550B"/>
    <w:rsid w:val="00895C24"/>
    <w:rsid w:val="00895F0D"/>
    <w:rsid w:val="008967B6"/>
    <w:rsid w:val="00896E73"/>
    <w:rsid w:val="008974C3"/>
    <w:rsid w:val="008974D5"/>
    <w:rsid w:val="008976E2"/>
    <w:rsid w:val="00897732"/>
    <w:rsid w:val="008A1340"/>
    <w:rsid w:val="008A1D41"/>
    <w:rsid w:val="008A205A"/>
    <w:rsid w:val="008A2107"/>
    <w:rsid w:val="008A2881"/>
    <w:rsid w:val="008A2C26"/>
    <w:rsid w:val="008A301F"/>
    <w:rsid w:val="008A40C1"/>
    <w:rsid w:val="008A422F"/>
    <w:rsid w:val="008A46E8"/>
    <w:rsid w:val="008A571C"/>
    <w:rsid w:val="008A5C2C"/>
    <w:rsid w:val="008A6452"/>
    <w:rsid w:val="008A6653"/>
    <w:rsid w:val="008A667D"/>
    <w:rsid w:val="008A6DB3"/>
    <w:rsid w:val="008A6E59"/>
    <w:rsid w:val="008A76FE"/>
    <w:rsid w:val="008A7743"/>
    <w:rsid w:val="008A7931"/>
    <w:rsid w:val="008A7E3D"/>
    <w:rsid w:val="008B059D"/>
    <w:rsid w:val="008B05AE"/>
    <w:rsid w:val="008B088A"/>
    <w:rsid w:val="008B0A83"/>
    <w:rsid w:val="008B1301"/>
    <w:rsid w:val="008B1BB3"/>
    <w:rsid w:val="008B1C47"/>
    <w:rsid w:val="008B1CCE"/>
    <w:rsid w:val="008B2086"/>
    <w:rsid w:val="008B20F3"/>
    <w:rsid w:val="008B2109"/>
    <w:rsid w:val="008B2255"/>
    <w:rsid w:val="008B2AD6"/>
    <w:rsid w:val="008B2F02"/>
    <w:rsid w:val="008B311F"/>
    <w:rsid w:val="008B33F0"/>
    <w:rsid w:val="008B348C"/>
    <w:rsid w:val="008B38B3"/>
    <w:rsid w:val="008B3DF7"/>
    <w:rsid w:val="008B42EF"/>
    <w:rsid w:val="008B4500"/>
    <w:rsid w:val="008B489D"/>
    <w:rsid w:val="008B5793"/>
    <w:rsid w:val="008B57BE"/>
    <w:rsid w:val="008B584D"/>
    <w:rsid w:val="008B6A26"/>
    <w:rsid w:val="008B6DEC"/>
    <w:rsid w:val="008B7038"/>
    <w:rsid w:val="008C0244"/>
    <w:rsid w:val="008C05CB"/>
    <w:rsid w:val="008C07BF"/>
    <w:rsid w:val="008C0B03"/>
    <w:rsid w:val="008C12D0"/>
    <w:rsid w:val="008C14CD"/>
    <w:rsid w:val="008C19A9"/>
    <w:rsid w:val="008C1F54"/>
    <w:rsid w:val="008C2206"/>
    <w:rsid w:val="008C2ED1"/>
    <w:rsid w:val="008C2FFF"/>
    <w:rsid w:val="008C3060"/>
    <w:rsid w:val="008C319E"/>
    <w:rsid w:val="008C4392"/>
    <w:rsid w:val="008C4997"/>
    <w:rsid w:val="008C4AF0"/>
    <w:rsid w:val="008C5154"/>
    <w:rsid w:val="008C5BEC"/>
    <w:rsid w:val="008C5FFE"/>
    <w:rsid w:val="008C673A"/>
    <w:rsid w:val="008C6CCE"/>
    <w:rsid w:val="008C7970"/>
    <w:rsid w:val="008C7B5B"/>
    <w:rsid w:val="008C7C2A"/>
    <w:rsid w:val="008D07AB"/>
    <w:rsid w:val="008D13B8"/>
    <w:rsid w:val="008D1945"/>
    <w:rsid w:val="008D1D21"/>
    <w:rsid w:val="008D1EF2"/>
    <w:rsid w:val="008D239D"/>
    <w:rsid w:val="008D28EE"/>
    <w:rsid w:val="008D3129"/>
    <w:rsid w:val="008D3366"/>
    <w:rsid w:val="008D41A1"/>
    <w:rsid w:val="008D4201"/>
    <w:rsid w:val="008D4470"/>
    <w:rsid w:val="008D4480"/>
    <w:rsid w:val="008D46F4"/>
    <w:rsid w:val="008D4ED9"/>
    <w:rsid w:val="008D4F35"/>
    <w:rsid w:val="008D552F"/>
    <w:rsid w:val="008D585E"/>
    <w:rsid w:val="008D689D"/>
    <w:rsid w:val="008D6B46"/>
    <w:rsid w:val="008D6F73"/>
    <w:rsid w:val="008D7234"/>
    <w:rsid w:val="008D72EC"/>
    <w:rsid w:val="008D7539"/>
    <w:rsid w:val="008D76D5"/>
    <w:rsid w:val="008D78F2"/>
    <w:rsid w:val="008E04C4"/>
    <w:rsid w:val="008E0511"/>
    <w:rsid w:val="008E13F3"/>
    <w:rsid w:val="008E1F92"/>
    <w:rsid w:val="008E22B1"/>
    <w:rsid w:val="008E264A"/>
    <w:rsid w:val="008E2DD2"/>
    <w:rsid w:val="008E2EB4"/>
    <w:rsid w:val="008E2ECE"/>
    <w:rsid w:val="008E3060"/>
    <w:rsid w:val="008E3388"/>
    <w:rsid w:val="008E485C"/>
    <w:rsid w:val="008E48FC"/>
    <w:rsid w:val="008E4C22"/>
    <w:rsid w:val="008E4D05"/>
    <w:rsid w:val="008E4DDA"/>
    <w:rsid w:val="008E4E92"/>
    <w:rsid w:val="008E52D1"/>
    <w:rsid w:val="008E56E2"/>
    <w:rsid w:val="008E584C"/>
    <w:rsid w:val="008E5CF3"/>
    <w:rsid w:val="008E5E14"/>
    <w:rsid w:val="008E6191"/>
    <w:rsid w:val="008E6B26"/>
    <w:rsid w:val="008E6BDF"/>
    <w:rsid w:val="008F04BF"/>
    <w:rsid w:val="008F05A8"/>
    <w:rsid w:val="008F0D58"/>
    <w:rsid w:val="008F10E0"/>
    <w:rsid w:val="008F11A0"/>
    <w:rsid w:val="008F11CC"/>
    <w:rsid w:val="008F1877"/>
    <w:rsid w:val="008F242A"/>
    <w:rsid w:val="008F2523"/>
    <w:rsid w:val="008F2588"/>
    <w:rsid w:val="008F2895"/>
    <w:rsid w:val="008F2C22"/>
    <w:rsid w:val="008F3C9C"/>
    <w:rsid w:val="008F3DAA"/>
    <w:rsid w:val="008F401B"/>
    <w:rsid w:val="008F58F5"/>
    <w:rsid w:val="008F593D"/>
    <w:rsid w:val="008F5B12"/>
    <w:rsid w:val="008F612A"/>
    <w:rsid w:val="008F6C1B"/>
    <w:rsid w:val="008F6F22"/>
    <w:rsid w:val="008F701C"/>
    <w:rsid w:val="008F70B9"/>
    <w:rsid w:val="008F7367"/>
    <w:rsid w:val="008F7669"/>
    <w:rsid w:val="008F766E"/>
    <w:rsid w:val="008F76DE"/>
    <w:rsid w:val="008F7C3C"/>
    <w:rsid w:val="00900328"/>
    <w:rsid w:val="00900397"/>
    <w:rsid w:val="00900505"/>
    <w:rsid w:val="00900537"/>
    <w:rsid w:val="0090078B"/>
    <w:rsid w:val="00900C0D"/>
    <w:rsid w:val="009014EF"/>
    <w:rsid w:val="0090175D"/>
    <w:rsid w:val="00901833"/>
    <w:rsid w:val="00901FCF"/>
    <w:rsid w:val="00902022"/>
    <w:rsid w:val="009026EF"/>
    <w:rsid w:val="00902EFA"/>
    <w:rsid w:val="00902FA2"/>
    <w:rsid w:val="00902FFD"/>
    <w:rsid w:val="00903C0E"/>
    <w:rsid w:val="009051B4"/>
    <w:rsid w:val="0090571B"/>
    <w:rsid w:val="00905B19"/>
    <w:rsid w:val="00905C7A"/>
    <w:rsid w:val="00906738"/>
    <w:rsid w:val="0090687F"/>
    <w:rsid w:val="009069F8"/>
    <w:rsid w:val="00906B51"/>
    <w:rsid w:val="00906CCF"/>
    <w:rsid w:val="009071C3"/>
    <w:rsid w:val="009075CF"/>
    <w:rsid w:val="009078EE"/>
    <w:rsid w:val="00907AD5"/>
    <w:rsid w:val="00910682"/>
    <w:rsid w:val="00910741"/>
    <w:rsid w:val="00910809"/>
    <w:rsid w:val="00910A6E"/>
    <w:rsid w:val="00910D89"/>
    <w:rsid w:val="00910EB8"/>
    <w:rsid w:val="00911123"/>
    <w:rsid w:val="00911954"/>
    <w:rsid w:val="00912589"/>
    <w:rsid w:val="0091275A"/>
    <w:rsid w:val="0091277E"/>
    <w:rsid w:val="00912DF2"/>
    <w:rsid w:val="00913052"/>
    <w:rsid w:val="009130CC"/>
    <w:rsid w:val="009136FA"/>
    <w:rsid w:val="009139C1"/>
    <w:rsid w:val="00913E61"/>
    <w:rsid w:val="0091406A"/>
    <w:rsid w:val="00914711"/>
    <w:rsid w:val="00914754"/>
    <w:rsid w:val="00914859"/>
    <w:rsid w:val="00915020"/>
    <w:rsid w:val="00915973"/>
    <w:rsid w:val="00915C13"/>
    <w:rsid w:val="009162AA"/>
    <w:rsid w:val="009162E9"/>
    <w:rsid w:val="009169A5"/>
    <w:rsid w:val="009169CE"/>
    <w:rsid w:val="00916E54"/>
    <w:rsid w:val="0091765D"/>
    <w:rsid w:val="0091767E"/>
    <w:rsid w:val="00917DBC"/>
    <w:rsid w:val="00920640"/>
    <w:rsid w:val="009206FE"/>
    <w:rsid w:val="00920C8E"/>
    <w:rsid w:val="00920D02"/>
    <w:rsid w:val="00920D70"/>
    <w:rsid w:val="00920F9C"/>
    <w:rsid w:val="0092104F"/>
    <w:rsid w:val="00921241"/>
    <w:rsid w:val="00921353"/>
    <w:rsid w:val="009217C1"/>
    <w:rsid w:val="00921A4F"/>
    <w:rsid w:val="009227C1"/>
    <w:rsid w:val="00922BBD"/>
    <w:rsid w:val="009234B6"/>
    <w:rsid w:val="009237A9"/>
    <w:rsid w:val="00923CBA"/>
    <w:rsid w:val="00924F48"/>
    <w:rsid w:val="009254E1"/>
    <w:rsid w:val="009257BA"/>
    <w:rsid w:val="009274A5"/>
    <w:rsid w:val="00927642"/>
    <w:rsid w:val="009300FF"/>
    <w:rsid w:val="009301C9"/>
    <w:rsid w:val="00931103"/>
    <w:rsid w:val="0093120D"/>
    <w:rsid w:val="00931D8C"/>
    <w:rsid w:val="00932054"/>
    <w:rsid w:val="009325AF"/>
    <w:rsid w:val="0093269F"/>
    <w:rsid w:val="009326C8"/>
    <w:rsid w:val="0093290A"/>
    <w:rsid w:val="00932F40"/>
    <w:rsid w:val="0093320A"/>
    <w:rsid w:val="0093340C"/>
    <w:rsid w:val="009336C4"/>
    <w:rsid w:val="00933D24"/>
    <w:rsid w:val="00934207"/>
    <w:rsid w:val="00934440"/>
    <w:rsid w:val="00934588"/>
    <w:rsid w:val="00934837"/>
    <w:rsid w:val="009352A6"/>
    <w:rsid w:val="00935A57"/>
    <w:rsid w:val="00936256"/>
    <w:rsid w:val="00936743"/>
    <w:rsid w:val="00936C3B"/>
    <w:rsid w:val="00936F5E"/>
    <w:rsid w:val="009373DD"/>
    <w:rsid w:val="00937E2B"/>
    <w:rsid w:val="0094028E"/>
    <w:rsid w:val="0094104E"/>
    <w:rsid w:val="009412C3"/>
    <w:rsid w:val="00941334"/>
    <w:rsid w:val="00941637"/>
    <w:rsid w:val="00941999"/>
    <w:rsid w:val="00941A81"/>
    <w:rsid w:val="009424A5"/>
    <w:rsid w:val="0094266D"/>
    <w:rsid w:val="00942EDB"/>
    <w:rsid w:val="00942F7E"/>
    <w:rsid w:val="00943144"/>
    <w:rsid w:val="009433A5"/>
    <w:rsid w:val="009433EF"/>
    <w:rsid w:val="00943951"/>
    <w:rsid w:val="00943AC6"/>
    <w:rsid w:val="00943C97"/>
    <w:rsid w:val="00943D5E"/>
    <w:rsid w:val="00944159"/>
    <w:rsid w:val="00944218"/>
    <w:rsid w:val="00945239"/>
    <w:rsid w:val="0094565B"/>
    <w:rsid w:val="009456FB"/>
    <w:rsid w:val="00945B8E"/>
    <w:rsid w:val="00946044"/>
    <w:rsid w:val="00946303"/>
    <w:rsid w:val="00946374"/>
    <w:rsid w:val="009472C1"/>
    <w:rsid w:val="00947896"/>
    <w:rsid w:val="00947BD6"/>
    <w:rsid w:val="00950950"/>
    <w:rsid w:val="00950F98"/>
    <w:rsid w:val="00951096"/>
    <w:rsid w:val="00952040"/>
    <w:rsid w:val="00952D48"/>
    <w:rsid w:val="00953109"/>
    <w:rsid w:val="009532A1"/>
    <w:rsid w:val="009539DA"/>
    <w:rsid w:val="00953A73"/>
    <w:rsid w:val="009541DC"/>
    <w:rsid w:val="00954477"/>
    <w:rsid w:val="009545D9"/>
    <w:rsid w:val="00954706"/>
    <w:rsid w:val="00954A2C"/>
    <w:rsid w:val="00954C1F"/>
    <w:rsid w:val="00954EFF"/>
    <w:rsid w:val="00954FAF"/>
    <w:rsid w:val="00955F5F"/>
    <w:rsid w:val="00956479"/>
    <w:rsid w:val="009569E3"/>
    <w:rsid w:val="00957350"/>
    <w:rsid w:val="00957675"/>
    <w:rsid w:val="009576FB"/>
    <w:rsid w:val="00957BB7"/>
    <w:rsid w:val="009604B3"/>
    <w:rsid w:val="009606A7"/>
    <w:rsid w:val="00960A83"/>
    <w:rsid w:val="00960B8C"/>
    <w:rsid w:val="00960C16"/>
    <w:rsid w:val="009612B8"/>
    <w:rsid w:val="00961E23"/>
    <w:rsid w:val="00963533"/>
    <w:rsid w:val="00963617"/>
    <w:rsid w:val="00964734"/>
    <w:rsid w:val="00964A30"/>
    <w:rsid w:val="0096740B"/>
    <w:rsid w:val="009706F7"/>
    <w:rsid w:val="00971639"/>
    <w:rsid w:val="00971A5B"/>
    <w:rsid w:val="00971AC9"/>
    <w:rsid w:val="00971B04"/>
    <w:rsid w:val="00971EED"/>
    <w:rsid w:val="00972054"/>
    <w:rsid w:val="0097212B"/>
    <w:rsid w:val="009721B5"/>
    <w:rsid w:val="0097237E"/>
    <w:rsid w:val="00972CCE"/>
    <w:rsid w:val="00972F1E"/>
    <w:rsid w:val="00973067"/>
    <w:rsid w:val="009743AA"/>
    <w:rsid w:val="00974782"/>
    <w:rsid w:val="00974D42"/>
    <w:rsid w:val="00975B49"/>
    <w:rsid w:val="00975D6E"/>
    <w:rsid w:val="009766BE"/>
    <w:rsid w:val="009768BF"/>
    <w:rsid w:val="0097698F"/>
    <w:rsid w:val="00976C7F"/>
    <w:rsid w:val="00976D1C"/>
    <w:rsid w:val="0097744B"/>
    <w:rsid w:val="00977549"/>
    <w:rsid w:val="0097781B"/>
    <w:rsid w:val="00977A35"/>
    <w:rsid w:val="00977C5D"/>
    <w:rsid w:val="00977C7F"/>
    <w:rsid w:val="00977E5C"/>
    <w:rsid w:val="00980486"/>
    <w:rsid w:val="00980562"/>
    <w:rsid w:val="00980AC7"/>
    <w:rsid w:val="0098277D"/>
    <w:rsid w:val="00982AF8"/>
    <w:rsid w:val="00982BA8"/>
    <w:rsid w:val="009830E7"/>
    <w:rsid w:val="00983159"/>
    <w:rsid w:val="00983598"/>
    <w:rsid w:val="0098470F"/>
    <w:rsid w:val="009848B0"/>
    <w:rsid w:val="00984EF1"/>
    <w:rsid w:val="00985C46"/>
    <w:rsid w:val="00985F61"/>
    <w:rsid w:val="009864D8"/>
    <w:rsid w:val="009872AD"/>
    <w:rsid w:val="00990306"/>
    <w:rsid w:val="00990355"/>
    <w:rsid w:val="00990666"/>
    <w:rsid w:val="00990B63"/>
    <w:rsid w:val="00990E8B"/>
    <w:rsid w:val="0099183D"/>
    <w:rsid w:val="00992C63"/>
    <w:rsid w:val="00992D7C"/>
    <w:rsid w:val="0099363C"/>
    <w:rsid w:val="00994243"/>
    <w:rsid w:val="00994CD0"/>
    <w:rsid w:val="009952FD"/>
    <w:rsid w:val="0099542F"/>
    <w:rsid w:val="009954A2"/>
    <w:rsid w:val="009955A4"/>
    <w:rsid w:val="00995762"/>
    <w:rsid w:val="00995ABC"/>
    <w:rsid w:val="0099604E"/>
    <w:rsid w:val="00996A69"/>
    <w:rsid w:val="00996A89"/>
    <w:rsid w:val="00996FE5"/>
    <w:rsid w:val="0099718B"/>
    <w:rsid w:val="00997A2D"/>
    <w:rsid w:val="00997A9B"/>
    <w:rsid w:val="00997D61"/>
    <w:rsid w:val="00997F08"/>
    <w:rsid w:val="00997F6A"/>
    <w:rsid w:val="009A01A6"/>
    <w:rsid w:val="009A0D3C"/>
    <w:rsid w:val="009A1126"/>
    <w:rsid w:val="009A16C0"/>
    <w:rsid w:val="009A17DA"/>
    <w:rsid w:val="009A18A3"/>
    <w:rsid w:val="009A1FDD"/>
    <w:rsid w:val="009A2351"/>
    <w:rsid w:val="009A25F4"/>
    <w:rsid w:val="009A276A"/>
    <w:rsid w:val="009A2ADF"/>
    <w:rsid w:val="009A2CBF"/>
    <w:rsid w:val="009A2DF4"/>
    <w:rsid w:val="009A3167"/>
    <w:rsid w:val="009A34B8"/>
    <w:rsid w:val="009A39FF"/>
    <w:rsid w:val="009A3B02"/>
    <w:rsid w:val="009A4299"/>
    <w:rsid w:val="009A4E48"/>
    <w:rsid w:val="009A5133"/>
    <w:rsid w:val="009A51AA"/>
    <w:rsid w:val="009A5341"/>
    <w:rsid w:val="009A5AB4"/>
    <w:rsid w:val="009A5BA6"/>
    <w:rsid w:val="009A5E8E"/>
    <w:rsid w:val="009A5F56"/>
    <w:rsid w:val="009A6535"/>
    <w:rsid w:val="009A6BBE"/>
    <w:rsid w:val="009A6FAD"/>
    <w:rsid w:val="009A7662"/>
    <w:rsid w:val="009A79CD"/>
    <w:rsid w:val="009B0135"/>
    <w:rsid w:val="009B0491"/>
    <w:rsid w:val="009B07D2"/>
    <w:rsid w:val="009B0D52"/>
    <w:rsid w:val="009B1E66"/>
    <w:rsid w:val="009B1F3B"/>
    <w:rsid w:val="009B2194"/>
    <w:rsid w:val="009B2A7F"/>
    <w:rsid w:val="009B3942"/>
    <w:rsid w:val="009B3BFB"/>
    <w:rsid w:val="009B4020"/>
    <w:rsid w:val="009B408A"/>
    <w:rsid w:val="009B4450"/>
    <w:rsid w:val="009B4B47"/>
    <w:rsid w:val="009B5A2A"/>
    <w:rsid w:val="009B5AF3"/>
    <w:rsid w:val="009B602E"/>
    <w:rsid w:val="009B633B"/>
    <w:rsid w:val="009B6887"/>
    <w:rsid w:val="009B68C8"/>
    <w:rsid w:val="009B68CD"/>
    <w:rsid w:val="009B6D4F"/>
    <w:rsid w:val="009B6E5F"/>
    <w:rsid w:val="009B6FBB"/>
    <w:rsid w:val="009B74DE"/>
    <w:rsid w:val="009B7724"/>
    <w:rsid w:val="009C0383"/>
    <w:rsid w:val="009C07A5"/>
    <w:rsid w:val="009C0B04"/>
    <w:rsid w:val="009C0FF8"/>
    <w:rsid w:val="009C1F0F"/>
    <w:rsid w:val="009C1FF0"/>
    <w:rsid w:val="009C20B9"/>
    <w:rsid w:val="009C210F"/>
    <w:rsid w:val="009C268C"/>
    <w:rsid w:val="009C3897"/>
    <w:rsid w:val="009C3FDB"/>
    <w:rsid w:val="009C40FE"/>
    <w:rsid w:val="009C4141"/>
    <w:rsid w:val="009C4B87"/>
    <w:rsid w:val="009C4F30"/>
    <w:rsid w:val="009C4F63"/>
    <w:rsid w:val="009C532F"/>
    <w:rsid w:val="009C5385"/>
    <w:rsid w:val="009C54CD"/>
    <w:rsid w:val="009C5715"/>
    <w:rsid w:val="009C5EB8"/>
    <w:rsid w:val="009C63D2"/>
    <w:rsid w:val="009C6E7C"/>
    <w:rsid w:val="009C6FF7"/>
    <w:rsid w:val="009C72BE"/>
    <w:rsid w:val="009C73F2"/>
    <w:rsid w:val="009C7AC6"/>
    <w:rsid w:val="009D0049"/>
    <w:rsid w:val="009D0351"/>
    <w:rsid w:val="009D0658"/>
    <w:rsid w:val="009D101E"/>
    <w:rsid w:val="009D10FF"/>
    <w:rsid w:val="009D2650"/>
    <w:rsid w:val="009D30D5"/>
    <w:rsid w:val="009D31DC"/>
    <w:rsid w:val="009D39D2"/>
    <w:rsid w:val="009D3A8B"/>
    <w:rsid w:val="009D3BD9"/>
    <w:rsid w:val="009D43C1"/>
    <w:rsid w:val="009D44EC"/>
    <w:rsid w:val="009D455F"/>
    <w:rsid w:val="009D47DB"/>
    <w:rsid w:val="009D4E60"/>
    <w:rsid w:val="009D4EF5"/>
    <w:rsid w:val="009D5183"/>
    <w:rsid w:val="009D548C"/>
    <w:rsid w:val="009D580D"/>
    <w:rsid w:val="009D5E47"/>
    <w:rsid w:val="009D5FE6"/>
    <w:rsid w:val="009D6924"/>
    <w:rsid w:val="009D6A7E"/>
    <w:rsid w:val="009D6CA7"/>
    <w:rsid w:val="009D734C"/>
    <w:rsid w:val="009D7681"/>
    <w:rsid w:val="009D79FE"/>
    <w:rsid w:val="009D7AC5"/>
    <w:rsid w:val="009D7CD7"/>
    <w:rsid w:val="009D7E32"/>
    <w:rsid w:val="009E083E"/>
    <w:rsid w:val="009E146B"/>
    <w:rsid w:val="009E1637"/>
    <w:rsid w:val="009E2150"/>
    <w:rsid w:val="009E2170"/>
    <w:rsid w:val="009E21DF"/>
    <w:rsid w:val="009E23C3"/>
    <w:rsid w:val="009E2CE7"/>
    <w:rsid w:val="009E3BDF"/>
    <w:rsid w:val="009E421A"/>
    <w:rsid w:val="009E533B"/>
    <w:rsid w:val="009E555E"/>
    <w:rsid w:val="009E5AC4"/>
    <w:rsid w:val="009E5E23"/>
    <w:rsid w:val="009E653D"/>
    <w:rsid w:val="009E6540"/>
    <w:rsid w:val="009E6762"/>
    <w:rsid w:val="009E6EF1"/>
    <w:rsid w:val="009E7008"/>
    <w:rsid w:val="009E794F"/>
    <w:rsid w:val="009E79D6"/>
    <w:rsid w:val="009E7A59"/>
    <w:rsid w:val="009E7C2A"/>
    <w:rsid w:val="009F091F"/>
    <w:rsid w:val="009F160A"/>
    <w:rsid w:val="009F195C"/>
    <w:rsid w:val="009F1AD7"/>
    <w:rsid w:val="009F2467"/>
    <w:rsid w:val="009F250D"/>
    <w:rsid w:val="009F2E6F"/>
    <w:rsid w:val="009F3381"/>
    <w:rsid w:val="009F356D"/>
    <w:rsid w:val="009F35E0"/>
    <w:rsid w:val="009F3D4F"/>
    <w:rsid w:val="009F4C5F"/>
    <w:rsid w:val="009F618D"/>
    <w:rsid w:val="009F689C"/>
    <w:rsid w:val="009F6A59"/>
    <w:rsid w:val="009F7338"/>
    <w:rsid w:val="009F77F8"/>
    <w:rsid w:val="009F7E14"/>
    <w:rsid w:val="00A00144"/>
    <w:rsid w:val="00A00408"/>
    <w:rsid w:val="00A0128B"/>
    <w:rsid w:val="00A01751"/>
    <w:rsid w:val="00A01A5A"/>
    <w:rsid w:val="00A02422"/>
    <w:rsid w:val="00A024FE"/>
    <w:rsid w:val="00A02D68"/>
    <w:rsid w:val="00A03323"/>
    <w:rsid w:val="00A034B7"/>
    <w:rsid w:val="00A0357C"/>
    <w:rsid w:val="00A035A7"/>
    <w:rsid w:val="00A03654"/>
    <w:rsid w:val="00A037CA"/>
    <w:rsid w:val="00A03B1B"/>
    <w:rsid w:val="00A03B8E"/>
    <w:rsid w:val="00A03D88"/>
    <w:rsid w:val="00A03E3E"/>
    <w:rsid w:val="00A03F8F"/>
    <w:rsid w:val="00A04359"/>
    <w:rsid w:val="00A049D4"/>
    <w:rsid w:val="00A04A8C"/>
    <w:rsid w:val="00A05131"/>
    <w:rsid w:val="00A0547B"/>
    <w:rsid w:val="00A054A9"/>
    <w:rsid w:val="00A060E6"/>
    <w:rsid w:val="00A06C07"/>
    <w:rsid w:val="00A06E65"/>
    <w:rsid w:val="00A07087"/>
    <w:rsid w:val="00A07442"/>
    <w:rsid w:val="00A07878"/>
    <w:rsid w:val="00A101C4"/>
    <w:rsid w:val="00A1037B"/>
    <w:rsid w:val="00A104A5"/>
    <w:rsid w:val="00A106DF"/>
    <w:rsid w:val="00A107AB"/>
    <w:rsid w:val="00A10B0B"/>
    <w:rsid w:val="00A11029"/>
    <w:rsid w:val="00A11532"/>
    <w:rsid w:val="00A118C0"/>
    <w:rsid w:val="00A1195B"/>
    <w:rsid w:val="00A11FF4"/>
    <w:rsid w:val="00A126D4"/>
    <w:rsid w:val="00A12A67"/>
    <w:rsid w:val="00A131C5"/>
    <w:rsid w:val="00A13A5E"/>
    <w:rsid w:val="00A13E15"/>
    <w:rsid w:val="00A13F4A"/>
    <w:rsid w:val="00A13FDE"/>
    <w:rsid w:val="00A14757"/>
    <w:rsid w:val="00A147FF"/>
    <w:rsid w:val="00A149FA"/>
    <w:rsid w:val="00A14B55"/>
    <w:rsid w:val="00A14DAF"/>
    <w:rsid w:val="00A1538A"/>
    <w:rsid w:val="00A153E1"/>
    <w:rsid w:val="00A15918"/>
    <w:rsid w:val="00A15A75"/>
    <w:rsid w:val="00A15CDC"/>
    <w:rsid w:val="00A167EC"/>
    <w:rsid w:val="00A16B09"/>
    <w:rsid w:val="00A16EA5"/>
    <w:rsid w:val="00A17063"/>
    <w:rsid w:val="00A171E6"/>
    <w:rsid w:val="00A1781E"/>
    <w:rsid w:val="00A17F99"/>
    <w:rsid w:val="00A20586"/>
    <w:rsid w:val="00A2129F"/>
    <w:rsid w:val="00A22209"/>
    <w:rsid w:val="00A22EED"/>
    <w:rsid w:val="00A23200"/>
    <w:rsid w:val="00A233F6"/>
    <w:rsid w:val="00A2377B"/>
    <w:rsid w:val="00A23792"/>
    <w:rsid w:val="00A23E81"/>
    <w:rsid w:val="00A24094"/>
    <w:rsid w:val="00A24899"/>
    <w:rsid w:val="00A249A3"/>
    <w:rsid w:val="00A25178"/>
    <w:rsid w:val="00A2532C"/>
    <w:rsid w:val="00A25BAD"/>
    <w:rsid w:val="00A25EC1"/>
    <w:rsid w:val="00A262B9"/>
    <w:rsid w:val="00A2681A"/>
    <w:rsid w:val="00A26E16"/>
    <w:rsid w:val="00A26FCD"/>
    <w:rsid w:val="00A26FE1"/>
    <w:rsid w:val="00A271A3"/>
    <w:rsid w:val="00A277C6"/>
    <w:rsid w:val="00A278B0"/>
    <w:rsid w:val="00A27989"/>
    <w:rsid w:val="00A27B73"/>
    <w:rsid w:val="00A27E54"/>
    <w:rsid w:val="00A30704"/>
    <w:rsid w:val="00A30840"/>
    <w:rsid w:val="00A30A03"/>
    <w:rsid w:val="00A310E3"/>
    <w:rsid w:val="00A319D1"/>
    <w:rsid w:val="00A3220E"/>
    <w:rsid w:val="00A32787"/>
    <w:rsid w:val="00A32812"/>
    <w:rsid w:val="00A32ABF"/>
    <w:rsid w:val="00A32C6F"/>
    <w:rsid w:val="00A32CA0"/>
    <w:rsid w:val="00A32CC7"/>
    <w:rsid w:val="00A32CD9"/>
    <w:rsid w:val="00A32D67"/>
    <w:rsid w:val="00A33112"/>
    <w:rsid w:val="00A3336A"/>
    <w:rsid w:val="00A338DF"/>
    <w:rsid w:val="00A3462E"/>
    <w:rsid w:val="00A346D2"/>
    <w:rsid w:val="00A35E15"/>
    <w:rsid w:val="00A360A5"/>
    <w:rsid w:val="00A364F2"/>
    <w:rsid w:val="00A36B6A"/>
    <w:rsid w:val="00A40023"/>
    <w:rsid w:val="00A409ED"/>
    <w:rsid w:val="00A40C77"/>
    <w:rsid w:val="00A41249"/>
    <w:rsid w:val="00A41707"/>
    <w:rsid w:val="00A41E49"/>
    <w:rsid w:val="00A42243"/>
    <w:rsid w:val="00A42368"/>
    <w:rsid w:val="00A42599"/>
    <w:rsid w:val="00A42F97"/>
    <w:rsid w:val="00A42FE1"/>
    <w:rsid w:val="00A430B9"/>
    <w:rsid w:val="00A43705"/>
    <w:rsid w:val="00A4376F"/>
    <w:rsid w:val="00A43A71"/>
    <w:rsid w:val="00A445F1"/>
    <w:rsid w:val="00A4478D"/>
    <w:rsid w:val="00A447B1"/>
    <w:rsid w:val="00A44D81"/>
    <w:rsid w:val="00A44FC9"/>
    <w:rsid w:val="00A450F8"/>
    <w:rsid w:val="00A4569C"/>
    <w:rsid w:val="00A456A3"/>
    <w:rsid w:val="00A457CF"/>
    <w:rsid w:val="00A4594E"/>
    <w:rsid w:val="00A45F7A"/>
    <w:rsid w:val="00A4638E"/>
    <w:rsid w:val="00A463EA"/>
    <w:rsid w:val="00A47DEA"/>
    <w:rsid w:val="00A47ECA"/>
    <w:rsid w:val="00A50140"/>
    <w:rsid w:val="00A50233"/>
    <w:rsid w:val="00A502C5"/>
    <w:rsid w:val="00A50354"/>
    <w:rsid w:val="00A50377"/>
    <w:rsid w:val="00A51555"/>
    <w:rsid w:val="00A51DA9"/>
    <w:rsid w:val="00A51EDB"/>
    <w:rsid w:val="00A52746"/>
    <w:rsid w:val="00A52BDE"/>
    <w:rsid w:val="00A52EDD"/>
    <w:rsid w:val="00A53155"/>
    <w:rsid w:val="00A53609"/>
    <w:rsid w:val="00A537B7"/>
    <w:rsid w:val="00A53826"/>
    <w:rsid w:val="00A53F40"/>
    <w:rsid w:val="00A53FF9"/>
    <w:rsid w:val="00A54949"/>
    <w:rsid w:val="00A54BA8"/>
    <w:rsid w:val="00A54CB5"/>
    <w:rsid w:val="00A553A9"/>
    <w:rsid w:val="00A55D85"/>
    <w:rsid w:val="00A55F22"/>
    <w:rsid w:val="00A560DB"/>
    <w:rsid w:val="00A56167"/>
    <w:rsid w:val="00A56B83"/>
    <w:rsid w:val="00A574DB"/>
    <w:rsid w:val="00A57770"/>
    <w:rsid w:val="00A57899"/>
    <w:rsid w:val="00A602D8"/>
    <w:rsid w:val="00A604F2"/>
    <w:rsid w:val="00A60E87"/>
    <w:rsid w:val="00A60EAE"/>
    <w:rsid w:val="00A62F97"/>
    <w:rsid w:val="00A63ED2"/>
    <w:rsid w:val="00A6474C"/>
    <w:rsid w:val="00A64C9D"/>
    <w:rsid w:val="00A653D9"/>
    <w:rsid w:val="00A663B7"/>
    <w:rsid w:val="00A669D9"/>
    <w:rsid w:val="00A6752A"/>
    <w:rsid w:val="00A6753A"/>
    <w:rsid w:val="00A67786"/>
    <w:rsid w:val="00A70153"/>
    <w:rsid w:val="00A7093E"/>
    <w:rsid w:val="00A70D05"/>
    <w:rsid w:val="00A70D41"/>
    <w:rsid w:val="00A7107D"/>
    <w:rsid w:val="00A71E9E"/>
    <w:rsid w:val="00A720B2"/>
    <w:rsid w:val="00A72386"/>
    <w:rsid w:val="00A724E0"/>
    <w:rsid w:val="00A7263F"/>
    <w:rsid w:val="00A72A33"/>
    <w:rsid w:val="00A72BE4"/>
    <w:rsid w:val="00A72E73"/>
    <w:rsid w:val="00A72E74"/>
    <w:rsid w:val="00A7317E"/>
    <w:rsid w:val="00A732E9"/>
    <w:rsid w:val="00A73843"/>
    <w:rsid w:val="00A738DA"/>
    <w:rsid w:val="00A73C58"/>
    <w:rsid w:val="00A73D2E"/>
    <w:rsid w:val="00A74860"/>
    <w:rsid w:val="00A74877"/>
    <w:rsid w:val="00A766A2"/>
    <w:rsid w:val="00A76C8F"/>
    <w:rsid w:val="00A77190"/>
    <w:rsid w:val="00A77679"/>
    <w:rsid w:val="00A77BBA"/>
    <w:rsid w:val="00A77C84"/>
    <w:rsid w:val="00A804E9"/>
    <w:rsid w:val="00A80E9F"/>
    <w:rsid w:val="00A8199B"/>
    <w:rsid w:val="00A821D7"/>
    <w:rsid w:val="00A82217"/>
    <w:rsid w:val="00A82C39"/>
    <w:rsid w:val="00A83BAF"/>
    <w:rsid w:val="00A84797"/>
    <w:rsid w:val="00A8482C"/>
    <w:rsid w:val="00A85D1F"/>
    <w:rsid w:val="00A85D28"/>
    <w:rsid w:val="00A85E9F"/>
    <w:rsid w:val="00A85F40"/>
    <w:rsid w:val="00A86125"/>
    <w:rsid w:val="00A86245"/>
    <w:rsid w:val="00A8646D"/>
    <w:rsid w:val="00A8653F"/>
    <w:rsid w:val="00A86560"/>
    <w:rsid w:val="00A867E2"/>
    <w:rsid w:val="00A867EE"/>
    <w:rsid w:val="00A90B81"/>
    <w:rsid w:val="00A91258"/>
    <w:rsid w:val="00A91E33"/>
    <w:rsid w:val="00A93239"/>
    <w:rsid w:val="00A933D2"/>
    <w:rsid w:val="00A936D1"/>
    <w:rsid w:val="00A93777"/>
    <w:rsid w:val="00A93B8A"/>
    <w:rsid w:val="00A93D56"/>
    <w:rsid w:val="00A93E5E"/>
    <w:rsid w:val="00A93FC4"/>
    <w:rsid w:val="00A94FD5"/>
    <w:rsid w:val="00A95015"/>
    <w:rsid w:val="00A951E3"/>
    <w:rsid w:val="00A9533D"/>
    <w:rsid w:val="00A9537F"/>
    <w:rsid w:val="00A9599C"/>
    <w:rsid w:val="00A95B2C"/>
    <w:rsid w:val="00A95D2E"/>
    <w:rsid w:val="00A96534"/>
    <w:rsid w:val="00A96885"/>
    <w:rsid w:val="00A96A7B"/>
    <w:rsid w:val="00A96B68"/>
    <w:rsid w:val="00A96E6F"/>
    <w:rsid w:val="00A96EFA"/>
    <w:rsid w:val="00A97391"/>
    <w:rsid w:val="00A97863"/>
    <w:rsid w:val="00A97F79"/>
    <w:rsid w:val="00AA061F"/>
    <w:rsid w:val="00AA0834"/>
    <w:rsid w:val="00AA090E"/>
    <w:rsid w:val="00AA1203"/>
    <w:rsid w:val="00AA1323"/>
    <w:rsid w:val="00AA16A8"/>
    <w:rsid w:val="00AA17E6"/>
    <w:rsid w:val="00AA1845"/>
    <w:rsid w:val="00AA1958"/>
    <w:rsid w:val="00AA1DEA"/>
    <w:rsid w:val="00AA1F38"/>
    <w:rsid w:val="00AA1FD3"/>
    <w:rsid w:val="00AA281A"/>
    <w:rsid w:val="00AA2B4F"/>
    <w:rsid w:val="00AA2C26"/>
    <w:rsid w:val="00AA2EE2"/>
    <w:rsid w:val="00AA30F5"/>
    <w:rsid w:val="00AA33A7"/>
    <w:rsid w:val="00AA3A45"/>
    <w:rsid w:val="00AA3F63"/>
    <w:rsid w:val="00AA41AB"/>
    <w:rsid w:val="00AA4498"/>
    <w:rsid w:val="00AA5719"/>
    <w:rsid w:val="00AA58A5"/>
    <w:rsid w:val="00AA5ACF"/>
    <w:rsid w:val="00AA717F"/>
    <w:rsid w:val="00AA71EC"/>
    <w:rsid w:val="00AA73DF"/>
    <w:rsid w:val="00AA7A60"/>
    <w:rsid w:val="00AB0460"/>
    <w:rsid w:val="00AB0CC1"/>
    <w:rsid w:val="00AB1801"/>
    <w:rsid w:val="00AB1A2A"/>
    <w:rsid w:val="00AB2087"/>
    <w:rsid w:val="00AB297A"/>
    <w:rsid w:val="00AB35C4"/>
    <w:rsid w:val="00AB376E"/>
    <w:rsid w:val="00AB3B71"/>
    <w:rsid w:val="00AB3C54"/>
    <w:rsid w:val="00AB3DE0"/>
    <w:rsid w:val="00AB424E"/>
    <w:rsid w:val="00AB45AF"/>
    <w:rsid w:val="00AB4775"/>
    <w:rsid w:val="00AB56B7"/>
    <w:rsid w:val="00AB61B2"/>
    <w:rsid w:val="00AB62D3"/>
    <w:rsid w:val="00AB66DD"/>
    <w:rsid w:val="00AB682D"/>
    <w:rsid w:val="00AB6CC5"/>
    <w:rsid w:val="00AB6F40"/>
    <w:rsid w:val="00AB76CC"/>
    <w:rsid w:val="00AB788E"/>
    <w:rsid w:val="00AB7A1C"/>
    <w:rsid w:val="00AB7B29"/>
    <w:rsid w:val="00AC078F"/>
    <w:rsid w:val="00AC08C9"/>
    <w:rsid w:val="00AC0AD0"/>
    <w:rsid w:val="00AC118D"/>
    <w:rsid w:val="00AC1252"/>
    <w:rsid w:val="00AC151F"/>
    <w:rsid w:val="00AC159B"/>
    <w:rsid w:val="00AC19DD"/>
    <w:rsid w:val="00AC2ACE"/>
    <w:rsid w:val="00AC2B21"/>
    <w:rsid w:val="00AC2BAA"/>
    <w:rsid w:val="00AC2D84"/>
    <w:rsid w:val="00AC30A6"/>
    <w:rsid w:val="00AC30CF"/>
    <w:rsid w:val="00AC3B55"/>
    <w:rsid w:val="00AC3E23"/>
    <w:rsid w:val="00AC3EEB"/>
    <w:rsid w:val="00AC3F8E"/>
    <w:rsid w:val="00AC4523"/>
    <w:rsid w:val="00AC4990"/>
    <w:rsid w:val="00AC4B76"/>
    <w:rsid w:val="00AC55BF"/>
    <w:rsid w:val="00AC5653"/>
    <w:rsid w:val="00AC5A39"/>
    <w:rsid w:val="00AC5DCC"/>
    <w:rsid w:val="00AC6106"/>
    <w:rsid w:val="00AC6159"/>
    <w:rsid w:val="00AC6462"/>
    <w:rsid w:val="00AC6575"/>
    <w:rsid w:val="00AC6603"/>
    <w:rsid w:val="00AC669E"/>
    <w:rsid w:val="00AC7322"/>
    <w:rsid w:val="00AC73F1"/>
    <w:rsid w:val="00AC7400"/>
    <w:rsid w:val="00AC7935"/>
    <w:rsid w:val="00AD035E"/>
    <w:rsid w:val="00AD03A8"/>
    <w:rsid w:val="00AD08B3"/>
    <w:rsid w:val="00AD0B95"/>
    <w:rsid w:val="00AD1344"/>
    <w:rsid w:val="00AD154B"/>
    <w:rsid w:val="00AD1637"/>
    <w:rsid w:val="00AD2C5C"/>
    <w:rsid w:val="00AD3174"/>
    <w:rsid w:val="00AD3255"/>
    <w:rsid w:val="00AD3542"/>
    <w:rsid w:val="00AD3C6E"/>
    <w:rsid w:val="00AD450D"/>
    <w:rsid w:val="00AD451B"/>
    <w:rsid w:val="00AD45F7"/>
    <w:rsid w:val="00AD5134"/>
    <w:rsid w:val="00AD6155"/>
    <w:rsid w:val="00AD6A74"/>
    <w:rsid w:val="00AD6E9D"/>
    <w:rsid w:val="00AD71ED"/>
    <w:rsid w:val="00AD74EA"/>
    <w:rsid w:val="00AD7ADE"/>
    <w:rsid w:val="00AE0125"/>
    <w:rsid w:val="00AE05FA"/>
    <w:rsid w:val="00AE064A"/>
    <w:rsid w:val="00AE0C9F"/>
    <w:rsid w:val="00AE0D93"/>
    <w:rsid w:val="00AE0F21"/>
    <w:rsid w:val="00AE11C7"/>
    <w:rsid w:val="00AE1477"/>
    <w:rsid w:val="00AE157D"/>
    <w:rsid w:val="00AE16FF"/>
    <w:rsid w:val="00AE191E"/>
    <w:rsid w:val="00AE19A1"/>
    <w:rsid w:val="00AE1FD7"/>
    <w:rsid w:val="00AE24DD"/>
    <w:rsid w:val="00AE27D1"/>
    <w:rsid w:val="00AE2E6F"/>
    <w:rsid w:val="00AE2F9D"/>
    <w:rsid w:val="00AE30C8"/>
    <w:rsid w:val="00AE34FA"/>
    <w:rsid w:val="00AE353C"/>
    <w:rsid w:val="00AE3653"/>
    <w:rsid w:val="00AE397C"/>
    <w:rsid w:val="00AE4140"/>
    <w:rsid w:val="00AE4547"/>
    <w:rsid w:val="00AE46D7"/>
    <w:rsid w:val="00AE49F6"/>
    <w:rsid w:val="00AE4EF5"/>
    <w:rsid w:val="00AE6257"/>
    <w:rsid w:val="00AE630E"/>
    <w:rsid w:val="00AE6347"/>
    <w:rsid w:val="00AE69B6"/>
    <w:rsid w:val="00AE7265"/>
    <w:rsid w:val="00AE73B6"/>
    <w:rsid w:val="00AE7C22"/>
    <w:rsid w:val="00AF0309"/>
    <w:rsid w:val="00AF065A"/>
    <w:rsid w:val="00AF073A"/>
    <w:rsid w:val="00AF0BCA"/>
    <w:rsid w:val="00AF13F5"/>
    <w:rsid w:val="00AF1716"/>
    <w:rsid w:val="00AF1CC2"/>
    <w:rsid w:val="00AF1CE5"/>
    <w:rsid w:val="00AF2207"/>
    <w:rsid w:val="00AF26BB"/>
    <w:rsid w:val="00AF2CCB"/>
    <w:rsid w:val="00AF34CB"/>
    <w:rsid w:val="00AF3506"/>
    <w:rsid w:val="00AF3763"/>
    <w:rsid w:val="00AF38D1"/>
    <w:rsid w:val="00AF3E69"/>
    <w:rsid w:val="00AF3F03"/>
    <w:rsid w:val="00AF3F53"/>
    <w:rsid w:val="00AF4365"/>
    <w:rsid w:val="00AF5567"/>
    <w:rsid w:val="00AF57A7"/>
    <w:rsid w:val="00AF589F"/>
    <w:rsid w:val="00AF5ABB"/>
    <w:rsid w:val="00AF6462"/>
    <w:rsid w:val="00AF69A5"/>
    <w:rsid w:val="00AF6EAA"/>
    <w:rsid w:val="00AF7009"/>
    <w:rsid w:val="00AF7247"/>
    <w:rsid w:val="00AF7319"/>
    <w:rsid w:val="00AF750A"/>
    <w:rsid w:val="00AF7A28"/>
    <w:rsid w:val="00B002CE"/>
    <w:rsid w:val="00B00451"/>
    <w:rsid w:val="00B009FC"/>
    <w:rsid w:val="00B00D69"/>
    <w:rsid w:val="00B010E0"/>
    <w:rsid w:val="00B0123C"/>
    <w:rsid w:val="00B01400"/>
    <w:rsid w:val="00B01651"/>
    <w:rsid w:val="00B017AB"/>
    <w:rsid w:val="00B01A5E"/>
    <w:rsid w:val="00B0279D"/>
    <w:rsid w:val="00B03187"/>
    <w:rsid w:val="00B038AD"/>
    <w:rsid w:val="00B038C0"/>
    <w:rsid w:val="00B03EB0"/>
    <w:rsid w:val="00B04372"/>
    <w:rsid w:val="00B04672"/>
    <w:rsid w:val="00B047C7"/>
    <w:rsid w:val="00B049ED"/>
    <w:rsid w:val="00B04D41"/>
    <w:rsid w:val="00B04F70"/>
    <w:rsid w:val="00B0545B"/>
    <w:rsid w:val="00B057E0"/>
    <w:rsid w:val="00B05D6B"/>
    <w:rsid w:val="00B06A6E"/>
    <w:rsid w:val="00B06DF2"/>
    <w:rsid w:val="00B076B1"/>
    <w:rsid w:val="00B07C8E"/>
    <w:rsid w:val="00B10470"/>
    <w:rsid w:val="00B1084D"/>
    <w:rsid w:val="00B1092B"/>
    <w:rsid w:val="00B10BC4"/>
    <w:rsid w:val="00B10D08"/>
    <w:rsid w:val="00B10EBB"/>
    <w:rsid w:val="00B1130F"/>
    <w:rsid w:val="00B11693"/>
    <w:rsid w:val="00B11E80"/>
    <w:rsid w:val="00B123E9"/>
    <w:rsid w:val="00B12877"/>
    <w:rsid w:val="00B12931"/>
    <w:rsid w:val="00B12B46"/>
    <w:rsid w:val="00B13895"/>
    <w:rsid w:val="00B13C4E"/>
    <w:rsid w:val="00B13D8A"/>
    <w:rsid w:val="00B141BB"/>
    <w:rsid w:val="00B144E2"/>
    <w:rsid w:val="00B14C32"/>
    <w:rsid w:val="00B153D9"/>
    <w:rsid w:val="00B159FE"/>
    <w:rsid w:val="00B15BD6"/>
    <w:rsid w:val="00B160AB"/>
    <w:rsid w:val="00B1643C"/>
    <w:rsid w:val="00B16573"/>
    <w:rsid w:val="00B167BD"/>
    <w:rsid w:val="00B16ADE"/>
    <w:rsid w:val="00B16F57"/>
    <w:rsid w:val="00B172CA"/>
    <w:rsid w:val="00B202B2"/>
    <w:rsid w:val="00B20A37"/>
    <w:rsid w:val="00B20C11"/>
    <w:rsid w:val="00B20CD4"/>
    <w:rsid w:val="00B218E5"/>
    <w:rsid w:val="00B219F5"/>
    <w:rsid w:val="00B22092"/>
    <w:rsid w:val="00B2233F"/>
    <w:rsid w:val="00B230A7"/>
    <w:rsid w:val="00B23D53"/>
    <w:rsid w:val="00B243C0"/>
    <w:rsid w:val="00B24700"/>
    <w:rsid w:val="00B24733"/>
    <w:rsid w:val="00B2478D"/>
    <w:rsid w:val="00B24A1E"/>
    <w:rsid w:val="00B24A84"/>
    <w:rsid w:val="00B24B71"/>
    <w:rsid w:val="00B24F45"/>
    <w:rsid w:val="00B252EE"/>
    <w:rsid w:val="00B253B3"/>
    <w:rsid w:val="00B25BBE"/>
    <w:rsid w:val="00B25C06"/>
    <w:rsid w:val="00B260E7"/>
    <w:rsid w:val="00B26448"/>
    <w:rsid w:val="00B2703C"/>
    <w:rsid w:val="00B270E7"/>
    <w:rsid w:val="00B27303"/>
    <w:rsid w:val="00B27FAF"/>
    <w:rsid w:val="00B30508"/>
    <w:rsid w:val="00B30DD5"/>
    <w:rsid w:val="00B31523"/>
    <w:rsid w:val="00B316B5"/>
    <w:rsid w:val="00B318FF"/>
    <w:rsid w:val="00B31D44"/>
    <w:rsid w:val="00B31FCC"/>
    <w:rsid w:val="00B32131"/>
    <w:rsid w:val="00B32144"/>
    <w:rsid w:val="00B323FC"/>
    <w:rsid w:val="00B3248D"/>
    <w:rsid w:val="00B32657"/>
    <w:rsid w:val="00B3281D"/>
    <w:rsid w:val="00B32BE9"/>
    <w:rsid w:val="00B334AF"/>
    <w:rsid w:val="00B33AA2"/>
    <w:rsid w:val="00B33B29"/>
    <w:rsid w:val="00B33F79"/>
    <w:rsid w:val="00B34495"/>
    <w:rsid w:val="00B3459B"/>
    <w:rsid w:val="00B34970"/>
    <w:rsid w:val="00B34BE3"/>
    <w:rsid w:val="00B34CE7"/>
    <w:rsid w:val="00B34CF4"/>
    <w:rsid w:val="00B34F6B"/>
    <w:rsid w:val="00B3516B"/>
    <w:rsid w:val="00B35825"/>
    <w:rsid w:val="00B362A5"/>
    <w:rsid w:val="00B36AD5"/>
    <w:rsid w:val="00B37E7E"/>
    <w:rsid w:val="00B40358"/>
    <w:rsid w:val="00B403C1"/>
    <w:rsid w:val="00B41AEF"/>
    <w:rsid w:val="00B41BE0"/>
    <w:rsid w:val="00B41BE5"/>
    <w:rsid w:val="00B41E72"/>
    <w:rsid w:val="00B4236C"/>
    <w:rsid w:val="00B4243D"/>
    <w:rsid w:val="00B42466"/>
    <w:rsid w:val="00B42A6D"/>
    <w:rsid w:val="00B42DB2"/>
    <w:rsid w:val="00B43340"/>
    <w:rsid w:val="00B4349F"/>
    <w:rsid w:val="00B43670"/>
    <w:rsid w:val="00B43B92"/>
    <w:rsid w:val="00B44D78"/>
    <w:rsid w:val="00B451AC"/>
    <w:rsid w:val="00B45FBB"/>
    <w:rsid w:val="00B46139"/>
    <w:rsid w:val="00B461A2"/>
    <w:rsid w:val="00B468AC"/>
    <w:rsid w:val="00B46C7B"/>
    <w:rsid w:val="00B46E16"/>
    <w:rsid w:val="00B46EA7"/>
    <w:rsid w:val="00B472DD"/>
    <w:rsid w:val="00B5013E"/>
    <w:rsid w:val="00B5022F"/>
    <w:rsid w:val="00B507D3"/>
    <w:rsid w:val="00B5096D"/>
    <w:rsid w:val="00B50E36"/>
    <w:rsid w:val="00B50F7B"/>
    <w:rsid w:val="00B51193"/>
    <w:rsid w:val="00B5207E"/>
    <w:rsid w:val="00B52388"/>
    <w:rsid w:val="00B52A7D"/>
    <w:rsid w:val="00B52D00"/>
    <w:rsid w:val="00B53082"/>
    <w:rsid w:val="00B5308A"/>
    <w:rsid w:val="00B534D4"/>
    <w:rsid w:val="00B53880"/>
    <w:rsid w:val="00B53AB0"/>
    <w:rsid w:val="00B53C0C"/>
    <w:rsid w:val="00B541D0"/>
    <w:rsid w:val="00B54A2B"/>
    <w:rsid w:val="00B5502F"/>
    <w:rsid w:val="00B5554F"/>
    <w:rsid w:val="00B555B8"/>
    <w:rsid w:val="00B55AD8"/>
    <w:rsid w:val="00B56000"/>
    <w:rsid w:val="00B5666D"/>
    <w:rsid w:val="00B56670"/>
    <w:rsid w:val="00B567B7"/>
    <w:rsid w:val="00B56821"/>
    <w:rsid w:val="00B56B52"/>
    <w:rsid w:val="00B5713B"/>
    <w:rsid w:val="00B5780C"/>
    <w:rsid w:val="00B60BC2"/>
    <w:rsid w:val="00B60F2B"/>
    <w:rsid w:val="00B612BD"/>
    <w:rsid w:val="00B612D9"/>
    <w:rsid w:val="00B61CB6"/>
    <w:rsid w:val="00B62621"/>
    <w:rsid w:val="00B62808"/>
    <w:rsid w:val="00B628C5"/>
    <w:rsid w:val="00B629C0"/>
    <w:rsid w:val="00B62AEF"/>
    <w:rsid w:val="00B62C1C"/>
    <w:rsid w:val="00B62E67"/>
    <w:rsid w:val="00B62EE8"/>
    <w:rsid w:val="00B636B5"/>
    <w:rsid w:val="00B63AE1"/>
    <w:rsid w:val="00B64ADC"/>
    <w:rsid w:val="00B66118"/>
    <w:rsid w:val="00B667BD"/>
    <w:rsid w:val="00B66BF4"/>
    <w:rsid w:val="00B66C08"/>
    <w:rsid w:val="00B66FF6"/>
    <w:rsid w:val="00B6707C"/>
    <w:rsid w:val="00B67183"/>
    <w:rsid w:val="00B6761F"/>
    <w:rsid w:val="00B67685"/>
    <w:rsid w:val="00B677F9"/>
    <w:rsid w:val="00B67B0D"/>
    <w:rsid w:val="00B67C3C"/>
    <w:rsid w:val="00B67C82"/>
    <w:rsid w:val="00B702CE"/>
    <w:rsid w:val="00B7124A"/>
    <w:rsid w:val="00B71A20"/>
    <w:rsid w:val="00B71B4D"/>
    <w:rsid w:val="00B72815"/>
    <w:rsid w:val="00B72EA5"/>
    <w:rsid w:val="00B73025"/>
    <w:rsid w:val="00B733DC"/>
    <w:rsid w:val="00B73EA7"/>
    <w:rsid w:val="00B744B7"/>
    <w:rsid w:val="00B74946"/>
    <w:rsid w:val="00B74C47"/>
    <w:rsid w:val="00B75429"/>
    <w:rsid w:val="00B75578"/>
    <w:rsid w:val="00B759C2"/>
    <w:rsid w:val="00B75A5A"/>
    <w:rsid w:val="00B75BA0"/>
    <w:rsid w:val="00B75D80"/>
    <w:rsid w:val="00B761C5"/>
    <w:rsid w:val="00B76960"/>
    <w:rsid w:val="00B76D8A"/>
    <w:rsid w:val="00B7718E"/>
    <w:rsid w:val="00B77582"/>
    <w:rsid w:val="00B77771"/>
    <w:rsid w:val="00B779B4"/>
    <w:rsid w:val="00B77B31"/>
    <w:rsid w:val="00B77B7C"/>
    <w:rsid w:val="00B77CBA"/>
    <w:rsid w:val="00B77E59"/>
    <w:rsid w:val="00B77FB3"/>
    <w:rsid w:val="00B809CB"/>
    <w:rsid w:val="00B80B02"/>
    <w:rsid w:val="00B80B29"/>
    <w:rsid w:val="00B80C78"/>
    <w:rsid w:val="00B80DCE"/>
    <w:rsid w:val="00B81189"/>
    <w:rsid w:val="00B81915"/>
    <w:rsid w:val="00B81AD1"/>
    <w:rsid w:val="00B82062"/>
    <w:rsid w:val="00B822DC"/>
    <w:rsid w:val="00B824B3"/>
    <w:rsid w:val="00B82689"/>
    <w:rsid w:val="00B82A32"/>
    <w:rsid w:val="00B82CB4"/>
    <w:rsid w:val="00B82D4C"/>
    <w:rsid w:val="00B82E5A"/>
    <w:rsid w:val="00B8306C"/>
    <w:rsid w:val="00B8342C"/>
    <w:rsid w:val="00B83722"/>
    <w:rsid w:val="00B8385E"/>
    <w:rsid w:val="00B83DB3"/>
    <w:rsid w:val="00B83EF5"/>
    <w:rsid w:val="00B84104"/>
    <w:rsid w:val="00B84615"/>
    <w:rsid w:val="00B84657"/>
    <w:rsid w:val="00B849D5"/>
    <w:rsid w:val="00B84D3A"/>
    <w:rsid w:val="00B850FE"/>
    <w:rsid w:val="00B861B6"/>
    <w:rsid w:val="00B86681"/>
    <w:rsid w:val="00B868EB"/>
    <w:rsid w:val="00B874DC"/>
    <w:rsid w:val="00B87852"/>
    <w:rsid w:val="00B87BD1"/>
    <w:rsid w:val="00B87C63"/>
    <w:rsid w:val="00B87C9A"/>
    <w:rsid w:val="00B90025"/>
    <w:rsid w:val="00B90587"/>
    <w:rsid w:val="00B90684"/>
    <w:rsid w:val="00B90744"/>
    <w:rsid w:val="00B90827"/>
    <w:rsid w:val="00B912F8"/>
    <w:rsid w:val="00B91741"/>
    <w:rsid w:val="00B9178C"/>
    <w:rsid w:val="00B91BEF"/>
    <w:rsid w:val="00B9290B"/>
    <w:rsid w:val="00B92DEF"/>
    <w:rsid w:val="00B935C1"/>
    <w:rsid w:val="00B939C9"/>
    <w:rsid w:val="00B93FE3"/>
    <w:rsid w:val="00B9438B"/>
    <w:rsid w:val="00B946DE"/>
    <w:rsid w:val="00B94D30"/>
    <w:rsid w:val="00B95215"/>
    <w:rsid w:val="00B95A1A"/>
    <w:rsid w:val="00B95E89"/>
    <w:rsid w:val="00B970B6"/>
    <w:rsid w:val="00B9713C"/>
    <w:rsid w:val="00BA06ED"/>
    <w:rsid w:val="00BA0D0D"/>
    <w:rsid w:val="00BA14A2"/>
    <w:rsid w:val="00BA17A9"/>
    <w:rsid w:val="00BA1ADC"/>
    <w:rsid w:val="00BA2611"/>
    <w:rsid w:val="00BA263D"/>
    <w:rsid w:val="00BA2F39"/>
    <w:rsid w:val="00BA34F1"/>
    <w:rsid w:val="00BA38B5"/>
    <w:rsid w:val="00BA3BFE"/>
    <w:rsid w:val="00BA407C"/>
    <w:rsid w:val="00BA523D"/>
    <w:rsid w:val="00BA5989"/>
    <w:rsid w:val="00BA5BC8"/>
    <w:rsid w:val="00BA6030"/>
    <w:rsid w:val="00BA69BA"/>
    <w:rsid w:val="00BA6A86"/>
    <w:rsid w:val="00BA6A89"/>
    <w:rsid w:val="00BA6DF7"/>
    <w:rsid w:val="00BA77D6"/>
    <w:rsid w:val="00BA7903"/>
    <w:rsid w:val="00BA7BE6"/>
    <w:rsid w:val="00BA7D0C"/>
    <w:rsid w:val="00BA7EB1"/>
    <w:rsid w:val="00BB0438"/>
    <w:rsid w:val="00BB0723"/>
    <w:rsid w:val="00BB086D"/>
    <w:rsid w:val="00BB08DF"/>
    <w:rsid w:val="00BB0C5D"/>
    <w:rsid w:val="00BB0F1F"/>
    <w:rsid w:val="00BB139B"/>
    <w:rsid w:val="00BB2679"/>
    <w:rsid w:val="00BB327C"/>
    <w:rsid w:val="00BB3889"/>
    <w:rsid w:val="00BB3BEA"/>
    <w:rsid w:val="00BB3D56"/>
    <w:rsid w:val="00BB4B2F"/>
    <w:rsid w:val="00BB4ED2"/>
    <w:rsid w:val="00BB518C"/>
    <w:rsid w:val="00BB518F"/>
    <w:rsid w:val="00BB6212"/>
    <w:rsid w:val="00BB631C"/>
    <w:rsid w:val="00BB643C"/>
    <w:rsid w:val="00BB6F9E"/>
    <w:rsid w:val="00BB7306"/>
    <w:rsid w:val="00BB740E"/>
    <w:rsid w:val="00BB7B53"/>
    <w:rsid w:val="00BB7E5B"/>
    <w:rsid w:val="00BC009B"/>
    <w:rsid w:val="00BC044F"/>
    <w:rsid w:val="00BC04A1"/>
    <w:rsid w:val="00BC0C44"/>
    <w:rsid w:val="00BC1178"/>
    <w:rsid w:val="00BC1A90"/>
    <w:rsid w:val="00BC3208"/>
    <w:rsid w:val="00BC3AB5"/>
    <w:rsid w:val="00BC3B44"/>
    <w:rsid w:val="00BC3FBF"/>
    <w:rsid w:val="00BC4002"/>
    <w:rsid w:val="00BC4820"/>
    <w:rsid w:val="00BC4CC8"/>
    <w:rsid w:val="00BC51B4"/>
    <w:rsid w:val="00BC57B2"/>
    <w:rsid w:val="00BC5E0B"/>
    <w:rsid w:val="00BC6087"/>
    <w:rsid w:val="00BC65B9"/>
    <w:rsid w:val="00BC67CF"/>
    <w:rsid w:val="00BC73E6"/>
    <w:rsid w:val="00BC7670"/>
    <w:rsid w:val="00BC78D9"/>
    <w:rsid w:val="00BD00CE"/>
    <w:rsid w:val="00BD00DB"/>
    <w:rsid w:val="00BD0147"/>
    <w:rsid w:val="00BD0AFE"/>
    <w:rsid w:val="00BD10A6"/>
    <w:rsid w:val="00BD13AD"/>
    <w:rsid w:val="00BD177A"/>
    <w:rsid w:val="00BD18D0"/>
    <w:rsid w:val="00BD1C56"/>
    <w:rsid w:val="00BD1DD1"/>
    <w:rsid w:val="00BD2028"/>
    <w:rsid w:val="00BD23BA"/>
    <w:rsid w:val="00BD2769"/>
    <w:rsid w:val="00BD31CF"/>
    <w:rsid w:val="00BD3335"/>
    <w:rsid w:val="00BD4104"/>
    <w:rsid w:val="00BD4318"/>
    <w:rsid w:val="00BD460D"/>
    <w:rsid w:val="00BD474C"/>
    <w:rsid w:val="00BD47F5"/>
    <w:rsid w:val="00BD4951"/>
    <w:rsid w:val="00BD4C7B"/>
    <w:rsid w:val="00BD5457"/>
    <w:rsid w:val="00BD5A84"/>
    <w:rsid w:val="00BD5ABB"/>
    <w:rsid w:val="00BD62C8"/>
    <w:rsid w:val="00BD6537"/>
    <w:rsid w:val="00BD67D2"/>
    <w:rsid w:val="00BD6E20"/>
    <w:rsid w:val="00BD6FDD"/>
    <w:rsid w:val="00BD6FFE"/>
    <w:rsid w:val="00BD7540"/>
    <w:rsid w:val="00BE053D"/>
    <w:rsid w:val="00BE0D56"/>
    <w:rsid w:val="00BE10D5"/>
    <w:rsid w:val="00BE1198"/>
    <w:rsid w:val="00BE14F0"/>
    <w:rsid w:val="00BE16C9"/>
    <w:rsid w:val="00BE1CFE"/>
    <w:rsid w:val="00BE27BC"/>
    <w:rsid w:val="00BE3344"/>
    <w:rsid w:val="00BE334E"/>
    <w:rsid w:val="00BE3464"/>
    <w:rsid w:val="00BE3539"/>
    <w:rsid w:val="00BE44DB"/>
    <w:rsid w:val="00BE463D"/>
    <w:rsid w:val="00BE4649"/>
    <w:rsid w:val="00BE4AA9"/>
    <w:rsid w:val="00BE4BC9"/>
    <w:rsid w:val="00BE5914"/>
    <w:rsid w:val="00BE5BB1"/>
    <w:rsid w:val="00BE5E5D"/>
    <w:rsid w:val="00BE6202"/>
    <w:rsid w:val="00BE627E"/>
    <w:rsid w:val="00BE6437"/>
    <w:rsid w:val="00BE6615"/>
    <w:rsid w:val="00BE711C"/>
    <w:rsid w:val="00BE72F8"/>
    <w:rsid w:val="00BE74D7"/>
    <w:rsid w:val="00BE7580"/>
    <w:rsid w:val="00BE78A7"/>
    <w:rsid w:val="00BF0563"/>
    <w:rsid w:val="00BF0D65"/>
    <w:rsid w:val="00BF0F99"/>
    <w:rsid w:val="00BF0FBE"/>
    <w:rsid w:val="00BF1350"/>
    <w:rsid w:val="00BF1358"/>
    <w:rsid w:val="00BF1AA3"/>
    <w:rsid w:val="00BF2465"/>
    <w:rsid w:val="00BF2893"/>
    <w:rsid w:val="00BF2D5A"/>
    <w:rsid w:val="00BF2DDA"/>
    <w:rsid w:val="00BF31D7"/>
    <w:rsid w:val="00BF324E"/>
    <w:rsid w:val="00BF3676"/>
    <w:rsid w:val="00BF370D"/>
    <w:rsid w:val="00BF3F66"/>
    <w:rsid w:val="00BF49C9"/>
    <w:rsid w:val="00BF4D76"/>
    <w:rsid w:val="00BF4F3B"/>
    <w:rsid w:val="00BF5246"/>
    <w:rsid w:val="00BF57CD"/>
    <w:rsid w:val="00BF6092"/>
    <w:rsid w:val="00BF69FF"/>
    <w:rsid w:val="00BF6BC1"/>
    <w:rsid w:val="00BF7679"/>
    <w:rsid w:val="00BF7C06"/>
    <w:rsid w:val="00C00210"/>
    <w:rsid w:val="00C00A01"/>
    <w:rsid w:val="00C01343"/>
    <w:rsid w:val="00C0192C"/>
    <w:rsid w:val="00C0231E"/>
    <w:rsid w:val="00C031FE"/>
    <w:rsid w:val="00C03544"/>
    <w:rsid w:val="00C03983"/>
    <w:rsid w:val="00C039DF"/>
    <w:rsid w:val="00C03C31"/>
    <w:rsid w:val="00C0494F"/>
    <w:rsid w:val="00C04970"/>
    <w:rsid w:val="00C04ECB"/>
    <w:rsid w:val="00C05448"/>
    <w:rsid w:val="00C05DAF"/>
    <w:rsid w:val="00C06C93"/>
    <w:rsid w:val="00C07998"/>
    <w:rsid w:val="00C07DF2"/>
    <w:rsid w:val="00C10078"/>
    <w:rsid w:val="00C104E4"/>
    <w:rsid w:val="00C10D13"/>
    <w:rsid w:val="00C1137A"/>
    <w:rsid w:val="00C118AD"/>
    <w:rsid w:val="00C11AF8"/>
    <w:rsid w:val="00C1260A"/>
    <w:rsid w:val="00C12788"/>
    <w:rsid w:val="00C1287B"/>
    <w:rsid w:val="00C12AC0"/>
    <w:rsid w:val="00C13880"/>
    <w:rsid w:val="00C1394B"/>
    <w:rsid w:val="00C13B5C"/>
    <w:rsid w:val="00C14114"/>
    <w:rsid w:val="00C141CC"/>
    <w:rsid w:val="00C14BD1"/>
    <w:rsid w:val="00C14D57"/>
    <w:rsid w:val="00C14E28"/>
    <w:rsid w:val="00C15330"/>
    <w:rsid w:val="00C155EA"/>
    <w:rsid w:val="00C159D1"/>
    <w:rsid w:val="00C1622B"/>
    <w:rsid w:val="00C16DCA"/>
    <w:rsid w:val="00C177A9"/>
    <w:rsid w:val="00C201C5"/>
    <w:rsid w:val="00C20A4C"/>
    <w:rsid w:val="00C20A78"/>
    <w:rsid w:val="00C20FA1"/>
    <w:rsid w:val="00C210FE"/>
    <w:rsid w:val="00C2145A"/>
    <w:rsid w:val="00C216D1"/>
    <w:rsid w:val="00C21D12"/>
    <w:rsid w:val="00C23127"/>
    <w:rsid w:val="00C24A2A"/>
    <w:rsid w:val="00C250AF"/>
    <w:rsid w:val="00C252EF"/>
    <w:rsid w:val="00C25856"/>
    <w:rsid w:val="00C25F00"/>
    <w:rsid w:val="00C25F6C"/>
    <w:rsid w:val="00C26910"/>
    <w:rsid w:val="00C26CF3"/>
    <w:rsid w:val="00C27119"/>
    <w:rsid w:val="00C2741F"/>
    <w:rsid w:val="00C2778D"/>
    <w:rsid w:val="00C30730"/>
    <w:rsid w:val="00C30BD1"/>
    <w:rsid w:val="00C30CFE"/>
    <w:rsid w:val="00C31510"/>
    <w:rsid w:val="00C31551"/>
    <w:rsid w:val="00C3183C"/>
    <w:rsid w:val="00C31963"/>
    <w:rsid w:val="00C3217A"/>
    <w:rsid w:val="00C3362D"/>
    <w:rsid w:val="00C33784"/>
    <w:rsid w:val="00C33887"/>
    <w:rsid w:val="00C342A5"/>
    <w:rsid w:val="00C342D7"/>
    <w:rsid w:val="00C34766"/>
    <w:rsid w:val="00C34850"/>
    <w:rsid w:val="00C34B20"/>
    <w:rsid w:val="00C35262"/>
    <w:rsid w:val="00C35AFF"/>
    <w:rsid w:val="00C35D12"/>
    <w:rsid w:val="00C360BB"/>
    <w:rsid w:val="00C36204"/>
    <w:rsid w:val="00C36B9B"/>
    <w:rsid w:val="00C36DAA"/>
    <w:rsid w:val="00C37104"/>
    <w:rsid w:val="00C37192"/>
    <w:rsid w:val="00C37845"/>
    <w:rsid w:val="00C3792F"/>
    <w:rsid w:val="00C405F0"/>
    <w:rsid w:val="00C409EE"/>
    <w:rsid w:val="00C40C3B"/>
    <w:rsid w:val="00C41096"/>
    <w:rsid w:val="00C41323"/>
    <w:rsid w:val="00C41945"/>
    <w:rsid w:val="00C423C5"/>
    <w:rsid w:val="00C42AED"/>
    <w:rsid w:val="00C433CA"/>
    <w:rsid w:val="00C4356F"/>
    <w:rsid w:val="00C43678"/>
    <w:rsid w:val="00C44168"/>
    <w:rsid w:val="00C44411"/>
    <w:rsid w:val="00C44CE6"/>
    <w:rsid w:val="00C451A3"/>
    <w:rsid w:val="00C45788"/>
    <w:rsid w:val="00C45983"/>
    <w:rsid w:val="00C4599B"/>
    <w:rsid w:val="00C46078"/>
    <w:rsid w:val="00C4662A"/>
    <w:rsid w:val="00C46B36"/>
    <w:rsid w:val="00C47993"/>
    <w:rsid w:val="00C47E05"/>
    <w:rsid w:val="00C504E1"/>
    <w:rsid w:val="00C5094A"/>
    <w:rsid w:val="00C50ACE"/>
    <w:rsid w:val="00C50BD6"/>
    <w:rsid w:val="00C51177"/>
    <w:rsid w:val="00C520D9"/>
    <w:rsid w:val="00C5232B"/>
    <w:rsid w:val="00C53012"/>
    <w:rsid w:val="00C53446"/>
    <w:rsid w:val="00C537C0"/>
    <w:rsid w:val="00C53DB7"/>
    <w:rsid w:val="00C5590B"/>
    <w:rsid w:val="00C55C8E"/>
    <w:rsid w:val="00C563BF"/>
    <w:rsid w:val="00C565FD"/>
    <w:rsid w:val="00C56D2C"/>
    <w:rsid w:val="00C571AF"/>
    <w:rsid w:val="00C574F6"/>
    <w:rsid w:val="00C57615"/>
    <w:rsid w:val="00C57DA9"/>
    <w:rsid w:val="00C601E9"/>
    <w:rsid w:val="00C604B2"/>
    <w:rsid w:val="00C60A2A"/>
    <w:rsid w:val="00C60CB3"/>
    <w:rsid w:val="00C6153D"/>
    <w:rsid w:val="00C61634"/>
    <w:rsid w:val="00C6180C"/>
    <w:rsid w:val="00C6186F"/>
    <w:rsid w:val="00C61BDF"/>
    <w:rsid w:val="00C61C08"/>
    <w:rsid w:val="00C6246E"/>
    <w:rsid w:val="00C630A2"/>
    <w:rsid w:val="00C63215"/>
    <w:rsid w:val="00C63972"/>
    <w:rsid w:val="00C63A71"/>
    <w:rsid w:val="00C63CC6"/>
    <w:rsid w:val="00C644AE"/>
    <w:rsid w:val="00C6483B"/>
    <w:rsid w:val="00C64E03"/>
    <w:rsid w:val="00C64F32"/>
    <w:rsid w:val="00C65D02"/>
    <w:rsid w:val="00C65E75"/>
    <w:rsid w:val="00C6643B"/>
    <w:rsid w:val="00C66AA9"/>
    <w:rsid w:val="00C66CDC"/>
    <w:rsid w:val="00C6761A"/>
    <w:rsid w:val="00C677A4"/>
    <w:rsid w:val="00C67908"/>
    <w:rsid w:val="00C67DC0"/>
    <w:rsid w:val="00C70230"/>
    <w:rsid w:val="00C7066B"/>
    <w:rsid w:val="00C708E1"/>
    <w:rsid w:val="00C70946"/>
    <w:rsid w:val="00C713B2"/>
    <w:rsid w:val="00C71563"/>
    <w:rsid w:val="00C715F3"/>
    <w:rsid w:val="00C71F2E"/>
    <w:rsid w:val="00C71F69"/>
    <w:rsid w:val="00C722B2"/>
    <w:rsid w:val="00C729DD"/>
    <w:rsid w:val="00C7312B"/>
    <w:rsid w:val="00C73160"/>
    <w:rsid w:val="00C7334E"/>
    <w:rsid w:val="00C73905"/>
    <w:rsid w:val="00C739D4"/>
    <w:rsid w:val="00C73D13"/>
    <w:rsid w:val="00C743E4"/>
    <w:rsid w:val="00C74484"/>
    <w:rsid w:val="00C7492B"/>
    <w:rsid w:val="00C74983"/>
    <w:rsid w:val="00C749E4"/>
    <w:rsid w:val="00C74B71"/>
    <w:rsid w:val="00C74BC9"/>
    <w:rsid w:val="00C756B1"/>
    <w:rsid w:val="00C75C49"/>
    <w:rsid w:val="00C75E08"/>
    <w:rsid w:val="00C76380"/>
    <w:rsid w:val="00C76392"/>
    <w:rsid w:val="00C76A06"/>
    <w:rsid w:val="00C76DA8"/>
    <w:rsid w:val="00C77425"/>
    <w:rsid w:val="00C777AF"/>
    <w:rsid w:val="00C80119"/>
    <w:rsid w:val="00C80262"/>
    <w:rsid w:val="00C8049C"/>
    <w:rsid w:val="00C80ED6"/>
    <w:rsid w:val="00C80F40"/>
    <w:rsid w:val="00C81DA3"/>
    <w:rsid w:val="00C81EE8"/>
    <w:rsid w:val="00C8239A"/>
    <w:rsid w:val="00C823C4"/>
    <w:rsid w:val="00C824AE"/>
    <w:rsid w:val="00C82D3C"/>
    <w:rsid w:val="00C8402D"/>
    <w:rsid w:val="00C8488E"/>
    <w:rsid w:val="00C84DA0"/>
    <w:rsid w:val="00C85152"/>
    <w:rsid w:val="00C85401"/>
    <w:rsid w:val="00C855E5"/>
    <w:rsid w:val="00C85679"/>
    <w:rsid w:val="00C85735"/>
    <w:rsid w:val="00C85935"/>
    <w:rsid w:val="00C85D20"/>
    <w:rsid w:val="00C86138"/>
    <w:rsid w:val="00C8635F"/>
    <w:rsid w:val="00C876BC"/>
    <w:rsid w:val="00C87CB4"/>
    <w:rsid w:val="00C90738"/>
    <w:rsid w:val="00C90AC1"/>
    <w:rsid w:val="00C90BDE"/>
    <w:rsid w:val="00C90F6C"/>
    <w:rsid w:val="00C91016"/>
    <w:rsid w:val="00C91142"/>
    <w:rsid w:val="00C91299"/>
    <w:rsid w:val="00C918A2"/>
    <w:rsid w:val="00C919EF"/>
    <w:rsid w:val="00C91B21"/>
    <w:rsid w:val="00C92D9D"/>
    <w:rsid w:val="00C932FB"/>
    <w:rsid w:val="00C938BF"/>
    <w:rsid w:val="00C94641"/>
    <w:rsid w:val="00C948D7"/>
    <w:rsid w:val="00C949DF"/>
    <w:rsid w:val="00C94A51"/>
    <w:rsid w:val="00C94A82"/>
    <w:rsid w:val="00C94CBA"/>
    <w:rsid w:val="00C958E4"/>
    <w:rsid w:val="00C95B67"/>
    <w:rsid w:val="00C95C97"/>
    <w:rsid w:val="00C95D0E"/>
    <w:rsid w:val="00C96036"/>
    <w:rsid w:val="00C96789"/>
    <w:rsid w:val="00C96934"/>
    <w:rsid w:val="00C96A62"/>
    <w:rsid w:val="00C9741E"/>
    <w:rsid w:val="00C97741"/>
    <w:rsid w:val="00CA039C"/>
    <w:rsid w:val="00CA0480"/>
    <w:rsid w:val="00CA04F2"/>
    <w:rsid w:val="00CA0D3E"/>
    <w:rsid w:val="00CA1076"/>
    <w:rsid w:val="00CA12F7"/>
    <w:rsid w:val="00CA1358"/>
    <w:rsid w:val="00CA18B1"/>
    <w:rsid w:val="00CA1A23"/>
    <w:rsid w:val="00CA1BCD"/>
    <w:rsid w:val="00CA2058"/>
    <w:rsid w:val="00CA23C2"/>
    <w:rsid w:val="00CA24D8"/>
    <w:rsid w:val="00CA26C3"/>
    <w:rsid w:val="00CA27FD"/>
    <w:rsid w:val="00CA2925"/>
    <w:rsid w:val="00CA2AF4"/>
    <w:rsid w:val="00CA2EA4"/>
    <w:rsid w:val="00CA358B"/>
    <w:rsid w:val="00CA40C8"/>
    <w:rsid w:val="00CA40E7"/>
    <w:rsid w:val="00CA45AD"/>
    <w:rsid w:val="00CA46E7"/>
    <w:rsid w:val="00CA4AB4"/>
    <w:rsid w:val="00CA4E43"/>
    <w:rsid w:val="00CA4E69"/>
    <w:rsid w:val="00CA4FC0"/>
    <w:rsid w:val="00CA5122"/>
    <w:rsid w:val="00CA5A12"/>
    <w:rsid w:val="00CA6303"/>
    <w:rsid w:val="00CA663A"/>
    <w:rsid w:val="00CA6C82"/>
    <w:rsid w:val="00CA6D72"/>
    <w:rsid w:val="00CA6F15"/>
    <w:rsid w:val="00CA7077"/>
    <w:rsid w:val="00CA7270"/>
    <w:rsid w:val="00CA73B2"/>
    <w:rsid w:val="00CA7D2B"/>
    <w:rsid w:val="00CB00A1"/>
    <w:rsid w:val="00CB01EB"/>
    <w:rsid w:val="00CB068E"/>
    <w:rsid w:val="00CB0940"/>
    <w:rsid w:val="00CB0C7F"/>
    <w:rsid w:val="00CB11E9"/>
    <w:rsid w:val="00CB136E"/>
    <w:rsid w:val="00CB1532"/>
    <w:rsid w:val="00CB15FE"/>
    <w:rsid w:val="00CB181F"/>
    <w:rsid w:val="00CB2787"/>
    <w:rsid w:val="00CB27BB"/>
    <w:rsid w:val="00CB33A8"/>
    <w:rsid w:val="00CB3B55"/>
    <w:rsid w:val="00CB3C14"/>
    <w:rsid w:val="00CB3E9C"/>
    <w:rsid w:val="00CB3F8D"/>
    <w:rsid w:val="00CB4080"/>
    <w:rsid w:val="00CB475A"/>
    <w:rsid w:val="00CB4769"/>
    <w:rsid w:val="00CB4CA8"/>
    <w:rsid w:val="00CB5219"/>
    <w:rsid w:val="00CB55AB"/>
    <w:rsid w:val="00CB5A55"/>
    <w:rsid w:val="00CB5E73"/>
    <w:rsid w:val="00CB5E9E"/>
    <w:rsid w:val="00CB6A37"/>
    <w:rsid w:val="00CB6BB6"/>
    <w:rsid w:val="00CB6BD5"/>
    <w:rsid w:val="00CB6FB7"/>
    <w:rsid w:val="00CB7407"/>
    <w:rsid w:val="00CB7B59"/>
    <w:rsid w:val="00CB7DF5"/>
    <w:rsid w:val="00CB7F8B"/>
    <w:rsid w:val="00CC001B"/>
    <w:rsid w:val="00CC019B"/>
    <w:rsid w:val="00CC023C"/>
    <w:rsid w:val="00CC0796"/>
    <w:rsid w:val="00CC082E"/>
    <w:rsid w:val="00CC0C9E"/>
    <w:rsid w:val="00CC0D7B"/>
    <w:rsid w:val="00CC1350"/>
    <w:rsid w:val="00CC1A1C"/>
    <w:rsid w:val="00CC1CCD"/>
    <w:rsid w:val="00CC1D86"/>
    <w:rsid w:val="00CC214E"/>
    <w:rsid w:val="00CC2590"/>
    <w:rsid w:val="00CC2984"/>
    <w:rsid w:val="00CC2AC1"/>
    <w:rsid w:val="00CC2F1C"/>
    <w:rsid w:val="00CC3093"/>
    <w:rsid w:val="00CC3328"/>
    <w:rsid w:val="00CC3B64"/>
    <w:rsid w:val="00CC3EFE"/>
    <w:rsid w:val="00CC44DE"/>
    <w:rsid w:val="00CC46C6"/>
    <w:rsid w:val="00CC46DD"/>
    <w:rsid w:val="00CC4D83"/>
    <w:rsid w:val="00CC4EF3"/>
    <w:rsid w:val="00CC5D71"/>
    <w:rsid w:val="00CC5DB4"/>
    <w:rsid w:val="00CC6062"/>
    <w:rsid w:val="00CC6499"/>
    <w:rsid w:val="00CC6864"/>
    <w:rsid w:val="00CC7454"/>
    <w:rsid w:val="00CC7731"/>
    <w:rsid w:val="00CC7F29"/>
    <w:rsid w:val="00CD1AF8"/>
    <w:rsid w:val="00CD1F9E"/>
    <w:rsid w:val="00CD29AB"/>
    <w:rsid w:val="00CD2D2C"/>
    <w:rsid w:val="00CD309C"/>
    <w:rsid w:val="00CD380D"/>
    <w:rsid w:val="00CD3914"/>
    <w:rsid w:val="00CD3958"/>
    <w:rsid w:val="00CD4217"/>
    <w:rsid w:val="00CD4D3E"/>
    <w:rsid w:val="00CD4FCF"/>
    <w:rsid w:val="00CD544E"/>
    <w:rsid w:val="00CD5474"/>
    <w:rsid w:val="00CD597B"/>
    <w:rsid w:val="00CD59A5"/>
    <w:rsid w:val="00CD5E51"/>
    <w:rsid w:val="00CD6283"/>
    <w:rsid w:val="00CD63BB"/>
    <w:rsid w:val="00CD6ABF"/>
    <w:rsid w:val="00CD6BEF"/>
    <w:rsid w:val="00CD6DD6"/>
    <w:rsid w:val="00CD719F"/>
    <w:rsid w:val="00CD7771"/>
    <w:rsid w:val="00CD7A01"/>
    <w:rsid w:val="00CD7B33"/>
    <w:rsid w:val="00CD7CC2"/>
    <w:rsid w:val="00CD7E44"/>
    <w:rsid w:val="00CE0796"/>
    <w:rsid w:val="00CE07E3"/>
    <w:rsid w:val="00CE08C0"/>
    <w:rsid w:val="00CE0ADD"/>
    <w:rsid w:val="00CE0F38"/>
    <w:rsid w:val="00CE0FC0"/>
    <w:rsid w:val="00CE1BA9"/>
    <w:rsid w:val="00CE2456"/>
    <w:rsid w:val="00CE28B9"/>
    <w:rsid w:val="00CE2F19"/>
    <w:rsid w:val="00CE37FD"/>
    <w:rsid w:val="00CE4107"/>
    <w:rsid w:val="00CE4301"/>
    <w:rsid w:val="00CE4E32"/>
    <w:rsid w:val="00CE57EA"/>
    <w:rsid w:val="00CE5BCD"/>
    <w:rsid w:val="00CE64D0"/>
    <w:rsid w:val="00CE67F9"/>
    <w:rsid w:val="00CE6BCE"/>
    <w:rsid w:val="00CE6C52"/>
    <w:rsid w:val="00CE6E8B"/>
    <w:rsid w:val="00CE74F3"/>
    <w:rsid w:val="00CE7952"/>
    <w:rsid w:val="00CE79EE"/>
    <w:rsid w:val="00CF009C"/>
    <w:rsid w:val="00CF056B"/>
    <w:rsid w:val="00CF06CD"/>
    <w:rsid w:val="00CF0B48"/>
    <w:rsid w:val="00CF0C65"/>
    <w:rsid w:val="00CF0E4B"/>
    <w:rsid w:val="00CF154F"/>
    <w:rsid w:val="00CF1926"/>
    <w:rsid w:val="00CF193E"/>
    <w:rsid w:val="00CF1B8E"/>
    <w:rsid w:val="00CF1F7F"/>
    <w:rsid w:val="00CF3133"/>
    <w:rsid w:val="00CF3945"/>
    <w:rsid w:val="00CF3A41"/>
    <w:rsid w:val="00CF3F55"/>
    <w:rsid w:val="00CF40E4"/>
    <w:rsid w:val="00CF4CD2"/>
    <w:rsid w:val="00CF4D52"/>
    <w:rsid w:val="00CF4DB4"/>
    <w:rsid w:val="00CF5014"/>
    <w:rsid w:val="00CF5907"/>
    <w:rsid w:val="00CF611C"/>
    <w:rsid w:val="00CF623C"/>
    <w:rsid w:val="00CF63F1"/>
    <w:rsid w:val="00CF69CE"/>
    <w:rsid w:val="00CF7D22"/>
    <w:rsid w:val="00D00272"/>
    <w:rsid w:val="00D002B9"/>
    <w:rsid w:val="00D00A97"/>
    <w:rsid w:val="00D00B2A"/>
    <w:rsid w:val="00D00E3D"/>
    <w:rsid w:val="00D012EA"/>
    <w:rsid w:val="00D01927"/>
    <w:rsid w:val="00D0194E"/>
    <w:rsid w:val="00D01BD4"/>
    <w:rsid w:val="00D0240F"/>
    <w:rsid w:val="00D02539"/>
    <w:rsid w:val="00D02695"/>
    <w:rsid w:val="00D02AE4"/>
    <w:rsid w:val="00D0307B"/>
    <w:rsid w:val="00D032D1"/>
    <w:rsid w:val="00D03791"/>
    <w:rsid w:val="00D03BC4"/>
    <w:rsid w:val="00D04897"/>
    <w:rsid w:val="00D04CD5"/>
    <w:rsid w:val="00D04CF7"/>
    <w:rsid w:val="00D04EE4"/>
    <w:rsid w:val="00D05C0F"/>
    <w:rsid w:val="00D068EE"/>
    <w:rsid w:val="00D069C3"/>
    <w:rsid w:val="00D06DC0"/>
    <w:rsid w:val="00D06E13"/>
    <w:rsid w:val="00D07C42"/>
    <w:rsid w:val="00D07D07"/>
    <w:rsid w:val="00D1052E"/>
    <w:rsid w:val="00D10F71"/>
    <w:rsid w:val="00D11399"/>
    <w:rsid w:val="00D11754"/>
    <w:rsid w:val="00D11D14"/>
    <w:rsid w:val="00D11E4B"/>
    <w:rsid w:val="00D120E3"/>
    <w:rsid w:val="00D122DA"/>
    <w:rsid w:val="00D1262E"/>
    <w:rsid w:val="00D12E5C"/>
    <w:rsid w:val="00D13729"/>
    <w:rsid w:val="00D139C9"/>
    <w:rsid w:val="00D13BE3"/>
    <w:rsid w:val="00D14D03"/>
    <w:rsid w:val="00D158FB"/>
    <w:rsid w:val="00D15ED6"/>
    <w:rsid w:val="00D15FD3"/>
    <w:rsid w:val="00D16AEE"/>
    <w:rsid w:val="00D16FF1"/>
    <w:rsid w:val="00D16FFF"/>
    <w:rsid w:val="00D17861"/>
    <w:rsid w:val="00D17BB8"/>
    <w:rsid w:val="00D17DB3"/>
    <w:rsid w:val="00D17F09"/>
    <w:rsid w:val="00D20520"/>
    <w:rsid w:val="00D207A8"/>
    <w:rsid w:val="00D20823"/>
    <w:rsid w:val="00D209C7"/>
    <w:rsid w:val="00D209D7"/>
    <w:rsid w:val="00D2120E"/>
    <w:rsid w:val="00D21686"/>
    <w:rsid w:val="00D21696"/>
    <w:rsid w:val="00D21BF5"/>
    <w:rsid w:val="00D23E3D"/>
    <w:rsid w:val="00D2434D"/>
    <w:rsid w:val="00D24357"/>
    <w:rsid w:val="00D24B75"/>
    <w:rsid w:val="00D25CB6"/>
    <w:rsid w:val="00D25F4C"/>
    <w:rsid w:val="00D26146"/>
    <w:rsid w:val="00D261D5"/>
    <w:rsid w:val="00D267FC"/>
    <w:rsid w:val="00D2680F"/>
    <w:rsid w:val="00D268B5"/>
    <w:rsid w:val="00D26ACB"/>
    <w:rsid w:val="00D26C10"/>
    <w:rsid w:val="00D276D8"/>
    <w:rsid w:val="00D30680"/>
    <w:rsid w:val="00D3159F"/>
    <w:rsid w:val="00D318A4"/>
    <w:rsid w:val="00D31ADD"/>
    <w:rsid w:val="00D3211B"/>
    <w:rsid w:val="00D327A0"/>
    <w:rsid w:val="00D32814"/>
    <w:rsid w:val="00D32AB2"/>
    <w:rsid w:val="00D32CE9"/>
    <w:rsid w:val="00D32D2C"/>
    <w:rsid w:val="00D32F16"/>
    <w:rsid w:val="00D332B8"/>
    <w:rsid w:val="00D33813"/>
    <w:rsid w:val="00D33B4F"/>
    <w:rsid w:val="00D33F2A"/>
    <w:rsid w:val="00D34166"/>
    <w:rsid w:val="00D34AEE"/>
    <w:rsid w:val="00D34DFF"/>
    <w:rsid w:val="00D34ECC"/>
    <w:rsid w:val="00D35176"/>
    <w:rsid w:val="00D35D24"/>
    <w:rsid w:val="00D35EDE"/>
    <w:rsid w:val="00D35F7F"/>
    <w:rsid w:val="00D3601B"/>
    <w:rsid w:val="00D371FA"/>
    <w:rsid w:val="00D376EF"/>
    <w:rsid w:val="00D37B1A"/>
    <w:rsid w:val="00D37FB8"/>
    <w:rsid w:val="00D4046F"/>
    <w:rsid w:val="00D407F8"/>
    <w:rsid w:val="00D40822"/>
    <w:rsid w:val="00D40856"/>
    <w:rsid w:val="00D40B22"/>
    <w:rsid w:val="00D4108A"/>
    <w:rsid w:val="00D41197"/>
    <w:rsid w:val="00D415AA"/>
    <w:rsid w:val="00D41694"/>
    <w:rsid w:val="00D41F08"/>
    <w:rsid w:val="00D4222B"/>
    <w:rsid w:val="00D42647"/>
    <w:rsid w:val="00D4269C"/>
    <w:rsid w:val="00D426A7"/>
    <w:rsid w:val="00D4297F"/>
    <w:rsid w:val="00D42A1C"/>
    <w:rsid w:val="00D42D6A"/>
    <w:rsid w:val="00D42FA2"/>
    <w:rsid w:val="00D42FEE"/>
    <w:rsid w:val="00D4322C"/>
    <w:rsid w:val="00D43323"/>
    <w:rsid w:val="00D4341B"/>
    <w:rsid w:val="00D43BAD"/>
    <w:rsid w:val="00D440CF"/>
    <w:rsid w:val="00D448DB"/>
    <w:rsid w:val="00D46343"/>
    <w:rsid w:val="00D46710"/>
    <w:rsid w:val="00D469B9"/>
    <w:rsid w:val="00D46E17"/>
    <w:rsid w:val="00D472C9"/>
    <w:rsid w:val="00D47B36"/>
    <w:rsid w:val="00D500EB"/>
    <w:rsid w:val="00D507E0"/>
    <w:rsid w:val="00D50899"/>
    <w:rsid w:val="00D508CB"/>
    <w:rsid w:val="00D50E92"/>
    <w:rsid w:val="00D51589"/>
    <w:rsid w:val="00D51682"/>
    <w:rsid w:val="00D51E00"/>
    <w:rsid w:val="00D51EF1"/>
    <w:rsid w:val="00D52047"/>
    <w:rsid w:val="00D529FC"/>
    <w:rsid w:val="00D52C5C"/>
    <w:rsid w:val="00D53549"/>
    <w:rsid w:val="00D53824"/>
    <w:rsid w:val="00D53E0B"/>
    <w:rsid w:val="00D546D3"/>
    <w:rsid w:val="00D546F8"/>
    <w:rsid w:val="00D54C71"/>
    <w:rsid w:val="00D5518D"/>
    <w:rsid w:val="00D554D9"/>
    <w:rsid w:val="00D5557D"/>
    <w:rsid w:val="00D55583"/>
    <w:rsid w:val="00D55717"/>
    <w:rsid w:val="00D55BC6"/>
    <w:rsid w:val="00D562E0"/>
    <w:rsid w:val="00D5636A"/>
    <w:rsid w:val="00D56A5D"/>
    <w:rsid w:val="00D56D9E"/>
    <w:rsid w:val="00D56EED"/>
    <w:rsid w:val="00D571AB"/>
    <w:rsid w:val="00D5728A"/>
    <w:rsid w:val="00D57966"/>
    <w:rsid w:val="00D603BC"/>
    <w:rsid w:val="00D6121A"/>
    <w:rsid w:val="00D614CB"/>
    <w:rsid w:val="00D6195C"/>
    <w:rsid w:val="00D621EA"/>
    <w:rsid w:val="00D6298A"/>
    <w:rsid w:val="00D62B56"/>
    <w:rsid w:val="00D62BA3"/>
    <w:rsid w:val="00D62ED9"/>
    <w:rsid w:val="00D630A3"/>
    <w:rsid w:val="00D63468"/>
    <w:rsid w:val="00D63699"/>
    <w:rsid w:val="00D63A2D"/>
    <w:rsid w:val="00D63D60"/>
    <w:rsid w:val="00D63E35"/>
    <w:rsid w:val="00D63FF8"/>
    <w:rsid w:val="00D643DC"/>
    <w:rsid w:val="00D64510"/>
    <w:rsid w:val="00D64A81"/>
    <w:rsid w:val="00D64D37"/>
    <w:rsid w:val="00D6569B"/>
    <w:rsid w:val="00D65AB4"/>
    <w:rsid w:val="00D65E55"/>
    <w:rsid w:val="00D65EE2"/>
    <w:rsid w:val="00D6651E"/>
    <w:rsid w:val="00D66A67"/>
    <w:rsid w:val="00D67123"/>
    <w:rsid w:val="00D67831"/>
    <w:rsid w:val="00D678A4"/>
    <w:rsid w:val="00D67A4B"/>
    <w:rsid w:val="00D709F6"/>
    <w:rsid w:val="00D70F1B"/>
    <w:rsid w:val="00D71CCD"/>
    <w:rsid w:val="00D71FAA"/>
    <w:rsid w:val="00D7204F"/>
    <w:rsid w:val="00D72512"/>
    <w:rsid w:val="00D72ABD"/>
    <w:rsid w:val="00D733F1"/>
    <w:rsid w:val="00D73B28"/>
    <w:rsid w:val="00D73B2C"/>
    <w:rsid w:val="00D73B69"/>
    <w:rsid w:val="00D74367"/>
    <w:rsid w:val="00D743B7"/>
    <w:rsid w:val="00D746EA"/>
    <w:rsid w:val="00D747CE"/>
    <w:rsid w:val="00D74BF9"/>
    <w:rsid w:val="00D74DA8"/>
    <w:rsid w:val="00D7522A"/>
    <w:rsid w:val="00D7526E"/>
    <w:rsid w:val="00D757BE"/>
    <w:rsid w:val="00D75B07"/>
    <w:rsid w:val="00D75D4E"/>
    <w:rsid w:val="00D76446"/>
    <w:rsid w:val="00D76669"/>
    <w:rsid w:val="00D767A4"/>
    <w:rsid w:val="00D76A77"/>
    <w:rsid w:val="00D76B64"/>
    <w:rsid w:val="00D76F8A"/>
    <w:rsid w:val="00D77169"/>
    <w:rsid w:val="00D80461"/>
    <w:rsid w:val="00D80768"/>
    <w:rsid w:val="00D80C23"/>
    <w:rsid w:val="00D80DD7"/>
    <w:rsid w:val="00D8198F"/>
    <w:rsid w:val="00D819C6"/>
    <w:rsid w:val="00D81A4C"/>
    <w:rsid w:val="00D81B11"/>
    <w:rsid w:val="00D81B71"/>
    <w:rsid w:val="00D821A9"/>
    <w:rsid w:val="00D8242C"/>
    <w:rsid w:val="00D8294B"/>
    <w:rsid w:val="00D8318E"/>
    <w:rsid w:val="00D83BCF"/>
    <w:rsid w:val="00D842AF"/>
    <w:rsid w:val="00D842B3"/>
    <w:rsid w:val="00D844F4"/>
    <w:rsid w:val="00D849AC"/>
    <w:rsid w:val="00D84A1B"/>
    <w:rsid w:val="00D84CF8"/>
    <w:rsid w:val="00D85637"/>
    <w:rsid w:val="00D85AE6"/>
    <w:rsid w:val="00D85BF0"/>
    <w:rsid w:val="00D85E95"/>
    <w:rsid w:val="00D868E6"/>
    <w:rsid w:val="00D86A10"/>
    <w:rsid w:val="00D86AEB"/>
    <w:rsid w:val="00D86B3A"/>
    <w:rsid w:val="00D86E82"/>
    <w:rsid w:val="00D86F3B"/>
    <w:rsid w:val="00D86F72"/>
    <w:rsid w:val="00D87806"/>
    <w:rsid w:val="00D8794B"/>
    <w:rsid w:val="00D902A0"/>
    <w:rsid w:val="00D902C1"/>
    <w:rsid w:val="00D903AD"/>
    <w:rsid w:val="00D90638"/>
    <w:rsid w:val="00D90959"/>
    <w:rsid w:val="00D91803"/>
    <w:rsid w:val="00D92373"/>
    <w:rsid w:val="00D92632"/>
    <w:rsid w:val="00D930BD"/>
    <w:rsid w:val="00D932E4"/>
    <w:rsid w:val="00D93662"/>
    <w:rsid w:val="00D936C7"/>
    <w:rsid w:val="00D93C56"/>
    <w:rsid w:val="00D9415B"/>
    <w:rsid w:val="00D94402"/>
    <w:rsid w:val="00D94867"/>
    <w:rsid w:val="00D94A99"/>
    <w:rsid w:val="00D954F1"/>
    <w:rsid w:val="00D958EE"/>
    <w:rsid w:val="00D95FB3"/>
    <w:rsid w:val="00D96E26"/>
    <w:rsid w:val="00D96E5A"/>
    <w:rsid w:val="00D977A6"/>
    <w:rsid w:val="00D97C47"/>
    <w:rsid w:val="00DA0A3F"/>
    <w:rsid w:val="00DA107C"/>
    <w:rsid w:val="00DA1A9C"/>
    <w:rsid w:val="00DA1E5B"/>
    <w:rsid w:val="00DA1EC9"/>
    <w:rsid w:val="00DA1F36"/>
    <w:rsid w:val="00DA2235"/>
    <w:rsid w:val="00DA22CB"/>
    <w:rsid w:val="00DA357D"/>
    <w:rsid w:val="00DA370C"/>
    <w:rsid w:val="00DA3D62"/>
    <w:rsid w:val="00DA41F1"/>
    <w:rsid w:val="00DA468D"/>
    <w:rsid w:val="00DA4868"/>
    <w:rsid w:val="00DA4AD7"/>
    <w:rsid w:val="00DA4F6F"/>
    <w:rsid w:val="00DA5622"/>
    <w:rsid w:val="00DA5634"/>
    <w:rsid w:val="00DA65DB"/>
    <w:rsid w:val="00DA6C90"/>
    <w:rsid w:val="00DA7374"/>
    <w:rsid w:val="00DA7724"/>
    <w:rsid w:val="00DA77BB"/>
    <w:rsid w:val="00DA784F"/>
    <w:rsid w:val="00DA788C"/>
    <w:rsid w:val="00DB0B9F"/>
    <w:rsid w:val="00DB0C31"/>
    <w:rsid w:val="00DB0E96"/>
    <w:rsid w:val="00DB19CC"/>
    <w:rsid w:val="00DB31E4"/>
    <w:rsid w:val="00DB3452"/>
    <w:rsid w:val="00DB3E82"/>
    <w:rsid w:val="00DB4290"/>
    <w:rsid w:val="00DB43A6"/>
    <w:rsid w:val="00DB4619"/>
    <w:rsid w:val="00DB4FDA"/>
    <w:rsid w:val="00DB550C"/>
    <w:rsid w:val="00DB5AB5"/>
    <w:rsid w:val="00DB6703"/>
    <w:rsid w:val="00DB6860"/>
    <w:rsid w:val="00DB6D38"/>
    <w:rsid w:val="00DB6EDE"/>
    <w:rsid w:val="00DB7A35"/>
    <w:rsid w:val="00DC00A2"/>
    <w:rsid w:val="00DC021F"/>
    <w:rsid w:val="00DC074E"/>
    <w:rsid w:val="00DC07D2"/>
    <w:rsid w:val="00DC171E"/>
    <w:rsid w:val="00DC18BF"/>
    <w:rsid w:val="00DC2E55"/>
    <w:rsid w:val="00DC3374"/>
    <w:rsid w:val="00DC476A"/>
    <w:rsid w:val="00DC5DF3"/>
    <w:rsid w:val="00DC642C"/>
    <w:rsid w:val="00DC67C6"/>
    <w:rsid w:val="00DC686C"/>
    <w:rsid w:val="00DC68FB"/>
    <w:rsid w:val="00DC6BE9"/>
    <w:rsid w:val="00DC7292"/>
    <w:rsid w:val="00DC72C4"/>
    <w:rsid w:val="00DC76D2"/>
    <w:rsid w:val="00DC7E6C"/>
    <w:rsid w:val="00DD1A4B"/>
    <w:rsid w:val="00DD21FC"/>
    <w:rsid w:val="00DD2271"/>
    <w:rsid w:val="00DD233F"/>
    <w:rsid w:val="00DD25C9"/>
    <w:rsid w:val="00DD2C6B"/>
    <w:rsid w:val="00DD2D7B"/>
    <w:rsid w:val="00DD2F67"/>
    <w:rsid w:val="00DD3836"/>
    <w:rsid w:val="00DD3B74"/>
    <w:rsid w:val="00DD3B77"/>
    <w:rsid w:val="00DD3DA3"/>
    <w:rsid w:val="00DD400F"/>
    <w:rsid w:val="00DD4105"/>
    <w:rsid w:val="00DD4550"/>
    <w:rsid w:val="00DD4718"/>
    <w:rsid w:val="00DD4B5F"/>
    <w:rsid w:val="00DD4C48"/>
    <w:rsid w:val="00DD4C83"/>
    <w:rsid w:val="00DD4EF7"/>
    <w:rsid w:val="00DD52D6"/>
    <w:rsid w:val="00DD56E9"/>
    <w:rsid w:val="00DD58DA"/>
    <w:rsid w:val="00DD6114"/>
    <w:rsid w:val="00DD6462"/>
    <w:rsid w:val="00DD6573"/>
    <w:rsid w:val="00DD690D"/>
    <w:rsid w:val="00DD7267"/>
    <w:rsid w:val="00DD7285"/>
    <w:rsid w:val="00DD75E6"/>
    <w:rsid w:val="00DD7BFB"/>
    <w:rsid w:val="00DD7E28"/>
    <w:rsid w:val="00DD7EA0"/>
    <w:rsid w:val="00DE04F7"/>
    <w:rsid w:val="00DE06EB"/>
    <w:rsid w:val="00DE0C25"/>
    <w:rsid w:val="00DE10EA"/>
    <w:rsid w:val="00DE2B40"/>
    <w:rsid w:val="00DE2BA4"/>
    <w:rsid w:val="00DE2F54"/>
    <w:rsid w:val="00DE3440"/>
    <w:rsid w:val="00DE36AE"/>
    <w:rsid w:val="00DE391C"/>
    <w:rsid w:val="00DE3A60"/>
    <w:rsid w:val="00DE49DE"/>
    <w:rsid w:val="00DE5798"/>
    <w:rsid w:val="00DE608B"/>
    <w:rsid w:val="00DE60FC"/>
    <w:rsid w:val="00DE6582"/>
    <w:rsid w:val="00DE681D"/>
    <w:rsid w:val="00DE6BD8"/>
    <w:rsid w:val="00DE6BDF"/>
    <w:rsid w:val="00DE6C9C"/>
    <w:rsid w:val="00DE7BB9"/>
    <w:rsid w:val="00DF04F9"/>
    <w:rsid w:val="00DF0C95"/>
    <w:rsid w:val="00DF0F81"/>
    <w:rsid w:val="00DF1283"/>
    <w:rsid w:val="00DF13F1"/>
    <w:rsid w:val="00DF1732"/>
    <w:rsid w:val="00DF1CFB"/>
    <w:rsid w:val="00DF1E56"/>
    <w:rsid w:val="00DF1EB6"/>
    <w:rsid w:val="00DF1F64"/>
    <w:rsid w:val="00DF2276"/>
    <w:rsid w:val="00DF256F"/>
    <w:rsid w:val="00DF29B0"/>
    <w:rsid w:val="00DF2C21"/>
    <w:rsid w:val="00DF2DEC"/>
    <w:rsid w:val="00DF3C2C"/>
    <w:rsid w:val="00DF5352"/>
    <w:rsid w:val="00DF5C2F"/>
    <w:rsid w:val="00DF62E8"/>
    <w:rsid w:val="00DF6AEB"/>
    <w:rsid w:val="00DF6F55"/>
    <w:rsid w:val="00DF72FD"/>
    <w:rsid w:val="00DF7C0A"/>
    <w:rsid w:val="00DF7DD3"/>
    <w:rsid w:val="00E00426"/>
    <w:rsid w:val="00E00642"/>
    <w:rsid w:val="00E00C9D"/>
    <w:rsid w:val="00E00FA0"/>
    <w:rsid w:val="00E00FB9"/>
    <w:rsid w:val="00E011AC"/>
    <w:rsid w:val="00E01E00"/>
    <w:rsid w:val="00E01E7C"/>
    <w:rsid w:val="00E0268A"/>
    <w:rsid w:val="00E027BB"/>
    <w:rsid w:val="00E02D01"/>
    <w:rsid w:val="00E02EB8"/>
    <w:rsid w:val="00E0307F"/>
    <w:rsid w:val="00E03CB7"/>
    <w:rsid w:val="00E03F7C"/>
    <w:rsid w:val="00E0474E"/>
    <w:rsid w:val="00E04CC7"/>
    <w:rsid w:val="00E05087"/>
    <w:rsid w:val="00E0525F"/>
    <w:rsid w:val="00E0561E"/>
    <w:rsid w:val="00E06306"/>
    <w:rsid w:val="00E0662A"/>
    <w:rsid w:val="00E0697E"/>
    <w:rsid w:val="00E06BD8"/>
    <w:rsid w:val="00E06E6A"/>
    <w:rsid w:val="00E06EF0"/>
    <w:rsid w:val="00E078EE"/>
    <w:rsid w:val="00E07C42"/>
    <w:rsid w:val="00E07EF6"/>
    <w:rsid w:val="00E07F06"/>
    <w:rsid w:val="00E07F93"/>
    <w:rsid w:val="00E10906"/>
    <w:rsid w:val="00E10F11"/>
    <w:rsid w:val="00E11100"/>
    <w:rsid w:val="00E116BF"/>
    <w:rsid w:val="00E11BD9"/>
    <w:rsid w:val="00E11CEC"/>
    <w:rsid w:val="00E12B36"/>
    <w:rsid w:val="00E1322C"/>
    <w:rsid w:val="00E13319"/>
    <w:rsid w:val="00E137D1"/>
    <w:rsid w:val="00E13FC2"/>
    <w:rsid w:val="00E143A2"/>
    <w:rsid w:val="00E1502A"/>
    <w:rsid w:val="00E15E53"/>
    <w:rsid w:val="00E16649"/>
    <w:rsid w:val="00E170B8"/>
    <w:rsid w:val="00E17443"/>
    <w:rsid w:val="00E17A86"/>
    <w:rsid w:val="00E17AC4"/>
    <w:rsid w:val="00E17D33"/>
    <w:rsid w:val="00E201F6"/>
    <w:rsid w:val="00E203E5"/>
    <w:rsid w:val="00E2070C"/>
    <w:rsid w:val="00E20EC9"/>
    <w:rsid w:val="00E21412"/>
    <w:rsid w:val="00E21450"/>
    <w:rsid w:val="00E217C8"/>
    <w:rsid w:val="00E21DAD"/>
    <w:rsid w:val="00E222EB"/>
    <w:rsid w:val="00E2230D"/>
    <w:rsid w:val="00E22340"/>
    <w:rsid w:val="00E2277C"/>
    <w:rsid w:val="00E22C50"/>
    <w:rsid w:val="00E230CA"/>
    <w:rsid w:val="00E23473"/>
    <w:rsid w:val="00E23BB3"/>
    <w:rsid w:val="00E23F02"/>
    <w:rsid w:val="00E24325"/>
    <w:rsid w:val="00E24A67"/>
    <w:rsid w:val="00E24E67"/>
    <w:rsid w:val="00E24F36"/>
    <w:rsid w:val="00E25362"/>
    <w:rsid w:val="00E253DC"/>
    <w:rsid w:val="00E25672"/>
    <w:rsid w:val="00E25AD1"/>
    <w:rsid w:val="00E25E68"/>
    <w:rsid w:val="00E26377"/>
    <w:rsid w:val="00E266BB"/>
    <w:rsid w:val="00E26BA9"/>
    <w:rsid w:val="00E26CC3"/>
    <w:rsid w:val="00E26EF8"/>
    <w:rsid w:val="00E26FCD"/>
    <w:rsid w:val="00E274D3"/>
    <w:rsid w:val="00E276E1"/>
    <w:rsid w:val="00E27ABE"/>
    <w:rsid w:val="00E27B3B"/>
    <w:rsid w:val="00E27BDD"/>
    <w:rsid w:val="00E27E26"/>
    <w:rsid w:val="00E30538"/>
    <w:rsid w:val="00E30FF1"/>
    <w:rsid w:val="00E31096"/>
    <w:rsid w:val="00E31458"/>
    <w:rsid w:val="00E314A7"/>
    <w:rsid w:val="00E315BB"/>
    <w:rsid w:val="00E3164D"/>
    <w:rsid w:val="00E32041"/>
    <w:rsid w:val="00E3211A"/>
    <w:rsid w:val="00E3219D"/>
    <w:rsid w:val="00E32519"/>
    <w:rsid w:val="00E3296E"/>
    <w:rsid w:val="00E32A28"/>
    <w:rsid w:val="00E32CDE"/>
    <w:rsid w:val="00E33603"/>
    <w:rsid w:val="00E33654"/>
    <w:rsid w:val="00E33EA5"/>
    <w:rsid w:val="00E345CD"/>
    <w:rsid w:val="00E34608"/>
    <w:rsid w:val="00E349B9"/>
    <w:rsid w:val="00E349BA"/>
    <w:rsid w:val="00E34A4F"/>
    <w:rsid w:val="00E34B2A"/>
    <w:rsid w:val="00E351FD"/>
    <w:rsid w:val="00E35D23"/>
    <w:rsid w:val="00E35E61"/>
    <w:rsid w:val="00E370A6"/>
    <w:rsid w:val="00E373AD"/>
    <w:rsid w:val="00E37C65"/>
    <w:rsid w:val="00E37E38"/>
    <w:rsid w:val="00E40144"/>
    <w:rsid w:val="00E40514"/>
    <w:rsid w:val="00E40B22"/>
    <w:rsid w:val="00E40F55"/>
    <w:rsid w:val="00E41139"/>
    <w:rsid w:val="00E41248"/>
    <w:rsid w:val="00E41316"/>
    <w:rsid w:val="00E418EF"/>
    <w:rsid w:val="00E41951"/>
    <w:rsid w:val="00E41D60"/>
    <w:rsid w:val="00E42074"/>
    <w:rsid w:val="00E4219F"/>
    <w:rsid w:val="00E4234F"/>
    <w:rsid w:val="00E42450"/>
    <w:rsid w:val="00E4300A"/>
    <w:rsid w:val="00E43B69"/>
    <w:rsid w:val="00E4453E"/>
    <w:rsid w:val="00E44594"/>
    <w:rsid w:val="00E4490E"/>
    <w:rsid w:val="00E44AE9"/>
    <w:rsid w:val="00E44E7B"/>
    <w:rsid w:val="00E45273"/>
    <w:rsid w:val="00E46876"/>
    <w:rsid w:val="00E46CF5"/>
    <w:rsid w:val="00E47356"/>
    <w:rsid w:val="00E4735B"/>
    <w:rsid w:val="00E474FA"/>
    <w:rsid w:val="00E475BC"/>
    <w:rsid w:val="00E47672"/>
    <w:rsid w:val="00E47D1D"/>
    <w:rsid w:val="00E50343"/>
    <w:rsid w:val="00E50A9B"/>
    <w:rsid w:val="00E50E8A"/>
    <w:rsid w:val="00E516DD"/>
    <w:rsid w:val="00E51BF6"/>
    <w:rsid w:val="00E51C06"/>
    <w:rsid w:val="00E51D11"/>
    <w:rsid w:val="00E51D42"/>
    <w:rsid w:val="00E51FD3"/>
    <w:rsid w:val="00E520F8"/>
    <w:rsid w:val="00E53ED2"/>
    <w:rsid w:val="00E53FF4"/>
    <w:rsid w:val="00E54353"/>
    <w:rsid w:val="00E547EF"/>
    <w:rsid w:val="00E54BC3"/>
    <w:rsid w:val="00E54D0D"/>
    <w:rsid w:val="00E54D44"/>
    <w:rsid w:val="00E551B8"/>
    <w:rsid w:val="00E55237"/>
    <w:rsid w:val="00E55520"/>
    <w:rsid w:val="00E55E32"/>
    <w:rsid w:val="00E55F3A"/>
    <w:rsid w:val="00E55F79"/>
    <w:rsid w:val="00E56051"/>
    <w:rsid w:val="00E560DF"/>
    <w:rsid w:val="00E575A4"/>
    <w:rsid w:val="00E57995"/>
    <w:rsid w:val="00E601B1"/>
    <w:rsid w:val="00E60461"/>
    <w:rsid w:val="00E60C72"/>
    <w:rsid w:val="00E614C5"/>
    <w:rsid w:val="00E6188E"/>
    <w:rsid w:val="00E621E5"/>
    <w:rsid w:val="00E62F0D"/>
    <w:rsid w:val="00E6385F"/>
    <w:rsid w:val="00E64185"/>
    <w:rsid w:val="00E64532"/>
    <w:rsid w:val="00E6466F"/>
    <w:rsid w:val="00E6489B"/>
    <w:rsid w:val="00E648DE"/>
    <w:rsid w:val="00E64D22"/>
    <w:rsid w:val="00E64DFD"/>
    <w:rsid w:val="00E657D0"/>
    <w:rsid w:val="00E659FC"/>
    <w:rsid w:val="00E65C45"/>
    <w:rsid w:val="00E66315"/>
    <w:rsid w:val="00E668C0"/>
    <w:rsid w:val="00E66DA9"/>
    <w:rsid w:val="00E66E06"/>
    <w:rsid w:val="00E67038"/>
    <w:rsid w:val="00E6787B"/>
    <w:rsid w:val="00E679ED"/>
    <w:rsid w:val="00E67B84"/>
    <w:rsid w:val="00E67FAF"/>
    <w:rsid w:val="00E703D2"/>
    <w:rsid w:val="00E708C7"/>
    <w:rsid w:val="00E709C7"/>
    <w:rsid w:val="00E70F12"/>
    <w:rsid w:val="00E7113C"/>
    <w:rsid w:val="00E7140F"/>
    <w:rsid w:val="00E71591"/>
    <w:rsid w:val="00E7162A"/>
    <w:rsid w:val="00E71983"/>
    <w:rsid w:val="00E71F91"/>
    <w:rsid w:val="00E720DA"/>
    <w:rsid w:val="00E72955"/>
    <w:rsid w:val="00E729CF"/>
    <w:rsid w:val="00E72DCB"/>
    <w:rsid w:val="00E731E0"/>
    <w:rsid w:val="00E73B10"/>
    <w:rsid w:val="00E73D6F"/>
    <w:rsid w:val="00E73F2C"/>
    <w:rsid w:val="00E73F90"/>
    <w:rsid w:val="00E74822"/>
    <w:rsid w:val="00E748E9"/>
    <w:rsid w:val="00E749FD"/>
    <w:rsid w:val="00E74B40"/>
    <w:rsid w:val="00E75297"/>
    <w:rsid w:val="00E757DD"/>
    <w:rsid w:val="00E75C36"/>
    <w:rsid w:val="00E76014"/>
    <w:rsid w:val="00E764B2"/>
    <w:rsid w:val="00E76CBC"/>
    <w:rsid w:val="00E7738E"/>
    <w:rsid w:val="00E77649"/>
    <w:rsid w:val="00E77BFF"/>
    <w:rsid w:val="00E80426"/>
    <w:rsid w:val="00E80476"/>
    <w:rsid w:val="00E80B11"/>
    <w:rsid w:val="00E822F4"/>
    <w:rsid w:val="00E82924"/>
    <w:rsid w:val="00E82F14"/>
    <w:rsid w:val="00E839A9"/>
    <w:rsid w:val="00E83B59"/>
    <w:rsid w:val="00E844B7"/>
    <w:rsid w:val="00E844D0"/>
    <w:rsid w:val="00E84772"/>
    <w:rsid w:val="00E84F03"/>
    <w:rsid w:val="00E8503A"/>
    <w:rsid w:val="00E853C3"/>
    <w:rsid w:val="00E85422"/>
    <w:rsid w:val="00E8557D"/>
    <w:rsid w:val="00E85B21"/>
    <w:rsid w:val="00E863DC"/>
    <w:rsid w:val="00E865C7"/>
    <w:rsid w:val="00E86D00"/>
    <w:rsid w:val="00E87C29"/>
    <w:rsid w:val="00E90A42"/>
    <w:rsid w:val="00E910AB"/>
    <w:rsid w:val="00E91502"/>
    <w:rsid w:val="00E91558"/>
    <w:rsid w:val="00E9179B"/>
    <w:rsid w:val="00E919D0"/>
    <w:rsid w:val="00E91D9A"/>
    <w:rsid w:val="00E927AE"/>
    <w:rsid w:val="00E9311D"/>
    <w:rsid w:val="00E93E86"/>
    <w:rsid w:val="00E943B6"/>
    <w:rsid w:val="00E947BB"/>
    <w:rsid w:val="00E94865"/>
    <w:rsid w:val="00E94A1E"/>
    <w:rsid w:val="00E94DC3"/>
    <w:rsid w:val="00E94DEB"/>
    <w:rsid w:val="00E950D4"/>
    <w:rsid w:val="00E96F9B"/>
    <w:rsid w:val="00E9765B"/>
    <w:rsid w:val="00E97F4A"/>
    <w:rsid w:val="00EA0136"/>
    <w:rsid w:val="00EA04C9"/>
    <w:rsid w:val="00EA0935"/>
    <w:rsid w:val="00EA0C08"/>
    <w:rsid w:val="00EA0F69"/>
    <w:rsid w:val="00EA17C6"/>
    <w:rsid w:val="00EA19C9"/>
    <w:rsid w:val="00EA1DA9"/>
    <w:rsid w:val="00EA2496"/>
    <w:rsid w:val="00EA32FA"/>
    <w:rsid w:val="00EA3657"/>
    <w:rsid w:val="00EA3A74"/>
    <w:rsid w:val="00EA3FE8"/>
    <w:rsid w:val="00EA413F"/>
    <w:rsid w:val="00EA41F1"/>
    <w:rsid w:val="00EA43F4"/>
    <w:rsid w:val="00EA488E"/>
    <w:rsid w:val="00EA58E2"/>
    <w:rsid w:val="00EA5F79"/>
    <w:rsid w:val="00EA5FC0"/>
    <w:rsid w:val="00EA6010"/>
    <w:rsid w:val="00EA62AC"/>
    <w:rsid w:val="00EA6455"/>
    <w:rsid w:val="00EA6C4A"/>
    <w:rsid w:val="00EA74AB"/>
    <w:rsid w:val="00EA7AE3"/>
    <w:rsid w:val="00EA7B25"/>
    <w:rsid w:val="00EA7BA8"/>
    <w:rsid w:val="00EB0629"/>
    <w:rsid w:val="00EB06A2"/>
    <w:rsid w:val="00EB0973"/>
    <w:rsid w:val="00EB0A2D"/>
    <w:rsid w:val="00EB0ABB"/>
    <w:rsid w:val="00EB1AB9"/>
    <w:rsid w:val="00EB1DE4"/>
    <w:rsid w:val="00EB2418"/>
    <w:rsid w:val="00EB2AFA"/>
    <w:rsid w:val="00EB399B"/>
    <w:rsid w:val="00EB4049"/>
    <w:rsid w:val="00EB48BB"/>
    <w:rsid w:val="00EB4E88"/>
    <w:rsid w:val="00EB4F02"/>
    <w:rsid w:val="00EB6702"/>
    <w:rsid w:val="00EB6F98"/>
    <w:rsid w:val="00EB6F9C"/>
    <w:rsid w:val="00EB7A13"/>
    <w:rsid w:val="00EB7DC8"/>
    <w:rsid w:val="00EB7F60"/>
    <w:rsid w:val="00EC1233"/>
    <w:rsid w:val="00EC1237"/>
    <w:rsid w:val="00EC1BB1"/>
    <w:rsid w:val="00EC2678"/>
    <w:rsid w:val="00EC2FB7"/>
    <w:rsid w:val="00EC3262"/>
    <w:rsid w:val="00EC37A8"/>
    <w:rsid w:val="00EC3A14"/>
    <w:rsid w:val="00EC3B84"/>
    <w:rsid w:val="00EC3D2F"/>
    <w:rsid w:val="00EC3DB9"/>
    <w:rsid w:val="00EC4515"/>
    <w:rsid w:val="00EC5109"/>
    <w:rsid w:val="00EC5377"/>
    <w:rsid w:val="00EC6694"/>
    <w:rsid w:val="00EC698E"/>
    <w:rsid w:val="00EC6DD6"/>
    <w:rsid w:val="00EC6FCE"/>
    <w:rsid w:val="00EC7220"/>
    <w:rsid w:val="00EC727F"/>
    <w:rsid w:val="00EC75D0"/>
    <w:rsid w:val="00EC772D"/>
    <w:rsid w:val="00EC774F"/>
    <w:rsid w:val="00EC7D5C"/>
    <w:rsid w:val="00ED0976"/>
    <w:rsid w:val="00ED0C2B"/>
    <w:rsid w:val="00ED0C7D"/>
    <w:rsid w:val="00ED12A3"/>
    <w:rsid w:val="00ED1881"/>
    <w:rsid w:val="00ED1A4F"/>
    <w:rsid w:val="00ED1E91"/>
    <w:rsid w:val="00ED2055"/>
    <w:rsid w:val="00ED263F"/>
    <w:rsid w:val="00ED290E"/>
    <w:rsid w:val="00ED2B49"/>
    <w:rsid w:val="00ED2C7F"/>
    <w:rsid w:val="00ED4761"/>
    <w:rsid w:val="00ED4E9A"/>
    <w:rsid w:val="00ED4F78"/>
    <w:rsid w:val="00ED4F7D"/>
    <w:rsid w:val="00ED5907"/>
    <w:rsid w:val="00ED59F8"/>
    <w:rsid w:val="00ED5CEF"/>
    <w:rsid w:val="00ED5D6E"/>
    <w:rsid w:val="00ED6054"/>
    <w:rsid w:val="00ED62C9"/>
    <w:rsid w:val="00ED66A8"/>
    <w:rsid w:val="00ED6774"/>
    <w:rsid w:val="00ED6B0C"/>
    <w:rsid w:val="00ED7010"/>
    <w:rsid w:val="00EE0138"/>
    <w:rsid w:val="00EE076C"/>
    <w:rsid w:val="00EE0778"/>
    <w:rsid w:val="00EE1315"/>
    <w:rsid w:val="00EE168E"/>
    <w:rsid w:val="00EE1E8D"/>
    <w:rsid w:val="00EE2B9B"/>
    <w:rsid w:val="00EE2EFC"/>
    <w:rsid w:val="00EE32C5"/>
    <w:rsid w:val="00EE3715"/>
    <w:rsid w:val="00EE3DA8"/>
    <w:rsid w:val="00EE40FA"/>
    <w:rsid w:val="00EE4616"/>
    <w:rsid w:val="00EE4780"/>
    <w:rsid w:val="00EE4ADD"/>
    <w:rsid w:val="00EE4D82"/>
    <w:rsid w:val="00EE4DFD"/>
    <w:rsid w:val="00EE5451"/>
    <w:rsid w:val="00EE5525"/>
    <w:rsid w:val="00EE5B45"/>
    <w:rsid w:val="00EE5DF3"/>
    <w:rsid w:val="00EE6A59"/>
    <w:rsid w:val="00EE7D08"/>
    <w:rsid w:val="00EF001D"/>
    <w:rsid w:val="00EF03C6"/>
    <w:rsid w:val="00EF0505"/>
    <w:rsid w:val="00EF0D73"/>
    <w:rsid w:val="00EF11DE"/>
    <w:rsid w:val="00EF1B43"/>
    <w:rsid w:val="00EF1EE6"/>
    <w:rsid w:val="00EF244D"/>
    <w:rsid w:val="00EF256E"/>
    <w:rsid w:val="00EF29B8"/>
    <w:rsid w:val="00EF361E"/>
    <w:rsid w:val="00EF3A38"/>
    <w:rsid w:val="00EF4406"/>
    <w:rsid w:val="00EF541A"/>
    <w:rsid w:val="00EF587C"/>
    <w:rsid w:val="00EF5A43"/>
    <w:rsid w:val="00EF6412"/>
    <w:rsid w:val="00EF6C1B"/>
    <w:rsid w:val="00EF6F14"/>
    <w:rsid w:val="00EF7153"/>
    <w:rsid w:val="00EF7225"/>
    <w:rsid w:val="00EF79E5"/>
    <w:rsid w:val="00EF7BE9"/>
    <w:rsid w:val="00EF7CE8"/>
    <w:rsid w:val="00F000D1"/>
    <w:rsid w:val="00F00774"/>
    <w:rsid w:val="00F00811"/>
    <w:rsid w:val="00F00F56"/>
    <w:rsid w:val="00F01558"/>
    <w:rsid w:val="00F01807"/>
    <w:rsid w:val="00F01E95"/>
    <w:rsid w:val="00F027B2"/>
    <w:rsid w:val="00F02D8C"/>
    <w:rsid w:val="00F03294"/>
    <w:rsid w:val="00F04033"/>
    <w:rsid w:val="00F04D11"/>
    <w:rsid w:val="00F051E9"/>
    <w:rsid w:val="00F06849"/>
    <w:rsid w:val="00F0691B"/>
    <w:rsid w:val="00F06C5D"/>
    <w:rsid w:val="00F06E84"/>
    <w:rsid w:val="00F070AC"/>
    <w:rsid w:val="00F0796F"/>
    <w:rsid w:val="00F07C59"/>
    <w:rsid w:val="00F10061"/>
    <w:rsid w:val="00F1093D"/>
    <w:rsid w:val="00F109DA"/>
    <w:rsid w:val="00F1173C"/>
    <w:rsid w:val="00F11765"/>
    <w:rsid w:val="00F11DDF"/>
    <w:rsid w:val="00F11FF7"/>
    <w:rsid w:val="00F12439"/>
    <w:rsid w:val="00F12C4B"/>
    <w:rsid w:val="00F12FAC"/>
    <w:rsid w:val="00F13161"/>
    <w:rsid w:val="00F1364F"/>
    <w:rsid w:val="00F137B1"/>
    <w:rsid w:val="00F138C0"/>
    <w:rsid w:val="00F13955"/>
    <w:rsid w:val="00F13D60"/>
    <w:rsid w:val="00F14187"/>
    <w:rsid w:val="00F14490"/>
    <w:rsid w:val="00F145FA"/>
    <w:rsid w:val="00F14F67"/>
    <w:rsid w:val="00F150CB"/>
    <w:rsid w:val="00F153E7"/>
    <w:rsid w:val="00F15406"/>
    <w:rsid w:val="00F155A1"/>
    <w:rsid w:val="00F15788"/>
    <w:rsid w:val="00F15C81"/>
    <w:rsid w:val="00F15FB1"/>
    <w:rsid w:val="00F16278"/>
    <w:rsid w:val="00F165C3"/>
    <w:rsid w:val="00F16847"/>
    <w:rsid w:val="00F17499"/>
    <w:rsid w:val="00F17BE8"/>
    <w:rsid w:val="00F20907"/>
    <w:rsid w:val="00F20BEF"/>
    <w:rsid w:val="00F2128A"/>
    <w:rsid w:val="00F21511"/>
    <w:rsid w:val="00F2155F"/>
    <w:rsid w:val="00F222EB"/>
    <w:rsid w:val="00F22377"/>
    <w:rsid w:val="00F2257F"/>
    <w:rsid w:val="00F22866"/>
    <w:rsid w:val="00F22BD3"/>
    <w:rsid w:val="00F22C53"/>
    <w:rsid w:val="00F22E45"/>
    <w:rsid w:val="00F23194"/>
    <w:rsid w:val="00F23E5A"/>
    <w:rsid w:val="00F241BA"/>
    <w:rsid w:val="00F2481D"/>
    <w:rsid w:val="00F249C0"/>
    <w:rsid w:val="00F24E60"/>
    <w:rsid w:val="00F255B7"/>
    <w:rsid w:val="00F256D1"/>
    <w:rsid w:val="00F263B1"/>
    <w:rsid w:val="00F276EE"/>
    <w:rsid w:val="00F27C03"/>
    <w:rsid w:val="00F30610"/>
    <w:rsid w:val="00F30633"/>
    <w:rsid w:val="00F30A6E"/>
    <w:rsid w:val="00F31956"/>
    <w:rsid w:val="00F31E73"/>
    <w:rsid w:val="00F3282E"/>
    <w:rsid w:val="00F32B34"/>
    <w:rsid w:val="00F3317C"/>
    <w:rsid w:val="00F33790"/>
    <w:rsid w:val="00F33A8C"/>
    <w:rsid w:val="00F33B3A"/>
    <w:rsid w:val="00F33FC5"/>
    <w:rsid w:val="00F340E2"/>
    <w:rsid w:val="00F346C1"/>
    <w:rsid w:val="00F3470C"/>
    <w:rsid w:val="00F34D86"/>
    <w:rsid w:val="00F354DD"/>
    <w:rsid w:val="00F356A1"/>
    <w:rsid w:val="00F36BB0"/>
    <w:rsid w:val="00F36CC2"/>
    <w:rsid w:val="00F36E83"/>
    <w:rsid w:val="00F374C7"/>
    <w:rsid w:val="00F377D5"/>
    <w:rsid w:val="00F37811"/>
    <w:rsid w:val="00F40A4D"/>
    <w:rsid w:val="00F40D9F"/>
    <w:rsid w:val="00F41CA7"/>
    <w:rsid w:val="00F41CE7"/>
    <w:rsid w:val="00F41DF7"/>
    <w:rsid w:val="00F423BD"/>
    <w:rsid w:val="00F4260B"/>
    <w:rsid w:val="00F42A3F"/>
    <w:rsid w:val="00F4372D"/>
    <w:rsid w:val="00F43BAC"/>
    <w:rsid w:val="00F44182"/>
    <w:rsid w:val="00F4447B"/>
    <w:rsid w:val="00F44933"/>
    <w:rsid w:val="00F456D6"/>
    <w:rsid w:val="00F45BFD"/>
    <w:rsid w:val="00F45C70"/>
    <w:rsid w:val="00F45D16"/>
    <w:rsid w:val="00F45DB2"/>
    <w:rsid w:val="00F465A5"/>
    <w:rsid w:val="00F46601"/>
    <w:rsid w:val="00F46D83"/>
    <w:rsid w:val="00F473C2"/>
    <w:rsid w:val="00F474D8"/>
    <w:rsid w:val="00F477BA"/>
    <w:rsid w:val="00F47C96"/>
    <w:rsid w:val="00F47EB1"/>
    <w:rsid w:val="00F47FF2"/>
    <w:rsid w:val="00F504A0"/>
    <w:rsid w:val="00F504CF"/>
    <w:rsid w:val="00F508A0"/>
    <w:rsid w:val="00F50AAA"/>
    <w:rsid w:val="00F50B26"/>
    <w:rsid w:val="00F50C03"/>
    <w:rsid w:val="00F513FD"/>
    <w:rsid w:val="00F517D5"/>
    <w:rsid w:val="00F51D00"/>
    <w:rsid w:val="00F524CE"/>
    <w:rsid w:val="00F52652"/>
    <w:rsid w:val="00F5268A"/>
    <w:rsid w:val="00F52AA4"/>
    <w:rsid w:val="00F53427"/>
    <w:rsid w:val="00F53540"/>
    <w:rsid w:val="00F53CAC"/>
    <w:rsid w:val="00F53D1C"/>
    <w:rsid w:val="00F53D9B"/>
    <w:rsid w:val="00F53E1D"/>
    <w:rsid w:val="00F540A4"/>
    <w:rsid w:val="00F5429C"/>
    <w:rsid w:val="00F554F0"/>
    <w:rsid w:val="00F556CF"/>
    <w:rsid w:val="00F558D0"/>
    <w:rsid w:val="00F55EDA"/>
    <w:rsid w:val="00F56B9E"/>
    <w:rsid w:val="00F56BB1"/>
    <w:rsid w:val="00F5702E"/>
    <w:rsid w:val="00F57342"/>
    <w:rsid w:val="00F578CC"/>
    <w:rsid w:val="00F579E2"/>
    <w:rsid w:val="00F603B0"/>
    <w:rsid w:val="00F60869"/>
    <w:rsid w:val="00F609B2"/>
    <w:rsid w:val="00F61170"/>
    <w:rsid w:val="00F61213"/>
    <w:rsid w:val="00F618AF"/>
    <w:rsid w:val="00F61DBA"/>
    <w:rsid w:val="00F62359"/>
    <w:rsid w:val="00F62543"/>
    <w:rsid w:val="00F62FF3"/>
    <w:rsid w:val="00F6302D"/>
    <w:rsid w:val="00F63690"/>
    <w:rsid w:val="00F636A8"/>
    <w:rsid w:val="00F639D8"/>
    <w:rsid w:val="00F63A75"/>
    <w:rsid w:val="00F64148"/>
    <w:rsid w:val="00F64315"/>
    <w:rsid w:val="00F6452E"/>
    <w:rsid w:val="00F649D3"/>
    <w:rsid w:val="00F64AB4"/>
    <w:rsid w:val="00F64DEE"/>
    <w:rsid w:val="00F652C2"/>
    <w:rsid w:val="00F6570F"/>
    <w:rsid w:val="00F65E8C"/>
    <w:rsid w:val="00F66132"/>
    <w:rsid w:val="00F66238"/>
    <w:rsid w:val="00F664B7"/>
    <w:rsid w:val="00F66A90"/>
    <w:rsid w:val="00F67064"/>
    <w:rsid w:val="00F67C42"/>
    <w:rsid w:val="00F67EAB"/>
    <w:rsid w:val="00F702E6"/>
    <w:rsid w:val="00F706D0"/>
    <w:rsid w:val="00F709FF"/>
    <w:rsid w:val="00F7178E"/>
    <w:rsid w:val="00F71973"/>
    <w:rsid w:val="00F728FB"/>
    <w:rsid w:val="00F733EC"/>
    <w:rsid w:val="00F748B5"/>
    <w:rsid w:val="00F74C7A"/>
    <w:rsid w:val="00F75B50"/>
    <w:rsid w:val="00F75C3B"/>
    <w:rsid w:val="00F75F5C"/>
    <w:rsid w:val="00F7618A"/>
    <w:rsid w:val="00F76BC2"/>
    <w:rsid w:val="00F76C30"/>
    <w:rsid w:val="00F774B9"/>
    <w:rsid w:val="00F77AD2"/>
    <w:rsid w:val="00F77BF4"/>
    <w:rsid w:val="00F77CE6"/>
    <w:rsid w:val="00F80258"/>
    <w:rsid w:val="00F8049A"/>
    <w:rsid w:val="00F8073D"/>
    <w:rsid w:val="00F81E6F"/>
    <w:rsid w:val="00F8249A"/>
    <w:rsid w:val="00F82652"/>
    <w:rsid w:val="00F827E9"/>
    <w:rsid w:val="00F83714"/>
    <w:rsid w:val="00F83F95"/>
    <w:rsid w:val="00F84245"/>
    <w:rsid w:val="00F84C86"/>
    <w:rsid w:val="00F84CD7"/>
    <w:rsid w:val="00F84D6B"/>
    <w:rsid w:val="00F84DFE"/>
    <w:rsid w:val="00F8539C"/>
    <w:rsid w:val="00F856E7"/>
    <w:rsid w:val="00F85855"/>
    <w:rsid w:val="00F85FCE"/>
    <w:rsid w:val="00F87117"/>
    <w:rsid w:val="00F87506"/>
    <w:rsid w:val="00F87569"/>
    <w:rsid w:val="00F87B9F"/>
    <w:rsid w:val="00F87E66"/>
    <w:rsid w:val="00F905C0"/>
    <w:rsid w:val="00F909FE"/>
    <w:rsid w:val="00F90F60"/>
    <w:rsid w:val="00F9122B"/>
    <w:rsid w:val="00F91315"/>
    <w:rsid w:val="00F913D8"/>
    <w:rsid w:val="00F92A38"/>
    <w:rsid w:val="00F92FDC"/>
    <w:rsid w:val="00F9312C"/>
    <w:rsid w:val="00F9329E"/>
    <w:rsid w:val="00F932D3"/>
    <w:rsid w:val="00F9404E"/>
    <w:rsid w:val="00F94715"/>
    <w:rsid w:val="00F94914"/>
    <w:rsid w:val="00F94AAD"/>
    <w:rsid w:val="00F94B45"/>
    <w:rsid w:val="00F94C07"/>
    <w:rsid w:val="00F94F56"/>
    <w:rsid w:val="00F956CE"/>
    <w:rsid w:val="00F95F05"/>
    <w:rsid w:val="00F960D4"/>
    <w:rsid w:val="00F97561"/>
    <w:rsid w:val="00F97930"/>
    <w:rsid w:val="00F97A88"/>
    <w:rsid w:val="00F97ACF"/>
    <w:rsid w:val="00FA05D9"/>
    <w:rsid w:val="00FA1720"/>
    <w:rsid w:val="00FA2770"/>
    <w:rsid w:val="00FA2EB1"/>
    <w:rsid w:val="00FA3099"/>
    <w:rsid w:val="00FA380F"/>
    <w:rsid w:val="00FA3C62"/>
    <w:rsid w:val="00FA41AD"/>
    <w:rsid w:val="00FA4563"/>
    <w:rsid w:val="00FA4949"/>
    <w:rsid w:val="00FA4C07"/>
    <w:rsid w:val="00FA5064"/>
    <w:rsid w:val="00FA523A"/>
    <w:rsid w:val="00FA5895"/>
    <w:rsid w:val="00FA6343"/>
    <w:rsid w:val="00FA6565"/>
    <w:rsid w:val="00FA68D5"/>
    <w:rsid w:val="00FA6F3F"/>
    <w:rsid w:val="00FA7680"/>
    <w:rsid w:val="00FA7779"/>
    <w:rsid w:val="00FA7874"/>
    <w:rsid w:val="00FA78B2"/>
    <w:rsid w:val="00FA7D4F"/>
    <w:rsid w:val="00FB023C"/>
    <w:rsid w:val="00FB05FB"/>
    <w:rsid w:val="00FB0D40"/>
    <w:rsid w:val="00FB1390"/>
    <w:rsid w:val="00FB154A"/>
    <w:rsid w:val="00FB181D"/>
    <w:rsid w:val="00FB192F"/>
    <w:rsid w:val="00FB1DD6"/>
    <w:rsid w:val="00FB20C3"/>
    <w:rsid w:val="00FB23AF"/>
    <w:rsid w:val="00FB2730"/>
    <w:rsid w:val="00FB33DC"/>
    <w:rsid w:val="00FB33FC"/>
    <w:rsid w:val="00FB37B0"/>
    <w:rsid w:val="00FB39D6"/>
    <w:rsid w:val="00FB45FE"/>
    <w:rsid w:val="00FB483F"/>
    <w:rsid w:val="00FB4840"/>
    <w:rsid w:val="00FB4A4F"/>
    <w:rsid w:val="00FB4D44"/>
    <w:rsid w:val="00FB4D69"/>
    <w:rsid w:val="00FB4E0B"/>
    <w:rsid w:val="00FB51FF"/>
    <w:rsid w:val="00FB60DC"/>
    <w:rsid w:val="00FB6597"/>
    <w:rsid w:val="00FB6D56"/>
    <w:rsid w:val="00FB6D81"/>
    <w:rsid w:val="00FB6F9B"/>
    <w:rsid w:val="00FB7076"/>
    <w:rsid w:val="00FB799B"/>
    <w:rsid w:val="00FB7C32"/>
    <w:rsid w:val="00FC0178"/>
    <w:rsid w:val="00FC062F"/>
    <w:rsid w:val="00FC07A6"/>
    <w:rsid w:val="00FC0B3C"/>
    <w:rsid w:val="00FC0E1F"/>
    <w:rsid w:val="00FC0FFD"/>
    <w:rsid w:val="00FC1CBE"/>
    <w:rsid w:val="00FC1CC0"/>
    <w:rsid w:val="00FC20F2"/>
    <w:rsid w:val="00FC210C"/>
    <w:rsid w:val="00FC23E7"/>
    <w:rsid w:val="00FC3085"/>
    <w:rsid w:val="00FC3175"/>
    <w:rsid w:val="00FC33D5"/>
    <w:rsid w:val="00FC3744"/>
    <w:rsid w:val="00FC3CF5"/>
    <w:rsid w:val="00FC4515"/>
    <w:rsid w:val="00FC4B47"/>
    <w:rsid w:val="00FC4E20"/>
    <w:rsid w:val="00FC52A4"/>
    <w:rsid w:val="00FC5A26"/>
    <w:rsid w:val="00FC5C82"/>
    <w:rsid w:val="00FC6745"/>
    <w:rsid w:val="00FC6949"/>
    <w:rsid w:val="00FC76FF"/>
    <w:rsid w:val="00FC77A4"/>
    <w:rsid w:val="00FC782D"/>
    <w:rsid w:val="00FC7BB4"/>
    <w:rsid w:val="00FC7C49"/>
    <w:rsid w:val="00FD096C"/>
    <w:rsid w:val="00FD0B2D"/>
    <w:rsid w:val="00FD14B5"/>
    <w:rsid w:val="00FD19CF"/>
    <w:rsid w:val="00FD24F8"/>
    <w:rsid w:val="00FD26CD"/>
    <w:rsid w:val="00FD2E2C"/>
    <w:rsid w:val="00FD2F56"/>
    <w:rsid w:val="00FD3E46"/>
    <w:rsid w:val="00FD401F"/>
    <w:rsid w:val="00FD4239"/>
    <w:rsid w:val="00FD49C6"/>
    <w:rsid w:val="00FD4BBA"/>
    <w:rsid w:val="00FD4C61"/>
    <w:rsid w:val="00FD516C"/>
    <w:rsid w:val="00FD53FA"/>
    <w:rsid w:val="00FD5A35"/>
    <w:rsid w:val="00FD5E26"/>
    <w:rsid w:val="00FD6690"/>
    <w:rsid w:val="00FD67D3"/>
    <w:rsid w:val="00FD690D"/>
    <w:rsid w:val="00FD69ED"/>
    <w:rsid w:val="00FD6BE2"/>
    <w:rsid w:val="00FD6D86"/>
    <w:rsid w:val="00FD6EBB"/>
    <w:rsid w:val="00FD7526"/>
    <w:rsid w:val="00FD763D"/>
    <w:rsid w:val="00FD7748"/>
    <w:rsid w:val="00FD7F53"/>
    <w:rsid w:val="00FE0781"/>
    <w:rsid w:val="00FE0AC3"/>
    <w:rsid w:val="00FE1012"/>
    <w:rsid w:val="00FE1231"/>
    <w:rsid w:val="00FE17F8"/>
    <w:rsid w:val="00FE2499"/>
    <w:rsid w:val="00FE2596"/>
    <w:rsid w:val="00FE2F34"/>
    <w:rsid w:val="00FE31AC"/>
    <w:rsid w:val="00FE3567"/>
    <w:rsid w:val="00FE365C"/>
    <w:rsid w:val="00FE385B"/>
    <w:rsid w:val="00FE39F3"/>
    <w:rsid w:val="00FE3EDC"/>
    <w:rsid w:val="00FE4A56"/>
    <w:rsid w:val="00FE4AEE"/>
    <w:rsid w:val="00FE4CA1"/>
    <w:rsid w:val="00FE53D8"/>
    <w:rsid w:val="00FE6020"/>
    <w:rsid w:val="00FE68F6"/>
    <w:rsid w:val="00FE705C"/>
    <w:rsid w:val="00FE7161"/>
    <w:rsid w:val="00FE71AF"/>
    <w:rsid w:val="00FE742A"/>
    <w:rsid w:val="00FE78B9"/>
    <w:rsid w:val="00FE7FCE"/>
    <w:rsid w:val="00FF004E"/>
    <w:rsid w:val="00FF01A7"/>
    <w:rsid w:val="00FF0B29"/>
    <w:rsid w:val="00FF0C08"/>
    <w:rsid w:val="00FF0F7F"/>
    <w:rsid w:val="00FF1104"/>
    <w:rsid w:val="00FF12BA"/>
    <w:rsid w:val="00FF160D"/>
    <w:rsid w:val="00FF16AF"/>
    <w:rsid w:val="00FF1871"/>
    <w:rsid w:val="00FF1FAC"/>
    <w:rsid w:val="00FF22DF"/>
    <w:rsid w:val="00FF2B56"/>
    <w:rsid w:val="00FF2C2A"/>
    <w:rsid w:val="00FF31D0"/>
    <w:rsid w:val="00FF3B36"/>
    <w:rsid w:val="00FF4BAD"/>
    <w:rsid w:val="00FF4C15"/>
    <w:rsid w:val="00FF4DFA"/>
    <w:rsid w:val="00FF4FDC"/>
    <w:rsid w:val="00FF5AA6"/>
    <w:rsid w:val="00FF5AFA"/>
    <w:rsid w:val="00FF63E2"/>
    <w:rsid w:val="00FF6404"/>
    <w:rsid w:val="00FF65B0"/>
    <w:rsid w:val="00FF6DAC"/>
    <w:rsid w:val="00FF71DC"/>
    <w:rsid w:val="00FF74D9"/>
    <w:rsid w:val="00FF76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2E0DCEC-F1DB-44DE-AD39-8039A0A5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38"/>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locked/>
    <w:rsid w:val="000368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6D5E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7A15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722238"/>
    <w:rPr>
      <w:rFonts w:cs="Times New Roman"/>
      <w:sz w:val="16"/>
    </w:rPr>
  </w:style>
  <w:style w:type="paragraph" w:styleId="CommentText">
    <w:name w:val="annotation text"/>
    <w:basedOn w:val="Normal"/>
    <w:link w:val="CommentTextChar"/>
    <w:uiPriority w:val="99"/>
    <w:rsid w:val="00722238"/>
    <w:rPr>
      <w:rFonts w:eastAsia="Calibri"/>
      <w:sz w:val="20"/>
      <w:szCs w:val="20"/>
    </w:rPr>
  </w:style>
  <w:style w:type="character" w:customStyle="1" w:styleId="CommentTextChar">
    <w:name w:val="Comment Text Char"/>
    <w:link w:val="CommentText"/>
    <w:uiPriority w:val="99"/>
    <w:locked/>
    <w:rsid w:val="00722238"/>
    <w:rPr>
      <w:rFonts w:ascii="Times New Roman" w:hAnsi="Times New Roman" w:cs="Times New Roman"/>
      <w:sz w:val="20"/>
      <w:lang w:val="en-GB" w:eastAsia="en-GB"/>
    </w:rPr>
  </w:style>
  <w:style w:type="paragraph" w:styleId="FootnoteText">
    <w:name w:val="footnote text"/>
    <w:aliases w:val="fn,Footnote Text Char Char Char Char Char Char,single space,footnote text,FOOTNOTES,WB-Fußnotentext,Footnote,Fußnote,Footnote Text Char1,Footnote Text Char Char,Footnote Text Char1 Char Char,Footnote Text Char Char Char Char,Text,Fu?note"/>
    <w:basedOn w:val="Normal"/>
    <w:link w:val="FootnoteTextChar"/>
    <w:rsid w:val="00722238"/>
    <w:rPr>
      <w:rFonts w:eastAsia="Calibri"/>
      <w:sz w:val="20"/>
      <w:szCs w:val="20"/>
    </w:rPr>
  </w:style>
  <w:style w:type="character" w:customStyle="1" w:styleId="FootnoteTextChar">
    <w:name w:val="Footnote Text Char"/>
    <w:aliases w:val="fn Char,Footnote Text Char Char Char Char Char Char Char,single space Char,footnote text Char,FOOTNOTES Char,WB-Fußnotentext Char,Footnote Char,Fußnote Char,Footnote Text Char1 Char,Footnote Text Char Char Char,Text Char,Fu?note Char"/>
    <w:link w:val="FootnoteText"/>
    <w:locked/>
    <w:rsid w:val="00722238"/>
    <w:rPr>
      <w:rFonts w:ascii="Times New Roman" w:hAnsi="Times New Roman" w:cs="Times New Roman"/>
      <w:sz w:val="20"/>
      <w:lang w:val="en-GB" w:eastAsia="en-GB"/>
    </w:rPr>
  </w:style>
  <w:style w:type="character" w:styleId="FootnoteReference">
    <w:name w:val="footnote reference"/>
    <w:aliases w:val="4_G,Footnotes refss,Footnote Refernece,Appel note de bas de p.,Footnote Ref,16 Point,Superscript 6 Point,Footnote Reference/"/>
    <w:rsid w:val="00722238"/>
    <w:rPr>
      <w:rFonts w:cs="Times New Roman"/>
      <w:vertAlign w:val="superscript"/>
    </w:rPr>
  </w:style>
  <w:style w:type="paragraph" w:styleId="BalloonText">
    <w:name w:val="Balloon Text"/>
    <w:basedOn w:val="Normal"/>
    <w:link w:val="BalloonTextChar"/>
    <w:uiPriority w:val="99"/>
    <w:semiHidden/>
    <w:rsid w:val="00722238"/>
    <w:rPr>
      <w:rFonts w:ascii="Tahoma" w:eastAsia="Calibri" w:hAnsi="Tahoma"/>
      <w:sz w:val="16"/>
      <w:szCs w:val="16"/>
    </w:rPr>
  </w:style>
  <w:style w:type="character" w:customStyle="1" w:styleId="BalloonTextChar">
    <w:name w:val="Balloon Text Char"/>
    <w:link w:val="BalloonText"/>
    <w:uiPriority w:val="99"/>
    <w:semiHidden/>
    <w:locked/>
    <w:rsid w:val="00722238"/>
    <w:rPr>
      <w:rFonts w:ascii="Tahoma" w:hAnsi="Tahoma" w:cs="Times New Roman"/>
      <w:sz w:val="16"/>
      <w:lang w:val="en-GB" w:eastAsia="en-GB"/>
    </w:rPr>
  </w:style>
  <w:style w:type="paragraph" w:styleId="Header">
    <w:name w:val="header"/>
    <w:basedOn w:val="Normal"/>
    <w:link w:val="HeaderChar"/>
    <w:rsid w:val="00E71591"/>
    <w:pPr>
      <w:tabs>
        <w:tab w:val="center" w:pos="4677"/>
        <w:tab w:val="right" w:pos="9355"/>
      </w:tabs>
    </w:pPr>
    <w:rPr>
      <w:rFonts w:eastAsia="Calibri"/>
    </w:rPr>
  </w:style>
  <w:style w:type="character" w:customStyle="1" w:styleId="HeaderChar">
    <w:name w:val="Header Char"/>
    <w:link w:val="Header"/>
    <w:locked/>
    <w:rsid w:val="00E71591"/>
    <w:rPr>
      <w:rFonts w:ascii="Times New Roman" w:hAnsi="Times New Roman" w:cs="Times New Roman"/>
      <w:sz w:val="24"/>
      <w:lang w:val="en-GB" w:eastAsia="en-GB"/>
    </w:rPr>
  </w:style>
  <w:style w:type="paragraph" w:styleId="Footer">
    <w:name w:val="footer"/>
    <w:basedOn w:val="Normal"/>
    <w:link w:val="FooterChar"/>
    <w:uiPriority w:val="99"/>
    <w:rsid w:val="00E71591"/>
    <w:pPr>
      <w:tabs>
        <w:tab w:val="center" w:pos="4677"/>
        <w:tab w:val="right" w:pos="9355"/>
      </w:tabs>
    </w:pPr>
    <w:rPr>
      <w:rFonts w:eastAsia="Calibri"/>
    </w:rPr>
  </w:style>
  <w:style w:type="character" w:customStyle="1" w:styleId="FooterChar">
    <w:name w:val="Footer Char"/>
    <w:link w:val="Footer"/>
    <w:uiPriority w:val="99"/>
    <w:locked/>
    <w:rsid w:val="00E71591"/>
    <w:rPr>
      <w:rFonts w:ascii="Times New Roman" w:hAnsi="Times New Roman" w:cs="Times New Roman"/>
      <w:sz w:val="24"/>
      <w:lang w:val="en-GB" w:eastAsia="en-GB"/>
    </w:rPr>
  </w:style>
  <w:style w:type="character" w:styleId="Hyperlink">
    <w:name w:val="Hyperlink"/>
    <w:uiPriority w:val="99"/>
    <w:rsid w:val="00A53F40"/>
    <w:rPr>
      <w:rFonts w:cs="Times New Roman"/>
      <w:color w:val="0000FF"/>
      <w:u w:val="single"/>
    </w:rPr>
  </w:style>
  <w:style w:type="paragraph" w:styleId="ListParagraph">
    <w:name w:val="List Paragraph"/>
    <w:basedOn w:val="Normal"/>
    <w:link w:val="ListParagraphChar"/>
    <w:uiPriority w:val="34"/>
    <w:qFormat/>
    <w:rsid w:val="00EE5451"/>
    <w:pPr>
      <w:ind w:left="720"/>
      <w:contextualSpacing/>
    </w:pPr>
  </w:style>
  <w:style w:type="paragraph" w:styleId="CommentSubject">
    <w:name w:val="annotation subject"/>
    <w:basedOn w:val="CommentText"/>
    <w:next w:val="CommentText"/>
    <w:link w:val="CommentSubjectChar"/>
    <w:uiPriority w:val="99"/>
    <w:semiHidden/>
    <w:rsid w:val="00A27B73"/>
    <w:rPr>
      <w:rFonts w:eastAsia="Times New Roman"/>
      <w:b/>
      <w:bCs/>
    </w:rPr>
  </w:style>
  <w:style w:type="character" w:customStyle="1" w:styleId="CommentSubjectChar">
    <w:name w:val="Comment Subject Char"/>
    <w:link w:val="CommentSubject"/>
    <w:uiPriority w:val="99"/>
    <w:semiHidden/>
    <w:rsid w:val="005B7B2C"/>
    <w:rPr>
      <w:rFonts w:ascii="Times New Roman" w:eastAsia="Times New Roman" w:hAnsi="Times New Roman" w:cs="Times New Roman"/>
      <w:b/>
      <w:bCs/>
      <w:sz w:val="20"/>
      <w:szCs w:val="20"/>
      <w:lang w:val="en-GB" w:eastAsia="en-GB"/>
    </w:rPr>
  </w:style>
  <w:style w:type="paragraph" w:customStyle="1" w:styleId="Pa11">
    <w:name w:val="Pa11"/>
    <w:basedOn w:val="Normal"/>
    <w:next w:val="Normal"/>
    <w:uiPriority w:val="99"/>
    <w:rsid w:val="00FA380F"/>
    <w:pPr>
      <w:autoSpaceDE w:val="0"/>
      <w:autoSpaceDN w:val="0"/>
      <w:adjustRightInd w:val="0"/>
      <w:spacing w:line="201" w:lineRule="atLeast"/>
    </w:pPr>
    <w:rPr>
      <w:rFonts w:ascii="Arial" w:eastAsia="Calibri" w:hAnsi="Arial" w:cs="Arial"/>
      <w:lang w:val="ru-RU" w:eastAsia="ru-RU"/>
    </w:rPr>
  </w:style>
  <w:style w:type="character" w:customStyle="1" w:styleId="A14">
    <w:name w:val="A14"/>
    <w:uiPriority w:val="99"/>
    <w:rsid w:val="00FA380F"/>
    <w:rPr>
      <w:b/>
      <w:bCs/>
      <w:color w:val="000000"/>
      <w:sz w:val="28"/>
      <w:szCs w:val="28"/>
    </w:rPr>
  </w:style>
  <w:style w:type="character" w:customStyle="1" w:styleId="apple-converted-space">
    <w:name w:val="apple-converted-space"/>
    <w:rsid w:val="00665F1B"/>
  </w:style>
  <w:style w:type="character" w:styleId="Strong">
    <w:name w:val="Strong"/>
    <w:uiPriority w:val="22"/>
    <w:qFormat/>
    <w:locked/>
    <w:rsid w:val="00665F1B"/>
    <w:rPr>
      <w:b/>
      <w:bCs/>
    </w:rPr>
  </w:style>
  <w:style w:type="character" w:customStyle="1" w:styleId="BodyBulletsChar">
    <w:name w:val="Body Bullets Char"/>
    <w:link w:val="BodyBullets"/>
    <w:locked/>
    <w:rsid w:val="00085FAA"/>
    <w:rPr>
      <w:color w:val="000000"/>
      <w:lang w:val="en-AU" w:eastAsia="en-US"/>
    </w:rPr>
  </w:style>
  <w:style w:type="paragraph" w:customStyle="1" w:styleId="BodyBullets">
    <w:name w:val="Body Bullets"/>
    <w:link w:val="BodyBulletsChar"/>
    <w:rsid w:val="00085FAA"/>
    <w:pPr>
      <w:numPr>
        <w:numId w:val="1"/>
      </w:numPr>
      <w:tabs>
        <w:tab w:val="left" w:pos="284"/>
      </w:tabs>
      <w:spacing w:before="97" w:after="153" w:line="270" w:lineRule="atLeast"/>
      <w:ind w:left="288" w:hanging="288"/>
    </w:pPr>
    <w:rPr>
      <w:color w:val="000000"/>
      <w:lang w:val="en-AU" w:eastAsia="en-US"/>
    </w:rPr>
  </w:style>
  <w:style w:type="table" w:styleId="TableGrid">
    <w:name w:val="Table Grid"/>
    <w:basedOn w:val="TableNormal"/>
    <w:uiPriority w:val="59"/>
    <w:locked/>
    <w:rsid w:val="00843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61E23"/>
    <w:rPr>
      <w:rFonts w:ascii="Times New Roman" w:eastAsia="Times New Roman" w:hAnsi="Times New Roman"/>
      <w:sz w:val="24"/>
      <w:szCs w:val="24"/>
      <w:lang w:val="en-GB" w:eastAsia="en-GB"/>
    </w:rPr>
  </w:style>
  <w:style w:type="paragraph" w:styleId="Caption">
    <w:name w:val="caption"/>
    <w:basedOn w:val="Normal"/>
    <w:next w:val="Normal"/>
    <w:unhideWhenUsed/>
    <w:qFormat/>
    <w:locked/>
    <w:rsid w:val="00D32814"/>
    <w:rPr>
      <w:b/>
      <w:bCs/>
      <w:sz w:val="20"/>
      <w:szCs w:val="20"/>
    </w:rPr>
  </w:style>
  <w:style w:type="character" w:customStyle="1" w:styleId="Heading1Char">
    <w:name w:val="Heading 1 Char"/>
    <w:basedOn w:val="DefaultParagraphFont"/>
    <w:link w:val="Heading1"/>
    <w:uiPriority w:val="9"/>
    <w:rsid w:val="0003689F"/>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03689F"/>
    <w:pPr>
      <w:spacing w:line="276" w:lineRule="auto"/>
      <w:outlineLvl w:val="9"/>
    </w:pPr>
    <w:rPr>
      <w:lang w:val="en-US" w:eastAsia="ja-JP"/>
    </w:rPr>
  </w:style>
  <w:style w:type="character" w:customStyle="1" w:styleId="Heading3Char">
    <w:name w:val="Heading 3 Char"/>
    <w:basedOn w:val="DefaultParagraphFont"/>
    <w:link w:val="Heading3"/>
    <w:semiHidden/>
    <w:rsid w:val="007A151C"/>
    <w:rPr>
      <w:rFonts w:asciiTheme="majorHAnsi" w:eastAsiaTheme="majorEastAsia" w:hAnsiTheme="majorHAnsi" w:cstheme="majorBidi"/>
      <w:b/>
      <w:bCs/>
      <w:color w:val="4F81BD" w:themeColor="accent1"/>
      <w:sz w:val="24"/>
      <w:szCs w:val="24"/>
      <w:lang w:val="en-GB" w:eastAsia="en-GB"/>
    </w:rPr>
  </w:style>
  <w:style w:type="paragraph" w:customStyle="1" w:styleId="ConsPlusNormal">
    <w:name w:val="ConsPlusNormal"/>
    <w:rsid w:val="007E6D46"/>
    <w:pPr>
      <w:widowControl w:val="0"/>
      <w:autoSpaceDE w:val="0"/>
      <w:autoSpaceDN w:val="0"/>
      <w:adjustRightInd w:val="0"/>
      <w:ind w:firstLine="720"/>
    </w:pPr>
    <w:rPr>
      <w:rFonts w:ascii="Arial" w:eastAsia="Times New Roman" w:hAnsi="Arial" w:cs="Arial"/>
    </w:rPr>
  </w:style>
  <w:style w:type="character" w:customStyle="1" w:styleId="EmailStyle24">
    <w:name w:val="EmailStyle24"/>
    <w:basedOn w:val="DefaultParagraphFont"/>
    <w:semiHidden/>
    <w:rsid w:val="009A34B8"/>
    <w:rPr>
      <w:rFonts w:ascii="Arial" w:hAnsi="Arial" w:cs="Arial" w:hint="default"/>
      <w:color w:val="000000"/>
    </w:rPr>
  </w:style>
  <w:style w:type="character" w:customStyle="1" w:styleId="Heading2Char">
    <w:name w:val="Heading 2 Char"/>
    <w:basedOn w:val="DefaultParagraphFont"/>
    <w:link w:val="Heading2"/>
    <w:uiPriority w:val="9"/>
    <w:rsid w:val="006D5E77"/>
    <w:rPr>
      <w:rFonts w:asciiTheme="majorHAnsi" w:eastAsiaTheme="majorEastAsia" w:hAnsiTheme="majorHAnsi" w:cstheme="majorBidi"/>
      <w:b/>
      <w:bCs/>
      <w:color w:val="4F81BD" w:themeColor="accent1"/>
      <w:sz w:val="26"/>
      <w:szCs w:val="26"/>
      <w:lang w:val="en-GB" w:eastAsia="en-GB"/>
    </w:rPr>
  </w:style>
  <w:style w:type="paragraph" w:styleId="PlainText">
    <w:name w:val="Plain Text"/>
    <w:basedOn w:val="Normal"/>
    <w:link w:val="PlainTextChar"/>
    <w:uiPriority w:val="99"/>
    <w:unhideWhenUsed/>
    <w:rsid w:val="00BA5BC8"/>
    <w:rPr>
      <w:rFonts w:ascii="Calibri" w:eastAsiaTheme="minorHAnsi" w:hAnsi="Calibri" w:cs="Consolas"/>
      <w:sz w:val="22"/>
      <w:szCs w:val="21"/>
      <w:lang w:val="ru-RU" w:eastAsia="en-US"/>
    </w:rPr>
  </w:style>
  <w:style w:type="character" w:customStyle="1" w:styleId="PlainTextChar">
    <w:name w:val="Plain Text Char"/>
    <w:basedOn w:val="DefaultParagraphFont"/>
    <w:link w:val="PlainText"/>
    <w:uiPriority w:val="99"/>
    <w:rsid w:val="00BA5BC8"/>
    <w:rPr>
      <w:rFonts w:eastAsiaTheme="minorHAnsi" w:cs="Consolas"/>
      <w:sz w:val="22"/>
      <w:szCs w:val="21"/>
      <w:lang w:eastAsia="en-US"/>
    </w:rPr>
  </w:style>
  <w:style w:type="character" w:customStyle="1" w:styleId="im">
    <w:name w:val="im"/>
    <w:basedOn w:val="DefaultParagraphFont"/>
    <w:rsid w:val="00FC76FF"/>
  </w:style>
  <w:style w:type="character" w:customStyle="1" w:styleId="FontStyle28">
    <w:name w:val="Font Style28"/>
    <w:uiPriority w:val="99"/>
    <w:rsid w:val="00FC76FF"/>
    <w:rPr>
      <w:rFonts w:ascii="Times New Roman" w:hAnsi="Times New Roman" w:cs="Times New Roman"/>
      <w:sz w:val="24"/>
      <w:szCs w:val="24"/>
    </w:rPr>
  </w:style>
  <w:style w:type="paragraph" w:styleId="NoSpacing">
    <w:name w:val="No Spacing"/>
    <w:uiPriority w:val="1"/>
    <w:qFormat/>
    <w:rsid w:val="00FC76FF"/>
    <w:rPr>
      <w:sz w:val="22"/>
      <w:szCs w:val="22"/>
    </w:rPr>
  </w:style>
  <w:style w:type="character" w:customStyle="1" w:styleId="st">
    <w:name w:val="st"/>
    <w:basedOn w:val="DefaultParagraphFont"/>
    <w:rsid w:val="00FC76FF"/>
  </w:style>
  <w:style w:type="character" w:styleId="Emphasis">
    <w:name w:val="Emphasis"/>
    <w:basedOn w:val="DefaultParagraphFont"/>
    <w:uiPriority w:val="20"/>
    <w:qFormat/>
    <w:locked/>
    <w:rsid w:val="00FC76FF"/>
    <w:rPr>
      <w:i/>
      <w:iCs/>
    </w:rPr>
  </w:style>
  <w:style w:type="paragraph" w:customStyle="1" w:styleId="a">
    <w:name w:val="цитата"/>
    <w:basedOn w:val="Normal"/>
    <w:link w:val="a0"/>
    <w:qFormat/>
    <w:rsid w:val="00FC76FF"/>
    <w:pPr>
      <w:spacing w:after="200" w:line="276" w:lineRule="auto"/>
    </w:pPr>
    <w:rPr>
      <w:rFonts w:eastAsia="Calibri"/>
      <w:i/>
      <w:sz w:val="20"/>
      <w:szCs w:val="22"/>
      <w:lang w:val="ru-RU" w:eastAsia="ru-RU"/>
    </w:rPr>
  </w:style>
  <w:style w:type="character" w:customStyle="1" w:styleId="a0">
    <w:name w:val="цитата Знак"/>
    <w:basedOn w:val="DefaultParagraphFont"/>
    <w:link w:val="a"/>
    <w:rsid w:val="00FC76FF"/>
    <w:rPr>
      <w:rFonts w:ascii="Times New Roman" w:hAnsi="Times New Roman"/>
      <w:i/>
      <w:szCs w:val="22"/>
    </w:rPr>
  </w:style>
  <w:style w:type="paragraph" w:customStyle="1" w:styleId="136">
    <w:name w:val="Стиль136"/>
    <w:basedOn w:val="Heading1"/>
    <w:link w:val="1360"/>
    <w:qFormat/>
    <w:rsid w:val="00FC76FF"/>
    <w:pPr>
      <w:spacing w:before="0"/>
    </w:pPr>
    <w:rPr>
      <w:rFonts w:ascii="Times New Roman" w:hAnsi="Times New Roman"/>
      <w:lang w:val="be-BY"/>
    </w:rPr>
  </w:style>
  <w:style w:type="character" w:customStyle="1" w:styleId="1360">
    <w:name w:val="Стиль136 Знак"/>
    <w:basedOn w:val="Heading1Char"/>
    <w:link w:val="136"/>
    <w:rsid w:val="00FC76FF"/>
    <w:rPr>
      <w:rFonts w:ascii="Times New Roman" w:eastAsiaTheme="majorEastAsia" w:hAnsi="Times New Roman" w:cstheme="majorBidi"/>
      <w:b/>
      <w:bCs/>
      <w:color w:val="365F91" w:themeColor="accent1" w:themeShade="BF"/>
      <w:sz w:val="28"/>
      <w:szCs w:val="28"/>
      <w:lang w:val="be-BY" w:eastAsia="en-GB"/>
    </w:rPr>
  </w:style>
  <w:style w:type="paragraph" w:customStyle="1" w:styleId="D801C6740D3442D0974ED4C393ECA78C">
    <w:name w:val="D801C6740D3442D0974ED4C393ECA78C"/>
    <w:rsid w:val="00FC76FF"/>
    <w:pPr>
      <w:spacing w:after="200" w:line="276" w:lineRule="auto"/>
    </w:pPr>
    <w:rPr>
      <w:rFonts w:asciiTheme="minorHAnsi" w:eastAsiaTheme="minorEastAsia" w:hAnsiTheme="minorHAnsi" w:cstheme="minorBidi"/>
      <w:sz w:val="22"/>
      <w:szCs w:val="22"/>
    </w:rPr>
  </w:style>
  <w:style w:type="paragraph" w:styleId="TOC1">
    <w:name w:val="toc 1"/>
    <w:basedOn w:val="Normal"/>
    <w:next w:val="Normal"/>
    <w:autoRedefine/>
    <w:uiPriority w:val="39"/>
    <w:locked/>
    <w:rsid w:val="000E6238"/>
    <w:pPr>
      <w:spacing w:after="100"/>
    </w:pPr>
  </w:style>
  <w:style w:type="paragraph" w:styleId="TOC2">
    <w:name w:val="toc 2"/>
    <w:basedOn w:val="Normal"/>
    <w:next w:val="Normal"/>
    <w:autoRedefine/>
    <w:uiPriority w:val="39"/>
    <w:locked/>
    <w:rsid w:val="000E6238"/>
    <w:pPr>
      <w:spacing w:after="100"/>
      <w:ind w:left="240"/>
    </w:pPr>
  </w:style>
  <w:style w:type="paragraph" w:styleId="NormalWeb">
    <w:name w:val="Normal (Web)"/>
    <w:basedOn w:val="Normal"/>
    <w:uiPriority w:val="99"/>
    <w:rsid w:val="003B0CD2"/>
    <w:pPr>
      <w:spacing w:before="100" w:beforeAutospacing="1" w:after="100" w:afterAutospacing="1"/>
    </w:pPr>
    <w:rPr>
      <w:color w:val="000000"/>
      <w:lang w:val="ru-RU" w:eastAsia="ru-RU"/>
    </w:rPr>
  </w:style>
  <w:style w:type="character" w:customStyle="1" w:styleId="hps">
    <w:name w:val="hps"/>
    <w:rsid w:val="00B1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2525">
      <w:bodyDiv w:val="1"/>
      <w:marLeft w:val="0"/>
      <w:marRight w:val="0"/>
      <w:marTop w:val="0"/>
      <w:marBottom w:val="0"/>
      <w:divBdr>
        <w:top w:val="none" w:sz="0" w:space="0" w:color="auto"/>
        <w:left w:val="none" w:sz="0" w:space="0" w:color="auto"/>
        <w:bottom w:val="none" w:sz="0" w:space="0" w:color="auto"/>
        <w:right w:val="none" w:sz="0" w:space="0" w:color="auto"/>
      </w:divBdr>
    </w:div>
    <w:div w:id="68582697">
      <w:bodyDiv w:val="1"/>
      <w:marLeft w:val="0"/>
      <w:marRight w:val="0"/>
      <w:marTop w:val="0"/>
      <w:marBottom w:val="0"/>
      <w:divBdr>
        <w:top w:val="none" w:sz="0" w:space="0" w:color="auto"/>
        <w:left w:val="none" w:sz="0" w:space="0" w:color="auto"/>
        <w:bottom w:val="none" w:sz="0" w:space="0" w:color="auto"/>
        <w:right w:val="none" w:sz="0" w:space="0" w:color="auto"/>
      </w:divBdr>
    </w:div>
    <w:div w:id="269246839">
      <w:bodyDiv w:val="1"/>
      <w:marLeft w:val="0"/>
      <w:marRight w:val="0"/>
      <w:marTop w:val="0"/>
      <w:marBottom w:val="0"/>
      <w:divBdr>
        <w:top w:val="none" w:sz="0" w:space="0" w:color="auto"/>
        <w:left w:val="none" w:sz="0" w:space="0" w:color="auto"/>
        <w:bottom w:val="none" w:sz="0" w:space="0" w:color="auto"/>
        <w:right w:val="none" w:sz="0" w:space="0" w:color="auto"/>
      </w:divBdr>
    </w:div>
    <w:div w:id="389109568">
      <w:bodyDiv w:val="1"/>
      <w:marLeft w:val="0"/>
      <w:marRight w:val="0"/>
      <w:marTop w:val="0"/>
      <w:marBottom w:val="0"/>
      <w:divBdr>
        <w:top w:val="none" w:sz="0" w:space="0" w:color="auto"/>
        <w:left w:val="none" w:sz="0" w:space="0" w:color="auto"/>
        <w:bottom w:val="none" w:sz="0" w:space="0" w:color="auto"/>
        <w:right w:val="none" w:sz="0" w:space="0" w:color="auto"/>
      </w:divBdr>
    </w:div>
    <w:div w:id="416899181">
      <w:bodyDiv w:val="1"/>
      <w:marLeft w:val="0"/>
      <w:marRight w:val="0"/>
      <w:marTop w:val="0"/>
      <w:marBottom w:val="0"/>
      <w:divBdr>
        <w:top w:val="none" w:sz="0" w:space="0" w:color="auto"/>
        <w:left w:val="none" w:sz="0" w:space="0" w:color="auto"/>
        <w:bottom w:val="none" w:sz="0" w:space="0" w:color="auto"/>
        <w:right w:val="none" w:sz="0" w:space="0" w:color="auto"/>
      </w:divBdr>
    </w:div>
    <w:div w:id="579632477">
      <w:marLeft w:val="0"/>
      <w:marRight w:val="0"/>
      <w:marTop w:val="0"/>
      <w:marBottom w:val="0"/>
      <w:divBdr>
        <w:top w:val="none" w:sz="0" w:space="0" w:color="auto"/>
        <w:left w:val="none" w:sz="0" w:space="0" w:color="auto"/>
        <w:bottom w:val="none" w:sz="0" w:space="0" w:color="auto"/>
        <w:right w:val="none" w:sz="0" w:space="0" w:color="auto"/>
      </w:divBdr>
    </w:div>
    <w:div w:id="579632478">
      <w:marLeft w:val="0"/>
      <w:marRight w:val="0"/>
      <w:marTop w:val="0"/>
      <w:marBottom w:val="0"/>
      <w:divBdr>
        <w:top w:val="none" w:sz="0" w:space="0" w:color="auto"/>
        <w:left w:val="none" w:sz="0" w:space="0" w:color="auto"/>
        <w:bottom w:val="none" w:sz="0" w:space="0" w:color="auto"/>
        <w:right w:val="none" w:sz="0" w:space="0" w:color="auto"/>
      </w:divBdr>
    </w:div>
    <w:div w:id="579632479">
      <w:marLeft w:val="0"/>
      <w:marRight w:val="0"/>
      <w:marTop w:val="0"/>
      <w:marBottom w:val="0"/>
      <w:divBdr>
        <w:top w:val="none" w:sz="0" w:space="0" w:color="auto"/>
        <w:left w:val="none" w:sz="0" w:space="0" w:color="auto"/>
        <w:bottom w:val="none" w:sz="0" w:space="0" w:color="auto"/>
        <w:right w:val="none" w:sz="0" w:space="0" w:color="auto"/>
      </w:divBdr>
    </w:div>
    <w:div w:id="579632480">
      <w:marLeft w:val="0"/>
      <w:marRight w:val="0"/>
      <w:marTop w:val="0"/>
      <w:marBottom w:val="0"/>
      <w:divBdr>
        <w:top w:val="none" w:sz="0" w:space="0" w:color="auto"/>
        <w:left w:val="none" w:sz="0" w:space="0" w:color="auto"/>
        <w:bottom w:val="none" w:sz="0" w:space="0" w:color="auto"/>
        <w:right w:val="none" w:sz="0" w:space="0" w:color="auto"/>
      </w:divBdr>
    </w:div>
    <w:div w:id="579632481">
      <w:marLeft w:val="0"/>
      <w:marRight w:val="0"/>
      <w:marTop w:val="0"/>
      <w:marBottom w:val="0"/>
      <w:divBdr>
        <w:top w:val="none" w:sz="0" w:space="0" w:color="auto"/>
        <w:left w:val="none" w:sz="0" w:space="0" w:color="auto"/>
        <w:bottom w:val="none" w:sz="0" w:space="0" w:color="auto"/>
        <w:right w:val="none" w:sz="0" w:space="0" w:color="auto"/>
      </w:divBdr>
    </w:div>
    <w:div w:id="579632482">
      <w:marLeft w:val="0"/>
      <w:marRight w:val="0"/>
      <w:marTop w:val="0"/>
      <w:marBottom w:val="0"/>
      <w:divBdr>
        <w:top w:val="none" w:sz="0" w:space="0" w:color="auto"/>
        <w:left w:val="none" w:sz="0" w:space="0" w:color="auto"/>
        <w:bottom w:val="none" w:sz="0" w:space="0" w:color="auto"/>
        <w:right w:val="none" w:sz="0" w:space="0" w:color="auto"/>
      </w:divBdr>
    </w:div>
    <w:div w:id="579632483">
      <w:marLeft w:val="0"/>
      <w:marRight w:val="0"/>
      <w:marTop w:val="0"/>
      <w:marBottom w:val="0"/>
      <w:divBdr>
        <w:top w:val="none" w:sz="0" w:space="0" w:color="auto"/>
        <w:left w:val="none" w:sz="0" w:space="0" w:color="auto"/>
        <w:bottom w:val="none" w:sz="0" w:space="0" w:color="auto"/>
        <w:right w:val="none" w:sz="0" w:space="0" w:color="auto"/>
      </w:divBdr>
    </w:div>
    <w:div w:id="579632484">
      <w:marLeft w:val="0"/>
      <w:marRight w:val="0"/>
      <w:marTop w:val="0"/>
      <w:marBottom w:val="0"/>
      <w:divBdr>
        <w:top w:val="none" w:sz="0" w:space="0" w:color="auto"/>
        <w:left w:val="none" w:sz="0" w:space="0" w:color="auto"/>
        <w:bottom w:val="none" w:sz="0" w:space="0" w:color="auto"/>
        <w:right w:val="none" w:sz="0" w:space="0" w:color="auto"/>
      </w:divBdr>
    </w:div>
    <w:div w:id="579632485">
      <w:marLeft w:val="0"/>
      <w:marRight w:val="0"/>
      <w:marTop w:val="0"/>
      <w:marBottom w:val="0"/>
      <w:divBdr>
        <w:top w:val="none" w:sz="0" w:space="0" w:color="auto"/>
        <w:left w:val="none" w:sz="0" w:space="0" w:color="auto"/>
        <w:bottom w:val="none" w:sz="0" w:space="0" w:color="auto"/>
        <w:right w:val="none" w:sz="0" w:space="0" w:color="auto"/>
      </w:divBdr>
    </w:div>
    <w:div w:id="579632486">
      <w:marLeft w:val="0"/>
      <w:marRight w:val="0"/>
      <w:marTop w:val="0"/>
      <w:marBottom w:val="0"/>
      <w:divBdr>
        <w:top w:val="none" w:sz="0" w:space="0" w:color="auto"/>
        <w:left w:val="none" w:sz="0" w:space="0" w:color="auto"/>
        <w:bottom w:val="none" w:sz="0" w:space="0" w:color="auto"/>
        <w:right w:val="none" w:sz="0" w:space="0" w:color="auto"/>
      </w:divBdr>
    </w:div>
    <w:div w:id="579632487">
      <w:marLeft w:val="0"/>
      <w:marRight w:val="0"/>
      <w:marTop w:val="0"/>
      <w:marBottom w:val="0"/>
      <w:divBdr>
        <w:top w:val="none" w:sz="0" w:space="0" w:color="auto"/>
        <w:left w:val="none" w:sz="0" w:space="0" w:color="auto"/>
        <w:bottom w:val="none" w:sz="0" w:space="0" w:color="auto"/>
        <w:right w:val="none" w:sz="0" w:space="0" w:color="auto"/>
      </w:divBdr>
    </w:div>
    <w:div w:id="579632488">
      <w:marLeft w:val="0"/>
      <w:marRight w:val="0"/>
      <w:marTop w:val="0"/>
      <w:marBottom w:val="0"/>
      <w:divBdr>
        <w:top w:val="none" w:sz="0" w:space="0" w:color="auto"/>
        <w:left w:val="none" w:sz="0" w:space="0" w:color="auto"/>
        <w:bottom w:val="none" w:sz="0" w:space="0" w:color="auto"/>
        <w:right w:val="none" w:sz="0" w:space="0" w:color="auto"/>
      </w:divBdr>
    </w:div>
    <w:div w:id="579632489">
      <w:marLeft w:val="0"/>
      <w:marRight w:val="0"/>
      <w:marTop w:val="0"/>
      <w:marBottom w:val="0"/>
      <w:divBdr>
        <w:top w:val="none" w:sz="0" w:space="0" w:color="auto"/>
        <w:left w:val="none" w:sz="0" w:space="0" w:color="auto"/>
        <w:bottom w:val="none" w:sz="0" w:space="0" w:color="auto"/>
        <w:right w:val="none" w:sz="0" w:space="0" w:color="auto"/>
      </w:divBdr>
    </w:div>
    <w:div w:id="579632490">
      <w:marLeft w:val="0"/>
      <w:marRight w:val="0"/>
      <w:marTop w:val="0"/>
      <w:marBottom w:val="0"/>
      <w:divBdr>
        <w:top w:val="none" w:sz="0" w:space="0" w:color="auto"/>
        <w:left w:val="none" w:sz="0" w:space="0" w:color="auto"/>
        <w:bottom w:val="none" w:sz="0" w:space="0" w:color="auto"/>
        <w:right w:val="none" w:sz="0" w:space="0" w:color="auto"/>
      </w:divBdr>
    </w:div>
    <w:div w:id="579632491">
      <w:marLeft w:val="0"/>
      <w:marRight w:val="0"/>
      <w:marTop w:val="0"/>
      <w:marBottom w:val="0"/>
      <w:divBdr>
        <w:top w:val="none" w:sz="0" w:space="0" w:color="auto"/>
        <w:left w:val="none" w:sz="0" w:space="0" w:color="auto"/>
        <w:bottom w:val="none" w:sz="0" w:space="0" w:color="auto"/>
        <w:right w:val="none" w:sz="0" w:space="0" w:color="auto"/>
      </w:divBdr>
    </w:div>
    <w:div w:id="579632492">
      <w:marLeft w:val="0"/>
      <w:marRight w:val="0"/>
      <w:marTop w:val="0"/>
      <w:marBottom w:val="0"/>
      <w:divBdr>
        <w:top w:val="none" w:sz="0" w:space="0" w:color="auto"/>
        <w:left w:val="none" w:sz="0" w:space="0" w:color="auto"/>
        <w:bottom w:val="none" w:sz="0" w:space="0" w:color="auto"/>
        <w:right w:val="none" w:sz="0" w:space="0" w:color="auto"/>
      </w:divBdr>
    </w:div>
    <w:div w:id="579632493">
      <w:marLeft w:val="0"/>
      <w:marRight w:val="0"/>
      <w:marTop w:val="0"/>
      <w:marBottom w:val="0"/>
      <w:divBdr>
        <w:top w:val="none" w:sz="0" w:space="0" w:color="auto"/>
        <w:left w:val="none" w:sz="0" w:space="0" w:color="auto"/>
        <w:bottom w:val="none" w:sz="0" w:space="0" w:color="auto"/>
        <w:right w:val="none" w:sz="0" w:space="0" w:color="auto"/>
      </w:divBdr>
    </w:div>
    <w:div w:id="579632494">
      <w:marLeft w:val="0"/>
      <w:marRight w:val="0"/>
      <w:marTop w:val="0"/>
      <w:marBottom w:val="0"/>
      <w:divBdr>
        <w:top w:val="none" w:sz="0" w:space="0" w:color="auto"/>
        <w:left w:val="none" w:sz="0" w:space="0" w:color="auto"/>
        <w:bottom w:val="none" w:sz="0" w:space="0" w:color="auto"/>
        <w:right w:val="none" w:sz="0" w:space="0" w:color="auto"/>
      </w:divBdr>
    </w:div>
    <w:div w:id="579632495">
      <w:marLeft w:val="0"/>
      <w:marRight w:val="0"/>
      <w:marTop w:val="0"/>
      <w:marBottom w:val="0"/>
      <w:divBdr>
        <w:top w:val="none" w:sz="0" w:space="0" w:color="auto"/>
        <w:left w:val="none" w:sz="0" w:space="0" w:color="auto"/>
        <w:bottom w:val="none" w:sz="0" w:space="0" w:color="auto"/>
        <w:right w:val="none" w:sz="0" w:space="0" w:color="auto"/>
      </w:divBdr>
    </w:div>
    <w:div w:id="579632496">
      <w:marLeft w:val="0"/>
      <w:marRight w:val="0"/>
      <w:marTop w:val="0"/>
      <w:marBottom w:val="0"/>
      <w:divBdr>
        <w:top w:val="none" w:sz="0" w:space="0" w:color="auto"/>
        <w:left w:val="none" w:sz="0" w:space="0" w:color="auto"/>
        <w:bottom w:val="none" w:sz="0" w:space="0" w:color="auto"/>
        <w:right w:val="none" w:sz="0" w:space="0" w:color="auto"/>
      </w:divBdr>
    </w:div>
    <w:div w:id="579632497">
      <w:marLeft w:val="0"/>
      <w:marRight w:val="0"/>
      <w:marTop w:val="0"/>
      <w:marBottom w:val="0"/>
      <w:divBdr>
        <w:top w:val="none" w:sz="0" w:space="0" w:color="auto"/>
        <w:left w:val="none" w:sz="0" w:space="0" w:color="auto"/>
        <w:bottom w:val="none" w:sz="0" w:space="0" w:color="auto"/>
        <w:right w:val="none" w:sz="0" w:space="0" w:color="auto"/>
      </w:divBdr>
    </w:div>
    <w:div w:id="579632498">
      <w:marLeft w:val="0"/>
      <w:marRight w:val="0"/>
      <w:marTop w:val="0"/>
      <w:marBottom w:val="0"/>
      <w:divBdr>
        <w:top w:val="none" w:sz="0" w:space="0" w:color="auto"/>
        <w:left w:val="none" w:sz="0" w:space="0" w:color="auto"/>
        <w:bottom w:val="none" w:sz="0" w:space="0" w:color="auto"/>
        <w:right w:val="none" w:sz="0" w:space="0" w:color="auto"/>
      </w:divBdr>
    </w:div>
    <w:div w:id="579632499">
      <w:marLeft w:val="0"/>
      <w:marRight w:val="0"/>
      <w:marTop w:val="0"/>
      <w:marBottom w:val="0"/>
      <w:divBdr>
        <w:top w:val="none" w:sz="0" w:space="0" w:color="auto"/>
        <w:left w:val="none" w:sz="0" w:space="0" w:color="auto"/>
        <w:bottom w:val="none" w:sz="0" w:space="0" w:color="auto"/>
        <w:right w:val="none" w:sz="0" w:space="0" w:color="auto"/>
      </w:divBdr>
    </w:div>
    <w:div w:id="599096582">
      <w:bodyDiv w:val="1"/>
      <w:marLeft w:val="0"/>
      <w:marRight w:val="0"/>
      <w:marTop w:val="0"/>
      <w:marBottom w:val="0"/>
      <w:divBdr>
        <w:top w:val="none" w:sz="0" w:space="0" w:color="auto"/>
        <w:left w:val="none" w:sz="0" w:space="0" w:color="auto"/>
        <w:bottom w:val="none" w:sz="0" w:space="0" w:color="auto"/>
        <w:right w:val="none" w:sz="0" w:space="0" w:color="auto"/>
      </w:divBdr>
    </w:div>
    <w:div w:id="634677911">
      <w:bodyDiv w:val="1"/>
      <w:marLeft w:val="0"/>
      <w:marRight w:val="0"/>
      <w:marTop w:val="0"/>
      <w:marBottom w:val="0"/>
      <w:divBdr>
        <w:top w:val="none" w:sz="0" w:space="0" w:color="auto"/>
        <w:left w:val="none" w:sz="0" w:space="0" w:color="auto"/>
        <w:bottom w:val="none" w:sz="0" w:space="0" w:color="auto"/>
        <w:right w:val="none" w:sz="0" w:space="0" w:color="auto"/>
      </w:divBdr>
    </w:div>
    <w:div w:id="768354170">
      <w:bodyDiv w:val="1"/>
      <w:marLeft w:val="0"/>
      <w:marRight w:val="0"/>
      <w:marTop w:val="0"/>
      <w:marBottom w:val="0"/>
      <w:divBdr>
        <w:top w:val="none" w:sz="0" w:space="0" w:color="auto"/>
        <w:left w:val="none" w:sz="0" w:space="0" w:color="auto"/>
        <w:bottom w:val="none" w:sz="0" w:space="0" w:color="auto"/>
        <w:right w:val="none" w:sz="0" w:space="0" w:color="auto"/>
      </w:divBdr>
      <w:divsChild>
        <w:div w:id="505559981">
          <w:marLeft w:val="0"/>
          <w:marRight w:val="0"/>
          <w:marTop w:val="0"/>
          <w:marBottom w:val="0"/>
          <w:divBdr>
            <w:top w:val="none" w:sz="0" w:space="0" w:color="auto"/>
            <w:left w:val="none" w:sz="0" w:space="0" w:color="auto"/>
            <w:bottom w:val="none" w:sz="0" w:space="0" w:color="auto"/>
            <w:right w:val="none" w:sz="0" w:space="0" w:color="auto"/>
          </w:divBdr>
        </w:div>
        <w:div w:id="909925464">
          <w:marLeft w:val="0"/>
          <w:marRight w:val="0"/>
          <w:marTop w:val="0"/>
          <w:marBottom w:val="0"/>
          <w:divBdr>
            <w:top w:val="none" w:sz="0" w:space="0" w:color="auto"/>
            <w:left w:val="none" w:sz="0" w:space="0" w:color="auto"/>
            <w:bottom w:val="none" w:sz="0" w:space="0" w:color="auto"/>
            <w:right w:val="none" w:sz="0" w:space="0" w:color="auto"/>
          </w:divBdr>
        </w:div>
      </w:divsChild>
    </w:div>
    <w:div w:id="953446096">
      <w:bodyDiv w:val="1"/>
      <w:marLeft w:val="0"/>
      <w:marRight w:val="0"/>
      <w:marTop w:val="0"/>
      <w:marBottom w:val="0"/>
      <w:divBdr>
        <w:top w:val="none" w:sz="0" w:space="0" w:color="auto"/>
        <w:left w:val="none" w:sz="0" w:space="0" w:color="auto"/>
        <w:bottom w:val="none" w:sz="0" w:space="0" w:color="auto"/>
        <w:right w:val="none" w:sz="0" w:space="0" w:color="auto"/>
      </w:divBdr>
    </w:div>
    <w:div w:id="999575477">
      <w:bodyDiv w:val="1"/>
      <w:marLeft w:val="0"/>
      <w:marRight w:val="0"/>
      <w:marTop w:val="0"/>
      <w:marBottom w:val="0"/>
      <w:divBdr>
        <w:top w:val="none" w:sz="0" w:space="0" w:color="auto"/>
        <w:left w:val="none" w:sz="0" w:space="0" w:color="auto"/>
        <w:bottom w:val="none" w:sz="0" w:space="0" w:color="auto"/>
        <w:right w:val="none" w:sz="0" w:space="0" w:color="auto"/>
      </w:divBdr>
    </w:div>
    <w:div w:id="1002392113">
      <w:bodyDiv w:val="1"/>
      <w:marLeft w:val="0"/>
      <w:marRight w:val="0"/>
      <w:marTop w:val="0"/>
      <w:marBottom w:val="0"/>
      <w:divBdr>
        <w:top w:val="none" w:sz="0" w:space="0" w:color="auto"/>
        <w:left w:val="none" w:sz="0" w:space="0" w:color="auto"/>
        <w:bottom w:val="none" w:sz="0" w:space="0" w:color="auto"/>
        <w:right w:val="none" w:sz="0" w:space="0" w:color="auto"/>
      </w:divBdr>
    </w:div>
    <w:div w:id="1070156016">
      <w:bodyDiv w:val="1"/>
      <w:marLeft w:val="0"/>
      <w:marRight w:val="0"/>
      <w:marTop w:val="0"/>
      <w:marBottom w:val="0"/>
      <w:divBdr>
        <w:top w:val="none" w:sz="0" w:space="0" w:color="auto"/>
        <w:left w:val="none" w:sz="0" w:space="0" w:color="auto"/>
        <w:bottom w:val="none" w:sz="0" w:space="0" w:color="auto"/>
        <w:right w:val="none" w:sz="0" w:space="0" w:color="auto"/>
      </w:divBdr>
    </w:div>
    <w:div w:id="1074426781">
      <w:bodyDiv w:val="1"/>
      <w:marLeft w:val="0"/>
      <w:marRight w:val="0"/>
      <w:marTop w:val="0"/>
      <w:marBottom w:val="0"/>
      <w:divBdr>
        <w:top w:val="none" w:sz="0" w:space="0" w:color="auto"/>
        <w:left w:val="none" w:sz="0" w:space="0" w:color="auto"/>
        <w:bottom w:val="none" w:sz="0" w:space="0" w:color="auto"/>
        <w:right w:val="none" w:sz="0" w:space="0" w:color="auto"/>
      </w:divBdr>
    </w:div>
    <w:div w:id="1146817571">
      <w:bodyDiv w:val="1"/>
      <w:marLeft w:val="0"/>
      <w:marRight w:val="0"/>
      <w:marTop w:val="0"/>
      <w:marBottom w:val="0"/>
      <w:divBdr>
        <w:top w:val="none" w:sz="0" w:space="0" w:color="auto"/>
        <w:left w:val="none" w:sz="0" w:space="0" w:color="auto"/>
        <w:bottom w:val="none" w:sz="0" w:space="0" w:color="auto"/>
        <w:right w:val="none" w:sz="0" w:space="0" w:color="auto"/>
      </w:divBdr>
    </w:div>
    <w:div w:id="1148742110">
      <w:bodyDiv w:val="1"/>
      <w:marLeft w:val="0"/>
      <w:marRight w:val="0"/>
      <w:marTop w:val="0"/>
      <w:marBottom w:val="0"/>
      <w:divBdr>
        <w:top w:val="none" w:sz="0" w:space="0" w:color="auto"/>
        <w:left w:val="none" w:sz="0" w:space="0" w:color="auto"/>
        <w:bottom w:val="none" w:sz="0" w:space="0" w:color="auto"/>
        <w:right w:val="none" w:sz="0" w:space="0" w:color="auto"/>
      </w:divBdr>
    </w:div>
    <w:div w:id="1167096018">
      <w:bodyDiv w:val="1"/>
      <w:marLeft w:val="0"/>
      <w:marRight w:val="0"/>
      <w:marTop w:val="0"/>
      <w:marBottom w:val="0"/>
      <w:divBdr>
        <w:top w:val="none" w:sz="0" w:space="0" w:color="auto"/>
        <w:left w:val="none" w:sz="0" w:space="0" w:color="auto"/>
        <w:bottom w:val="none" w:sz="0" w:space="0" w:color="auto"/>
        <w:right w:val="none" w:sz="0" w:space="0" w:color="auto"/>
      </w:divBdr>
    </w:div>
    <w:div w:id="1175269650">
      <w:bodyDiv w:val="1"/>
      <w:marLeft w:val="0"/>
      <w:marRight w:val="0"/>
      <w:marTop w:val="0"/>
      <w:marBottom w:val="0"/>
      <w:divBdr>
        <w:top w:val="none" w:sz="0" w:space="0" w:color="auto"/>
        <w:left w:val="none" w:sz="0" w:space="0" w:color="auto"/>
        <w:bottom w:val="none" w:sz="0" w:space="0" w:color="auto"/>
        <w:right w:val="none" w:sz="0" w:space="0" w:color="auto"/>
      </w:divBdr>
    </w:div>
    <w:div w:id="1247492622">
      <w:bodyDiv w:val="1"/>
      <w:marLeft w:val="0"/>
      <w:marRight w:val="0"/>
      <w:marTop w:val="0"/>
      <w:marBottom w:val="0"/>
      <w:divBdr>
        <w:top w:val="none" w:sz="0" w:space="0" w:color="auto"/>
        <w:left w:val="none" w:sz="0" w:space="0" w:color="auto"/>
        <w:bottom w:val="none" w:sz="0" w:space="0" w:color="auto"/>
        <w:right w:val="none" w:sz="0" w:space="0" w:color="auto"/>
      </w:divBdr>
    </w:div>
    <w:div w:id="1283419942">
      <w:bodyDiv w:val="1"/>
      <w:marLeft w:val="0"/>
      <w:marRight w:val="0"/>
      <w:marTop w:val="0"/>
      <w:marBottom w:val="0"/>
      <w:divBdr>
        <w:top w:val="none" w:sz="0" w:space="0" w:color="auto"/>
        <w:left w:val="none" w:sz="0" w:space="0" w:color="auto"/>
        <w:bottom w:val="none" w:sz="0" w:space="0" w:color="auto"/>
        <w:right w:val="none" w:sz="0" w:space="0" w:color="auto"/>
      </w:divBdr>
    </w:div>
    <w:div w:id="1301616618">
      <w:bodyDiv w:val="1"/>
      <w:marLeft w:val="0"/>
      <w:marRight w:val="0"/>
      <w:marTop w:val="0"/>
      <w:marBottom w:val="0"/>
      <w:divBdr>
        <w:top w:val="none" w:sz="0" w:space="0" w:color="auto"/>
        <w:left w:val="none" w:sz="0" w:space="0" w:color="auto"/>
        <w:bottom w:val="none" w:sz="0" w:space="0" w:color="auto"/>
        <w:right w:val="none" w:sz="0" w:space="0" w:color="auto"/>
      </w:divBdr>
    </w:div>
    <w:div w:id="1349983698">
      <w:bodyDiv w:val="1"/>
      <w:marLeft w:val="0"/>
      <w:marRight w:val="0"/>
      <w:marTop w:val="0"/>
      <w:marBottom w:val="0"/>
      <w:divBdr>
        <w:top w:val="none" w:sz="0" w:space="0" w:color="auto"/>
        <w:left w:val="none" w:sz="0" w:space="0" w:color="auto"/>
        <w:bottom w:val="none" w:sz="0" w:space="0" w:color="auto"/>
        <w:right w:val="none" w:sz="0" w:space="0" w:color="auto"/>
      </w:divBdr>
    </w:div>
    <w:div w:id="1399937261">
      <w:bodyDiv w:val="1"/>
      <w:marLeft w:val="0"/>
      <w:marRight w:val="0"/>
      <w:marTop w:val="0"/>
      <w:marBottom w:val="0"/>
      <w:divBdr>
        <w:top w:val="none" w:sz="0" w:space="0" w:color="auto"/>
        <w:left w:val="none" w:sz="0" w:space="0" w:color="auto"/>
        <w:bottom w:val="none" w:sz="0" w:space="0" w:color="auto"/>
        <w:right w:val="none" w:sz="0" w:space="0" w:color="auto"/>
      </w:divBdr>
    </w:div>
    <w:div w:id="1416172647">
      <w:bodyDiv w:val="1"/>
      <w:marLeft w:val="0"/>
      <w:marRight w:val="0"/>
      <w:marTop w:val="0"/>
      <w:marBottom w:val="0"/>
      <w:divBdr>
        <w:top w:val="none" w:sz="0" w:space="0" w:color="auto"/>
        <w:left w:val="none" w:sz="0" w:space="0" w:color="auto"/>
        <w:bottom w:val="none" w:sz="0" w:space="0" w:color="auto"/>
        <w:right w:val="none" w:sz="0" w:space="0" w:color="auto"/>
      </w:divBdr>
    </w:div>
    <w:div w:id="1458990067">
      <w:bodyDiv w:val="1"/>
      <w:marLeft w:val="0"/>
      <w:marRight w:val="0"/>
      <w:marTop w:val="0"/>
      <w:marBottom w:val="0"/>
      <w:divBdr>
        <w:top w:val="none" w:sz="0" w:space="0" w:color="auto"/>
        <w:left w:val="none" w:sz="0" w:space="0" w:color="auto"/>
        <w:bottom w:val="none" w:sz="0" w:space="0" w:color="auto"/>
        <w:right w:val="none" w:sz="0" w:space="0" w:color="auto"/>
      </w:divBdr>
    </w:div>
    <w:div w:id="1465780981">
      <w:bodyDiv w:val="1"/>
      <w:marLeft w:val="0"/>
      <w:marRight w:val="0"/>
      <w:marTop w:val="0"/>
      <w:marBottom w:val="0"/>
      <w:divBdr>
        <w:top w:val="none" w:sz="0" w:space="0" w:color="auto"/>
        <w:left w:val="none" w:sz="0" w:space="0" w:color="auto"/>
        <w:bottom w:val="none" w:sz="0" w:space="0" w:color="auto"/>
        <w:right w:val="none" w:sz="0" w:space="0" w:color="auto"/>
      </w:divBdr>
      <w:divsChild>
        <w:div w:id="160704225">
          <w:marLeft w:val="0"/>
          <w:marRight w:val="0"/>
          <w:marTop w:val="0"/>
          <w:marBottom w:val="0"/>
          <w:divBdr>
            <w:top w:val="none" w:sz="0" w:space="0" w:color="auto"/>
            <w:left w:val="none" w:sz="0" w:space="0" w:color="auto"/>
            <w:bottom w:val="none" w:sz="0" w:space="0" w:color="auto"/>
            <w:right w:val="none" w:sz="0" w:space="0" w:color="auto"/>
          </w:divBdr>
        </w:div>
        <w:div w:id="310907880">
          <w:marLeft w:val="0"/>
          <w:marRight w:val="0"/>
          <w:marTop w:val="0"/>
          <w:marBottom w:val="0"/>
          <w:divBdr>
            <w:top w:val="none" w:sz="0" w:space="0" w:color="auto"/>
            <w:left w:val="none" w:sz="0" w:space="0" w:color="auto"/>
            <w:bottom w:val="none" w:sz="0" w:space="0" w:color="auto"/>
            <w:right w:val="none" w:sz="0" w:space="0" w:color="auto"/>
          </w:divBdr>
        </w:div>
        <w:div w:id="367029438">
          <w:marLeft w:val="0"/>
          <w:marRight w:val="0"/>
          <w:marTop w:val="0"/>
          <w:marBottom w:val="0"/>
          <w:divBdr>
            <w:top w:val="none" w:sz="0" w:space="0" w:color="auto"/>
            <w:left w:val="none" w:sz="0" w:space="0" w:color="auto"/>
            <w:bottom w:val="none" w:sz="0" w:space="0" w:color="auto"/>
            <w:right w:val="none" w:sz="0" w:space="0" w:color="auto"/>
          </w:divBdr>
        </w:div>
        <w:div w:id="637806977">
          <w:marLeft w:val="0"/>
          <w:marRight w:val="0"/>
          <w:marTop w:val="0"/>
          <w:marBottom w:val="0"/>
          <w:divBdr>
            <w:top w:val="none" w:sz="0" w:space="0" w:color="auto"/>
            <w:left w:val="none" w:sz="0" w:space="0" w:color="auto"/>
            <w:bottom w:val="none" w:sz="0" w:space="0" w:color="auto"/>
            <w:right w:val="none" w:sz="0" w:space="0" w:color="auto"/>
          </w:divBdr>
        </w:div>
        <w:div w:id="686374170">
          <w:marLeft w:val="0"/>
          <w:marRight w:val="0"/>
          <w:marTop w:val="0"/>
          <w:marBottom w:val="0"/>
          <w:divBdr>
            <w:top w:val="none" w:sz="0" w:space="0" w:color="auto"/>
            <w:left w:val="none" w:sz="0" w:space="0" w:color="auto"/>
            <w:bottom w:val="none" w:sz="0" w:space="0" w:color="auto"/>
            <w:right w:val="none" w:sz="0" w:space="0" w:color="auto"/>
          </w:divBdr>
        </w:div>
        <w:div w:id="1007247364">
          <w:marLeft w:val="0"/>
          <w:marRight w:val="0"/>
          <w:marTop w:val="0"/>
          <w:marBottom w:val="0"/>
          <w:divBdr>
            <w:top w:val="none" w:sz="0" w:space="0" w:color="auto"/>
            <w:left w:val="none" w:sz="0" w:space="0" w:color="auto"/>
            <w:bottom w:val="none" w:sz="0" w:space="0" w:color="auto"/>
            <w:right w:val="none" w:sz="0" w:space="0" w:color="auto"/>
          </w:divBdr>
        </w:div>
        <w:div w:id="1267077465">
          <w:marLeft w:val="0"/>
          <w:marRight w:val="0"/>
          <w:marTop w:val="0"/>
          <w:marBottom w:val="0"/>
          <w:divBdr>
            <w:top w:val="none" w:sz="0" w:space="0" w:color="auto"/>
            <w:left w:val="none" w:sz="0" w:space="0" w:color="auto"/>
            <w:bottom w:val="none" w:sz="0" w:space="0" w:color="auto"/>
            <w:right w:val="none" w:sz="0" w:space="0" w:color="auto"/>
          </w:divBdr>
        </w:div>
        <w:div w:id="1570308599">
          <w:marLeft w:val="0"/>
          <w:marRight w:val="0"/>
          <w:marTop w:val="0"/>
          <w:marBottom w:val="0"/>
          <w:divBdr>
            <w:top w:val="none" w:sz="0" w:space="0" w:color="auto"/>
            <w:left w:val="none" w:sz="0" w:space="0" w:color="auto"/>
            <w:bottom w:val="none" w:sz="0" w:space="0" w:color="auto"/>
            <w:right w:val="none" w:sz="0" w:space="0" w:color="auto"/>
          </w:divBdr>
        </w:div>
        <w:div w:id="1667320046">
          <w:marLeft w:val="0"/>
          <w:marRight w:val="0"/>
          <w:marTop w:val="0"/>
          <w:marBottom w:val="0"/>
          <w:divBdr>
            <w:top w:val="none" w:sz="0" w:space="0" w:color="auto"/>
            <w:left w:val="none" w:sz="0" w:space="0" w:color="auto"/>
            <w:bottom w:val="none" w:sz="0" w:space="0" w:color="auto"/>
            <w:right w:val="none" w:sz="0" w:space="0" w:color="auto"/>
          </w:divBdr>
        </w:div>
        <w:div w:id="1879468451">
          <w:marLeft w:val="0"/>
          <w:marRight w:val="0"/>
          <w:marTop w:val="0"/>
          <w:marBottom w:val="0"/>
          <w:divBdr>
            <w:top w:val="none" w:sz="0" w:space="0" w:color="auto"/>
            <w:left w:val="none" w:sz="0" w:space="0" w:color="auto"/>
            <w:bottom w:val="none" w:sz="0" w:space="0" w:color="auto"/>
            <w:right w:val="none" w:sz="0" w:space="0" w:color="auto"/>
          </w:divBdr>
        </w:div>
      </w:divsChild>
    </w:div>
    <w:div w:id="1533690498">
      <w:bodyDiv w:val="1"/>
      <w:marLeft w:val="0"/>
      <w:marRight w:val="0"/>
      <w:marTop w:val="0"/>
      <w:marBottom w:val="0"/>
      <w:divBdr>
        <w:top w:val="none" w:sz="0" w:space="0" w:color="auto"/>
        <w:left w:val="none" w:sz="0" w:space="0" w:color="auto"/>
        <w:bottom w:val="none" w:sz="0" w:space="0" w:color="auto"/>
        <w:right w:val="none" w:sz="0" w:space="0" w:color="auto"/>
      </w:divBdr>
    </w:div>
    <w:div w:id="1616212945">
      <w:bodyDiv w:val="1"/>
      <w:marLeft w:val="0"/>
      <w:marRight w:val="0"/>
      <w:marTop w:val="0"/>
      <w:marBottom w:val="0"/>
      <w:divBdr>
        <w:top w:val="none" w:sz="0" w:space="0" w:color="auto"/>
        <w:left w:val="none" w:sz="0" w:space="0" w:color="auto"/>
        <w:bottom w:val="none" w:sz="0" w:space="0" w:color="auto"/>
        <w:right w:val="none" w:sz="0" w:space="0" w:color="auto"/>
      </w:divBdr>
    </w:div>
    <w:div w:id="1622103465">
      <w:bodyDiv w:val="1"/>
      <w:marLeft w:val="0"/>
      <w:marRight w:val="0"/>
      <w:marTop w:val="0"/>
      <w:marBottom w:val="0"/>
      <w:divBdr>
        <w:top w:val="none" w:sz="0" w:space="0" w:color="auto"/>
        <w:left w:val="none" w:sz="0" w:space="0" w:color="auto"/>
        <w:bottom w:val="none" w:sz="0" w:space="0" w:color="auto"/>
        <w:right w:val="none" w:sz="0" w:space="0" w:color="auto"/>
      </w:divBdr>
    </w:div>
    <w:div w:id="1738046670">
      <w:bodyDiv w:val="1"/>
      <w:marLeft w:val="0"/>
      <w:marRight w:val="0"/>
      <w:marTop w:val="0"/>
      <w:marBottom w:val="0"/>
      <w:divBdr>
        <w:top w:val="none" w:sz="0" w:space="0" w:color="auto"/>
        <w:left w:val="none" w:sz="0" w:space="0" w:color="auto"/>
        <w:bottom w:val="none" w:sz="0" w:space="0" w:color="auto"/>
        <w:right w:val="none" w:sz="0" w:space="0" w:color="auto"/>
      </w:divBdr>
    </w:div>
    <w:div w:id="1764917197">
      <w:bodyDiv w:val="1"/>
      <w:marLeft w:val="0"/>
      <w:marRight w:val="0"/>
      <w:marTop w:val="0"/>
      <w:marBottom w:val="0"/>
      <w:divBdr>
        <w:top w:val="none" w:sz="0" w:space="0" w:color="auto"/>
        <w:left w:val="none" w:sz="0" w:space="0" w:color="auto"/>
        <w:bottom w:val="none" w:sz="0" w:space="0" w:color="auto"/>
        <w:right w:val="none" w:sz="0" w:space="0" w:color="auto"/>
      </w:divBdr>
    </w:div>
    <w:div w:id="1949237677">
      <w:bodyDiv w:val="1"/>
      <w:marLeft w:val="0"/>
      <w:marRight w:val="0"/>
      <w:marTop w:val="0"/>
      <w:marBottom w:val="0"/>
      <w:divBdr>
        <w:top w:val="none" w:sz="0" w:space="0" w:color="auto"/>
        <w:left w:val="none" w:sz="0" w:space="0" w:color="auto"/>
        <w:bottom w:val="none" w:sz="0" w:space="0" w:color="auto"/>
        <w:right w:val="none" w:sz="0" w:space="0" w:color="auto"/>
      </w:divBdr>
    </w:div>
    <w:div w:id="1950506465">
      <w:bodyDiv w:val="1"/>
      <w:marLeft w:val="0"/>
      <w:marRight w:val="0"/>
      <w:marTop w:val="0"/>
      <w:marBottom w:val="0"/>
      <w:divBdr>
        <w:top w:val="none" w:sz="0" w:space="0" w:color="auto"/>
        <w:left w:val="none" w:sz="0" w:space="0" w:color="auto"/>
        <w:bottom w:val="none" w:sz="0" w:space="0" w:color="auto"/>
        <w:right w:val="none" w:sz="0" w:space="0" w:color="auto"/>
      </w:divBdr>
    </w:div>
    <w:div w:id="2054452734">
      <w:bodyDiv w:val="1"/>
      <w:marLeft w:val="0"/>
      <w:marRight w:val="0"/>
      <w:marTop w:val="0"/>
      <w:marBottom w:val="0"/>
      <w:divBdr>
        <w:top w:val="none" w:sz="0" w:space="0" w:color="auto"/>
        <w:left w:val="none" w:sz="0" w:space="0" w:color="auto"/>
        <w:bottom w:val="none" w:sz="0" w:space="0" w:color="auto"/>
        <w:right w:val="none" w:sz="0" w:space="0" w:color="auto"/>
      </w:divBdr>
    </w:div>
    <w:div w:id="2126536974">
      <w:bodyDiv w:val="1"/>
      <w:marLeft w:val="0"/>
      <w:marRight w:val="0"/>
      <w:marTop w:val="0"/>
      <w:marBottom w:val="0"/>
      <w:divBdr>
        <w:top w:val="none" w:sz="0" w:space="0" w:color="auto"/>
        <w:left w:val="none" w:sz="0" w:space="0" w:color="auto"/>
        <w:bottom w:val="none" w:sz="0" w:space="0" w:color="auto"/>
        <w:right w:val="none" w:sz="0" w:space="0" w:color="auto"/>
      </w:divBdr>
    </w:div>
    <w:div w:id="2133935315">
      <w:bodyDiv w:val="1"/>
      <w:marLeft w:val="0"/>
      <w:marRight w:val="0"/>
      <w:marTop w:val="0"/>
      <w:marBottom w:val="0"/>
      <w:divBdr>
        <w:top w:val="none" w:sz="0" w:space="0" w:color="auto"/>
        <w:left w:val="none" w:sz="0" w:space="0" w:color="auto"/>
        <w:bottom w:val="none" w:sz="0" w:space="0" w:color="auto"/>
        <w:right w:val="none" w:sz="0" w:space="0" w:color="auto"/>
      </w:divBdr>
      <w:divsChild>
        <w:div w:id="304168003">
          <w:marLeft w:val="547"/>
          <w:marRight w:val="0"/>
          <w:marTop w:val="0"/>
          <w:marBottom w:val="0"/>
          <w:divBdr>
            <w:top w:val="none" w:sz="0" w:space="0" w:color="auto"/>
            <w:left w:val="none" w:sz="0" w:space="0" w:color="auto"/>
            <w:bottom w:val="none" w:sz="0" w:space="0" w:color="auto"/>
            <w:right w:val="none" w:sz="0" w:space="0" w:color="auto"/>
          </w:divBdr>
        </w:div>
        <w:div w:id="363483175">
          <w:marLeft w:val="547"/>
          <w:marRight w:val="0"/>
          <w:marTop w:val="0"/>
          <w:marBottom w:val="0"/>
          <w:divBdr>
            <w:top w:val="none" w:sz="0" w:space="0" w:color="auto"/>
            <w:left w:val="none" w:sz="0" w:space="0" w:color="auto"/>
            <w:bottom w:val="none" w:sz="0" w:space="0" w:color="auto"/>
            <w:right w:val="none" w:sz="0" w:space="0" w:color="auto"/>
          </w:divBdr>
        </w:div>
        <w:div w:id="984578800">
          <w:marLeft w:val="547"/>
          <w:marRight w:val="0"/>
          <w:marTop w:val="0"/>
          <w:marBottom w:val="0"/>
          <w:divBdr>
            <w:top w:val="none" w:sz="0" w:space="0" w:color="auto"/>
            <w:left w:val="none" w:sz="0" w:space="0" w:color="auto"/>
            <w:bottom w:val="none" w:sz="0" w:space="0" w:color="auto"/>
            <w:right w:val="none" w:sz="0" w:space="0" w:color="auto"/>
          </w:divBdr>
        </w:div>
        <w:div w:id="1014914654">
          <w:marLeft w:val="547"/>
          <w:marRight w:val="0"/>
          <w:marTop w:val="0"/>
          <w:marBottom w:val="0"/>
          <w:divBdr>
            <w:top w:val="none" w:sz="0" w:space="0" w:color="auto"/>
            <w:left w:val="none" w:sz="0" w:space="0" w:color="auto"/>
            <w:bottom w:val="none" w:sz="0" w:space="0" w:color="auto"/>
            <w:right w:val="none" w:sz="0" w:space="0" w:color="auto"/>
          </w:divBdr>
        </w:div>
        <w:div w:id="18371139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sk.gov.b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gov.b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enter.gov.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enter.gov.by/"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lstat.gov.b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ds.worldbank.org/external/default/WDSContentServer/WDSP/IB/2013/12/09/000461832_20131209105632/Rendered/PDF/774580CAS0P1320C0disclosed060130130.pdf" TargetMode="External"/><Relationship Id="rId1" Type="http://schemas.openxmlformats.org/officeDocument/2006/relationships/hyperlink" Target="http://www.ohchr.org/EN/Issues/Development/GoodGovernance/Pages/GoodGovernanc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B9296-B547-4C79-9A6B-C9AC3A00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24132</Words>
  <Characters>137553</Characters>
  <Application>Microsoft Office Word</Application>
  <DocSecurity>0</DocSecurity>
  <Lines>1146</Lines>
  <Paragraphs>322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BELARUS BRIEFING</vt:lpstr>
      <vt:lpstr>BELARUS BRIEFING</vt:lpstr>
    </vt:vector>
  </TitlesOfParts>
  <Company>Microsoft</Company>
  <LinksUpToDate>false</LinksUpToDate>
  <CharactersWithSpaces>161363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BELARUS BRIEFING</dc:title>
  <dc:creator>user</dc:creator>
  <cp:lastModifiedBy>Svetlana Iazykova</cp:lastModifiedBy>
  <cp:revision>3</cp:revision>
  <cp:lastPrinted>2015-10-22T15:24:00Z</cp:lastPrinted>
  <dcterms:created xsi:type="dcterms:W3CDTF">2015-12-04T22:05:00Z</dcterms:created>
  <dcterms:modified xsi:type="dcterms:W3CDTF">2015-12-04T22:05:00Z</dcterms:modified>
</cp:coreProperties>
</file>