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383" w:rsidRPr="00F8596C" w:rsidRDefault="006146F3" w:rsidP="00182235">
      <w:pPr>
        <w:tabs>
          <w:tab w:val="left" w:pos="1080"/>
          <w:tab w:val="right" w:pos="12960"/>
        </w:tabs>
        <w:spacing w:before="20" w:after="20" w:line="240" w:lineRule="auto"/>
      </w:pPr>
      <w:bookmarkStart w:id="0" w:name="_GoBack"/>
      <w:bookmarkEnd w:id="0"/>
      <w:r w:rsidRPr="00F8596C">
        <w:t xml:space="preserve">Annex I: </w:t>
      </w:r>
      <w:r w:rsidR="0083779E" w:rsidRPr="00F8596C">
        <w:tab/>
      </w:r>
      <w:r w:rsidRPr="00F8596C">
        <w:t xml:space="preserve">Methodology of the report </w:t>
      </w:r>
      <w:r w:rsidR="00607FD0">
        <w:tab/>
        <w:t>2</w:t>
      </w:r>
    </w:p>
    <w:p w:rsidR="00F62383" w:rsidRPr="00F8596C" w:rsidRDefault="00F62383" w:rsidP="00891757">
      <w:pPr>
        <w:numPr>
          <w:ilvl w:val="0"/>
          <w:numId w:val="2"/>
        </w:numPr>
        <w:tabs>
          <w:tab w:val="left" w:pos="1080"/>
          <w:tab w:val="right" w:pos="12960"/>
        </w:tabs>
        <w:spacing w:after="0" w:line="240" w:lineRule="auto"/>
      </w:pPr>
      <w:r w:rsidRPr="00F8596C">
        <w:t>Background</w:t>
      </w:r>
    </w:p>
    <w:p w:rsidR="00513157" w:rsidRPr="00F8596C" w:rsidRDefault="00891757" w:rsidP="00891757">
      <w:pPr>
        <w:numPr>
          <w:ilvl w:val="0"/>
          <w:numId w:val="2"/>
        </w:numPr>
        <w:tabs>
          <w:tab w:val="left" w:pos="1080"/>
          <w:tab w:val="right" w:pos="12960"/>
        </w:tabs>
        <w:spacing w:after="0" w:line="240" w:lineRule="auto"/>
      </w:pPr>
      <w:r w:rsidRPr="00F8596C">
        <w:t>Approach</w:t>
      </w:r>
      <w:r w:rsidRPr="00F8596C">
        <w:tab/>
      </w:r>
    </w:p>
    <w:p w:rsidR="004B05E7" w:rsidRDefault="004B05E7" w:rsidP="00026328">
      <w:pPr>
        <w:tabs>
          <w:tab w:val="left" w:pos="1080"/>
          <w:tab w:val="right" w:pos="12960"/>
        </w:tabs>
        <w:spacing w:before="20" w:after="20" w:line="240" w:lineRule="auto"/>
      </w:pPr>
    </w:p>
    <w:p w:rsidR="00575561" w:rsidRPr="00880EEE" w:rsidRDefault="006D3F7B" w:rsidP="00026328">
      <w:pPr>
        <w:tabs>
          <w:tab w:val="left" w:pos="1080"/>
          <w:tab w:val="right" w:pos="12960"/>
        </w:tabs>
        <w:spacing w:before="20" w:after="20" w:line="240" w:lineRule="auto"/>
      </w:pPr>
      <w:r w:rsidRPr="00575561">
        <w:t xml:space="preserve">Annex II: </w:t>
      </w:r>
      <w:r w:rsidRPr="00575561">
        <w:tab/>
      </w:r>
      <w:r w:rsidR="00880EEE">
        <w:t>Development results</w:t>
      </w:r>
      <w:r w:rsidRPr="00575561">
        <w:tab/>
      </w:r>
      <w:r w:rsidR="00412F40">
        <w:t>4</w:t>
      </w:r>
    </w:p>
    <w:p w:rsidR="00A51FAB" w:rsidRDefault="00A51FAB" w:rsidP="00A51FAB">
      <w:pPr>
        <w:numPr>
          <w:ilvl w:val="0"/>
          <w:numId w:val="17"/>
        </w:numPr>
        <w:tabs>
          <w:tab w:val="left" w:pos="1080"/>
          <w:tab w:val="right" w:pos="12960"/>
        </w:tabs>
        <w:spacing w:after="0" w:line="240" w:lineRule="auto"/>
      </w:pPr>
      <w:r w:rsidRPr="00575561">
        <w:t>Development results framework indicators</w:t>
      </w:r>
      <w:r w:rsidR="00575561">
        <w:tab/>
      </w:r>
    </w:p>
    <w:p w:rsidR="00A51FAB" w:rsidRPr="004B54F7" w:rsidRDefault="009C7640" w:rsidP="00A51FAB">
      <w:pPr>
        <w:numPr>
          <w:ilvl w:val="1"/>
          <w:numId w:val="5"/>
        </w:numPr>
        <w:tabs>
          <w:tab w:val="left" w:pos="1080"/>
          <w:tab w:val="right" w:pos="12960"/>
        </w:tabs>
        <w:spacing w:after="0" w:line="240" w:lineRule="auto"/>
      </w:pPr>
      <w:r>
        <w:t xml:space="preserve">Indicator 1: </w:t>
      </w:r>
      <w:r w:rsidR="00B65B9F" w:rsidRPr="004B54F7">
        <w:t>N</w:t>
      </w:r>
      <w:r w:rsidR="00A51FAB" w:rsidRPr="004B54F7">
        <w:t>umber of programme countries requesting and receiving UNDP support</w:t>
      </w:r>
    </w:p>
    <w:p w:rsidR="009C7640" w:rsidRPr="00F60909" w:rsidRDefault="009C7640" w:rsidP="009C7640">
      <w:pPr>
        <w:numPr>
          <w:ilvl w:val="1"/>
          <w:numId w:val="5"/>
        </w:numPr>
        <w:tabs>
          <w:tab w:val="left" w:pos="1080"/>
          <w:tab w:val="right" w:pos="12960"/>
        </w:tabs>
        <w:spacing w:after="0" w:line="240" w:lineRule="auto"/>
      </w:pPr>
      <w:r w:rsidRPr="00F60909">
        <w:t xml:space="preserve">Indicator 2: Degree to which UNDP programmes and projects are strategically aligned </w:t>
      </w:r>
      <w:r w:rsidRPr="00F60909">
        <w:tab/>
      </w:r>
    </w:p>
    <w:p w:rsidR="009C7640" w:rsidRPr="00FE461A" w:rsidRDefault="009C7640" w:rsidP="009C7640">
      <w:pPr>
        <w:numPr>
          <w:ilvl w:val="1"/>
          <w:numId w:val="5"/>
        </w:numPr>
        <w:tabs>
          <w:tab w:val="left" w:pos="1080"/>
          <w:tab w:val="right" w:pos="12960"/>
        </w:tabs>
        <w:spacing w:after="0" w:line="240" w:lineRule="auto"/>
      </w:pPr>
      <w:r w:rsidRPr="00FE461A">
        <w:t>Indicator 3: Findings and recommendations of independent evaluations and surveys</w:t>
      </w:r>
      <w:r w:rsidRPr="00FE461A">
        <w:tab/>
      </w:r>
    </w:p>
    <w:p w:rsidR="009C7640" w:rsidRPr="00B579D8" w:rsidRDefault="009C7640" w:rsidP="009C7640">
      <w:pPr>
        <w:numPr>
          <w:ilvl w:val="1"/>
          <w:numId w:val="5"/>
        </w:numPr>
        <w:tabs>
          <w:tab w:val="left" w:pos="1080"/>
          <w:tab w:val="right" w:pos="12960"/>
        </w:tabs>
        <w:spacing w:after="0" w:line="240" w:lineRule="auto"/>
      </w:pPr>
      <w:r w:rsidRPr="00B579D8">
        <w:t>Indicator 4: Number of country offices that report contribution to development change in the area supported</w:t>
      </w:r>
      <w:r w:rsidRPr="00B579D8">
        <w:tab/>
      </w:r>
    </w:p>
    <w:p w:rsidR="00A51FAB" w:rsidRPr="004B54F7" w:rsidRDefault="00A51FAB" w:rsidP="00A51FAB">
      <w:pPr>
        <w:numPr>
          <w:ilvl w:val="0"/>
          <w:numId w:val="5"/>
        </w:numPr>
        <w:tabs>
          <w:tab w:val="left" w:pos="1080"/>
          <w:tab w:val="right" w:pos="12960"/>
        </w:tabs>
        <w:spacing w:after="0" w:line="240" w:lineRule="auto"/>
      </w:pPr>
      <w:r w:rsidRPr="004B54F7">
        <w:t>Develo</w:t>
      </w:r>
      <w:r w:rsidR="00412F40">
        <w:t>pment effectiveness indicators</w:t>
      </w:r>
      <w:r w:rsidR="00412F40">
        <w:tab/>
        <w:t>18</w:t>
      </w:r>
    </w:p>
    <w:p w:rsidR="00A51FAB" w:rsidRPr="00CB37D3" w:rsidRDefault="00A51FAB" w:rsidP="00A51FAB">
      <w:pPr>
        <w:numPr>
          <w:ilvl w:val="1"/>
          <w:numId w:val="5"/>
        </w:numPr>
        <w:tabs>
          <w:tab w:val="left" w:pos="1080"/>
          <w:tab w:val="right" w:pos="12960"/>
        </w:tabs>
        <w:spacing w:after="0" w:line="240" w:lineRule="auto"/>
      </w:pPr>
      <w:r w:rsidRPr="00CB37D3">
        <w:t>Quality of country programming</w:t>
      </w:r>
      <w:r w:rsidRPr="00CB37D3">
        <w:tab/>
      </w:r>
    </w:p>
    <w:p w:rsidR="00A51FAB" w:rsidRPr="00CB37D3" w:rsidRDefault="00A51FAB" w:rsidP="00A51FAB">
      <w:pPr>
        <w:numPr>
          <w:ilvl w:val="1"/>
          <w:numId w:val="5"/>
        </w:numPr>
        <w:tabs>
          <w:tab w:val="left" w:pos="1080"/>
          <w:tab w:val="right" w:pos="12960"/>
        </w:tabs>
        <w:spacing w:after="0" w:line="240" w:lineRule="auto"/>
      </w:pPr>
      <w:r w:rsidRPr="00CB37D3">
        <w:t>Practice networking and knowledge</w:t>
      </w:r>
    </w:p>
    <w:p w:rsidR="00A51FAB" w:rsidRPr="00CB37D3" w:rsidRDefault="00A51FAB" w:rsidP="00A51FAB">
      <w:pPr>
        <w:numPr>
          <w:ilvl w:val="1"/>
          <w:numId w:val="5"/>
        </w:numPr>
        <w:tabs>
          <w:tab w:val="left" w:pos="1080"/>
          <w:tab w:val="right" w:pos="12960"/>
        </w:tabs>
        <w:spacing w:after="0" w:line="240" w:lineRule="auto"/>
      </w:pPr>
      <w:r w:rsidRPr="00CB37D3">
        <w:t>Capacity development</w:t>
      </w:r>
    </w:p>
    <w:p w:rsidR="00A51FAB" w:rsidRPr="00CB37D3" w:rsidRDefault="00A51FAB" w:rsidP="00A51FAB">
      <w:pPr>
        <w:numPr>
          <w:ilvl w:val="1"/>
          <w:numId w:val="5"/>
        </w:numPr>
        <w:tabs>
          <w:tab w:val="left" w:pos="1080"/>
          <w:tab w:val="right" w:pos="12960"/>
        </w:tabs>
        <w:spacing w:after="0" w:line="240" w:lineRule="auto"/>
      </w:pPr>
      <w:r w:rsidRPr="00CB37D3">
        <w:t>Gender</w:t>
      </w:r>
      <w:r w:rsidRPr="00CB37D3">
        <w:tab/>
      </w:r>
    </w:p>
    <w:p w:rsidR="00575561" w:rsidRPr="00CB37D3" w:rsidRDefault="00A51FAB" w:rsidP="004B05E7">
      <w:pPr>
        <w:numPr>
          <w:ilvl w:val="1"/>
          <w:numId w:val="5"/>
        </w:numPr>
        <w:tabs>
          <w:tab w:val="left" w:pos="1080"/>
          <w:tab w:val="right" w:pos="12960"/>
        </w:tabs>
        <w:spacing w:after="0" w:line="240" w:lineRule="auto"/>
      </w:pPr>
      <w:r w:rsidRPr="00CB37D3">
        <w:t>South-South</w:t>
      </w:r>
      <w:r w:rsidRPr="00CB37D3">
        <w:tab/>
      </w:r>
    </w:p>
    <w:p w:rsidR="004B05E7" w:rsidRPr="00CB37D3" w:rsidRDefault="004B05E7" w:rsidP="00392207">
      <w:pPr>
        <w:tabs>
          <w:tab w:val="left" w:pos="1080"/>
          <w:tab w:val="right" w:pos="12960"/>
        </w:tabs>
        <w:spacing w:before="20" w:after="20" w:line="240" w:lineRule="auto"/>
      </w:pPr>
    </w:p>
    <w:p w:rsidR="004B05E7" w:rsidRPr="00CB37D3" w:rsidRDefault="006146F3" w:rsidP="00392207">
      <w:pPr>
        <w:tabs>
          <w:tab w:val="left" w:pos="1080"/>
          <w:tab w:val="right" w:pos="12960"/>
        </w:tabs>
        <w:spacing w:before="20" w:after="20" w:line="240" w:lineRule="auto"/>
      </w:pPr>
      <w:r w:rsidRPr="00CB37D3">
        <w:t>Annex I</w:t>
      </w:r>
      <w:r w:rsidR="004E28DC" w:rsidRPr="00CB37D3">
        <w:t>I</w:t>
      </w:r>
      <w:r w:rsidRPr="00CB37D3">
        <w:t xml:space="preserve">I: </w:t>
      </w:r>
      <w:r w:rsidR="0083779E" w:rsidRPr="00CB37D3">
        <w:tab/>
      </w:r>
      <w:r w:rsidR="004B05E7" w:rsidRPr="00CB37D3">
        <w:t>Institutional results</w:t>
      </w:r>
      <w:r w:rsidR="003855D6" w:rsidRPr="00CB37D3">
        <w:tab/>
      </w:r>
      <w:r w:rsidR="00412F40">
        <w:t>23</w:t>
      </w:r>
    </w:p>
    <w:p w:rsidR="004B05E7" w:rsidRPr="00CB37D3" w:rsidRDefault="00412F40" w:rsidP="004B05E7">
      <w:pPr>
        <w:numPr>
          <w:ilvl w:val="0"/>
          <w:numId w:val="37"/>
        </w:numPr>
        <w:tabs>
          <w:tab w:val="left" w:pos="1080"/>
          <w:tab w:val="right" w:pos="12960"/>
        </w:tabs>
        <w:spacing w:after="0" w:line="240" w:lineRule="auto"/>
      </w:pPr>
      <w:r>
        <w:t>Management results framework</w:t>
      </w:r>
      <w:r>
        <w:tab/>
      </w:r>
    </w:p>
    <w:p w:rsidR="004B05E7" w:rsidRPr="004B54F7" w:rsidRDefault="004B05E7" w:rsidP="004B05E7">
      <w:pPr>
        <w:numPr>
          <w:ilvl w:val="0"/>
          <w:numId w:val="37"/>
        </w:numPr>
        <w:tabs>
          <w:tab w:val="left" w:pos="1080"/>
          <w:tab w:val="right" w:pos="12960"/>
        </w:tabs>
        <w:spacing w:after="0" w:line="240" w:lineRule="auto"/>
      </w:pPr>
      <w:r w:rsidRPr="004B54F7">
        <w:t>UN coordination results</w:t>
      </w:r>
    </w:p>
    <w:p w:rsidR="004B05E7" w:rsidRPr="004B54F7" w:rsidRDefault="004B05E7" w:rsidP="004B05E7">
      <w:pPr>
        <w:numPr>
          <w:ilvl w:val="0"/>
          <w:numId w:val="37"/>
        </w:numPr>
        <w:tabs>
          <w:tab w:val="left" w:pos="1080"/>
          <w:tab w:val="right" w:pos="12960"/>
        </w:tabs>
        <w:spacing w:after="0" w:line="240" w:lineRule="auto"/>
      </w:pPr>
      <w:r w:rsidRPr="004B54F7">
        <w:t>Special purpose results</w:t>
      </w:r>
    </w:p>
    <w:p w:rsidR="004B05E7" w:rsidRDefault="004B05E7" w:rsidP="00666994">
      <w:pPr>
        <w:tabs>
          <w:tab w:val="left" w:pos="1080"/>
          <w:tab w:val="right" w:pos="12960"/>
        </w:tabs>
        <w:spacing w:before="20" w:after="20" w:line="240" w:lineRule="auto"/>
      </w:pPr>
    </w:p>
    <w:p w:rsidR="00112259" w:rsidRPr="004B54F7" w:rsidRDefault="00026328" w:rsidP="00666994">
      <w:pPr>
        <w:tabs>
          <w:tab w:val="left" w:pos="1080"/>
          <w:tab w:val="right" w:pos="12960"/>
        </w:tabs>
        <w:spacing w:before="20" w:after="20" w:line="240" w:lineRule="auto"/>
      </w:pPr>
      <w:r w:rsidRPr="004B54F7">
        <w:t>Annex IV</w:t>
      </w:r>
      <w:r w:rsidR="00112259" w:rsidRPr="004B54F7">
        <w:t xml:space="preserve">: </w:t>
      </w:r>
      <w:r w:rsidR="0083779E" w:rsidRPr="004B54F7">
        <w:tab/>
      </w:r>
      <w:r w:rsidR="00CD6DD4" w:rsidRPr="004B54F7">
        <w:t xml:space="preserve">Provisional </w:t>
      </w:r>
      <w:r w:rsidR="004B05E7" w:rsidRPr="004B54F7">
        <w:t>2013</w:t>
      </w:r>
      <w:r w:rsidR="00CD6DD4" w:rsidRPr="004B54F7">
        <w:t xml:space="preserve"> programme expenditure</w:t>
      </w:r>
      <w:r w:rsidR="003855D6" w:rsidRPr="004B54F7">
        <w:tab/>
      </w:r>
      <w:r w:rsidR="00301B04">
        <w:t>35</w:t>
      </w:r>
    </w:p>
    <w:p w:rsidR="004B05E7" w:rsidRPr="004B54F7" w:rsidRDefault="004B05E7" w:rsidP="00182235">
      <w:pPr>
        <w:tabs>
          <w:tab w:val="left" w:pos="1080"/>
          <w:tab w:val="right" w:pos="12960"/>
        </w:tabs>
        <w:spacing w:before="20" w:after="20" w:line="240" w:lineRule="auto"/>
      </w:pPr>
    </w:p>
    <w:p w:rsidR="00246EF5" w:rsidRPr="004B54F7" w:rsidRDefault="00246EF5" w:rsidP="00182235">
      <w:pPr>
        <w:tabs>
          <w:tab w:val="left" w:pos="1080"/>
          <w:tab w:val="right" w:pos="12960"/>
        </w:tabs>
        <w:spacing w:before="20" w:after="20" w:line="240" w:lineRule="auto"/>
      </w:pPr>
      <w:r w:rsidRPr="004B54F7">
        <w:t xml:space="preserve">Annex V: </w:t>
      </w:r>
      <w:r w:rsidR="0083779E" w:rsidRPr="004B54F7">
        <w:tab/>
      </w:r>
      <w:r w:rsidRPr="004B54F7">
        <w:t>Data responding to Executive Board requests</w:t>
      </w:r>
      <w:r w:rsidR="003855D6" w:rsidRPr="004B54F7">
        <w:tab/>
      </w:r>
      <w:r w:rsidR="00301B04">
        <w:t>41</w:t>
      </w:r>
    </w:p>
    <w:p w:rsidR="004B05E7" w:rsidRPr="004B54F7" w:rsidRDefault="004B05E7" w:rsidP="00182235">
      <w:pPr>
        <w:tabs>
          <w:tab w:val="left" w:pos="1080"/>
          <w:tab w:val="right" w:pos="12960"/>
        </w:tabs>
        <w:spacing w:before="20" w:after="20" w:line="240" w:lineRule="auto"/>
        <w:ind w:left="1080" w:hanging="1080"/>
      </w:pPr>
    </w:p>
    <w:p w:rsidR="002E743F" w:rsidRDefault="00A712BB" w:rsidP="00182235">
      <w:pPr>
        <w:tabs>
          <w:tab w:val="left" w:pos="1080"/>
          <w:tab w:val="right" w:pos="12960"/>
        </w:tabs>
        <w:spacing w:before="20" w:after="20" w:line="240" w:lineRule="auto"/>
        <w:ind w:left="1080" w:hanging="1080"/>
      </w:pPr>
      <w:r w:rsidRPr="004B54F7">
        <w:t>Annex V</w:t>
      </w:r>
      <w:r w:rsidR="00026328" w:rsidRPr="004B54F7">
        <w:t>I</w:t>
      </w:r>
      <w:r w:rsidR="00540C98" w:rsidRPr="004B54F7">
        <w:t xml:space="preserve">: </w:t>
      </w:r>
      <w:r w:rsidR="0083779E" w:rsidRPr="004B54F7">
        <w:tab/>
      </w:r>
      <w:r w:rsidR="006F6AA5" w:rsidRPr="004B54F7">
        <w:t>Overview of the status of implementation of management responses to independent and decentralised eva</w:t>
      </w:r>
      <w:r w:rsidR="00D92016" w:rsidRPr="004B54F7">
        <w:t xml:space="preserve">luations during </w:t>
      </w:r>
      <w:r w:rsidR="004B05E7" w:rsidRPr="004B54F7">
        <w:t>2013</w:t>
      </w:r>
      <w:r w:rsidR="003855D6" w:rsidRPr="004B54F7">
        <w:tab/>
      </w:r>
      <w:r w:rsidR="00301B04">
        <w:t>42</w:t>
      </w:r>
    </w:p>
    <w:p w:rsidR="00C049B0" w:rsidRPr="00575561" w:rsidRDefault="00C049B0" w:rsidP="00182235">
      <w:pPr>
        <w:tabs>
          <w:tab w:val="left" w:pos="1080"/>
          <w:tab w:val="right" w:pos="12960"/>
        </w:tabs>
        <w:spacing w:before="20" w:after="20" w:line="240" w:lineRule="auto"/>
        <w:ind w:left="1080" w:hanging="1080"/>
      </w:pPr>
    </w:p>
    <w:p w:rsidR="002E743F" w:rsidRDefault="002E743F" w:rsidP="002E743F">
      <w:pPr>
        <w:tabs>
          <w:tab w:val="left" w:pos="1080"/>
          <w:tab w:val="right" w:pos="12960"/>
        </w:tabs>
        <w:spacing w:before="20" w:after="20" w:line="240" w:lineRule="auto"/>
        <w:ind w:left="1080" w:hanging="1080"/>
      </w:pPr>
      <w:r w:rsidRPr="00C56EA8">
        <w:t xml:space="preserve">Annex VII: </w:t>
      </w:r>
      <w:r w:rsidRPr="00C56EA8">
        <w:tab/>
        <w:t>Prel</w:t>
      </w:r>
      <w:r w:rsidR="00C56EA8">
        <w:t>iminary QCPR indicator results</w:t>
      </w:r>
      <w:r w:rsidR="00C56EA8">
        <w:tab/>
        <w:t>43</w:t>
      </w:r>
    </w:p>
    <w:p w:rsidR="004B05E7" w:rsidRDefault="004B05E7" w:rsidP="00182235">
      <w:pPr>
        <w:tabs>
          <w:tab w:val="left" w:pos="1080"/>
          <w:tab w:val="right" w:pos="12960"/>
        </w:tabs>
        <w:spacing w:before="20" w:after="20" w:line="240" w:lineRule="auto"/>
      </w:pPr>
    </w:p>
    <w:p w:rsidR="00540C98" w:rsidRPr="0086521F" w:rsidRDefault="00A712BB" w:rsidP="00182235">
      <w:pPr>
        <w:tabs>
          <w:tab w:val="left" w:pos="1080"/>
          <w:tab w:val="right" w:pos="12960"/>
        </w:tabs>
        <w:spacing w:before="20" w:after="20" w:line="240" w:lineRule="auto"/>
      </w:pPr>
      <w:r w:rsidRPr="004B54F7">
        <w:t>Annex V</w:t>
      </w:r>
      <w:r w:rsidR="00026328" w:rsidRPr="004B54F7">
        <w:t>I</w:t>
      </w:r>
      <w:r w:rsidR="002E743F" w:rsidRPr="004B54F7">
        <w:t>I</w:t>
      </w:r>
      <w:r w:rsidR="00C049B0" w:rsidRPr="004B54F7">
        <w:t>I:</w:t>
      </w:r>
      <w:r w:rsidR="00C049B0" w:rsidRPr="004B54F7">
        <w:tab/>
      </w:r>
      <w:r w:rsidR="00553D16" w:rsidRPr="004B54F7">
        <w:rPr>
          <w:szCs w:val="26"/>
        </w:rPr>
        <w:t xml:space="preserve">Sources of information appearing in </w:t>
      </w:r>
      <w:r w:rsidR="00F06A98" w:rsidRPr="004B54F7">
        <w:rPr>
          <w:szCs w:val="26"/>
        </w:rPr>
        <w:t>the A</w:t>
      </w:r>
      <w:r w:rsidR="00553D16" w:rsidRPr="004B54F7">
        <w:rPr>
          <w:szCs w:val="26"/>
        </w:rPr>
        <w:t xml:space="preserve">nnual </w:t>
      </w:r>
      <w:r w:rsidR="00F06A98" w:rsidRPr="004B54F7">
        <w:rPr>
          <w:szCs w:val="26"/>
        </w:rPr>
        <w:t>R</w:t>
      </w:r>
      <w:r w:rsidR="00553D16" w:rsidRPr="004B54F7">
        <w:rPr>
          <w:szCs w:val="26"/>
        </w:rPr>
        <w:t>eport of the Administrator</w:t>
      </w:r>
      <w:r w:rsidR="004B05E7" w:rsidRPr="004B54F7">
        <w:rPr>
          <w:szCs w:val="26"/>
        </w:rPr>
        <w:t xml:space="preserve"> 2013</w:t>
      </w:r>
      <w:r w:rsidR="00C049B0" w:rsidRPr="004B54F7">
        <w:rPr>
          <w:szCs w:val="26"/>
        </w:rPr>
        <w:tab/>
      </w:r>
      <w:r w:rsidR="007003B2">
        <w:t>51</w:t>
      </w:r>
    </w:p>
    <w:p w:rsidR="00B013B7" w:rsidRPr="00262E46" w:rsidRDefault="00573348" w:rsidP="00573348">
      <w:pPr>
        <w:ind w:left="1170" w:hanging="1170"/>
        <w:rPr>
          <w:b/>
          <w:sz w:val="24"/>
        </w:rPr>
      </w:pPr>
      <w:r w:rsidRPr="0086521F">
        <w:rPr>
          <w:sz w:val="24"/>
        </w:rPr>
        <w:br w:type="page"/>
      </w:r>
      <w:r w:rsidR="00A72BCA" w:rsidRPr="00730D6C">
        <w:rPr>
          <w:b/>
          <w:sz w:val="24"/>
        </w:rPr>
        <w:lastRenderedPageBreak/>
        <w:t>Annex I:</w:t>
      </w:r>
      <w:r w:rsidR="00A72BCA" w:rsidRPr="00730D6C">
        <w:rPr>
          <w:b/>
          <w:sz w:val="24"/>
        </w:rPr>
        <w:tab/>
      </w:r>
      <w:r w:rsidR="004D3851">
        <w:rPr>
          <w:b/>
          <w:sz w:val="24"/>
        </w:rPr>
        <w:t>Methodology of the report</w:t>
      </w:r>
    </w:p>
    <w:p w:rsidR="00C02E15" w:rsidRPr="00DC4CC2" w:rsidRDefault="00C02E15" w:rsidP="00C02E15">
      <w:pPr>
        <w:numPr>
          <w:ilvl w:val="0"/>
          <w:numId w:val="3"/>
        </w:numPr>
        <w:tabs>
          <w:tab w:val="left" w:pos="1080"/>
          <w:tab w:val="right" w:pos="12960"/>
        </w:tabs>
        <w:spacing w:before="120" w:after="120" w:line="240" w:lineRule="auto"/>
        <w:ind w:left="360"/>
        <w:rPr>
          <w:b/>
        </w:rPr>
      </w:pPr>
      <w:r>
        <w:rPr>
          <w:b/>
        </w:rPr>
        <w:t>Background</w:t>
      </w:r>
    </w:p>
    <w:p w:rsidR="001E35F7" w:rsidRPr="00B43687" w:rsidRDefault="00B833B0" w:rsidP="001E35F7">
      <w:pPr>
        <w:pStyle w:val="ColorfulList-Accent11"/>
        <w:numPr>
          <w:ilvl w:val="0"/>
          <w:numId w:val="4"/>
        </w:numPr>
        <w:tabs>
          <w:tab w:val="left" w:pos="0"/>
        </w:tabs>
        <w:spacing w:before="120" w:after="120" w:line="240" w:lineRule="auto"/>
        <w:ind w:left="432" w:hanging="432"/>
        <w:contextualSpacing w:val="0"/>
        <w:jc w:val="both"/>
        <w:rPr>
          <w:rFonts w:asciiTheme="minorHAnsi" w:hAnsiTheme="minorHAnsi"/>
          <w:sz w:val="20"/>
          <w:szCs w:val="20"/>
        </w:rPr>
      </w:pPr>
      <w:r w:rsidRPr="00B43687">
        <w:rPr>
          <w:rFonts w:asciiTheme="minorHAnsi" w:hAnsiTheme="minorHAnsi"/>
          <w:sz w:val="20"/>
          <w:szCs w:val="20"/>
        </w:rPr>
        <w:t xml:space="preserve">This </w:t>
      </w:r>
      <w:r w:rsidR="00B43687">
        <w:rPr>
          <w:rFonts w:asciiTheme="minorHAnsi" w:hAnsiTheme="minorHAnsi"/>
          <w:sz w:val="20"/>
          <w:szCs w:val="20"/>
        </w:rPr>
        <w:t xml:space="preserve">annual </w:t>
      </w:r>
      <w:r w:rsidRPr="00B43687">
        <w:rPr>
          <w:rFonts w:asciiTheme="minorHAnsi" w:hAnsiTheme="minorHAnsi"/>
          <w:sz w:val="20"/>
          <w:szCs w:val="20"/>
        </w:rPr>
        <w:t>report marks the final year of reporting on the UNDP Strategic Plan 2008-2013; UNDP’s first or</w:t>
      </w:r>
      <w:r w:rsidR="00482B8D">
        <w:rPr>
          <w:rFonts w:asciiTheme="minorHAnsi" w:hAnsiTheme="minorHAnsi"/>
          <w:sz w:val="20"/>
          <w:szCs w:val="20"/>
        </w:rPr>
        <w:t>ganization-wide strategic plan.</w:t>
      </w:r>
      <w:r w:rsidRPr="00B43687">
        <w:rPr>
          <w:rFonts w:asciiTheme="minorHAnsi" w:hAnsiTheme="minorHAnsi"/>
          <w:sz w:val="20"/>
          <w:szCs w:val="20"/>
        </w:rPr>
        <w:t xml:space="preserve"> Last year </w:t>
      </w:r>
      <w:r w:rsidR="001E35F7" w:rsidRPr="00B43687">
        <w:rPr>
          <w:rFonts w:asciiTheme="minorHAnsi" w:hAnsiTheme="minorHAnsi"/>
          <w:sz w:val="20"/>
          <w:szCs w:val="20"/>
        </w:rPr>
        <w:t xml:space="preserve">UNDP presented to the Board the </w:t>
      </w:r>
      <w:r w:rsidR="001E35F7" w:rsidRPr="00B43687">
        <w:rPr>
          <w:rFonts w:asciiTheme="minorHAnsi" w:hAnsiTheme="minorHAnsi"/>
          <w:i/>
          <w:sz w:val="20"/>
          <w:szCs w:val="20"/>
        </w:rPr>
        <w:t>Cumulative review and annual report of the Administrator on the strategic plan: performance and results for 2008-2012</w:t>
      </w:r>
      <w:r w:rsidR="001E35F7" w:rsidRPr="00B43687">
        <w:rPr>
          <w:rFonts w:asciiTheme="minorHAnsi" w:hAnsiTheme="minorHAnsi"/>
          <w:sz w:val="20"/>
          <w:szCs w:val="20"/>
        </w:rPr>
        <w:t>. T</w:t>
      </w:r>
      <w:r w:rsidR="00B43687">
        <w:rPr>
          <w:rFonts w:asciiTheme="minorHAnsi" w:hAnsiTheme="minorHAnsi"/>
          <w:sz w:val="20"/>
          <w:szCs w:val="20"/>
        </w:rPr>
        <w:t>herefore, t</w:t>
      </w:r>
      <w:r w:rsidR="001E35F7" w:rsidRPr="00B43687">
        <w:rPr>
          <w:rFonts w:asciiTheme="minorHAnsi" w:hAnsiTheme="minorHAnsi"/>
          <w:sz w:val="20"/>
          <w:szCs w:val="20"/>
        </w:rPr>
        <w:t>his</w:t>
      </w:r>
      <w:r w:rsidRPr="00B43687">
        <w:rPr>
          <w:rFonts w:asciiTheme="minorHAnsi" w:hAnsiTheme="minorHAnsi"/>
          <w:sz w:val="20"/>
          <w:szCs w:val="20"/>
        </w:rPr>
        <w:t xml:space="preserve"> year</w:t>
      </w:r>
      <w:r w:rsidR="001E35F7" w:rsidRPr="00B43687">
        <w:rPr>
          <w:rFonts w:asciiTheme="minorHAnsi" w:hAnsiTheme="minorHAnsi"/>
          <w:sz w:val="20"/>
          <w:szCs w:val="20"/>
        </w:rPr>
        <w:t xml:space="preserve">’s annual report focuses </w:t>
      </w:r>
      <w:r w:rsidR="00B43687">
        <w:rPr>
          <w:rFonts w:asciiTheme="minorHAnsi" w:hAnsiTheme="minorHAnsi"/>
          <w:sz w:val="20"/>
          <w:szCs w:val="20"/>
        </w:rPr>
        <w:t xml:space="preserve">solely </w:t>
      </w:r>
      <w:r w:rsidR="001E35F7" w:rsidRPr="00B43687">
        <w:rPr>
          <w:rFonts w:asciiTheme="minorHAnsi" w:hAnsiTheme="minorHAnsi"/>
          <w:sz w:val="20"/>
          <w:szCs w:val="20"/>
        </w:rPr>
        <w:t>on performance and results for 2013</w:t>
      </w:r>
      <w:r w:rsidRPr="00B43687">
        <w:rPr>
          <w:rFonts w:asciiTheme="minorHAnsi" w:hAnsiTheme="minorHAnsi"/>
          <w:sz w:val="20"/>
          <w:szCs w:val="20"/>
        </w:rPr>
        <w:t>.</w:t>
      </w:r>
    </w:p>
    <w:p w:rsidR="00B0757C" w:rsidRPr="00891757" w:rsidRDefault="00891757" w:rsidP="00891757">
      <w:pPr>
        <w:numPr>
          <w:ilvl w:val="0"/>
          <w:numId w:val="3"/>
        </w:numPr>
        <w:tabs>
          <w:tab w:val="left" w:pos="1080"/>
          <w:tab w:val="right" w:pos="12960"/>
        </w:tabs>
        <w:spacing w:before="120" w:after="120" w:line="240" w:lineRule="auto"/>
        <w:ind w:left="360"/>
        <w:rPr>
          <w:b/>
        </w:rPr>
      </w:pPr>
      <w:r>
        <w:rPr>
          <w:b/>
        </w:rPr>
        <w:t>Approach</w:t>
      </w:r>
    </w:p>
    <w:p w:rsidR="00DC689E" w:rsidRDefault="00587797" w:rsidP="00761420">
      <w:pPr>
        <w:pStyle w:val="ColorfulList-Accent11"/>
        <w:numPr>
          <w:ilvl w:val="0"/>
          <w:numId w:val="4"/>
        </w:numPr>
        <w:tabs>
          <w:tab w:val="left" w:pos="0"/>
        </w:tabs>
        <w:spacing w:before="120" w:after="120" w:line="240" w:lineRule="auto"/>
        <w:ind w:left="432" w:hanging="432"/>
        <w:contextualSpacing w:val="0"/>
        <w:jc w:val="both"/>
        <w:rPr>
          <w:rFonts w:asciiTheme="minorHAnsi" w:hAnsiTheme="minorHAnsi"/>
          <w:sz w:val="20"/>
          <w:szCs w:val="20"/>
        </w:rPr>
      </w:pPr>
      <w:r w:rsidRPr="001D0ACA">
        <w:rPr>
          <w:rFonts w:asciiTheme="minorHAnsi" w:hAnsiTheme="minorHAnsi"/>
          <w:sz w:val="20"/>
          <w:szCs w:val="20"/>
        </w:rPr>
        <w:t>This annual report is structured to allow Member States to see how UNDP performance and results in 2013 provide a foundation for work under the new Strategic Plan 2014-2017</w:t>
      </w:r>
      <w:r w:rsidR="002D604D">
        <w:rPr>
          <w:rFonts w:asciiTheme="minorHAnsi" w:hAnsiTheme="minorHAnsi"/>
          <w:sz w:val="20"/>
          <w:szCs w:val="20"/>
        </w:rPr>
        <w:t xml:space="preserve">, as </w:t>
      </w:r>
      <w:r w:rsidR="00CB3C38">
        <w:rPr>
          <w:rFonts w:asciiTheme="minorHAnsi" w:hAnsiTheme="minorHAnsi"/>
          <w:sz w:val="20"/>
          <w:szCs w:val="20"/>
        </w:rPr>
        <w:t>proposed to member states in 2013/2014 Executive Board informals</w:t>
      </w:r>
      <w:r w:rsidRPr="001D0ACA">
        <w:rPr>
          <w:rFonts w:asciiTheme="minorHAnsi" w:hAnsiTheme="minorHAnsi"/>
          <w:sz w:val="20"/>
          <w:szCs w:val="20"/>
        </w:rPr>
        <w:t xml:space="preserve">. </w:t>
      </w:r>
      <w:r w:rsidR="003D47D4">
        <w:rPr>
          <w:rFonts w:asciiTheme="minorHAnsi" w:hAnsiTheme="minorHAnsi"/>
          <w:sz w:val="20"/>
          <w:szCs w:val="20"/>
        </w:rPr>
        <w:t xml:space="preserve">This aims to </w:t>
      </w:r>
      <w:r w:rsidR="00856635">
        <w:rPr>
          <w:rFonts w:asciiTheme="minorHAnsi" w:hAnsiTheme="minorHAnsi"/>
          <w:sz w:val="20"/>
          <w:szCs w:val="20"/>
        </w:rPr>
        <w:t xml:space="preserve">connect the </w:t>
      </w:r>
      <w:r w:rsidR="00191B75">
        <w:rPr>
          <w:rFonts w:asciiTheme="minorHAnsi" w:hAnsiTheme="minorHAnsi"/>
          <w:sz w:val="20"/>
          <w:szCs w:val="20"/>
        </w:rPr>
        <w:t>results</w:t>
      </w:r>
      <w:r w:rsidR="00856635">
        <w:rPr>
          <w:rFonts w:asciiTheme="minorHAnsi" w:hAnsiTheme="minorHAnsi"/>
          <w:sz w:val="20"/>
          <w:szCs w:val="20"/>
        </w:rPr>
        <w:t xml:space="preserve"> of the last year of the old Strategic Plan</w:t>
      </w:r>
      <w:r w:rsidR="00191B75">
        <w:rPr>
          <w:rFonts w:asciiTheme="minorHAnsi" w:hAnsiTheme="minorHAnsi"/>
          <w:sz w:val="20"/>
          <w:szCs w:val="20"/>
        </w:rPr>
        <w:t xml:space="preserve"> with the first year of the new one.  </w:t>
      </w:r>
      <w:r w:rsidR="00856635">
        <w:rPr>
          <w:rFonts w:asciiTheme="minorHAnsi" w:hAnsiTheme="minorHAnsi"/>
          <w:sz w:val="20"/>
          <w:szCs w:val="20"/>
        </w:rPr>
        <w:t xml:space="preserve"> </w:t>
      </w:r>
      <w:r w:rsidR="001E35F7" w:rsidRPr="001D0ACA">
        <w:rPr>
          <w:rFonts w:asciiTheme="minorHAnsi" w:hAnsiTheme="minorHAnsi"/>
          <w:sz w:val="20"/>
          <w:szCs w:val="20"/>
        </w:rPr>
        <w:t xml:space="preserve">UNDP’s </w:t>
      </w:r>
      <w:r w:rsidR="006B734F">
        <w:rPr>
          <w:rFonts w:asciiTheme="minorHAnsi" w:hAnsiTheme="minorHAnsi"/>
          <w:sz w:val="20"/>
          <w:szCs w:val="20"/>
        </w:rPr>
        <w:t>r</w:t>
      </w:r>
      <w:r w:rsidR="00761420" w:rsidRPr="001D0ACA">
        <w:rPr>
          <w:rFonts w:asciiTheme="minorHAnsi" w:hAnsiTheme="minorHAnsi"/>
          <w:sz w:val="20"/>
          <w:szCs w:val="20"/>
        </w:rPr>
        <w:t xml:space="preserve">esults </w:t>
      </w:r>
      <w:r w:rsidR="001D0ACA">
        <w:rPr>
          <w:rFonts w:asciiTheme="minorHAnsi" w:hAnsiTheme="minorHAnsi"/>
          <w:sz w:val="20"/>
          <w:szCs w:val="20"/>
        </w:rPr>
        <w:t>are</w:t>
      </w:r>
      <w:r w:rsidR="00761420" w:rsidRPr="001D0ACA">
        <w:rPr>
          <w:rFonts w:asciiTheme="minorHAnsi" w:hAnsiTheme="minorHAnsi"/>
          <w:sz w:val="20"/>
          <w:szCs w:val="20"/>
        </w:rPr>
        <w:t xml:space="preserve"> presented through the lens of the three areas of work</w:t>
      </w:r>
      <w:r w:rsidR="001D0ACA">
        <w:rPr>
          <w:rFonts w:asciiTheme="minorHAnsi" w:hAnsiTheme="minorHAnsi"/>
          <w:sz w:val="20"/>
          <w:szCs w:val="20"/>
        </w:rPr>
        <w:t>:</w:t>
      </w:r>
      <w:r w:rsidR="00761420" w:rsidRPr="001D0ACA">
        <w:rPr>
          <w:rFonts w:asciiTheme="minorHAnsi" w:hAnsiTheme="minorHAnsi"/>
          <w:sz w:val="20"/>
          <w:szCs w:val="20"/>
        </w:rPr>
        <w:t xml:space="preserve"> sustainable development pathways, inclusive and effective democratic governance, and resilience building.  </w:t>
      </w:r>
      <w:r w:rsidR="002D604D" w:rsidRPr="00371C7D">
        <w:rPr>
          <w:rFonts w:asciiTheme="minorHAnsi" w:hAnsiTheme="minorHAnsi"/>
          <w:sz w:val="20"/>
          <w:szCs w:val="20"/>
        </w:rPr>
        <w:t>A country programme outcome was assigned as having contributed to a Str</w:t>
      </w:r>
      <w:r w:rsidR="002D604D">
        <w:rPr>
          <w:rFonts w:asciiTheme="minorHAnsi" w:hAnsiTheme="minorHAnsi"/>
          <w:sz w:val="20"/>
          <w:szCs w:val="20"/>
        </w:rPr>
        <w:t xml:space="preserve">ategic Plan thematic area - </w:t>
      </w:r>
      <w:r w:rsidR="002D604D" w:rsidRPr="00371C7D">
        <w:rPr>
          <w:rFonts w:asciiTheme="minorHAnsi" w:hAnsiTheme="minorHAnsi"/>
          <w:sz w:val="20"/>
          <w:szCs w:val="20"/>
        </w:rPr>
        <w:t xml:space="preserve">jobs and livelihoods, </w:t>
      </w:r>
      <w:r w:rsidR="002D604D">
        <w:rPr>
          <w:rFonts w:asciiTheme="minorHAnsi" w:hAnsiTheme="minorHAnsi"/>
          <w:sz w:val="20"/>
          <w:szCs w:val="20"/>
        </w:rPr>
        <w:t xml:space="preserve">natural resource management and so forth - </w:t>
      </w:r>
      <w:r w:rsidR="002D604D" w:rsidRPr="00371C7D">
        <w:rPr>
          <w:rFonts w:asciiTheme="minorHAnsi" w:hAnsiTheme="minorHAnsi"/>
          <w:sz w:val="20"/>
          <w:szCs w:val="20"/>
        </w:rPr>
        <w:t>on the basis of content analysis (a qualitative research technique for the objective, systematic, and quantitative des</w:t>
      </w:r>
      <w:r w:rsidR="002D604D">
        <w:rPr>
          <w:rFonts w:asciiTheme="minorHAnsi" w:hAnsiTheme="minorHAnsi"/>
          <w:sz w:val="20"/>
          <w:szCs w:val="20"/>
        </w:rPr>
        <w:t>cription of content) of the narratives of the Country Office annual results reports</w:t>
      </w:r>
      <w:r w:rsidR="002D604D" w:rsidRPr="00371C7D">
        <w:rPr>
          <w:rFonts w:asciiTheme="minorHAnsi" w:hAnsiTheme="minorHAnsi"/>
          <w:sz w:val="20"/>
          <w:szCs w:val="20"/>
        </w:rPr>
        <w:t xml:space="preserve"> </w:t>
      </w:r>
      <w:r w:rsidR="002D604D">
        <w:rPr>
          <w:rFonts w:asciiTheme="minorHAnsi" w:hAnsiTheme="minorHAnsi"/>
          <w:sz w:val="20"/>
          <w:szCs w:val="20"/>
        </w:rPr>
        <w:t>that describe</w:t>
      </w:r>
      <w:r w:rsidR="002D604D" w:rsidRPr="00371C7D">
        <w:rPr>
          <w:rFonts w:asciiTheme="minorHAnsi" w:hAnsiTheme="minorHAnsi"/>
          <w:sz w:val="20"/>
          <w:szCs w:val="20"/>
        </w:rPr>
        <w:t xml:space="preserve"> interventions undertaken in the year under that outcome, and respective results. Of the 826 country </w:t>
      </w:r>
      <w:r w:rsidR="00A252A7">
        <w:rPr>
          <w:rFonts w:asciiTheme="minorHAnsi" w:hAnsiTheme="minorHAnsi"/>
          <w:sz w:val="20"/>
          <w:szCs w:val="20"/>
        </w:rPr>
        <w:t xml:space="preserve">level </w:t>
      </w:r>
      <w:r w:rsidR="002D604D" w:rsidRPr="00371C7D">
        <w:rPr>
          <w:rFonts w:asciiTheme="minorHAnsi" w:hAnsiTheme="minorHAnsi"/>
          <w:sz w:val="20"/>
          <w:szCs w:val="20"/>
        </w:rPr>
        <w:t xml:space="preserve">outcomes </w:t>
      </w:r>
      <w:r w:rsidR="00CB3C38">
        <w:rPr>
          <w:rFonts w:asciiTheme="minorHAnsi" w:hAnsiTheme="minorHAnsi"/>
          <w:sz w:val="20"/>
          <w:szCs w:val="20"/>
        </w:rPr>
        <w:t xml:space="preserve">reported as </w:t>
      </w:r>
      <w:r w:rsidR="002D604D" w:rsidRPr="00371C7D">
        <w:rPr>
          <w:rFonts w:asciiTheme="minorHAnsi" w:hAnsiTheme="minorHAnsi"/>
          <w:sz w:val="20"/>
          <w:szCs w:val="20"/>
        </w:rPr>
        <w:t>active in 2013, 12 could not be assigned to a particular thematic area o</w:t>
      </w:r>
      <w:r w:rsidR="002D604D">
        <w:rPr>
          <w:rFonts w:asciiTheme="minorHAnsi" w:hAnsiTheme="minorHAnsi"/>
          <w:sz w:val="20"/>
          <w:szCs w:val="20"/>
        </w:rPr>
        <w:t>f the Strategic Plan as there was</w:t>
      </w:r>
      <w:r w:rsidR="002D604D" w:rsidRPr="00371C7D">
        <w:rPr>
          <w:rFonts w:asciiTheme="minorHAnsi" w:hAnsiTheme="minorHAnsi"/>
          <w:sz w:val="20"/>
          <w:szCs w:val="20"/>
        </w:rPr>
        <w:t xml:space="preserve"> insufficient content descripti</w:t>
      </w:r>
      <w:r w:rsidR="002D604D">
        <w:rPr>
          <w:rFonts w:asciiTheme="minorHAnsi" w:hAnsiTheme="minorHAnsi"/>
          <w:sz w:val="20"/>
          <w:szCs w:val="20"/>
        </w:rPr>
        <w:t xml:space="preserve">on. </w:t>
      </w:r>
      <w:r w:rsidR="002D604D" w:rsidRPr="00371C7D">
        <w:rPr>
          <w:rFonts w:asciiTheme="minorHAnsi" w:hAnsiTheme="minorHAnsi"/>
          <w:sz w:val="20"/>
          <w:szCs w:val="20"/>
        </w:rPr>
        <w:t xml:space="preserve"> Altogether, these 12 outco</w:t>
      </w:r>
      <w:r w:rsidR="001556B7">
        <w:rPr>
          <w:rFonts w:asciiTheme="minorHAnsi" w:hAnsiTheme="minorHAnsi"/>
          <w:sz w:val="20"/>
          <w:szCs w:val="20"/>
        </w:rPr>
        <w:t>mes amounted to $8.4m</w:t>
      </w:r>
      <w:r w:rsidR="002D604D" w:rsidRPr="00371C7D">
        <w:rPr>
          <w:rFonts w:asciiTheme="minorHAnsi" w:hAnsiTheme="minorHAnsi"/>
          <w:sz w:val="20"/>
          <w:szCs w:val="20"/>
        </w:rPr>
        <w:t xml:space="preserve"> in country programme expenditures.</w:t>
      </w:r>
      <w:r w:rsidR="00A252A7">
        <w:rPr>
          <w:rFonts w:asciiTheme="minorHAnsi" w:hAnsiTheme="minorHAnsi"/>
          <w:sz w:val="20"/>
          <w:szCs w:val="20"/>
        </w:rPr>
        <w:t xml:space="preserve">  </w:t>
      </w:r>
    </w:p>
    <w:p w:rsidR="00CE0F14" w:rsidRPr="001556B7" w:rsidRDefault="00934F70" w:rsidP="001556B7">
      <w:pPr>
        <w:pStyle w:val="ColorfulList-Accent11"/>
        <w:numPr>
          <w:ilvl w:val="0"/>
          <w:numId w:val="4"/>
        </w:numPr>
        <w:tabs>
          <w:tab w:val="left" w:pos="0"/>
        </w:tabs>
        <w:spacing w:before="120" w:after="120" w:line="240" w:lineRule="auto"/>
        <w:ind w:left="432" w:hanging="432"/>
        <w:contextualSpacing w:val="0"/>
        <w:jc w:val="both"/>
        <w:rPr>
          <w:rFonts w:asciiTheme="minorHAnsi" w:hAnsiTheme="minorHAnsi"/>
          <w:sz w:val="20"/>
          <w:szCs w:val="20"/>
        </w:rPr>
      </w:pPr>
      <w:r>
        <w:rPr>
          <w:rFonts w:asciiTheme="minorHAnsi" w:hAnsiTheme="minorHAnsi"/>
          <w:sz w:val="20"/>
          <w:szCs w:val="20"/>
        </w:rPr>
        <w:t xml:space="preserve">When </w:t>
      </w:r>
      <w:r w:rsidR="003D47D4">
        <w:rPr>
          <w:rFonts w:asciiTheme="minorHAnsi" w:hAnsiTheme="minorHAnsi"/>
          <w:sz w:val="20"/>
          <w:szCs w:val="20"/>
        </w:rPr>
        <w:t>active</w:t>
      </w:r>
      <w:r>
        <w:rPr>
          <w:rFonts w:asciiTheme="minorHAnsi" w:hAnsiTheme="minorHAnsi"/>
          <w:sz w:val="20"/>
          <w:szCs w:val="20"/>
        </w:rPr>
        <w:t xml:space="preserve"> country programme outcomes mapped to more than one theme, expenditures </w:t>
      </w:r>
      <w:r w:rsidR="001556B7">
        <w:rPr>
          <w:rFonts w:asciiTheme="minorHAnsi" w:hAnsiTheme="minorHAnsi"/>
          <w:sz w:val="20"/>
          <w:szCs w:val="20"/>
        </w:rPr>
        <w:t>were</w:t>
      </w:r>
      <w:r>
        <w:rPr>
          <w:rFonts w:asciiTheme="minorHAnsi" w:hAnsiTheme="minorHAnsi"/>
          <w:sz w:val="20"/>
          <w:szCs w:val="20"/>
        </w:rPr>
        <w:t xml:space="preserve"> apportioned accordingly.  In addition, themes overlap across areas of work, highlighting the integrated and collaborative nature of UNDP contributions, which cannot be easily compartmentalized</w:t>
      </w:r>
      <w:r w:rsidR="00CE0F14">
        <w:rPr>
          <w:rFonts w:asciiTheme="minorHAnsi" w:hAnsiTheme="minorHAnsi"/>
          <w:sz w:val="20"/>
          <w:szCs w:val="20"/>
        </w:rPr>
        <w:t xml:space="preserve">. </w:t>
      </w:r>
    </w:p>
    <w:p w:rsidR="00F81813" w:rsidRDefault="006450B7" w:rsidP="00DF0C11">
      <w:pPr>
        <w:pStyle w:val="ColorfulList-Accent11"/>
        <w:numPr>
          <w:ilvl w:val="0"/>
          <w:numId w:val="4"/>
        </w:numPr>
        <w:tabs>
          <w:tab w:val="left" w:pos="0"/>
        </w:tabs>
        <w:spacing w:before="120" w:after="120" w:line="240" w:lineRule="auto"/>
        <w:ind w:left="432" w:hanging="432"/>
        <w:contextualSpacing w:val="0"/>
        <w:jc w:val="both"/>
        <w:rPr>
          <w:rFonts w:asciiTheme="minorHAnsi" w:hAnsiTheme="minorHAnsi"/>
          <w:sz w:val="20"/>
          <w:szCs w:val="20"/>
        </w:rPr>
      </w:pPr>
      <w:r>
        <w:rPr>
          <w:rFonts w:asciiTheme="minorHAnsi" w:hAnsiTheme="minorHAnsi"/>
          <w:sz w:val="20"/>
          <w:szCs w:val="20"/>
        </w:rPr>
        <w:t xml:space="preserve">To remain current with peer practice, UNDP </w:t>
      </w:r>
      <w:r w:rsidR="001D0ACA">
        <w:rPr>
          <w:rFonts w:asciiTheme="minorHAnsi" w:hAnsiTheme="minorHAnsi"/>
          <w:sz w:val="20"/>
          <w:szCs w:val="20"/>
        </w:rPr>
        <w:t xml:space="preserve">for the first time </w:t>
      </w:r>
      <w:r>
        <w:rPr>
          <w:rFonts w:asciiTheme="minorHAnsi" w:hAnsiTheme="minorHAnsi"/>
          <w:sz w:val="20"/>
          <w:szCs w:val="20"/>
        </w:rPr>
        <w:t xml:space="preserve">introduces </w:t>
      </w:r>
      <w:r w:rsidR="001D0ACA">
        <w:rPr>
          <w:rFonts w:asciiTheme="minorHAnsi" w:hAnsiTheme="minorHAnsi"/>
          <w:sz w:val="20"/>
          <w:szCs w:val="20"/>
        </w:rPr>
        <w:t>a two-</w:t>
      </w:r>
      <w:r w:rsidR="00761420" w:rsidRPr="001D0ACA">
        <w:rPr>
          <w:rFonts w:asciiTheme="minorHAnsi" w:hAnsiTheme="minorHAnsi"/>
          <w:sz w:val="20"/>
          <w:szCs w:val="20"/>
        </w:rPr>
        <w:t xml:space="preserve">page </w:t>
      </w:r>
      <w:r w:rsidR="00761420" w:rsidRPr="006450B7">
        <w:rPr>
          <w:rFonts w:asciiTheme="minorHAnsi" w:hAnsiTheme="minorHAnsi"/>
          <w:i/>
          <w:sz w:val="20"/>
          <w:szCs w:val="20"/>
        </w:rPr>
        <w:t>report card</w:t>
      </w:r>
      <w:r w:rsidR="00761420" w:rsidRPr="001D0ACA">
        <w:rPr>
          <w:rFonts w:asciiTheme="minorHAnsi" w:hAnsiTheme="minorHAnsi"/>
          <w:sz w:val="20"/>
          <w:szCs w:val="20"/>
        </w:rPr>
        <w:t xml:space="preserve"> in</w:t>
      </w:r>
      <w:r>
        <w:rPr>
          <w:rFonts w:asciiTheme="minorHAnsi" w:hAnsiTheme="minorHAnsi"/>
          <w:sz w:val="20"/>
          <w:szCs w:val="20"/>
        </w:rPr>
        <w:t xml:space="preserve"> the report that presents</w:t>
      </w:r>
      <w:r w:rsidR="00761420" w:rsidRPr="001D0ACA">
        <w:rPr>
          <w:rFonts w:asciiTheme="minorHAnsi" w:hAnsiTheme="minorHAnsi"/>
          <w:sz w:val="20"/>
          <w:szCs w:val="20"/>
        </w:rPr>
        <w:t xml:space="preserve"> quanti</w:t>
      </w:r>
      <w:r>
        <w:rPr>
          <w:rFonts w:asciiTheme="minorHAnsi" w:hAnsiTheme="minorHAnsi"/>
          <w:sz w:val="20"/>
          <w:szCs w:val="20"/>
        </w:rPr>
        <w:t>fiable</w:t>
      </w:r>
      <w:r w:rsidR="00761420" w:rsidRPr="001D0ACA">
        <w:rPr>
          <w:rFonts w:asciiTheme="minorHAnsi" w:hAnsiTheme="minorHAnsi"/>
          <w:sz w:val="20"/>
          <w:szCs w:val="20"/>
        </w:rPr>
        <w:t xml:space="preserve"> </w:t>
      </w:r>
      <w:r w:rsidR="000C7E24">
        <w:rPr>
          <w:rFonts w:asciiTheme="minorHAnsi" w:hAnsiTheme="minorHAnsi"/>
          <w:sz w:val="20"/>
          <w:szCs w:val="20"/>
        </w:rPr>
        <w:t>achievement</w:t>
      </w:r>
      <w:r w:rsidR="00761420" w:rsidRPr="001D0ACA">
        <w:rPr>
          <w:rFonts w:asciiTheme="minorHAnsi" w:hAnsiTheme="minorHAnsi"/>
          <w:sz w:val="20"/>
          <w:szCs w:val="20"/>
        </w:rPr>
        <w:t>s in major themes</w:t>
      </w:r>
      <w:r w:rsidR="000C7E24">
        <w:rPr>
          <w:rFonts w:asciiTheme="minorHAnsi" w:hAnsiTheme="minorHAnsi"/>
          <w:sz w:val="20"/>
          <w:szCs w:val="20"/>
        </w:rPr>
        <w:t xml:space="preserve"> related to</w:t>
      </w:r>
      <w:r w:rsidR="00761420" w:rsidRPr="001D0ACA">
        <w:rPr>
          <w:rFonts w:asciiTheme="minorHAnsi" w:hAnsiTheme="minorHAnsi"/>
          <w:sz w:val="20"/>
          <w:szCs w:val="20"/>
        </w:rPr>
        <w:t xml:space="preserve"> development results, institutional results</w:t>
      </w:r>
      <w:r w:rsidR="001D0ACA">
        <w:rPr>
          <w:rFonts w:asciiTheme="minorHAnsi" w:hAnsiTheme="minorHAnsi"/>
          <w:sz w:val="20"/>
          <w:szCs w:val="20"/>
        </w:rPr>
        <w:t>,</w:t>
      </w:r>
      <w:r w:rsidR="004B54F7">
        <w:rPr>
          <w:rFonts w:asciiTheme="minorHAnsi" w:hAnsiTheme="minorHAnsi"/>
          <w:sz w:val="20"/>
          <w:szCs w:val="20"/>
        </w:rPr>
        <w:t xml:space="preserve"> and areas for improvement. Report </w:t>
      </w:r>
      <w:r w:rsidR="00FA78A6">
        <w:rPr>
          <w:rFonts w:asciiTheme="minorHAnsi" w:hAnsiTheme="minorHAnsi"/>
          <w:sz w:val="20"/>
          <w:szCs w:val="20"/>
        </w:rPr>
        <w:t xml:space="preserve">card themes represent areas of </w:t>
      </w:r>
      <w:r w:rsidR="004B54F7">
        <w:rPr>
          <w:rFonts w:asciiTheme="minorHAnsi" w:hAnsiTheme="minorHAnsi"/>
          <w:sz w:val="20"/>
          <w:szCs w:val="20"/>
        </w:rPr>
        <w:t>UNDP delivery from the old strategic plan that map to outcome areas in the new strategic plan</w:t>
      </w:r>
      <w:r w:rsidR="000C7E24">
        <w:rPr>
          <w:rFonts w:asciiTheme="minorHAnsi" w:hAnsiTheme="minorHAnsi"/>
          <w:sz w:val="20"/>
          <w:szCs w:val="20"/>
        </w:rPr>
        <w:t xml:space="preserve"> (see above)</w:t>
      </w:r>
      <w:r w:rsidR="004B54F7">
        <w:rPr>
          <w:rFonts w:asciiTheme="minorHAnsi" w:hAnsiTheme="minorHAnsi"/>
          <w:sz w:val="20"/>
          <w:szCs w:val="20"/>
        </w:rPr>
        <w:t xml:space="preserve">. </w:t>
      </w:r>
      <w:r w:rsidR="00761420" w:rsidRPr="001D0ACA">
        <w:rPr>
          <w:rFonts w:asciiTheme="minorHAnsi" w:hAnsiTheme="minorHAnsi"/>
          <w:sz w:val="20"/>
          <w:szCs w:val="20"/>
        </w:rPr>
        <w:t xml:space="preserve">The aim is to provide Board members with a short “at a glance” summary of performance and results. The report card presents the expenditure associated with each area as a percentage of the total in 2013 and the progress rates by the end of 2013 based on national outcome indicators in </w:t>
      </w:r>
      <w:r w:rsidR="001D0ACA">
        <w:rPr>
          <w:rFonts w:asciiTheme="minorHAnsi" w:hAnsiTheme="minorHAnsi"/>
          <w:sz w:val="20"/>
          <w:szCs w:val="20"/>
        </w:rPr>
        <w:t>country programme document</w:t>
      </w:r>
      <w:r w:rsidR="00761420" w:rsidRPr="001D0ACA">
        <w:rPr>
          <w:rFonts w:asciiTheme="minorHAnsi" w:hAnsiTheme="minorHAnsi"/>
          <w:sz w:val="20"/>
          <w:szCs w:val="20"/>
        </w:rPr>
        <w:t xml:space="preserve"> results frameworks. </w:t>
      </w:r>
      <w:r w:rsidR="000C7E24">
        <w:rPr>
          <w:rFonts w:asciiTheme="minorHAnsi" w:hAnsiTheme="minorHAnsi"/>
          <w:sz w:val="20"/>
          <w:szCs w:val="20"/>
        </w:rPr>
        <w:t xml:space="preserve">  In the future, the report card will include </w:t>
      </w:r>
      <w:r w:rsidR="00080F1D">
        <w:rPr>
          <w:rFonts w:asciiTheme="minorHAnsi" w:hAnsiTheme="minorHAnsi"/>
          <w:sz w:val="20"/>
          <w:szCs w:val="20"/>
        </w:rPr>
        <w:t xml:space="preserve">a “scorecard” component </w:t>
      </w:r>
      <w:r w:rsidR="0076391C">
        <w:rPr>
          <w:rFonts w:asciiTheme="minorHAnsi" w:hAnsiTheme="minorHAnsi"/>
          <w:sz w:val="20"/>
          <w:szCs w:val="20"/>
        </w:rPr>
        <w:t xml:space="preserve">using the milestones and targets </w:t>
      </w:r>
      <w:r w:rsidR="00B56235">
        <w:rPr>
          <w:rFonts w:asciiTheme="minorHAnsi" w:hAnsiTheme="minorHAnsi"/>
          <w:sz w:val="20"/>
          <w:szCs w:val="20"/>
        </w:rPr>
        <w:t>set for each indicator in the new SP/IRRF.</w:t>
      </w:r>
    </w:p>
    <w:p w:rsidR="00F8596C" w:rsidRDefault="00F81813" w:rsidP="00DF0C11">
      <w:pPr>
        <w:pStyle w:val="ColorfulList-Accent11"/>
        <w:numPr>
          <w:ilvl w:val="0"/>
          <w:numId w:val="4"/>
        </w:numPr>
        <w:tabs>
          <w:tab w:val="left" w:pos="0"/>
        </w:tabs>
        <w:spacing w:before="120" w:after="120" w:line="240" w:lineRule="auto"/>
        <w:ind w:left="432" w:hanging="432"/>
        <w:contextualSpacing w:val="0"/>
        <w:jc w:val="both"/>
        <w:rPr>
          <w:rFonts w:asciiTheme="minorHAnsi" w:hAnsiTheme="minorHAnsi"/>
          <w:sz w:val="20"/>
          <w:szCs w:val="20"/>
        </w:rPr>
      </w:pPr>
      <w:r>
        <w:rPr>
          <w:rFonts w:asciiTheme="minorHAnsi" w:hAnsiTheme="minorHAnsi"/>
          <w:sz w:val="20"/>
          <w:szCs w:val="20"/>
        </w:rPr>
        <w:t xml:space="preserve">Progress rate is reported through the </w:t>
      </w:r>
      <w:r>
        <w:rPr>
          <w:rFonts w:asciiTheme="minorHAnsi" w:hAnsiTheme="minorHAnsi"/>
          <w:b/>
          <w:sz w:val="20"/>
          <w:szCs w:val="20"/>
        </w:rPr>
        <w:t>Progress In</w:t>
      </w:r>
      <w:r w:rsidRPr="00F81813">
        <w:rPr>
          <w:rFonts w:asciiTheme="minorHAnsi" w:hAnsiTheme="minorHAnsi"/>
          <w:b/>
          <w:sz w:val="20"/>
          <w:szCs w:val="20"/>
        </w:rPr>
        <w:t>dex</w:t>
      </w:r>
      <w:r>
        <w:rPr>
          <w:rFonts w:asciiTheme="minorHAnsi" w:hAnsiTheme="minorHAnsi"/>
          <w:sz w:val="20"/>
          <w:szCs w:val="20"/>
        </w:rPr>
        <w:t xml:space="preserve">, providing </w:t>
      </w:r>
      <w:r w:rsidRPr="00800F38">
        <w:rPr>
          <w:rFonts w:asciiTheme="minorHAnsi" w:hAnsiTheme="minorHAnsi"/>
          <w:sz w:val="20"/>
          <w:szCs w:val="20"/>
        </w:rPr>
        <w:t xml:space="preserve">a measure of </w:t>
      </w:r>
      <w:r>
        <w:rPr>
          <w:rFonts w:asciiTheme="minorHAnsi" w:hAnsiTheme="minorHAnsi"/>
          <w:sz w:val="20"/>
          <w:szCs w:val="20"/>
        </w:rPr>
        <w:t xml:space="preserve">results </w:t>
      </w:r>
      <w:r w:rsidRPr="00800F38">
        <w:rPr>
          <w:rFonts w:asciiTheme="minorHAnsi" w:hAnsiTheme="minorHAnsi"/>
          <w:sz w:val="20"/>
          <w:szCs w:val="20"/>
        </w:rPr>
        <w:t>performance based on national outcome indicators in Country Program</w:t>
      </w:r>
      <w:r>
        <w:rPr>
          <w:rFonts w:asciiTheme="minorHAnsi" w:hAnsiTheme="minorHAnsi"/>
          <w:sz w:val="20"/>
          <w:szCs w:val="20"/>
        </w:rPr>
        <w:t>me Document results frameworks</w:t>
      </w:r>
      <w:r w:rsidRPr="00800F38">
        <w:rPr>
          <w:rFonts w:asciiTheme="minorHAnsi" w:hAnsiTheme="minorHAnsi"/>
          <w:sz w:val="20"/>
          <w:szCs w:val="20"/>
        </w:rPr>
        <w:t xml:space="preserve">. </w:t>
      </w:r>
      <w:r>
        <w:rPr>
          <w:rFonts w:asciiTheme="minorHAnsi" w:hAnsiTheme="minorHAnsi"/>
          <w:sz w:val="20"/>
          <w:szCs w:val="20"/>
        </w:rPr>
        <w:t>To calculate the Progress I</w:t>
      </w:r>
      <w:r w:rsidRPr="00800F38">
        <w:rPr>
          <w:rFonts w:asciiTheme="minorHAnsi" w:hAnsiTheme="minorHAnsi"/>
          <w:sz w:val="20"/>
          <w:szCs w:val="20"/>
        </w:rPr>
        <w:t>ndex, target values for country programme indicators are set to signify 0% in 2008 (or at the beginning of the country programme if it starts later</w:t>
      </w:r>
      <w:r>
        <w:rPr>
          <w:rFonts w:asciiTheme="minorHAnsi" w:hAnsiTheme="minorHAnsi"/>
          <w:sz w:val="20"/>
          <w:szCs w:val="20"/>
        </w:rPr>
        <w:t xml:space="preserve"> than 2008), 100% at the end of 2013, with </w:t>
      </w:r>
      <w:r w:rsidRPr="00800F38">
        <w:rPr>
          <w:rFonts w:asciiTheme="minorHAnsi" w:hAnsiTheme="minorHAnsi"/>
          <w:sz w:val="20"/>
          <w:szCs w:val="20"/>
        </w:rPr>
        <w:t xml:space="preserve">annual </w:t>
      </w:r>
      <w:r>
        <w:rPr>
          <w:rFonts w:asciiTheme="minorHAnsi" w:hAnsiTheme="minorHAnsi"/>
          <w:sz w:val="20"/>
          <w:szCs w:val="20"/>
        </w:rPr>
        <w:t>targets</w:t>
      </w:r>
      <w:r w:rsidRPr="00800F38">
        <w:rPr>
          <w:rFonts w:asciiTheme="minorHAnsi" w:hAnsiTheme="minorHAnsi"/>
          <w:sz w:val="20"/>
          <w:szCs w:val="20"/>
        </w:rPr>
        <w:t xml:space="preserve"> set to signify the percentage of the target already accomplished. Depending on the s</w:t>
      </w:r>
      <w:r>
        <w:rPr>
          <w:rFonts w:asciiTheme="minorHAnsi" w:hAnsiTheme="minorHAnsi"/>
          <w:sz w:val="20"/>
          <w:szCs w:val="20"/>
        </w:rPr>
        <w:t>et of indicators involved, the Progress I</w:t>
      </w:r>
      <w:r w:rsidRPr="00800F38">
        <w:rPr>
          <w:rFonts w:asciiTheme="minorHAnsi" w:hAnsiTheme="minorHAnsi"/>
          <w:sz w:val="20"/>
          <w:szCs w:val="20"/>
        </w:rPr>
        <w:t xml:space="preserve">ndex </w:t>
      </w:r>
      <w:r w:rsidR="00B56235">
        <w:rPr>
          <w:rFonts w:asciiTheme="minorHAnsi" w:hAnsiTheme="minorHAnsi"/>
          <w:sz w:val="20"/>
          <w:szCs w:val="20"/>
        </w:rPr>
        <w:t>can</w:t>
      </w:r>
      <w:r w:rsidRPr="00800F38">
        <w:rPr>
          <w:rFonts w:asciiTheme="minorHAnsi" w:hAnsiTheme="minorHAnsi"/>
          <w:sz w:val="20"/>
          <w:szCs w:val="20"/>
        </w:rPr>
        <w:t xml:space="preserve"> measure progress in </w:t>
      </w:r>
      <w:r w:rsidR="00CF25DF">
        <w:rPr>
          <w:rFonts w:asciiTheme="minorHAnsi" w:hAnsiTheme="minorHAnsi"/>
          <w:sz w:val="20"/>
          <w:szCs w:val="20"/>
        </w:rPr>
        <w:t>each of the four</w:t>
      </w:r>
      <w:r w:rsidRPr="00800F38">
        <w:rPr>
          <w:rFonts w:asciiTheme="minorHAnsi" w:hAnsiTheme="minorHAnsi"/>
          <w:sz w:val="20"/>
          <w:szCs w:val="20"/>
        </w:rPr>
        <w:t xml:space="preserve"> output dimensions </w:t>
      </w:r>
      <w:r w:rsidR="00CF25DF">
        <w:rPr>
          <w:rFonts w:asciiTheme="minorHAnsi" w:hAnsiTheme="minorHAnsi"/>
          <w:sz w:val="20"/>
          <w:szCs w:val="20"/>
        </w:rPr>
        <w:t>in the SP results matrix</w:t>
      </w:r>
      <w:r w:rsidRPr="00800F38">
        <w:rPr>
          <w:rFonts w:asciiTheme="minorHAnsi" w:hAnsiTheme="minorHAnsi"/>
          <w:sz w:val="20"/>
          <w:szCs w:val="20"/>
        </w:rPr>
        <w:t>, focus areas, corporate outcome</w:t>
      </w:r>
      <w:r>
        <w:rPr>
          <w:rFonts w:asciiTheme="minorHAnsi" w:hAnsiTheme="minorHAnsi"/>
          <w:sz w:val="20"/>
          <w:szCs w:val="20"/>
        </w:rPr>
        <w:t>s</w:t>
      </w:r>
      <w:r w:rsidR="00B56235">
        <w:rPr>
          <w:rFonts w:asciiTheme="minorHAnsi" w:hAnsiTheme="minorHAnsi"/>
          <w:sz w:val="20"/>
          <w:szCs w:val="20"/>
        </w:rPr>
        <w:t>,</w:t>
      </w:r>
      <w:r>
        <w:rPr>
          <w:rFonts w:asciiTheme="minorHAnsi" w:hAnsiTheme="minorHAnsi"/>
          <w:sz w:val="20"/>
          <w:szCs w:val="20"/>
        </w:rPr>
        <w:t xml:space="preserve"> and regions.  The Progress In</w:t>
      </w:r>
      <w:r w:rsidRPr="00800F38">
        <w:rPr>
          <w:rFonts w:asciiTheme="minorHAnsi" w:hAnsiTheme="minorHAnsi"/>
          <w:sz w:val="20"/>
          <w:szCs w:val="20"/>
        </w:rPr>
        <w:t xml:space="preserve">dex offers a view of corporate performance and results that is independent of country-office self-assessment, and relies </w:t>
      </w:r>
      <w:r>
        <w:rPr>
          <w:rFonts w:asciiTheme="minorHAnsi" w:hAnsiTheme="minorHAnsi"/>
          <w:sz w:val="20"/>
          <w:szCs w:val="20"/>
        </w:rPr>
        <w:t xml:space="preserve">instead </w:t>
      </w:r>
      <w:r w:rsidRPr="00800F38">
        <w:rPr>
          <w:rFonts w:asciiTheme="minorHAnsi" w:hAnsiTheme="minorHAnsi"/>
          <w:sz w:val="20"/>
          <w:szCs w:val="20"/>
        </w:rPr>
        <w:t>on agre</w:t>
      </w:r>
      <w:r>
        <w:rPr>
          <w:rFonts w:asciiTheme="minorHAnsi" w:hAnsiTheme="minorHAnsi"/>
          <w:sz w:val="20"/>
          <w:szCs w:val="20"/>
        </w:rPr>
        <w:t>ed country programme indicators</w:t>
      </w:r>
      <w:r w:rsidRPr="00800F38">
        <w:rPr>
          <w:rFonts w:asciiTheme="minorHAnsi" w:hAnsiTheme="minorHAnsi"/>
          <w:sz w:val="20"/>
          <w:szCs w:val="20"/>
        </w:rPr>
        <w:t>.</w:t>
      </w:r>
    </w:p>
    <w:p w:rsidR="00DF0C11" w:rsidRPr="00F8596C" w:rsidRDefault="00F8596C" w:rsidP="00F8596C">
      <w:pPr>
        <w:pStyle w:val="ColorfulList-Accent11"/>
        <w:numPr>
          <w:ilvl w:val="0"/>
          <w:numId w:val="4"/>
        </w:numPr>
        <w:tabs>
          <w:tab w:val="left" w:pos="0"/>
        </w:tabs>
        <w:spacing w:before="120" w:after="120" w:line="240" w:lineRule="auto"/>
        <w:ind w:left="432" w:hanging="432"/>
        <w:contextualSpacing w:val="0"/>
        <w:jc w:val="both"/>
        <w:rPr>
          <w:rFonts w:asciiTheme="minorHAnsi" w:hAnsiTheme="minorHAnsi"/>
          <w:sz w:val="20"/>
          <w:szCs w:val="20"/>
        </w:rPr>
      </w:pPr>
      <w:r>
        <w:rPr>
          <w:rFonts w:asciiTheme="minorHAnsi" w:hAnsiTheme="minorHAnsi"/>
          <w:sz w:val="20"/>
          <w:szCs w:val="20"/>
        </w:rPr>
        <w:t xml:space="preserve">Evidence for this report was collected from </w:t>
      </w:r>
      <w:r w:rsidR="00BB0F06">
        <w:rPr>
          <w:rFonts w:asciiTheme="minorHAnsi" w:hAnsiTheme="minorHAnsi"/>
          <w:sz w:val="20"/>
          <w:szCs w:val="20"/>
        </w:rPr>
        <w:t xml:space="preserve">a variety of </w:t>
      </w:r>
      <w:r>
        <w:rPr>
          <w:rFonts w:asciiTheme="minorHAnsi" w:hAnsiTheme="minorHAnsi"/>
          <w:sz w:val="20"/>
          <w:szCs w:val="20"/>
        </w:rPr>
        <w:t>sources includ</w:t>
      </w:r>
      <w:r w:rsidR="00BB0F06">
        <w:rPr>
          <w:rFonts w:asciiTheme="minorHAnsi" w:hAnsiTheme="minorHAnsi"/>
          <w:sz w:val="20"/>
          <w:szCs w:val="20"/>
        </w:rPr>
        <w:t>ing the Resul</w:t>
      </w:r>
      <w:r w:rsidR="00A35E78">
        <w:rPr>
          <w:rFonts w:asciiTheme="minorHAnsi" w:hAnsiTheme="minorHAnsi"/>
          <w:sz w:val="20"/>
          <w:szCs w:val="20"/>
        </w:rPr>
        <w:t>ts oriented annual report (ROAR, which includes updates to country-specific outcome indicators in the CPD, as well as self-reporting)</w:t>
      </w:r>
      <w:r w:rsidR="00AB4884">
        <w:rPr>
          <w:rFonts w:asciiTheme="minorHAnsi" w:hAnsiTheme="minorHAnsi"/>
          <w:sz w:val="20"/>
          <w:szCs w:val="20"/>
        </w:rPr>
        <w:t>,</w:t>
      </w:r>
      <w:r w:rsidR="00A35E78">
        <w:rPr>
          <w:rFonts w:asciiTheme="minorHAnsi" w:hAnsiTheme="minorHAnsi"/>
          <w:sz w:val="20"/>
          <w:szCs w:val="20"/>
        </w:rPr>
        <w:t xml:space="preserve"> </w:t>
      </w:r>
      <w:r w:rsidRPr="00C51D29">
        <w:rPr>
          <w:rFonts w:asciiTheme="minorHAnsi" w:hAnsiTheme="minorHAnsi"/>
          <w:sz w:val="20"/>
          <w:szCs w:val="20"/>
        </w:rPr>
        <w:t>financial data</w:t>
      </w:r>
      <w:r>
        <w:rPr>
          <w:rFonts w:asciiTheme="minorHAnsi" w:hAnsiTheme="minorHAnsi"/>
          <w:sz w:val="20"/>
          <w:szCs w:val="20"/>
        </w:rPr>
        <w:t xml:space="preserve"> from 2013</w:t>
      </w:r>
      <w:r w:rsidRPr="00C51D29">
        <w:rPr>
          <w:rFonts w:asciiTheme="minorHAnsi" w:hAnsiTheme="minorHAnsi"/>
          <w:sz w:val="20"/>
          <w:szCs w:val="20"/>
        </w:rPr>
        <w:t xml:space="preserve">, independent </w:t>
      </w:r>
      <w:r w:rsidR="00AB4884">
        <w:rPr>
          <w:rFonts w:asciiTheme="minorHAnsi" w:hAnsiTheme="minorHAnsi"/>
          <w:sz w:val="20"/>
          <w:szCs w:val="20"/>
        </w:rPr>
        <w:t xml:space="preserve">and decentralized </w:t>
      </w:r>
      <w:r w:rsidRPr="00C51D29">
        <w:rPr>
          <w:rFonts w:asciiTheme="minorHAnsi" w:hAnsiTheme="minorHAnsi"/>
          <w:sz w:val="20"/>
          <w:szCs w:val="20"/>
        </w:rPr>
        <w:t xml:space="preserve">country </w:t>
      </w:r>
      <w:r w:rsidR="00AB4884">
        <w:rPr>
          <w:rFonts w:asciiTheme="minorHAnsi" w:hAnsiTheme="minorHAnsi"/>
          <w:sz w:val="20"/>
          <w:szCs w:val="20"/>
        </w:rPr>
        <w:t>a</w:t>
      </w:r>
      <w:r w:rsidRPr="00C51D29">
        <w:rPr>
          <w:rFonts w:asciiTheme="minorHAnsi" w:hAnsiTheme="minorHAnsi"/>
          <w:sz w:val="20"/>
          <w:szCs w:val="20"/>
        </w:rPr>
        <w:t>nd thematic evaluations</w:t>
      </w:r>
      <w:r>
        <w:rPr>
          <w:rFonts w:asciiTheme="minorHAnsi" w:hAnsiTheme="minorHAnsi"/>
          <w:sz w:val="20"/>
          <w:szCs w:val="20"/>
        </w:rPr>
        <w:t xml:space="preserve"> from 2012 and 2013</w:t>
      </w:r>
      <w:r w:rsidRPr="00C51D29">
        <w:rPr>
          <w:rFonts w:asciiTheme="minorHAnsi" w:hAnsiTheme="minorHAnsi"/>
          <w:sz w:val="20"/>
          <w:szCs w:val="20"/>
        </w:rPr>
        <w:t xml:space="preserve">, external evaluations, surveys, audits, and reports. Performance is analyzed </w:t>
      </w:r>
      <w:r>
        <w:rPr>
          <w:rFonts w:asciiTheme="minorHAnsi" w:hAnsiTheme="minorHAnsi"/>
          <w:sz w:val="20"/>
          <w:szCs w:val="20"/>
        </w:rPr>
        <w:t>through</w:t>
      </w:r>
      <w:r w:rsidRPr="00C51D29">
        <w:rPr>
          <w:rFonts w:asciiTheme="minorHAnsi" w:hAnsiTheme="minorHAnsi"/>
          <w:sz w:val="20"/>
          <w:szCs w:val="20"/>
        </w:rPr>
        <w:t xml:space="preserve"> results progress and UNDP contributions, </w:t>
      </w:r>
      <w:r>
        <w:rPr>
          <w:rFonts w:asciiTheme="minorHAnsi" w:hAnsiTheme="minorHAnsi"/>
          <w:sz w:val="20"/>
          <w:szCs w:val="20"/>
        </w:rPr>
        <w:t>using</w:t>
      </w:r>
      <w:r w:rsidRPr="00C51D29">
        <w:rPr>
          <w:rFonts w:asciiTheme="minorHAnsi" w:hAnsiTheme="minorHAnsi"/>
          <w:sz w:val="20"/>
          <w:szCs w:val="20"/>
        </w:rPr>
        <w:t xml:space="preserve"> variables of output dimension, reg</w:t>
      </w:r>
      <w:r>
        <w:rPr>
          <w:rFonts w:asciiTheme="minorHAnsi" w:hAnsiTheme="minorHAnsi"/>
          <w:sz w:val="20"/>
          <w:szCs w:val="20"/>
        </w:rPr>
        <w:t>ion, typology, and expenditure, and correlated to independent evaluations and surveys.</w:t>
      </w:r>
    </w:p>
    <w:p w:rsidR="00C46CDB" w:rsidRPr="00F8596C" w:rsidRDefault="00F8596C" w:rsidP="00F8596C">
      <w:pPr>
        <w:pStyle w:val="ColorfulList-Accent11"/>
        <w:numPr>
          <w:ilvl w:val="0"/>
          <w:numId w:val="4"/>
        </w:numPr>
        <w:tabs>
          <w:tab w:val="left" w:pos="0"/>
        </w:tabs>
        <w:spacing w:before="120" w:after="120" w:line="240" w:lineRule="auto"/>
        <w:ind w:left="432" w:hanging="432"/>
        <w:contextualSpacing w:val="0"/>
        <w:jc w:val="both"/>
        <w:rPr>
          <w:rFonts w:asciiTheme="minorHAnsi" w:hAnsiTheme="minorHAnsi"/>
          <w:sz w:val="20"/>
          <w:szCs w:val="20"/>
        </w:rPr>
      </w:pPr>
      <w:r>
        <w:rPr>
          <w:rFonts w:asciiTheme="minorHAnsi" w:hAnsiTheme="minorHAnsi"/>
          <w:sz w:val="20"/>
          <w:szCs w:val="20"/>
        </w:rPr>
        <w:t>T</w:t>
      </w:r>
      <w:r w:rsidR="00761420" w:rsidRPr="00DF0C11">
        <w:rPr>
          <w:rFonts w:asciiTheme="minorHAnsi" w:hAnsiTheme="minorHAnsi"/>
          <w:sz w:val="20"/>
          <w:szCs w:val="20"/>
        </w:rPr>
        <w:t>he report contains for the first time a narrative section on implementation of the QCPR, integrated wit</w:t>
      </w:r>
      <w:r w:rsidR="002764AA">
        <w:rPr>
          <w:rFonts w:asciiTheme="minorHAnsi" w:hAnsiTheme="minorHAnsi"/>
          <w:sz w:val="20"/>
          <w:szCs w:val="20"/>
        </w:rPr>
        <w:t xml:space="preserve">hin reporting on coordination. </w:t>
      </w:r>
      <w:r w:rsidR="00761420" w:rsidRPr="00DF0C11">
        <w:rPr>
          <w:rFonts w:asciiTheme="minorHAnsi" w:hAnsiTheme="minorHAnsi"/>
          <w:sz w:val="20"/>
          <w:szCs w:val="20"/>
        </w:rPr>
        <w:t xml:space="preserve">This section has been developed in response to ECOSOC resolution 2013/5 which requests the UN funds and programmes “to consolidate their current annual reporting </w:t>
      </w:r>
      <w:r w:rsidR="00761420" w:rsidRPr="00DF0C11">
        <w:rPr>
          <w:rFonts w:asciiTheme="minorHAnsi" w:hAnsiTheme="minorHAnsi"/>
          <w:sz w:val="20"/>
          <w:szCs w:val="20"/>
        </w:rPr>
        <w:lastRenderedPageBreak/>
        <w:t xml:space="preserve">on the implementation of the QCPR within their reporting on the implementation of their strategic plans”. </w:t>
      </w:r>
      <w:r w:rsidR="00DF0C11">
        <w:rPr>
          <w:rFonts w:asciiTheme="minorHAnsi" w:hAnsiTheme="minorHAnsi"/>
          <w:sz w:val="20"/>
          <w:szCs w:val="20"/>
        </w:rPr>
        <w:t>Addition</w:t>
      </w:r>
      <w:r w:rsidR="00AB4884">
        <w:rPr>
          <w:rFonts w:asciiTheme="minorHAnsi" w:hAnsiTheme="minorHAnsi"/>
          <w:sz w:val="20"/>
          <w:szCs w:val="20"/>
        </w:rPr>
        <w:t>al</w:t>
      </w:r>
      <w:r w:rsidR="00DF0C11">
        <w:rPr>
          <w:rFonts w:asciiTheme="minorHAnsi" w:hAnsiTheme="minorHAnsi"/>
          <w:sz w:val="20"/>
          <w:szCs w:val="20"/>
        </w:rPr>
        <w:t xml:space="preserve"> reporting on QCPR indicators is included in Annex VII.</w:t>
      </w:r>
    </w:p>
    <w:p w:rsidR="00A712BB" w:rsidRDefault="00A712BB" w:rsidP="00402AE1">
      <w:pPr>
        <w:pStyle w:val="ColorfulList-Accent11"/>
        <w:tabs>
          <w:tab w:val="left" w:pos="0"/>
        </w:tabs>
        <w:spacing w:before="120" w:after="120" w:line="240" w:lineRule="auto"/>
        <w:ind w:left="360"/>
        <w:contextualSpacing w:val="0"/>
        <w:jc w:val="both"/>
        <w:rPr>
          <w:rFonts w:asciiTheme="minorHAnsi" w:hAnsiTheme="minorHAnsi"/>
          <w:sz w:val="20"/>
          <w:szCs w:val="20"/>
        </w:rPr>
      </w:pPr>
    </w:p>
    <w:p w:rsidR="00503CAE" w:rsidRDefault="00503CAE" w:rsidP="00503CAE">
      <w:pPr>
        <w:rPr>
          <w:b/>
          <w:sz w:val="24"/>
        </w:rPr>
      </w:pPr>
      <w:r>
        <w:rPr>
          <w:sz w:val="20"/>
          <w:szCs w:val="20"/>
        </w:rPr>
        <w:br w:type="page"/>
      </w:r>
      <w:r w:rsidRPr="00730D6C">
        <w:rPr>
          <w:b/>
          <w:sz w:val="24"/>
        </w:rPr>
        <w:lastRenderedPageBreak/>
        <w:t>Annex I</w:t>
      </w:r>
      <w:r>
        <w:rPr>
          <w:b/>
          <w:sz w:val="24"/>
        </w:rPr>
        <w:t>I</w:t>
      </w:r>
      <w:r w:rsidRPr="00730D6C">
        <w:rPr>
          <w:b/>
          <w:sz w:val="24"/>
        </w:rPr>
        <w:t>:</w:t>
      </w:r>
      <w:r w:rsidRPr="00730D6C">
        <w:rPr>
          <w:b/>
          <w:sz w:val="24"/>
        </w:rPr>
        <w:tab/>
      </w:r>
      <w:r w:rsidR="00A12509">
        <w:rPr>
          <w:b/>
          <w:sz w:val="24"/>
        </w:rPr>
        <w:t>Development results</w:t>
      </w:r>
    </w:p>
    <w:p w:rsidR="001D0626" w:rsidRPr="001D0626" w:rsidRDefault="00DC4CC2" w:rsidP="001D0626">
      <w:pPr>
        <w:numPr>
          <w:ilvl w:val="0"/>
          <w:numId w:val="16"/>
        </w:numPr>
        <w:tabs>
          <w:tab w:val="left" w:pos="1080"/>
          <w:tab w:val="right" w:pos="12960"/>
        </w:tabs>
        <w:spacing w:before="120" w:after="120" w:line="240" w:lineRule="auto"/>
        <w:ind w:left="360"/>
        <w:rPr>
          <w:b/>
        </w:rPr>
      </w:pPr>
      <w:r>
        <w:rPr>
          <w:b/>
        </w:rPr>
        <w:t>Development results</w:t>
      </w:r>
      <w:r w:rsidR="001A6FDA">
        <w:rPr>
          <w:b/>
        </w:rPr>
        <w:t xml:space="preserve"> </w:t>
      </w:r>
      <w:r w:rsidR="00325B07">
        <w:rPr>
          <w:b/>
        </w:rPr>
        <w:t>framework indicators</w:t>
      </w:r>
    </w:p>
    <w:p w:rsidR="00EA69F6" w:rsidRPr="001D0626" w:rsidRDefault="00BD6A7A" w:rsidP="00BA7368">
      <w:pPr>
        <w:numPr>
          <w:ilvl w:val="1"/>
          <w:numId w:val="16"/>
        </w:numPr>
        <w:tabs>
          <w:tab w:val="right" w:pos="12960"/>
        </w:tabs>
        <w:spacing w:before="120" w:after="120" w:line="240" w:lineRule="auto"/>
        <w:ind w:left="360"/>
        <w:rPr>
          <w:b/>
        </w:rPr>
      </w:pPr>
      <w:r>
        <w:rPr>
          <w:b/>
        </w:rPr>
        <w:t xml:space="preserve">Indicator 1: </w:t>
      </w:r>
      <w:r w:rsidR="00AE01D6">
        <w:rPr>
          <w:b/>
        </w:rPr>
        <w:t>N</w:t>
      </w:r>
      <w:r w:rsidR="001D0626" w:rsidRPr="001D0626">
        <w:rPr>
          <w:b/>
        </w:rPr>
        <w:t xml:space="preserve">umber of programme countries requesting and receiving UNDP support </w:t>
      </w:r>
    </w:p>
    <w:p w:rsidR="00A7329F" w:rsidRPr="00730D6C" w:rsidRDefault="002A272D" w:rsidP="00EA69F6">
      <w:pPr>
        <w:tabs>
          <w:tab w:val="left" w:pos="1080"/>
          <w:tab w:val="right" w:pos="12960"/>
        </w:tabs>
        <w:spacing w:before="120" w:after="120" w:line="240" w:lineRule="auto"/>
        <w:rPr>
          <w:b/>
        </w:rPr>
      </w:pPr>
      <w:r w:rsidRPr="00BD7884">
        <w:rPr>
          <w:b/>
        </w:rPr>
        <w:t xml:space="preserve">Table </w:t>
      </w:r>
      <w:r w:rsidR="00803247" w:rsidRPr="00803247">
        <w:rPr>
          <w:b/>
        </w:rPr>
        <w:t>1</w:t>
      </w:r>
      <w:r w:rsidRPr="00BD7884">
        <w:rPr>
          <w:b/>
        </w:rPr>
        <w:t>:</w:t>
      </w:r>
      <w:r w:rsidR="00803247">
        <w:rPr>
          <w:b/>
        </w:rPr>
        <w:t xml:space="preserve"> </w:t>
      </w:r>
      <w:r w:rsidRPr="00BD7884">
        <w:rPr>
          <w:b/>
        </w:rPr>
        <w:t xml:space="preserve"> Number of Programme Countries Requesting and Receiving UNDP Support in </w:t>
      </w:r>
      <w:r w:rsidR="001D0626">
        <w:rPr>
          <w:b/>
        </w:rPr>
        <w:t>2013</w:t>
      </w:r>
      <w:r w:rsidRPr="00BD7884">
        <w:rPr>
          <w:rStyle w:val="FootnoteReference"/>
          <w:b/>
        </w:rPr>
        <w:footnoteReference w:id="1"/>
      </w:r>
      <w:r w:rsidRPr="00BD7884">
        <w:rPr>
          <w:b/>
        </w:rPr>
        <w:t>.</w:t>
      </w:r>
    </w:p>
    <w:tbl>
      <w:tblPr>
        <w:tblW w:w="14012" w:type="dxa"/>
        <w:tblInd w:w="-224" w:type="dxa"/>
        <w:tblLayout w:type="fixed"/>
        <w:tblLook w:val="0000" w:firstRow="0" w:lastRow="0" w:firstColumn="0" w:lastColumn="0" w:noHBand="0" w:noVBand="0"/>
      </w:tblPr>
      <w:tblGrid>
        <w:gridCol w:w="4472"/>
        <w:gridCol w:w="1260"/>
        <w:gridCol w:w="810"/>
        <w:gridCol w:w="1080"/>
        <w:gridCol w:w="810"/>
        <w:gridCol w:w="1080"/>
        <w:gridCol w:w="810"/>
        <w:gridCol w:w="1080"/>
        <w:gridCol w:w="720"/>
        <w:gridCol w:w="1080"/>
        <w:gridCol w:w="810"/>
      </w:tblGrid>
      <w:tr w:rsidR="00A7329F" w:rsidRPr="00730D6C">
        <w:trPr>
          <w:trHeight w:val="300"/>
          <w:tblHeader/>
        </w:trPr>
        <w:tc>
          <w:tcPr>
            <w:tcW w:w="447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A7329F" w:rsidRPr="00730D6C" w:rsidRDefault="00850359" w:rsidP="00BA40DA">
            <w:pPr>
              <w:spacing w:before="120" w:after="120"/>
              <w:jc w:val="center"/>
              <w:rPr>
                <w:b/>
                <w:bCs/>
                <w:sz w:val="20"/>
                <w:szCs w:val="20"/>
              </w:rPr>
            </w:pPr>
            <w:r w:rsidRPr="00730D6C">
              <w:rPr>
                <w:b/>
                <w:bCs/>
                <w:sz w:val="20"/>
                <w:szCs w:val="20"/>
              </w:rPr>
              <w:t>Strategic pla</w:t>
            </w:r>
            <w:r w:rsidR="004762B7">
              <w:rPr>
                <w:b/>
                <w:bCs/>
                <w:sz w:val="20"/>
                <w:szCs w:val="20"/>
              </w:rPr>
              <w:t>n</w:t>
            </w:r>
            <w:r w:rsidR="00A7329F" w:rsidRPr="00730D6C">
              <w:rPr>
                <w:b/>
                <w:bCs/>
                <w:sz w:val="20"/>
                <w:szCs w:val="20"/>
              </w:rPr>
              <w:t xml:space="preserve"> focus area and outcome</w:t>
            </w:r>
          </w:p>
        </w:tc>
        <w:tc>
          <w:tcPr>
            <w:tcW w:w="9540"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A7329F" w:rsidRPr="00730D6C" w:rsidRDefault="00A7329F" w:rsidP="00BA40DA">
            <w:pPr>
              <w:spacing w:before="120" w:after="120"/>
              <w:jc w:val="center"/>
              <w:rPr>
                <w:b/>
                <w:bCs/>
                <w:sz w:val="20"/>
                <w:szCs w:val="20"/>
              </w:rPr>
            </w:pPr>
            <w:r w:rsidRPr="00730D6C">
              <w:rPr>
                <w:b/>
                <w:bCs/>
                <w:sz w:val="20"/>
                <w:szCs w:val="20"/>
              </w:rPr>
              <w:t xml:space="preserve"> Programme countries requesting and receiving UNDP support </w:t>
            </w:r>
            <w:r w:rsidR="0097012A">
              <w:rPr>
                <w:b/>
                <w:bCs/>
                <w:sz w:val="20"/>
                <w:szCs w:val="20"/>
              </w:rPr>
              <w:t>in 201</w:t>
            </w:r>
            <w:r w:rsidR="00FF3005">
              <w:rPr>
                <w:b/>
                <w:bCs/>
                <w:sz w:val="20"/>
                <w:szCs w:val="20"/>
              </w:rPr>
              <w:t>3</w:t>
            </w:r>
          </w:p>
        </w:tc>
      </w:tr>
      <w:tr w:rsidR="006568EA" w:rsidRPr="00730D6C">
        <w:trPr>
          <w:trHeight w:val="1240"/>
          <w:tblHeader/>
        </w:trPr>
        <w:tc>
          <w:tcPr>
            <w:tcW w:w="447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3D6" w:rsidRPr="00730D6C" w:rsidRDefault="004703D6" w:rsidP="00BA40DA">
            <w:pPr>
              <w:spacing w:before="120" w:after="120"/>
              <w:rPr>
                <w:b/>
                <w:bCs/>
                <w:sz w:val="20"/>
                <w:szCs w:val="20"/>
              </w:rPr>
            </w:pPr>
          </w:p>
        </w:tc>
        <w:tc>
          <w:tcPr>
            <w:tcW w:w="1260" w:type="dxa"/>
            <w:tcBorders>
              <w:top w:val="single" w:sz="4" w:space="0" w:color="auto"/>
              <w:left w:val="single" w:sz="4" w:space="0" w:color="auto"/>
              <w:bottom w:val="single" w:sz="4" w:space="0" w:color="auto"/>
              <w:right w:val="dashed" w:sz="4" w:space="0" w:color="auto"/>
            </w:tcBorders>
            <w:shd w:val="clear" w:color="auto" w:fill="F2F2F2" w:themeFill="background1" w:themeFillShade="F2"/>
            <w:vAlign w:val="bottom"/>
          </w:tcPr>
          <w:p w:rsidR="004703D6" w:rsidRPr="00730D6C" w:rsidRDefault="004703D6" w:rsidP="00BA40DA">
            <w:pPr>
              <w:spacing w:before="120" w:after="120"/>
              <w:jc w:val="center"/>
              <w:rPr>
                <w:b/>
                <w:bCs/>
                <w:sz w:val="20"/>
                <w:szCs w:val="20"/>
              </w:rPr>
            </w:pPr>
            <w:r w:rsidRPr="00730D6C">
              <w:rPr>
                <w:b/>
                <w:bCs/>
                <w:sz w:val="20"/>
                <w:szCs w:val="20"/>
              </w:rPr>
              <w:t xml:space="preserve"> Total Number of Programme Countries</w:t>
            </w:r>
            <w:r w:rsidRPr="00730D6C">
              <w:rPr>
                <w:rStyle w:val="FootnoteReference"/>
                <w:b/>
                <w:bCs/>
                <w:sz w:val="20"/>
                <w:szCs w:val="20"/>
              </w:rPr>
              <w:footnoteReference w:id="2"/>
            </w:r>
            <w:r w:rsidRPr="00730D6C">
              <w:rPr>
                <w:b/>
                <w:bCs/>
                <w:sz w:val="20"/>
                <w:szCs w:val="20"/>
              </w:rPr>
              <w:t xml:space="preserve"> </w:t>
            </w:r>
          </w:p>
        </w:tc>
        <w:tc>
          <w:tcPr>
            <w:tcW w:w="810" w:type="dxa"/>
            <w:tcBorders>
              <w:top w:val="single" w:sz="4" w:space="0" w:color="auto"/>
              <w:left w:val="dashed" w:sz="4" w:space="0" w:color="auto"/>
              <w:bottom w:val="single" w:sz="4" w:space="0" w:color="auto"/>
              <w:right w:val="single" w:sz="4" w:space="0" w:color="auto"/>
            </w:tcBorders>
            <w:shd w:val="clear" w:color="auto" w:fill="F2F2F2" w:themeFill="background1" w:themeFillShade="F2"/>
            <w:vAlign w:val="bottom"/>
          </w:tcPr>
          <w:p w:rsidR="004703D6" w:rsidRPr="00730D6C" w:rsidRDefault="004703D6" w:rsidP="00BA40DA">
            <w:pPr>
              <w:spacing w:before="120" w:after="120"/>
              <w:jc w:val="center"/>
              <w:rPr>
                <w:b/>
                <w:bCs/>
                <w:sz w:val="20"/>
                <w:szCs w:val="20"/>
              </w:rPr>
            </w:pPr>
            <w:r w:rsidRPr="00730D6C">
              <w:rPr>
                <w:b/>
                <w:bCs/>
                <w:sz w:val="20"/>
                <w:szCs w:val="20"/>
              </w:rPr>
              <w:t>% of total</w:t>
            </w:r>
            <w:r w:rsidRPr="00730D6C">
              <w:rPr>
                <w:rStyle w:val="FootnoteReference"/>
                <w:b/>
                <w:bCs/>
                <w:sz w:val="20"/>
                <w:szCs w:val="20"/>
              </w:rPr>
              <w:footnoteReference w:id="3"/>
            </w:r>
          </w:p>
        </w:tc>
        <w:tc>
          <w:tcPr>
            <w:tcW w:w="1080" w:type="dxa"/>
            <w:tcBorders>
              <w:top w:val="single" w:sz="4" w:space="0" w:color="auto"/>
              <w:left w:val="single" w:sz="4" w:space="0" w:color="auto"/>
              <w:bottom w:val="single" w:sz="4" w:space="0" w:color="auto"/>
              <w:right w:val="dashed" w:sz="4" w:space="0" w:color="auto"/>
            </w:tcBorders>
            <w:shd w:val="clear" w:color="auto" w:fill="F2F2F2" w:themeFill="background1" w:themeFillShade="F2"/>
            <w:vAlign w:val="bottom"/>
          </w:tcPr>
          <w:p w:rsidR="004703D6" w:rsidRPr="00730D6C" w:rsidRDefault="004703D6" w:rsidP="00BA40DA">
            <w:pPr>
              <w:spacing w:before="120" w:after="120"/>
              <w:jc w:val="center"/>
              <w:rPr>
                <w:b/>
                <w:bCs/>
                <w:sz w:val="20"/>
                <w:szCs w:val="20"/>
              </w:rPr>
            </w:pPr>
            <w:r w:rsidRPr="00730D6C">
              <w:rPr>
                <w:b/>
                <w:bCs/>
                <w:sz w:val="20"/>
                <w:szCs w:val="20"/>
              </w:rPr>
              <w:t xml:space="preserve"> Number of LDC Countries</w:t>
            </w:r>
            <w:r w:rsidRPr="00730D6C">
              <w:rPr>
                <w:rStyle w:val="FootnoteReference"/>
                <w:b/>
                <w:bCs/>
                <w:sz w:val="20"/>
                <w:szCs w:val="20"/>
              </w:rPr>
              <w:footnoteReference w:id="4"/>
            </w:r>
            <w:r w:rsidRPr="00730D6C">
              <w:rPr>
                <w:b/>
                <w:bCs/>
                <w:sz w:val="20"/>
                <w:szCs w:val="20"/>
              </w:rPr>
              <w:t xml:space="preserve"> </w:t>
            </w:r>
          </w:p>
        </w:tc>
        <w:tc>
          <w:tcPr>
            <w:tcW w:w="810" w:type="dxa"/>
            <w:tcBorders>
              <w:top w:val="single" w:sz="4" w:space="0" w:color="auto"/>
              <w:left w:val="dashed" w:sz="4" w:space="0" w:color="auto"/>
              <w:bottom w:val="single" w:sz="4" w:space="0" w:color="auto"/>
              <w:right w:val="single" w:sz="4" w:space="0" w:color="auto"/>
            </w:tcBorders>
            <w:shd w:val="clear" w:color="auto" w:fill="F2F2F2" w:themeFill="background1" w:themeFillShade="F2"/>
            <w:vAlign w:val="bottom"/>
          </w:tcPr>
          <w:p w:rsidR="004703D6" w:rsidRPr="00730D6C" w:rsidRDefault="004703D6" w:rsidP="00BA40DA">
            <w:pPr>
              <w:spacing w:before="120" w:after="120"/>
              <w:jc w:val="center"/>
              <w:rPr>
                <w:b/>
                <w:bCs/>
                <w:sz w:val="20"/>
                <w:szCs w:val="20"/>
              </w:rPr>
            </w:pPr>
            <w:r w:rsidRPr="00730D6C">
              <w:rPr>
                <w:b/>
                <w:bCs/>
                <w:sz w:val="20"/>
                <w:szCs w:val="20"/>
              </w:rPr>
              <w:t>% of total LDC</w:t>
            </w:r>
          </w:p>
        </w:tc>
        <w:tc>
          <w:tcPr>
            <w:tcW w:w="1080" w:type="dxa"/>
            <w:tcBorders>
              <w:top w:val="single" w:sz="4" w:space="0" w:color="auto"/>
              <w:left w:val="single" w:sz="4" w:space="0" w:color="auto"/>
              <w:bottom w:val="single" w:sz="4" w:space="0" w:color="auto"/>
              <w:right w:val="dashed" w:sz="4" w:space="0" w:color="auto"/>
            </w:tcBorders>
            <w:shd w:val="clear" w:color="auto" w:fill="F2F2F2" w:themeFill="background1" w:themeFillShade="F2"/>
            <w:vAlign w:val="bottom"/>
          </w:tcPr>
          <w:p w:rsidR="004703D6" w:rsidRPr="00730D6C" w:rsidRDefault="004703D6" w:rsidP="00BA40DA">
            <w:pPr>
              <w:spacing w:before="120" w:after="120"/>
              <w:jc w:val="center"/>
              <w:rPr>
                <w:b/>
                <w:bCs/>
                <w:sz w:val="20"/>
                <w:szCs w:val="20"/>
              </w:rPr>
            </w:pPr>
            <w:r w:rsidRPr="00730D6C">
              <w:rPr>
                <w:b/>
                <w:bCs/>
                <w:sz w:val="20"/>
                <w:szCs w:val="20"/>
              </w:rPr>
              <w:t xml:space="preserve"> Number of LIC Countries </w:t>
            </w:r>
          </w:p>
        </w:tc>
        <w:tc>
          <w:tcPr>
            <w:tcW w:w="810" w:type="dxa"/>
            <w:tcBorders>
              <w:top w:val="single" w:sz="4" w:space="0" w:color="auto"/>
              <w:left w:val="dashed" w:sz="4" w:space="0" w:color="auto"/>
              <w:bottom w:val="single" w:sz="4" w:space="0" w:color="auto"/>
              <w:right w:val="single" w:sz="4" w:space="0" w:color="auto"/>
            </w:tcBorders>
            <w:shd w:val="clear" w:color="auto" w:fill="F2F2F2" w:themeFill="background1" w:themeFillShade="F2"/>
            <w:vAlign w:val="bottom"/>
          </w:tcPr>
          <w:p w:rsidR="004703D6" w:rsidRPr="00730D6C" w:rsidRDefault="004703D6" w:rsidP="00BA40DA">
            <w:pPr>
              <w:spacing w:before="120" w:after="120"/>
              <w:jc w:val="center"/>
              <w:rPr>
                <w:b/>
                <w:bCs/>
                <w:sz w:val="20"/>
                <w:szCs w:val="20"/>
              </w:rPr>
            </w:pPr>
            <w:r w:rsidRPr="00730D6C">
              <w:rPr>
                <w:b/>
                <w:bCs/>
                <w:sz w:val="20"/>
                <w:szCs w:val="20"/>
              </w:rPr>
              <w:t>% of total LIC</w:t>
            </w:r>
          </w:p>
        </w:tc>
        <w:tc>
          <w:tcPr>
            <w:tcW w:w="1080" w:type="dxa"/>
            <w:tcBorders>
              <w:top w:val="single" w:sz="4" w:space="0" w:color="auto"/>
              <w:left w:val="single" w:sz="4" w:space="0" w:color="auto"/>
              <w:bottom w:val="single" w:sz="4" w:space="0" w:color="auto"/>
              <w:right w:val="dashed" w:sz="4" w:space="0" w:color="auto"/>
            </w:tcBorders>
            <w:shd w:val="clear" w:color="auto" w:fill="F2F2F2" w:themeFill="background1" w:themeFillShade="F2"/>
            <w:vAlign w:val="bottom"/>
          </w:tcPr>
          <w:p w:rsidR="004703D6" w:rsidRPr="00730D6C" w:rsidRDefault="004703D6" w:rsidP="00BA40DA">
            <w:pPr>
              <w:spacing w:before="120" w:after="120"/>
              <w:jc w:val="center"/>
              <w:rPr>
                <w:b/>
                <w:bCs/>
                <w:sz w:val="20"/>
                <w:szCs w:val="20"/>
              </w:rPr>
            </w:pPr>
            <w:r w:rsidRPr="00730D6C">
              <w:rPr>
                <w:b/>
                <w:bCs/>
                <w:sz w:val="20"/>
                <w:szCs w:val="20"/>
              </w:rPr>
              <w:t xml:space="preserve"> Number of MIC Countries </w:t>
            </w:r>
          </w:p>
        </w:tc>
        <w:tc>
          <w:tcPr>
            <w:tcW w:w="720" w:type="dxa"/>
            <w:tcBorders>
              <w:top w:val="single" w:sz="4" w:space="0" w:color="auto"/>
              <w:left w:val="dashed" w:sz="4" w:space="0" w:color="auto"/>
              <w:bottom w:val="single" w:sz="4" w:space="0" w:color="auto"/>
              <w:right w:val="single" w:sz="4" w:space="0" w:color="auto"/>
            </w:tcBorders>
            <w:shd w:val="clear" w:color="auto" w:fill="F2F2F2" w:themeFill="background1" w:themeFillShade="F2"/>
            <w:vAlign w:val="bottom"/>
          </w:tcPr>
          <w:p w:rsidR="004703D6" w:rsidRPr="00730D6C" w:rsidRDefault="004703D6" w:rsidP="00BA40DA">
            <w:pPr>
              <w:spacing w:before="120" w:after="120"/>
              <w:jc w:val="center"/>
              <w:rPr>
                <w:b/>
                <w:bCs/>
                <w:sz w:val="20"/>
                <w:szCs w:val="20"/>
              </w:rPr>
            </w:pPr>
            <w:r w:rsidRPr="00730D6C">
              <w:rPr>
                <w:b/>
                <w:bCs/>
                <w:sz w:val="20"/>
                <w:szCs w:val="20"/>
              </w:rPr>
              <w:t>% of total MIC</w:t>
            </w:r>
          </w:p>
        </w:tc>
        <w:tc>
          <w:tcPr>
            <w:tcW w:w="1080" w:type="dxa"/>
            <w:tcBorders>
              <w:top w:val="single" w:sz="4" w:space="0" w:color="auto"/>
              <w:left w:val="single" w:sz="4" w:space="0" w:color="auto"/>
              <w:bottom w:val="single" w:sz="4" w:space="0" w:color="auto"/>
              <w:right w:val="dashed" w:sz="4" w:space="0" w:color="auto"/>
            </w:tcBorders>
            <w:shd w:val="clear" w:color="auto" w:fill="F2F2F2" w:themeFill="background1" w:themeFillShade="F2"/>
            <w:vAlign w:val="bottom"/>
          </w:tcPr>
          <w:p w:rsidR="004703D6" w:rsidRPr="00730D6C" w:rsidRDefault="004703D6" w:rsidP="00BA40DA">
            <w:pPr>
              <w:spacing w:before="120" w:after="120"/>
              <w:jc w:val="center"/>
              <w:rPr>
                <w:b/>
                <w:bCs/>
                <w:sz w:val="20"/>
                <w:szCs w:val="20"/>
              </w:rPr>
            </w:pPr>
            <w:r w:rsidRPr="00730D6C">
              <w:rPr>
                <w:b/>
                <w:bCs/>
                <w:sz w:val="20"/>
                <w:szCs w:val="20"/>
              </w:rPr>
              <w:t xml:space="preserve"> Number of </w:t>
            </w:r>
            <w:r w:rsidR="00702865">
              <w:rPr>
                <w:b/>
                <w:bCs/>
                <w:sz w:val="20"/>
                <w:szCs w:val="20"/>
              </w:rPr>
              <w:t>T&amp;</w:t>
            </w:r>
            <w:r w:rsidRPr="00730D6C">
              <w:rPr>
                <w:b/>
                <w:bCs/>
                <w:sz w:val="20"/>
                <w:szCs w:val="20"/>
              </w:rPr>
              <w:t xml:space="preserve">NCC Countries </w:t>
            </w:r>
          </w:p>
        </w:tc>
        <w:tc>
          <w:tcPr>
            <w:tcW w:w="810" w:type="dxa"/>
            <w:tcBorders>
              <w:top w:val="single" w:sz="4" w:space="0" w:color="auto"/>
              <w:left w:val="dashed" w:sz="4" w:space="0" w:color="auto"/>
              <w:bottom w:val="single" w:sz="4" w:space="0" w:color="auto"/>
              <w:right w:val="single" w:sz="4" w:space="0" w:color="auto"/>
            </w:tcBorders>
            <w:shd w:val="clear" w:color="auto" w:fill="F2F2F2" w:themeFill="background1" w:themeFillShade="F2"/>
            <w:vAlign w:val="bottom"/>
          </w:tcPr>
          <w:p w:rsidR="004703D6" w:rsidRPr="00730D6C" w:rsidRDefault="004703D6" w:rsidP="00AC7017">
            <w:pPr>
              <w:spacing w:before="120" w:after="120"/>
              <w:jc w:val="center"/>
              <w:rPr>
                <w:b/>
                <w:bCs/>
                <w:sz w:val="20"/>
                <w:szCs w:val="20"/>
              </w:rPr>
            </w:pPr>
            <w:r w:rsidRPr="00730D6C">
              <w:rPr>
                <w:b/>
                <w:bCs/>
                <w:sz w:val="20"/>
                <w:szCs w:val="20"/>
              </w:rPr>
              <w:t xml:space="preserve">% of total NCC </w:t>
            </w:r>
          </w:p>
        </w:tc>
      </w:tr>
      <w:tr w:rsidR="00A7329F" w:rsidRPr="00730D6C">
        <w:trPr>
          <w:trHeight w:val="280"/>
        </w:trPr>
        <w:tc>
          <w:tcPr>
            <w:tcW w:w="14012"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rsidR="00A7329F" w:rsidRPr="00730D6C" w:rsidRDefault="00A7329F" w:rsidP="00BA40DA">
            <w:pPr>
              <w:spacing w:before="120" w:after="120"/>
              <w:jc w:val="center"/>
              <w:rPr>
                <w:b/>
                <w:bCs/>
                <w:color w:val="000000"/>
                <w:sz w:val="20"/>
                <w:szCs w:val="20"/>
              </w:rPr>
            </w:pPr>
            <w:r w:rsidRPr="00730D6C">
              <w:rPr>
                <w:b/>
                <w:bCs/>
                <w:color w:val="000000"/>
                <w:sz w:val="20"/>
                <w:szCs w:val="20"/>
              </w:rPr>
              <w:t xml:space="preserve"> Focus area 1: Achieving the MDGs and reducing human poverty </w:t>
            </w:r>
          </w:p>
        </w:tc>
      </w:tr>
      <w:tr w:rsidR="002D2D5F" w:rsidRPr="00730D6C">
        <w:trPr>
          <w:trHeight w:val="251"/>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Pr>
                <w:color w:val="000000"/>
                <w:sz w:val="18"/>
                <w:szCs w:val="20"/>
              </w:rPr>
              <w:t>1.</w:t>
            </w:r>
            <w:r w:rsidRPr="00730D6C">
              <w:rPr>
                <w:color w:val="000000"/>
                <w:sz w:val="18"/>
                <w:szCs w:val="20"/>
              </w:rPr>
              <w:t>1. National and local institutions have the capacities to scale up proven MDG acceleration interventions and to plan, monitor, report and evaluate the MDGs and related national development priorities</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CD7B02" w:rsidRDefault="002D2D5F" w:rsidP="001443EA">
            <w:pPr>
              <w:jc w:val="center"/>
            </w:pPr>
            <w:r w:rsidRPr="00CD7B02">
              <w:t>87</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CD7B02" w:rsidRDefault="002D2D5F" w:rsidP="001443EA">
            <w:pPr>
              <w:jc w:val="center"/>
            </w:pPr>
            <w:r w:rsidRPr="00CD7B02">
              <w:t>55%</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CD7B02" w:rsidRDefault="002D2D5F" w:rsidP="001443EA">
            <w:pPr>
              <w:jc w:val="center"/>
            </w:pPr>
            <w:r w:rsidRPr="00CD7B02">
              <w:t>31</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CD7B02" w:rsidRDefault="002D2D5F" w:rsidP="001443EA">
            <w:pPr>
              <w:jc w:val="center"/>
            </w:pPr>
            <w:r w:rsidRPr="00CD7B02">
              <w:t>65%</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CD7B02" w:rsidRDefault="002D2D5F" w:rsidP="001443EA">
            <w:pPr>
              <w:jc w:val="center"/>
            </w:pPr>
            <w:r w:rsidRPr="00CD7B02">
              <w:t>42</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CD7B02" w:rsidRDefault="002D2D5F" w:rsidP="001443EA">
            <w:pPr>
              <w:jc w:val="center"/>
            </w:pPr>
            <w:r w:rsidRPr="00CD7B02">
              <w:t>64%</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CD7B02" w:rsidRDefault="002D2D5F" w:rsidP="001443EA">
            <w:pPr>
              <w:jc w:val="center"/>
            </w:pPr>
            <w:r w:rsidRPr="00CD7B02">
              <w:t>38</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CD7B02" w:rsidRDefault="002D2D5F" w:rsidP="001443EA">
            <w:pPr>
              <w:jc w:val="center"/>
            </w:pPr>
            <w:r w:rsidRPr="00CD7B02">
              <w:t>53%</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CD7B02" w:rsidRDefault="002D2D5F" w:rsidP="001443EA">
            <w:pPr>
              <w:jc w:val="center"/>
            </w:pPr>
            <w:r w:rsidRPr="00CD7B02">
              <w:t>7</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Default="002D2D5F" w:rsidP="001443EA">
            <w:pPr>
              <w:jc w:val="center"/>
            </w:pPr>
            <w:r w:rsidRPr="00CD7B02">
              <w:t>37%</w:t>
            </w:r>
          </w:p>
        </w:tc>
      </w:tr>
      <w:tr w:rsidR="002D2D5F" w:rsidRPr="00730D6C">
        <w:trPr>
          <w:trHeight w:val="140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Pr>
                <w:color w:val="000000"/>
                <w:sz w:val="18"/>
                <w:szCs w:val="20"/>
              </w:rPr>
              <w:t>1.</w:t>
            </w:r>
            <w:r w:rsidRPr="00730D6C">
              <w:rPr>
                <w:color w:val="000000"/>
                <w:sz w:val="18"/>
                <w:szCs w:val="20"/>
              </w:rPr>
              <w:t>2. Macroeconomic policies promote inclusive growth and support economic and social equity and resilience, empowerment, employment and social protection of vulnerable and marginali</w:t>
            </w:r>
            <w:r>
              <w:rPr>
                <w:color w:val="000000"/>
                <w:sz w:val="18"/>
                <w:szCs w:val="20"/>
              </w:rPr>
              <w:t>s</w:t>
            </w:r>
            <w:r w:rsidRPr="00730D6C">
              <w:rPr>
                <w:color w:val="000000"/>
                <w:sz w:val="18"/>
                <w:szCs w:val="20"/>
              </w:rPr>
              <w:t>ed groups</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1443EA">
            <w:pPr>
              <w:jc w:val="center"/>
            </w:pPr>
            <w:r w:rsidRPr="00614AB8">
              <w:t>52</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1443EA">
            <w:pPr>
              <w:jc w:val="center"/>
            </w:pPr>
            <w:r w:rsidRPr="00614AB8">
              <w:t>33%</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1443EA">
            <w:pPr>
              <w:jc w:val="center"/>
            </w:pPr>
            <w:r w:rsidRPr="00614AB8">
              <w:t>13</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1443EA">
            <w:pPr>
              <w:jc w:val="center"/>
            </w:pPr>
            <w:r w:rsidRPr="00614AB8">
              <w:t>27%</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1443EA">
            <w:pPr>
              <w:jc w:val="center"/>
            </w:pPr>
            <w:r w:rsidRPr="00614AB8">
              <w:t>21</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1443EA">
            <w:pPr>
              <w:jc w:val="center"/>
            </w:pPr>
            <w:r w:rsidRPr="00614AB8">
              <w:t>32%</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1443EA">
            <w:pPr>
              <w:jc w:val="center"/>
            </w:pPr>
            <w:r w:rsidRPr="00614AB8">
              <w:t>27</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1443EA">
            <w:pPr>
              <w:jc w:val="center"/>
            </w:pPr>
            <w:r w:rsidRPr="00614AB8">
              <w:t>38%</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1443EA">
            <w:pPr>
              <w:jc w:val="center"/>
            </w:pPr>
            <w:r w:rsidRPr="00614AB8">
              <w:t>4</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1443EA">
            <w:pPr>
              <w:jc w:val="center"/>
            </w:pPr>
            <w:r w:rsidRPr="00614AB8">
              <w:t>21%</w:t>
            </w:r>
          </w:p>
        </w:tc>
      </w:tr>
      <w:tr w:rsidR="002D2D5F" w:rsidRPr="00730D6C">
        <w:trPr>
          <w:trHeight w:val="314"/>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Pr>
                <w:color w:val="000000"/>
                <w:sz w:val="18"/>
                <w:szCs w:val="20"/>
              </w:rPr>
              <w:t>1.</w:t>
            </w:r>
            <w:r w:rsidRPr="00730D6C">
              <w:rPr>
                <w:color w:val="000000"/>
                <w:sz w:val="18"/>
                <w:szCs w:val="20"/>
              </w:rPr>
              <w:t xml:space="preserve">3. Policies, strategies and partnerships established to </w:t>
            </w:r>
            <w:r w:rsidRPr="00730D6C">
              <w:rPr>
                <w:color w:val="000000"/>
                <w:sz w:val="18"/>
                <w:szCs w:val="20"/>
              </w:rPr>
              <w:lastRenderedPageBreak/>
              <w:t xml:space="preserve">promote public-private sector collaboration and market development that benefit the poor and ensures that low-income households and small enterprises have access to a broad range of financial and legal </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AB6EEF">
            <w:pPr>
              <w:spacing w:after="0"/>
              <w:jc w:val="center"/>
            </w:pPr>
            <w:r w:rsidRPr="00614AB8">
              <w:lastRenderedPageBreak/>
              <w:t>37</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AB6EEF">
            <w:pPr>
              <w:spacing w:after="0"/>
              <w:jc w:val="center"/>
            </w:pPr>
            <w:r w:rsidRPr="00614AB8">
              <w:t>24%</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AB6EEF">
            <w:pPr>
              <w:spacing w:after="0"/>
              <w:jc w:val="center"/>
            </w:pPr>
            <w:r w:rsidRPr="00614AB8">
              <w:t>11</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AB6EEF">
            <w:pPr>
              <w:spacing w:after="0"/>
              <w:jc w:val="center"/>
            </w:pPr>
            <w:r w:rsidRPr="00614AB8">
              <w:t>23%</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AB6EEF">
            <w:pPr>
              <w:spacing w:after="0"/>
              <w:jc w:val="center"/>
            </w:pPr>
            <w:r w:rsidRPr="00614AB8">
              <w:t>16</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AB6EEF">
            <w:pPr>
              <w:spacing w:after="0"/>
              <w:jc w:val="center"/>
            </w:pPr>
            <w:r w:rsidRPr="00614AB8">
              <w:t>24%</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AB6EEF">
            <w:pPr>
              <w:spacing w:after="0"/>
              <w:jc w:val="center"/>
            </w:pPr>
            <w:r w:rsidRPr="00614AB8">
              <w:t>17</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AB6EEF">
            <w:pPr>
              <w:spacing w:after="0"/>
              <w:jc w:val="center"/>
            </w:pPr>
            <w:r w:rsidRPr="00614AB8">
              <w:t>24%</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AB6EEF">
            <w:pPr>
              <w:spacing w:after="0"/>
              <w:jc w:val="center"/>
            </w:pPr>
            <w:r w:rsidRPr="00614AB8">
              <w:t>4</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AB6EEF">
            <w:pPr>
              <w:spacing w:after="0"/>
              <w:jc w:val="center"/>
            </w:pPr>
            <w:r w:rsidRPr="00614AB8">
              <w:t>21%</w:t>
            </w:r>
          </w:p>
        </w:tc>
      </w:tr>
      <w:tr w:rsidR="002D2D5F" w:rsidRPr="00730D6C">
        <w:trPr>
          <w:trHeight w:val="84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Pr>
                <w:color w:val="000000"/>
                <w:sz w:val="18"/>
                <w:szCs w:val="20"/>
              </w:rPr>
              <w:lastRenderedPageBreak/>
              <w:t>1.</w:t>
            </w:r>
            <w:r w:rsidRPr="00730D6C">
              <w:rPr>
                <w:color w:val="000000"/>
                <w:sz w:val="18"/>
                <w:szCs w:val="20"/>
              </w:rPr>
              <w:t>4. Strengthen national capacities to negotiate and manage development finance, including aid and debt.</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1443EA">
            <w:pPr>
              <w:jc w:val="center"/>
            </w:pPr>
            <w:r w:rsidRPr="00614AB8">
              <w:t>3</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1443EA">
            <w:pPr>
              <w:jc w:val="center"/>
            </w:pPr>
            <w:r w:rsidRPr="00614AB8">
              <w:t>2%</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1443EA">
            <w:pPr>
              <w:jc w:val="center"/>
            </w:pPr>
            <w:r w:rsidRPr="00614AB8">
              <w:t>1</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1443EA">
            <w:pPr>
              <w:jc w:val="center"/>
            </w:pPr>
            <w:r w:rsidRPr="00614AB8">
              <w:t>2%</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1443EA">
            <w:pPr>
              <w:jc w:val="center"/>
            </w:pPr>
            <w:r w:rsidRPr="00614AB8">
              <w:t>2</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1443EA">
            <w:pPr>
              <w:jc w:val="center"/>
            </w:pPr>
            <w:r w:rsidRPr="00614AB8">
              <w:t>3%</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1443EA">
            <w:pPr>
              <w:jc w:val="center"/>
            </w:pPr>
            <w:r w:rsidRPr="00614AB8">
              <w:t>0</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1443EA">
            <w:pPr>
              <w:jc w:val="center"/>
            </w:pPr>
            <w:r w:rsidRPr="00614AB8">
              <w:t>0%</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1443EA">
            <w:pPr>
              <w:jc w:val="center"/>
            </w:pPr>
            <w:r w:rsidRPr="00614AB8">
              <w:t>1</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1443EA">
            <w:pPr>
              <w:jc w:val="center"/>
            </w:pPr>
            <w:r w:rsidRPr="00614AB8">
              <w:t>5%</w:t>
            </w:r>
          </w:p>
        </w:tc>
      </w:tr>
      <w:tr w:rsidR="002D2D5F" w:rsidRPr="00730D6C">
        <w:trPr>
          <w:trHeight w:val="84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Pr>
                <w:color w:val="000000"/>
                <w:sz w:val="18"/>
                <w:szCs w:val="20"/>
              </w:rPr>
              <w:t>1.</w:t>
            </w:r>
            <w:r w:rsidRPr="00730D6C">
              <w:rPr>
                <w:color w:val="000000"/>
                <w:sz w:val="18"/>
                <w:szCs w:val="20"/>
              </w:rPr>
              <w:t>5. Strengthen country capacity to understand and influence the linkage of poverty, human rights, gender inequality and governance with HIV/AIDS</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1443EA">
            <w:pPr>
              <w:jc w:val="center"/>
            </w:pPr>
            <w:r w:rsidRPr="00614AB8">
              <w:t>4</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1443EA">
            <w:pPr>
              <w:jc w:val="center"/>
            </w:pPr>
            <w:r w:rsidRPr="00614AB8">
              <w:t>3%</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1443EA">
            <w:pPr>
              <w:jc w:val="center"/>
            </w:pPr>
            <w:r w:rsidRPr="00614AB8">
              <w:t>2</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1443EA">
            <w:pPr>
              <w:jc w:val="center"/>
            </w:pPr>
            <w:r w:rsidRPr="00614AB8">
              <w:t>4%</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1443EA">
            <w:pPr>
              <w:jc w:val="center"/>
            </w:pPr>
            <w:r w:rsidRPr="00614AB8">
              <w:t>2</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1443EA">
            <w:pPr>
              <w:jc w:val="center"/>
            </w:pPr>
            <w:r w:rsidRPr="00614AB8">
              <w:t>3%</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1443EA">
            <w:pPr>
              <w:jc w:val="center"/>
            </w:pPr>
            <w:r w:rsidRPr="00614AB8">
              <w:t>2</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1443EA">
            <w:pPr>
              <w:jc w:val="center"/>
            </w:pPr>
            <w:r w:rsidRPr="00614AB8">
              <w:t>3%</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1443EA">
            <w:pPr>
              <w:jc w:val="center"/>
            </w:pPr>
            <w:r w:rsidRPr="00614AB8">
              <w:t>0</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1443EA">
            <w:pPr>
              <w:jc w:val="center"/>
            </w:pPr>
            <w:r w:rsidRPr="00614AB8">
              <w:t>0%</w:t>
            </w:r>
          </w:p>
        </w:tc>
      </w:tr>
      <w:tr w:rsidR="002D2D5F" w:rsidRPr="00730D6C">
        <w:trPr>
          <w:trHeight w:val="168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Pr>
                <w:color w:val="000000"/>
                <w:sz w:val="18"/>
                <w:szCs w:val="20"/>
              </w:rPr>
              <w:t>1.</w:t>
            </w:r>
            <w:r w:rsidRPr="00730D6C">
              <w:rPr>
                <w:color w:val="000000"/>
                <w:sz w:val="18"/>
                <w:szCs w:val="20"/>
              </w:rPr>
              <w:t>6. Strengthened national capacity for inclusive governance and coordination of AIDS responses, and increased participation of civil society entities and people living with HIV in the design, implementation and evaluation of AIDS programmes</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1443EA">
            <w:pPr>
              <w:jc w:val="center"/>
            </w:pPr>
            <w:r w:rsidRPr="00614AB8">
              <w:t>16</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1443EA">
            <w:pPr>
              <w:jc w:val="center"/>
            </w:pPr>
            <w:r w:rsidRPr="00614AB8">
              <w:t>10%</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1443EA">
            <w:pPr>
              <w:jc w:val="center"/>
            </w:pPr>
            <w:r w:rsidRPr="00614AB8">
              <w:t>6</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1443EA">
            <w:pPr>
              <w:jc w:val="center"/>
            </w:pPr>
            <w:r w:rsidRPr="00614AB8">
              <w:t>13%</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1443EA">
            <w:pPr>
              <w:jc w:val="center"/>
            </w:pPr>
            <w:r w:rsidRPr="00614AB8">
              <w:t>11</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1443EA">
            <w:pPr>
              <w:jc w:val="center"/>
            </w:pPr>
            <w:r w:rsidRPr="00614AB8">
              <w:t>17%</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1443EA">
            <w:pPr>
              <w:jc w:val="center"/>
            </w:pPr>
            <w:r w:rsidRPr="00614AB8">
              <w:t>3</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1443EA">
            <w:pPr>
              <w:jc w:val="center"/>
            </w:pPr>
            <w:r w:rsidRPr="00614AB8">
              <w:t>4%</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1443EA">
            <w:pPr>
              <w:jc w:val="center"/>
            </w:pPr>
            <w:r w:rsidRPr="00614AB8">
              <w:t>2</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1443EA">
            <w:pPr>
              <w:jc w:val="center"/>
            </w:pPr>
            <w:r w:rsidRPr="00614AB8">
              <w:t>11%</w:t>
            </w:r>
          </w:p>
        </w:tc>
      </w:tr>
      <w:tr w:rsidR="002D2D5F" w:rsidRPr="00730D6C">
        <w:trPr>
          <w:trHeight w:val="140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Pr>
                <w:color w:val="000000"/>
                <w:sz w:val="18"/>
                <w:szCs w:val="20"/>
              </w:rPr>
              <w:t>1.</w:t>
            </w:r>
            <w:r w:rsidRPr="00730D6C">
              <w:rPr>
                <w:color w:val="000000"/>
                <w:sz w:val="18"/>
                <w:szCs w:val="20"/>
              </w:rPr>
              <w:t>7. Strengthened national capacities for implementation of AIDS funds and programmes financed through multilateral funding initiatives, including the Global Fund to fight AIDS, Tuberculosis, and Malaria</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1443EA">
            <w:pPr>
              <w:jc w:val="center"/>
            </w:pPr>
            <w:r w:rsidRPr="00614AB8">
              <w:t>11</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1443EA">
            <w:pPr>
              <w:jc w:val="center"/>
            </w:pPr>
            <w:r w:rsidRPr="00614AB8">
              <w:t>7%</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1443EA">
            <w:pPr>
              <w:jc w:val="center"/>
            </w:pPr>
            <w:r w:rsidRPr="00614AB8">
              <w:t>6</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1443EA">
            <w:pPr>
              <w:jc w:val="center"/>
            </w:pPr>
            <w:r w:rsidRPr="00614AB8">
              <w:t>13%</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1443EA">
            <w:pPr>
              <w:jc w:val="center"/>
            </w:pPr>
            <w:r w:rsidRPr="00614AB8">
              <w:t>8</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1443EA">
            <w:pPr>
              <w:jc w:val="center"/>
            </w:pPr>
            <w:r w:rsidRPr="00614AB8">
              <w:t>12%</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1443EA">
            <w:pPr>
              <w:jc w:val="center"/>
            </w:pPr>
            <w:r w:rsidRPr="00614AB8">
              <w:t>3</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1443EA">
            <w:pPr>
              <w:jc w:val="center"/>
            </w:pPr>
            <w:r w:rsidRPr="00614AB8">
              <w:t>4%</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1443EA">
            <w:pPr>
              <w:jc w:val="center"/>
            </w:pPr>
            <w:r w:rsidRPr="00614AB8">
              <w:t>0</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1443EA">
            <w:pPr>
              <w:jc w:val="center"/>
            </w:pPr>
            <w:r w:rsidRPr="00614AB8">
              <w:t>0%</w:t>
            </w:r>
          </w:p>
        </w:tc>
      </w:tr>
      <w:tr w:rsidR="002D2D5F" w:rsidRPr="00730D6C">
        <w:trPr>
          <w:trHeight w:val="28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sidRPr="00730D6C">
              <w:rPr>
                <w:color w:val="000000"/>
                <w:sz w:val="18"/>
                <w:szCs w:val="20"/>
              </w:rPr>
              <w:t>Unit-defined outcomes</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AB6EEF">
            <w:pPr>
              <w:spacing w:after="0"/>
              <w:jc w:val="center"/>
            </w:pPr>
            <w:r w:rsidRPr="00614AB8">
              <w:t>12</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AB6EEF">
            <w:pPr>
              <w:spacing w:after="0"/>
              <w:jc w:val="center"/>
            </w:pPr>
            <w:r w:rsidRPr="00614AB8">
              <w:t>8%</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AB6EEF">
            <w:pPr>
              <w:spacing w:after="0"/>
              <w:jc w:val="center"/>
            </w:pPr>
            <w:r w:rsidRPr="00614AB8">
              <w:t>1</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AB6EEF">
            <w:pPr>
              <w:spacing w:after="0"/>
              <w:jc w:val="center"/>
            </w:pPr>
            <w:r w:rsidRPr="00614AB8">
              <w:t>2%</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AB6EEF">
            <w:pPr>
              <w:spacing w:after="0"/>
              <w:jc w:val="center"/>
            </w:pPr>
            <w:r w:rsidRPr="00614AB8">
              <w:t>3</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AB6EEF">
            <w:pPr>
              <w:spacing w:after="0"/>
              <w:jc w:val="center"/>
            </w:pPr>
            <w:r w:rsidRPr="00614AB8">
              <w:t>5%</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AB6EEF">
            <w:pPr>
              <w:spacing w:after="0"/>
              <w:jc w:val="center"/>
            </w:pPr>
            <w:r w:rsidRPr="00614AB8">
              <w:t>8</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AB6EEF">
            <w:pPr>
              <w:spacing w:after="0"/>
              <w:jc w:val="center"/>
            </w:pPr>
            <w:r w:rsidRPr="00614AB8">
              <w:t>11%</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AB6EEF">
            <w:pPr>
              <w:spacing w:after="0"/>
              <w:jc w:val="center"/>
            </w:pPr>
            <w:r w:rsidRPr="00614AB8">
              <w:t>1</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614AB8" w:rsidRDefault="002D2D5F" w:rsidP="00AB6EEF">
            <w:pPr>
              <w:spacing w:after="0"/>
              <w:jc w:val="center"/>
            </w:pPr>
            <w:r w:rsidRPr="00614AB8">
              <w:t>5%</w:t>
            </w:r>
          </w:p>
        </w:tc>
      </w:tr>
      <w:tr w:rsidR="002D2D5F" w:rsidRPr="00730D6C">
        <w:trPr>
          <w:trHeight w:val="280"/>
        </w:trPr>
        <w:tc>
          <w:tcPr>
            <w:tcW w:w="4472" w:type="dxa"/>
            <w:tcBorders>
              <w:top w:val="nil"/>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b/>
                <w:bCs/>
                <w:color w:val="000000"/>
                <w:sz w:val="20"/>
                <w:szCs w:val="20"/>
              </w:rPr>
            </w:pPr>
            <w:r w:rsidRPr="00730D6C">
              <w:rPr>
                <w:b/>
                <w:bCs/>
                <w:color w:val="000000"/>
                <w:sz w:val="20"/>
                <w:szCs w:val="20"/>
              </w:rPr>
              <w:t>Focus area 1 total</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AB6EEF">
            <w:pPr>
              <w:spacing w:after="0"/>
              <w:jc w:val="center"/>
            </w:pPr>
            <w:r w:rsidRPr="00614AB8">
              <w:t>133</w:t>
            </w:r>
          </w:p>
        </w:tc>
        <w:tc>
          <w:tcPr>
            <w:tcW w:w="810" w:type="dxa"/>
            <w:tcBorders>
              <w:top w:val="nil"/>
              <w:left w:val="dashed" w:sz="4" w:space="0" w:color="auto"/>
              <w:bottom w:val="single" w:sz="4" w:space="0" w:color="auto"/>
              <w:right w:val="single" w:sz="4" w:space="0" w:color="auto"/>
            </w:tcBorders>
            <w:shd w:val="clear" w:color="auto" w:fill="auto"/>
            <w:noWrap/>
            <w:vAlign w:val="center"/>
          </w:tcPr>
          <w:p w:rsidR="002D2D5F" w:rsidRPr="00614AB8" w:rsidRDefault="002D2D5F" w:rsidP="00AB6EEF">
            <w:pPr>
              <w:spacing w:after="0"/>
              <w:jc w:val="center"/>
            </w:pPr>
            <w:r w:rsidRPr="00614AB8">
              <w:t>85%</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AB6EEF">
            <w:pPr>
              <w:spacing w:after="0"/>
              <w:jc w:val="center"/>
            </w:pPr>
            <w:r w:rsidRPr="00614AB8">
              <w:t>42</w:t>
            </w:r>
          </w:p>
        </w:tc>
        <w:tc>
          <w:tcPr>
            <w:tcW w:w="810" w:type="dxa"/>
            <w:tcBorders>
              <w:top w:val="nil"/>
              <w:left w:val="dashed" w:sz="4" w:space="0" w:color="auto"/>
              <w:bottom w:val="single" w:sz="4" w:space="0" w:color="auto"/>
              <w:right w:val="single" w:sz="4" w:space="0" w:color="auto"/>
            </w:tcBorders>
            <w:shd w:val="clear" w:color="auto" w:fill="auto"/>
            <w:noWrap/>
            <w:vAlign w:val="center"/>
          </w:tcPr>
          <w:p w:rsidR="002D2D5F" w:rsidRPr="00614AB8" w:rsidRDefault="002D2D5F" w:rsidP="00AB6EEF">
            <w:pPr>
              <w:spacing w:after="0"/>
              <w:jc w:val="center"/>
            </w:pPr>
            <w:r w:rsidRPr="00614AB8">
              <w:t>88%</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AB6EEF">
            <w:pPr>
              <w:spacing w:after="0"/>
              <w:jc w:val="center"/>
            </w:pPr>
            <w:r w:rsidRPr="00614AB8">
              <w:t>61</w:t>
            </w:r>
          </w:p>
        </w:tc>
        <w:tc>
          <w:tcPr>
            <w:tcW w:w="810" w:type="dxa"/>
            <w:tcBorders>
              <w:top w:val="nil"/>
              <w:left w:val="dashed" w:sz="4" w:space="0" w:color="auto"/>
              <w:bottom w:val="single" w:sz="4" w:space="0" w:color="auto"/>
              <w:right w:val="single" w:sz="4" w:space="0" w:color="auto"/>
            </w:tcBorders>
            <w:shd w:val="clear" w:color="auto" w:fill="auto"/>
            <w:noWrap/>
            <w:vAlign w:val="center"/>
          </w:tcPr>
          <w:p w:rsidR="002D2D5F" w:rsidRPr="00614AB8" w:rsidRDefault="002D2D5F" w:rsidP="00AB6EEF">
            <w:pPr>
              <w:spacing w:after="0"/>
              <w:jc w:val="center"/>
            </w:pPr>
            <w:r w:rsidRPr="00614AB8">
              <w:t>92%</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AB6EEF">
            <w:pPr>
              <w:spacing w:after="0"/>
              <w:jc w:val="center"/>
            </w:pPr>
            <w:r w:rsidRPr="00614AB8">
              <w:t>62</w:t>
            </w:r>
          </w:p>
        </w:tc>
        <w:tc>
          <w:tcPr>
            <w:tcW w:w="720" w:type="dxa"/>
            <w:tcBorders>
              <w:top w:val="nil"/>
              <w:left w:val="dashed" w:sz="4" w:space="0" w:color="auto"/>
              <w:bottom w:val="single" w:sz="4" w:space="0" w:color="auto"/>
              <w:right w:val="single" w:sz="4" w:space="0" w:color="auto"/>
            </w:tcBorders>
            <w:shd w:val="clear" w:color="auto" w:fill="auto"/>
            <w:noWrap/>
            <w:vAlign w:val="center"/>
          </w:tcPr>
          <w:p w:rsidR="002D2D5F" w:rsidRPr="00614AB8" w:rsidRDefault="002D2D5F" w:rsidP="00AB6EEF">
            <w:pPr>
              <w:spacing w:after="0"/>
              <w:jc w:val="center"/>
            </w:pPr>
            <w:r w:rsidRPr="00614AB8">
              <w:t>86%</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614AB8" w:rsidRDefault="002D2D5F" w:rsidP="00AB6EEF">
            <w:pPr>
              <w:spacing w:after="0"/>
              <w:jc w:val="center"/>
            </w:pPr>
            <w:r w:rsidRPr="00614AB8">
              <w:t>10</w:t>
            </w:r>
          </w:p>
        </w:tc>
        <w:tc>
          <w:tcPr>
            <w:tcW w:w="810" w:type="dxa"/>
            <w:tcBorders>
              <w:top w:val="nil"/>
              <w:left w:val="dashed" w:sz="4" w:space="0" w:color="auto"/>
              <w:bottom w:val="single" w:sz="4" w:space="0" w:color="auto"/>
              <w:right w:val="single" w:sz="4" w:space="0" w:color="auto"/>
            </w:tcBorders>
            <w:shd w:val="clear" w:color="auto" w:fill="auto"/>
            <w:noWrap/>
            <w:vAlign w:val="center"/>
          </w:tcPr>
          <w:p w:rsidR="002D2D5F" w:rsidRDefault="002D2D5F" w:rsidP="00AB6EEF">
            <w:pPr>
              <w:spacing w:after="0"/>
              <w:jc w:val="center"/>
            </w:pPr>
            <w:r w:rsidRPr="00614AB8">
              <w:t>53%</w:t>
            </w:r>
          </w:p>
        </w:tc>
      </w:tr>
      <w:tr w:rsidR="00A7329F" w:rsidRPr="00730D6C">
        <w:trPr>
          <w:trHeight w:val="300"/>
        </w:trPr>
        <w:tc>
          <w:tcPr>
            <w:tcW w:w="14012" w:type="dxa"/>
            <w:gridSpan w:val="11"/>
            <w:tcBorders>
              <w:top w:val="single" w:sz="4" w:space="0" w:color="auto"/>
              <w:left w:val="single" w:sz="4" w:space="0" w:color="auto"/>
              <w:bottom w:val="single" w:sz="4" w:space="0" w:color="auto"/>
              <w:right w:val="nil"/>
            </w:tcBorders>
            <w:shd w:val="clear" w:color="auto" w:fill="CCFFCC"/>
            <w:vAlign w:val="center"/>
          </w:tcPr>
          <w:p w:rsidR="00A7329F" w:rsidRPr="00730D6C" w:rsidRDefault="00A7329F" w:rsidP="00BA40DA">
            <w:pPr>
              <w:spacing w:before="120" w:after="120"/>
              <w:jc w:val="center"/>
              <w:rPr>
                <w:b/>
                <w:bCs/>
                <w:color w:val="000000"/>
                <w:sz w:val="20"/>
                <w:szCs w:val="20"/>
              </w:rPr>
            </w:pPr>
            <w:r w:rsidRPr="00730D6C">
              <w:rPr>
                <w:b/>
                <w:bCs/>
                <w:color w:val="000000"/>
                <w:sz w:val="20"/>
                <w:szCs w:val="20"/>
              </w:rPr>
              <w:t>Focus area 2: Fostering democratic governance</w:t>
            </w:r>
          </w:p>
        </w:tc>
      </w:tr>
      <w:tr w:rsidR="002D2D5F" w:rsidRPr="00730D6C">
        <w:trPr>
          <w:trHeight w:val="112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Pr>
                <w:color w:val="000000"/>
                <w:sz w:val="18"/>
                <w:szCs w:val="20"/>
              </w:rPr>
              <w:lastRenderedPageBreak/>
              <w:t>2.1</w:t>
            </w:r>
            <w:r w:rsidRPr="00730D6C">
              <w:rPr>
                <w:color w:val="000000"/>
                <w:sz w:val="18"/>
                <w:szCs w:val="20"/>
              </w:rPr>
              <w:t>. Civil society, including civil society organi</w:t>
            </w:r>
            <w:r>
              <w:rPr>
                <w:color w:val="000000"/>
                <w:sz w:val="18"/>
                <w:szCs w:val="20"/>
              </w:rPr>
              <w:t>s</w:t>
            </w:r>
            <w:r w:rsidRPr="00730D6C">
              <w:rPr>
                <w:color w:val="000000"/>
                <w:sz w:val="18"/>
                <w:szCs w:val="20"/>
              </w:rPr>
              <w:t>ations and voluntary associations, and the private sector contribute to the MDGs in support of national planning strategies and policies</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14</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9%</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4</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8%</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6</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9%</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6</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8%</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2</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11%</w:t>
            </w:r>
          </w:p>
        </w:tc>
      </w:tr>
      <w:tr w:rsidR="002D2D5F" w:rsidRPr="00730D6C">
        <w:trPr>
          <w:trHeight w:val="84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Pr>
                <w:color w:val="000000"/>
                <w:sz w:val="18"/>
                <w:szCs w:val="20"/>
              </w:rPr>
              <w:t>2.2</w:t>
            </w:r>
            <w:r w:rsidRPr="00730D6C">
              <w:rPr>
                <w:color w:val="000000"/>
                <w:sz w:val="18"/>
                <w:szCs w:val="20"/>
              </w:rPr>
              <w:t>. Electoral laws, processes and institutions strengthen inclusive participation and professional electoral administration</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25</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16%</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8</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17%</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15</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23%</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7</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10%</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3</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16%</w:t>
            </w:r>
          </w:p>
        </w:tc>
      </w:tr>
      <w:tr w:rsidR="002D2D5F" w:rsidRPr="00730D6C">
        <w:trPr>
          <w:trHeight w:val="56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Pr>
                <w:color w:val="000000"/>
                <w:sz w:val="18"/>
                <w:szCs w:val="20"/>
              </w:rPr>
              <w:t>2.3</w:t>
            </w:r>
            <w:r w:rsidRPr="00730D6C">
              <w:rPr>
                <w:color w:val="000000"/>
                <w:sz w:val="18"/>
                <w:szCs w:val="20"/>
              </w:rPr>
              <w:t>. Access to information policies support accountability and transparency</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10</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6%</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3</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6%</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2</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3%</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5</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7%</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3</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16%</w:t>
            </w:r>
          </w:p>
        </w:tc>
      </w:tr>
      <w:tr w:rsidR="002D2D5F" w:rsidRPr="00730D6C">
        <w:trPr>
          <w:trHeight w:val="112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Pr>
                <w:color w:val="000000"/>
                <w:sz w:val="18"/>
                <w:szCs w:val="20"/>
              </w:rPr>
              <w:t>2.4</w:t>
            </w:r>
            <w:r w:rsidRPr="00730D6C">
              <w:rPr>
                <w:color w:val="000000"/>
                <w:sz w:val="18"/>
                <w:szCs w:val="20"/>
              </w:rPr>
              <w:t>. National, regional and local levels of governance expand their capacities to reduce conflict and manage the equitable delivery of public services</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75</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48%</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28</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58%</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40</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61%</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31</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43%</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4</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21%</w:t>
            </w:r>
          </w:p>
        </w:tc>
      </w:tr>
      <w:tr w:rsidR="002D2D5F" w:rsidRPr="00730D6C">
        <w:trPr>
          <w:trHeight w:val="112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Pr>
                <w:color w:val="000000"/>
                <w:sz w:val="18"/>
                <w:szCs w:val="20"/>
              </w:rPr>
              <w:t>2.5</w:t>
            </w:r>
            <w:r w:rsidRPr="00730D6C">
              <w:rPr>
                <w:color w:val="000000"/>
                <w:sz w:val="18"/>
                <w:szCs w:val="20"/>
              </w:rPr>
              <w:t>. Legislatures, regional elected bodies and local assemblies have strengthened institutional capacity, enabling them to represent their constituents more effectively</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18</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11%</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7</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15%</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8</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12%</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9</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13%</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1</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5%</w:t>
            </w:r>
          </w:p>
        </w:tc>
      </w:tr>
      <w:tr w:rsidR="002D2D5F" w:rsidRPr="00730D6C">
        <w:trPr>
          <w:trHeight w:val="140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Pr>
                <w:color w:val="000000"/>
                <w:sz w:val="18"/>
                <w:szCs w:val="20"/>
              </w:rPr>
              <w:t>2.6</w:t>
            </w:r>
            <w:r w:rsidRPr="00730D6C">
              <w:rPr>
                <w:color w:val="000000"/>
                <w:sz w:val="18"/>
                <w:szCs w:val="20"/>
              </w:rPr>
              <w:t>. Effective, responsive, accessible and fair justice systems promote the rule of law, including both formal and informal processes, with due consideration on the rights of the poor, women and vulnerable groups</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24</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15%</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7</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15%</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15</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23%</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9</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13%</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0</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0%</w:t>
            </w:r>
          </w:p>
        </w:tc>
      </w:tr>
      <w:tr w:rsidR="002D2D5F" w:rsidRPr="00730D6C">
        <w:trPr>
          <w:trHeight w:val="56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Pr>
                <w:color w:val="000000"/>
                <w:sz w:val="18"/>
                <w:szCs w:val="20"/>
              </w:rPr>
              <w:t>2.7</w:t>
            </w:r>
            <w:r w:rsidRPr="00730D6C">
              <w:rPr>
                <w:color w:val="000000"/>
                <w:sz w:val="18"/>
                <w:szCs w:val="20"/>
              </w:rPr>
              <w:t>. Strengthened capacities of human rights institutions</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AB6EEF">
            <w:pPr>
              <w:spacing w:after="0"/>
              <w:jc w:val="center"/>
            </w:pPr>
            <w:r w:rsidRPr="00E51CE5">
              <w:t>26</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AB6EEF">
            <w:pPr>
              <w:spacing w:after="0"/>
              <w:jc w:val="center"/>
            </w:pPr>
            <w:r w:rsidRPr="00E51CE5">
              <w:t>17%</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AB6EEF">
            <w:pPr>
              <w:spacing w:after="0"/>
              <w:jc w:val="center"/>
            </w:pPr>
            <w:r w:rsidRPr="00E51CE5">
              <w:t>7</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AB6EEF">
            <w:pPr>
              <w:spacing w:after="0"/>
              <w:jc w:val="center"/>
            </w:pPr>
            <w:r w:rsidRPr="00E51CE5">
              <w:t>15%</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AB6EEF">
            <w:pPr>
              <w:spacing w:after="0"/>
              <w:jc w:val="center"/>
            </w:pPr>
            <w:r w:rsidRPr="00E51CE5">
              <w:t>7</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AB6EEF">
            <w:pPr>
              <w:spacing w:after="0"/>
              <w:jc w:val="center"/>
            </w:pPr>
            <w:r w:rsidRPr="00E51CE5">
              <w:t>11%</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AB6EEF">
            <w:pPr>
              <w:spacing w:after="0"/>
              <w:jc w:val="center"/>
            </w:pPr>
            <w:r w:rsidRPr="00E51CE5">
              <w:t>17</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AB6EEF">
            <w:pPr>
              <w:spacing w:after="0"/>
              <w:jc w:val="center"/>
            </w:pPr>
            <w:r w:rsidRPr="00E51CE5">
              <w:t>24%</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AB6EEF">
            <w:pPr>
              <w:spacing w:after="0"/>
              <w:jc w:val="center"/>
            </w:pPr>
            <w:r w:rsidRPr="00E51CE5">
              <w:t>2</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AB6EEF">
            <w:pPr>
              <w:spacing w:after="0"/>
              <w:jc w:val="center"/>
            </w:pPr>
            <w:r w:rsidRPr="00E51CE5">
              <w:t>11%</w:t>
            </w:r>
          </w:p>
        </w:tc>
      </w:tr>
      <w:tr w:rsidR="002D2D5F" w:rsidRPr="00730D6C">
        <w:trPr>
          <w:trHeight w:val="112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Pr>
                <w:color w:val="000000"/>
                <w:sz w:val="18"/>
                <w:szCs w:val="20"/>
              </w:rPr>
              <w:lastRenderedPageBreak/>
              <w:t>2.8</w:t>
            </w:r>
            <w:r w:rsidRPr="00730D6C">
              <w:rPr>
                <w:color w:val="000000"/>
                <w:sz w:val="18"/>
                <w:szCs w:val="20"/>
              </w:rPr>
              <w:t>. Strengthened national-, regional- and local-level capacity to mainstream gender equality and women’s empowerment in government policies and institutions</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18</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11%</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4</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8%</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8</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12%</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7</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10%</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3</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16%</w:t>
            </w:r>
          </w:p>
        </w:tc>
      </w:tr>
      <w:tr w:rsidR="002D2D5F" w:rsidRPr="00730D6C">
        <w:trPr>
          <w:trHeight w:val="56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Pr>
                <w:color w:val="000000"/>
                <w:sz w:val="18"/>
                <w:szCs w:val="20"/>
              </w:rPr>
              <w:t>2.9</w:t>
            </w:r>
            <w:r w:rsidRPr="00730D6C">
              <w:rPr>
                <w:color w:val="000000"/>
                <w:sz w:val="18"/>
                <w:szCs w:val="20"/>
              </w:rPr>
              <w:t>. Strengthened national-, regional- and local-level capacity to implement anti-corruption activities</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7</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4%</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2</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4%</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5</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8%</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2</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3%</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1443EA">
            <w:pPr>
              <w:jc w:val="center"/>
            </w:pPr>
            <w:r w:rsidRPr="00E51CE5">
              <w:t>0</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1443EA">
            <w:pPr>
              <w:jc w:val="center"/>
            </w:pPr>
            <w:r w:rsidRPr="00E51CE5">
              <w:t>0%</w:t>
            </w:r>
          </w:p>
        </w:tc>
      </w:tr>
      <w:tr w:rsidR="002D2D5F" w:rsidRPr="00730D6C">
        <w:trPr>
          <w:trHeight w:val="28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sidRPr="00730D6C">
              <w:rPr>
                <w:color w:val="000000"/>
                <w:sz w:val="18"/>
                <w:szCs w:val="20"/>
              </w:rPr>
              <w:t>Unit-defined outcomes</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AB6EEF">
            <w:pPr>
              <w:spacing w:after="0"/>
              <w:jc w:val="center"/>
            </w:pPr>
            <w:r w:rsidRPr="00E51CE5">
              <w:t>22</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AB6EEF">
            <w:pPr>
              <w:spacing w:after="0"/>
              <w:jc w:val="center"/>
            </w:pPr>
            <w:r w:rsidRPr="00E51CE5">
              <w:t>14%</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AB6EEF">
            <w:pPr>
              <w:spacing w:after="0"/>
              <w:jc w:val="center"/>
            </w:pPr>
            <w:r w:rsidRPr="00E51CE5">
              <w:t>9</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AB6EEF">
            <w:pPr>
              <w:spacing w:after="0"/>
              <w:jc w:val="center"/>
            </w:pPr>
            <w:r w:rsidRPr="00E51CE5">
              <w:t>19%</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AB6EEF">
            <w:pPr>
              <w:spacing w:after="0"/>
              <w:jc w:val="center"/>
            </w:pPr>
            <w:r w:rsidRPr="00E51CE5">
              <w:t>10</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AB6EEF">
            <w:pPr>
              <w:spacing w:after="0"/>
              <w:jc w:val="center"/>
            </w:pPr>
            <w:r w:rsidRPr="00E51CE5">
              <w:t>15%</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AB6EEF">
            <w:pPr>
              <w:spacing w:after="0"/>
              <w:jc w:val="center"/>
            </w:pPr>
            <w:r w:rsidRPr="00E51CE5">
              <w:t>8</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AB6EEF">
            <w:pPr>
              <w:spacing w:after="0"/>
              <w:jc w:val="center"/>
            </w:pPr>
            <w:r w:rsidRPr="00E51CE5">
              <w:t>11%</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AB6EEF">
            <w:pPr>
              <w:spacing w:after="0"/>
              <w:jc w:val="center"/>
            </w:pPr>
            <w:r w:rsidRPr="00E51CE5">
              <w:t>4</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E51CE5" w:rsidRDefault="002D2D5F" w:rsidP="00AB6EEF">
            <w:pPr>
              <w:spacing w:after="0"/>
              <w:jc w:val="center"/>
            </w:pPr>
            <w:r w:rsidRPr="00E51CE5">
              <w:t>21%</w:t>
            </w:r>
          </w:p>
        </w:tc>
      </w:tr>
      <w:tr w:rsidR="002D2D5F" w:rsidRPr="00730D6C">
        <w:trPr>
          <w:trHeight w:val="280"/>
        </w:trPr>
        <w:tc>
          <w:tcPr>
            <w:tcW w:w="4472" w:type="dxa"/>
            <w:tcBorders>
              <w:top w:val="nil"/>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b/>
                <w:bCs/>
                <w:color w:val="000000"/>
                <w:sz w:val="20"/>
                <w:szCs w:val="20"/>
              </w:rPr>
            </w:pPr>
            <w:r w:rsidRPr="00730D6C">
              <w:rPr>
                <w:b/>
                <w:bCs/>
                <w:color w:val="000000"/>
                <w:sz w:val="20"/>
                <w:szCs w:val="20"/>
              </w:rPr>
              <w:t>Focus area 2 total</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AB6EEF">
            <w:pPr>
              <w:spacing w:after="0"/>
              <w:jc w:val="center"/>
            </w:pPr>
            <w:r w:rsidRPr="00E51CE5">
              <w:t>131</w:t>
            </w:r>
          </w:p>
        </w:tc>
        <w:tc>
          <w:tcPr>
            <w:tcW w:w="810" w:type="dxa"/>
            <w:tcBorders>
              <w:top w:val="nil"/>
              <w:left w:val="dashed" w:sz="4" w:space="0" w:color="auto"/>
              <w:bottom w:val="single" w:sz="4" w:space="0" w:color="auto"/>
              <w:right w:val="single" w:sz="4" w:space="0" w:color="auto"/>
            </w:tcBorders>
            <w:shd w:val="clear" w:color="auto" w:fill="auto"/>
            <w:noWrap/>
            <w:vAlign w:val="center"/>
          </w:tcPr>
          <w:p w:rsidR="002D2D5F" w:rsidRPr="00E51CE5" w:rsidRDefault="002D2D5F" w:rsidP="00AB6EEF">
            <w:pPr>
              <w:spacing w:after="0"/>
              <w:jc w:val="center"/>
            </w:pPr>
            <w:r w:rsidRPr="00E51CE5">
              <w:t>83%</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AB6EEF">
            <w:pPr>
              <w:spacing w:after="0"/>
              <w:jc w:val="center"/>
            </w:pPr>
            <w:r w:rsidRPr="00E51CE5">
              <w:t>44</w:t>
            </w:r>
          </w:p>
        </w:tc>
        <w:tc>
          <w:tcPr>
            <w:tcW w:w="810" w:type="dxa"/>
            <w:tcBorders>
              <w:top w:val="nil"/>
              <w:left w:val="dashed" w:sz="4" w:space="0" w:color="auto"/>
              <w:bottom w:val="single" w:sz="4" w:space="0" w:color="auto"/>
              <w:right w:val="single" w:sz="4" w:space="0" w:color="auto"/>
            </w:tcBorders>
            <w:shd w:val="clear" w:color="auto" w:fill="auto"/>
            <w:noWrap/>
            <w:vAlign w:val="center"/>
          </w:tcPr>
          <w:p w:rsidR="002D2D5F" w:rsidRPr="00E51CE5" w:rsidRDefault="002D2D5F" w:rsidP="00AB6EEF">
            <w:pPr>
              <w:spacing w:after="0"/>
              <w:jc w:val="center"/>
            </w:pPr>
            <w:r w:rsidRPr="00E51CE5">
              <w:t>92%</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AB6EEF">
            <w:pPr>
              <w:spacing w:after="0"/>
              <w:jc w:val="center"/>
            </w:pPr>
            <w:r w:rsidRPr="00E51CE5">
              <w:t>61</w:t>
            </w:r>
          </w:p>
        </w:tc>
        <w:tc>
          <w:tcPr>
            <w:tcW w:w="810" w:type="dxa"/>
            <w:tcBorders>
              <w:top w:val="nil"/>
              <w:left w:val="dashed" w:sz="4" w:space="0" w:color="auto"/>
              <w:bottom w:val="single" w:sz="4" w:space="0" w:color="auto"/>
              <w:right w:val="single" w:sz="4" w:space="0" w:color="auto"/>
            </w:tcBorders>
            <w:shd w:val="clear" w:color="auto" w:fill="auto"/>
            <w:noWrap/>
            <w:vAlign w:val="center"/>
          </w:tcPr>
          <w:p w:rsidR="002D2D5F" w:rsidRPr="00E51CE5" w:rsidRDefault="002D2D5F" w:rsidP="00AB6EEF">
            <w:pPr>
              <w:spacing w:after="0"/>
              <w:jc w:val="center"/>
            </w:pPr>
            <w:r w:rsidRPr="00E51CE5">
              <w:t>92%</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AB6EEF">
            <w:pPr>
              <w:spacing w:after="0"/>
              <w:jc w:val="center"/>
            </w:pPr>
            <w:r w:rsidRPr="00E51CE5">
              <w:t>58</w:t>
            </w:r>
          </w:p>
        </w:tc>
        <w:tc>
          <w:tcPr>
            <w:tcW w:w="720" w:type="dxa"/>
            <w:tcBorders>
              <w:top w:val="nil"/>
              <w:left w:val="dashed" w:sz="4" w:space="0" w:color="auto"/>
              <w:bottom w:val="single" w:sz="4" w:space="0" w:color="auto"/>
              <w:right w:val="single" w:sz="4" w:space="0" w:color="auto"/>
            </w:tcBorders>
            <w:shd w:val="clear" w:color="auto" w:fill="auto"/>
            <w:noWrap/>
            <w:vAlign w:val="center"/>
          </w:tcPr>
          <w:p w:rsidR="002D2D5F" w:rsidRPr="00E51CE5" w:rsidRDefault="002D2D5F" w:rsidP="00AB6EEF">
            <w:pPr>
              <w:spacing w:after="0"/>
              <w:jc w:val="center"/>
            </w:pPr>
            <w:r w:rsidRPr="00E51CE5">
              <w:t>81%</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E51CE5" w:rsidRDefault="002D2D5F" w:rsidP="00AB6EEF">
            <w:pPr>
              <w:spacing w:after="0"/>
              <w:jc w:val="center"/>
            </w:pPr>
            <w:r w:rsidRPr="00E51CE5">
              <w:t>12</w:t>
            </w:r>
          </w:p>
        </w:tc>
        <w:tc>
          <w:tcPr>
            <w:tcW w:w="810" w:type="dxa"/>
            <w:tcBorders>
              <w:top w:val="nil"/>
              <w:left w:val="dashed" w:sz="4" w:space="0" w:color="auto"/>
              <w:bottom w:val="single" w:sz="4" w:space="0" w:color="auto"/>
              <w:right w:val="single" w:sz="4" w:space="0" w:color="auto"/>
            </w:tcBorders>
            <w:shd w:val="clear" w:color="auto" w:fill="auto"/>
            <w:noWrap/>
            <w:vAlign w:val="center"/>
          </w:tcPr>
          <w:p w:rsidR="002D2D5F" w:rsidRDefault="002D2D5F" w:rsidP="00AB6EEF">
            <w:pPr>
              <w:spacing w:after="0"/>
              <w:jc w:val="center"/>
            </w:pPr>
            <w:r w:rsidRPr="00E51CE5">
              <w:t>63%</w:t>
            </w:r>
          </w:p>
        </w:tc>
      </w:tr>
      <w:tr w:rsidR="00A7329F" w:rsidRPr="00730D6C">
        <w:trPr>
          <w:trHeight w:val="280"/>
        </w:trPr>
        <w:tc>
          <w:tcPr>
            <w:tcW w:w="14012"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rsidR="00A7329F" w:rsidRPr="00730D6C" w:rsidRDefault="00A7329F" w:rsidP="00BA40DA">
            <w:pPr>
              <w:spacing w:before="120" w:after="120"/>
              <w:jc w:val="center"/>
              <w:rPr>
                <w:b/>
                <w:bCs/>
                <w:color w:val="000000"/>
                <w:sz w:val="20"/>
                <w:szCs w:val="20"/>
              </w:rPr>
            </w:pPr>
            <w:r w:rsidRPr="00730D6C">
              <w:rPr>
                <w:b/>
                <w:bCs/>
                <w:color w:val="000000"/>
                <w:sz w:val="20"/>
                <w:szCs w:val="20"/>
              </w:rPr>
              <w:t xml:space="preserve"> Focus area 3: Supporting crisis prevention and recovery </w:t>
            </w:r>
          </w:p>
        </w:tc>
      </w:tr>
      <w:tr w:rsidR="002D2D5F" w:rsidRPr="00730D6C">
        <w:trPr>
          <w:trHeight w:val="112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Pr>
                <w:color w:val="000000"/>
                <w:sz w:val="18"/>
                <w:szCs w:val="20"/>
              </w:rPr>
              <w:t>3.1</w:t>
            </w:r>
            <w:r w:rsidRPr="00730D6C">
              <w:rPr>
                <w:color w:val="000000"/>
                <w:sz w:val="18"/>
                <w:szCs w:val="20"/>
              </w:rPr>
              <w:t>. National and local institutions have the capacities to reduce the impact of disasters, especially climate change related disasters on vulnerable communities</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25</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16%</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8</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17%</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12</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18%</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11</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15%</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2</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11%</w:t>
            </w:r>
          </w:p>
        </w:tc>
      </w:tr>
      <w:tr w:rsidR="002D2D5F" w:rsidRPr="00730D6C">
        <w:trPr>
          <w:trHeight w:val="84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Pr>
                <w:color w:val="000000"/>
                <w:sz w:val="18"/>
                <w:szCs w:val="20"/>
              </w:rPr>
              <w:t>3.2</w:t>
            </w:r>
            <w:r w:rsidRPr="00730D6C">
              <w:rPr>
                <w:color w:val="000000"/>
                <w:sz w:val="18"/>
                <w:szCs w:val="20"/>
              </w:rPr>
              <w:t>. National and local institutions have the capacities to prevent, reduce and mitigate the impact of conflict in countries at risk of conflict</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12</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8%</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7</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15%</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10</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15%</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2</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3%</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0</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0%</w:t>
            </w:r>
          </w:p>
        </w:tc>
      </w:tr>
      <w:tr w:rsidR="002D2D5F" w:rsidRPr="00730D6C">
        <w:trPr>
          <w:trHeight w:val="84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Pr>
                <w:color w:val="000000"/>
                <w:sz w:val="18"/>
                <w:szCs w:val="20"/>
              </w:rPr>
              <w:t>3.3</w:t>
            </w:r>
            <w:r w:rsidRPr="00730D6C">
              <w:rPr>
                <w:color w:val="000000"/>
                <w:sz w:val="18"/>
                <w:szCs w:val="20"/>
              </w:rPr>
              <w:t>. National and local institutions have the capacities to fulfill key functions of government in early post-crisis situations for recovery</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9</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6%</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1</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2%</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3</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5%</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4</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6%</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2</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11%</w:t>
            </w:r>
          </w:p>
        </w:tc>
      </w:tr>
      <w:tr w:rsidR="002D2D5F" w:rsidRPr="00730D6C">
        <w:trPr>
          <w:trHeight w:val="140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Pr>
                <w:color w:val="000000"/>
                <w:sz w:val="18"/>
                <w:szCs w:val="20"/>
              </w:rPr>
              <w:t>3.4</w:t>
            </w:r>
            <w:r w:rsidRPr="00730D6C">
              <w:rPr>
                <w:color w:val="000000"/>
                <w:sz w:val="18"/>
                <w:szCs w:val="20"/>
              </w:rPr>
              <w:t>. National and local institutions have the capacity to respond to gender-based violence and to increase women’s civic engagement, participation and leadership in crisis prevention, ongoing crisis and post-crisis contexts</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1</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1%</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0</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0%</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1</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2%</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0</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0%</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0</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0%</w:t>
            </w:r>
          </w:p>
        </w:tc>
      </w:tr>
      <w:tr w:rsidR="002D2D5F" w:rsidRPr="00730D6C">
        <w:trPr>
          <w:trHeight w:val="84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Pr>
                <w:color w:val="000000"/>
                <w:sz w:val="18"/>
                <w:szCs w:val="20"/>
              </w:rPr>
              <w:lastRenderedPageBreak/>
              <w:t>3.5</w:t>
            </w:r>
            <w:r w:rsidRPr="00730D6C">
              <w:rPr>
                <w:color w:val="000000"/>
                <w:sz w:val="18"/>
                <w:szCs w:val="20"/>
              </w:rPr>
              <w:t>. National and local institutions have the capacity to deliver improved justice and security in conflict and post-conflict and fragile settings</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8</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5%</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3</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6%</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4</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6%</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2</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3%</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2</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11%</w:t>
            </w:r>
          </w:p>
        </w:tc>
      </w:tr>
      <w:tr w:rsidR="002D2D5F" w:rsidRPr="00730D6C">
        <w:trPr>
          <w:trHeight w:val="140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Pr>
                <w:color w:val="000000"/>
                <w:sz w:val="18"/>
                <w:szCs w:val="20"/>
              </w:rPr>
              <w:t>3.6</w:t>
            </w:r>
            <w:r w:rsidRPr="00730D6C">
              <w:rPr>
                <w:color w:val="000000"/>
                <w:sz w:val="18"/>
                <w:szCs w:val="20"/>
              </w:rPr>
              <w:t>. Livelihoods and economic recovery programmes, including infrastructure restoration, generate employment and sustainable income earning opportunities for crisis affected communities</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12</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8%</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5</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10%</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9</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14%</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2</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3%</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1443EA">
            <w:pPr>
              <w:jc w:val="center"/>
            </w:pPr>
            <w:r w:rsidRPr="00B113FA">
              <w:t>1</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1443EA">
            <w:pPr>
              <w:jc w:val="center"/>
            </w:pPr>
            <w:r w:rsidRPr="00B113FA">
              <w:t>5%</w:t>
            </w:r>
          </w:p>
        </w:tc>
      </w:tr>
      <w:tr w:rsidR="002D2D5F" w:rsidRPr="00730D6C">
        <w:trPr>
          <w:trHeight w:val="28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sidRPr="00730D6C">
              <w:rPr>
                <w:color w:val="000000"/>
                <w:sz w:val="18"/>
                <w:szCs w:val="20"/>
              </w:rPr>
              <w:t>Unit-defined outcomes</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AB6EEF">
            <w:pPr>
              <w:spacing w:after="0"/>
              <w:jc w:val="center"/>
            </w:pPr>
            <w:r w:rsidRPr="00B113FA">
              <w:t>13</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AB6EEF">
            <w:pPr>
              <w:spacing w:after="0"/>
              <w:jc w:val="center"/>
            </w:pPr>
            <w:r w:rsidRPr="00B113FA">
              <w:t>8%</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AB6EEF">
            <w:pPr>
              <w:spacing w:after="0"/>
              <w:jc w:val="center"/>
            </w:pPr>
            <w:r w:rsidRPr="00B113FA">
              <w:t>4</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AB6EEF">
            <w:pPr>
              <w:spacing w:after="0"/>
              <w:jc w:val="center"/>
            </w:pPr>
            <w:r w:rsidRPr="00B113FA">
              <w:t>8%</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AB6EEF">
            <w:pPr>
              <w:spacing w:after="0"/>
              <w:jc w:val="center"/>
            </w:pPr>
            <w:r w:rsidRPr="00B113FA">
              <w:t>5</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AB6EEF">
            <w:pPr>
              <w:spacing w:after="0"/>
              <w:jc w:val="center"/>
            </w:pPr>
            <w:r w:rsidRPr="00B113FA">
              <w:t>8%</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AB6EEF">
            <w:pPr>
              <w:spacing w:after="0"/>
              <w:jc w:val="center"/>
            </w:pPr>
            <w:r w:rsidRPr="00B113FA">
              <w:t>7</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AB6EEF">
            <w:pPr>
              <w:spacing w:after="0"/>
              <w:jc w:val="center"/>
            </w:pPr>
            <w:r w:rsidRPr="00B113FA">
              <w:t>10%</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AB6EEF">
            <w:pPr>
              <w:spacing w:after="0"/>
              <w:jc w:val="center"/>
            </w:pPr>
            <w:r w:rsidRPr="00B113FA">
              <w:t>1</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B113FA" w:rsidRDefault="002D2D5F" w:rsidP="00AB6EEF">
            <w:pPr>
              <w:spacing w:after="0"/>
              <w:jc w:val="center"/>
            </w:pPr>
            <w:r w:rsidRPr="00B113FA">
              <w:t>5%</w:t>
            </w:r>
          </w:p>
        </w:tc>
      </w:tr>
      <w:tr w:rsidR="002D2D5F" w:rsidRPr="00730D6C">
        <w:trPr>
          <w:trHeight w:val="280"/>
        </w:trPr>
        <w:tc>
          <w:tcPr>
            <w:tcW w:w="4472" w:type="dxa"/>
            <w:tcBorders>
              <w:top w:val="nil"/>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b/>
                <w:bCs/>
                <w:color w:val="000000"/>
                <w:sz w:val="20"/>
                <w:szCs w:val="20"/>
              </w:rPr>
            </w:pPr>
            <w:r w:rsidRPr="00730D6C">
              <w:rPr>
                <w:b/>
                <w:bCs/>
                <w:color w:val="000000"/>
                <w:sz w:val="20"/>
                <w:szCs w:val="20"/>
              </w:rPr>
              <w:t>Focus area 3 total</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AB6EEF">
            <w:pPr>
              <w:spacing w:after="0"/>
              <w:jc w:val="center"/>
            </w:pPr>
            <w:r w:rsidRPr="00B113FA">
              <w:t>65</w:t>
            </w:r>
          </w:p>
        </w:tc>
        <w:tc>
          <w:tcPr>
            <w:tcW w:w="810" w:type="dxa"/>
            <w:tcBorders>
              <w:top w:val="nil"/>
              <w:left w:val="dashed" w:sz="4" w:space="0" w:color="auto"/>
              <w:bottom w:val="single" w:sz="4" w:space="0" w:color="auto"/>
              <w:right w:val="single" w:sz="4" w:space="0" w:color="auto"/>
            </w:tcBorders>
            <w:shd w:val="clear" w:color="auto" w:fill="auto"/>
            <w:noWrap/>
            <w:vAlign w:val="center"/>
          </w:tcPr>
          <w:p w:rsidR="002D2D5F" w:rsidRPr="00B113FA" w:rsidRDefault="002D2D5F" w:rsidP="00AB6EEF">
            <w:pPr>
              <w:spacing w:after="0"/>
              <w:jc w:val="center"/>
            </w:pPr>
            <w:r w:rsidRPr="00B113FA">
              <w:t>41%</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AB6EEF">
            <w:pPr>
              <w:spacing w:after="0"/>
              <w:jc w:val="center"/>
            </w:pPr>
            <w:r w:rsidRPr="00B113FA">
              <w:t>26</w:t>
            </w:r>
          </w:p>
        </w:tc>
        <w:tc>
          <w:tcPr>
            <w:tcW w:w="810" w:type="dxa"/>
            <w:tcBorders>
              <w:top w:val="nil"/>
              <w:left w:val="dashed" w:sz="4" w:space="0" w:color="auto"/>
              <w:bottom w:val="single" w:sz="4" w:space="0" w:color="auto"/>
              <w:right w:val="single" w:sz="4" w:space="0" w:color="auto"/>
            </w:tcBorders>
            <w:shd w:val="clear" w:color="auto" w:fill="auto"/>
            <w:noWrap/>
            <w:vAlign w:val="center"/>
          </w:tcPr>
          <w:p w:rsidR="002D2D5F" w:rsidRPr="00B113FA" w:rsidRDefault="002D2D5F" w:rsidP="00AB6EEF">
            <w:pPr>
              <w:spacing w:after="0"/>
              <w:jc w:val="center"/>
            </w:pPr>
            <w:r w:rsidRPr="00B113FA">
              <w:t>54%</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AB6EEF">
            <w:pPr>
              <w:spacing w:after="0"/>
              <w:jc w:val="center"/>
            </w:pPr>
            <w:r w:rsidRPr="00B113FA">
              <w:t>37</w:t>
            </w:r>
          </w:p>
        </w:tc>
        <w:tc>
          <w:tcPr>
            <w:tcW w:w="810" w:type="dxa"/>
            <w:tcBorders>
              <w:top w:val="nil"/>
              <w:left w:val="dashed" w:sz="4" w:space="0" w:color="auto"/>
              <w:bottom w:val="single" w:sz="4" w:space="0" w:color="auto"/>
              <w:right w:val="single" w:sz="4" w:space="0" w:color="auto"/>
            </w:tcBorders>
            <w:shd w:val="clear" w:color="auto" w:fill="auto"/>
            <w:noWrap/>
            <w:vAlign w:val="center"/>
          </w:tcPr>
          <w:p w:rsidR="002D2D5F" w:rsidRPr="00B113FA" w:rsidRDefault="002D2D5F" w:rsidP="00AB6EEF">
            <w:pPr>
              <w:spacing w:after="0"/>
              <w:jc w:val="center"/>
            </w:pPr>
            <w:r w:rsidRPr="00B113FA">
              <w:t>56%</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AB6EEF">
            <w:pPr>
              <w:spacing w:after="0"/>
              <w:jc w:val="center"/>
            </w:pPr>
            <w:r w:rsidRPr="00B113FA">
              <w:t>22</w:t>
            </w:r>
          </w:p>
        </w:tc>
        <w:tc>
          <w:tcPr>
            <w:tcW w:w="720" w:type="dxa"/>
            <w:tcBorders>
              <w:top w:val="nil"/>
              <w:left w:val="dashed" w:sz="4" w:space="0" w:color="auto"/>
              <w:bottom w:val="single" w:sz="4" w:space="0" w:color="auto"/>
              <w:right w:val="single" w:sz="4" w:space="0" w:color="auto"/>
            </w:tcBorders>
            <w:shd w:val="clear" w:color="auto" w:fill="auto"/>
            <w:noWrap/>
            <w:vAlign w:val="center"/>
          </w:tcPr>
          <w:p w:rsidR="002D2D5F" w:rsidRPr="00B113FA" w:rsidRDefault="002D2D5F" w:rsidP="00AB6EEF">
            <w:pPr>
              <w:spacing w:after="0"/>
              <w:jc w:val="center"/>
            </w:pPr>
            <w:r w:rsidRPr="00B113FA">
              <w:t>31%</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B113FA" w:rsidRDefault="002D2D5F" w:rsidP="00AB6EEF">
            <w:pPr>
              <w:spacing w:after="0"/>
              <w:jc w:val="center"/>
            </w:pPr>
            <w:r w:rsidRPr="00B113FA">
              <w:t>6</w:t>
            </w:r>
          </w:p>
        </w:tc>
        <w:tc>
          <w:tcPr>
            <w:tcW w:w="810" w:type="dxa"/>
            <w:tcBorders>
              <w:top w:val="nil"/>
              <w:left w:val="dashed" w:sz="4" w:space="0" w:color="auto"/>
              <w:bottom w:val="single" w:sz="4" w:space="0" w:color="auto"/>
              <w:right w:val="single" w:sz="4" w:space="0" w:color="auto"/>
            </w:tcBorders>
            <w:shd w:val="clear" w:color="auto" w:fill="auto"/>
            <w:noWrap/>
            <w:vAlign w:val="center"/>
          </w:tcPr>
          <w:p w:rsidR="002D2D5F" w:rsidRDefault="002D2D5F" w:rsidP="00AB6EEF">
            <w:pPr>
              <w:spacing w:after="0"/>
              <w:jc w:val="center"/>
            </w:pPr>
            <w:r w:rsidRPr="00B113FA">
              <w:t>32%</w:t>
            </w:r>
          </w:p>
        </w:tc>
      </w:tr>
      <w:tr w:rsidR="00A7329F" w:rsidRPr="00730D6C">
        <w:trPr>
          <w:trHeight w:val="280"/>
        </w:trPr>
        <w:tc>
          <w:tcPr>
            <w:tcW w:w="14012"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rsidR="00A7329F" w:rsidRPr="00730D6C" w:rsidRDefault="00A7329F" w:rsidP="00BA40DA">
            <w:pPr>
              <w:spacing w:before="120" w:after="120"/>
              <w:jc w:val="center"/>
              <w:rPr>
                <w:b/>
                <w:bCs/>
                <w:color w:val="000000"/>
                <w:sz w:val="20"/>
                <w:szCs w:val="20"/>
              </w:rPr>
            </w:pPr>
            <w:r w:rsidRPr="00730D6C">
              <w:rPr>
                <w:b/>
                <w:bCs/>
                <w:color w:val="000000"/>
                <w:sz w:val="20"/>
                <w:szCs w:val="20"/>
              </w:rPr>
              <w:t xml:space="preserve"> Focus area 4: Managing energy and the environment for sustainable development </w:t>
            </w:r>
          </w:p>
        </w:tc>
      </w:tr>
      <w:tr w:rsidR="002D2D5F" w:rsidRPr="00730D6C">
        <w:trPr>
          <w:trHeight w:val="140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Pr>
                <w:color w:val="000000"/>
                <w:sz w:val="18"/>
                <w:szCs w:val="20"/>
              </w:rPr>
              <w:t>4.1</w:t>
            </w:r>
            <w:r w:rsidRPr="00730D6C">
              <w:rPr>
                <w:color w:val="000000"/>
                <w:sz w:val="18"/>
                <w:szCs w:val="20"/>
              </w:rPr>
              <w:t>. National and local governments have the capacity to mainstream environment into development plans and programmes using less carbon intensive patterns of production and consumption</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156040" w:rsidRDefault="002D2D5F" w:rsidP="001443EA">
            <w:pPr>
              <w:jc w:val="center"/>
            </w:pPr>
            <w:r w:rsidRPr="00156040">
              <w:t>86</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156040" w:rsidRDefault="002D2D5F" w:rsidP="001443EA">
            <w:pPr>
              <w:jc w:val="center"/>
            </w:pPr>
            <w:r w:rsidRPr="00156040">
              <w:t>55%</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156040" w:rsidRDefault="002D2D5F" w:rsidP="001443EA">
            <w:pPr>
              <w:jc w:val="center"/>
            </w:pPr>
            <w:r w:rsidRPr="00156040">
              <w:t>18</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156040" w:rsidRDefault="002D2D5F" w:rsidP="001443EA">
            <w:pPr>
              <w:jc w:val="center"/>
            </w:pPr>
            <w:r w:rsidRPr="00156040">
              <w:t>38%</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156040" w:rsidRDefault="002D2D5F" w:rsidP="001443EA">
            <w:pPr>
              <w:jc w:val="center"/>
            </w:pPr>
            <w:r w:rsidRPr="00156040">
              <w:t>24</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156040" w:rsidRDefault="002D2D5F" w:rsidP="001443EA">
            <w:pPr>
              <w:jc w:val="center"/>
            </w:pPr>
            <w:r w:rsidRPr="00156040">
              <w:t>36%</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156040" w:rsidRDefault="002D2D5F" w:rsidP="001443EA">
            <w:pPr>
              <w:jc w:val="center"/>
            </w:pPr>
            <w:r w:rsidRPr="00156040">
              <w:t>48</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156040" w:rsidRDefault="002D2D5F" w:rsidP="001443EA">
            <w:pPr>
              <w:jc w:val="center"/>
            </w:pPr>
            <w:r w:rsidRPr="00156040">
              <w:t>67%</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156040" w:rsidRDefault="002D2D5F" w:rsidP="001443EA">
            <w:pPr>
              <w:jc w:val="center"/>
            </w:pPr>
            <w:r w:rsidRPr="00156040">
              <w:t>14</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156040" w:rsidRDefault="002D2D5F" w:rsidP="001443EA">
            <w:pPr>
              <w:jc w:val="center"/>
            </w:pPr>
            <w:r w:rsidRPr="00156040">
              <w:t>74%</w:t>
            </w:r>
          </w:p>
        </w:tc>
      </w:tr>
      <w:tr w:rsidR="002D2D5F" w:rsidRPr="00730D6C">
        <w:trPr>
          <w:trHeight w:val="140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Pr>
                <w:color w:val="000000"/>
                <w:sz w:val="18"/>
                <w:szCs w:val="20"/>
              </w:rPr>
              <w:t>4.2</w:t>
            </w:r>
            <w:r w:rsidRPr="00730D6C">
              <w:rPr>
                <w:color w:val="000000"/>
                <w:sz w:val="18"/>
                <w:szCs w:val="20"/>
              </w:rPr>
              <w:t>. Local and national authorities better equipped to access and integrate multiple sources of public and private environmental financing in support of pro-poor growth, gender equality and MDG achievement</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156040" w:rsidRDefault="002D2D5F" w:rsidP="001443EA">
            <w:pPr>
              <w:jc w:val="center"/>
            </w:pPr>
            <w:r w:rsidRPr="00156040">
              <w:t>7</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156040" w:rsidRDefault="002D2D5F" w:rsidP="001443EA">
            <w:pPr>
              <w:jc w:val="center"/>
            </w:pPr>
            <w:r w:rsidRPr="00156040">
              <w:t>4%</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156040" w:rsidRDefault="002D2D5F" w:rsidP="001443EA">
            <w:pPr>
              <w:jc w:val="center"/>
            </w:pPr>
            <w:r w:rsidRPr="00156040">
              <w:t>3</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156040" w:rsidRDefault="002D2D5F" w:rsidP="001443EA">
            <w:pPr>
              <w:jc w:val="center"/>
            </w:pPr>
            <w:r w:rsidRPr="00156040">
              <w:t>6%</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156040" w:rsidRDefault="002D2D5F" w:rsidP="001443EA">
            <w:pPr>
              <w:jc w:val="center"/>
            </w:pPr>
            <w:r w:rsidRPr="00156040">
              <w:t>4</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156040" w:rsidRDefault="002D2D5F" w:rsidP="001443EA">
            <w:pPr>
              <w:jc w:val="center"/>
            </w:pPr>
            <w:r w:rsidRPr="00156040">
              <w:t>6%</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156040" w:rsidRDefault="002D2D5F" w:rsidP="001443EA">
            <w:pPr>
              <w:jc w:val="center"/>
            </w:pPr>
            <w:r w:rsidRPr="00156040">
              <w:t>2</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156040" w:rsidRDefault="002D2D5F" w:rsidP="001443EA">
            <w:pPr>
              <w:jc w:val="center"/>
            </w:pPr>
            <w:r w:rsidRPr="00156040">
              <w:t>3%</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156040" w:rsidRDefault="002D2D5F" w:rsidP="001443EA">
            <w:pPr>
              <w:jc w:val="center"/>
            </w:pPr>
            <w:r w:rsidRPr="00156040">
              <w:t>1</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156040" w:rsidRDefault="002D2D5F" w:rsidP="001443EA">
            <w:pPr>
              <w:jc w:val="center"/>
            </w:pPr>
            <w:r w:rsidRPr="00156040">
              <w:t>5%</w:t>
            </w:r>
          </w:p>
        </w:tc>
      </w:tr>
      <w:tr w:rsidR="002D2D5F" w:rsidRPr="00730D6C">
        <w:trPr>
          <w:trHeight w:val="140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Pr>
                <w:color w:val="000000"/>
                <w:sz w:val="18"/>
                <w:szCs w:val="20"/>
              </w:rPr>
              <w:lastRenderedPageBreak/>
              <w:t>4.3</w:t>
            </w:r>
            <w:r w:rsidRPr="00730D6C">
              <w:rPr>
                <w:color w:val="000000"/>
                <w:sz w:val="18"/>
                <w:szCs w:val="20"/>
              </w:rPr>
              <w:t>. National and local governments and communities have the capacities to adapt to climate change through the sustainable provision of energy services and related pro-poor policy and investment decisions</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156040" w:rsidRDefault="002D2D5F" w:rsidP="001443EA">
            <w:pPr>
              <w:jc w:val="center"/>
            </w:pPr>
            <w:r w:rsidRPr="00156040">
              <w:t>62</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156040" w:rsidRDefault="002D2D5F" w:rsidP="001443EA">
            <w:pPr>
              <w:jc w:val="center"/>
            </w:pPr>
            <w:r w:rsidRPr="00156040">
              <w:t>39%</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156040" w:rsidRDefault="002D2D5F" w:rsidP="001443EA">
            <w:pPr>
              <w:jc w:val="center"/>
            </w:pPr>
            <w:r w:rsidRPr="00156040">
              <w:t>21</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156040" w:rsidRDefault="002D2D5F" w:rsidP="001443EA">
            <w:pPr>
              <w:jc w:val="center"/>
            </w:pPr>
            <w:r w:rsidRPr="00156040">
              <w:t>44%</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156040" w:rsidRDefault="002D2D5F" w:rsidP="001443EA">
            <w:pPr>
              <w:jc w:val="center"/>
            </w:pPr>
            <w:r w:rsidRPr="00156040">
              <w:t>31</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156040" w:rsidRDefault="002D2D5F" w:rsidP="001443EA">
            <w:pPr>
              <w:jc w:val="center"/>
            </w:pPr>
            <w:r w:rsidRPr="00156040">
              <w:t>47%</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156040" w:rsidRDefault="002D2D5F" w:rsidP="001443EA">
            <w:pPr>
              <w:jc w:val="center"/>
            </w:pPr>
            <w:r w:rsidRPr="00156040">
              <w:t>25</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156040" w:rsidRDefault="002D2D5F" w:rsidP="001443EA">
            <w:pPr>
              <w:jc w:val="center"/>
            </w:pPr>
            <w:r w:rsidRPr="00156040">
              <w:t>35%</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156040" w:rsidRDefault="002D2D5F" w:rsidP="001443EA">
            <w:pPr>
              <w:jc w:val="center"/>
            </w:pPr>
            <w:r w:rsidRPr="00156040">
              <w:t>6</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156040" w:rsidRDefault="002D2D5F" w:rsidP="001443EA">
            <w:pPr>
              <w:jc w:val="center"/>
            </w:pPr>
            <w:r w:rsidRPr="00156040">
              <w:t>32%</w:t>
            </w:r>
          </w:p>
        </w:tc>
      </w:tr>
      <w:tr w:rsidR="002D2D5F" w:rsidRPr="00730D6C">
        <w:trPr>
          <w:trHeight w:val="28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color w:val="000000"/>
                <w:sz w:val="18"/>
                <w:szCs w:val="20"/>
              </w:rPr>
            </w:pPr>
            <w:r w:rsidRPr="00730D6C">
              <w:rPr>
                <w:color w:val="000000"/>
                <w:sz w:val="18"/>
                <w:szCs w:val="20"/>
              </w:rPr>
              <w:t>Unit-defined outcomes</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156040" w:rsidRDefault="002D2D5F" w:rsidP="00AB6EEF">
            <w:pPr>
              <w:spacing w:after="0"/>
              <w:jc w:val="center"/>
            </w:pPr>
            <w:r w:rsidRPr="00156040">
              <w:t>10</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156040" w:rsidRDefault="002D2D5F" w:rsidP="00AB6EEF">
            <w:pPr>
              <w:spacing w:after="0"/>
              <w:jc w:val="center"/>
            </w:pPr>
            <w:r w:rsidRPr="00156040">
              <w:t>6%</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156040" w:rsidRDefault="002D2D5F" w:rsidP="00AB6EEF">
            <w:pPr>
              <w:spacing w:after="0"/>
              <w:jc w:val="center"/>
            </w:pPr>
            <w:r w:rsidRPr="00156040">
              <w:t>1</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156040" w:rsidRDefault="002D2D5F" w:rsidP="00AB6EEF">
            <w:pPr>
              <w:spacing w:after="0"/>
              <w:jc w:val="center"/>
            </w:pPr>
            <w:r w:rsidRPr="00156040">
              <w:t>2%</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156040" w:rsidRDefault="002D2D5F" w:rsidP="00AB6EEF">
            <w:pPr>
              <w:spacing w:after="0"/>
              <w:jc w:val="center"/>
            </w:pPr>
            <w:r w:rsidRPr="00156040">
              <w:t>2</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156040" w:rsidRDefault="002D2D5F" w:rsidP="00AB6EEF">
            <w:pPr>
              <w:spacing w:after="0"/>
              <w:jc w:val="center"/>
            </w:pPr>
            <w:r w:rsidRPr="00156040">
              <w:t>3%</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156040" w:rsidRDefault="002D2D5F" w:rsidP="00AB6EEF">
            <w:pPr>
              <w:spacing w:after="0"/>
              <w:jc w:val="center"/>
            </w:pPr>
            <w:r w:rsidRPr="00156040">
              <w:t>6</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156040" w:rsidRDefault="002D2D5F" w:rsidP="00AB6EEF">
            <w:pPr>
              <w:spacing w:after="0"/>
              <w:jc w:val="center"/>
            </w:pPr>
            <w:r w:rsidRPr="00156040">
              <w:t>8%</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156040" w:rsidRDefault="002D2D5F" w:rsidP="00AB6EEF">
            <w:pPr>
              <w:spacing w:after="0"/>
              <w:jc w:val="center"/>
            </w:pPr>
            <w:r w:rsidRPr="00156040">
              <w:t>2</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156040" w:rsidRDefault="002D2D5F" w:rsidP="00AB6EEF">
            <w:pPr>
              <w:spacing w:after="0"/>
              <w:jc w:val="center"/>
            </w:pPr>
            <w:r w:rsidRPr="00156040">
              <w:t>11%</w:t>
            </w:r>
          </w:p>
        </w:tc>
      </w:tr>
      <w:tr w:rsidR="002D2D5F" w:rsidRPr="00730D6C">
        <w:trPr>
          <w:trHeight w:val="280"/>
        </w:trPr>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2D2D5F" w:rsidRPr="00730D6C" w:rsidRDefault="002D2D5F" w:rsidP="00BA40DA">
            <w:pPr>
              <w:spacing w:before="120" w:after="120"/>
              <w:rPr>
                <w:b/>
                <w:bCs/>
                <w:color w:val="000000"/>
                <w:sz w:val="20"/>
                <w:szCs w:val="20"/>
              </w:rPr>
            </w:pPr>
            <w:r w:rsidRPr="00730D6C">
              <w:rPr>
                <w:b/>
                <w:bCs/>
                <w:color w:val="000000"/>
                <w:sz w:val="20"/>
                <w:szCs w:val="20"/>
              </w:rPr>
              <w:t>Focus area 4 total</w:t>
            </w:r>
          </w:p>
        </w:tc>
        <w:tc>
          <w:tcPr>
            <w:tcW w:w="126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156040" w:rsidRDefault="002D2D5F" w:rsidP="00AB6EEF">
            <w:pPr>
              <w:spacing w:after="0"/>
              <w:jc w:val="center"/>
            </w:pPr>
            <w:r w:rsidRPr="00156040">
              <w:t>136</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156040" w:rsidRDefault="002D2D5F" w:rsidP="00AB6EEF">
            <w:pPr>
              <w:spacing w:after="0"/>
              <w:jc w:val="center"/>
            </w:pPr>
            <w:r w:rsidRPr="00156040">
              <w:t>87%</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156040" w:rsidRDefault="002D2D5F" w:rsidP="00AB6EEF">
            <w:pPr>
              <w:spacing w:after="0"/>
              <w:jc w:val="center"/>
            </w:pPr>
            <w:r w:rsidRPr="00156040">
              <w:t>39</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156040" w:rsidRDefault="002D2D5F" w:rsidP="00AB6EEF">
            <w:pPr>
              <w:spacing w:after="0"/>
              <w:jc w:val="center"/>
            </w:pPr>
            <w:r w:rsidRPr="00156040">
              <w:t>81%</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156040" w:rsidRDefault="002D2D5F" w:rsidP="00AB6EEF">
            <w:pPr>
              <w:spacing w:after="0"/>
              <w:jc w:val="center"/>
            </w:pPr>
            <w:r w:rsidRPr="00156040">
              <w:t>53</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156040" w:rsidRDefault="002D2D5F" w:rsidP="00AB6EEF">
            <w:pPr>
              <w:spacing w:after="0"/>
              <w:jc w:val="center"/>
            </w:pPr>
            <w:r w:rsidRPr="00156040">
              <w:t>80%</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156040" w:rsidRDefault="002D2D5F" w:rsidP="00AB6EEF">
            <w:pPr>
              <w:spacing w:after="0"/>
              <w:jc w:val="center"/>
            </w:pPr>
            <w:r w:rsidRPr="00156040">
              <w:t>65</w:t>
            </w:r>
          </w:p>
        </w:tc>
        <w:tc>
          <w:tcPr>
            <w:tcW w:w="72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Pr="00156040" w:rsidRDefault="002D2D5F" w:rsidP="00AB6EEF">
            <w:pPr>
              <w:spacing w:after="0"/>
              <w:jc w:val="center"/>
            </w:pPr>
            <w:r w:rsidRPr="00156040">
              <w:t>90%</w:t>
            </w:r>
          </w:p>
        </w:tc>
        <w:tc>
          <w:tcPr>
            <w:tcW w:w="1080" w:type="dxa"/>
            <w:tcBorders>
              <w:top w:val="single" w:sz="4" w:space="0" w:color="auto"/>
              <w:left w:val="single" w:sz="4" w:space="0" w:color="auto"/>
              <w:bottom w:val="single" w:sz="4" w:space="0" w:color="auto"/>
              <w:right w:val="dashed" w:sz="4" w:space="0" w:color="auto"/>
            </w:tcBorders>
            <w:shd w:val="clear" w:color="auto" w:fill="auto"/>
            <w:noWrap/>
            <w:vAlign w:val="center"/>
          </w:tcPr>
          <w:p w:rsidR="002D2D5F" w:rsidRPr="00156040" w:rsidRDefault="002D2D5F" w:rsidP="00AB6EEF">
            <w:pPr>
              <w:spacing w:after="0"/>
              <w:jc w:val="center"/>
            </w:pPr>
            <w:r w:rsidRPr="00156040">
              <w:t>18</w:t>
            </w:r>
          </w:p>
        </w:tc>
        <w:tc>
          <w:tcPr>
            <w:tcW w:w="810" w:type="dxa"/>
            <w:tcBorders>
              <w:top w:val="single" w:sz="4" w:space="0" w:color="auto"/>
              <w:left w:val="dashed" w:sz="4" w:space="0" w:color="auto"/>
              <w:bottom w:val="single" w:sz="4" w:space="0" w:color="auto"/>
              <w:right w:val="single" w:sz="4" w:space="0" w:color="auto"/>
            </w:tcBorders>
            <w:shd w:val="clear" w:color="auto" w:fill="auto"/>
            <w:noWrap/>
            <w:vAlign w:val="center"/>
          </w:tcPr>
          <w:p w:rsidR="002D2D5F" w:rsidRDefault="002D2D5F" w:rsidP="00AB6EEF">
            <w:pPr>
              <w:spacing w:after="0"/>
              <w:jc w:val="center"/>
            </w:pPr>
            <w:r w:rsidRPr="00156040">
              <w:t>95%</w:t>
            </w:r>
          </w:p>
        </w:tc>
      </w:tr>
    </w:tbl>
    <w:p w:rsidR="00414F8D" w:rsidRDefault="00414F8D" w:rsidP="006568EA">
      <w:pPr>
        <w:jc w:val="center"/>
        <w:rPr>
          <w:b/>
        </w:rPr>
      </w:pPr>
    </w:p>
    <w:p w:rsidR="00A7329F" w:rsidRPr="00730D6C" w:rsidRDefault="00C6197A" w:rsidP="006568EA">
      <w:pPr>
        <w:jc w:val="center"/>
        <w:rPr>
          <w:b/>
        </w:rPr>
      </w:pPr>
      <w:r>
        <w:rPr>
          <w:b/>
          <w:noProof/>
        </w:rPr>
        <w:lastRenderedPageBreak/>
        <w:drawing>
          <wp:inline distT="0" distB="0" distL="0" distR="0">
            <wp:extent cx="8108950" cy="54864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8108950" cy="5486400"/>
                    </a:xfrm>
                    <a:prstGeom prst="rect">
                      <a:avLst/>
                    </a:prstGeom>
                    <a:noFill/>
                    <a:ln w="9525">
                      <a:noFill/>
                      <a:miter lim="800000"/>
                      <a:headEnd/>
                      <a:tailEnd/>
                    </a:ln>
                  </pic:spPr>
                </pic:pic>
              </a:graphicData>
            </a:graphic>
          </wp:inline>
        </w:drawing>
      </w:r>
    </w:p>
    <w:p w:rsidR="00767AAA" w:rsidRDefault="00767AAA" w:rsidP="00767AAA">
      <w:pPr>
        <w:keepNext/>
        <w:keepLines/>
        <w:tabs>
          <w:tab w:val="left" w:pos="1080"/>
          <w:tab w:val="right" w:pos="12960"/>
        </w:tabs>
        <w:spacing w:before="120" w:after="120" w:line="240" w:lineRule="auto"/>
        <w:rPr>
          <w:b/>
        </w:rPr>
      </w:pPr>
    </w:p>
    <w:p w:rsidR="00767AAA" w:rsidRDefault="00C6197A" w:rsidP="00767AAA">
      <w:pPr>
        <w:keepNext/>
        <w:keepLines/>
        <w:tabs>
          <w:tab w:val="left" w:pos="1080"/>
          <w:tab w:val="right" w:pos="12960"/>
        </w:tabs>
        <w:spacing w:before="120" w:after="120" w:line="240" w:lineRule="auto"/>
        <w:jc w:val="center"/>
        <w:rPr>
          <w:b/>
        </w:rPr>
      </w:pPr>
      <w:r>
        <w:rPr>
          <w:b/>
          <w:noProof/>
        </w:rPr>
        <w:drawing>
          <wp:inline distT="0" distB="0" distL="0" distR="0">
            <wp:extent cx="6884670" cy="586105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884670" cy="5861050"/>
                    </a:xfrm>
                    <a:prstGeom prst="rect">
                      <a:avLst/>
                    </a:prstGeom>
                    <a:noFill/>
                    <a:ln w="9525">
                      <a:noFill/>
                      <a:miter lim="800000"/>
                      <a:headEnd/>
                      <a:tailEnd/>
                    </a:ln>
                  </pic:spPr>
                </pic:pic>
              </a:graphicData>
            </a:graphic>
          </wp:inline>
        </w:drawing>
      </w:r>
    </w:p>
    <w:p w:rsidR="00D110D0" w:rsidRPr="00B43163" w:rsidRDefault="00D110D0">
      <w:pPr>
        <w:rPr>
          <w:b/>
          <w:sz w:val="2"/>
        </w:rPr>
      </w:pPr>
      <w:r>
        <w:rPr>
          <w:b/>
        </w:rPr>
        <w:br w:type="page"/>
      </w:r>
    </w:p>
    <w:p w:rsidR="00BD6A7A" w:rsidRPr="001D0626" w:rsidRDefault="00BD6A7A" w:rsidP="00BD6A7A">
      <w:pPr>
        <w:numPr>
          <w:ilvl w:val="1"/>
          <w:numId w:val="16"/>
        </w:numPr>
        <w:tabs>
          <w:tab w:val="right" w:pos="12960"/>
        </w:tabs>
        <w:spacing w:before="120" w:after="120" w:line="240" w:lineRule="auto"/>
        <w:ind w:left="360"/>
        <w:rPr>
          <w:b/>
        </w:rPr>
      </w:pPr>
      <w:r>
        <w:rPr>
          <w:b/>
        </w:rPr>
        <w:lastRenderedPageBreak/>
        <w:t xml:space="preserve">Indicator 2: </w:t>
      </w:r>
      <w:r w:rsidRPr="00BD6A7A">
        <w:rPr>
          <w:b/>
        </w:rPr>
        <w:t>Degree to which UNDP programmes and projects are strategically aligned</w:t>
      </w:r>
      <w:r w:rsidRPr="001D0626">
        <w:rPr>
          <w:b/>
        </w:rPr>
        <w:t xml:space="preserve"> </w:t>
      </w:r>
    </w:p>
    <w:p w:rsidR="00D47DBC" w:rsidRDefault="00F60909" w:rsidP="00F60909">
      <w:pPr>
        <w:pStyle w:val="ColorfulList-Accent11"/>
        <w:numPr>
          <w:ilvl w:val="0"/>
          <w:numId w:val="4"/>
        </w:numPr>
        <w:tabs>
          <w:tab w:val="left" w:pos="0"/>
        </w:tabs>
        <w:spacing w:before="120" w:after="120" w:line="240" w:lineRule="auto"/>
        <w:ind w:left="432" w:hanging="432"/>
        <w:contextualSpacing w:val="0"/>
        <w:jc w:val="both"/>
        <w:rPr>
          <w:rFonts w:asciiTheme="minorHAnsi" w:eastAsia="Times New Roman" w:hAnsiTheme="minorHAnsi"/>
          <w:color w:val="000000"/>
          <w:sz w:val="20"/>
          <w:szCs w:val="18"/>
        </w:rPr>
      </w:pPr>
      <w:r>
        <w:rPr>
          <w:rFonts w:asciiTheme="minorHAnsi" w:eastAsia="Times New Roman" w:hAnsiTheme="minorHAnsi"/>
          <w:color w:val="000000"/>
          <w:sz w:val="20"/>
          <w:szCs w:val="18"/>
        </w:rPr>
        <w:t xml:space="preserve">As shown in the table below, </w:t>
      </w:r>
      <w:r w:rsidR="009F5113">
        <w:rPr>
          <w:rFonts w:asciiTheme="minorHAnsi" w:eastAsia="Times New Roman" w:hAnsiTheme="minorHAnsi"/>
          <w:color w:val="000000"/>
          <w:sz w:val="20"/>
          <w:szCs w:val="18"/>
        </w:rPr>
        <w:t xml:space="preserve">by the last year of the Strategic Plan </w:t>
      </w:r>
      <w:r>
        <w:rPr>
          <w:rFonts w:asciiTheme="minorHAnsi" w:eastAsia="Times New Roman" w:hAnsiTheme="minorHAnsi"/>
          <w:color w:val="000000"/>
          <w:sz w:val="20"/>
          <w:szCs w:val="18"/>
        </w:rPr>
        <w:t xml:space="preserve">99.5% of country programme outcomes were </w:t>
      </w:r>
      <w:r w:rsidR="009F5113">
        <w:rPr>
          <w:rFonts w:asciiTheme="minorHAnsi" w:eastAsia="Times New Roman" w:hAnsiTheme="minorHAnsi"/>
          <w:color w:val="000000"/>
          <w:sz w:val="20"/>
          <w:szCs w:val="18"/>
        </w:rPr>
        <w:t>considered “</w:t>
      </w:r>
      <w:r>
        <w:rPr>
          <w:rFonts w:asciiTheme="minorHAnsi" w:eastAsia="Times New Roman" w:hAnsiTheme="minorHAnsi"/>
          <w:color w:val="000000"/>
          <w:sz w:val="20"/>
          <w:szCs w:val="18"/>
        </w:rPr>
        <w:t>aligned</w:t>
      </w:r>
      <w:r w:rsidR="009F5113">
        <w:rPr>
          <w:rFonts w:asciiTheme="minorHAnsi" w:eastAsia="Times New Roman" w:hAnsiTheme="minorHAnsi"/>
          <w:color w:val="000000"/>
          <w:sz w:val="20"/>
          <w:szCs w:val="18"/>
        </w:rPr>
        <w:t>”</w:t>
      </w:r>
      <w:r>
        <w:rPr>
          <w:rFonts w:asciiTheme="minorHAnsi" w:eastAsia="Times New Roman" w:hAnsiTheme="minorHAnsi"/>
          <w:color w:val="000000"/>
          <w:sz w:val="20"/>
          <w:szCs w:val="18"/>
        </w:rPr>
        <w:t xml:space="preserve"> to the four focus areas of the strategic plan.</w:t>
      </w:r>
    </w:p>
    <w:p w:rsidR="00721567" w:rsidRPr="00F60909" w:rsidRDefault="00721567" w:rsidP="00D47DBC">
      <w:pPr>
        <w:pStyle w:val="ColorfulList-Accent11"/>
        <w:tabs>
          <w:tab w:val="left" w:pos="0"/>
        </w:tabs>
        <w:spacing w:before="120" w:after="120" w:line="240" w:lineRule="auto"/>
        <w:ind w:left="432"/>
        <w:contextualSpacing w:val="0"/>
        <w:jc w:val="both"/>
        <w:rPr>
          <w:rFonts w:asciiTheme="minorHAnsi" w:eastAsia="Times New Roman" w:hAnsiTheme="minorHAnsi"/>
          <w:color w:val="000000"/>
          <w:sz w:val="20"/>
          <w:szCs w:val="18"/>
        </w:rPr>
      </w:pPr>
    </w:p>
    <w:tbl>
      <w:tblPr>
        <w:tblW w:w="0" w:type="auto"/>
        <w:tblInd w:w="2985" w:type="dxa"/>
        <w:tblCellMar>
          <w:top w:w="15" w:type="dxa"/>
          <w:left w:w="15" w:type="dxa"/>
          <w:bottom w:w="15" w:type="dxa"/>
          <w:right w:w="15" w:type="dxa"/>
        </w:tblCellMar>
        <w:tblLook w:val="0000" w:firstRow="0" w:lastRow="0" w:firstColumn="0" w:lastColumn="0" w:noHBand="0" w:noVBand="0"/>
      </w:tblPr>
      <w:tblGrid>
        <w:gridCol w:w="3130"/>
        <w:gridCol w:w="3350"/>
      </w:tblGrid>
      <w:tr w:rsidR="00F60909" w:rsidRPr="00F60909">
        <w:tc>
          <w:tcPr>
            <w:tcW w:w="3130" w:type="dxa"/>
            <w:tcBorders>
              <w:top w:val="single" w:sz="8" w:space="0" w:color="000000"/>
              <w:left w:val="single" w:sz="8" w:space="0" w:color="878787"/>
              <w:bottom w:val="single" w:sz="8" w:space="0" w:color="939393"/>
              <w:right w:val="single" w:sz="8" w:space="0" w:color="939393"/>
            </w:tcBorders>
            <w:shd w:val="clear" w:color="auto" w:fill="auto"/>
            <w:vAlign w:val="center"/>
          </w:tcPr>
          <w:p w:rsidR="00F60909" w:rsidRPr="00F60909" w:rsidRDefault="00F60909" w:rsidP="00F60909">
            <w:pPr>
              <w:spacing w:before="60" w:after="60"/>
              <w:jc w:val="center"/>
              <w:rPr>
                <w:rFonts w:ascii="Times" w:hAnsi="Times"/>
                <w:b/>
                <w:sz w:val="20"/>
                <w:szCs w:val="20"/>
              </w:rPr>
            </w:pPr>
            <w:r w:rsidRPr="00F60909">
              <w:rPr>
                <w:rFonts w:ascii="Geneva" w:hAnsi="Geneva" w:cs="Times New Roman"/>
                <w:b/>
                <w:sz w:val="20"/>
                <w:szCs w:val="20"/>
              </w:rPr>
              <w:t>Focus Area</w:t>
            </w:r>
          </w:p>
        </w:tc>
        <w:tc>
          <w:tcPr>
            <w:tcW w:w="3350" w:type="dxa"/>
            <w:tcBorders>
              <w:top w:val="single" w:sz="8" w:space="0" w:color="939393"/>
              <w:left w:val="single" w:sz="8" w:space="0" w:color="939393"/>
              <w:bottom w:val="single" w:sz="8" w:space="0" w:color="939393"/>
              <w:right w:val="single" w:sz="8" w:space="0" w:color="939393"/>
            </w:tcBorders>
            <w:shd w:val="clear" w:color="auto" w:fill="auto"/>
            <w:vAlign w:val="center"/>
          </w:tcPr>
          <w:p w:rsidR="00A26F26" w:rsidRPr="00F60909" w:rsidRDefault="00F60909" w:rsidP="00F60909">
            <w:pPr>
              <w:spacing w:before="60" w:after="60" w:line="240" w:lineRule="auto"/>
              <w:jc w:val="center"/>
              <w:rPr>
                <w:rFonts w:ascii="Times" w:hAnsi="Times" w:cs="Times New Roman"/>
                <w:b/>
                <w:sz w:val="20"/>
                <w:szCs w:val="20"/>
              </w:rPr>
            </w:pPr>
            <w:r>
              <w:rPr>
                <w:rFonts w:ascii="Geneva" w:hAnsi="Geneva" w:cs="Times New Roman"/>
                <w:b/>
                <w:sz w:val="20"/>
                <w:szCs w:val="20"/>
              </w:rPr>
              <w:t>Percentage of country outcomes by Focus Area, 2013</w:t>
            </w:r>
          </w:p>
        </w:tc>
      </w:tr>
      <w:tr w:rsidR="00F60909" w:rsidRPr="00F60909">
        <w:tc>
          <w:tcPr>
            <w:tcW w:w="3130" w:type="dxa"/>
            <w:tcBorders>
              <w:top w:val="single" w:sz="8" w:space="0" w:color="939393"/>
              <w:left w:val="single" w:sz="8" w:space="0" w:color="939393"/>
              <w:bottom w:val="single" w:sz="8" w:space="0" w:color="939393"/>
              <w:right w:val="single" w:sz="8" w:space="0" w:color="939393"/>
            </w:tcBorders>
            <w:shd w:val="clear" w:color="auto" w:fill="auto"/>
            <w:vAlign w:val="center"/>
          </w:tcPr>
          <w:p w:rsidR="00A26F26" w:rsidRPr="00F60909" w:rsidRDefault="00F60909" w:rsidP="000D242C">
            <w:pPr>
              <w:spacing w:beforeLines="1" w:before="2" w:afterLines="1" w:after="2" w:line="240" w:lineRule="auto"/>
              <w:rPr>
                <w:rFonts w:ascii="Times" w:hAnsi="Times" w:cs="Times New Roman"/>
                <w:sz w:val="20"/>
                <w:szCs w:val="20"/>
              </w:rPr>
            </w:pPr>
            <w:r>
              <w:rPr>
                <w:rFonts w:ascii="Geneva" w:hAnsi="Geneva" w:cs="Times New Roman"/>
                <w:sz w:val="20"/>
                <w:szCs w:val="20"/>
              </w:rPr>
              <w:t xml:space="preserve">1. </w:t>
            </w:r>
            <w:r w:rsidRPr="00F60909">
              <w:rPr>
                <w:rFonts w:ascii="Geneva" w:hAnsi="Geneva" w:cs="Times New Roman"/>
                <w:sz w:val="20"/>
                <w:szCs w:val="20"/>
              </w:rPr>
              <w:t xml:space="preserve">Poverty &amp; MDG </w:t>
            </w:r>
          </w:p>
        </w:tc>
        <w:tc>
          <w:tcPr>
            <w:tcW w:w="3350" w:type="dxa"/>
            <w:tcBorders>
              <w:top w:val="single" w:sz="8" w:space="0" w:color="939393"/>
              <w:left w:val="single" w:sz="8" w:space="0" w:color="939393"/>
              <w:bottom w:val="single" w:sz="8" w:space="0" w:color="939393"/>
              <w:right w:val="single" w:sz="8" w:space="0" w:color="939393"/>
            </w:tcBorders>
            <w:shd w:val="clear" w:color="auto" w:fill="auto"/>
            <w:vAlign w:val="center"/>
          </w:tcPr>
          <w:p w:rsidR="00A26F26" w:rsidRPr="00F60909" w:rsidRDefault="00F60909" w:rsidP="000D242C">
            <w:pPr>
              <w:spacing w:beforeLines="1" w:before="2" w:afterLines="1" w:after="2" w:line="240" w:lineRule="auto"/>
              <w:jc w:val="right"/>
              <w:rPr>
                <w:rFonts w:ascii="Times" w:hAnsi="Times" w:cs="Times New Roman"/>
                <w:sz w:val="20"/>
                <w:szCs w:val="20"/>
              </w:rPr>
            </w:pPr>
            <w:r w:rsidRPr="00F60909">
              <w:rPr>
                <w:rFonts w:ascii="Geneva" w:hAnsi="Geneva" w:cs="Times New Roman"/>
                <w:sz w:val="20"/>
                <w:szCs w:val="20"/>
              </w:rPr>
              <w:t xml:space="preserve">34.26% </w:t>
            </w:r>
          </w:p>
        </w:tc>
      </w:tr>
      <w:tr w:rsidR="00F60909" w:rsidRPr="00F60909">
        <w:tc>
          <w:tcPr>
            <w:tcW w:w="3130" w:type="dxa"/>
            <w:tcBorders>
              <w:top w:val="single" w:sz="8" w:space="0" w:color="939393"/>
              <w:left w:val="single" w:sz="8" w:space="0" w:color="939393"/>
              <w:bottom w:val="single" w:sz="8" w:space="0" w:color="939393"/>
              <w:right w:val="single" w:sz="8" w:space="0" w:color="939393"/>
            </w:tcBorders>
            <w:shd w:val="clear" w:color="auto" w:fill="auto"/>
            <w:vAlign w:val="center"/>
          </w:tcPr>
          <w:p w:rsidR="00A26F26" w:rsidRPr="00F60909" w:rsidRDefault="00F60909" w:rsidP="000D242C">
            <w:pPr>
              <w:spacing w:beforeLines="1" w:before="2" w:afterLines="1" w:after="2" w:line="240" w:lineRule="auto"/>
              <w:rPr>
                <w:rFonts w:ascii="Times" w:hAnsi="Times" w:cs="Times New Roman"/>
                <w:sz w:val="20"/>
                <w:szCs w:val="20"/>
              </w:rPr>
            </w:pPr>
            <w:r>
              <w:rPr>
                <w:rFonts w:ascii="Geneva" w:hAnsi="Geneva" w:cs="Times New Roman"/>
                <w:sz w:val="20"/>
                <w:szCs w:val="20"/>
              </w:rPr>
              <w:t xml:space="preserve">2. </w:t>
            </w:r>
            <w:r w:rsidRPr="00F60909">
              <w:rPr>
                <w:rFonts w:ascii="Geneva" w:hAnsi="Geneva" w:cs="Times New Roman"/>
                <w:sz w:val="20"/>
                <w:szCs w:val="20"/>
              </w:rPr>
              <w:t>Dem</w:t>
            </w:r>
            <w:r>
              <w:rPr>
                <w:rFonts w:ascii="Geneva" w:hAnsi="Geneva" w:cs="Times New Roman"/>
                <w:sz w:val="20"/>
                <w:szCs w:val="20"/>
              </w:rPr>
              <w:t>ocratic</w:t>
            </w:r>
            <w:r w:rsidRPr="00F60909">
              <w:rPr>
                <w:rFonts w:ascii="Geneva" w:hAnsi="Geneva" w:cs="Times New Roman"/>
                <w:sz w:val="20"/>
                <w:szCs w:val="20"/>
              </w:rPr>
              <w:t xml:space="preserve"> Governance </w:t>
            </w:r>
          </w:p>
        </w:tc>
        <w:tc>
          <w:tcPr>
            <w:tcW w:w="3350" w:type="dxa"/>
            <w:tcBorders>
              <w:top w:val="single" w:sz="8" w:space="0" w:color="939393"/>
              <w:left w:val="single" w:sz="8" w:space="0" w:color="939393"/>
              <w:bottom w:val="single" w:sz="8" w:space="0" w:color="939393"/>
              <w:right w:val="single" w:sz="8" w:space="0" w:color="939393"/>
            </w:tcBorders>
            <w:shd w:val="clear" w:color="auto" w:fill="auto"/>
            <w:vAlign w:val="center"/>
          </w:tcPr>
          <w:p w:rsidR="00A26F26" w:rsidRPr="00F60909" w:rsidRDefault="00F60909" w:rsidP="000D242C">
            <w:pPr>
              <w:spacing w:beforeLines="1" w:before="2" w:afterLines="1" w:after="2" w:line="240" w:lineRule="auto"/>
              <w:jc w:val="right"/>
              <w:rPr>
                <w:rFonts w:ascii="Times" w:hAnsi="Times" w:cs="Times New Roman"/>
                <w:sz w:val="20"/>
                <w:szCs w:val="20"/>
              </w:rPr>
            </w:pPr>
            <w:r w:rsidRPr="00F60909">
              <w:rPr>
                <w:rFonts w:ascii="Geneva" w:hAnsi="Geneva" w:cs="Times New Roman"/>
                <w:sz w:val="20"/>
                <w:szCs w:val="20"/>
              </w:rPr>
              <w:t xml:space="preserve">33.17% </w:t>
            </w:r>
          </w:p>
        </w:tc>
      </w:tr>
      <w:tr w:rsidR="00F60909" w:rsidRPr="00F60909">
        <w:tc>
          <w:tcPr>
            <w:tcW w:w="3130" w:type="dxa"/>
            <w:tcBorders>
              <w:top w:val="single" w:sz="8" w:space="0" w:color="939393"/>
              <w:left w:val="single" w:sz="8" w:space="0" w:color="939393"/>
              <w:bottom w:val="single" w:sz="8" w:space="0" w:color="939393"/>
              <w:right w:val="single" w:sz="8" w:space="0" w:color="939393"/>
            </w:tcBorders>
            <w:shd w:val="clear" w:color="auto" w:fill="auto"/>
            <w:vAlign w:val="center"/>
          </w:tcPr>
          <w:p w:rsidR="00A26F26" w:rsidRPr="00F60909" w:rsidRDefault="00F60909" w:rsidP="000D242C">
            <w:pPr>
              <w:spacing w:beforeLines="1" w:before="2" w:afterLines="1" w:after="2" w:line="240" w:lineRule="auto"/>
              <w:rPr>
                <w:rFonts w:ascii="Times" w:hAnsi="Times" w:cs="Times New Roman"/>
                <w:sz w:val="20"/>
                <w:szCs w:val="20"/>
              </w:rPr>
            </w:pPr>
            <w:r>
              <w:rPr>
                <w:rFonts w:ascii="Geneva" w:hAnsi="Geneva" w:cs="Times New Roman"/>
                <w:sz w:val="20"/>
                <w:szCs w:val="20"/>
              </w:rPr>
              <w:t>3. Crisis Prevention &amp; Recovery</w:t>
            </w:r>
            <w:r w:rsidRPr="00F60909">
              <w:rPr>
                <w:rFonts w:ascii="Geneva" w:hAnsi="Geneva" w:cs="Times New Roman"/>
                <w:sz w:val="20"/>
                <w:szCs w:val="20"/>
              </w:rPr>
              <w:t xml:space="preserve"> </w:t>
            </w:r>
          </w:p>
        </w:tc>
        <w:tc>
          <w:tcPr>
            <w:tcW w:w="3350" w:type="dxa"/>
            <w:tcBorders>
              <w:top w:val="single" w:sz="8" w:space="0" w:color="939393"/>
              <w:left w:val="single" w:sz="8" w:space="0" w:color="939393"/>
              <w:bottom w:val="single" w:sz="8" w:space="0" w:color="939393"/>
              <w:right w:val="single" w:sz="8" w:space="0" w:color="939393"/>
            </w:tcBorders>
            <w:shd w:val="clear" w:color="auto" w:fill="auto"/>
            <w:vAlign w:val="center"/>
          </w:tcPr>
          <w:p w:rsidR="00A26F26" w:rsidRPr="00F60909" w:rsidRDefault="00F60909" w:rsidP="000D242C">
            <w:pPr>
              <w:spacing w:beforeLines="1" w:before="2" w:afterLines="1" w:after="2" w:line="240" w:lineRule="auto"/>
              <w:jc w:val="right"/>
              <w:rPr>
                <w:rFonts w:ascii="Times" w:hAnsi="Times" w:cs="Times New Roman"/>
                <w:sz w:val="20"/>
                <w:szCs w:val="20"/>
              </w:rPr>
            </w:pPr>
            <w:r w:rsidRPr="00F60909">
              <w:rPr>
                <w:rFonts w:ascii="Geneva" w:hAnsi="Geneva" w:cs="Times New Roman"/>
                <w:sz w:val="20"/>
                <w:szCs w:val="20"/>
              </w:rPr>
              <w:t xml:space="preserve">11.26% </w:t>
            </w:r>
          </w:p>
        </w:tc>
      </w:tr>
      <w:tr w:rsidR="00F60909" w:rsidRPr="00F60909">
        <w:tc>
          <w:tcPr>
            <w:tcW w:w="3130" w:type="dxa"/>
            <w:tcBorders>
              <w:top w:val="single" w:sz="8" w:space="0" w:color="939393"/>
              <w:left w:val="single" w:sz="8" w:space="0" w:color="939393"/>
              <w:bottom w:val="single" w:sz="8" w:space="0" w:color="939393"/>
              <w:right w:val="single" w:sz="8" w:space="0" w:color="939393"/>
            </w:tcBorders>
            <w:shd w:val="clear" w:color="auto" w:fill="auto"/>
            <w:vAlign w:val="center"/>
          </w:tcPr>
          <w:p w:rsidR="00A26F26" w:rsidRPr="00F60909" w:rsidRDefault="00F60909" w:rsidP="000D242C">
            <w:pPr>
              <w:spacing w:beforeLines="1" w:before="2" w:afterLines="1" w:after="2" w:line="240" w:lineRule="auto"/>
              <w:rPr>
                <w:rFonts w:ascii="Times" w:hAnsi="Times" w:cs="Times New Roman"/>
                <w:sz w:val="20"/>
                <w:szCs w:val="20"/>
              </w:rPr>
            </w:pPr>
            <w:r>
              <w:rPr>
                <w:rFonts w:ascii="Geneva" w:hAnsi="Geneva" w:cs="Times New Roman"/>
                <w:sz w:val="20"/>
                <w:szCs w:val="20"/>
              </w:rPr>
              <w:t xml:space="preserve">4. </w:t>
            </w:r>
            <w:r w:rsidRPr="00F60909">
              <w:rPr>
                <w:rFonts w:ascii="Geneva" w:hAnsi="Geneva" w:cs="Times New Roman"/>
                <w:sz w:val="20"/>
                <w:szCs w:val="20"/>
              </w:rPr>
              <w:t>Environ</w:t>
            </w:r>
            <w:r>
              <w:rPr>
                <w:rFonts w:ascii="Geneva" w:hAnsi="Geneva" w:cs="Times New Roman"/>
                <w:sz w:val="20"/>
                <w:szCs w:val="20"/>
              </w:rPr>
              <w:t>ment</w:t>
            </w:r>
            <w:r w:rsidRPr="00F60909">
              <w:rPr>
                <w:rFonts w:ascii="Geneva" w:hAnsi="Geneva" w:cs="Times New Roman"/>
                <w:sz w:val="20"/>
                <w:szCs w:val="20"/>
              </w:rPr>
              <w:t xml:space="preserve"> &amp; Energy </w:t>
            </w:r>
          </w:p>
        </w:tc>
        <w:tc>
          <w:tcPr>
            <w:tcW w:w="3350" w:type="dxa"/>
            <w:tcBorders>
              <w:top w:val="single" w:sz="8" w:space="0" w:color="939393"/>
              <w:left w:val="single" w:sz="8" w:space="0" w:color="939393"/>
              <w:bottom w:val="single" w:sz="8" w:space="0" w:color="939393"/>
              <w:right w:val="single" w:sz="8" w:space="0" w:color="939393"/>
            </w:tcBorders>
            <w:shd w:val="clear" w:color="auto" w:fill="auto"/>
            <w:vAlign w:val="center"/>
          </w:tcPr>
          <w:p w:rsidR="00A26F26" w:rsidRPr="00F60909" w:rsidRDefault="00F60909" w:rsidP="000D242C">
            <w:pPr>
              <w:spacing w:beforeLines="1" w:before="2" w:afterLines="1" w:after="2" w:line="240" w:lineRule="auto"/>
              <w:jc w:val="right"/>
              <w:rPr>
                <w:rFonts w:ascii="Times" w:hAnsi="Times" w:cs="Times New Roman"/>
                <w:sz w:val="20"/>
                <w:szCs w:val="20"/>
              </w:rPr>
            </w:pPr>
            <w:r w:rsidRPr="00F60909">
              <w:rPr>
                <w:rFonts w:ascii="Geneva" w:hAnsi="Geneva" w:cs="Times New Roman"/>
                <w:sz w:val="20"/>
                <w:szCs w:val="20"/>
              </w:rPr>
              <w:t xml:space="preserve">20.82% </w:t>
            </w:r>
          </w:p>
        </w:tc>
      </w:tr>
      <w:tr w:rsidR="00F60909" w:rsidRPr="00F60909">
        <w:tc>
          <w:tcPr>
            <w:tcW w:w="3130" w:type="dxa"/>
            <w:tcBorders>
              <w:top w:val="single" w:sz="8" w:space="0" w:color="939393"/>
              <w:left w:val="single" w:sz="8" w:space="0" w:color="939393"/>
              <w:bottom w:val="single" w:sz="8" w:space="0" w:color="939393"/>
              <w:right w:val="single" w:sz="8" w:space="0" w:color="939393"/>
            </w:tcBorders>
            <w:shd w:val="clear" w:color="auto" w:fill="auto"/>
            <w:vAlign w:val="center"/>
          </w:tcPr>
          <w:p w:rsidR="00F60909" w:rsidRPr="00F60909" w:rsidRDefault="00F60909" w:rsidP="000D242C">
            <w:pPr>
              <w:spacing w:beforeLines="1" w:before="2" w:afterLines="1" w:after="2" w:line="240" w:lineRule="auto"/>
              <w:rPr>
                <w:rFonts w:ascii="Times" w:hAnsi="Times" w:cs="Times New Roman"/>
                <w:sz w:val="20"/>
                <w:szCs w:val="20"/>
              </w:rPr>
            </w:pPr>
            <w:r w:rsidRPr="00F60909">
              <w:rPr>
                <w:rFonts w:ascii="Geneva" w:hAnsi="Geneva" w:cs="Times New Roman"/>
                <w:sz w:val="20"/>
                <w:szCs w:val="20"/>
              </w:rPr>
              <w:t xml:space="preserve">Unlinked </w:t>
            </w:r>
          </w:p>
        </w:tc>
        <w:tc>
          <w:tcPr>
            <w:tcW w:w="3350" w:type="dxa"/>
            <w:tcBorders>
              <w:top w:val="single" w:sz="8" w:space="0" w:color="939393"/>
              <w:left w:val="single" w:sz="8" w:space="0" w:color="939393"/>
              <w:bottom w:val="single" w:sz="8" w:space="0" w:color="939393"/>
              <w:right w:val="single" w:sz="8" w:space="0" w:color="939393"/>
            </w:tcBorders>
            <w:shd w:val="clear" w:color="auto" w:fill="auto"/>
            <w:vAlign w:val="center"/>
          </w:tcPr>
          <w:p w:rsidR="00F60909" w:rsidRPr="00F60909" w:rsidRDefault="00F60909" w:rsidP="000D242C">
            <w:pPr>
              <w:spacing w:beforeLines="1" w:before="2" w:afterLines="1" w:after="2" w:line="240" w:lineRule="auto"/>
              <w:jc w:val="right"/>
              <w:rPr>
                <w:rFonts w:ascii="Times" w:hAnsi="Times" w:cs="Times New Roman"/>
                <w:sz w:val="20"/>
                <w:szCs w:val="20"/>
              </w:rPr>
            </w:pPr>
            <w:r w:rsidRPr="00F60909">
              <w:rPr>
                <w:rFonts w:ascii="Geneva" w:hAnsi="Geneva" w:cs="Times New Roman"/>
                <w:sz w:val="20"/>
                <w:szCs w:val="20"/>
              </w:rPr>
              <w:t xml:space="preserve">0.48% </w:t>
            </w:r>
          </w:p>
        </w:tc>
      </w:tr>
      <w:tr w:rsidR="00F60909" w:rsidRPr="00F60909">
        <w:tc>
          <w:tcPr>
            <w:tcW w:w="3130" w:type="dxa"/>
            <w:tcBorders>
              <w:top w:val="single" w:sz="8" w:space="0" w:color="939393"/>
              <w:left w:val="single" w:sz="8" w:space="0" w:color="939393"/>
              <w:bottom w:val="single" w:sz="8" w:space="0" w:color="939393"/>
              <w:right w:val="single" w:sz="8" w:space="0" w:color="939393"/>
            </w:tcBorders>
            <w:shd w:val="clear" w:color="auto" w:fill="auto"/>
            <w:vAlign w:val="center"/>
          </w:tcPr>
          <w:p w:rsidR="00A26F26" w:rsidRPr="00F60909" w:rsidRDefault="00F60909" w:rsidP="000D242C">
            <w:pPr>
              <w:spacing w:beforeLines="1" w:before="2" w:afterLines="1" w:after="2" w:line="240" w:lineRule="auto"/>
              <w:rPr>
                <w:rFonts w:ascii="Times" w:hAnsi="Times" w:cs="Times New Roman"/>
                <w:b/>
                <w:sz w:val="20"/>
                <w:szCs w:val="20"/>
              </w:rPr>
            </w:pPr>
            <w:r w:rsidRPr="00F60909">
              <w:rPr>
                <w:rFonts w:ascii="Geneva" w:hAnsi="Geneva" w:cs="Times New Roman"/>
                <w:b/>
                <w:sz w:val="20"/>
                <w:szCs w:val="20"/>
              </w:rPr>
              <w:t xml:space="preserve">Grand Total </w:t>
            </w:r>
          </w:p>
        </w:tc>
        <w:tc>
          <w:tcPr>
            <w:tcW w:w="3350" w:type="dxa"/>
            <w:tcBorders>
              <w:top w:val="single" w:sz="8" w:space="0" w:color="939393"/>
              <w:left w:val="single" w:sz="8" w:space="0" w:color="939393"/>
              <w:bottom w:val="single" w:sz="8" w:space="0" w:color="939393"/>
              <w:right w:val="single" w:sz="8" w:space="0" w:color="939393"/>
            </w:tcBorders>
            <w:shd w:val="clear" w:color="auto" w:fill="auto"/>
            <w:vAlign w:val="center"/>
          </w:tcPr>
          <w:p w:rsidR="00A26F26" w:rsidRPr="00F60909" w:rsidRDefault="00F60909" w:rsidP="000D242C">
            <w:pPr>
              <w:spacing w:beforeLines="1" w:before="2" w:afterLines="1" w:after="2" w:line="240" w:lineRule="auto"/>
              <w:jc w:val="right"/>
              <w:rPr>
                <w:rFonts w:ascii="Times" w:hAnsi="Times" w:cs="Times New Roman"/>
                <w:b/>
                <w:sz w:val="20"/>
                <w:szCs w:val="20"/>
              </w:rPr>
            </w:pPr>
            <w:r w:rsidRPr="00F60909">
              <w:rPr>
                <w:rFonts w:ascii="Geneva" w:hAnsi="Geneva" w:cs="Times New Roman"/>
                <w:b/>
                <w:sz w:val="20"/>
                <w:szCs w:val="20"/>
              </w:rPr>
              <w:t xml:space="preserve">100.00% </w:t>
            </w:r>
          </w:p>
        </w:tc>
      </w:tr>
    </w:tbl>
    <w:p w:rsidR="00BD6A7A" w:rsidRPr="00BD6A7A" w:rsidRDefault="00BD6A7A" w:rsidP="00F60909">
      <w:pPr>
        <w:pStyle w:val="ColorfulList-Accent11"/>
        <w:tabs>
          <w:tab w:val="left" w:pos="0"/>
        </w:tabs>
        <w:spacing w:before="120" w:after="120" w:line="240" w:lineRule="auto"/>
        <w:ind w:left="0"/>
        <w:contextualSpacing w:val="0"/>
        <w:jc w:val="both"/>
        <w:rPr>
          <w:rFonts w:asciiTheme="minorHAnsi" w:eastAsia="Times New Roman" w:hAnsiTheme="minorHAnsi"/>
          <w:color w:val="000000"/>
          <w:sz w:val="20"/>
          <w:szCs w:val="18"/>
        </w:rPr>
      </w:pPr>
    </w:p>
    <w:p w:rsidR="00F60909" w:rsidRPr="00F60909" w:rsidRDefault="00F60909">
      <w:pPr>
        <w:rPr>
          <w:b/>
          <w:sz w:val="2"/>
        </w:rPr>
      </w:pPr>
      <w:r>
        <w:rPr>
          <w:b/>
        </w:rPr>
        <w:br w:type="page"/>
      </w:r>
    </w:p>
    <w:p w:rsidR="00325B07" w:rsidRPr="00325B07" w:rsidRDefault="00BD6A7A" w:rsidP="00325B07">
      <w:pPr>
        <w:numPr>
          <w:ilvl w:val="1"/>
          <w:numId w:val="16"/>
        </w:numPr>
        <w:tabs>
          <w:tab w:val="right" w:pos="12960"/>
        </w:tabs>
        <w:spacing w:before="120" w:after="120" w:line="240" w:lineRule="auto"/>
        <w:ind w:left="360"/>
        <w:rPr>
          <w:b/>
        </w:rPr>
      </w:pPr>
      <w:r>
        <w:rPr>
          <w:b/>
        </w:rPr>
        <w:lastRenderedPageBreak/>
        <w:t xml:space="preserve">Indicator 3: </w:t>
      </w:r>
      <w:r w:rsidR="00AE01D6">
        <w:rPr>
          <w:b/>
        </w:rPr>
        <w:t>F</w:t>
      </w:r>
      <w:r w:rsidR="00325B07">
        <w:rPr>
          <w:b/>
        </w:rPr>
        <w:t>indings and recommendations of independent evaluations and surveys</w:t>
      </w:r>
      <w:r w:rsidR="00325B07" w:rsidRPr="001D0626">
        <w:rPr>
          <w:b/>
        </w:rPr>
        <w:t xml:space="preserve"> </w:t>
      </w:r>
    </w:p>
    <w:p w:rsidR="00D47DBC" w:rsidRPr="004525AC" w:rsidRDefault="001E352F" w:rsidP="00052D73">
      <w:pPr>
        <w:pStyle w:val="ColorfulList-Accent11"/>
        <w:numPr>
          <w:ilvl w:val="0"/>
          <w:numId w:val="4"/>
        </w:numPr>
        <w:spacing w:before="120" w:after="120" w:line="240" w:lineRule="auto"/>
        <w:ind w:left="450" w:hanging="450"/>
        <w:jc w:val="both"/>
        <w:rPr>
          <w:color w:val="000000"/>
          <w:sz w:val="20"/>
          <w:szCs w:val="20"/>
        </w:rPr>
      </w:pPr>
      <w:r>
        <w:rPr>
          <w:color w:val="000000"/>
          <w:sz w:val="20"/>
          <w:szCs w:val="20"/>
        </w:rPr>
        <w:t xml:space="preserve">Assessments of Development Results (ADRs) conducted by the UNDP Evaluation Office for Niger and Egypt were made available to the UNDP Executive Board in June and September 2013. Other ADRs conducted in 2012–2013 and submitted with their CPDs in 2013 include Angola and Côte D’Ivoire.  Timor-L’este was undertaken but not completed in 2013 </w:t>
      </w:r>
      <w:r w:rsidR="004525AC">
        <w:rPr>
          <w:color w:val="000000"/>
          <w:sz w:val="20"/>
          <w:szCs w:val="20"/>
        </w:rPr>
        <w:t xml:space="preserve">and </w:t>
      </w:r>
      <w:r>
        <w:rPr>
          <w:color w:val="000000"/>
          <w:sz w:val="20"/>
          <w:szCs w:val="20"/>
        </w:rPr>
        <w:t xml:space="preserve">will be submitted with </w:t>
      </w:r>
      <w:r w:rsidR="004525AC">
        <w:rPr>
          <w:color w:val="000000"/>
          <w:sz w:val="20"/>
          <w:szCs w:val="20"/>
        </w:rPr>
        <w:t>its</w:t>
      </w:r>
      <w:r>
        <w:rPr>
          <w:color w:val="000000"/>
          <w:sz w:val="20"/>
          <w:szCs w:val="20"/>
        </w:rPr>
        <w:t xml:space="preserve"> correspon</w:t>
      </w:r>
      <w:r w:rsidR="004525AC">
        <w:rPr>
          <w:color w:val="000000"/>
          <w:sz w:val="20"/>
          <w:szCs w:val="20"/>
        </w:rPr>
        <w:t>ding country programme document</w:t>
      </w:r>
      <w:r>
        <w:rPr>
          <w:color w:val="000000"/>
          <w:sz w:val="20"/>
          <w:szCs w:val="20"/>
        </w:rPr>
        <w:t xml:space="preserve"> in 2014. The ADR for Croatia, conducted in 2013, will also be made available in 2014.  During 2013, ADRs were conducted in Afghanistan, Algeria, Iraq, Kenya and Sierra Leone, and will be submitted to the UNDP Executive Board in 2014. A planned evaluation of UNDP work in Lebanon </w:t>
      </w:r>
      <w:r w:rsidR="004525AC">
        <w:rPr>
          <w:color w:val="000000"/>
          <w:sz w:val="20"/>
          <w:szCs w:val="20"/>
        </w:rPr>
        <w:t xml:space="preserve">was postponed due to the Syrian crisis </w:t>
      </w:r>
      <w:r>
        <w:rPr>
          <w:color w:val="000000"/>
          <w:sz w:val="20"/>
          <w:szCs w:val="20"/>
        </w:rPr>
        <w:t>and the deteriorating security situation. Th</w:t>
      </w:r>
      <w:r w:rsidR="004525AC">
        <w:rPr>
          <w:color w:val="000000"/>
          <w:sz w:val="20"/>
          <w:szCs w:val="20"/>
        </w:rPr>
        <w:t>ese ADRs will be made availabl</w:t>
      </w:r>
      <w:r w:rsidR="00052D73">
        <w:rPr>
          <w:color w:val="000000"/>
          <w:sz w:val="20"/>
          <w:szCs w:val="20"/>
        </w:rPr>
        <w:t xml:space="preserve">e the UNDP Executive Board at the same time that the corresponding country programme </w:t>
      </w:r>
      <w:r w:rsidRPr="004525AC">
        <w:rPr>
          <w:color w:val="000000"/>
          <w:sz w:val="20"/>
          <w:szCs w:val="20"/>
        </w:rPr>
        <w:t>documents are presented for approval.</w:t>
      </w:r>
    </w:p>
    <w:p w:rsidR="001E352F" w:rsidRPr="001E352F" w:rsidRDefault="001E352F" w:rsidP="001E352F">
      <w:pPr>
        <w:pStyle w:val="ColorfulList-Accent11"/>
        <w:spacing w:before="120" w:after="120" w:line="240" w:lineRule="auto"/>
        <w:ind w:left="450"/>
        <w:jc w:val="both"/>
        <w:rPr>
          <w:color w:val="000000"/>
          <w:sz w:val="20"/>
          <w:szCs w:val="20"/>
        </w:rPr>
      </w:pPr>
    </w:p>
    <w:p w:rsidR="00D47DBC" w:rsidRDefault="007B6ED9" w:rsidP="00D47DBC">
      <w:pPr>
        <w:pStyle w:val="ColorfulList-Accent11"/>
        <w:numPr>
          <w:ilvl w:val="0"/>
          <w:numId w:val="4"/>
        </w:numPr>
        <w:tabs>
          <w:tab w:val="left" w:pos="0"/>
        </w:tabs>
        <w:spacing w:before="120" w:after="120" w:line="240" w:lineRule="auto"/>
        <w:ind w:left="432" w:hanging="432"/>
        <w:contextualSpacing w:val="0"/>
        <w:jc w:val="both"/>
        <w:rPr>
          <w:rFonts w:asciiTheme="minorHAnsi" w:eastAsia="Times New Roman" w:hAnsiTheme="minorHAnsi"/>
          <w:color w:val="000000"/>
          <w:sz w:val="20"/>
          <w:szCs w:val="18"/>
        </w:rPr>
      </w:pPr>
      <w:r>
        <w:rPr>
          <w:rFonts w:asciiTheme="minorHAnsi" w:eastAsia="Times New Roman" w:hAnsiTheme="minorHAnsi"/>
          <w:color w:val="000000"/>
          <w:sz w:val="20"/>
          <w:szCs w:val="18"/>
        </w:rPr>
        <w:t xml:space="preserve">In addition, the IEO completed 7 thematic evaluations: </w:t>
      </w:r>
      <w:r w:rsidRPr="007B6ED9">
        <w:rPr>
          <w:rFonts w:asciiTheme="minorHAnsi" w:eastAsia="Times New Roman" w:hAnsiTheme="minorHAnsi"/>
          <w:i/>
          <w:color w:val="000000"/>
          <w:sz w:val="20"/>
          <w:szCs w:val="18"/>
        </w:rPr>
        <w:t>Evaluation of Gender-responsive Climate Change Initiatives and Decision-making</w:t>
      </w:r>
      <w:r>
        <w:rPr>
          <w:rFonts w:asciiTheme="minorHAnsi" w:eastAsia="Times New Roman" w:hAnsiTheme="minorHAnsi"/>
          <w:color w:val="000000"/>
          <w:sz w:val="20"/>
          <w:szCs w:val="18"/>
        </w:rPr>
        <w:t xml:space="preserve">, </w:t>
      </w:r>
      <w:r>
        <w:rPr>
          <w:rFonts w:asciiTheme="minorHAnsi" w:eastAsia="Times New Roman" w:hAnsiTheme="minorHAnsi"/>
          <w:i/>
          <w:color w:val="000000"/>
          <w:sz w:val="20"/>
          <w:szCs w:val="18"/>
        </w:rPr>
        <w:t>Evaluation of UNDP-supported Mobile Courts Interventions</w:t>
      </w:r>
      <w:r w:rsidRPr="007B6ED9">
        <w:rPr>
          <w:rFonts w:asciiTheme="minorHAnsi" w:eastAsia="Times New Roman" w:hAnsiTheme="minorHAnsi"/>
          <w:color w:val="000000"/>
          <w:sz w:val="20"/>
          <w:szCs w:val="18"/>
        </w:rPr>
        <w:t xml:space="preserve">, </w:t>
      </w:r>
      <w:r>
        <w:rPr>
          <w:rFonts w:asciiTheme="minorHAnsi" w:eastAsia="Times New Roman" w:hAnsiTheme="minorHAnsi"/>
          <w:i/>
          <w:color w:val="000000"/>
          <w:sz w:val="20"/>
          <w:szCs w:val="18"/>
        </w:rPr>
        <w:t>Evaluation of UNDP Contribution to South-South and Triangular Cooperation</w:t>
      </w:r>
      <w:r>
        <w:rPr>
          <w:rFonts w:asciiTheme="minorHAnsi" w:eastAsia="Times New Roman" w:hAnsiTheme="minorHAnsi"/>
          <w:color w:val="000000"/>
          <w:sz w:val="20"/>
          <w:szCs w:val="18"/>
        </w:rPr>
        <w:t xml:space="preserve">, </w:t>
      </w:r>
      <w:r w:rsidR="00135E77">
        <w:rPr>
          <w:rFonts w:asciiTheme="minorHAnsi" w:eastAsia="Times New Roman" w:hAnsiTheme="minorHAnsi"/>
          <w:i/>
          <w:color w:val="000000"/>
          <w:sz w:val="20"/>
          <w:szCs w:val="18"/>
        </w:rPr>
        <w:t>Evaluation of the UNDP Strategic Plan 2008-2013</w:t>
      </w:r>
      <w:r w:rsidR="00135E77">
        <w:rPr>
          <w:rFonts w:asciiTheme="minorHAnsi" w:eastAsia="Times New Roman" w:hAnsiTheme="minorHAnsi"/>
          <w:color w:val="000000"/>
          <w:sz w:val="20"/>
          <w:szCs w:val="18"/>
        </w:rPr>
        <w:t xml:space="preserve">, </w:t>
      </w:r>
      <w:r w:rsidR="00135E77">
        <w:rPr>
          <w:rFonts w:asciiTheme="minorHAnsi" w:eastAsia="Times New Roman" w:hAnsiTheme="minorHAnsi"/>
          <w:i/>
          <w:color w:val="000000"/>
          <w:sz w:val="20"/>
          <w:szCs w:val="18"/>
        </w:rPr>
        <w:t>Evaluation of UNDP Support to Conflict-affected Countries in the Context of UN Peace Operations</w:t>
      </w:r>
      <w:r w:rsidR="00135E77">
        <w:rPr>
          <w:rFonts w:asciiTheme="minorHAnsi" w:eastAsia="Times New Roman" w:hAnsiTheme="minorHAnsi"/>
          <w:color w:val="000000"/>
          <w:sz w:val="20"/>
          <w:szCs w:val="18"/>
        </w:rPr>
        <w:t xml:space="preserve">, </w:t>
      </w:r>
      <w:r w:rsidR="00135E77">
        <w:rPr>
          <w:rFonts w:asciiTheme="minorHAnsi" w:eastAsia="Times New Roman" w:hAnsiTheme="minorHAnsi"/>
          <w:i/>
          <w:color w:val="000000"/>
          <w:sz w:val="20"/>
          <w:szCs w:val="18"/>
        </w:rPr>
        <w:t>Evaluation of UNDP Contribution to Poverty Reduction</w:t>
      </w:r>
      <w:r w:rsidR="00135E77">
        <w:rPr>
          <w:rFonts w:asciiTheme="minorHAnsi" w:eastAsia="Times New Roman" w:hAnsiTheme="minorHAnsi"/>
          <w:color w:val="000000"/>
          <w:sz w:val="20"/>
          <w:szCs w:val="18"/>
        </w:rPr>
        <w:t xml:space="preserve">, and </w:t>
      </w:r>
      <w:r w:rsidR="00135E77">
        <w:rPr>
          <w:rFonts w:asciiTheme="minorHAnsi" w:eastAsia="Times New Roman" w:hAnsiTheme="minorHAnsi"/>
          <w:i/>
          <w:color w:val="000000"/>
          <w:sz w:val="20"/>
          <w:szCs w:val="18"/>
        </w:rPr>
        <w:t>Evaluation of UNDP Reintegration Programs</w:t>
      </w:r>
      <w:r w:rsidR="00135E77" w:rsidRPr="00135E77">
        <w:rPr>
          <w:rFonts w:asciiTheme="minorHAnsi" w:eastAsia="Times New Roman" w:hAnsiTheme="minorHAnsi"/>
          <w:color w:val="000000"/>
          <w:sz w:val="20"/>
          <w:szCs w:val="18"/>
        </w:rPr>
        <w:t>.</w:t>
      </w:r>
      <w:r w:rsidR="00135E77">
        <w:rPr>
          <w:rFonts w:asciiTheme="minorHAnsi" w:eastAsia="Times New Roman" w:hAnsiTheme="minorHAnsi"/>
          <w:color w:val="000000"/>
          <w:sz w:val="20"/>
          <w:szCs w:val="18"/>
        </w:rPr>
        <w:t xml:space="preserve"> In addition, 5 UNDAF evaluations, 41 outcome evaluations, 295 project evaluations, 5 regional programme evaluations, and 1 global programme evaluation were completed in 2013. </w:t>
      </w:r>
    </w:p>
    <w:p w:rsidR="00D47DBC" w:rsidRDefault="00135E77" w:rsidP="00D47DBC">
      <w:pPr>
        <w:pStyle w:val="ColorfulList-Accent11"/>
        <w:numPr>
          <w:ilvl w:val="0"/>
          <w:numId w:val="4"/>
        </w:numPr>
        <w:tabs>
          <w:tab w:val="left" w:pos="0"/>
        </w:tabs>
        <w:spacing w:before="120" w:after="120" w:line="240" w:lineRule="auto"/>
        <w:ind w:left="432" w:hanging="432"/>
        <w:contextualSpacing w:val="0"/>
        <w:jc w:val="both"/>
        <w:rPr>
          <w:rFonts w:asciiTheme="minorHAnsi" w:eastAsia="Times New Roman" w:hAnsiTheme="minorHAnsi"/>
          <w:color w:val="000000"/>
          <w:sz w:val="20"/>
          <w:szCs w:val="18"/>
        </w:rPr>
      </w:pPr>
      <w:r>
        <w:rPr>
          <w:rFonts w:asciiTheme="minorHAnsi" w:eastAsia="Times New Roman" w:hAnsiTheme="minorHAnsi"/>
          <w:color w:val="000000"/>
          <w:sz w:val="20"/>
          <w:szCs w:val="18"/>
        </w:rPr>
        <w:t>External evaluations and sur</w:t>
      </w:r>
      <w:r w:rsidR="00251F37">
        <w:rPr>
          <w:rFonts w:asciiTheme="minorHAnsi" w:eastAsia="Times New Roman" w:hAnsiTheme="minorHAnsi"/>
          <w:color w:val="000000"/>
          <w:sz w:val="20"/>
          <w:szCs w:val="18"/>
        </w:rPr>
        <w:t xml:space="preserve">veys published in 2013 included the </w:t>
      </w:r>
      <w:r w:rsidR="00251F37">
        <w:rPr>
          <w:rFonts w:asciiTheme="minorHAnsi" w:eastAsia="Times New Roman" w:hAnsiTheme="minorHAnsi"/>
          <w:i/>
          <w:color w:val="000000"/>
          <w:sz w:val="20"/>
          <w:szCs w:val="18"/>
        </w:rPr>
        <w:t>UK Multilateral Aid Review Update</w:t>
      </w:r>
      <w:r w:rsidR="00251F37">
        <w:rPr>
          <w:rFonts w:asciiTheme="minorHAnsi" w:eastAsia="Times New Roman" w:hAnsiTheme="minorHAnsi"/>
          <w:color w:val="000000"/>
          <w:sz w:val="20"/>
          <w:szCs w:val="18"/>
        </w:rPr>
        <w:t xml:space="preserve">, </w:t>
      </w:r>
      <w:r w:rsidR="00251F37">
        <w:rPr>
          <w:rFonts w:asciiTheme="minorHAnsi" w:eastAsia="Times New Roman" w:hAnsiTheme="minorHAnsi"/>
          <w:i/>
          <w:color w:val="000000"/>
          <w:sz w:val="20"/>
          <w:szCs w:val="18"/>
        </w:rPr>
        <w:t>Swedish Perception Survey at Country Level</w:t>
      </w:r>
      <w:r w:rsidR="00251F37">
        <w:rPr>
          <w:rFonts w:asciiTheme="minorHAnsi" w:eastAsia="Times New Roman" w:hAnsiTheme="minorHAnsi"/>
          <w:color w:val="000000"/>
          <w:sz w:val="20"/>
          <w:szCs w:val="18"/>
        </w:rPr>
        <w:t xml:space="preserve">, and </w:t>
      </w:r>
      <w:r w:rsidR="00251F37">
        <w:rPr>
          <w:rFonts w:asciiTheme="minorHAnsi" w:eastAsia="Times New Roman" w:hAnsiTheme="minorHAnsi"/>
          <w:i/>
          <w:color w:val="000000"/>
          <w:sz w:val="20"/>
          <w:szCs w:val="18"/>
        </w:rPr>
        <w:t>Netherlands Multilateral Assessment Scorecard</w:t>
      </w:r>
      <w:r w:rsidR="00251F37">
        <w:rPr>
          <w:rFonts w:asciiTheme="minorHAnsi" w:eastAsia="Times New Roman" w:hAnsiTheme="minorHAnsi"/>
          <w:color w:val="000000"/>
          <w:sz w:val="20"/>
          <w:szCs w:val="18"/>
        </w:rPr>
        <w:t xml:space="preserve">.  </w:t>
      </w:r>
    </w:p>
    <w:p w:rsidR="00445F59" w:rsidRDefault="00D47DBC" w:rsidP="00D47DBC">
      <w:pPr>
        <w:pStyle w:val="ColorfulList-Accent11"/>
        <w:numPr>
          <w:ilvl w:val="0"/>
          <w:numId w:val="4"/>
        </w:numPr>
        <w:tabs>
          <w:tab w:val="left" w:pos="0"/>
        </w:tabs>
        <w:spacing w:before="120" w:after="120" w:line="240" w:lineRule="auto"/>
        <w:ind w:left="432" w:hanging="432"/>
        <w:contextualSpacing w:val="0"/>
        <w:jc w:val="both"/>
        <w:rPr>
          <w:rFonts w:asciiTheme="minorHAnsi" w:eastAsia="Times New Roman" w:hAnsiTheme="minorHAnsi"/>
          <w:color w:val="000000"/>
          <w:sz w:val="20"/>
          <w:szCs w:val="18"/>
        </w:rPr>
      </w:pPr>
      <w:r w:rsidRPr="00D47DBC">
        <w:rPr>
          <w:rFonts w:asciiTheme="minorHAnsi" w:eastAsia="Times New Roman" w:hAnsiTheme="minorHAnsi"/>
          <w:color w:val="000000"/>
          <w:sz w:val="20"/>
          <w:szCs w:val="18"/>
        </w:rPr>
        <w:t xml:space="preserve">The management responses to 2013 independent evaluations and the management response to the </w:t>
      </w:r>
      <w:r>
        <w:rPr>
          <w:rFonts w:asciiTheme="minorHAnsi" w:eastAsia="Times New Roman" w:hAnsiTheme="minorHAnsi"/>
          <w:color w:val="000000"/>
          <w:sz w:val="20"/>
          <w:szCs w:val="18"/>
        </w:rPr>
        <w:t xml:space="preserve">2013 </w:t>
      </w:r>
      <w:r w:rsidRPr="00D47DBC">
        <w:rPr>
          <w:rFonts w:asciiTheme="minorHAnsi" w:eastAsia="Times New Roman" w:hAnsiTheme="minorHAnsi"/>
          <w:color w:val="000000"/>
          <w:sz w:val="20"/>
          <w:szCs w:val="18"/>
        </w:rPr>
        <w:t>Annual Report on Evaluation conta</w:t>
      </w:r>
      <w:r>
        <w:rPr>
          <w:rFonts w:asciiTheme="minorHAnsi" w:eastAsia="Times New Roman" w:hAnsiTheme="minorHAnsi"/>
          <w:color w:val="000000"/>
          <w:sz w:val="20"/>
          <w:szCs w:val="18"/>
        </w:rPr>
        <w:t>in in-depth discussions of UNDP</w:t>
      </w:r>
      <w:r w:rsidRPr="00D47DBC">
        <w:rPr>
          <w:rFonts w:asciiTheme="minorHAnsi" w:eastAsia="Times New Roman" w:hAnsiTheme="minorHAnsi"/>
          <w:color w:val="000000"/>
          <w:sz w:val="20"/>
          <w:szCs w:val="18"/>
        </w:rPr>
        <w:t xml:space="preserve"> commitments to the findings, conclusions</w:t>
      </w:r>
      <w:r>
        <w:rPr>
          <w:rFonts w:asciiTheme="minorHAnsi" w:eastAsia="Times New Roman" w:hAnsiTheme="minorHAnsi"/>
          <w:color w:val="000000"/>
          <w:sz w:val="20"/>
          <w:szCs w:val="18"/>
        </w:rPr>
        <w:t>,</w:t>
      </w:r>
      <w:r w:rsidRPr="00D47DBC">
        <w:rPr>
          <w:rFonts w:asciiTheme="minorHAnsi" w:eastAsia="Times New Roman" w:hAnsiTheme="minorHAnsi"/>
          <w:color w:val="000000"/>
          <w:sz w:val="20"/>
          <w:szCs w:val="18"/>
        </w:rPr>
        <w:t xml:space="preserve"> and recommendations of these critical evaluations and are not repeated here</w:t>
      </w:r>
      <w:r>
        <w:rPr>
          <w:rFonts w:asciiTheme="minorHAnsi" w:eastAsia="Times New Roman" w:hAnsiTheme="minorHAnsi"/>
          <w:color w:val="000000"/>
          <w:sz w:val="20"/>
          <w:szCs w:val="18"/>
        </w:rPr>
        <w:t>.</w:t>
      </w:r>
      <w:r w:rsidRPr="00D47DBC">
        <w:rPr>
          <w:rFonts w:asciiTheme="minorHAnsi" w:eastAsia="Times New Roman" w:hAnsiTheme="minorHAnsi"/>
          <w:color w:val="000000"/>
          <w:sz w:val="20"/>
          <w:szCs w:val="18"/>
        </w:rPr>
        <w:t xml:space="preserve"> </w:t>
      </w:r>
      <w:r>
        <w:rPr>
          <w:rFonts w:asciiTheme="minorHAnsi" w:eastAsia="Times New Roman" w:hAnsiTheme="minorHAnsi"/>
          <w:color w:val="000000"/>
          <w:sz w:val="20"/>
          <w:szCs w:val="18"/>
        </w:rPr>
        <w:t>In addition, these independent evaluations that were completed or in draft in early 2013 provided valuable inputs to structure the direction and approach of the UNDP Strategic Plan 2014-2017.</w:t>
      </w:r>
    </w:p>
    <w:p w:rsidR="00BD6A7A" w:rsidRPr="00BD6A7A" w:rsidRDefault="00BD6A7A" w:rsidP="00D47DBC">
      <w:pPr>
        <w:pStyle w:val="ColorfulList-Accent11"/>
        <w:tabs>
          <w:tab w:val="left" w:pos="0"/>
        </w:tabs>
        <w:spacing w:before="120" w:after="120" w:line="240" w:lineRule="auto"/>
        <w:ind w:left="432"/>
        <w:contextualSpacing w:val="0"/>
        <w:jc w:val="both"/>
        <w:rPr>
          <w:rFonts w:asciiTheme="minorHAnsi" w:eastAsia="Times New Roman" w:hAnsiTheme="minorHAnsi"/>
          <w:color w:val="000000"/>
          <w:sz w:val="20"/>
          <w:szCs w:val="18"/>
        </w:rPr>
      </w:pPr>
    </w:p>
    <w:p w:rsidR="00F60909" w:rsidRPr="00F60909" w:rsidRDefault="00F60909">
      <w:pPr>
        <w:rPr>
          <w:b/>
          <w:sz w:val="2"/>
        </w:rPr>
      </w:pPr>
      <w:r>
        <w:rPr>
          <w:b/>
        </w:rPr>
        <w:br w:type="page"/>
      </w:r>
    </w:p>
    <w:p w:rsidR="00BD6A7A" w:rsidRPr="00BD6A7A" w:rsidRDefault="00BD6A7A" w:rsidP="00BD6A7A">
      <w:pPr>
        <w:numPr>
          <w:ilvl w:val="1"/>
          <w:numId w:val="16"/>
        </w:numPr>
        <w:tabs>
          <w:tab w:val="right" w:pos="12960"/>
        </w:tabs>
        <w:spacing w:before="120" w:after="120" w:line="240" w:lineRule="auto"/>
        <w:ind w:left="360"/>
        <w:rPr>
          <w:b/>
        </w:rPr>
      </w:pPr>
      <w:r>
        <w:rPr>
          <w:b/>
        </w:rPr>
        <w:lastRenderedPageBreak/>
        <w:t xml:space="preserve">Indicator 4: </w:t>
      </w:r>
      <w:r w:rsidRPr="00BD6A7A">
        <w:rPr>
          <w:b/>
        </w:rPr>
        <w:t>Number of country offices that report contribution to development change in the area supported</w:t>
      </w:r>
      <w:r w:rsidRPr="001D0626">
        <w:rPr>
          <w:b/>
        </w:rPr>
        <w:t xml:space="preserve"> </w:t>
      </w:r>
    </w:p>
    <w:p w:rsidR="00F60909" w:rsidRDefault="00F60909" w:rsidP="00F60909">
      <w:pPr>
        <w:pStyle w:val="ColorfulList-Accent11"/>
        <w:numPr>
          <w:ilvl w:val="0"/>
          <w:numId w:val="4"/>
        </w:numPr>
        <w:tabs>
          <w:tab w:val="left" w:pos="0"/>
        </w:tabs>
        <w:spacing w:before="120" w:after="120" w:line="240" w:lineRule="auto"/>
        <w:ind w:left="432" w:hanging="432"/>
        <w:contextualSpacing w:val="0"/>
        <w:jc w:val="both"/>
        <w:rPr>
          <w:rFonts w:asciiTheme="minorHAnsi" w:eastAsia="Times New Roman" w:hAnsiTheme="minorHAnsi"/>
          <w:color w:val="000000"/>
          <w:sz w:val="20"/>
          <w:szCs w:val="18"/>
        </w:rPr>
      </w:pPr>
      <w:r w:rsidRPr="00F60909">
        <w:rPr>
          <w:rFonts w:asciiTheme="minorHAnsi" w:eastAsia="Times New Roman" w:hAnsiTheme="minorHAnsi"/>
          <w:color w:val="000000"/>
          <w:sz w:val="20"/>
          <w:szCs w:val="18"/>
        </w:rPr>
        <w:t>Indicator 4, introduced in 2011 as part of the changes to the UNDP development results framework brought about in the midterm review, measure</w:t>
      </w:r>
      <w:r w:rsidR="00EB0162">
        <w:rPr>
          <w:rFonts w:asciiTheme="minorHAnsi" w:eastAsia="Times New Roman" w:hAnsiTheme="minorHAnsi"/>
          <w:color w:val="000000"/>
          <w:sz w:val="20"/>
          <w:szCs w:val="18"/>
        </w:rPr>
        <w:t>s</w:t>
      </w:r>
      <w:r w:rsidRPr="00F60909">
        <w:rPr>
          <w:rFonts w:asciiTheme="minorHAnsi" w:eastAsia="Times New Roman" w:hAnsiTheme="minorHAnsi"/>
          <w:color w:val="000000"/>
          <w:sz w:val="20"/>
          <w:szCs w:val="18"/>
        </w:rPr>
        <w:t xml:space="preserve"> the “Number of country offices that report contribution to development in the area supported, through the following four output dimensions: (i) </w:t>
      </w:r>
      <w:r w:rsidRPr="00F60909">
        <w:rPr>
          <w:rFonts w:asciiTheme="minorHAnsi" w:eastAsia="Times New Roman" w:hAnsiTheme="minorHAnsi"/>
          <w:b/>
          <w:color w:val="000000"/>
          <w:sz w:val="20"/>
          <w:szCs w:val="18"/>
        </w:rPr>
        <w:t>awareness raising</w:t>
      </w:r>
      <w:r w:rsidRPr="00F60909">
        <w:rPr>
          <w:rFonts w:asciiTheme="minorHAnsi" w:eastAsia="Times New Roman" w:hAnsiTheme="minorHAnsi"/>
          <w:color w:val="000000"/>
          <w:sz w:val="20"/>
          <w:szCs w:val="18"/>
        </w:rPr>
        <w:t xml:space="preserve">, convening and brokering role (including supporting government aid coordination, resource mobilization, etc.); (ii) national planning, diagnostic, budgeting, and </w:t>
      </w:r>
      <w:r w:rsidRPr="00F60909">
        <w:rPr>
          <w:rFonts w:asciiTheme="minorHAnsi" w:eastAsia="Times New Roman" w:hAnsiTheme="minorHAnsi"/>
          <w:b/>
          <w:color w:val="000000"/>
          <w:sz w:val="20"/>
          <w:szCs w:val="18"/>
        </w:rPr>
        <w:t>policy-making</w:t>
      </w:r>
      <w:r w:rsidRPr="00F60909">
        <w:rPr>
          <w:rFonts w:asciiTheme="minorHAnsi" w:eastAsia="Times New Roman" w:hAnsiTheme="minorHAnsi"/>
          <w:color w:val="000000"/>
          <w:sz w:val="20"/>
          <w:szCs w:val="18"/>
        </w:rPr>
        <w:t xml:space="preserve"> processes; (iii) </w:t>
      </w:r>
      <w:r w:rsidRPr="00F60909">
        <w:rPr>
          <w:rFonts w:asciiTheme="minorHAnsi" w:eastAsia="Times New Roman" w:hAnsiTheme="minorHAnsi"/>
          <w:b/>
          <w:color w:val="000000"/>
          <w:sz w:val="20"/>
          <w:szCs w:val="18"/>
        </w:rPr>
        <w:t>implementation</w:t>
      </w:r>
      <w:r w:rsidRPr="00F60909">
        <w:rPr>
          <w:rFonts w:asciiTheme="minorHAnsi" w:eastAsia="Times New Roman" w:hAnsiTheme="minorHAnsi"/>
          <w:color w:val="000000"/>
          <w:sz w:val="20"/>
          <w:szCs w:val="18"/>
        </w:rPr>
        <w:t xml:space="preserve"> for inclusive development; and (iv) increasing </w:t>
      </w:r>
      <w:r w:rsidRPr="00F60909">
        <w:rPr>
          <w:rFonts w:asciiTheme="minorHAnsi" w:eastAsia="Times New Roman" w:hAnsiTheme="minorHAnsi"/>
          <w:b/>
          <w:color w:val="000000"/>
          <w:sz w:val="20"/>
          <w:szCs w:val="18"/>
        </w:rPr>
        <w:t>durability</w:t>
      </w:r>
      <w:r>
        <w:rPr>
          <w:rFonts w:asciiTheme="minorHAnsi" w:eastAsia="Times New Roman" w:hAnsiTheme="minorHAnsi"/>
          <w:color w:val="000000"/>
          <w:sz w:val="20"/>
          <w:szCs w:val="18"/>
        </w:rPr>
        <w:t xml:space="preserve"> of development results. In 2013</w:t>
      </w:r>
      <w:r w:rsidRPr="00F60909">
        <w:rPr>
          <w:rFonts w:asciiTheme="minorHAnsi" w:eastAsia="Times New Roman" w:hAnsiTheme="minorHAnsi"/>
          <w:color w:val="000000"/>
          <w:sz w:val="20"/>
          <w:szCs w:val="18"/>
        </w:rPr>
        <w:t xml:space="preserve">, for each outcome in their country programmes, country offices </w:t>
      </w:r>
      <w:r>
        <w:rPr>
          <w:rFonts w:asciiTheme="minorHAnsi" w:eastAsia="Times New Roman" w:hAnsiTheme="minorHAnsi"/>
          <w:color w:val="000000"/>
          <w:sz w:val="20"/>
          <w:szCs w:val="18"/>
        </w:rPr>
        <w:t>chose</w:t>
      </w:r>
      <w:r w:rsidRPr="00F60909">
        <w:rPr>
          <w:rFonts w:asciiTheme="minorHAnsi" w:eastAsia="Times New Roman" w:hAnsiTheme="minorHAnsi"/>
          <w:color w:val="000000"/>
          <w:sz w:val="20"/>
          <w:szCs w:val="18"/>
        </w:rPr>
        <w:t xml:space="preserve"> among the first 3 dimensions the one through which they primarily contributed, then </w:t>
      </w:r>
      <w:r w:rsidR="00EB0162">
        <w:rPr>
          <w:rFonts w:asciiTheme="minorHAnsi" w:eastAsia="Times New Roman" w:hAnsiTheme="minorHAnsi"/>
          <w:color w:val="000000"/>
          <w:sz w:val="20"/>
          <w:szCs w:val="18"/>
        </w:rPr>
        <w:t xml:space="preserve">optionally </w:t>
      </w:r>
      <w:r w:rsidRPr="00F60909">
        <w:rPr>
          <w:rFonts w:asciiTheme="minorHAnsi" w:eastAsia="Times New Roman" w:hAnsiTheme="minorHAnsi"/>
          <w:color w:val="000000"/>
          <w:sz w:val="20"/>
          <w:szCs w:val="18"/>
        </w:rPr>
        <w:t xml:space="preserve">from the remaining 2 of the first 3 dimensions, the one(s) </w:t>
      </w:r>
      <w:r w:rsidR="008D116A">
        <w:rPr>
          <w:rFonts w:asciiTheme="minorHAnsi" w:eastAsia="Times New Roman" w:hAnsiTheme="minorHAnsi"/>
          <w:color w:val="000000"/>
          <w:sz w:val="20"/>
          <w:szCs w:val="18"/>
        </w:rPr>
        <w:t xml:space="preserve">showing results in 2013 </w:t>
      </w:r>
      <w:r w:rsidRPr="00F60909">
        <w:rPr>
          <w:rFonts w:asciiTheme="minorHAnsi" w:eastAsia="Times New Roman" w:hAnsiTheme="minorHAnsi"/>
          <w:color w:val="000000"/>
          <w:sz w:val="20"/>
          <w:szCs w:val="18"/>
        </w:rPr>
        <w:t xml:space="preserve">under that outcome. In addition, country offices reported results under the 4th output dimension for all outcomes in their respective country programme documents. </w:t>
      </w:r>
    </w:p>
    <w:p w:rsidR="00F60909" w:rsidRPr="00F60909" w:rsidRDefault="00F60909" w:rsidP="00F60909">
      <w:pPr>
        <w:pStyle w:val="ColorfulList-Accent11"/>
        <w:numPr>
          <w:ilvl w:val="0"/>
          <w:numId w:val="4"/>
        </w:numPr>
        <w:tabs>
          <w:tab w:val="left" w:pos="0"/>
        </w:tabs>
        <w:spacing w:before="120" w:after="120" w:line="240" w:lineRule="auto"/>
        <w:ind w:left="432" w:hanging="432"/>
        <w:contextualSpacing w:val="0"/>
        <w:jc w:val="both"/>
        <w:rPr>
          <w:rFonts w:asciiTheme="minorHAnsi" w:eastAsia="Times New Roman" w:hAnsiTheme="minorHAnsi"/>
          <w:color w:val="000000"/>
          <w:sz w:val="20"/>
          <w:szCs w:val="18"/>
        </w:rPr>
      </w:pPr>
      <w:r>
        <w:rPr>
          <w:rFonts w:asciiTheme="minorHAnsi" w:eastAsia="Times New Roman" w:hAnsiTheme="minorHAnsi"/>
          <w:color w:val="000000"/>
          <w:sz w:val="20"/>
          <w:szCs w:val="18"/>
        </w:rPr>
        <w:t>Results for 2013 in each of these four output dimensions are illustrated in the sections below.</w:t>
      </w:r>
      <w:r w:rsidR="00242A21">
        <w:rPr>
          <w:rFonts w:asciiTheme="minorHAnsi" w:eastAsia="Times New Roman" w:hAnsiTheme="minorHAnsi"/>
          <w:color w:val="000000"/>
          <w:sz w:val="20"/>
          <w:szCs w:val="18"/>
        </w:rPr>
        <w:t xml:space="preserve">  In the new Strategic Plan/Integrated Results and Resources Framework 2014-2017, </w:t>
      </w:r>
      <w:r w:rsidR="00531408">
        <w:rPr>
          <w:rFonts w:asciiTheme="minorHAnsi" w:eastAsia="Times New Roman" w:hAnsiTheme="minorHAnsi"/>
          <w:color w:val="000000"/>
          <w:sz w:val="20"/>
          <w:szCs w:val="18"/>
        </w:rPr>
        <w:t xml:space="preserve">learning from the use of these four output dimensions, </w:t>
      </w:r>
      <w:r w:rsidR="00242A21">
        <w:rPr>
          <w:rFonts w:asciiTheme="minorHAnsi" w:eastAsia="Times New Roman" w:hAnsiTheme="minorHAnsi"/>
          <w:color w:val="000000"/>
          <w:sz w:val="20"/>
          <w:szCs w:val="18"/>
        </w:rPr>
        <w:t xml:space="preserve">UNDP has integrated into </w:t>
      </w:r>
      <w:r w:rsidR="00531408">
        <w:rPr>
          <w:rFonts w:asciiTheme="minorHAnsi" w:eastAsia="Times New Roman" w:hAnsiTheme="minorHAnsi"/>
          <w:color w:val="000000"/>
          <w:sz w:val="20"/>
          <w:szCs w:val="18"/>
        </w:rPr>
        <w:t xml:space="preserve">the new </w:t>
      </w:r>
      <w:r w:rsidR="00242A21">
        <w:rPr>
          <w:rFonts w:asciiTheme="minorHAnsi" w:eastAsia="Times New Roman" w:hAnsiTheme="minorHAnsi"/>
          <w:color w:val="000000"/>
          <w:sz w:val="20"/>
          <w:szCs w:val="18"/>
        </w:rPr>
        <w:t>output indicator measures, milestones and targets, progress against policy, budget, durability, attitudes</w:t>
      </w:r>
      <w:r w:rsidR="00531408">
        <w:rPr>
          <w:rFonts w:asciiTheme="minorHAnsi" w:eastAsia="Times New Roman" w:hAnsiTheme="minorHAnsi"/>
          <w:color w:val="000000"/>
          <w:sz w:val="20"/>
          <w:szCs w:val="18"/>
        </w:rPr>
        <w:t xml:space="preserve"> and direct change in people’s lives.  Also, population disag</w:t>
      </w:r>
      <w:r w:rsidR="003600C2">
        <w:rPr>
          <w:rFonts w:asciiTheme="minorHAnsi" w:eastAsia="Times New Roman" w:hAnsiTheme="minorHAnsi"/>
          <w:color w:val="000000"/>
          <w:sz w:val="20"/>
          <w:szCs w:val="18"/>
        </w:rPr>
        <w:t>g</w:t>
      </w:r>
      <w:r w:rsidR="00531408">
        <w:rPr>
          <w:rFonts w:asciiTheme="minorHAnsi" w:eastAsia="Times New Roman" w:hAnsiTheme="minorHAnsi"/>
          <w:color w:val="000000"/>
          <w:sz w:val="20"/>
          <w:szCs w:val="18"/>
        </w:rPr>
        <w:t xml:space="preserve">regations allow UNDP now to capture the specific groups which are meant to benefit from </w:t>
      </w:r>
      <w:r w:rsidR="003600C2">
        <w:rPr>
          <w:rFonts w:asciiTheme="minorHAnsi" w:eastAsia="Times New Roman" w:hAnsiTheme="minorHAnsi"/>
          <w:color w:val="000000"/>
          <w:sz w:val="20"/>
          <w:szCs w:val="18"/>
        </w:rPr>
        <w:t xml:space="preserve">voice, participation, and </w:t>
      </w:r>
      <w:r w:rsidR="00531408">
        <w:rPr>
          <w:rFonts w:asciiTheme="minorHAnsi" w:eastAsia="Times New Roman" w:hAnsiTheme="minorHAnsi"/>
          <w:color w:val="000000"/>
          <w:sz w:val="20"/>
          <w:szCs w:val="18"/>
        </w:rPr>
        <w:t xml:space="preserve">the </w:t>
      </w:r>
      <w:r w:rsidR="003600C2">
        <w:rPr>
          <w:rFonts w:asciiTheme="minorHAnsi" w:eastAsia="Times New Roman" w:hAnsiTheme="minorHAnsi"/>
          <w:color w:val="000000"/>
          <w:sz w:val="20"/>
          <w:szCs w:val="18"/>
        </w:rPr>
        <w:t xml:space="preserve">eventual </w:t>
      </w:r>
      <w:r w:rsidR="00531408">
        <w:rPr>
          <w:rFonts w:asciiTheme="minorHAnsi" w:eastAsia="Times New Roman" w:hAnsiTheme="minorHAnsi"/>
          <w:color w:val="000000"/>
          <w:sz w:val="20"/>
          <w:szCs w:val="18"/>
        </w:rPr>
        <w:t>development changes supported by the organization.</w:t>
      </w:r>
    </w:p>
    <w:p w:rsidR="00F60909" w:rsidRPr="00F60909" w:rsidRDefault="00F60909" w:rsidP="00F60909">
      <w:pPr>
        <w:pStyle w:val="ColorfulList-Accent11"/>
        <w:tabs>
          <w:tab w:val="left" w:pos="0"/>
        </w:tabs>
        <w:spacing w:before="120" w:after="120" w:line="240" w:lineRule="auto"/>
        <w:ind w:left="0"/>
        <w:contextualSpacing w:val="0"/>
        <w:jc w:val="both"/>
        <w:rPr>
          <w:rFonts w:asciiTheme="minorHAnsi" w:eastAsia="Times New Roman" w:hAnsiTheme="minorHAnsi"/>
          <w:b/>
          <w:i/>
          <w:color w:val="000000"/>
          <w:sz w:val="20"/>
          <w:szCs w:val="18"/>
        </w:rPr>
      </w:pPr>
      <w:r w:rsidRPr="00F60909">
        <w:rPr>
          <w:rFonts w:asciiTheme="minorHAnsi" w:eastAsia="Times New Roman" w:hAnsiTheme="minorHAnsi"/>
          <w:b/>
          <w:i/>
          <w:color w:val="000000"/>
          <w:sz w:val="20"/>
          <w:szCs w:val="18"/>
        </w:rPr>
        <w:t>Awareness raising</w:t>
      </w:r>
    </w:p>
    <w:p w:rsidR="00F60909" w:rsidRDefault="00F60909" w:rsidP="00325B07">
      <w:pPr>
        <w:pStyle w:val="ColorfulList-Accent11"/>
        <w:numPr>
          <w:ilvl w:val="0"/>
          <w:numId w:val="4"/>
        </w:numPr>
        <w:tabs>
          <w:tab w:val="left" w:pos="0"/>
        </w:tabs>
        <w:spacing w:before="120" w:after="120" w:line="240" w:lineRule="auto"/>
        <w:ind w:left="432" w:hanging="432"/>
        <w:contextualSpacing w:val="0"/>
        <w:jc w:val="both"/>
        <w:rPr>
          <w:rFonts w:asciiTheme="minorHAnsi" w:eastAsia="Times New Roman" w:hAnsiTheme="minorHAnsi"/>
          <w:color w:val="000000"/>
          <w:sz w:val="20"/>
          <w:szCs w:val="18"/>
        </w:rPr>
      </w:pPr>
      <w:r>
        <w:rPr>
          <w:rFonts w:eastAsia="Times New Roman"/>
          <w:noProof/>
          <w:color w:val="000000"/>
          <w:sz w:val="20"/>
          <w:szCs w:val="18"/>
        </w:rPr>
        <w:drawing>
          <wp:anchor distT="0" distB="0" distL="114300" distR="114300" simplePos="0" relativeHeight="251662336" behindDoc="0" locked="0" layoutInCell="1" allowOverlap="1">
            <wp:simplePos x="0" y="0"/>
            <wp:positionH relativeFrom="column">
              <wp:posOffset>3632200</wp:posOffset>
            </wp:positionH>
            <wp:positionV relativeFrom="paragraph">
              <wp:posOffset>387350</wp:posOffset>
            </wp:positionV>
            <wp:extent cx="3605530" cy="1645920"/>
            <wp:effectExtent l="25400" t="0" r="1270"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605530" cy="1645920"/>
                    </a:xfrm>
                    <a:prstGeom prst="rect">
                      <a:avLst/>
                    </a:prstGeom>
                    <a:noFill/>
                    <a:ln w="9525">
                      <a:noFill/>
                      <a:miter lim="800000"/>
                      <a:headEnd/>
                      <a:tailEnd/>
                    </a:ln>
                  </pic:spPr>
                </pic:pic>
              </a:graphicData>
            </a:graphic>
          </wp:anchor>
        </w:drawing>
      </w:r>
      <w:r>
        <w:rPr>
          <w:rFonts w:eastAsia="Times New Roman"/>
          <w:noProof/>
          <w:color w:val="000000"/>
          <w:sz w:val="20"/>
          <w:szCs w:val="18"/>
        </w:rPr>
        <w:drawing>
          <wp:anchor distT="0" distB="0" distL="114300" distR="114300" simplePos="0" relativeHeight="251660288" behindDoc="0" locked="0" layoutInCell="1" allowOverlap="1">
            <wp:simplePos x="0" y="0"/>
            <wp:positionH relativeFrom="column">
              <wp:posOffset>281305</wp:posOffset>
            </wp:positionH>
            <wp:positionV relativeFrom="paragraph">
              <wp:posOffset>387350</wp:posOffset>
            </wp:positionV>
            <wp:extent cx="3299460" cy="1645920"/>
            <wp:effectExtent l="25400" t="0" r="2540" b="0"/>
            <wp:wrapSquare wrapText="bothSides"/>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299460" cy="1645920"/>
                    </a:xfrm>
                    <a:prstGeom prst="rect">
                      <a:avLst/>
                    </a:prstGeom>
                    <a:noFill/>
                    <a:ln w="9525">
                      <a:noFill/>
                      <a:miter lim="800000"/>
                      <a:headEnd/>
                      <a:tailEnd/>
                    </a:ln>
                  </pic:spPr>
                </pic:pic>
              </a:graphicData>
            </a:graphic>
          </wp:anchor>
        </w:drawing>
      </w:r>
      <w:r>
        <w:rPr>
          <w:rFonts w:asciiTheme="minorHAnsi" w:eastAsia="Times New Roman" w:hAnsiTheme="minorHAnsi"/>
          <w:color w:val="000000"/>
          <w:sz w:val="20"/>
          <w:szCs w:val="18"/>
        </w:rPr>
        <w:t>By the areas of work of the new strategic plan, the following three charts show whether awareness raising interventions aiming to change attitudes or behaviors succeeded.</w:t>
      </w:r>
    </w:p>
    <w:p w:rsidR="00F60909" w:rsidRDefault="00F60909" w:rsidP="00F60909">
      <w:pPr>
        <w:pStyle w:val="ColorfulList-Accent11"/>
        <w:tabs>
          <w:tab w:val="left" w:pos="0"/>
        </w:tabs>
        <w:spacing w:before="120" w:after="120" w:line="240" w:lineRule="auto"/>
        <w:ind w:left="432"/>
        <w:contextualSpacing w:val="0"/>
        <w:jc w:val="both"/>
        <w:rPr>
          <w:rFonts w:asciiTheme="minorHAnsi" w:eastAsia="Times New Roman" w:hAnsiTheme="minorHAnsi"/>
          <w:color w:val="000000"/>
          <w:sz w:val="20"/>
          <w:szCs w:val="18"/>
        </w:rPr>
      </w:pPr>
    </w:p>
    <w:p w:rsidR="00F60909" w:rsidRDefault="00F60909" w:rsidP="00F60909">
      <w:pPr>
        <w:pStyle w:val="ColorfulList-Accent11"/>
        <w:tabs>
          <w:tab w:val="left" w:pos="0"/>
        </w:tabs>
        <w:spacing w:before="120" w:after="120" w:line="240" w:lineRule="auto"/>
        <w:ind w:left="432"/>
        <w:contextualSpacing w:val="0"/>
        <w:jc w:val="both"/>
        <w:rPr>
          <w:rFonts w:asciiTheme="minorHAnsi" w:eastAsia="Times New Roman" w:hAnsiTheme="minorHAnsi"/>
          <w:color w:val="000000"/>
          <w:sz w:val="20"/>
          <w:szCs w:val="18"/>
        </w:rPr>
      </w:pPr>
    </w:p>
    <w:p w:rsidR="00F60909" w:rsidRDefault="00F60909" w:rsidP="00F60909">
      <w:pPr>
        <w:pStyle w:val="ColorfulList-Accent11"/>
        <w:tabs>
          <w:tab w:val="left" w:pos="0"/>
        </w:tabs>
        <w:spacing w:before="120" w:after="120" w:line="240" w:lineRule="auto"/>
        <w:ind w:left="0"/>
        <w:contextualSpacing w:val="0"/>
        <w:jc w:val="both"/>
        <w:rPr>
          <w:rFonts w:asciiTheme="minorHAnsi" w:eastAsia="Times New Roman" w:hAnsiTheme="minorHAnsi"/>
          <w:b/>
          <w:i/>
          <w:color w:val="000000"/>
          <w:sz w:val="20"/>
          <w:szCs w:val="18"/>
        </w:rPr>
      </w:pPr>
    </w:p>
    <w:p w:rsidR="00F60909" w:rsidRDefault="00F60909" w:rsidP="00F60909">
      <w:pPr>
        <w:pStyle w:val="ColorfulList-Accent11"/>
        <w:tabs>
          <w:tab w:val="left" w:pos="0"/>
        </w:tabs>
        <w:spacing w:before="120" w:after="120" w:line="240" w:lineRule="auto"/>
        <w:ind w:left="0"/>
        <w:contextualSpacing w:val="0"/>
        <w:jc w:val="both"/>
        <w:rPr>
          <w:rFonts w:asciiTheme="minorHAnsi" w:eastAsia="Times New Roman" w:hAnsiTheme="minorHAnsi"/>
          <w:b/>
          <w:i/>
          <w:color w:val="000000"/>
          <w:sz w:val="20"/>
          <w:szCs w:val="18"/>
        </w:rPr>
      </w:pPr>
    </w:p>
    <w:p w:rsidR="00F60909" w:rsidRDefault="00F60909" w:rsidP="00F60909">
      <w:pPr>
        <w:pStyle w:val="ColorfulList-Accent11"/>
        <w:tabs>
          <w:tab w:val="left" w:pos="0"/>
        </w:tabs>
        <w:spacing w:before="120" w:after="120" w:line="240" w:lineRule="auto"/>
        <w:ind w:left="0"/>
        <w:contextualSpacing w:val="0"/>
        <w:jc w:val="both"/>
        <w:rPr>
          <w:rFonts w:asciiTheme="minorHAnsi" w:eastAsia="Times New Roman" w:hAnsiTheme="minorHAnsi"/>
          <w:b/>
          <w:i/>
          <w:color w:val="000000"/>
          <w:sz w:val="20"/>
          <w:szCs w:val="18"/>
        </w:rPr>
      </w:pPr>
    </w:p>
    <w:p w:rsidR="00F60909" w:rsidRDefault="00F60909" w:rsidP="00F60909">
      <w:pPr>
        <w:pStyle w:val="ColorfulList-Accent11"/>
        <w:tabs>
          <w:tab w:val="left" w:pos="0"/>
        </w:tabs>
        <w:spacing w:before="120" w:after="120" w:line="240" w:lineRule="auto"/>
        <w:ind w:left="0"/>
        <w:contextualSpacing w:val="0"/>
        <w:jc w:val="both"/>
        <w:rPr>
          <w:rFonts w:asciiTheme="minorHAnsi" w:eastAsia="Times New Roman" w:hAnsiTheme="minorHAnsi"/>
          <w:b/>
          <w:i/>
          <w:color w:val="000000"/>
          <w:sz w:val="20"/>
          <w:szCs w:val="18"/>
        </w:rPr>
      </w:pPr>
    </w:p>
    <w:p w:rsidR="00F60909" w:rsidRDefault="00F60909" w:rsidP="00F60909">
      <w:pPr>
        <w:pStyle w:val="ColorfulList-Accent11"/>
        <w:tabs>
          <w:tab w:val="left" w:pos="0"/>
        </w:tabs>
        <w:spacing w:before="120" w:after="120" w:line="240" w:lineRule="auto"/>
        <w:ind w:left="0"/>
        <w:contextualSpacing w:val="0"/>
        <w:jc w:val="both"/>
        <w:rPr>
          <w:rFonts w:asciiTheme="minorHAnsi" w:eastAsia="Times New Roman" w:hAnsiTheme="minorHAnsi"/>
          <w:b/>
          <w:i/>
          <w:color w:val="000000"/>
          <w:sz w:val="20"/>
          <w:szCs w:val="18"/>
        </w:rPr>
      </w:pPr>
    </w:p>
    <w:p w:rsidR="00F60909" w:rsidRDefault="00F60909" w:rsidP="00F60909">
      <w:pPr>
        <w:pStyle w:val="ColorfulList-Accent11"/>
        <w:tabs>
          <w:tab w:val="left" w:pos="0"/>
        </w:tabs>
        <w:spacing w:before="120" w:after="120" w:line="240" w:lineRule="auto"/>
        <w:ind w:left="0"/>
        <w:contextualSpacing w:val="0"/>
        <w:jc w:val="both"/>
        <w:rPr>
          <w:rFonts w:asciiTheme="minorHAnsi" w:eastAsia="Times New Roman" w:hAnsiTheme="minorHAnsi"/>
          <w:b/>
          <w:i/>
          <w:color w:val="000000"/>
          <w:sz w:val="20"/>
          <w:szCs w:val="18"/>
        </w:rPr>
      </w:pPr>
      <w:r>
        <w:rPr>
          <w:rFonts w:asciiTheme="minorHAnsi" w:eastAsia="Times New Roman" w:hAnsiTheme="minorHAnsi"/>
          <w:b/>
          <w:i/>
          <w:noProof/>
          <w:color w:val="000000"/>
          <w:sz w:val="20"/>
          <w:szCs w:val="18"/>
        </w:rPr>
        <w:drawing>
          <wp:anchor distT="0" distB="0" distL="114300" distR="114300" simplePos="0" relativeHeight="251664384" behindDoc="0" locked="0" layoutInCell="1" allowOverlap="1">
            <wp:simplePos x="0" y="0"/>
            <wp:positionH relativeFrom="column">
              <wp:posOffset>-5713730</wp:posOffset>
            </wp:positionH>
            <wp:positionV relativeFrom="paragraph">
              <wp:posOffset>74930</wp:posOffset>
            </wp:positionV>
            <wp:extent cx="3947795" cy="1649095"/>
            <wp:effectExtent l="25400" t="0" r="0" b="0"/>
            <wp:wrapTight wrapText="bothSides">
              <wp:wrapPolygon edited="0">
                <wp:start x="-139" y="0"/>
                <wp:lineTo x="-139" y="21292"/>
                <wp:lineTo x="21541" y="21292"/>
                <wp:lineTo x="21541" y="0"/>
                <wp:lineTo x="-139" y="0"/>
              </wp:wrapPolygon>
            </wp:wrapTight>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947795" cy="1649095"/>
                    </a:xfrm>
                    <a:prstGeom prst="rect">
                      <a:avLst/>
                    </a:prstGeom>
                    <a:noFill/>
                    <a:ln w="9525">
                      <a:noFill/>
                      <a:miter lim="800000"/>
                      <a:headEnd/>
                      <a:tailEnd/>
                    </a:ln>
                  </pic:spPr>
                </pic:pic>
              </a:graphicData>
            </a:graphic>
          </wp:anchor>
        </w:drawing>
      </w:r>
    </w:p>
    <w:p w:rsidR="00F60909" w:rsidRDefault="00F60909" w:rsidP="00F60909">
      <w:pPr>
        <w:pStyle w:val="ColorfulList-Accent11"/>
        <w:tabs>
          <w:tab w:val="left" w:pos="0"/>
        </w:tabs>
        <w:spacing w:before="120" w:after="120" w:line="240" w:lineRule="auto"/>
        <w:ind w:left="0"/>
        <w:contextualSpacing w:val="0"/>
        <w:jc w:val="both"/>
        <w:rPr>
          <w:rFonts w:asciiTheme="minorHAnsi" w:eastAsia="Times New Roman" w:hAnsiTheme="minorHAnsi"/>
          <w:b/>
          <w:i/>
          <w:color w:val="000000"/>
          <w:sz w:val="20"/>
          <w:szCs w:val="18"/>
        </w:rPr>
      </w:pPr>
    </w:p>
    <w:p w:rsidR="00F60909" w:rsidRDefault="00F60909" w:rsidP="00F60909">
      <w:pPr>
        <w:pStyle w:val="ColorfulList-Accent11"/>
        <w:tabs>
          <w:tab w:val="left" w:pos="0"/>
        </w:tabs>
        <w:spacing w:before="120" w:after="120" w:line="240" w:lineRule="auto"/>
        <w:ind w:left="0"/>
        <w:contextualSpacing w:val="0"/>
        <w:jc w:val="both"/>
        <w:rPr>
          <w:rFonts w:asciiTheme="minorHAnsi" w:eastAsia="Times New Roman" w:hAnsiTheme="minorHAnsi"/>
          <w:b/>
          <w:i/>
          <w:color w:val="000000"/>
          <w:sz w:val="20"/>
          <w:szCs w:val="18"/>
        </w:rPr>
      </w:pPr>
    </w:p>
    <w:p w:rsidR="00F60909" w:rsidRDefault="00F60909" w:rsidP="00F60909">
      <w:pPr>
        <w:pStyle w:val="ColorfulList-Accent11"/>
        <w:tabs>
          <w:tab w:val="left" w:pos="0"/>
        </w:tabs>
        <w:spacing w:before="120" w:after="120" w:line="240" w:lineRule="auto"/>
        <w:ind w:left="0"/>
        <w:contextualSpacing w:val="0"/>
        <w:jc w:val="both"/>
        <w:rPr>
          <w:rFonts w:asciiTheme="minorHAnsi" w:eastAsia="Times New Roman" w:hAnsiTheme="minorHAnsi"/>
          <w:b/>
          <w:i/>
          <w:color w:val="000000"/>
          <w:sz w:val="20"/>
          <w:szCs w:val="18"/>
        </w:rPr>
      </w:pPr>
    </w:p>
    <w:p w:rsidR="00F60909" w:rsidRDefault="00F60909" w:rsidP="00F60909">
      <w:pPr>
        <w:pStyle w:val="ColorfulList-Accent11"/>
        <w:tabs>
          <w:tab w:val="left" w:pos="0"/>
        </w:tabs>
        <w:spacing w:before="120" w:after="120" w:line="240" w:lineRule="auto"/>
        <w:ind w:left="0"/>
        <w:contextualSpacing w:val="0"/>
        <w:jc w:val="both"/>
        <w:rPr>
          <w:rFonts w:asciiTheme="minorHAnsi" w:eastAsia="Times New Roman" w:hAnsiTheme="minorHAnsi"/>
          <w:b/>
          <w:i/>
          <w:color w:val="000000"/>
          <w:sz w:val="20"/>
          <w:szCs w:val="18"/>
        </w:rPr>
      </w:pPr>
    </w:p>
    <w:p w:rsidR="00F60909" w:rsidRDefault="00F60909" w:rsidP="00F60909">
      <w:pPr>
        <w:pStyle w:val="ColorfulList-Accent11"/>
        <w:tabs>
          <w:tab w:val="left" w:pos="0"/>
        </w:tabs>
        <w:spacing w:before="120" w:after="120" w:line="240" w:lineRule="auto"/>
        <w:ind w:left="0"/>
        <w:contextualSpacing w:val="0"/>
        <w:jc w:val="both"/>
        <w:rPr>
          <w:rFonts w:asciiTheme="minorHAnsi" w:eastAsia="Times New Roman" w:hAnsiTheme="minorHAnsi"/>
          <w:b/>
          <w:i/>
          <w:color w:val="000000"/>
          <w:sz w:val="20"/>
          <w:szCs w:val="18"/>
        </w:rPr>
      </w:pPr>
    </w:p>
    <w:p w:rsidR="00F60909" w:rsidRDefault="00F60909" w:rsidP="00F60909">
      <w:pPr>
        <w:pStyle w:val="ColorfulList-Accent11"/>
        <w:tabs>
          <w:tab w:val="left" w:pos="0"/>
        </w:tabs>
        <w:spacing w:before="120" w:after="120" w:line="240" w:lineRule="auto"/>
        <w:ind w:left="0"/>
        <w:contextualSpacing w:val="0"/>
        <w:jc w:val="both"/>
        <w:rPr>
          <w:rFonts w:asciiTheme="minorHAnsi" w:eastAsia="Times New Roman" w:hAnsiTheme="minorHAnsi"/>
          <w:b/>
          <w:i/>
          <w:color w:val="000000"/>
          <w:sz w:val="20"/>
          <w:szCs w:val="18"/>
        </w:rPr>
      </w:pPr>
    </w:p>
    <w:p w:rsidR="00F60909" w:rsidRDefault="00F60909" w:rsidP="00F60909">
      <w:pPr>
        <w:pStyle w:val="ColorfulList-Accent11"/>
        <w:tabs>
          <w:tab w:val="left" w:pos="0"/>
        </w:tabs>
        <w:spacing w:before="120" w:after="120" w:line="240" w:lineRule="auto"/>
        <w:ind w:left="0"/>
        <w:contextualSpacing w:val="0"/>
        <w:jc w:val="both"/>
        <w:rPr>
          <w:rFonts w:asciiTheme="minorHAnsi" w:eastAsia="Times New Roman" w:hAnsiTheme="minorHAnsi"/>
          <w:b/>
          <w:i/>
          <w:color w:val="000000"/>
          <w:sz w:val="20"/>
          <w:szCs w:val="18"/>
        </w:rPr>
      </w:pPr>
    </w:p>
    <w:p w:rsidR="00F60909" w:rsidRDefault="00F60909" w:rsidP="00F60909">
      <w:pPr>
        <w:pStyle w:val="ColorfulList-Accent11"/>
        <w:tabs>
          <w:tab w:val="left" w:pos="0"/>
        </w:tabs>
        <w:spacing w:before="120" w:after="120" w:line="240" w:lineRule="auto"/>
        <w:ind w:left="0"/>
        <w:contextualSpacing w:val="0"/>
        <w:jc w:val="both"/>
        <w:rPr>
          <w:rFonts w:asciiTheme="minorHAnsi" w:eastAsia="Times New Roman" w:hAnsiTheme="minorHAnsi"/>
          <w:b/>
          <w:i/>
          <w:color w:val="000000"/>
          <w:sz w:val="20"/>
          <w:szCs w:val="18"/>
        </w:rPr>
      </w:pPr>
    </w:p>
    <w:p w:rsidR="00F60909" w:rsidRDefault="00F60909" w:rsidP="00F60909">
      <w:pPr>
        <w:pStyle w:val="ColorfulList-Accent11"/>
        <w:tabs>
          <w:tab w:val="left" w:pos="0"/>
        </w:tabs>
        <w:spacing w:before="120" w:after="120" w:line="240" w:lineRule="auto"/>
        <w:ind w:left="0"/>
        <w:contextualSpacing w:val="0"/>
        <w:jc w:val="both"/>
        <w:rPr>
          <w:rFonts w:asciiTheme="minorHAnsi" w:eastAsia="Times New Roman" w:hAnsiTheme="minorHAnsi"/>
          <w:b/>
          <w:i/>
          <w:color w:val="000000"/>
          <w:sz w:val="20"/>
          <w:szCs w:val="18"/>
        </w:rPr>
      </w:pPr>
    </w:p>
    <w:p w:rsidR="00A26F26" w:rsidRPr="00F60909" w:rsidRDefault="00A26F26" w:rsidP="00A26F26">
      <w:pPr>
        <w:pStyle w:val="ColorfulList-Accent11"/>
        <w:tabs>
          <w:tab w:val="left" w:pos="0"/>
        </w:tabs>
        <w:spacing w:before="120" w:after="120" w:line="240" w:lineRule="auto"/>
        <w:ind w:left="0"/>
        <w:contextualSpacing w:val="0"/>
        <w:jc w:val="both"/>
        <w:rPr>
          <w:rFonts w:asciiTheme="minorHAnsi" w:eastAsia="Times New Roman" w:hAnsiTheme="minorHAnsi"/>
          <w:b/>
          <w:i/>
          <w:color w:val="000000"/>
          <w:sz w:val="20"/>
          <w:szCs w:val="18"/>
        </w:rPr>
      </w:pPr>
      <w:r>
        <w:rPr>
          <w:rFonts w:asciiTheme="minorHAnsi" w:eastAsia="Times New Roman" w:hAnsiTheme="minorHAnsi"/>
          <w:b/>
          <w:i/>
          <w:color w:val="000000"/>
          <w:sz w:val="20"/>
          <w:szCs w:val="18"/>
        </w:rPr>
        <w:t>Policy-making</w:t>
      </w:r>
    </w:p>
    <w:p w:rsidR="00A26F26" w:rsidRDefault="00A26F26" w:rsidP="00A26F26">
      <w:pPr>
        <w:pStyle w:val="ColorfulList-Accent11"/>
        <w:numPr>
          <w:ilvl w:val="0"/>
          <w:numId w:val="4"/>
        </w:numPr>
        <w:tabs>
          <w:tab w:val="left" w:pos="0"/>
        </w:tabs>
        <w:spacing w:before="120" w:after="120" w:line="240" w:lineRule="auto"/>
        <w:ind w:left="432" w:hanging="432"/>
        <w:contextualSpacing w:val="0"/>
        <w:jc w:val="both"/>
        <w:rPr>
          <w:rFonts w:asciiTheme="minorHAnsi" w:eastAsia="Times New Roman" w:hAnsiTheme="minorHAnsi"/>
          <w:color w:val="000000"/>
          <w:sz w:val="20"/>
          <w:szCs w:val="18"/>
        </w:rPr>
      </w:pPr>
      <w:r>
        <w:rPr>
          <w:rFonts w:asciiTheme="minorHAnsi" w:eastAsia="Times New Roman" w:hAnsiTheme="minorHAnsi"/>
          <w:color w:val="000000"/>
          <w:sz w:val="20"/>
          <w:szCs w:val="18"/>
        </w:rPr>
        <w:t xml:space="preserve">By the areas of work of the new strategic plan, the following table illustrates the number of diagnostics, plans, budgets, policies, and legislative processes </w:t>
      </w:r>
      <w:r w:rsidR="00A37078">
        <w:rPr>
          <w:rFonts w:asciiTheme="minorHAnsi" w:eastAsia="Times New Roman" w:hAnsiTheme="minorHAnsi"/>
          <w:color w:val="000000"/>
          <w:sz w:val="20"/>
          <w:szCs w:val="18"/>
        </w:rPr>
        <w:t xml:space="preserve">for which positive change was reported in </w:t>
      </w:r>
      <w:r>
        <w:rPr>
          <w:rFonts w:asciiTheme="minorHAnsi" w:eastAsia="Times New Roman" w:hAnsiTheme="minorHAnsi"/>
          <w:color w:val="000000"/>
          <w:sz w:val="20"/>
          <w:szCs w:val="18"/>
        </w:rPr>
        <w:t>the policy-making output dimension.</w:t>
      </w:r>
    </w:p>
    <w:p w:rsidR="00A26F26" w:rsidRDefault="00A26F26" w:rsidP="00A26F26">
      <w:pPr>
        <w:pStyle w:val="ColorfulList-Accent11"/>
        <w:spacing w:before="120" w:after="120" w:line="240" w:lineRule="auto"/>
        <w:ind w:left="1260"/>
        <w:contextualSpacing w:val="0"/>
        <w:rPr>
          <w:rFonts w:asciiTheme="minorHAnsi" w:eastAsia="Times New Roman" w:hAnsiTheme="minorHAnsi"/>
          <w:color w:val="000000"/>
          <w:sz w:val="20"/>
          <w:szCs w:val="18"/>
        </w:rPr>
      </w:pPr>
      <w:r>
        <w:rPr>
          <w:rFonts w:asciiTheme="minorHAnsi" w:eastAsia="Times New Roman" w:hAnsiTheme="minorHAnsi"/>
          <w:noProof/>
          <w:color w:val="000000"/>
          <w:sz w:val="20"/>
          <w:szCs w:val="18"/>
        </w:rPr>
        <w:drawing>
          <wp:inline distT="0" distB="0" distL="0" distR="0">
            <wp:extent cx="6376754" cy="1234440"/>
            <wp:effectExtent l="254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6376754" cy="1234440"/>
                    </a:xfrm>
                    <a:prstGeom prst="rect">
                      <a:avLst/>
                    </a:prstGeom>
                    <a:noFill/>
                    <a:ln w="9525">
                      <a:noFill/>
                      <a:miter lim="800000"/>
                      <a:headEnd/>
                      <a:tailEnd/>
                    </a:ln>
                  </pic:spPr>
                </pic:pic>
              </a:graphicData>
            </a:graphic>
          </wp:inline>
        </w:drawing>
      </w:r>
    </w:p>
    <w:p w:rsidR="00F60909" w:rsidRPr="00F60909" w:rsidRDefault="00F60909" w:rsidP="00F60909">
      <w:pPr>
        <w:pStyle w:val="ColorfulList-Accent11"/>
        <w:tabs>
          <w:tab w:val="left" w:pos="0"/>
        </w:tabs>
        <w:spacing w:before="120" w:after="120" w:line="240" w:lineRule="auto"/>
        <w:ind w:left="0"/>
        <w:contextualSpacing w:val="0"/>
        <w:jc w:val="both"/>
        <w:rPr>
          <w:rFonts w:asciiTheme="minorHAnsi" w:eastAsia="Times New Roman" w:hAnsiTheme="minorHAnsi"/>
          <w:b/>
          <w:i/>
          <w:color w:val="000000"/>
          <w:sz w:val="20"/>
          <w:szCs w:val="18"/>
        </w:rPr>
      </w:pPr>
      <w:r>
        <w:rPr>
          <w:rFonts w:asciiTheme="minorHAnsi" w:eastAsia="Times New Roman" w:hAnsiTheme="minorHAnsi"/>
          <w:b/>
          <w:i/>
          <w:color w:val="000000"/>
          <w:sz w:val="20"/>
          <w:szCs w:val="18"/>
        </w:rPr>
        <w:t>Implementation</w:t>
      </w:r>
    </w:p>
    <w:p w:rsidR="00A26F26" w:rsidRDefault="00A26F26" w:rsidP="00F60909">
      <w:pPr>
        <w:pStyle w:val="ColorfulList-Accent11"/>
        <w:numPr>
          <w:ilvl w:val="0"/>
          <w:numId w:val="4"/>
        </w:numPr>
        <w:tabs>
          <w:tab w:val="left" w:pos="0"/>
        </w:tabs>
        <w:spacing w:before="120" w:after="120" w:line="240" w:lineRule="auto"/>
        <w:ind w:left="432" w:hanging="432"/>
        <w:contextualSpacing w:val="0"/>
        <w:jc w:val="both"/>
        <w:rPr>
          <w:rFonts w:asciiTheme="minorHAnsi" w:eastAsia="Times New Roman" w:hAnsiTheme="minorHAnsi"/>
          <w:color w:val="000000"/>
          <w:sz w:val="20"/>
          <w:szCs w:val="18"/>
        </w:rPr>
      </w:pPr>
      <w:r>
        <w:rPr>
          <w:rFonts w:asciiTheme="minorHAnsi" w:eastAsia="Times New Roman" w:hAnsiTheme="minorHAnsi"/>
          <w:color w:val="000000"/>
          <w:sz w:val="20"/>
          <w:szCs w:val="18"/>
        </w:rPr>
        <w:t>By the areas of work of the new strategic plan, the following table illustrates the number of strategies, action plans, action programmes, pilots, and upscaled pilots that were completed in the implementation output dimension.</w:t>
      </w:r>
    </w:p>
    <w:p w:rsidR="00F60909" w:rsidRDefault="00A26F26" w:rsidP="00A26F26">
      <w:pPr>
        <w:pStyle w:val="ColorfulList-Accent11"/>
        <w:tabs>
          <w:tab w:val="left" w:pos="0"/>
        </w:tabs>
        <w:spacing w:before="120" w:after="120" w:line="240" w:lineRule="auto"/>
        <w:ind w:left="1350"/>
        <w:contextualSpacing w:val="0"/>
        <w:rPr>
          <w:rFonts w:asciiTheme="minorHAnsi" w:eastAsia="Times New Roman" w:hAnsiTheme="minorHAnsi"/>
          <w:color w:val="000000"/>
          <w:sz w:val="20"/>
          <w:szCs w:val="18"/>
        </w:rPr>
      </w:pPr>
      <w:r>
        <w:rPr>
          <w:rFonts w:asciiTheme="minorHAnsi" w:eastAsia="Times New Roman" w:hAnsiTheme="minorHAnsi"/>
          <w:noProof/>
          <w:color w:val="000000"/>
          <w:sz w:val="20"/>
          <w:szCs w:val="18"/>
        </w:rPr>
        <w:drawing>
          <wp:inline distT="0" distB="0" distL="0" distR="0">
            <wp:extent cx="6421042" cy="1234440"/>
            <wp:effectExtent l="25400" t="0" r="5158"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6421042" cy="1234440"/>
                    </a:xfrm>
                    <a:prstGeom prst="rect">
                      <a:avLst/>
                    </a:prstGeom>
                    <a:noFill/>
                    <a:ln w="9525">
                      <a:noFill/>
                      <a:miter lim="800000"/>
                      <a:headEnd/>
                      <a:tailEnd/>
                    </a:ln>
                  </pic:spPr>
                </pic:pic>
              </a:graphicData>
            </a:graphic>
          </wp:inline>
        </w:drawing>
      </w:r>
    </w:p>
    <w:p w:rsidR="00F60909" w:rsidRPr="00F60909" w:rsidRDefault="00F60909" w:rsidP="00F60909">
      <w:pPr>
        <w:pStyle w:val="ColorfulList-Accent11"/>
        <w:tabs>
          <w:tab w:val="left" w:pos="0"/>
        </w:tabs>
        <w:spacing w:before="120" w:after="120" w:line="240" w:lineRule="auto"/>
        <w:ind w:left="0"/>
        <w:contextualSpacing w:val="0"/>
        <w:jc w:val="both"/>
        <w:rPr>
          <w:rFonts w:asciiTheme="minorHAnsi" w:eastAsia="Times New Roman" w:hAnsiTheme="minorHAnsi"/>
          <w:b/>
          <w:i/>
          <w:color w:val="000000"/>
          <w:sz w:val="20"/>
          <w:szCs w:val="18"/>
        </w:rPr>
      </w:pPr>
      <w:r>
        <w:rPr>
          <w:rFonts w:asciiTheme="minorHAnsi" w:eastAsia="Times New Roman" w:hAnsiTheme="minorHAnsi"/>
          <w:b/>
          <w:i/>
          <w:color w:val="000000"/>
          <w:sz w:val="20"/>
          <w:szCs w:val="18"/>
        </w:rPr>
        <w:t>Durability</w:t>
      </w:r>
    </w:p>
    <w:p w:rsidR="00323D20" w:rsidRDefault="00323D20" w:rsidP="00F60909">
      <w:pPr>
        <w:pStyle w:val="ColorfulList-Accent11"/>
        <w:numPr>
          <w:ilvl w:val="0"/>
          <w:numId w:val="4"/>
        </w:numPr>
        <w:tabs>
          <w:tab w:val="left" w:pos="0"/>
        </w:tabs>
        <w:spacing w:before="120" w:after="120" w:line="240" w:lineRule="auto"/>
        <w:ind w:left="432" w:hanging="432"/>
        <w:contextualSpacing w:val="0"/>
        <w:jc w:val="both"/>
        <w:rPr>
          <w:rFonts w:asciiTheme="minorHAnsi" w:eastAsia="Times New Roman" w:hAnsiTheme="minorHAnsi"/>
          <w:color w:val="000000"/>
          <w:sz w:val="20"/>
          <w:szCs w:val="18"/>
        </w:rPr>
      </w:pPr>
      <w:r>
        <w:rPr>
          <w:rFonts w:asciiTheme="minorHAnsi" w:eastAsia="Times New Roman" w:hAnsiTheme="minorHAnsi"/>
          <w:color w:val="000000"/>
          <w:sz w:val="20"/>
          <w:szCs w:val="18"/>
        </w:rPr>
        <w:t>By the areas of work of the new strategic plan, the following tables illustrate for 2013 the percentage achievement of measures aimed at developing capacities and increasing durability.</w:t>
      </w:r>
      <w:r w:rsidR="00C61B84">
        <w:rPr>
          <w:rFonts w:asciiTheme="minorHAnsi" w:eastAsia="Times New Roman" w:hAnsiTheme="minorHAnsi"/>
          <w:color w:val="000000"/>
          <w:sz w:val="20"/>
          <w:szCs w:val="18"/>
        </w:rPr>
        <w:t xml:space="preserve"> In each table, measures showing the largest contribution to achi</w:t>
      </w:r>
      <w:r w:rsidR="00310A90">
        <w:rPr>
          <w:rFonts w:asciiTheme="minorHAnsi" w:eastAsia="Times New Roman" w:hAnsiTheme="minorHAnsi"/>
          <w:color w:val="000000"/>
          <w:sz w:val="20"/>
          <w:szCs w:val="18"/>
        </w:rPr>
        <w:t>evement of outcome level change are</w:t>
      </w:r>
      <w:r w:rsidR="00C61B84">
        <w:rPr>
          <w:rFonts w:asciiTheme="minorHAnsi" w:eastAsia="Times New Roman" w:hAnsiTheme="minorHAnsi"/>
          <w:color w:val="000000"/>
          <w:sz w:val="20"/>
          <w:szCs w:val="18"/>
        </w:rPr>
        <w:t xml:space="preserve"> highlighted.</w:t>
      </w:r>
    </w:p>
    <w:p w:rsidR="00323D20" w:rsidRDefault="00323D20" w:rsidP="00323D20">
      <w:pPr>
        <w:pStyle w:val="ColorfulList-Accent11"/>
        <w:tabs>
          <w:tab w:val="left" w:pos="0"/>
        </w:tabs>
        <w:spacing w:before="120" w:after="120" w:line="240" w:lineRule="auto"/>
        <w:ind w:left="432"/>
        <w:contextualSpacing w:val="0"/>
        <w:jc w:val="center"/>
        <w:rPr>
          <w:rFonts w:asciiTheme="minorHAnsi" w:eastAsia="Times New Roman" w:hAnsiTheme="minorHAnsi"/>
          <w:color w:val="000000"/>
          <w:sz w:val="20"/>
          <w:szCs w:val="18"/>
        </w:rPr>
      </w:pPr>
      <w:r>
        <w:rPr>
          <w:rFonts w:asciiTheme="minorHAnsi" w:eastAsia="Times New Roman" w:hAnsiTheme="minorHAnsi"/>
          <w:noProof/>
          <w:color w:val="000000"/>
          <w:sz w:val="20"/>
          <w:szCs w:val="18"/>
        </w:rPr>
        <w:lastRenderedPageBreak/>
        <w:drawing>
          <wp:inline distT="0" distB="0" distL="0" distR="0">
            <wp:extent cx="5942415" cy="3026664"/>
            <wp:effectExtent l="25400" t="0" r="11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942415" cy="3026664"/>
                    </a:xfrm>
                    <a:prstGeom prst="rect">
                      <a:avLst/>
                    </a:prstGeom>
                    <a:noFill/>
                    <a:ln w="9525">
                      <a:noFill/>
                      <a:miter lim="800000"/>
                      <a:headEnd/>
                      <a:tailEnd/>
                    </a:ln>
                  </pic:spPr>
                </pic:pic>
              </a:graphicData>
            </a:graphic>
          </wp:inline>
        </w:drawing>
      </w:r>
    </w:p>
    <w:p w:rsidR="00F60909" w:rsidRDefault="00323D20" w:rsidP="00323D20">
      <w:pPr>
        <w:pStyle w:val="ColorfulList-Accent11"/>
        <w:tabs>
          <w:tab w:val="left" w:pos="0"/>
        </w:tabs>
        <w:spacing w:before="120" w:after="120" w:line="240" w:lineRule="auto"/>
        <w:ind w:left="432"/>
        <w:contextualSpacing w:val="0"/>
        <w:jc w:val="center"/>
        <w:rPr>
          <w:rFonts w:asciiTheme="minorHAnsi" w:eastAsia="Times New Roman" w:hAnsiTheme="minorHAnsi"/>
          <w:color w:val="000000"/>
          <w:sz w:val="20"/>
          <w:szCs w:val="18"/>
        </w:rPr>
      </w:pPr>
      <w:r>
        <w:rPr>
          <w:rFonts w:asciiTheme="minorHAnsi" w:eastAsia="Times New Roman" w:hAnsiTheme="minorHAnsi"/>
          <w:noProof/>
          <w:color w:val="000000"/>
          <w:sz w:val="20"/>
          <w:szCs w:val="18"/>
        </w:rPr>
        <w:drawing>
          <wp:inline distT="0" distB="0" distL="0" distR="0">
            <wp:extent cx="5942417" cy="3026664"/>
            <wp:effectExtent l="25400" t="0" r="118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942417" cy="3026664"/>
                    </a:xfrm>
                    <a:prstGeom prst="rect">
                      <a:avLst/>
                    </a:prstGeom>
                    <a:noFill/>
                    <a:ln w="9525">
                      <a:noFill/>
                      <a:miter lim="800000"/>
                      <a:headEnd/>
                      <a:tailEnd/>
                    </a:ln>
                  </pic:spPr>
                </pic:pic>
              </a:graphicData>
            </a:graphic>
          </wp:inline>
        </w:drawing>
      </w:r>
    </w:p>
    <w:p w:rsidR="00DA3878" w:rsidRPr="00A932D2" w:rsidRDefault="00323D20" w:rsidP="00323D20">
      <w:pPr>
        <w:pStyle w:val="ColorfulList-Accent11"/>
        <w:tabs>
          <w:tab w:val="left" w:pos="0"/>
        </w:tabs>
        <w:spacing w:before="120" w:after="120" w:line="240" w:lineRule="auto"/>
        <w:ind w:left="432"/>
        <w:contextualSpacing w:val="0"/>
        <w:jc w:val="center"/>
        <w:rPr>
          <w:rFonts w:asciiTheme="minorHAnsi" w:eastAsia="Times New Roman" w:hAnsiTheme="minorHAnsi"/>
          <w:color w:val="000000"/>
          <w:sz w:val="20"/>
          <w:szCs w:val="18"/>
        </w:rPr>
      </w:pPr>
      <w:r>
        <w:rPr>
          <w:rFonts w:asciiTheme="minorHAnsi" w:eastAsia="Times New Roman" w:hAnsiTheme="minorHAnsi"/>
          <w:noProof/>
          <w:color w:val="000000"/>
          <w:sz w:val="20"/>
          <w:szCs w:val="18"/>
        </w:rPr>
        <w:lastRenderedPageBreak/>
        <w:drawing>
          <wp:inline distT="0" distB="0" distL="0" distR="0">
            <wp:extent cx="5959249" cy="3026664"/>
            <wp:effectExtent l="25400" t="0" r="9751"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5959249" cy="3026664"/>
                    </a:xfrm>
                    <a:prstGeom prst="rect">
                      <a:avLst/>
                    </a:prstGeom>
                    <a:noFill/>
                    <a:ln w="9525">
                      <a:noFill/>
                      <a:miter lim="800000"/>
                      <a:headEnd/>
                      <a:tailEnd/>
                    </a:ln>
                  </pic:spPr>
                </pic:pic>
              </a:graphicData>
            </a:graphic>
          </wp:inline>
        </w:drawing>
      </w:r>
    </w:p>
    <w:p w:rsidR="00E84515" w:rsidRDefault="00E84515" w:rsidP="00E84515">
      <w:pPr>
        <w:pStyle w:val="ColorfulList-Accent11"/>
        <w:tabs>
          <w:tab w:val="left" w:pos="0"/>
        </w:tabs>
        <w:spacing w:before="120" w:after="120" w:line="240" w:lineRule="auto"/>
        <w:ind w:left="432"/>
        <w:contextualSpacing w:val="0"/>
        <w:jc w:val="both"/>
        <w:rPr>
          <w:rFonts w:asciiTheme="minorHAnsi" w:eastAsia="Times New Roman" w:hAnsiTheme="minorHAnsi"/>
          <w:color w:val="000000"/>
          <w:sz w:val="20"/>
          <w:szCs w:val="18"/>
        </w:rPr>
      </w:pPr>
    </w:p>
    <w:p w:rsidR="00E84515" w:rsidRDefault="00E84515" w:rsidP="00E84515">
      <w:pPr>
        <w:pStyle w:val="ColorfulList-Accent11"/>
        <w:tabs>
          <w:tab w:val="left" w:pos="0"/>
        </w:tabs>
        <w:spacing w:before="120" w:after="120" w:line="240" w:lineRule="auto"/>
        <w:ind w:left="432"/>
        <w:contextualSpacing w:val="0"/>
        <w:jc w:val="both"/>
        <w:rPr>
          <w:rFonts w:asciiTheme="minorHAnsi" w:eastAsia="Times New Roman" w:hAnsiTheme="minorHAnsi"/>
          <w:color w:val="000000"/>
          <w:sz w:val="20"/>
          <w:szCs w:val="18"/>
        </w:rPr>
      </w:pPr>
    </w:p>
    <w:p w:rsidR="00E84515" w:rsidRPr="00E84515" w:rsidRDefault="00E84515">
      <w:pPr>
        <w:rPr>
          <w:b/>
          <w:sz w:val="2"/>
        </w:rPr>
      </w:pPr>
      <w:r>
        <w:rPr>
          <w:b/>
        </w:rPr>
        <w:br w:type="page"/>
      </w:r>
    </w:p>
    <w:p w:rsidR="00AE01D6" w:rsidRPr="00E84515" w:rsidRDefault="00E84515" w:rsidP="00E84515">
      <w:pPr>
        <w:numPr>
          <w:ilvl w:val="0"/>
          <w:numId w:val="16"/>
        </w:numPr>
        <w:tabs>
          <w:tab w:val="left" w:pos="1080"/>
          <w:tab w:val="right" w:pos="12960"/>
        </w:tabs>
        <w:spacing w:before="120" w:after="240" w:line="240" w:lineRule="auto"/>
        <w:ind w:left="360"/>
        <w:rPr>
          <w:b/>
        </w:rPr>
      </w:pPr>
      <w:r>
        <w:rPr>
          <w:b/>
        </w:rPr>
        <w:lastRenderedPageBreak/>
        <w:t>Development effectiveness indicators</w:t>
      </w:r>
      <w:r w:rsidR="00AE01D6" w:rsidRPr="00E84515">
        <w:rPr>
          <w:b/>
        </w:rPr>
        <w:t xml:space="preserve"> </w:t>
      </w:r>
    </w:p>
    <w:tbl>
      <w:tblPr>
        <w:tblStyle w:val="TableGrid"/>
        <w:tblW w:w="0" w:type="auto"/>
        <w:tblLook w:val="04A0" w:firstRow="1" w:lastRow="0" w:firstColumn="1" w:lastColumn="0" w:noHBand="0" w:noVBand="1"/>
      </w:tblPr>
      <w:tblGrid>
        <w:gridCol w:w="2079"/>
        <w:gridCol w:w="3249"/>
        <w:gridCol w:w="1530"/>
        <w:gridCol w:w="6318"/>
      </w:tblGrid>
      <w:tr w:rsidR="00AE01D6" w:rsidRPr="00720EA9">
        <w:trPr>
          <w:tblHeader/>
        </w:trPr>
        <w:tc>
          <w:tcPr>
            <w:tcW w:w="13176" w:type="dxa"/>
            <w:gridSpan w:val="4"/>
            <w:shd w:val="clear" w:color="auto" w:fill="F2F2F2" w:themeFill="background1" w:themeFillShade="F2"/>
          </w:tcPr>
          <w:p w:rsidR="00AE01D6" w:rsidRPr="00720EA9" w:rsidRDefault="00AE01D6" w:rsidP="00215780">
            <w:pPr>
              <w:keepNext/>
              <w:keepLines/>
              <w:tabs>
                <w:tab w:val="left" w:pos="7020"/>
              </w:tabs>
              <w:spacing w:before="120" w:after="120"/>
              <w:rPr>
                <w:rFonts w:cs="Times New Roman"/>
                <w:b/>
                <w:szCs w:val="20"/>
              </w:rPr>
            </w:pPr>
            <w:r w:rsidRPr="00720EA9">
              <w:rPr>
                <w:rFonts w:cs="Times New Roman"/>
                <w:b/>
                <w:szCs w:val="20"/>
              </w:rPr>
              <w:t>Development effectiveness</w:t>
            </w:r>
          </w:p>
        </w:tc>
      </w:tr>
      <w:tr w:rsidR="00AE01D6" w:rsidRPr="00CA712C">
        <w:trPr>
          <w:tblHeader/>
        </w:trPr>
        <w:tc>
          <w:tcPr>
            <w:tcW w:w="2079" w:type="dxa"/>
            <w:shd w:val="clear" w:color="auto" w:fill="D9D9D9" w:themeFill="background1" w:themeFillShade="D9"/>
          </w:tcPr>
          <w:p w:rsidR="00AE01D6" w:rsidRPr="00CA712C" w:rsidRDefault="00AE01D6" w:rsidP="00215780">
            <w:pPr>
              <w:keepNext/>
              <w:keepLines/>
              <w:tabs>
                <w:tab w:val="left" w:pos="7020"/>
              </w:tabs>
              <w:spacing w:before="120" w:after="120"/>
              <w:rPr>
                <w:rFonts w:cs="Times New Roman"/>
                <w:b/>
                <w:sz w:val="20"/>
                <w:szCs w:val="20"/>
              </w:rPr>
            </w:pPr>
            <w:r w:rsidRPr="00CA712C">
              <w:rPr>
                <w:rFonts w:cs="Times New Roman"/>
                <w:b/>
                <w:sz w:val="20"/>
                <w:szCs w:val="20"/>
              </w:rPr>
              <w:t>Outputs</w:t>
            </w:r>
          </w:p>
        </w:tc>
        <w:tc>
          <w:tcPr>
            <w:tcW w:w="3249" w:type="dxa"/>
            <w:shd w:val="clear" w:color="auto" w:fill="D9D9D9" w:themeFill="background1" w:themeFillShade="D9"/>
          </w:tcPr>
          <w:p w:rsidR="00AE01D6" w:rsidRPr="00CA712C" w:rsidRDefault="00AE01D6" w:rsidP="00215780">
            <w:pPr>
              <w:keepNext/>
              <w:keepLines/>
              <w:tabs>
                <w:tab w:val="left" w:pos="7020"/>
              </w:tabs>
              <w:spacing w:before="120" w:after="120"/>
              <w:rPr>
                <w:rFonts w:cs="Times New Roman"/>
                <w:b/>
                <w:sz w:val="20"/>
                <w:szCs w:val="20"/>
              </w:rPr>
            </w:pPr>
            <w:r>
              <w:rPr>
                <w:rFonts w:cs="Times New Roman"/>
                <w:b/>
                <w:sz w:val="20"/>
                <w:szCs w:val="20"/>
              </w:rPr>
              <w:t>Development Effectiveness o</w:t>
            </w:r>
            <w:r w:rsidRPr="00CA712C">
              <w:rPr>
                <w:rFonts w:cs="Times New Roman"/>
                <w:b/>
                <w:sz w:val="20"/>
                <w:szCs w:val="20"/>
              </w:rPr>
              <w:t>utput indicators</w:t>
            </w:r>
          </w:p>
        </w:tc>
        <w:tc>
          <w:tcPr>
            <w:tcW w:w="1530" w:type="dxa"/>
            <w:shd w:val="clear" w:color="auto" w:fill="D9D9D9" w:themeFill="background1" w:themeFillShade="D9"/>
          </w:tcPr>
          <w:p w:rsidR="00AE01D6" w:rsidRPr="00CA712C" w:rsidRDefault="00AE01D6" w:rsidP="002E0DDC">
            <w:pPr>
              <w:keepNext/>
              <w:keepLines/>
              <w:tabs>
                <w:tab w:val="left" w:pos="7020"/>
              </w:tabs>
              <w:spacing w:before="120" w:after="120"/>
              <w:jc w:val="center"/>
              <w:rPr>
                <w:rFonts w:cs="Times New Roman"/>
                <w:b/>
                <w:sz w:val="20"/>
                <w:szCs w:val="20"/>
              </w:rPr>
            </w:pPr>
            <w:r w:rsidRPr="00CA712C">
              <w:rPr>
                <w:rFonts w:cs="Times New Roman"/>
                <w:b/>
                <w:sz w:val="20"/>
                <w:szCs w:val="20"/>
              </w:rPr>
              <w:t>Targets 2013</w:t>
            </w:r>
          </w:p>
        </w:tc>
        <w:tc>
          <w:tcPr>
            <w:tcW w:w="6318" w:type="dxa"/>
            <w:shd w:val="clear" w:color="auto" w:fill="D9D9D9" w:themeFill="background1" w:themeFillShade="D9"/>
          </w:tcPr>
          <w:p w:rsidR="00AE01D6" w:rsidRDefault="00AE01D6" w:rsidP="002E0DDC">
            <w:pPr>
              <w:keepNext/>
              <w:keepLines/>
              <w:tabs>
                <w:tab w:val="left" w:pos="7020"/>
              </w:tabs>
              <w:spacing w:before="120" w:after="120"/>
              <w:jc w:val="center"/>
              <w:rPr>
                <w:rFonts w:cs="Times New Roman"/>
                <w:b/>
                <w:sz w:val="20"/>
                <w:szCs w:val="20"/>
              </w:rPr>
            </w:pPr>
            <w:r>
              <w:rPr>
                <w:rFonts w:cs="Times New Roman"/>
                <w:b/>
                <w:sz w:val="20"/>
                <w:szCs w:val="20"/>
              </w:rPr>
              <w:t>Progress against targets</w:t>
            </w:r>
          </w:p>
        </w:tc>
      </w:tr>
      <w:tr w:rsidR="00AE01D6" w:rsidRPr="00CA712C">
        <w:trPr>
          <w:trHeight w:val="773"/>
        </w:trPr>
        <w:tc>
          <w:tcPr>
            <w:tcW w:w="2079" w:type="dxa"/>
            <w:vMerge w:val="restart"/>
          </w:tcPr>
          <w:p w:rsidR="00AE01D6" w:rsidRPr="00CA712C" w:rsidRDefault="00AE01D6" w:rsidP="00BA40DA">
            <w:pPr>
              <w:spacing w:before="120" w:after="120"/>
              <w:rPr>
                <w:rFonts w:eastAsia="Times New Roman" w:cs="Times New Roman"/>
                <w:sz w:val="20"/>
                <w:szCs w:val="20"/>
              </w:rPr>
            </w:pPr>
            <w:r w:rsidRPr="00CA712C">
              <w:rPr>
                <w:rFonts w:eastAsia="Times New Roman" w:cs="Times New Roman"/>
                <w:sz w:val="20"/>
                <w:szCs w:val="20"/>
              </w:rPr>
              <w:t xml:space="preserve">Quality of country programming increased </w:t>
            </w:r>
          </w:p>
          <w:p w:rsidR="00AE01D6" w:rsidRPr="00CA712C" w:rsidRDefault="00AE01D6" w:rsidP="00BA40DA">
            <w:pPr>
              <w:spacing w:before="120" w:after="120"/>
              <w:rPr>
                <w:rFonts w:cs="Times New Roman"/>
                <w:sz w:val="20"/>
                <w:szCs w:val="20"/>
              </w:rPr>
            </w:pPr>
            <w:r w:rsidRPr="00CA712C">
              <w:rPr>
                <w:rFonts w:eastAsia="Times New Roman" w:cs="Times New Roman"/>
                <w:b/>
                <w:sz w:val="20"/>
                <w:szCs w:val="20"/>
              </w:rPr>
              <w:t>(Corporate sponsor – RBx)</w:t>
            </w:r>
          </w:p>
        </w:tc>
        <w:tc>
          <w:tcPr>
            <w:tcW w:w="3249" w:type="dxa"/>
          </w:tcPr>
          <w:p w:rsidR="00AE01D6" w:rsidRPr="00CA712C" w:rsidRDefault="00AE01D6" w:rsidP="00BA40DA">
            <w:pPr>
              <w:spacing w:before="120" w:after="120"/>
              <w:rPr>
                <w:rFonts w:eastAsia="Times New Roman" w:cs="Times New Roman"/>
                <w:sz w:val="20"/>
                <w:szCs w:val="20"/>
              </w:rPr>
            </w:pPr>
            <w:r w:rsidRPr="00CA712C">
              <w:rPr>
                <w:rFonts w:eastAsia="Times New Roman" w:cs="Times New Roman"/>
                <w:sz w:val="20"/>
                <w:szCs w:val="20"/>
              </w:rPr>
              <w:t>Compliance with evaluation policy and corporate quality standards</w:t>
            </w:r>
          </w:p>
          <w:p w:rsidR="00AE01D6" w:rsidRPr="001422AE" w:rsidRDefault="00AE01D6" w:rsidP="00BA40DA">
            <w:pPr>
              <w:spacing w:before="120" w:after="120"/>
              <w:rPr>
                <w:rFonts w:eastAsia="Times New Roman" w:cs="Times New Roman"/>
                <w:sz w:val="20"/>
                <w:szCs w:val="20"/>
              </w:rPr>
            </w:pPr>
            <w:r w:rsidRPr="00CA712C">
              <w:rPr>
                <w:rFonts w:eastAsia="Times New Roman" w:cs="Times New Roman"/>
                <w:sz w:val="20"/>
                <w:szCs w:val="20"/>
              </w:rPr>
              <w:t>(</w:t>
            </w:r>
            <w:r w:rsidRPr="00CA712C">
              <w:rPr>
                <w:rFonts w:eastAsia="Times New Roman" w:cs="Times New Roman"/>
                <w:i/>
                <w:sz w:val="20"/>
                <w:szCs w:val="20"/>
              </w:rPr>
              <w:t xml:space="preserve">Source: ERC: </w:t>
            </w:r>
            <w:r w:rsidRPr="00CA712C">
              <w:rPr>
                <w:rFonts w:eastAsia="Times New Roman" w:cs="Times New Roman"/>
                <w:sz w:val="20"/>
                <w:szCs w:val="20"/>
              </w:rPr>
              <w:t xml:space="preserve">compliance rate with </w:t>
            </w:r>
            <w:r>
              <w:rPr>
                <w:sz w:val="20"/>
              </w:rPr>
              <w:t>country programme document (CPD)</w:t>
            </w:r>
            <w:r w:rsidRPr="00730D6C">
              <w:rPr>
                <w:sz w:val="20"/>
              </w:rPr>
              <w:t xml:space="preserve"> </w:t>
            </w:r>
            <w:r w:rsidRPr="00CA712C">
              <w:rPr>
                <w:rFonts w:eastAsia="Times New Roman" w:cs="Times New Roman"/>
                <w:sz w:val="20"/>
                <w:szCs w:val="20"/>
              </w:rPr>
              <w:t>evaluation plans</w:t>
            </w:r>
            <w:r>
              <w:rPr>
                <w:rFonts w:eastAsia="Times New Roman" w:cs="Times New Roman"/>
                <w:sz w:val="20"/>
                <w:szCs w:val="20"/>
              </w:rPr>
              <w:t xml:space="preserve"> – </w:t>
            </w:r>
            <w:r w:rsidRPr="00CA712C">
              <w:rPr>
                <w:rFonts w:eastAsia="Times New Roman" w:cs="Times New Roman"/>
                <w:i/>
                <w:sz w:val="20"/>
                <w:szCs w:val="20"/>
              </w:rPr>
              <w:t>Baseline</w:t>
            </w:r>
            <w:r>
              <w:rPr>
                <w:rFonts w:eastAsia="Times New Roman" w:cs="Times New Roman"/>
                <w:i/>
                <w:sz w:val="20"/>
                <w:szCs w:val="20"/>
              </w:rPr>
              <w:t>: 28% compliant in 2010</w:t>
            </w:r>
            <w:r w:rsidRPr="00CA712C">
              <w:rPr>
                <w:rFonts w:eastAsia="Times New Roman" w:cs="Times New Roman"/>
                <w:sz w:val="20"/>
                <w:szCs w:val="20"/>
              </w:rPr>
              <w:t>; decentrali</w:t>
            </w:r>
            <w:r>
              <w:rPr>
                <w:rFonts w:eastAsia="Times New Roman" w:cs="Times New Roman"/>
                <w:sz w:val="20"/>
                <w:szCs w:val="20"/>
              </w:rPr>
              <w:t>s</w:t>
            </w:r>
            <w:r w:rsidRPr="00CA712C">
              <w:rPr>
                <w:rFonts w:eastAsia="Times New Roman" w:cs="Times New Roman"/>
                <w:sz w:val="20"/>
                <w:szCs w:val="20"/>
              </w:rPr>
              <w:t>ed evaluation quality ratings</w:t>
            </w:r>
            <w:r>
              <w:rPr>
                <w:rFonts w:eastAsia="Times New Roman" w:cs="Times New Roman"/>
                <w:sz w:val="20"/>
                <w:szCs w:val="20"/>
              </w:rPr>
              <w:t xml:space="preserve"> – </w:t>
            </w:r>
            <w:r w:rsidRPr="00CA712C">
              <w:rPr>
                <w:rFonts w:eastAsia="Times New Roman" w:cs="Times New Roman"/>
                <w:i/>
                <w:sz w:val="20"/>
                <w:szCs w:val="20"/>
              </w:rPr>
              <w:t>Baseline</w:t>
            </w:r>
            <w:r>
              <w:rPr>
                <w:rFonts w:eastAsia="Times New Roman" w:cs="Times New Roman"/>
                <w:i/>
                <w:sz w:val="20"/>
                <w:szCs w:val="20"/>
              </w:rPr>
              <w:t>: 21% of 2010 outcome evaluations rated satisfactory or better</w:t>
            </w:r>
            <w:r w:rsidRPr="00CA712C">
              <w:rPr>
                <w:rFonts w:eastAsia="Times New Roman" w:cs="Times New Roman"/>
                <w:sz w:val="20"/>
                <w:szCs w:val="20"/>
              </w:rPr>
              <w:t>; implementation rates of management responses</w:t>
            </w:r>
            <w:r>
              <w:rPr>
                <w:rFonts w:eastAsia="Times New Roman" w:cs="Times New Roman"/>
                <w:sz w:val="20"/>
                <w:szCs w:val="20"/>
              </w:rPr>
              <w:t xml:space="preserve"> – </w:t>
            </w:r>
            <w:r w:rsidRPr="00CA712C">
              <w:rPr>
                <w:rFonts w:eastAsia="Times New Roman" w:cs="Times New Roman"/>
                <w:i/>
                <w:sz w:val="20"/>
                <w:szCs w:val="20"/>
              </w:rPr>
              <w:t>Baseline</w:t>
            </w:r>
            <w:r>
              <w:rPr>
                <w:rFonts w:eastAsia="Times New Roman" w:cs="Times New Roman"/>
                <w:i/>
                <w:sz w:val="20"/>
                <w:szCs w:val="20"/>
              </w:rPr>
              <w:t>: 61% completed/ongoing over past 4 years</w:t>
            </w:r>
            <w:r w:rsidRPr="00CA712C">
              <w:rPr>
                <w:rFonts w:eastAsia="Times New Roman" w:cs="Times New Roman"/>
                <w:sz w:val="20"/>
                <w:szCs w:val="20"/>
              </w:rPr>
              <w:t>)</w:t>
            </w:r>
          </w:p>
        </w:tc>
        <w:tc>
          <w:tcPr>
            <w:tcW w:w="1530" w:type="dxa"/>
          </w:tcPr>
          <w:p w:rsidR="00AE01D6" w:rsidRPr="00470F67" w:rsidRDefault="00AE01D6" w:rsidP="009A0CE9">
            <w:pPr>
              <w:spacing w:before="120" w:after="120"/>
              <w:jc w:val="center"/>
              <w:rPr>
                <w:rFonts w:eastAsia="Times New Roman" w:cs="Times New Roman"/>
                <w:sz w:val="20"/>
                <w:szCs w:val="20"/>
              </w:rPr>
            </w:pPr>
            <w:r>
              <w:rPr>
                <w:rFonts w:eastAsia="Times New Roman" w:cs="Times New Roman"/>
                <w:sz w:val="20"/>
                <w:szCs w:val="20"/>
              </w:rPr>
              <w:t>CPD: 60</w:t>
            </w:r>
            <w:r w:rsidRPr="00470F67">
              <w:rPr>
                <w:rFonts w:eastAsia="Times New Roman" w:cs="Times New Roman"/>
                <w:sz w:val="20"/>
                <w:szCs w:val="20"/>
              </w:rPr>
              <w:t>%</w:t>
            </w:r>
          </w:p>
          <w:p w:rsidR="00AE01D6" w:rsidRPr="00470F67" w:rsidRDefault="00AE01D6" w:rsidP="009A0CE9">
            <w:pPr>
              <w:spacing w:before="120" w:after="120"/>
              <w:jc w:val="center"/>
              <w:rPr>
                <w:rFonts w:eastAsia="Times New Roman" w:cs="Times New Roman"/>
                <w:sz w:val="20"/>
                <w:szCs w:val="20"/>
              </w:rPr>
            </w:pPr>
            <w:r>
              <w:rPr>
                <w:rFonts w:eastAsia="Times New Roman" w:cs="Times New Roman"/>
                <w:sz w:val="20"/>
                <w:szCs w:val="20"/>
              </w:rPr>
              <w:t>Decentral.: 50</w:t>
            </w:r>
            <w:r w:rsidRPr="00470F67">
              <w:rPr>
                <w:rFonts w:eastAsia="Times New Roman" w:cs="Times New Roman"/>
                <w:sz w:val="20"/>
                <w:szCs w:val="20"/>
              </w:rPr>
              <w:t>%</w:t>
            </w:r>
          </w:p>
          <w:p w:rsidR="00AE01D6" w:rsidRPr="00470F67" w:rsidRDefault="00AE01D6" w:rsidP="009A0CE9">
            <w:pPr>
              <w:spacing w:before="120" w:after="120"/>
              <w:jc w:val="center"/>
              <w:rPr>
                <w:rFonts w:eastAsia="Times New Roman" w:cs="Times New Roman"/>
                <w:sz w:val="20"/>
                <w:szCs w:val="20"/>
              </w:rPr>
            </w:pPr>
            <w:r w:rsidRPr="00470F67">
              <w:rPr>
                <w:rFonts w:eastAsia="Times New Roman" w:cs="Times New Roman"/>
                <w:sz w:val="20"/>
                <w:szCs w:val="20"/>
              </w:rPr>
              <w:t>Mgmt.resp.: 75%</w:t>
            </w:r>
          </w:p>
        </w:tc>
        <w:tc>
          <w:tcPr>
            <w:tcW w:w="6318" w:type="dxa"/>
          </w:tcPr>
          <w:p w:rsidR="00AE01D6" w:rsidRPr="00655506" w:rsidRDefault="00AE01D6" w:rsidP="002E0DDC">
            <w:pPr>
              <w:spacing w:before="120" w:after="120"/>
              <w:rPr>
                <w:rFonts w:cs="Times New Roman"/>
                <w:sz w:val="20"/>
                <w:szCs w:val="20"/>
              </w:rPr>
            </w:pPr>
            <w:r w:rsidRPr="00655506">
              <w:rPr>
                <w:rFonts w:cs="Times New Roman"/>
                <w:sz w:val="20"/>
                <w:szCs w:val="20"/>
              </w:rPr>
              <w:t xml:space="preserve">Current indicator measures: </w:t>
            </w:r>
          </w:p>
          <w:p w:rsidR="00AE01D6" w:rsidRPr="00655506" w:rsidRDefault="00AE01D6" w:rsidP="002E0DDC">
            <w:pPr>
              <w:tabs>
                <w:tab w:val="right" w:pos="1602"/>
                <w:tab w:val="left" w:pos="1782"/>
              </w:tabs>
              <w:spacing w:before="120" w:after="120"/>
              <w:ind w:left="252"/>
              <w:rPr>
                <w:rFonts w:cs="Times New Roman"/>
                <w:sz w:val="20"/>
                <w:szCs w:val="20"/>
              </w:rPr>
            </w:pPr>
            <w:r w:rsidRPr="00655506">
              <w:rPr>
                <w:rFonts w:cs="Times New Roman"/>
                <w:sz w:val="20"/>
                <w:szCs w:val="20"/>
              </w:rPr>
              <w:tab/>
              <w:t xml:space="preserve">CPD: </w:t>
            </w:r>
            <w:r w:rsidRPr="00655506">
              <w:rPr>
                <w:rFonts w:cs="Times New Roman"/>
                <w:sz w:val="20"/>
                <w:szCs w:val="20"/>
              </w:rPr>
              <w:tab/>
              <w:t>71%</w:t>
            </w:r>
          </w:p>
          <w:p w:rsidR="00AE01D6" w:rsidRPr="00655506" w:rsidRDefault="00AE01D6" w:rsidP="002E0DDC">
            <w:pPr>
              <w:tabs>
                <w:tab w:val="right" w:pos="1602"/>
                <w:tab w:val="left" w:pos="1782"/>
              </w:tabs>
              <w:spacing w:before="120" w:after="120"/>
              <w:ind w:left="252"/>
              <w:rPr>
                <w:rFonts w:cs="Times New Roman"/>
                <w:sz w:val="20"/>
                <w:szCs w:val="20"/>
              </w:rPr>
            </w:pPr>
            <w:r w:rsidRPr="00655506">
              <w:rPr>
                <w:rFonts w:cs="Times New Roman"/>
                <w:sz w:val="20"/>
                <w:szCs w:val="20"/>
              </w:rPr>
              <w:tab/>
              <w:t xml:space="preserve">Decentralised: </w:t>
            </w:r>
            <w:r w:rsidRPr="00655506">
              <w:rPr>
                <w:rFonts w:cs="Times New Roman"/>
                <w:sz w:val="20"/>
                <w:szCs w:val="20"/>
              </w:rPr>
              <w:tab/>
              <w:t>45%</w:t>
            </w:r>
          </w:p>
          <w:p w:rsidR="00AE01D6" w:rsidRPr="00655506" w:rsidRDefault="00AE01D6" w:rsidP="002E0DDC">
            <w:pPr>
              <w:tabs>
                <w:tab w:val="right" w:pos="1602"/>
                <w:tab w:val="left" w:pos="1782"/>
              </w:tabs>
              <w:spacing w:before="120" w:after="120"/>
              <w:ind w:left="252"/>
              <w:rPr>
                <w:rFonts w:cs="Times New Roman"/>
                <w:sz w:val="20"/>
                <w:szCs w:val="20"/>
              </w:rPr>
            </w:pPr>
            <w:r w:rsidRPr="00655506">
              <w:rPr>
                <w:rFonts w:cs="Times New Roman"/>
                <w:sz w:val="20"/>
                <w:szCs w:val="20"/>
              </w:rPr>
              <w:tab/>
              <w:t xml:space="preserve">Mgmt resp.: </w:t>
            </w:r>
            <w:r w:rsidRPr="00655506">
              <w:rPr>
                <w:rFonts w:cs="Times New Roman"/>
                <w:sz w:val="20"/>
                <w:szCs w:val="20"/>
              </w:rPr>
              <w:tab/>
              <w:t>67%</w:t>
            </w:r>
          </w:p>
          <w:p w:rsidR="00AE01D6" w:rsidRPr="00655506" w:rsidRDefault="00AE01D6" w:rsidP="002E0DDC">
            <w:pPr>
              <w:rPr>
                <w:rFonts w:cs="Times New Roman"/>
                <w:sz w:val="18"/>
                <w:szCs w:val="18"/>
              </w:rPr>
            </w:pPr>
            <w:r w:rsidRPr="00655506">
              <w:rPr>
                <w:rFonts w:eastAsia="Times New Roman" w:cs="Times New Roman"/>
                <w:sz w:val="18"/>
                <w:szCs w:val="18"/>
              </w:rPr>
              <w:t xml:space="preserve">Compliance rate with </w:t>
            </w:r>
            <w:r w:rsidRPr="00655506">
              <w:rPr>
                <w:sz w:val="18"/>
                <w:szCs w:val="18"/>
              </w:rPr>
              <w:t xml:space="preserve">country programme document (CPD) </w:t>
            </w:r>
            <w:r w:rsidRPr="00655506">
              <w:rPr>
                <w:rFonts w:eastAsia="Times New Roman" w:cs="Times New Roman"/>
                <w:sz w:val="18"/>
                <w:szCs w:val="18"/>
              </w:rPr>
              <w:t>evaluation plans in 2013</w:t>
            </w:r>
            <w:r w:rsidRPr="00655506">
              <w:rPr>
                <w:rFonts w:cs="Times New Roman"/>
                <w:sz w:val="18"/>
                <w:szCs w:val="18"/>
              </w:rPr>
              <w:t xml:space="preserve"> is 71%, b</w:t>
            </w:r>
            <w:r w:rsidRPr="00655506">
              <w:rPr>
                <w:rFonts w:cs="Times New Roman"/>
                <w:sz w:val="20"/>
                <w:szCs w:val="20"/>
              </w:rPr>
              <w:t>ased on ERC data as of 22 May 2014 (71% are fully compliant; 21% partially compliant; and 3% not compliant</w:t>
            </w:r>
            <w:r w:rsidRPr="00655506">
              <w:rPr>
                <w:rFonts w:cs="Times New Roman"/>
                <w:sz w:val="18"/>
                <w:szCs w:val="18"/>
              </w:rPr>
              <w:t xml:space="preserve">). </w:t>
            </w:r>
          </w:p>
          <w:p w:rsidR="00AE01D6" w:rsidRPr="00655506" w:rsidRDefault="00AE01D6" w:rsidP="002E0DDC">
            <w:pPr>
              <w:spacing w:before="120" w:after="120"/>
              <w:rPr>
                <w:rFonts w:cs="Times New Roman"/>
                <w:sz w:val="20"/>
                <w:szCs w:val="20"/>
              </w:rPr>
            </w:pPr>
            <w:r w:rsidRPr="00655506">
              <w:rPr>
                <w:rFonts w:cs="Times New Roman"/>
                <w:sz w:val="20"/>
                <w:szCs w:val="20"/>
              </w:rPr>
              <w:t>The 2013 analysis of decentralised evaluation quality shows that 45% of assessed evaluations were rated ‘satisfactory’ or better, 36% ‘moderately satisfactory’ and 19% ‘moderately unsatisfactory’ or worse. One hundred-one reports (56%) were rated satisfactory or better in terms of report completeness. Positive trends are discernable in quality of evaluation. The number of moderately unsatisfactory reports has been halved since 2011, the number of evaluations considered moderately satisfactory has likewise been reduced and the number of evaluations judged to be satisfactory has increased each year and now more than doubled, to 44 per cent.</w:t>
            </w:r>
          </w:p>
          <w:p w:rsidR="00AE01D6" w:rsidRPr="00655506" w:rsidRDefault="00AE01D6" w:rsidP="00AE01D6">
            <w:pPr>
              <w:spacing w:before="120" w:after="120"/>
              <w:rPr>
                <w:rFonts w:cs="Times New Roman"/>
                <w:sz w:val="20"/>
                <w:szCs w:val="20"/>
              </w:rPr>
            </w:pPr>
            <w:r w:rsidRPr="00655506">
              <w:rPr>
                <w:rFonts w:cs="Times New Roman"/>
                <w:sz w:val="20"/>
                <w:szCs w:val="20"/>
              </w:rPr>
              <w:t>In 2013, 67% of key actions in management responses to independent evaluations conducted in 2008-2013 were completed or ongoing; and 61% of key actions in management responses to decentralised evaluations conducted in 2008-2013 completed/ongoing</w:t>
            </w:r>
            <w:r w:rsidRPr="00655506">
              <w:rPr>
                <w:rFonts w:cs="Times New Roman"/>
                <w:sz w:val="20"/>
                <w:szCs w:val="18"/>
              </w:rPr>
              <w:t xml:space="preserve"> (see details in annex VI).</w:t>
            </w:r>
          </w:p>
        </w:tc>
      </w:tr>
      <w:tr w:rsidR="00AE01D6" w:rsidRPr="00CA712C">
        <w:tc>
          <w:tcPr>
            <w:tcW w:w="2079" w:type="dxa"/>
            <w:vMerge/>
          </w:tcPr>
          <w:p w:rsidR="00AE01D6" w:rsidRPr="00CA712C" w:rsidRDefault="00AE01D6" w:rsidP="00BA40DA">
            <w:pPr>
              <w:spacing w:before="120" w:after="120"/>
              <w:rPr>
                <w:rFonts w:cs="Times New Roman"/>
                <w:sz w:val="20"/>
                <w:szCs w:val="20"/>
              </w:rPr>
            </w:pPr>
          </w:p>
        </w:tc>
        <w:tc>
          <w:tcPr>
            <w:tcW w:w="3249" w:type="dxa"/>
          </w:tcPr>
          <w:p w:rsidR="00AE01D6" w:rsidRPr="00CA712C" w:rsidRDefault="00AE01D6" w:rsidP="00BA40DA">
            <w:pPr>
              <w:spacing w:before="120" w:after="120"/>
              <w:rPr>
                <w:rFonts w:eastAsia="Times New Roman" w:cs="Times New Roman"/>
                <w:sz w:val="20"/>
                <w:szCs w:val="20"/>
              </w:rPr>
            </w:pPr>
            <w:r w:rsidRPr="00CA712C">
              <w:rPr>
                <w:rFonts w:eastAsia="Times New Roman" w:cs="Times New Roman"/>
                <w:sz w:val="20"/>
                <w:szCs w:val="20"/>
              </w:rPr>
              <w:t xml:space="preserve">CO ROARs quality rating </w:t>
            </w:r>
          </w:p>
          <w:p w:rsidR="00AE01D6" w:rsidRPr="00CA712C" w:rsidRDefault="00AE01D6" w:rsidP="00BA40DA">
            <w:pPr>
              <w:spacing w:before="120" w:after="120"/>
              <w:rPr>
                <w:rFonts w:eastAsia="Times New Roman" w:cs="Times New Roman"/>
                <w:i/>
                <w:sz w:val="20"/>
                <w:szCs w:val="20"/>
              </w:rPr>
            </w:pPr>
            <w:r w:rsidRPr="00CA712C">
              <w:rPr>
                <w:rFonts w:eastAsia="Times New Roman" w:cs="Times New Roman"/>
                <w:i/>
                <w:sz w:val="20"/>
                <w:szCs w:val="20"/>
              </w:rPr>
              <w:t>(Source: new BSC indicator rated by OSG</w:t>
            </w:r>
            <w:r>
              <w:rPr>
                <w:rFonts w:eastAsia="Times New Roman" w:cs="Times New Roman"/>
                <w:i/>
                <w:sz w:val="20"/>
                <w:szCs w:val="20"/>
              </w:rPr>
              <w:t xml:space="preserve"> – Baseline: 81 out of 137 ROARs (59%) meet or exceed standard</w:t>
            </w:r>
            <w:r w:rsidRPr="00CA712C">
              <w:rPr>
                <w:rFonts w:eastAsia="Times New Roman" w:cs="Times New Roman"/>
                <w:i/>
                <w:sz w:val="20"/>
                <w:szCs w:val="20"/>
              </w:rPr>
              <w:t>)</w:t>
            </w:r>
          </w:p>
        </w:tc>
        <w:tc>
          <w:tcPr>
            <w:tcW w:w="1530" w:type="dxa"/>
          </w:tcPr>
          <w:p w:rsidR="00AE01D6" w:rsidRPr="00470F67" w:rsidRDefault="00AE01D6" w:rsidP="008232D8">
            <w:pPr>
              <w:tabs>
                <w:tab w:val="left" w:pos="7020"/>
              </w:tabs>
              <w:spacing w:before="120" w:after="120"/>
              <w:jc w:val="center"/>
              <w:rPr>
                <w:rFonts w:cs="Times New Roman"/>
                <w:sz w:val="20"/>
                <w:szCs w:val="20"/>
              </w:rPr>
            </w:pPr>
            <w:r>
              <w:rPr>
                <w:rFonts w:cs="Times New Roman"/>
                <w:sz w:val="20"/>
                <w:szCs w:val="20"/>
              </w:rPr>
              <w:t>20% increase (113 meet or exceed, or 82% of total)</w:t>
            </w:r>
          </w:p>
        </w:tc>
        <w:tc>
          <w:tcPr>
            <w:tcW w:w="6318" w:type="dxa"/>
          </w:tcPr>
          <w:p w:rsidR="00AE01D6" w:rsidRPr="00655506" w:rsidRDefault="00AE01D6" w:rsidP="002E0DDC">
            <w:pPr>
              <w:spacing w:before="120" w:after="120"/>
              <w:rPr>
                <w:rFonts w:eastAsia="Times New Roman" w:cs="Times New Roman"/>
                <w:sz w:val="20"/>
                <w:szCs w:val="20"/>
              </w:rPr>
            </w:pPr>
            <w:r w:rsidRPr="00655506">
              <w:rPr>
                <w:rFonts w:eastAsia="Times New Roman" w:cs="Times New Roman"/>
                <w:sz w:val="20"/>
                <w:szCs w:val="20"/>
              </w:rPr>
              <w:t xml:space="preserve">Current indicator measure: 63% </w:t>
            </w:r>
          </w:p>
          <w:p w:rsidR="00AE01D6" w:rsidRPr="00655506" w:rsidRDefault="00AE01D6" w:rsidP="002E0DDC">
            <w:pPr>
              <w:pStyle w:val="ListParagraph"/>
              <w:numPr>
                <w:ilvl w:val="0"/>
                <w:numId w:val="18"/>
              </w:numPr>
              <w:spacing w:before="120" w:after="120"/>
              <w:ind w:left="252" w:hanging="180"/>
              <w:rPr>
                <w:rFonts w:eastAsia="Times New Roman" w:cs="Times New Roman"/>
                <w:sz w:val="20"/>
                <w:szCs w:val="20"/>
              </w:rPr>
            </w:pPr>
            <w:r w:rsidRPr="00655506">
              <w:rPr>
                <w:rFonts w:eastAsia="Times New Roman" w:cs="Times New Roman"/>
                <w:sz w:val="20"/>
                <w:szCs w:val="20"/>
              </w:rPr>
              <w:t>63% Green (met or exceeded the expected standard)</w:t>
            </w:r>
          </w:p>
          <w:p w:rsidR="00AE01D6" w:rsidRPr="00655506" w:rsidRDefault="00AE01D6" w:rsidP="002E0DDC">
            <w:pPr>
              <w:pStyle w:val="ListParagraph"/>
              <w:numPr>
                <w:ilvl w:val="0"/>
                <w:numId w:val="18"/>
              </w:numPr>
              <w:spacing w:before="120" w:after="120"/>
              <w:ind w:left="252" w:hanging="180"/>
              <w:rPr>
                <w:rFonts w:eastAsia="Times New Roman" w:cs="Times New Roman"/>
                <w:sz w:val="20"/>
                <w:szCs w:val="20"/>
              </w:rPr>
            </w:pPr>
            <w:r w:rsidRPr="00655506">
              <w:rPr>
                <w:rFonts w:eastAsia="Times New Roman" w:cs="Times New Roman"/>
                <w:sz w:val="20"/>
                <w:szCs w:val="20"/>
              </w:rPr>
              <w:t>36% Amber (needs some management attention)</w:t>
            </w:r>
          </w:p>
          <w:p w:rsidR="00AE01D6" w:rsidRPr="00655506" w:rsidRDefault="00AE01D6" w:rsidP="002E0DDC">
            <w:pPr>
              <w:pStyle w:val="ListParagraph"/>
              <w:numPr>
                <w:ilvl w:val="0"/>
                <w:numId w:val="18"/>
              </w:numPr>
              <w:spacing w:before="120" w:after="120"/>
              <w:ind w:left="252" w:hanging="180"/>
              <w:rPr>
                <w:rFonts w:eastAsia="Times New Roman" w:cs="Times New Roman"/>
                <w:sz w:val="20"/>
                <w:szCs w:val="20"/>
              </w:rPr>
            </w:pPr>
            <w:r w:rsidRPr="00655506">
              <w:rPr>
                <w:rFonts w:eastAsia="Times New Roman" w:cs="Times New Roman"/>
                <w:sz w:val="20"/>
                <w:szCs w:val="20"/>
              </w:rPr>
              <w:t>1% Red (needs urgent attention)</w:t>
            </w:r>
          </w:p>
          <w:p w:rsidR="00AE01D6" w:rsidRPr="00655506" w:rsidRDefault="00AE01D6" w:rsidP="00AE01D6">
            <w:pPr>
              <w:spacing w:before="120" w:after="120"/>
              <w:rPr>
                <w:rFonts w:eastAsia="Times New Roman" w:cs="Times New Roman"/>
                <w:sz w:val="20"/>
                <w:szCs w:val="20"/>
              </w:rPr>
            </w:pPr>
            <w:r w:rsidRPr="00655506">
              <w:rPr>
                <w:sz w:val="20"/>
              </w:rPr>
              <w:t>This data is based on the 2012 ROAR data, as the quality review of 2013 ROARs will continue through June 2014.</w:t>
            </w:r>
          </w:p>
        </w:tc>
      </w:tr>
      <w:tr w:rsidR="00AE01D6" w:rsidRPr="00CA712C">
        <w:tc>
          <w:tcPr>
            <w:tcW w:w="2079" w:type="dxa"/>
            <w:vMerge/>
          </w:tcPr>
          <w:p w:rsidR="00AE01D6" w:rsidRPr="00CA712C" w:rsidRDefault="00AE01D6" w:rsidP="00BA40DA">
            <w:pPr>
              <w:spacing w:before="120" w:after="120"/>
              <w:rPr>
                <w:rFonts w:cs="Times New Roman"/>
                <w:sz w:val="20"/>
                <w:szCs w:val="20"/>
              </w:rPr>
            </w:pPr>
          </w:p>
        </w:tc>
        <w:tc>
          <w:tcPr>
            <w:tcW w:w="3249" w:type="dxa"/>
          </w:tcPr>
          <w:p w:rsidR="00AE01D6" w:rsidRPr="00CA712C" w:rsidRDefault="00AE01D6" w:rsidP="00BA40DA">
            <w:pPr>
              <w:spacing w:before="120" w:after="120"/>
              <w:rPr>
                <w:rFonts w:eastAsia="Times New Roman" w:cs="Times New Roman"/>
                <w:sz w:val="20"/>
                <w:szCs w:val="20"/>
              </w:rPr>
            </w:pPr>
            <w:r w:rsidRPr="00CA712C">
              <w:rPr>
                <w:rFonts w:eastAsia="Times New Roman" w:cs="Times New Roman"/>
                <w:sz w:val="20"/>
                <w:szCs w:val="20"/>
              </w:rPr>
              <w:t xml:space="preserve">Observations of improved </w:t>
            </w:r>
            <w:r>
              <w:rPr>
                <w:sz w:val="20"/>
              </w:rPr>
              <w:t>country programme document</w:t>
            </w:r>
            <w:r w:rsidRPr="00730D6C">
              <w:rPr>
                <w:sz w:val="20"/>
              </w:rPr>
              <w:t xml:space="preserve"> </w:t>
            </w:r>
            <w:r w:rsidRPr="00CA712C">
              <w:rPr>
                <w:rFonts w:eastAsia="Times New Roman" w:cs="Times New Roman"/>
                <w:sz w:val="20"/>
                <w:szCs w:val="20"/>
              </w:rPr>
              <w:t>results frameworks (SMART indicators)</w:t>
            </w:r>
          </w:p>
          <w:p w:rsidR="00AE01D6" w:rsidRPr="00CA712C" w:rsidRDefault="00AE01D6" w:rsidP="00BA40DA">
            <w:pPr>
              <w:spacing w:before="120" w:after="120"/>
              <w:rPr>
                <w:rFonts w:eastAsia="Times New Roman" w:cs="Times New Roman"/>
                <w:i/>
                <w:sz w:val="20"/>
                <w:szCs w:val="20"/>
              </w:rPr>
            </w:pPr>
            <w:r w:rsidRPr="00CA712C">
              <w:rPr>
                <w:rFonts w:eastAsia="Times New Roman" w:cs="Times New Roman"/>
                <w:i/>
                <w:sz w:val="20"/>
                <w:szCs w:val="20"/>
              </w:rPr>
              <w:t>(Source: Board of Auditors</w:t>
            </w:r>
            <w:r>
              <w:rPr>
                <w:rFonts w:eastAsia="Times New Roman" w:cs="Times New Roman"/>
                <w:i/>
                <w:sz w:val="20"/>
                <w:szCs w:val="20"/>
              </w:rPr>
              <w:t xml:space="preserve"> – Baseline: Report on 2008-09 biennium in DP/2011/14</w:t>
            </w:r>
            <w:r w:rsidRPr="00CA712C">
              <w:rPr>
                <w:rFonts w:eastAsia="Times New Roman" w:cs="Times New Roman"/>
                <w:i/>
                <w:sz w:val="20"/>
                <w:szCs w:val="20"/>
              </w:rPr>
              <w:t>)</w:t>
            </w:r>
          </w:p>
        </w:tc>
        <w:tc>
          <w:tcPr>
            <w:tcW w:w="1530" w:type="dxa"/>
          </w:tcPr>
          <w:p w:rsidR="00AE01D6" w:rsidRPr="00470F67" w:rsidRDefault="00AE01D6" w:rsidP="009A0CE9">
            <w:pPr>
              <w:tabs>
                <w:tab w:val="left" w:pos="7020"/>
              </w:tabs>
              <w:spacing w:before="120" w:after="120"/>
              <w:jc w:val="center"/>
              <w:rPr>
                <w:rFonts w:cs="Times New Roman"/>
                <w:sz w:val="20"/>
                <w:szCs w:val="20"/>
              </w:rPr>
            </w:pPr>
            <w:r>
              <w:rPr>
                <w:rFonts w:cs="Times New Roman"/>
                <w:sz w:val="20"/>
                <w:szCs w:val="20"/>
              </w:rPr>
              <w:t>UNBOA observes positive progress</w:t>
            </w:r>
          </w:p>
        </w:tc>
        <w:tc>
          <w:tcPr>
            <w:tcW w:w="6318" w:type="dxa"/>
          </w:tcPr>
          <w:p w:rsidR="00AE01D6" w:rsidRPr="00655506" w:rsidRDefault="00AE01D6" w:rsidP="00AE01D6">
            <w:pPr>
              <w:tabs>
                <w:tab w:val="left" w:pos="7020"/>
              </w:tabs>
              <w:spacing w:before="120" w:after="120"/>
              <w:rPr>
                <w:rFonts w:cs="Times New Roman"/>
                <w:sz w:val="20"/>
                <w:szCs w:val="20"/>
              </w:rPr>
            </w:pPr>
            <w:r w:rsidRPr="00655506">
              <w:rPr>
                <w:rFonts w:cs="Times New Roman"/>
                <w:sz w:val="20"/>
                <w:szCs w:val="20"/>
              </w:rPr>
              <w:t>The Board of Auditors report for the biennium ending 31 December 2013 will not be finalized until July 2014, and the Board of Auditors report for the biennium ending 31 December 2011 did not address results frameworks of country programme documents.</w:t>
            </w:r>
          </w:p>
        </w:tc>
      </w:tr>
      <w:tr w:rsidR="00AE01D6" w:rsidRPr="00CA712C">
        <w:tc>
          <w:tcPr>
            <w:tcW w:w="2079" w:type="dxa"/>
            <w:vMerge/>
          </w:tcPr>
          <w:p w:rsidR="00AE01D6" w:rsidRPr="00CA712C" w:rsidRDefault="00AE01D6" w:rsidP="00BA40DA">
            <w:pPr>
              <w:spacing w:before="120" w:after="120"/>
              <w:rPr>
                <w:rFonts w:cs="Times New Roman"/>
                <w:sz w:val="20"/>
                <w:szCs w:val="20"/>
              </w:rPr>
            </w:pPr>
          </w:p>
        </w:tc>
        <w:tc>
          <w:tcPr>
            <w:tcW w:w="3249" w:type="dxa"/>
          </w:tcPr>
          <w:p w:rsidR="00AE01D6" w:rsidRPr="00CA712C" w:rsidRDefault="00AE01D6" w:rsidP="00BA40DA">
            <w:pPr>
              <w:spacing w:before="120" w:after="120"/>
              <w:rPr>
                <w:rFonts w:eastAsia="Times New Roman" w:cs="Times New Roman"/>
                <w:sz w:val="20"/>
                <w:szCs w:val="20"/>
                <w:u w:val="single"/>
              </w:rPr>
            </w:pPr>
            <w:r w:rsidRPr="00CA712C">
              <w:rPr>
                <w:rFonts w:eastAsia="Times New Roman" w:cs="Times New Roman"/>
                <w:sz w:val="20"/>
                <w:szCs w:val="20"/>
                <w:u w:val="single"/>
              </w:rPr>
              <w:t>Programme instruments are fit for purpose:</w:t>
            </w:r>
          </w:p>
          <w:p w:rsidR="00AE01D6" w:rsidRPr="00CA712C" w:rsidRDefault="00AE01D6" w:rsidP="00BA40DA">
            <w:pPr>
              <w:spacing w:before="120" w:after="120"/>
              <w:rPr>
                <w:rFonts w:eastAsia="Times New Roman" w:cs="Times New Roman"/>
                <w:sz w:val="20"/>
                <w:szCs w:val="20"/>
              </w:rPr>
            </w:pPr>
            <w:r w:rsidRPr="00CA712C">
              <w:rPr>
                <w:rFonts w:eastAsia="Times New Roman" w:cs="Times New Roman"/>
                <w:sz w:val="20"/>
                <w:szCs w:val="20"/>
              </w:rPr>
              <w:t xml:space="preserve">Project load and % change in transactional programming requirements </w:t>
            </w:r>
          </w:p>
          <w:p w:rsidR="00AE01D6" w:rsidRPr="00CA712C" w:rsidRDefault="00AE01D6" w:rsidP="00BA40DA">
            <w:pPr>
              <w:spacing w:before="120" w:after="120"/>
              <w:rPr>
                <w:rFonts w:eastAsia="Times New Roman" w:cs="Times New Roman"/>
                <w:i/>
                <w:sz w:val="20"/>
                <w:szCs w:val="20"/>
              </w:rPr>
            </w:pPr>
            <w:r w:rsidRPr="00CA712C">
              <w:rPr>
                <w:rFonts w:eastAsia="Times New Roman" w:cs="Times New Roman"/>
                <w:i/>
                <w:sz w:val="20"/>
                <w:szCs w:val="20"/>
              </w:rPr>
              <w:t>(Source: ATLAS &amp; POPP</w:t>
            </w:r>
            <w:r>
              <w:rPr>
                <w:rFonts w:eastAsia="Times New Roman" w:cs="Times New Roman"/>
                <w:i/>
                <w:sz w:val="20"/>
                <w:szCs w:val="20"/>
              </w:rPr>
              <w:t xml:space="preserve"> – Baseline: new metric, to be measured</w:t>
            </w:r>
            <w:r w:rsidRPr="00CA712C">
              <w:rPr>
                <w:rFonts w:eastAsia="Times New Roman" w:cs="Times New Roman"/>
                <w:i/>
                <w:sz w:val="20"/>
                <w:szCs w:val="20"/>
              </w:rPr>
              <w:t>)</w:t>
            </w:r>
          </w:p>
        </w:tc>
        <w:tc>
          <w:tcPr>
            <w:tcW w:w="1530" w:type="dxa"/>
          </w:tcPr>
          <w:p w:rsidR="00AE01D6" w:rsidRPr="00470F67" w:rsidRDefault="00AE01D6" w:rsidP="009A0CE9">
            <w:pPr>
              <w:tabs>
                <w:tab w:val="left" w:pos="7020"/>
              </w:tabs>
              <w:spacing w:before="120" w:after="120"/>
              <w:jc w:val="center"/>
              <w:rPr>
                <w:rFonts w:cs="Times New Roman"/>
                <w:sz w:val="20"/>
                <w:szCs w:val="20"/>
              </w:rPr>
            </w:pPr>
            <w:r>
              <w:rPr>
                <w:rFonts w:cs="Times New Roman"/>
                <w:sz w:val="20"/>
                <w:szCs w:val="20"/>
              </w:rPr>
              <w:t>10% decrease</w:t>
            </w:r>
          </w:p>
        </w:tc>
        <w:tc>
          <w:tcPr>
            <w:tcW w:w="6318" w:type="dxa"/>
          </w:tcPr>
          <w:p w:rsidR="00AE01D6" w:rsidRPr="005632DD" w:rsidRDefault="00086154" w:rsidP="00BA40DA">
            <w:pPr>
              <w:tabs>
                <w:tab w:val="left" w:pos="7020"/>
              </w:tabs>
              <w:spacing w:before="120" w:after="120"/>
              <w:rPr>
                <w:rFonts w:cs="Times New Roman"/>
                <w:sz w:val="20"/>
                <w:szCs w:val="20"/>
                <w:highlight w:val="yellow"/>
              </w:rPr>
            </w:pPr>
            <w:r w:rsidRPr="0086110C">
              <w:rPr>
                <w:rFonts w:cs="Times New Roman"/>
                <w:sz w:val="20"/>
                <w:szCs w:val="20"/>
              </w:rPr>
              <w:t xml:space="preserve">Current indicator measure: </w:t>
            </w:r>
            <w:r w:rsidR="001B5F1C">
              <w:rPr>
                <w:rFonts w:cs="Times New Roman"/>
                <w:sz w:val="20"/>
                <w:szCs w:val="20"/>
              </w:rPr>
              <w:t>9.4% decrease</w:t>
            </w:r>
          </w:p>
          <w:p w:rsidR="00AE01D6" w:rsidRPr="00086154" w:rsidRDefault="00AE01D6" w:rsidP="001B5F1C">
            <w:pPr>
              <w:tabs>
                <w:tab w:val="left" w:pos="7020"/>
              </w:tabs>
              <w:spacing w:before="120" w:after="120"/>
              <w:rPr>
                <w:rFonts w:cs="Times New Roman"/>
                <w:sz w:val="20"/>
                <w:szCs w:val="20"/>
              </w:rPr>
            </w:pPr>
            <w:r w:rsidRPr="0086110C">
              <w:rPr>
                <w:rFonts w:cs="Times New Roman"/>
                <w:sz w:val="20"/>
                <w:szCs w:val="20"/>
              </w:rPr>
              <w:t xml:space="preserve">Following </w:t>
            </w:r>
            <w:r w:rsidR="00086154" w:rsidRPr="0086110C">
              <w:rPr>
                <w:rFonts w:cs="Times New Roman"/>
                <w:sz w:val="20"/>
                <w:szCs w:val="20"/>
              </w:rPr>
              <w:t>a 10% decrease in the number of total active projects</w:t>
            </w:r>
            <w:r w:rsidRPr="0086110C">
              <w:rPr>
                <w:rFonts w:cs="Times New Roman"/>
                <w:sz w:val="20"/>
                <w:szCs w:val="20"/>
              </w:rPr>
              <w:t xml:space="preserve"> </w:t>
            </w:r>
            <w:r w:rsidR="00086154" w:rsidRPr="0086110C">
              <w:rPr>
                <w:rFonts w:cs="Times New Roman"/>
                <w:sz w:val="20"/>
                <w:szCs w:val="20"/>
              </w:rPr>
              <w:t>in 2012,</w:t>
            </w:r>
            <w:r w:rsidR="001B5F1C">
              <w:rPr>
                <w:rFonts w:cs="Times New Roman"/>
                <w:sz w:val="20"/>
                <w:szCs w:val="20"/>
              </w:rPr>
              <w:t xml:space="preserve"> in 2013 UNDP closed 9.4% of all active projects. </w:t>
            </w:r>
            <w:r w:rsidRPr="004928F4">
              <w:rPr>
                <w:rFonts w:cs="Times New Roman"/>
                <w:sz w:val="20"/>
                <w:szCs w:val="20"/>
              </w:rPr>
              <w:t>In addition, the average number of country outcomes for new cou</w:t>
            </w:r>
            <w:r w:rsidR="00CF3843" w:rsidRPr="004928F4">
              <w:rPr>
                <w:rFonts w:cs="Times New Roman"/>
                <w:sz w:val="20"/>
                <w:szCs w:val="20"/>
              </w:rPr>
              <w:t>ntry programmes decreased from 4.5 in 2012 to 4.2 in 2013</w:t>
            </w:r>
            <w:r w:rsidRPr="004928F4">
              <w:rPr>
                <w:rFonts w:cs="Times New Roman"/>
                <w:sz w:val="20"/>
                <w:szCs w:val="20"/>
              </w:rPr>
              <w:t>.</w:t>
            </w:r>
          </w:p>
        </w:tc>
      </w:tr>
      <w:tr w:rsidR="00AE01D6" w:rsidRPr="00CA712C">
        <w:tc>
          <w:tcPr>
            <w:tcW w:w="2079" w:type="dxa"/>
            <w:vMerge w:val="restart"/>
          </w:tcPr>
          <w:p w:rsidR="00AE01D6" w:rsidRPr="00CA712C" w:rsidRDefault="00AE01D6" w:rsidP="00BA40DA">
            <w:pPr>
              <w:spacing w:before="120" w:after="120"/>
              <w:rPr>
                <w:rFonts w:eastAsia="Times New Roman" w:cs="Times New Roman"/>
                <w:sz w:val="20"/>
                <w:szCs w:val="20"/>
              </w:rPr>
            </w:pPr>
            <w:r w:rsidRPr="00CA712C">
              <w:rPr>
                <w:rFonts w:eastAsia="Times New Roman" w:cs="Times New Roman"/>
                <w:sz w:val="20"/>
                <w:szCs w:val="20"/>
              </w:rPr>
              <w:t>Practice networking and knowledge effectively contr</w:t>
            </w:r>
            <w:r>
              <w:rPr>
                <w:rFonts w:eastAsia="Times New Roman" w:cs="Times New Roman"/>
                <w:sz w:val="20"/>
                <w:szCs w:val="20"/>
              </w:rPr>
              <w:t>ibuting to development results</w:t>
            </w:r>
            <w:r w:rsidRPr="00CA712C">
              <w:rPr>
                <w:rFonts w:eastAsia="Times New Roman" w:cs="Times New Roman"/>
                <w:sz w:val="20"/>
                <w:szCs w:val="20"/>
              </w:rPr>
              <w:t xml:space="preserve"> across regions</w:t>
            </w:r>
          </w:p>
          <w:p w:rsidR="00AE01D6" w:rsidRPr="00CA712C" w:rsidRDefault="00AE01D6" w:rsidP="00BA40DA">
            <w:pPr>
              <w:spacing w:before="120" w:after="120"/>
              <w:rPr>
                <w:rFonts w:cs="Times New Roman"/>
                <w:sz w:val="20"/>
                <w:szCs w:val="20"/>
              </w:rPr>
            </w:pPr>
            <w:r w:rsidRPr="00CA712C">
              <w:rPr>
                <w:rFonts w:eastAsia="Times New Roman" w:cs="Times New Roman"/>
                <w:b/>
                <w:sz w:val="20"/>
                <w:szCs w:val="20"/>
              </w:rPr>
              <w:t>(Corporate sponsor –BDP/BCPR)</w:t>
            </w:r>
          </w:p>
        </w:tc>
        <w:tc>
          <w:tcPr>
            <w:tcW w:w="3249" w:type="dxa"/>
          </w:tcPr>
          <w:p w:rsidR="00AE01D6" w:rsidRPr="00CA712C" w:rsidRDefault="00AE01D6" w:rsidP="00BA40DA">
            <w:pPr>
              <w:spacing w:before="120" w:after="120"/>
              <w:rPr>
                <w:rFonts w:eastAsia="Times New Roman" w:cs="Times New Roman"/>
                <w:sz w:val="20"/>
                <w:szCs w:val="20"/>
              </w:rPr>
            </w:pPr>
            <w:r w:rsidRPr="00CA712C">
              <w:rPr>
                <w:rFonts w:eastAsia="Times New Roman" w:cs="Times New Roman"/>
                <w:sz w:val="20"/>
                <w:szCs w:val="20"/>
              </w:rPr>
              <w:t xml:space="preserve">Percentage of users </w:t>
            </w:r>
            <w:r>
              <w:rPr>
                <w:rFonts w:eastAsia="Times New Roman" w:cs="Times New Roman"/>
                <w:sz w:val="20"/>
                <w:szCs w:val="20"/>
              </w:rPr>
              <w:t>satisfied with</w:t>
            </w:r>
            <w:r w:rsidRPr="00CA712C">
              <w:rPr>
                <w:rFonts w:eastAsia="Times New Roman" w:cs="Times New Roman"/>
                <w:sz w:val="20"/>
                <w:szCs w:val="20"/>
              </w:rPr>
              <w:t xml:space="preserve"> </w:t>
            </w:r>
            <w:r>
              <w:rPr>
                <w:rFonts w:eastAsia="Times New Roman" w:cs="Times New Roman"/>
                <w:sz w:val="20"/>
                <w:szCs w:val="20"/>
              </w:rPr>
              <w:t xml:space="preserve">relevant </w:t>
            </w:r>
            <w:r w:rsidRPr="00CA712C">
              <w:rPr>
                <w:rFonts w:eastAsia="Times New Roman" w:cs="Times New Roman"/>
                <w:sz w:val="20"/>
                <w:szCs w:val="20"/>
              </w:rPr>
              <w:t xml:space="preserve">practice </w:t>
            </w:r>
            <w:r>
              <w:rPr>
                <w:rFonts w:eastAsia="Times New Roman" w:cs="Times New Roman"/>
                <w:sz w:val="20"/>
                <w:szCs w:val="20"/>
              </w:rPr>
              <w:t xml:space="preserve">leadership </w:t>
            </w:r>
            <w:r w:rsidRPr="00CA712C">
              <w:rPr>
                <w:rFonts w:eastAsia="Times New Roman" w:cs="Times New Roman"/>
                <w:sz w:val="20"/>
                <w:szCs w:val="20"/>
              </w:rPr>
              <w:t xml:space="preserve">and </w:t>
            </w:r>
            <w:r>
              <w:rPr>
                <w:rFonts w:eastAsia="Times New Roman" w:cs="Times New Roman"/>
                <w:sz w:val="20"/>
                <w:szCs w:val="20"/>
              </w:rPr>
              <w:t>policy guidance</w:t>
            </w:r>
          </w:p>
          <w:p w:rsidR="00AE01D6" w:rsidRPr="00CA712C" w:rsidRDefault="00AE01D6" w:rsidP="00BA40DA">
            <w:pPr>
              <w:spacing w:before="120" w:after="120"/>
              <w:rPr>
                <w:rFonts w:eastAsia="Times New Roman" w:cs="Times New Roman"/>
                <w:i/>
                <w:sz w:val="20"/>
                <w:szCs w:val="20"/>
              </w:rPr>
            </w:pPr>
            <w:r w:rsidRPr="00CA712C">
              <w:rPr>
                <w:rFonts w:eastAsia="Times New Roman" w:cs="Times New Roman"/>
                <w:sz w:val="20"/>
                <w:szCs w:val="20"/>
              </w:rPr>
              <w:t>(</w:t>
            </w:r>
            <w:r w:rsidRPr="00CA712C">
              <w:rPr>
                <w:rFonts w:eastAsia="Times New Roman" w:cs="Times New Roman"/>
                <w:i/>
                <w:sz w:val="20"/>
                <w:szCs w:val="20"/>
              </w:rPr>
              <w:t>Source: HQPSS</w:t>
            </w:r>
            <w:r>
              <w:rPr>
                <w:rFonts w:eastAsia="Times New Roman" w:cs="Times New Roman"/>
                <w:i/>
                <w:sz w:val="20"/>
                <w:szCs w:val="20"/>
              </w:rPr>
              <w:t xml:space="preserve"> – Baseline: 58%</w:t>
            </w:r>
            <w:r w:rsidRPr="00CA712C">
              <w:rPr>
                <w:rFonts w:eastAsia="Times New Roman" w:cs="Times New Roman"/>
                <w:i/>
                <w:sz w:val="20"/>
                <w:szCs w:val="20"/>
              </w:rPr>
              <w:t>)</w:t>
            </w:r>
          </w:p>
        </w:tc>
        <w:tc>
          <w:tcPr>
            <w:tcW w:w="1530" w:type="dxa"/>
          </w:tcPr>
          <w:p w:rsidR="00AE01D6" w:rsidRPr="00470F67" w:rsidRDefault="00AE01D6" w:rsidP="009A0CE9">
            <w:pPr>
              <w:tabs>
                <w:tab w:val="left" w:pos="7020"/>
              </w:tabs>
              <w:spacing w:before="120" w:after="120"/>
              <w:jc w:val="center"/>
              <w:rPr>
                <w:rFonts w:cs="Times New Roman"/>
                <w:sz w:val="20"/>
                <w:szCs w:val="20"/>
              </w:rPr>
            </w:pPr>
            <w:r>
              <w:rPr>
                <w:rFonts w:cs="Times New Roman"/>
                <w:sz w:val="20"/>
                <w:szCs w:val="20"/>
              </w:rPr>
              <w:t>70%</w:t>
            </w:r>
          </w:p>
        </w:tc>
        <w:tc>
          <w:tcPr>
            <w:tcW w:w="6318" w:type="dxa"/>
          </w:tcPr>
          <w:p w:rsidR="00AE01D6" w:rsidRPr="00655506" w:rsidRDefault="00AE01D6" w:rsidP="005F739C">
            <w:pPr>
              <w:spacing w:before="120" w:after="120"/>
              <w:rPr>
                <w:rFonts w:eastAsia="Times New Roman" w:cs="Times New Roman"/>
                <w:sz w:val="20"/>
                <w:szCs w:val="20"/>
              </w:rPr>
            </w:pPr>
            <w:r w:rsidRPr="00655506">
              <w:rPr>
                <w:rFonts w:eastAsia="Times New Roman" w:cs="Times New Roman"/>
                <w:sz w:val="20"/>
                <w:szCs w:val="20"/>
              </w:rPr>
              <w:t xml:space="preserve">Current indicator measure: 81% </w:t>
            </w:r>
            <w:r w:rsidRPr="00655506">
              <w:rPr>
                <w:rFonts w:eastAsia="Times New Roman" w:cs="Times New Roman"/>
                <w:sz w:val="18"/>
                <w:szCs w:val="20"/>
              </w:rPr>
              <w:t>(average)</w:t>
            </w:r>
          </w:p>
          <w:p w:rsidR="00AE01D6" w:rsidRPr="00655506" w:rsidRDefault="00AE01D6" w:rsidP="00BA7368">
            <w:pPr>
              <w:pStyle w:val="ListParagraph"/>
              <w:numPr>
                <w:ilvl w:val="0"/>
                <w:numId w:val="11"/>
              </w:numPr>
              <w:tabs>
                <w:tab w:val="left" w:pos="2052"/>
              </w:tabs>
              <w:ind w:left="252" w:hanging="187"/>
              <w:contextualSpacing w:val="0"/>
              <w:rPr>
                <w:rFonts w:eastAsia="Times New Roman" w:cs="Times New Roman"/>
                <w:sz w:val="20"/>
                <w:szCs w:val="20"/>
              </w:rPr>
            </w:pPr>
            <w:r w:rsidRPr="00655506">
              <w:rPr>
                <w:rFonts w:eastAsia="Times New Roman" w:cs="Times New Roman"/>
                <w:sz w:val="20"/>
                <w:szCs w:val="20"/>
              </w:rPr>
              <w:t>Poverty:</w:t>
            </w:r>
            <w:r w:rsidRPr="00655506">
              <w:rPr>
                <w:rFonts w:eastAsia="Times New Roman" w:cs="Times New Roman"/>
                <w:sz w:val="20"/>
                <w:szCs w:val="20"/>
              </w:rPr>
              <w:tab/>
              <w:t>80%</w:t>
            </w:r>
          </w:p>
          <w:p w:rsidR="00AE01D6" w:rsidRPr="00655506" w:rsidRDefault="00AE01D6" w:rsidP="00BA7368">
            <w:pPr>
              <w:pStyle w:val="ListParagraph"/>
              <w:numPr>
                <w:ilvl w:val="0"/>
                <w:numId w:val="11"/>
              </w:numPr>
              <w:tabs>
                <w:tab w:val="left" w:pos="2052"/>
              </w:tabs>
              <w:ind w:left="252" w:hanging="187"/>
              <w:contextualSpacing w:val="0"/>
              <w:rPr>
                <w:rFonts w:eastAsia="Times New Roman" w:cs="Times New Roman"/>
                <w:sz w:val="20"/>
                <w:szCs w:val="20"/>
              </w:rPr>
            </w:pPr>
            <w:r w:rsidRPr="00655506">
              <w:rPr>
                <w:rFonts w:eastAsia="Times New Roman" w:cs="Times New Roman"/>
                <w:sz w:val="20"/>
                <w:szCs w:val="20"/>
              </w:rPr>
              <w:t>HIV/AIDS:</w:t>
            </w:r>
            <w:r w:rsidRPr="00655506">
              <w:rPr>
                <w:rFonts w:eastAsia="Times New Roman" w:cs="Times New Roman"/>
                <w:sz w:val="20"/>
                <w:szCs w:val="20"/>
              </w:rPr>
              <w:tab/>
              <w:t>88%</w:t>
            </w:r>
          </w:p>
          <w:p w:rsidR="00AE01D6" w:rsidRPr="00655506" w:rsidRDefault="00AE01D6" w:rsidP="00BA7368">
            <w:pPr>
              <w:pStyle w:val="ListParagraph"/>
              <w:numPr>
                <w:ilvl w:val="0"/>
                <w:numId w:val="11"/>
              </w:numPr>
              <w:tabs>
                <w:tab w:val="left" w:pos="2052"/>
              </w:tabs>
              <w:ind w:left="252" w:hanging="187"/>
              <w:contextualSpacing w:val="0"/>
              <w:rPr>
                <w:rFonts w:eastAsia="Times New Roman" w:cs="Times New Roman"/>
                <w:sz w:val="20"/>
                <w:szCs w:val="20"/>
              </w:rPr>
            </w:pPr>
            <w:r w:rsidRPr="00655506">
              <w:rPr>
                <w:rFonts w:eastAsia="Times New Roman" w:cs="Times New Roman"/>
                <w:sz w:val="20"/>
                <w:szCs w:val="20"/>
              </w:rPr>
              <w:t>Governance:</w:t>
            </w:r>
            <w:r w:rsidRPr="00655506">
              <w:rPr>
                <w:rFonts w:eastAsia="Times New Roman" w:cs="Times New Roman"/>
                <w:sz w:val="20"/>
                <w:szCs w:val="20"/>
              </w:rPr>
              <w:tab/>
              <w:t>80%</w:t>
            </w:r>
          </w:p>
          <w:p w:rsidR="00AE01D6" w:rsidRPr="00655506" w:rsidRDefault="00AE01D6" w:rsidP="00BA7368">
            <w:pPr>
              <w:pStyle w:val="ListParagraph"/>
              <w:numPr>
                <w:ilvl w:val="0"/>
                <w:numId w:val="11"/>
              </w:numPr>
              <w:tabs>
                <w:tab w:val="left" w:pos="2052"/>
              </w:tabs>
              <w:ind w:left="252" w:hanging="187"/>
              <w:contextualSpacing w:val="0"/>
              <w:rPr>
                <w:rFonts w:eastAsia="Times New Roman" w:cs="Times New Roman"/>
                <w:sz w:val="20"/>
                <w:szCs w:val="20"/>
              </w:rPr>
            </w:pPr>
            <w:r w:rsidRPr="00655506">
              <w:rPr>
                <w:rFonts w:eastAsia="Times New Roman" w:cs="Times New Roman"/>
                <w:sz w:val="20"/>
                <w:szCs w:val="20"/>
              </w:rPr>
              <w:t>Crisis:</w:t>
            </w:r>
            <w:r w:rsidRPr="00655506">
              <w:rPr>
                <w:rFonts w:eastAsia="Times New Roman" w:cs="Times New Roman"/>
                <w:sz w:val="20"/>
                <w:szCs w:val="20"/>
              </w:rPr>
              <w:tab/>
              <w:t>76%</w:t>
            </w:r>
          </w:p>
          <w:p w:rsidR="00AE01D6" w:rsidRPr="00655506" w:rsidRDefault="00AE01D6" w:rsidP="002E0DDC">
            <w:pPr>
              <w:pStyle w:val="ListParagraph"/>
              <w:numPr>
                <w:ilvl w:val="0"/>
                <w:numId w:val="11"/>
              </w:numPr>
              <w:tabs>
                <w:tab w:val="left" w:pos="2052"/>
              </w:tabs>
              <w:spacing w:after="120"/>
              <w:ind w:left="259" w:hanging="187"/>
              <w:contextualSpacing w:val="0"/>
              <w:rPr>
                <w:rFonts w:eastAsia="Times New Roman" w:cs="Times New Roman"/>
                <w:sz w:val="20"/>
                <w:szCs w:val="20"/>
              </w:rPr>
            </w:pPr>
            <w:r w:rsidRPr="00655506">
              <w:rPr>
                <w:rFonts w:eastAsia="Times New Roman" w:cs="Times New Roman"/>
                <w:sz w:val="20"/>
                <w:szCs w:val="20"/>
              </w:rPr>
              <w:t>Environment:</w:t>
            </w:r>
            <w:r w:rsidRPr="00655506">
              <w:rPr>
                <w:rFonts w:eastAsia="Times New Roman" w:cs="Times New Roman"/>
                <w:sz w:val="20"/>
                <w:szCs w:val="20"/>
              </w:rPr>
              <w:tab/>
              <w:t>79%</w:t>
            </w:r>
          </w:p>
          <w:p w:rsidR="00AE01D6" w:rsidRPr="00655506" w:rsidRDefault="00AE01D6" w:rsidP="00AE01D6">
            <w:pPr>
              <w:spacing w:before="120" w:after="120"/>
              <w:rPr>
                <w:rFonts w:eastAsia="Times New Roman" w:cs="Times New Roman"/>
                <w:sz w:val="20"/>
                <w:szCs w:val="20"/>
              </w:rPr>
            </w:pPr>
            <w:r w:rsidRPr="00655506">
              <w:rPr>
                <w:sz w:val="20"/>
              </w:rPr>
              <w:t>This data is based on the 2012 Headquarters Products and Services Survey, as no HQPSS was conducted in 2013.</w:t>
            </w:r>
          </w:p>
        </w:tc>
      </w:tr>
      <w:tr w:rsidR="00AE01D6" w:rsidRPr="00CA712C">
        <w:tc>
          <w:tcPr>
            <w:tcW w:w="2079" w:type="dxa"/>
            <w:vMerge/>
          </w:tcPr>
          <w:p w:rsidR="00AE01D6" w:rsidRPr="00CA712C" w:rsidRDefault="00AE01D6" w:rsidP="00BA40DA">
            <w:pPr>
              <w:spacing w:before="120" w:after="120"/>
              <w:rPr>
                <w:rFonts w:eastAsia="Times New Roman" w:cs="Times New Roman"/>
                <w:sz w:val="20"/>
                <w:szCs w:val="20"/>
              </w:rPr>
            </w:pPr>
          </w:p>
        </w:tc>
        <w:tc>
          <w:tcPr>
            <w:tcW w:w="3249" w:type="dxa"/>
          </w:tcPr>
          <w:p w:rsidR="00AE01D6" w:rsidRPr="00CA712C" w:rsidRDefault="00AE01D6" w:rsidP="00BA40DA">
            <w:pPr>
              <w:spacing w:before="120" w:after="120"/>
              <w:rPr>
                <w:rFonts w:eastAsia="Times New Roman" w:cs="Times New Roman"/>
                <w:sz w:val="20"/>
                <w:szCs w:val="20"/>
              </w:rPr>
            </w:pPr>
            <w:r w:rsidRPr="00CA712C">
              <w:rPr>
                <w:rFonts w:eastAsia="Times New Roman" w:cs="Times New Roman"/>
                <w:sz w:val="20"/>
                <w:szCs w:val="20"/>
              </w:rPr>
              <w:t>Percentage of users satisfied with relevance of programme/project formulation and implementation support</w:t>
            </w:r>
          </w:p>
          <w:p w:rsidR="00AE01D6" w:rsidRPr="00CA712C" w:rsidRDefault="00AE01D6" w:rsidP="00BA40DA">
            <w:pPr>
              <w:spacing w:before="120" w:after="120"/>
              <w:rPr>
                <w:rFonts w:eastAsia="Times New Roman" w:cs="Times New Roman"/>
                <w:sz w:val="20"/>
                <w:szCs w:val="20"/>
              </w:rPr>
            </w:pPr>
            <w:r w:rsidRPr="00CA712C">
              <w:rPr>
                <w:rFonts w:eastAsia="Times New Roman" w:cs="Times New Roman"/>
                <w:sz w:val="20"/>
                <w:szCs w:val="20"/>
              </w:rPr>
              <w:t>(</w:t>
            </w:r>
            <w:r w:rsidRPr="00CA712C">
              <w:rPr>
                <w:rFonts w:eastAsia="Times New Roman" w:cs="Times New Roman"/>
                <w:i/>
                <w:sz w:val="20"/>
                <w:szCs w:val="20"/>
              </w:rPr>
              <w:t>Source: HQPSS</w:t>
            </w:r>
            <w:r>
              <w:rPr>
                <w:rFonts w:eastAsia="Times New Roman" w:cs="Times New Roman"/>
                <w:i/>
                <w:sz w:val="20"/>
                <w:szCs w:val="20"/>
              </w:rPr>
              <w:t xml:space="preserve"> – Baseline: 54%</w:t>
            </w:r>
            <w:r w:rsidRPr="00CA712C">
              <w:rPr>
                <w:rFonts w:eastAsia="Times New Roman" w:cs="Times New Roman"/>
                <w:i/>
                <w:sz w:val="20"/>
                <w:szCs w:val="20"/>
              </w:rPr>
              <w:t>)</w:t>
            </w:r>
          </w:p>
        </w:tc>
        <w:tc>
          <w:tcPr>
            <w:tcW w:w="1530" w:type="dxa"/>
          </w:tcPr>
          <w:p w:rsidR="00AE01D6" w:rsidRPr="00470F67" w:rsidRDefault="00AE01D6" w:rsidP="009A0CE9">
            <w:pPr>
              <w:tabs>
                <w:tab w:val="left" w:pos="7020"/>
              </w:tabs>
              <w:spacing w:before="120" w:after="120"/>
              <w:jc w:val="center"/>
              <w:rPr>
                <w:rFonts w:cs="Times New Roman"/>
                <w:sz w:val="20"/>
                <w:szCs w:val="20"/>
              </w:rPr>
            </w:pPr>
            <w:r>
              <w:rPr>
                <w:rFonts w:cs="Times New Roman"/>
                <w:sz w:val="20"/>
                <w:szCs w:val="20"/>
              </w:rPr>
              <w:t>65%</w:t>
            </w:r>
          </w:p>
        </w:tc>
        <w:tc>
          <w:tcPr>
            <w:tcW w:w="6318" w:type="dxa"/>
          </w:tcPr>
          <w:p w:rsidR="00AE01D6" w:rsidRPr="00655506" w:rsidRDefault="00AE01D6" w:rsidP="002E5259">
            <w:pPr>
              <w:spacing w:before="120" w:after="120"/>
              <w:rPr>
                <w:rFonts w:eastAsia="Times New Roman" w:cs="Times New Roman"/>
                <w:sz w:val="20"/>
                <w:szCs w:val="20"/>
              </w:rPr>
            </w:pPr>
            <w:r w:rsidRPr="00655506">
              <w:rPr>
                <w:rFonts w:eastAsia="Times New Roman" w:cs="Times New Roman"/>
                <w:sz w:val="20"/>
                <w:szCs w:val="20"/>
              </w:rPr>
              <w:t xml:space="preserve">Current indicator measure: 77% </w:t>
            </w:r>
            <w:r w:rsidRPr="00655506">
              <w:rPr>
                <w:rFonts w:eastAsia="Times New Roman" w:cs="Times New Roman"/>
                <w:sz w:val="18"/>
                <w:szCs w:val="20"/>
              </w:rPr>
              <w:t>(average)</w:t>
            </w:r>
          </w:p>
          <w:p w:rsidR="00AE01D6" w:rsidRPr="00655506" w:rsidRDefault="00AE01D6" w:rsidP="00BA7368">
            <w:pPr>
              <w:pStyle w:val="ListParagraph"/>
              <w:numPr>
                <w:ilvl w:val="0"/>
                <w:numId w:val="11"/>
              </w:numPr>
              <w:tabs>
                <w:tab w:val="left" w:pos="2052"/>
              </w:tabs>
              <w:ind w:left="252" w:hanging="187"/>
              <w:contextualSpacing w:val="0"/>
              <w:rPr>
                <w:rFonts w:eastAsia="Times New Roman" w:cs="Times New Roman"/>
                <w:sz w:val="20"/>
                <w:szCs w:val="20"/>
              </w:rPr>
            </w:pPr>
            <w:r w:rsidRPr="00655506">
              <w:rPr>
                <w:rFonts w:eastAsia="Times New Roman" w:cs="Times New Roman"/>
                <w:sz w:val="20"/>
                <w:szCs w:val="20"/>
              </w:rPr>
              <w:t>Poverty:</w:t>
            </w:r>
            <w:r w:rsidRPr="00655506">
              <w:rPr>
                <w:rFonts w:eastAsia="Times New Roman" w:cs="Times New Roman"/>
                <w:sz w:val="20"/>
                <w:szCs w:val="20"/>
              </w:rPr>
              <w:tab/>
              <w:t>73%</w:t>
            </w:r>
          </w:p>
          <w:p w:rsidR="00AE01D6" w:rsidRPr="00655506" w:rsidRDefault="00AE01D6" w:rsidP="00BA7368">
            <w:pPr>
              <w:pStyle w:val="ListParagraph"/>
              <w:numPr>
                <w:ilvl w:val="0"/>
                <w:numId w:val="11"/>
              </w:numPr>
              <w:tabs>
                <w:tab w:val="left" w:pos="2052"/>
              </w:tabs>
              <w:ind w:left="252" w:hanging="187"/>
              <w:contextualSpacing w:val="0"/>
              <w:rPr>
                <w:rFonts w:eastAsia="Times New Roman" w:cs="Times New Roman"/>
                <w:sz w:val="20"/>
                <w:szCs w:val="20"/>
              </w:rPr>
            </w:pPr>
            <w:r w:rsidRPr="00655506">
              <w:rPr>
                <w:rFonts w:eastAsia="Times New Roman" w:cs="Times New Roman"/>
                <w:sz w:val="20"/>
                <w:szCs w:val="20"/>
              </w:rPr>
              <w:t>HIV/AIDS:</w:t>
            </w:r>
            <w:r w:rsidRPr="00655506">
              <w:rPr>
                <w:rFonts w:eastAsia="Times New Roman" w:cs="Times New Roman"/>
                <w:sz w:val="20"/>
                <w:szCs w:val="20"/>
              </w:rPr>
              <w:tab/>
              <w:t>83%</w:t>
            </w:r>
          </w:p>
          <w:p w:rsidR="00AE01D6" w:rsidRPr="00655506" w:rsidRDefault="00AE01D6" w:rsidP="00BA7368">
            <w:pPr>
              <w:pStyle w:val="ListParagraph"/>
              <w:numPr>
                <w:ilvl w:val="0"/>
                <w:numId w:val="11"/>
              </w:numPr>
              <w:tabs>
                <w:tab w:val="left" w:pos="2052"/>
              </w:tabs>
              <w:ind w:left="252" w:hanging="187"/>
              <w:contextualSpacing w:val="0"/>
              <w:rPr>
                <w:rFonts w:eastAsia="Times New Roman" w:cs="Times New Roman"/>
                <w:sz w:val="20"/>
                <w:szCs w:val="20"/>
              </w:rPr>
            </w:pPr>
            <w:r w:rsidRPr="00655506">
              <w:rPr>
                <w:rFonts w:eastAsia="Times New Roman" w:cs="Times New Roman"/>
                <w:sz w:val="20"/>
                <w:szCs w:val="20"/>
              </w:rPr>
              <w:t>Governance:</w:t>
            </w:r>
            <w:r w:rsidRPr="00655506">
              <w:rPr>
                <w:rFonts w:eastAsia="Times New Roman" w:cs="Times New Roman"/>
                <w:sz w:val="20"/>
                <w:szCs w:val="20"/>
              </w:rPr>
              <w:tab/>
              <w:t>76%</w:t>
            </w:r>
          </w:p>
          <w:p w:rsidR="00AE01D6" w:rsidRPr="00655506" w:rsidRDefault="00AE01D6" w:rsidP="00BA7368">
            <w:pPr>
              <w:pStyle w:val="ListParagraph"/>
              <w:numPr>
                <w:ilvl w:val="0"/>
                <w:numId w:val="11"/>
              </w:numPr>
              <w:tabs>
                <w:tab w:val="left" w:pos="2052"/>
              </w:tabs>
              <w:ind w:left="252" w:hanging="187"/>
              <w:contextualSpacing w:val="0"/>
              <w:rPr>
                <w:rFonts w:eastAsia="Times New Roman" w:cs="Times New Roman"/>
                <w:sz w:val="20"/>
                <w:szCs w:val="20"/>
              </w:rPr>
            </w:pPr>
            <w:r w:rsidRPr="00655506">
              <w:rPr>
                <w:rFonts w:eastAsia="Times New Roman" w:cs="Times New Roman"/>
                <w:sz w:val="20"/>
                <w:szCs w:val="20"/>
              </w:rPr>
              <w:t>Crisis:</w:t>
            </w:r>
            <w:r w:rsidRPr="00655506">
              <w:rPr>
                <w:rFonts w:eastAsia="Times New Roman" w:cs="Times New Roman"/>
                <w:sz w:val="20"/>
                <w:szCs w:val="20"/>
              </w:rPr>
              <w:tab/>
              <w:t>75%</w:t>
            </w:r>
          </w:p>
          <w:p w:rsidR="00AE01D6" w:rsidRPr="00655506" w:rsidRDefault="00AE01D6" w:rsidP="002E0DDC">
            <w:pPr>
              <w:pStyle w:val="ListParagraph"/>
              <w:numPr>
                <w:ilvl w:val="0"/>
                <w:numId w:val="11"/>
              </w:numPr>
              <w:tabs>
                <w:tab w:val="left" w:pos="2052"/>
              </w:tabs>
              <w:spacing w:after="120"/>
              <w:ind w:left="259" w:hanging="187"/>
              <w:contextualSpacing w:val="0"/>
              <w:rPr>
                <w:rFonts w:eastAsia="Times New Roman" w:cs="Times New Roman"/>
                <w:sz w:val="20"/>
                <w:szCs w:val="20"/>
              </w:rPr>
            </w:pPr>
            <w:r w:rsidRPr="00655506">
              <w:rPr>
                <w:rFonts w:eastAsia="Times New Roman" w:cs="Times New Roman"/>
                <w:sz w:val="20"/>
                <w:szCs w:val="20"/>
              </w:rPr>
              <w:t>Environment:</w:t>
            </w:r>
            <w:r w:rsidRPr="00655506">
              <w:rPr>
                <w:rFonts w:eastAsia="Times New Roman" w:cs="Times New Roman"/>
                <w:sz w:val="20"/>
                <w:szCs w:val="20"/>
              </w:rPr>
              <w:tab/>
              <w:t>78%</w:t>
            </w:r>
          </w:p>
          <w:p w:rsidR="00AE01D6" w:rsidRPr="00655506" w:rsidRDefault="00AE01D6" w:rsidP="00AE01D6">
            <w:pPr>
              <w:spacing w:before="120" w:after="120"/>
              <w:rPr>
                <w:rFonts w:eastAsia="Times New Roman" w:cs="Times New Roman"/>
                <w:sz w:val="20"/>
                <w:szCs w:val="20"/>
              </w:rPr>
            </w:pPr>
            <w:r w:rsidRPr="00655506">
              <w:rPr>
                <w:sz w:val="20"/>
              </w:rPr>
              <w:t xml:space="preserve">This data is based on the 2012 Headquarters Products and Services Survey, </w:t>
            </w:r>
            <w:r w:rsidRPr="00655506">
              <w:rPr>
                <w:sz w:val="20"/>
              </w:rPr>
              <w:lastRenderedPageBreak/>
              <w:t>as no HQPSS was conducted in 2013.</w:t>
            </w:r>
          </w:p>
        </w:tc>
      </w:tr>
      <w:tr w:rsidR="00AE01D6" w:rsidRPr="00CA712C">
        <w:tc>
          <w:tcPr>
            <w:tcW w:w="2079" w:type="dxa"/>
            <w:vMerge/>
          </w:tcPr>
          <w:p w:rsidR="00AE01D6" w:rsidRPr="00CA712C" w:rsidRDefault="00AE01D6" w:rsidP="00BA40DA">
            <w:pPr>
              <w:spacing w:before="120" w:after="120"/>
              <w:rPr>
                <w:rFonts w:eastAsia="Times New Roman" w:cs="Times New Roman"/>
                <w:sz w:val="20"/>
                <w:szCs w:val="20"/>
              </w:rPr>
            </w:pPr>
          </w:p>
        </w:tc>
        <w:tc>
          <w:tcPr>
            <w:tcW w:w="3249" w:type="dxa"/>
          </w:tcPr>
          <w:p w:rsidR="00AE01D6" w:rsidRPr="0081770E" w:rsidRDefault="00AE01D6" w:rsidP="00BA40DA">
            <w:pPr>
              <w:spacing w:before="120" w:after="120"/>
              <w:rPr>
                <w:rFonts w:eastAsia="Times New Roman" w:cs="Times New Roman"/>
                <w:sz w:val="20"/>
                <w:szCs w:val="20"/>
              </w:rPr>
            </w:pPr>
            <w:r w:rsidRPr="0081770E">
              <w:rPr>
                <w:rFonts w:eastAsia="Times New Roman" w:cs="Times New Roman"/>
                <w:sz w:val="20"/>
                <w:szCs w:val="20"/>
              </w:rPr>
              <w:t>Teamworks usage indicators: exchanges, discussions, uploads,</w:t>
            </w:r>
            <w:r>
              <w:rPr>
                <w:rFonts w:eastAsia="Times New Roman" w:cs="Times New Roman"/>
                <w:sz w:val="20"/>
                <w:szCs w:val="20"/>
              </w:rPr>
              <w:t xml:space="preserve"> </w:t>
            </w:r>
            <w:r w:rsidRPr="0081770E">
              <w:rPr>
                <w:rFonts w:eastAsia="Times New Roman" w:cs="Times New Roman"/>
                <w:sz w:val="20"/>
                <w:szCs w:val="20"/>
              </w:rPr>
              <w:t>recommendations and views</w:t>
            </w:r>
          </w:p>
          <w:p w:rsidR="00AE01D6" w:rsidRPr="0081770E" w:rsidRDefault="00AE01D6" w:rsidP="002E5259">
            <w:pPr>
              <w:spacing w:before="120" w:after="120"/>
              <w:rPr>
                <w:rFonts w:eastAsia="Times New Roman" w:cs="Times New Roman"/>
                <w:i/>
                <w:sz w:val="20"/>
                <w:szCs w:val="20"/>
              </w:rPr>
            </w:pPr>
            <w:r w:rsidRPr="0081770E">
              <w:rPr>
                <w:rFonts w:eastAsia="Times New Roman" w:cs="Times New Roman"/>
                <w:sz w:val="20"/>
                <w:szCs w:val="20"/>
              </w:rPr>
              <w:t>(</w:t>
            </w:r>
            <w:r w:rsidRPr="0081770E">
              <w:rPr>
                <w:rFonts w:eastAsia="Times New Roman" w:cs="Times New Roman"/>
                <w:i/>
                <w:sz w:val="20"/>
                <w:szCs w:val="20"/>
              </w:rPr>
              <w:t>Source: Teamworks – Baseline: 500 unique users per month, with</w:t>
            </w:r>
            <w:r>
              <w:rPr>
                <w:rFonts w:eastAsia="Times New Roman" w:cs="Times New Roman"/>
                <w:i/>
                <w:sz w:val="20"/>
                <w:szCs w:val="20"/>
              </w:rPr>
              <w:t xml:space="preserve"> </w:t>
            </w:r>
            <w:r w:rsidRPr="0081770E">
              <w:rPr>
                <w:rFonts w:eastAsia="Times New Roman" w:cs="Times New Roman"/>
                <w:i/>
                <w:sz w:val="20"/>
                <w:szCs w:val="20"/>
              </w:rPr>
              <w:t>visits from all UNDP regions</w:t>
            </w:r>
            <w:r w:rsidRPr="0081770E">
              <w:rPr>
                <w:rFonts w:eastAsia="Times New Roman" w:cs="Times New Roman"/>
                <w:sz w:val="20"/>
                <w:szCs w:val="20"/>
              </w:rPr>
              <w:t>)</w:t>
            </w:r>
          </w:p>
        </w:tc>
        <w:tc>
          <w:tcPr>
            <w:tcW w:w="1530" w:type="dxa"/>
          </w:tcPr>
          <w:p w:rsidR="00AE01D6" w:rsidRPr="0081770E" w:rsidRDefault="00AE01D6" w:rsidP="009A0CE9">
            <w:pPr>
              <w:tabs>
                <w:tab w:val="left" w:pos="7020"/>
              </w:tabs>
              <w:spacing w:before="120" w:after="120"/>
              <w:jc w:val="center"/>
              <w:rPr>
                <w:rFonts w:cs="Times New Roman"/>
                <w:sz w:val="20"/>
                <w:szCs w:val="20"/>
              </w:rPr>
            </w:pPr>
            <w:r>
              <w:rPr>
                <w:rFonts w:cs="Times New Roman"/>
                <w:sz w:val="20"/>
                <w:szCs w:val="20"/>
              </w:rPr>
              <w:t>2</w:t>
            </w:r>
            <w:r w:rsidRPr="0081770E">
              <w:rPr>
                <w:rFonts w:cs="Times New Roman"/>
                <w:sz w:val="20"/>
                <w:szCs w:val="20"/>
              </w:rPr>
              <w:t>,000 unique</w:t>
            </w:r>
            <w:r>
              <w:rPr>
                <w:rFonts w:cs="Times New Roman"/>
                <w:sz w:val="20"/>
                <w:szCs w:val="20"/>
              </w:rPr>
              <w:t xml:space="preserve"> </w:t>
            </w:r>
            <w:r w:rsidRPr="0081770E">
              <w:rPr>
                <w:rFonts w:cs="Times New Roman"/>
                <w:sz w:val="20"/>
                <w:szCs w:val="20"/>
              </w:rPr>
              <w:t>users/month</w:t>
            </w:r>
            <w:r>
              <w:rPr>
                <w:rFonts w:cs="Times New Roman"/>
                <w:sz w:val="20"/>
                <w:szCs w:val="20"/>
              </w:rPr>
              <w:t xml:space="preserve"> </w:t>
            </w:r>
            <w:r w:rsidRPr="0081770E">
              <w:rPr>
                <w:rFonts w:cs="Times New Roman"/>
                <w:sz w:val="20"/>
                <w:szCs w:val="20"/>
              </w:rPr>
              <w:t>with regional</w:t>
            </w:r>
            <w:r>
              <w:rPr>
                <w:rFonts w:cs="Times New Roman"/>
                <w:sz w:val="20"/>
                <w:szCs w:val="20"/>
              </w:rPr>
              <w:t xml:space="preserve"> </w:t>
            </w:r>
            <w:r w:rsidRPr="0081770E">
              <w:rPr>
                <w:rFonts w:cs="Times New Roman"/>
                <w:sz w:val="20"/>
                <w:szCs w:val="20"/>
              </w:rPr>
              <w:t>coverage</w:t>
            </w:r>
          </w:p>
        </w:tc>
        <w:tc>
          <w:tcPr>
            <w:tcW w:w="6318" w:type="dxa"/>
          </w:tcPr>
          <w:p w:rsidR="00AE01D6" w:rsidRPr="00655506" w:rsidRDefault="00AE01D6" w:rsidP="002E0DDC">
            <w:pPr>
              <w:spacing w:before="120" w:after="120"/>
              <w:rPr>
                <w:rFonts w:eastAsia="Times New Roman" w:cs="Times New Roman"/>
                <w:sz w:val="20"/>
                <w:szCs w:val="20"/>
              </w:rPr>
            </w:pPr>
            <w:r w:rsidRPr="00655506">
              <w:rPr>
                <w:rFonts w:eastAsia="Times New Roman" w:cs="Times New Roman"/>
                <w:sz w:val="20"/>
                <w:szCs w:val="20"/>
              </w:rPr>
              <w:t>Current indicator measure:  17,833</w:t>
            </w:r>
          </w:p>
          <w:p w:rsidR="00AE01D6" w:rsidRPr="00655506" w:rsidRDefault="00AE01D6" w:rsidP="002E0DDC">
            <w:pPr>
              <w:spacing w:before="120" w:after="120"/>
              <w:rPr>
                <w:rFonts w:eastAsia="Times New Roman" w:cs="Times New Roman"/>
                <w:sz w:val="20"/>
                <w:szCs w:val="20"/>
              </w:rPr>
            </w:pPr>
            <w:r w:rsidRPr="00655506">
              <w:rPr>
                <w:rFonts w:eastAsia="Times New Roman" w:cs="Times New Roman"/>
                <w:sz w:val="20"/>
                <w:szCs w:val="20"/>
              </w:rPr>
              <w:t>The average number of unique users/month in 2013 was 17,833, and the average number of unique users/month in 2013 from locations outside the US was 13,208. Distribution by region:</w:t>
            </w:r>
          </w:p>
          <w:p w:rsidR="00AE01D6" w:rsidRPr="00655506" w:rsidRDefault="00AE01D6" w:rsidP="002E0DDC">
            <w:pPr>
              <w:pStyle w:val="ListParagraph"/>
              <w:numPr>
                <w:ilvl w:val="0"/>
                <w:numId w:val="11"/>
              </w:numPr>
              <w:ind w:left="252" w:hanging="187"/>
              <w:contextualSpacing w:val="0"/>
              <w:rPr>
                <w:rFonts w:eastAsia="Times New Roman" w:cs="Times New Roman"/>
                <w:sz w:val="20"/>
                <w:szCs w:val="20"/>
              </w:rPr>
            </w:pPr>
            <w:r w:rsidRPr="00655506">
              <w:rPr>
                <w:rFonts w:eastAsia="Times New Roman" w:cs="Times New Roman"/>
                <w:sz w:val="20"/>
                <w:szCs w:val="20"/>
              </w:rPr>
              <w:t>2,638 unique users/month (Africa)</w:t>
            </w:r>
          </w:p>
          <w:p w:rsidR="00AE01D6" w:rsidRPr="00655506" w:rsidRDefault="00AE01D6" w:rsidP="002E0DDC">
            <w:pPr>
              <w:pStyle w:val="ListParagraph"/>
              <w:numPr>
                <w:ilvl w:val="0"/>
                <w:numId w:val="11"/>
              </w:numPr>
              <w:ind w:left="252" w:hanging="187"/>
              <w:contextualSpacing w:val="0"/>
              <w:rPr>
                <w:rFonts w:eastAsia="Times New Roman" w:cs="Times New Roman"/>
                <w:sz w:val="20"/>
                <w:szCs w:val="20"/>
              </w:rPr>
            </w:pPr>
            <w:r w:rsidRPr="00655506">
              <w:rPr>
                <w:rFonts w:eastAsia="Times New Roman" w:cs="Times New Roman"/>
                <w:sz w:val="20"/>
                <w:szCs w:val="20"/>
              </w:rPr>
              <w:t>2,561 unique users/month (Asia and the Pacific)</w:t>
            </w:r>
          </w:p>
          <w:p w:rsidR="00AE01D6" w:rsidRPr="00655506" w:rsidRDefault="00AE01D6" w:rsidP="002E0DDC">
            <w:pPr>
              <w:pStyle w:val="ListParagraph"/>
              <w:numPr>
                <w:ilvl w:val="0"/>
                <w:numId w:val="11"/>
              </w:numPr>
              <w:ind w:left="252" w:hanging="187"/>
              <w:contextualSpacing w:val="0"/>
              <w:rPr>
                <w:rFonts w:eastAsia="Times New Roman" w:cs="Times New Roman"/>
                <w:sz w:val="20"/>
                <w:szCs w:val="20"/>
              </w:rPr>
            </w:pPr>
            <w:r w:rsidRPr="00655506">
              <w:rPr>
                <w:rFonts w:eastAsia="Times New Roman" w:cs="Times New Roman"/>
                <w:sz w:val="20"/>
                <w:szCs w:val="20"/>
              </w:rPr>
              <w:t>1,090 unique users/month (Arab States)</w:t>
            </w:r>
          </w:p>
          <w:p w:rsidR="00AE01D6" w:rsidRPr="00655506" w:rsidRDefault="00AE01D6" w:rsidP="002E0DDC">
            <w:pPr>
              <w:pStyle w:val="ListParagraph"/>
              <w:numPr>
                <w:ilvl w:val="0"/>
                <w:numId w:val="11"/>
              </w:numPr>
              <w:ind w:left="252" w:hanging="187"/>
              <w:contextualSpacing w:val="0"/>
              <w:rPr>
                <w:rFonts w:eastAsia="Times New Roman" w:cs="Times New Roman"/>
                <w:sz w:val="20"/>
                <w:szCs w:val="20"/>
              </w:rPr>
            </w:pPr>
            <w:r w:rsidRPr="00655506">
              <w:rPr>
                <w:rFonts w:eastAsia="Times New Roman" w:cs="Times New Roman"/>
                <w:sz w:val="20"/>
                <w:szCs w:val="20"/>
              </w:rPr>
              <w:t>2,026 unique users/month (Europe and CIS)</w:t>
            </w:r>
          </w:p>
          <w:p w:rsidR="00AE01D6" w:rsidRPr="00655506" w:rsidRDefault="00AE01D6" w:rsidP="002E0DDC">
            <w:pPr>
              <w:pStyle w:val="ListParagraph"/>
              <w:numPr>
                <w:ilvl w:val="0"/>
                <w:numId w:val="11"/>
              </w:numPr>
              <w:ind w:left="252" w:hanging="187"/>
              <w:contextualSpacing w:val="0"/>
              <w:rPr>
                <w:rFonts w:eastAsia="Times New Roman" w:cs="Times New Roman"/>
                <w:sz w:val="20"/>
                <w:szCs w:val="20"/>
              </w:rPr>
            </w:pPr>
            <w:r w:rsidRPr="00655506">
              <w:rPr>
                <w:rFonts w:eastAsia="Times New Roman" w:cs="Times New Roman"/>
                <w:sz w:val="20"/>
                <w:szCs w:val="20"/>
              </w:rPr>
              <w:t>1,915 unique users/month (Latin American and Caribbean)</w:t>
            </w:r>
          </w:p>
          <w:p w:rsidR="00AE01D6" w:rsidRPr="00655506" w:rsidRDefault="00AE01D6" w:rsidP="002E0DDC">
            <w:pPr>
              <w:pStyle w:val="ListParagraph"/>
              <w:numPr>
                <w:ilvl w:val="0"/>
                <w:numId w:val="11"/>
              </w:numPr>
              <w:ind w:left="252" w:hanging="187"/>
              <w:contextualSpacing w:val="0"/>
              <w:rPr>
                <w:rFonts w:eastAsia="Times New Roman" w:cs="Times New Roman"/>
                <w:sz w:val="20"/>
                <w:szCs w:val="20"/>
              </w:rPr>
            </w:pPr>
            <w:r w:rsidRPr="00655506">
              <w:rPr>
                <w:rFonts w:eastAsia="Times New Roman" w:cs="Times New Roman"/>
                <w:sz w:val="20"/>
                <w:szCs w:val="20"/>
              </w:rPr>
              <w:t>2,975 unique users/month (Other)</w:t>
            </w:r>
          </w:p>
          <w:p w:rsidR="00AE01D6" w:rsidRPr="00655506" w:rsidRDefault="00AE01D6" w:rsidP="00AE01D6">
            <w:pPr>
              <w:spacing w:before="120" w:after="120"/>
              <w:rPr>
                <w:rFonts w:eastAsia="Times New Roman" w:cs="Times New Roman"/>
                <w:sz w:val="20"/>
                <w:szCs w:val="20"/>
              </w:rPr>
            </w:pPr>
          </w:p>
        </w:tc>
      </w:tr>
      <w:tr w:rsidR="00AE01D6" w:rsidRPr="00CA712C">
        <w:tc>
          <w:tcPr>
            <w:tcW w:w="2079" w:type="dxa"/>
            <w:vMerge w:val="restart"/>
          </w:tcPr>
          <w:p w:rsidR="00AE01D6" w:rsidRPr="00DD612A" w:rsidRDefault="00AE01D6" w:rsidP="00BA40DA">
            <w:pPr>
              <w:spacing w:before="120" w:after="120"/>
              <w:rPr>
                <w:rFonts w:eastAsia="Times New Roman" w:cs="Times New Roman"/>
                <w:sz w:val="20"/>
                <w:szCs w:val="20"/>
              </w:rPr>
            </w:pPr>
            <w:r w:rsidRPr="00CA712C">
              <w:rPr>
                <w:rFonts w:eastAsia="Times New Roman" w:cs="Times New Roman"/>
                <w:sz w:val="20"/>
                <w:szCs w:val="20"/>
              </w:rPr>
              <w:t>Capacity development approaches fully integrated into UNDP programmes and projects</w:t>
            </w:r>
            <w:r>
              <w:rPr>
                <w:rFonts w:eastAsia="Times New Roman" w:cs="Times New Roman"/>
                <w:sz w:val="20"/>
                <w:szCs w:val="20"/>
              </w:rPr>
              <w:br/>
            </w:r>
            <w:r w:rsidRPr="00CA712C">
              <w:rPr>
                <w:rFonts w:eastAsia="Times New Roman" w:cs="Times New Roman"/>
                <w:b/>
                <w:sz w:val="20"/>
                <w:szCs w:val="20"/>
              </w:rPr>
              <w:t>(Corporate sponsor – BDP)</w:t>
            </w:r>
          </w:p>
        </w:tc>
        <w:tc>
          <w:tcPr>
            <w:tcW w:w="3249" w:type="dxa"/>
          </w:tcPr>
          <w:p w:rsidR="00AE01D6" w:rsidRPr="00CA712C" w:rsidRDefault="00AE01D6" w:rsidP="00BA40DA">
            <w:pPr>
              <w:spacing w:before="120" w:after="120"/>
              <w:rPr>
                <w:rFonts w:eastAsia="Times New Roman" w:cs="Times New Roman"/>
                <w:sz w:val="20"/>
                <w:szCs w:val="20"/>
              </w:rPr>
            </w:pPr>
            <w:r w:rsidRPr="00CA712C">
              <w:rPr>
                <w:rFonts w:eastAsia="Times New Roman" w:cs="Times New Roman"/>
                <w:sz w:val="20"/>
                <w:szCs w:val="20"/>
              </w:rPr>
              <w:t>Percentage of partners that rate UNDP programmes and projects as effective in developing national capacity</w:t>
            </w:r>
          </w:p>
          <w:p w:rsidR="00AE01D6" w:rsidRPr="00CA712C" w:rsidRDefault="00AE01D6" w:rsidP="00BA40DA">
            <w:pPr>
              <w:spacing w:before="120" w:after="120"/>
              <w:rPr>
                <w:rFonts w:eastAsia="Times New Roman" w:cs="Times New Roman"/>
                <w:i/>
                <w:sz w:val="20"/>
                <w:szCs w:val="20"/>
              </w:rPr>
            </w:pPr>
            <w:r w:rsidRPr="00CA712C">
              <w:rPr>
                <w:rFonts w:eastAsia="Times New Roman" w:cs="Times New Roman"/>
                <w:i/>
                <w:sz w:val="20"/>
                <w:szCs w:val="20"/>
              </w:rPr>
              <w:t>(Source: Partnership Survey</w:t>
            </w:r>
            <w:r>
              <w:rPr>
                <w:rFonts w:eastAsia="Times New Roman" w:cs="Times New Roman"/>
                <w:i/>
                <w:sz w:val="20"/>
                <w:szCs w:val="20"/>
              </w:rPr>
              <w:t xml:space="preserve"> – Baseline: 65% rating 1 or 2</w:t>
            </w:r>
            <w:r w:rsidRPr="00CA712C">
              <w:rPr>
                <w:rFonts w:eastAsia="Times New Roman" w:cs="Times New Roman"/>
                <w:i/>
                <w:sz w:val="20"/>
                <w:szCs w:val="20"/>
              </w:rPr>
              <w:t>)</w:t>
            </w:r>
          </w:p>
        </w:tc>
        <w:tc>
          <w:tcPr>
            <w:tcW w:w="1530" w:type="dxa"/>
          </w:tcPr>
          <w:p w:rsidR="00AE01D6" w:rsidRPr="00470F67" w:rsidRDefault="00AE01D6" w:rsidP="009A0CE9">
            <w:pPr>
              <w:tabs>
                <w:tab w:val="left" w:pos="7020"/>
              </w:tabs>
              <w:spacing w:before="120" w:after="120"/>
              <w:jc w:val="center"/>
              <w:rPr>
                <w:rFonts w:cs="Times New Roman"/>
                <w:sz w:val="20"/>
                <w:szCs w:val="20"/>
              </w:rPr>
            </w:pPr>
            <w:r>
              <w:rPr>
                <w:rFonts w:cs="Times New Roman"/>
                <w:sz w:val="20"/>
                <w:szCs w:val="20"/>
              </w:rPr>
              <w:t>75%</w:t>
            </w:r>
          </w:p>
        </w:tc>
        <w:tc>
          <w:tcPr>
            <w:tcW w:w="6318" w:type="dxa"/>
          </w:tcPr>
          <w:p w:rsidR="00AE01D6" w:rsidRPr="00655506" w:rsidRDefault="00A64B1E" w:rsidP="005F739C">
            <w:pPr>
              <w:spacing w:before="120" w:after="120"/>
              <w:rPr>
                <w:rFonts w:eastAsia="Times New Roman" w:cs="Times New Roman"/>
                <w:sz w:val="20"/>
                <w:szCs w:val="20"/>
              </w:rPr>
            </w:pPr>
            <w:r>
              <w:rPr>
                <w:rFonts w:eastAsia="Times New Roman" w:cs="Times New Roman"/>
                <w:sz w:val="20"/>
                <w:szCs w:val="20"/>
              </w:rPr>
              <w:t>Current indicator measure: 82</w:t>
            </w:r>
            <w:r w:rsidR="00AE01D6" w:rsidRPr="00655506">
              <w:rPr>
                <w:rFonts w:eastAsia="Times New Roman" w:cs="Times New Roman"/>
                <w:sz w:val="20"/>
                <w:szCs w:val="20"/>
              </w:rPr>
              <w:t>%</w:t>
            </w:r>
          </w:p>
          <w:p w:rsidR="00AE01D6" w:rsidRPr="00655506" w:rsidRDefault="00AE01D6" w:rsidP="00AE01D6">
            <w:pPr>
              <w:spacing w:before="120" w:after="120"/>
              <w:rPr>
                <w:rFonts w:eastAsia="Times New Roman" w:cs="Times New Roman"/>
                <w:sz w:val="20"/>
                <w:szCs w:val="20"/>
              </w:rPr>
            </w:pPr>
            <w:r w:rsidRPr="00655506">
              <w:rPr>
                <w:rFonts w:eastAsia="Times New Roman" w:cs="Times New Roman"/>
                <w:sz w:val="20"/>
                <w:szCs w:val="20"/>
              </w:rPr>
              <w:t>Data from 2012 Partners Survey</w:t>
            </w:r>
          </w:p>
        </w:tc>
      </w:tr>
      <w:tr w:rsidR="00AE01D6" w:rsidRPr="00CA712C">
        <w:tc>
          <w:tcPr>
            <w:tcW w:w="2079" w:type="dxa"/>
            <w:vMerge/>
            <w:vAlign w:val="center"/>
          </w:tcPr>
          <w:p w:rsidR="00AE01D6" w:rsidRPr="00CA712C" w:rsidRDefault="00AE01D6" w:rsidP="00BA40DA">
            <w:pPr>
              <w:spacing w:before="120" w:after="120"/>
              <w:rPr>
                <w:rFonts w:eastAsia="Times New Roman" w:cs="Times New Roman"/>
                <w:sz w:val="20"/>
                <w:szCs w:val="20"/>
              </w:rPr>
            </w:pPr>
          </w:p>
        </w:tc>
        <w:tc>
          <w:tcPr>
            <w:tcW w:w="3249" w:type="dxa"/>
          </w:tcPr>
          <w:p w:rsidR="00AE01D6" w:rsidRPr="00CA712C" w:rsidRDefault="00AE01D6" w:rsidP="00BA40DA">
            <w:pPr>
              <w:spacing w:before="120" w:after="120"/>
              <w:rPr>
                <w:rFonts w:eastAsia="Times New Roman" w:cs="Times New Roman"/>
                <w:sz w:val="20"/>
                <w:szCs w:val="20"/>
              </w:rPr>
            </w:pPr>
            <w:r w:rsidRPr="00CA712C">
              <w:rPr>
                <w:rFonts w:eastAsia="Times New Roman" w:cs="Times New Roman"/>
                <w:sz w:val="20"/>
                <w:szCs w:val="20"/>
              </w:rPr>
              <w:t>Implementation rate of management response to CD evaluation</w:t>
            </w:r>
          </w:p>
          <w:p w:rsidR="00AE01D6" w:rsidRPr="00CA712C" w:rsidRDefault="00AE01D6" w:rsidP="00BA40DA">
            <w:pPr>
              <w:spacing w:before="120" w:after="120"/>
              <w:rPr>
                <w:rFonts w:eastAsia="Times New Roman" w:cs="Times New Roman"/>
                <w:i/>
                <w:sz w:val="20"/>
                <w:szCs w:val="20"/>
              </w:rPr>
            </w:pPr>
            <w:r w:rsidRPr="00CA712C">
              <w:rPr>
                <w:rFonts w:eastAsia="Times New Roman" w:cs="Times New Roman"/>
                <w:i/>
                <w:sz w:val="20"/>
                <w:szCs w:val="20"/>
              </w:rPr>
              <w:t>(Source: ERC</w:t>
            </w:r>
            <w:r>
              <w:rPr>
                <w:rFonts w:eastAsia="Times New Roman" w:cs="Times New Roman"/>
                <w:i/>
                <w:sz w:val="20"/>
                <w:szCs w:val="20"/>
              </w:rPr>
              <w:t xml:space="preserve"> – Baseline: schedule per mgmt response Feb 2011</w:t>
            </w:r>
            <w:r w:rsidRPr="00CA712C">
              <w:rPr>
                <w:rFonts w:eastAsia="Times New Roman" w:cs="Times New Roman"/>
                <w:i/>
                <w:sz w:val="20"/>
                <w:szCs w:val="20"/>
              </w:rPr>
              <w:t xml:space="preserve">) </w:t>
            </w:r>
          </w:p>
        </w:tc>
        <w:tc>
          <w:tcPr>
            <w:tcW w:w="1530" w:type="dxa"/>
          </w:tcPr>
          <w:p w:rsidR="00AE01D6" w:rsidRPr="00470F67" w:rsidRDefault="00AE01D6" w:rsidP="009A0CE9">
            <w:pPr>
              <w:tabs>
                <w:tab w:val="left" w:pos="7020"/>
              </w:tabs>
              <w:spacing w:before="120" w:after="120"/>
              <w:jc w:val="center"/>
              <w:rPr>
                <w:rFonts w:cs="Times New Roman"/>
                <w:sz w:val="20"/>
                <w:szCs w:val="20"/>
              </w:rPr>
            </w:pPr>
            <w:r>
              <w:rPr>
                <w:rFonts w:cs="Times New Roman"/>
                <w:sz w:val="20"/>
                <w:szCs w:val="20"/>
              </w:rPr>
              <w:t>95% actions completed or ongoing per schedule</w:t>
            </w:r>
          </w:p>
        </w:tc>
        <w:tc>
          <w:tcPr>
            <w:tcW w:w="6318" w:type="dxa"/>
          </w:tcPr>
          <w:p w:rsidR="00AE01D6" w:rsidRPr="00655506" w:rsidRDefault="00AE01D6" w:rsidP="00C14213">
            <w:pPr>
              <w:tabs>
                <w:tab w:val="left" w:pos="7020"/>
              </w:tabs>
              <w:spacing w:before="120" w:after="120"/>
              <w:rPr>
                <w:rFonts w:cs="Times New Roman"/>
                <w:sz w:val="20"/>
                <w:szCs w:val="18"/>
              </w:rPr>
            </w:pPr>
            <w:r w:rsidRPr="00655506">
              <w:rPr>
                <w:rFonts w:cs="Times New Roman"/>
                <w:sz w:val="20"/>
                <w:szCs w:val="18"/>
              </w:rPr>
              <w:t>Current indicator measure: 75%</w:t>
            </w:r>
          </w:p>
          <w:p w:rsidR="00AE01D6" w:rsidRPr="00655506" w:rsidRDefault="00AE01D6" w:rsidP="00F15AE3">
            <w:pPr>
              <w:tabs>
                <w:tab w:val="left" w:pos="7020"/>
              </w:tabs>
              <w:spacing w:before="120" w:after="120"/>
              <w:rPr>
                <w:rFonts w:cs="Times New Roman"/>
                <w:sz w:val="20"/>
                <w:szCs w:val="20"/>
              </w:rPr>
            </w:pPr>
            <w:r w:rsidRPr="00655506">
              <w:rPr>
                <w:rFonts w:cs="Times New Roman"/>
                <w:sz w:val="20"/>
                <w:szCs w:val="18"/>
              </w:rPr>
              <w:t>75% of key actions are either completed or ongoing.</w:t>
            </w:r>
            <w:r w:rsidR="00F15AE3">
              <w:rPr>
                <w:rFonts w:cs="Times New Roman"/>
                <w:sz w:val="20"/>
                <w:szCs w:val="18"/>
              </w:rPr>
              <w:t xml:space="preserve">  Remaining actions will be reviewed for implementation in the context of the new Strategic Plan.</w:t>
            </w:r>
          </w:p>
        </w:tc>
      </w:tr>
      <w:tr w:rsidR="00AE01D6" w:rsidRPr="00CA712C">
        <w:tc>
          <w:tcPr>
            <w:tcW w:w="2079" w:type="dxa"/>
            <w:vMerge/>
          </w:tcPr>
          <w:p w:rsidR="00AE01D6" w:rsidRPr="00CA712C" w:rsidRDefault="00AE01D6" w:rsidP="00BA40DA">
            <w:pPr>
              <w:spacing w:before="120" w:after="120"/>
              <w:rPr>
                <w:rFonts w:eastAsia="Times New Roman" w:cs="Times New Roman"/>
                <w:sz w:val="20"/>
                <w:szCs w:val="20"/>
              </w:rPr>
            </w:pPr>
          </w:p>
        </w:tc>
        <w:tc>
          <w:tcPr>
            <w:tcW w:w="3249" w:type="dxa"/>
          </w:tcPr>
          <w:p w:rsidR="00AE01D6" w:rsidRPr="001727B8" w:rsidRDefault="00AE01D6" w:rsidP="00BA40DA">
            <w:pPr>
              <w:spacing w:before="120" w:after="120"/>
              <w:rPr>
                <w:rFonts w:eastAsia="Times New Roman" w:cs="Times New Roman"/>
                <w:sz w:val="20"/>
                <w:szCs w:val="20"/>
              </w:rPr>
            </w:pPr>
            <w:r w:rsidRPr="001727B8">
              <w:rPr>
                <w:rFonts w:eastAsia="Times New Roman" w:cs="Times New Roman"/>
                <w:sz w:val="20"/>
                <w:szCs w:val="20"/>
              </w:rPr>
              <w:t xml:space="preserve">Percentage of new country, regional, and global programmes that integrate capacity development to support national development </w:t>
            </w:r>
          </w:p>
          <w:p w:rsidR="00AE01D6" w:rsidRPr="001727B8" w:rsidRDefault="00AE01D6" w:rsidP="00BA40DA">
            <w:pPr>
              <w:spacing w:before="120" w:after="120"/>
              <w:rPr>
                <w:rFonts w:eastAsia="Times New Roman" w:cs="Times New Roman"/>
                <w:i/>
                <w:sz w:val="20"/>
                <w:szCs w:val="20"/>
              </w:rPr>
            </w:pPr>
            <w:r>
              <w:rPr>
                <w:rFonts w:eastAsia="Times New Roman" w:cs="Times New Roman"/>
                <w:i/>
                <w:sz w:val="20"/>
                <w:szCs w:val="20"/>
              </w:rPr>
              <w:t>(</w:t>
            </w:r>
            <w:r w:rsidRPr="0081770E">
              <w:rPr>
                <w:rFonts w:eastAsia="Times New Roman" w:cs="Times New Roman"/>
                <w:i/>
                <w:sz w:val="20"/>
                <w:szCs w:val="20"/>
              </w:rPr>
              <w:t>Source: TBC – capaci</w:t>
            </w:r>
            <w:r>
              <w:rPr>
                <w:rFonts w:eastAsia="Times New Roman" w:cs="Times New Roman"/>
                <w:i/>
                <w:sz w:val="20"/>
                <w:szCs w:val="20"/>
              </w:rPr>
              <w:t xml:space="preserve">ty marker or </w:t>
            </w:r>
            <w:r>
              <w:rPr>
                <w:rFonts w:eastAsia="Times New Roman" w:cs="Times New Roman"/>
                <w:i/>
                <w:sz w:val="20"/>
                <w:szCs w:val="20"/>
              </w:rPr>
              <w:lastRenderedPageBreak/>
              <w:t>results frameworks</w:t>
            </w:r>
            <w:r w:rsidRPr="001727B8">
              <w:rPr>
                <w:rFonts w:eastAsia="Times New Roman" w:cs="Times New Roman"/>
                <w:i/>
                <w:sz w:val="20"/>
                <w:szCs w:val="20"/>
              </w:rPr>
              <w:t>)</w:t>
            </w:r>
          </w:p>
        </w:tc>
        <w:tc>
          <w:tcPr>
            <w:tcW w:w="1530" w:type="dxa"/>
          </w:tcPr>
          <w:p w:rsidR="00AE01D6" w:rsidRDefault="00AE01D6" w:rsidP="009A0CE9">
            <w:pPr>
              <w:tabs>
                <w:tab w:val="left" w:pos="7020"/>
              </w:tabs>
              <w:spacing w:before="120" w:after="120"/>
              <w:jc w:val="center"/>
              <w:rPr>
                <w:rFonts w:cs="Times New Roman"/>
                <w:sz w:val="20"/>
                <w:szCs w:val="20"/>
              </w:rPr>
            </w:pPr>
            <w:r>
              <w:rPr>
                <w:rFonts w:cs="Times New Roman"/>
                <w:sz w:val="20"/>
                <w:szCs w:val="20"/>
              </w:rPr>
              <w:lastRenderedPageBreak/>
              <w:t>20% increase</w:t>
            </w:r>
          </w:p>
        </w:tc>
        <w:tc>
          <w:tcPr>
            <w:tcW w:w="6318" w:type="dxa"/>
          </w:tcPr>
          <w:p w:rsidR="00AE01D6" w:rsidRPr="00655506" w:rsidRDefault="00AE01D6" w:rsidP="00BA40DA">
            <w:pPr>
              <w:tabs>
                <w:tab w:val="left" w:pos="7020"/>
              </w:tabs>
              <w:spacing w:before="120" w:after="120"/>
              <w:rPr>
                <w:rFonts w:cs="Times New Roman"/>
                <w:sz w:val="20"/>
                <w:szCs w:val="20"/>
              </w:rPr>
            </w:pPr>
            <w:r w:rsidRPr="00655506">
              <w:rPr>
                <w:rFonts w:cs="Times New Roman"/>
                <w:sz w:val="20"/>
                <w:szCs w:val="20"/>
              </w:rPr>
              <w:t>Current indicator measure: 88%</w:t>
            </w:r>
          </w:p>
          <w:p w:rsidR="00AE01D6" w:rsidRPr="00655506" w:rsidRDefault="00AE01D6" w:rsidP="00AE01D6">
            <w:pPr>
              <w:tabs>
                <w:tab w:val="left" w:pos="7020"/>
              </w:tabs>
              <w:spacing w:before="120" w:after="120"/>
              <w:rPr>
                <w:rFonts w:cs="Times New Roman"/>
                <w:sz w:val="20"/>
                <w:szCs w:val="20"/>
              </w:rPr>
            </w:pPr>
            <w:r w:rsidRPr="00655506">
              <w:rPr>
                <w:sz w:val="20"/>
                <w:lang w:val="en-GB"/>
              </w:rPr>
              <w:t xml:space="preserve">There were 2,499 projects in 2013 (50% of all on-going) recorded in the CD Tracker, 2,187 of which (88%) had a significant CD component.  Of those, 14% rated 3 for national partner led process, 31% rated 3 for sound diagnosis, 46% rated 3 for comprehensive response, and 51% rated 3 for clear results. The percentage of projects that rated 3 for any of the four </w:t>
            </w:r>
            <w:r w:rsidRPr="00655506">
              <w:rPr>
                <w:sz w:val="20"/>
                <w:lang w:val="en-GB"/>
              </w:rPr>
              <w:lastRenderedPageBreak/>
              <w:t xml:space="preserve">dimensions was 36%.  </w:t>
            </w:r>
          </w:p>
        </w:tc>
      </w:tr>
      <w:tr w:rsidR="00AE01D6" w:rsidRPr="00CA712C">
        <w:tc>
          <w:tcPr>
            <w:tcW w:w="2079" w:type="dxa"/>
            <w:vMerge w:val="restart"/>
          </w:tcPr>
          <w:p w:rsidR="00AE01D6" w:rsidRPr="00CA712C" w:rsidRDefault="00AE01D6" w:rsidP="00BA40DA">
            <w:pPr>
              <w:spacing w:before="120" w:after="120"/>
              <w:rPr>
                <w:rFonts w:eastAsia="Times New Roman" w:cs="Times New Roman"/>
                <w:sz w:val="20"/>
                <w:szCs w:val="20"/>
              </w:rPr>
            </w:pPr>
            <w:r w:rsidRPr="00CA712C">
              <w:rPr>
                <w:rFonts w:eastAsia="Times New Roman" w:cs="Times New Roman"/>
                <w:sz w:val="20"/>
                <w:szCs w:val="20"/>
              </w:rPr>
              <w:lastRenderedPageBreak/>
              <w:t>Gender equality and women’s empowerment is integrated into UNDP programmes and projects in line with the UNDP gender equality strategy</w:t>
            </w:r>
          </w:p>
          <w:p w:rsidR="00AE01D6" w:rsidRPr="00CA712C" w:rsidRDefault="00AE01D6" w:rsidP="00BA40DA">
            <w:pPr>
              <w:spacing w:before="120" w:after="120"/>
              <w:rPr>
                <w:rFonts w:eastAsia="Times New Roman" w:cs="Times New Roman"/>
                <w:b/>
                <w:bCs/>
                <w:sz w:val="20"/>
                <w:szCs w:val="20"/>
              </w:rPr>
            </w:pPr>
            <w:r w:rsidRPr="00CA712C">
              <w:rPr>
                <w:rFonts w:eastAsia="Times New Roman" w:cs="Times New Roman"/>
                <w:b/>
                <w:sz w:val="20"/>
                <w:szCs w:val="20"/>
              </w:rPr>
              <w:t>(Corporate sponsor – BDP)</w:t>
            </w:r>
          </w:p>
        </w:tc>
        <w:tc>
          <w:tcPr>
            <w:tcW w:w="3249" w:type="dxa"/>
          </w:tcPr>
          <w:p w:rsidR="00AE01D6" w:rsidRPr="00CA712C" w:rsidRDefault="00AE01D6" w:rsidP="00BA40DA">
            <w:pPr>
              <w:spacing w:before="120" w:after="120"/>
              <w:rPr>
                <w:rFonts w:eastAsia="Times New Roman" w:cs="Times New Roman"/>
                <w:sz w:val="20"/>
                <w:szCs w:val="20"/>
              </w:rPr>
            </w:pPr>
            <w:r>
              <w:rPr>
                <w:rFonts w:eastAsia="Times New Roman" w:cs="Times New Roman"/>
                <w:sz w:val="20"/>
                <w:szCs w:val="20"/>
              </w:rPr>
              <w:t>Percentage of project o</w:t>
            </w:r>
            <w:r w:rsidRPr="005D5E43">
              <w:rPr>
                <w:rFonts w:eastAsia="Times New Roman" w:cs="Times New Roman"/>
                <w:sz w:val="20"/>
                <w:szCs w:val="20"/>
              </w:rPr>
              <w:t>utputs with a significant gender component (</w:t>
            </w:r>
            <w:r>
              <w:rPr>
                <w:rFonts w:eastAsia="Times New Roman" w:cs="Times New Roman"/>
                <w:sz w:val="20"/>
                <w:szCs w:val="20"/>
              </w:rPr>
              <w:t xml:space="preserve">Gender Marker rating of </w:t>
            </w:r>
            <w:r w:rsidRPr="005D5E43">
              <w:rPr>
                <w:rFonts w:eastAsia="Times New Roman" w:cs="Times New Roman"/>
                <w:sz w:val="20"/>
                <w:szCs w:val="20"/>
              </w:rPr>
              <w:t xml:space="preserve">GEN2) and with gender </w:t>
            </w:r>
            <w:r>
              <w:rPr>
                <w:rFonts w:eastAsia="Times New Roman" w:cs="Times New Roman"/>
                <w:sz w:val="20"/>
                <w:szCs w:val="20"/>
              </w:rPr>
              <w:t>as a principal objective (Gender Marker rating of GEN3)</w:t>
            </w:r>
            <w:r w:rsidRPr="005D5E43">
              <w:rPr>
                <w:rFonts w:eastAsia="Times New Roman" w:cs="Times New Roman"/>
                <w:sz w:val="20"/>
                <w:szCs w:val="20"/>
              </w:rPr>
              <w:t xml:space="preserve"> </w:t>
            </w:r>
            <w:r w:rsidRPr="00CA712C">
              <w:rPr>
                <w:rFonts w:eastAsia="Times New Roman" w:cs="Times New Roman"/>
                <w:sz w:val="20"/>
                <w:szCs w:val="20"/>
              </w:rPr>
              <w:t>(</w:t>
            </w:r>
            <w:r w:rsidRPr="00CA712C">
              <w:rPr>
                <w:rFonts w:eastAsia="Times New Roman" w:cs="Times New Roman"/>
                <w:i/>
                <w:sz w:val="20"/>
                <w:szCs w:val="20"/>
              </w:rPr>
              <w:t>Source: gender marker</w:t>
            </w:r>
            <w:r>
              <w:rPr>
                <w:rFonts w:eastAsia="Times New Roman" w:cs="Times New Roman"/>
                <w:i/>
                <w:sz w:val="20"/>
                <w:szCs w:val="20"/>
              </w:rPr>
              <w:t xml:space="preserve"> – Baseline: 17% of 2010 outputs with significant or principal gender contributions</w:t>
            </w:r>
            <w:r w:rsidRPr="00CA712C">
              <w:rPr>
                <w:rFonts w:eastAsia="Times New Roman" w:cs="Times New Roman"/>
                <w:i/>
                <w:sz w:val="20"/>
                <w:szCs w:val="20"/>
              </w:rPr>
              <w:t>)</w:t>
            </w:r>
          </w:p>
        </w:tc>
        <w:tc>
          <w:tcPr>
            <w:tcW w:w="1530" w:type="dxa"/>
          </w:tcPr>
          <w:p w:rsidR="00AE01D6" w:rsidRPr="00470F67" w:rsidRDefault="00AE01D6" w:rsidP="009A0CE9">
            <w:pPr>
              <w:tabs>
                <w:tab w:val="left" w:pos="7020"/>
              </w:tabs>
              <w:spacing w:before="120" w:after="120"/>
              <w:jc w:val="center"/>
              <w:rPr>
                <w:rFonts w:cs="Times New Roman"/>
                <w:sz w:val="20"/>
                <w:szCs w:val="20"/>
              </w:rPr>
            </w:pPr>
            <w:r>
              <w:rPr>
                <w:rFonts w:cs="Times New Roman"/>
                <w:sz w:val="20"/>
                <w:szCs w:val="20"/>
              </w:rPr>
              <w:t>30%</w:t>
            </w:r>
          </w:p>
        </w:tc>
        <w:tc>
          <w:tcPr>
            <w:tcW w:w="6318" w:type="dxa"/>
          </w:tcPr>
          <w:p w:rsidR="00AE01D6" w:rsidRPr="00655506" w:rsidRDefault="00AE01D6" w:rsidP="002E0DDC">
            <w:pPr>
              <w:tabs>
                <w:tab w:val="left" w:pos="7020"/>
              </w:tabs>
              <w:spacing w:before="120" w:after="120"/>
              <w:rPr>
                <w:rFonts w:cs="Times New Roman"/>
                <w:sz w:val="20"/>
                <w:szCs w:val="20"/>
              </w:rPr>
            </w:pPr>
            <w:r w:rsidRPr="00655506">
              <w:rPr>
                <w:rFonts w:cs="Times New Roman"/>
                <w:sz w:val="20"/>
                <w:szCs w:val="20"/>
              </w:rPr>
              <w:t>Current indicator measure: 28%</w:t>
            </w:r>
          </w:p>
          <w:p w:rsidR="00AE01D6" w:rsidRPr="00655506" w:rsidRDefault="00AE01D6" w:rsidP="00AE01D6">
            <w:pPr>
              <w:tabs>
                <w:tab w:val="left" w:pos="7020"/>
              </w:tabs>
              <w:spacing w:before="120" w:after="120"/>
              <w:rPr>
                <w:rFonts w:cs="Times New Roman"/>
                <w:sz w:val="20"/>
                <w:szCs w:val="20"/>
              </w:rPr>
            </w:pPr>
            <w:r w:rsidRPr="00655506">
              <w:rPr>
                <w:rFonts w:cs="Times New Roman"/>
                <w:sz w:val="20"/>
                <w:szCs w:val="20"/>
              </w:rPr>
              <w:t>28% of project outputs have a Gender Marker rating of GEN2 (significant gender content in 22%) or GEN3 (gender is principal objective in 6%).</w:t>
            </w:r>
          </w:p>
        </w:tc>
      </w:tr>
      <w:tr w:rsidR="00AE01D6" w:rsidRPr="00CA712C">
        <w:tc>
          <w:tcPr>
            <w:tcW w:w="2079" w:type="dxa"/>
            <w:vMerge/>
            <w:vAlign w:val="center"/>
          </w:tcPr>
          <w:p w:rsidR="00AE01D6" w:rsidRPr="00CA712C" w:rsidRDefault="00AE01D6" w:rsidP="00BA40DA">
            <w:pPr>
              <w:spacing w:before="120" w:after="120"/>
              <w:rPr>
                <w:rFonts w:eastAsia="Times New Roman" w:cs="Times New Roman"/>
                <w:sz w:val="20"/>
                <w:szCs w:val="20"/>
              </w:rPr>
            </w:pPr>
          </w:p>
        </w:tc>
        <w:tc>
          <w:tcPr>
            <w:tcW w:w="3249" w:type="dxa"/>
          </w:tcPr>
          <w:p w:rsidR="00AE01D6" w:rsidRPr="00CA712C" w:rsidRDefault="00AE01D6" w:rsidP="007D62D6">
            <w:pPr>
              <w:spacing w:before="120" w:after="120"/>
              <w:rPr>
                <w:rFonts w:eastAsia="Times New Roman" w:cs="Times New Roman"/>
                <w:i/>
                <w:sz w:val="20"/>
                <w:szCs w:val="20"/>
              </w:rPr>
            </w:pPr>
            <w:r w:rsidRPr="00CA712C">
              <w:rPr>
                <w:rFonts w:eastAsia="Times New Roman" w:cs="Times New Roman"/>
                <w:sz w:val="20"/>
                <w:szCs w:val="20"/>
              </w:rPr>
              <w:t xml:space="preserve">Percentage of outcomes that have specific gender equality results reflected in the ROAR </w:t>
            </w:r>
            <w:r>
              <w:rPr>
                <w:rFonts w:eastAsia="Times New Roman" w:cs="Times New Roman"/>
                <w:i/>
                <w:sz w:val="20"/>
                <w:szCs w:val="20"/>
              </w:rPr>
              <w:t>(Source: RBx/OSG</w:t>
            </w:r>
            <w:r w:rsidRPr="00CA712C">
              <w:rPr>
                <w:rFonts w:eastAsia="Times New Roman" w:cs="Times New Roman"/>
                <w:i/>
                <w:sz w:val="20"/>
                <w:szCs w:val="20"/>
              </w:rPr>
              <w:t xml:space="preserve"> review</w:t>
            </w:r>
            <w:r>
              <w:rPr>
                <w:rFonts w:eastAsia="Times New Roman" w:cs="Times New Roman"/>
                <w:i/>
                <w:sz w:val="20"/>
                <w:szCs w:val="20"/>
              </w:rPr>
              <w:t xml:space="preserve"> of ROARs – Baseline: 67% based on 2011 ROAR</w:t>
            </w:r>
            <w:r w:rsidRPr="00CA712C">
              <w:rPr>
                <w:rFonts w:eastAsia="Times New Roman" w:cs="Times New Roman"/>
                <w:i/>
                <w:sz w:val="20"/>
                <w:szCs w:val="20"/>
              </w:rPr>
              <w:t>)</w:t>
            </w:r>
          </w:p>
        </w:tc>
        <w:tc>
          <w:tcPr>
            <w:tcW w:w="1530" w:type="dxa"/>
          </w:tcPr>
          <w:p w:rsidR="00AE01D6" w:rsidRPr="00470F67" w:rsidRDefault="00AE01D6" w:rsidP="009A0CE9">
            <w:pPr>
              <w:tabs>
                <w:tab w:val="left" w:pos="7020"/>
              </w:tabs>
              <w:spacing w:before="120" w:after="120"/>
              <w:jc w:val="center"/>
              <w:rPr>
                <w:rFonts w:cs="Times New Roman"/>
                <w:sz w:val="20"/>
                <w:szCs w:val="20"/>
              </w:rPr>
            </w:pPr>
            <w:r>
              <w:rPr>
                <w:rFonts w:cs="Times New Roman"/>
                <w:sz w:val="20"/>
                <w:szCs w:val="20"/>
              </w:rPr>
              <w:t>75%</w:t>
            </w:r>
          </w:p>
        </w:tc>
        <w:tc>
          <w:tcPr>
            <w:tcW w:w="6318" w:type="dxa"/>
          </w:tcPr>
          <w:p w:rsidR="00AE01D6" w:rsidRPr="00655506" w:rsidRDefault="00AE01D6" w:rsidP="002E0DDC">
            <w:pPr>
              <w:tabs>
                <w:tab w:val="left" w:pos="7020"/>
              </w:tabs>
              <w:spacing w:before="120" w:after="120"/>
              <w:rPr>
                <w:rFonts w:cs="Times New Roman"/>
                <w:sz w:val="20"/>
                <w:szCs w:val="20"/>
              </w:rPr>
            </w:pPr>
            <w:r w:rsidRPr="00655506">
              <w:rPr>
                <w:rFonts w:cs="Times New Roman"/>
                <w:sz w:val="20"/>
                <w:szCs w:val="20"/>
              </w:rPr>
              <w:t>Current indicator measure: 73%</w:t>
            </w:r>
          </w:p>
          <w:p w:rsidR="00AE01D6" w:rsidRPr="00655506" w:rsidRDefault="00AE01D6" w:rsidP="00AE01D6">
            <w:pPr>
              <w:tabs>
                <w:tab w:val="left" w:pos="7020"/>
              </w:tabs>
              <w:spacing w:before="120" w:after="120"/>
              <w:rPr>
                <w:rFonts w:cs="Times New Roman"/>
                <w:sz w:val="20"/>
                <w:szCs w:val="20"/>
              </w:rPr>
            </w:pPr>
            <w:r w:rsidRPr="00655506">
              <w:rPr>
                <w:rFonts w:cs="Times New Roman"/>
                <w:sz w:val="20"/>
                <w:szCs w:val="20"/>
              </w:rPr>
              <w:t>Gender results have been achieved in 73% of all country outcomes as reported in the 2013 ROAR</w:t>
            </w:r>
          </w:p>
        </w:tc>
      </w:tr>
      <w:tr w:rsidR="00AE01D6" w:rsidRPr="00CA712C">
        <w:tc>
          <w:tcPr>
            <w:tcW w:w="2079" w:type="dxa"/>
            <w:vMerge/>
            <w:vAlign w:val="center"/>
          </w:tcPr>
          <w:p w:rsidR="00AE01D6" w:rsidRPr="00CA712C" w:rsidRDefault="00AE01D6" w:rsidP="00BA40DA">
            <w:pPr>
              <w:spacing w:before="120" w:after="120"/>
              <w:rPr>
                <w:rFonts w:eastAsia="Times New Roman" w:cs="Times New Roman"/>
                <w:sz w:val="20"/>
                <w:szCs w:val="20"/>
              </w:rPr>
            </w:pPr>
          </w:p>
        </w:tc>
        <w:tc>
          <w:tcPr>
            <w:tcW w:w="3249" w:type="dxa"/>
          </w:tcPr>
          <w:p w:rsidR="00AE01D6" w:rsidRPr="00CA712C" w:rsidRDefault="00AE01D6" w:rsidP="00BA40DA">
            <w:pPr>
              <w:spacing w:before="120" w:after="120"/>
              <w:rPr>
                <w:rFonts w:eastAsia="Times New Roman" w:cs="Times New Roman"/>
                <w:i/>
                <w:sz w:val="20"/>
                <w:szCs w:val="20"/>
              </w:rPr>
            </w:pPr>
            <w:r w:rsidRPr="00CA712C">
              <w:rPr>
                <w:rFonts w:eastAsia="Times New Roman" w:cs="Times New Roman"/>
                <w:sz w:val="20"/>
                <w:szCs w:val="20"/>
              </w:rPr>
              <w:t xml:space="preserve">Percentage of partners that rate UNDP as effectively promoting gender equality and women’s empowerment </w:t>
            </w:r>
            <w:r>
              <w:rPr>
                <w:rFonts w:eastAsia="Times New Roman" w:cs="Times New Roman"/>
                <w:i/>
                <w:sz w:val="20"/>
                <w:szCs w:val="20"/>
              </w:rPr>
              <w:t>(source: Partnership S</w:t>
            </w:r>
            <w:r w:rsidRPr="00CA712C">
              <w:rPr>
                <w:rFonts w:eastAsia="Times New Roman" w:cs="Times New Roman"/>
                <w:i/>
                <w:sz w:val="20"/>
                <w:szCs w:val="20"/>
              </w:rPr>
              <w:t>urvey</w:t>
            </w:r>
            <w:r>
              <w:rPr>
                <w:rFonts w:eastAsia="Times New Roman" w:cs="Times New Roman"/>
                <w:i/>
                <w:sz w:val="20"/>
                <w:szCs w:val="20"/>
              </w:rPr>
              <w:t xml:space="preserve"> – Baseline: 67% rating 1 or 2</w:t>
            </w:r>
            <w:r w:rsidRPr="00CA712C">
              <w:rPr>
                <w:rFonts w:eastAsia="Times New Roman" w:cs="Times New Roman"/>
                <w:i/>
                <w:sz w:val="20"/>
                <w:szCs w:val="20"/>
              </w:rPr>
              <w:t>)</w:t>
            </w:r>
          </w:p>
        </w:tc>
        <w:tc>
          <w:tcPr>
            <w:tcW w:w="1530" w:type="dxa"/>
          </w:tcPr>
          <w:p w:rsidR="00AE01D6" w:rsidRPr="00470F67" w:rsidRDefault="00AE01D6" w:rsidP="009A0CE9">
            <w:pPr>
              <w:tabs>
                <w:tab w:val="left" w:pos="7020"/>
              </w:tabs>
              <w:spacing w:before="120" w:after="120"/>
              <w:jc w:val="center"/>
              <w:rPr>
                <w:rFonts w:cs="Times New Roman"/>
                <w:sz w:val="20"/>
                <w:szCs w:val="20"/>
              </w:rPr>
            </w:pPr>
            <w:r>
              <w:rPr>
                <w:rFonts w:cs="Times New Roman"/>
                <w:sz w:val="20"/>
                <w:szCs w:val="20"/>
              </w:rPr>
              <w:t>75%</w:t>
            </w:r>
          </w:p>
        </w:tc>
        <w:tc>
          <w:tcPr>
            <w:tcW w:w="6318" w:type="dxa"/>
          </w:tcPr>
          <w:p w:rsidR="00AE01D6" w:rsidRPr="00655506" w:rsidRDefault="00AE01D6" w:rsidP="005F739C">
            <w:pPr>
              <w:spacing w:before="120" w:after="120"/>
              <w:rPr>
                <w:rFonts w:eastAsia="Times New Roman" w:cs="Times New Roman"/>
                <w:sz w:val="20"/>
                <w:szCs w:val="20"/>
              </w:rPr>
            </w:pPr>
            <w:r w:rsidRPr="00655506">
              <w:rPr>
                <w:rFonts w:eastAsia="Times New Roman" w:cs="Times New Roman"/>
                <w:sz w:val="20"/>
                <w:szCs w:val="20"/>
              </w:rPr>
              <w:t>Current indicator measure: 66%</w:t>
            </w:r>
          </w:p>
          <w:p w:rsidR="00AE01D6" w:rsidRPr="00655506" w:rsidRDefault="00AE01D6" w:rsidP="00AE01D6">
            <w:pPr>
              <w:spacing w:before="120" w:after="120"/>
              <w:rPr>
                <w:rFonts w:eastAsia="Times New Roman" w:cs="Times New Roman"/>
                <w:sz w:val="20"/>
                <w:szCs w:val="20"/>
              </w:rPr>
            </w:pPr>
            <w:r w:rsidRPr="00655506">
              <w:rPr>
                <w:rFonts w:eastAsia="Times New Roman" w:cs="Times New Roman"/>
                <w:sz w:val="20"/>
                <w:szCs w:val="20"/>
              </w:rPr>
              <w:t>Data from 2012 Partners Survey</w:t>
            </w:r>
          </w:p>
        </w:tc>
      </w:tr>
      <w:tr w:rsidR="00AE01D6" w:rsidRPr="00CA712C">
        <w:trPr>
          <w:trHeight w:val="440"/>
        </w:trPr>
        <w:tc>
          <w:tcPr>
            <w:tcW w:w="2079" w:type="dxa"/>
            <w:vMerge w:val="restart"/>
            <w:tcBorders>
              <w:bottom w:val="single" w:sz="4" w:space="0" w:color="auto"/>
            </w:tcBorders>
          </w:tcPr>
          <w:p w:rsidR="00AE01D6" w:rsidRPr="00CA712C" w:rsidRDefault="00AE01D6" w:rsidP="00BA40DA">
            <w:pPr>
              <w:spacing w:before="120" w:after="120"/>
              <w:rPr>
                <w:rFonts w:eastAsia="Times New Roman" w:cs="Times New Roman"/>
                <w:sz w:val="20"/>
                <w:szCs w:val="20"/>
              </w:rPr>
            </w:pPr>
            <w:r w:rsidRPr="00CA712C">
              <w:rPr>
                <w:rFonts w:eastAsia="Times New Roman" w:cs="Times New Roman"/>
                <w:sz w:val="20"/>
                <w:szCs w:val="20"/>
              </w:rPr>
              <w:t>South-South and triangular partnerships fostered to contribute to the achievement of national development goals</w:t>
            </w:r>
          </w:p>
          <w:p w:rsidR="00AE01D6" w:rsidRPr="00CA712C" w:rsidRDefault="00AE01D6" w:rsidP="007C0B66">
            <w:pPr>
              <w:spacing w:before="120" w:after="120"/>
              <w:rPr>
                <w:rFonts w:eastAsia="Times New Roman" w:cs="Times New Roman"/>
                <w:b/>
                <w:sz w:val="20"/>
                <w:szCs w:val="20"/>
              </w:rPr>
            </w:pPr>
            <w:r w:rsidRPr="00CA712C">
              <w:rPr>
                <w:rFonts w:eastAsia="Times New Roman" w:cs="Times New Roman"/>
                <w:b/>
                <w:sz w:val="20"/>
                <w:szCs w:val="20"/>
              </w:rPr>
              <w:t>(Corporate sponsor – BDP/</w:t>
            </w:r>
            <w:r>
              <w:rPr>
                <w:rFonts w:eastAsia="Times New Roman" w:cs="Times New Roman"/>
                <w:b/>
                <w:sz w:val="20"/>
                <w:szCs w:val="20"/>
              </w:rPr>
              <w:t>BERA</w:t>
            </w:r>
            <w:r w:rsidRPr="00CA712C">
              <w:rPr>
                <w:rFonts w:eastAsia="Times New Roman" w:cs="Times New Roman"/>
                <w:b/>
                <w:sz w:val="20"/>
                <w:szCs w:val="20"/>
              </w:rPr>
              <w:t>)</w:t>
            </w:r>
          </w:p>
        </w:tc>
        <w:tc>
          <w:tcPr>
            <w:tcW w:w="3249" w:type="dxa"/>
            <w:tcBorders>
              <w:bottom w:val="single" w:sz="4" w:space="0" w:color="auto"/>
            </w:tcBorders>
          </w:tcPr>
          <w:p w:rsidR="00AE01D6" w:rsidRPr="00CA712C" w:rsidRDefault="00AE01D6" w:rsidP="00BA40DA">
            <w:pPr>
              <w:spacing w:before="120" w:after="120"/>
              <w:rPr>
                <w:rFonts w:eastAsia="Times New Roman" w:cs="Times New Roman"/>
                <w:sz w:val="20"/>
                <w:szCs w:val="20"/>
              </w:rPr>
            </w:pPr>
            <w:r w:rsidRPr="00CA712C">
              <w:rPr>
                <w:rFonts w:eastAsia="Times New Roman" w:cs="Times New Roman"/>
                <w:sz w:val="20"/>
                <w:szCs w:val="20"/>
              </w:rPr>
              <w:t>Percentage of uni</w:t>
            </w:r>
            <w:r>
              <w:rPr>
                <w:rFonts w:eastAsia="Times New Roman" w:cs="Times New Roman"/>
                <w:sz w:val="20"/>
                <w:szCs w:val="20"/>
              </w:rPr>
              <w:t>ts that in ROAR report results to which</w:t>
            </w:r>
            <w:r w:rsidRPr="00CA712C">
              <w:rPr>
                <w:rFonts w:eastAsia="Times New Roman" w:cs="Times New Roman"/>
                <w:sz w:val="20"/>
                <w:szCs w:val="20"/>
              </w:rPr>
              <w:t xml:space="preserve"> South-South cooperation contributed</w:t>
            </w:r>
          </w:p>
          <w:p w:rsidR="00AE01D6" w:rsidRPr="00CA712C" w:rsidRDefault="00AE01D6" w:rsidP="007D62D6">
            <w:pPr>
              <w:spacing w:before="120" w:after="120"/>
              <w:rPr>
                <w:rFonts w:eastAsia="Times New Roman" w:cs="Times New Roman"/>
                <w:i/>
                <w:sz w:val="20"/>
                <w:szCs w:val="20"/>
              </w:rPr>
            </w:pPr>
            <w:r w:rsidRPr="00CA712C">
              <w:rPr>
                <w:rFonts w:eastAsia="Times New Roman" w:cs="Times New Roman"/>
                <w:i/>
                <w:sz w:val="20"/>
                <w:szCs w:val="20"/>
              </w:rPr>
              <w:t>(Source: RBx/OSG review of ROARs</w:t>
            </w:r>
            <w:r>
              <w:rPr>
                <w:rFonts w:eastAsia="Times New Roman" w:cs="Times New Roman"/>
                <w:i/>
                <w:sz w:val="20"/>
                <w:szCs w:val="20"/>
              </w:rPr>
              <w:t xml:space="preserve"> – Baseline: 126 countries based on 2011 ROAR</w:t>
            </w:r>
            <w:r w:rsidRPr="00CA712C">
              <w:rPr>
                <w:rFonts w:eastAsia="Times New Roman" w:cs="Times New Roman"/>
                <w:i/>
                <w:sz w:val="20"/>
                <w:szCs w:val="20"/>
              </w:rPr>
              <w:t xml:space="preserve">) </w:t>
            </w:r>
          </w:p>
        </w:tc>
        <w:tc>
          <w:tcPr>
            <w:tcW w:w="1530" w:type="dxa"/>
            <w:tcBorders>
              <w:bottom w:val="single" w:sz="4" w:space="0" w:color="auto"/>
            </w:tcBorders>
          </w:tcPr>
          <w:p w:rsidR="00AE01D6" w:rsidRPr="00470F67" w:rsidRDefault="00AE01D6" w:rsidP="009A0CE9">
            <w:pPr>
              <w:tabs>
                <w:tab w:val="left" w:pos="7020"/>
              </w:tabs>
              <w:spacing w:before="120" w:after="120"/>
              <w:jc w:val="center"/>
              <w:rPr>
                <w:rFonts w:cs="Times New Roman"/>
                <w:sz w:val="20"/>
                <w:szCs w:val="20"/>
              </w:rPr>
            </w:pPr>
            <w:r>
              <w:rPr>
                <w:rFonts w:cs="Times New Roman"/>
                <w:sz w:val="20"/>
                <w:szCs w:val="20"/>
              </w:rPr>
              <w:t>Move to quality-based</w:t>
            </w:r>
          </w:p>
        </w:tc>
        <w:tc>
          <w:tcPr>
            <w:tcW w:w="6318" w:type="dxa"/>
            <w:tcBorders>
              <w:bottom w:val="single" w:sz="4" w:space="0" w:color="auto"/>
            </w:tcBorders>
          </w:tcPr>
          <w:p w:rsidR="00AE01D6" w:rsidRPr="00655506" w:rsidRDefault="00AE01D6" w:rsidP="00BA40DA">
            <w:pPr>
              <w:tabs>
                <w:tab w:val="left" w:pos="7020"/>
              </w:tabs>
              <w:spacing w:before="120" w:after="120"/>
              <w:rPr>
                <w:rFonts w:cs="Times New Roman"/>
                <w:sz w:val="20"/>
                <w:szCs w:val="20"/>
              </w:rPr>
            </w:pPr>
            <w:r w:rsidRPr="00655506">
              <w:rPr>
                <w:rFonts w:cs="Times New Roman"/>
                <w:sz w:val="20"/>
                <w:szCs w:val="20"/>
              </w:rPr>
              <w:t xml:space="preserve">Current indicator measure: 127 countries </w:t>
            </w:r>
          </w:p>
          <w:p w:rsidR="00AE01D6" w:rsidRPr="00655506" w:rsidRDefault="00AE01D6" w:rsidP="00AE01D6">
            <w:pPr>
              <w:tabs>
                <w:tab w:val="left" w:pos="7020"/>
              </w:tabs>
              <w:spacing w:before="120" w:after="120"/>
              <w:rPr>
                <w:rFonts w:cs="Times New Roman"/>
                <w:sz w:val="20"/>
                <w:szCs w:val="20"/>
              </w:rPr>
            </w:pPr>
            <w:r w:rsidRPr="00655506">
              <w:rPr>
                <w:rFonts w:cs="Times New Roman"/>
                <w:sz w:val="20"/>
                <w:szCs w:val="20"/>
              </w:rPr>
              <w:t>Based on 2013 ROAR data, UNDP is supporting some form of South-South and Triangular Cooperation exchange expertise or experience sharing in 127 countries, through 747 country-level outcomes. National governments were the primary partner institution in 81% of all exchanges, and for all direct country-to-country exchanges, the nature of support was through an exchange of expertise and experiences.</w:t>
            </w:r>
            <w:r w:rsidR="00395347">
              <w:rPr>
                <w:rFonts w:cs="Times New Roman"/>
                <w:sz w:val="20"/>
                <w:szCs w:val="20"/>
              </w:rPr>
              <w:t xml:space="preserve">  A full mapping and analysis of the reported data is being conducted as part of the follow-up to the 2013 independent evaluation of UNDP’s contribution to south-south and triangular cooperation, as an input into the development of an organizational strategy that will focus on relevance, impact, and quality of </w:t>
            </w:r>
            <w:r w:rsidR="00395347">
              <w:rPr>
                <w:rFonts w:cs="Times New Roman"/>
                <w:sz w:val="20"/>
                <w:szCs w:val="20"/>
              </w:rPr>
              <w:lastRenderedPageBreak/>
              <w:t>our engagement.</w:t>
            </w:r>
          </w:p>
        </w:tc>
      </w:tr>
      <w:tr w:rsidR="00AE01D6" w:rsidRPr="00CA712C">
        <w:tc>
          <w:tcPr>
            <w:tcW w:w="2079" w:type="dxa"/>
            <w:vMerge/>
            <w:vAlign w:val="center"/>
          </w:tcPr>
          <w:p w:rsidR="00AE01D6" w:rsidRPr="00CA712C" w:rsidRDefault="00AE01D6" w:rsidP="00BA40DA">
            <w:pPr>
              <w:spacing w:before="120" w:after="120"/>
              <w:rPr>
                <w:rFonts w:eastAsia="Times New Roman" w:cs="Times New Roman"/>
                <w:sz w:val="20"/>
                <w:szCs w:val="20"/>
              </w:rPr>
            </w:pPr>
          </w:p>
        </w:tc>
        <w:tc>
          <w:tcPr>
            <w:tcW w:w="3249" w:type="dxa"/>
          </w:tcPr>
          <w:p w:rsidR="00AE01D6" w:rsidRPr="00CA712C" w:rsidRDefault="00AE01D6" w:rsidP="00BA40DA">
            <w:pPr>
              <w:spacing w:before="120" w:after="120"/>
              <w:rPr>
                <w:rFonts w:eastAsia="Times New Roman" w:cs="Times New Roman"/>
                <w:sz w:val="20"/>
                <w:szCs w:val="20"/>
              </w:rPr>
            </w:pPr>
            <w:r w:rsidRPr="00CA712C">
              <w:rPr>
                <w:rFonts w:eastAsia="Times New Roman" w:cs="Times New Roman"/>
                <w:sz w:val="20"/>
                <w:szCs w:val="20"/>
              </w:rPr>
              <w:t>Percentage of partners rating UNDP interventions as effective in contributing to South-South cooperation</w:t>
            </w:r>
          </w:p>
          <w:p w:rsidR="00AE01D6" w:rsidRPr="00CA712C" w:rsidRDefault="00AE01D6" w:rsidP="00BA40DA">
            <w:pPr>
              <w:spacing w:before="120" w:after="120"/>
              <w:rPr>
                <w:rFonts w:eastAsia="Times New Roman" w:cs="Times New Roman"/>
                <w:i/>
                <w:sz w:val="20"/>
                <w:szCs w:val="20"/>
              </w:rPr>
            </w:pPr>
            <w:r w:rsidRPr="00CA712C">
              <w:rPr>
                <w:rFonts w:eastAsia="Times New Roman" w:cs="Times New Roman"/>
                <w:i/>
                <w:sz w:val="20"/>
                <w:szCs w:val="20"/>
              </w:rPr>
              <w:t>(Source: Partnership Survey</w:t>
            </w:r>
            <w:r>
              <w:rPr>
                <w:rFonts w:eastAsia="Times New Roman" w:cs="Times New Roman"/>
                <w:i/>
                <w:sz w:val="20"/>
                <w:szCs w:val="20"/>
              </w:rPr>
              <w:t xml:space="preserve"> – Baseline: 53% rating 1 or 2 for promoting South-South</w:t>
            </w:r>
            <w:r w:rsidRPr="00CA712C">
              <w:rPr>
                <w:rFonts w:eastAsia="Times New Roman" w:cs="Times New Roman"/>
                <w:i/>
                <w:sz w:val="20"/>
                <w:szCs w:val="20"/>
              </w:rPr>
              <w:t>)</w:t>
            </w:r>
          </w:p>
        </w:tc>
        <w:tc>
          <w:tcPr>
            <w:tcW w:w="1530" w:type="dxa"/>
          </w:tcPr>
          <w:p w:rsidR="00AE01D6" w:rsidRPr="00470F67" w:rsidRDefault="00AE01D6" w:rsidP="009A0CE9">
            <w:pPr>
              <w:tabs>
                <w:tab w:val="left" w:pos="7020"/>
              </w:tabs>
              <w:spacing w:before="120" w:after="120"/>
              <w:jc w:val="center"/>
              <w:rPr>
                <w:rFonts w:cs="Times New Roman"/>
                <w:sz w:val="20"/>
                <w:szCs w:val="20"/>
              </w:rPr>
            </w:pPr>
            <w:r>
              <w:rPr>
                <w:rFonts w:cs="Times New Roman"/>
                <w:sz w:val="20"/>
                <w:szCs w:val="20"/>
              </w:rPr>
              <w:t>65%</w:t>
            </w:r>
          </w:p>
        </w:tc>
        <w:tc>
          <w:tcPr>
            <w:tcW w:w="6318" w:type="dxa"/>
          </w:tcPr>
          <w:p w:rsidR="00AE01D6" w:rsidRPr="00655506" w:rsidRDefault="00AE01D6" w:rsidP="002E5259">
            <w:pPr>
              <w:spacing w:before="120" w:after="120"/>
              <w:rPr>
                <w:rFonts w:eastAsia="Times New Roman" w:cs="Times New Roman"/>
                <w:sz w:val="20"/>
                <w:szCs w:val="20"/>
              </w:rPr>
            </w:pPr>
            <w:r w:rsidRPr="00655506">
              <w:rPr>
                <w:rFonts w:eastAsia="Times New Roman" w:cs="Times New Roman"/>
                <w:sz w:val="20"/>
                <w:szCs w:val="20"/>
              </w:rPr>
              <w:t>Current indicator measure: 48%</w:t>
            </w:r>
          </w:p>
          <w:p w:rsidR="00AE01D6" w:rsidRPr="00655506" w:rsidRDefault="00AE01D6" w:rsidP="00DA3AE9">
            <w:pPr>
              <w:tabs>
                <w:tab w:val="left" w:pos="7020"/>
              </w:tabs>
              <w:spacing w:before="120" w:after="120"/>
              <w:rPr>
                <w:rFonts w:eastAsia="Times New Roman" w:cs="Times New Roman"/>
                <w:sz w:val="20"/>
                <w:szCs w:val="20"/>
              </w:rPr>
            </w:pPr>
            <w:r w:rsidRPr="00655506">
              <w:rPr>
                <w:rFonts w:eastAsia="Times New Roman" w:cs="Times New Roman"/>
                <w:sz w:val="20"/>
                <w:szCs w:val="20"/>
              </w:rPr>
              <w:t>Data from 2012 Partners Survey</w:t>
            </w:r>
          </w:p>
          <w:p w:rsidR="00AE01D6" w:rsidRPr="00655506" w:rsidRDefault="00AE01D6" w:rsidP="00DA3AE9">
            <w:pPr>
              <w:tabs>
                <w:tab w:val="left" w:pos="7020"/>
              </w:tabs>
              <w:spacing w:before="120" w:after="120"/>
              <w:rPr>
                <w:rFonts w:eastAsia="Times New Roman" w:cs="Times New Roman"/>
                <w:sz w:val="20"/>
                <w:szCs w:val="20"/>
              </w:rPr>
            </w:pPr>
            <w:r w:rsidRPr="00655506">
              <w:rPr>
                <w:rFonts w:eastAsia="Times New Roman" w:cs="Times New Roman"/>
                <w:sz w:val="20"/>
                <w:szCs w:val="20"/>
              </w:rPr>
              <w:t>The indicator measure reflects a question slightly rephrased for the 2012 Partnership Survey, rating effective promotion vs. effective contribution. 2012: “extent to which UNDP effectively promotes: Knowledge sharing, experience and solutions between programme countries (South-South cooperation)”</w:t>
            </w:r>
          </w:p>
          <w:p w:rsidR="00AE01D6" w:rsidRPr="00655506" w:rsidRDefault="00AE01D6" w:rsidP="00E3780C">
            <w:pPr>
              <w:spacing w:before="120" w:after="120"/>
              <w:rPr>
                <w:rFonts w:eastAsia="Times New Roman" w:cs="Times New Roman"/>
                <w:sz w:val="20"/>
                <w:szCs w:val="20"/>
              </w:rPr>
            </w:pPr>
            <w:r w:rsidRPr="00655506">
              <w:rPr>
                <w:rFonts w:eastAsia="Times New Roman" w:cs="Times New Roman"/>
                <w:sz w:val="20"/>
                <w:szCs w:val="20"/>
              </w:rPr>
              <w:t>Although bilateral donors and CSOs/NGOs rated more favourably (5 and 6 percentage points) compared to 2009, the overall rating declined by 5 percentage points</w:t>
            </w:r>
            <w:r w:rsidR="00E3780C">
              <w:rPr>
                <w:rFonts w:eastAsia="Times New Roman" w:cs="Times New Roman"/>
                <w:sz w:val="20"/>
                <w:szCs w:val="20"/>
              </w:rPr>
              <w:t xml:space="preserve"> in the 2012 survey</w:t>
            </w:r>
            <w:r w:rsidRPr="00655506">
              <w:rPr>
                <w:rFonts w:eastAsia="Times New Roman" w:cs="Times New Roman"/>
                <w:sz w:val="20"/>
                <w:szCs w:val="20"/>
              </w:rPr>
              <w:t>.</w:t>
            </w:r>
          </w:p>
        </w:tc>
      </w:tr>
    </w:tbl>
    <w:p w:rsidR="00AE01D6" w:rsidRDefault="00AE01D6" w:rsidP="00325B07">
      <w:pPr>
        <w:spacing w:before="120" w:after="240" w:line="240" w:lineRule="auto"/>
        <w:rPr>
          <w:b/>
        </w:rPr>
      </w:pPr>
    </w:p>
    <w:p w:rsidR="00A23B8C" w:rsidRDefault="00A23B8C" w:rsidP="00A23B8C">
      <w:pPr>
        <w:ind w:left="1170" w:hanging="1170"/>
        <w:rPr>
          <w:b/>
        </w:rPr>
      </w:pPr>
    </w:p>
    <w:p w:rsidR="006153EF" w:rsidRPr="00845754" w:rsidRDefault="00A23B8C" w:rsidP="006153EF">
      <w:pPr>
        <w:rPr>
          <w:b/>
          <w:sz w:val="2"/>
        </w:rPr>
      </w:pPr>
      <w:r>
        <w:rPr>
          <w:b/>
        </w:rPr>
        <w:br w:type="page"/>
      </w:r>
    </w:p>
    <w:p w:rsidR="006153EF" w:rsidRDefault="006153EF" w:rsidP="006153EF">
      <w:pPr>
        <w:rPr>
          <w:b/>
          <w:sz w:val="24"/>
        </w:rPr>
      </w:pPr>
      <w:r w:rsidRPr="00730D6C">
        <w:rPr>
          <w:b/>
          <w:sz w:val="24"/>
        </w:rPr>
        <w:lastRenderedPageBreak/>
        <w:t>Annex I</w:t>
      </w:r>
      <w:r>
        <w:rPr>
          <w:b/>
          <w:sz w:val="24"/>
        </w:rPr>
        <w:t>II</w:t>
      </w:r>
      <w:r w:rsidRPr="00730D6C">
        <w:rPr>
          <w:b/>
          <w:sz w:val="24"/>
        </w:rPr>
        <w:t>:</w:t>
      </w:r>
      <w:r w:rsidRPr="00730D6C">
        <w:rPr>
          <w:b/>
          <w:sz w:val="24"/>
        </w:rPr>
        <w:tab/>
      </w:r>
      <w:r>
        <w:rPr>
          <w:b/>
          <w:sz w:val="24"/>
        </w:rPr>
        <w:t>Institutional results</w:t>
      </w:r>
    </w:p>
    <w:p w:rsidR="005001C6" w:rsidRPr="006153EF" w:rsidRDefault="006153EF" w:rsidP="006153EF">
      <w:pPr>
        <w:numPr>
          <w:ilvl w:val="0"/>
          <w:numId w:val="39"/>
        </w:numPr>
        <w:tabs>
          <w:tab w:val="left" w:pos="1080"/>
          <w:tab w:val="right" w:pos="12960"/>
        </w:tabs>
        <w:spacing w:before="120" w:after="240" w:line="240" w:lineRule="auto"/>
        <w:ind w:left="360"/>
        <w:rPr>
          <w:b/>
        </w:rPr>
      </w:pPr>
      <w:r>
        <w:rPr>
          <w:b/>
        </w:rPr>
        <w:t>Management results framework</w:t>
      </w:r>
    </w:p>
    <w:tbl>
      <w:tblPr>
        <w:tblStyle w:val="TableGrid"/>
        <w:tblW w:w="13176" w:type="dxa"/>
        <w:tblLook w:val="04A0" w:firstRow="1" w:lastRow="0" w:firstColumn="1" w:lastColumn="0" w:noHBand="0" w:noVBand="1"/>
      </w:tblPr>
      <w:tblGrid>
        <w:gridCol w:w="1680"/>
        <w:gridCol w:w="3116"/>
        <w:gridCol w:w="1877"/>
        <w:gridCol w:w="6503"/>
      </w:tblGrid>
      <w:tr w:rsidR="002E0DDC" w:rsidRPr="00CA712C">
        <w:trPr>
          <w:tblHeader/>
        </w:trPr>
        <w:tc>
          <w:tcPr>
            <w:tcW w:w="1680" w:type="dxa"/>
            <w:tcBorders>
              <w:bottom w:val="single" w:sz="4" w:space="0" w:color="auto"/>
            </w:tcBorders>
            <w:shd w:val="clear" w:color="auto" w:fill="D9D9D9" w:themeFill="background1" w:themeFillShade="D9"/>
            <w:vAlign w:val="bottom"/>
          </w:tcPr>
          <w:p w:rsidR="002E0DDC" w:rsidRPr="00CA712C" w:rsidRDefault="002E0DDC" w:rsidP="00BA40DA">
            <w:pPr>
              <w:tabs>
                <w:tab w:val="left" w:pos="7020"/>
              </w:tabs>
              <w:spacing w:before="120" w:after="120"/>
              <w:jc w:val="center"/>
              <w:rPr>
                <w:rFonts w:cs="Times New Roman"/>
                <w:b/>
                <w:sz w:val="20"/>
                <w:szCs w:val="20"/>
              </w:rPr>
            </w:pPr>
            <w:r w:rsidRPr="00CA712C">
              <w:rPr>
                <w:rFonts w:cs="Times New Roman"/>
                <w:b/>
                <w:sz w:val="20"/>
                <w:szCs w:val="20"/>
              </w:rPr>
              <w:t>Outputs</w:t>
            </w:r>
          </w:p>
        </w:tc>
        <w:tc>
          <w:tcPr>
            <w:tcW w:w="3116" w:type="dxa"/>
            <w:tcBorders>
              <w:bottom w:val="single" w:sz="4" w:space="0" w:color="auto"/>
            </w:tcBorders>
            <w:shd w:val="clear" w:color="auto" w:fill="D9D9D9" w:themeFill="background1" w:themeFillShade="D9"/>
            <w:vAlign w:val="bottom"/>
          </w:tcPr>
          <w:p w:rsidR="002E0DDC" w:rsidRPr="00CA712C" w:rsidRDefault="002E0DDC" w:rsidP="00BA40DA">
            <w:pPr>
              <w:tabs>
                <w:tab w:val="left" w:pos="7020"/>
              </w:tabs>
              <w:spacing w:before="120" w:after="120"/>
              <w:jc w:val="center"/>
              <w:rPr>
                <w:rFonts w:cs="Times New Roman"/>
                <w:b/>
                <w:sz w:val="20"/>
                <w:szCs w:val="20"/>
              </w:rPr>
            </w:pPr>
            <w:r w:rsidRPr="00CA712C">
              <w:rPr>
                <w:rFonts w:cs="Times New Roman"/>
                <w:b/>
                <w:sz w:val="20"/>
                <w:szCs w:val="20"/>
              </w:rPr>
              <w:t>Output indicators</w:t>
            </w:r>
            <w:r>
              <w:rPr>
                <w:rFonts w:cs="Times New Roman"/>
                <w:b/>
                <w:sz w:val="20"/>
                <w:szCs w:val="20"/>
              </w:rPr>
              <w:t>; baseline refers to 2010 unless otherwise stated</w:t>
            </w:r>
          </w:p>
        </w:tc>
        <w:tc>
          <w:tcPr>
            <w:tcW w:w="1877" w:type="dxa"/>
            <w:tcBorders>
              <w:bottom w:val="single" w:sz="4" w:space="0" w:color="auto"/>
            </w:tcBorders>
            <w:shd w:val="clear" w:color="auto" w:fill="D9D9D9" w:themeFill="background1" w:themeFillShade="D9"/>
            <w:vAlign w:val="bottom"/>
          </w:tcPr>
          <w:p w:rsidR="002E0DDC" w:rsidRPr="00CA712C" w:rsidRDefault="002E0DDC" w:rsidP="00BA40DA">
            <w:pPr>
              <w:tabs>
                <w:tab w:val="left" w:pos="7020"/>
              </w:tabs>
              <w:spacing w:before="120" w:after="120"/>
              <w:jc w:val="center"/>
              <w:rPr>
                <w:rFonts w:cs="Times New Roman"/>
                <w:b/>
                <w:sz w:val="20"/>
                <w:szCs w:val="20"/>
              </w:rPr>
            </w:pPr>
            <w:r w:rsidRPr="00CA712C">
              <w:rPr>
                <w:rFonts w:cs="Times New Roman"/>
                <w:b/>
                <w:sz w:val="20"/>
                <w:szCs w:val="20"/>
              </w:rPr>
              <w:t>Target 2013</w:t>
            </w:r>
          </w:p>
        </w:tc>
        <w:tc>
          <w:tcPr>
            <w:tcW w:w="6503" w:type="dxa"/>
            <w:shd w:val="clear" w:color="auto" w:fill="D9D9D9" w:themeFill="background1" w:themeFillShade="D9"/>
            <w:vAlign w:val="bottom"/>
          </w:tcPr>
          <w:p w:rsidR="002E0DDC" w:rsidRDefault="002E0DDC" w:rsidP="00BA40DA">
            <w:pPr>
              <w:tabs>
                <w:tab w:val="left" w:pos="7020"/>
              </w:tabs>
              <w:spacing w:before="120" w:after="120"/>
              <w:jc w:val="center"/>
              <w:rPr>
                <w:rFonts w:cs="Times New Roman"/>
                <w:b/>
                <w:sz w:val="20"/>
                <w:szCs w:val="20"/>
              </w:rPr>
            </w:pPr>
            <w:r>
              <w:rPr>
                <w:rFonts w:cs="Times New Roman"/>
                <w:b/>
                <w:sz w:val="20"/>
                <w:szCs w:val="20"/>
              </w:rPr>
              <w:t>Progress against targets</w:t>
            </w:r>
          </w:p>
        </w:tc>
      </w:tr>
      <w:tr w:rsidR="002E0DDC" w:rsidRPr="00CA712C">
        <w:trPr>
          <w:tblHeader/>
        </w:trPr>
        <w:tc>
          <w:tcPr>
            <w:tcW w:w="13176" w:type="dxa"/>
            <w:gridSpan w:val="4"/>
            <w:shd w:val="clear" w:color="auto" w:fill="F2F2F2" w:themeFill="background1" w:themeFillShade="F2"/>
          </w:tcPr>
          <w:p w:rsidR="002E0DDC" w:rsidRPr="00720EA9" w:rsidRDefault="002E0DDC" w:rsidP="00BA40DA">
            <w:pPr>
              <w:tabs>
                <w:tab w:val="left" w:pos="7020"/>
              </w:tabs>
              <w:spacing w:before="120" w:after="120"/>
              <w:rPr>
                <w:rFonts w:cs="Times New Roman"/>
                <w:b/>
                <w:szCs w:val="20"/>
              </w:rPr>
            </w:pPr>
            <w:r w:rsidRPr="00720EA9">
              <w:rPr>
                <w:rFonts w:cs="Times New Roman"/>
                <w:b/>
                <w:szCs w:val="20"/>
              </w:rPr>
              <w:t>Management recurring</w:t>
            </w:r>
          </w:p>
        </w:tc>
      </w:tr>
      <w:tr w:rsidR="002E0DDC" w:rsidRPr="00CA712C">
        <w:tc>
          <w:tcPr>
            <w:tcW w:w="1680" w:type="dxa"/>
            <w:vMerge w:val="restart"/>
          </w:tcPr>
          <w:p w:rsidR="002E0DDC" w:rsidRPr="00CA712C" w:rsidRDefault="002E0DDC" w:rsidP="00BA40DA">
            <w:pPr>
              <w:spacing w:before="120" w:after="120"/>
              <w:rPr>
                <w:rFonts w:eastAsia="Times New Roman" w:cs="Times New Roman"/>
                <w:sz w:val="20"/>
                <w:szCs w:val="20"/>
              </w:rPr>
            </w:pPr>
            <w:r w:rsidRPr="00CA712C">
              <w:rPr>
                <w:rFonts w:eastAsia="Times New Roman" w:cs="Times New Roman"/>
                <w:sz w:val="20"/>
                <w:szCs w:val="20"/>
              </w:rPr>
              <w:t>Effective leadership and direction provided to advance the mandate and mission of UNDP</w:t>
            </w:r>
          </w:p>
          <w:p w:rsidR="002E0DDC" w:rsidRPr="00CA712C" w:rsidRDefault="002E0DDC" w:rsidP="00BA40DA">
            <w:pPr>
              <w:spacing w:before="120" w:after="120"/>
              <w:rPr>
                <w:rFonts w:eastAsia="Times New Roman" w:cs="Times New Roman"/>
                <w:sz w:val="20"/>
                <w:szCs w:val="20"/>
              </w:rPr>
            </w:pPr>
            <w:r w:rsidRPr="00CA712C">
              <w:rPr>
                <w:rFonts w:eastAsia="Times New Roman" w:cs="Times New Roman"/>
                <w:b/>
                <w:sz w:val="20"/>
                <w:szCs w:val="20"/>
              </w:rPr>
              <w:t>(Corporate sponsor – ExO)</w:t>
            </w:r>
          </w:p>
        </w:tc>
        <w:tc>
          <w:tcPr>
            <w:tcW w:w="3116" w:type="dxa"/>
          </w:tcPr>
          <w:p w:rsidR="002E0DDC" w:rsidRPr="00CA712C" w:rsidRDefault="002E0DDC" w:rsidP="00BA40DA">
            <w:pPr>
              <w:spacing w:before="120" w:after="120"/>
              <w:rPr>
                <w:rFonts w:eastAsia="Times New Roman" w:cs="Times New Roman"/>
                <w:sz w:val="20"/>
                <w:szCs w:val="20"/>
              </w:rPr>
            </w:pPr>
            <w:r w:rsidRPr="00CA712C">
              <w:rPr>
                <w:rFonts w:eastAsia="Times New Roman" w:cs="Times New Roman"/>
                <w:sz w:val="20"/>
                <w:szCs w:val="20"/>
              </w:rPr>
              <w:t>Degree to which Strategic Plan institutional results are achieved</w:t>
            </w:r>
          </w:p>
          <w:p w:rsidR="002E0DDC" w:rsidRPr="00CA712C" w:rsidRDefault="002E0DDC" w:rsidP="00BA40DA">
            <w:pPr>
              <w:spacing w:before="120" w:after="120"/>
              <w:rPr>
                <w:rFonts w:eastAsia="Times New Roman" w:cs="Times New Roman"/>
                <w:i/>
                <w:sz w:val="20"/>
                <w:szCs w:val="20"/>
              </w:rPr>
            </w:pPr>
            <w:r w:rsidRPr="00CA712C">
              <w:rPr>
                <w:rFonts w:eastAsia="Times New Roman" w:cs="Times New Roman"/>
                <w:i/>
                <w:sz w:val="20"/>
                <w:szCs w:val="20"/>
              </w:rPr>
              <w:t>(Source: Annual Report of the Administrator on the Strategic Plan</w:t>
            </w:r>
          </w:p>
          <w:p w:rsidR="002E0DDC" w:rsidRPr="00916357" w:rsidRDefault="002E0DDC" w:rsidP="00BA40DA">
            <w:pPr>
              <w:spacing w:before="120" w:after="120"/>
              <w:rPr>
                <w:rFonts w:ascii="Calibri" w:eastAsia="Times New Roman" w:hAnsi="Calibri" w:cs="Times New Roman"/>
                <w:i/>
                <w:sz w:val="20"/>
                <w:szCs w:val="20"/>
              </w:rPr>
            </w:pPr>
            <w:r w:rsidRPr="00CA712C">
              <w:rPr>
                <w:rFonts w:eastAsia="Times New Roman" w:cs="Times New Roman"/>
                <w:i/>
                <w:sz w:val="20"/>
                <w:szCs w:val="20"/>
              </w:rPr>
              <w:t xml:space="preserve">Baseline: </w:t>
            </w:r>
            <w:r w:rsidRPr="00F62A9C">
              <w:rPr>
                <w:rFonts w:ascii="Calibri" w:eastAsia="Times New Roman" w:hAnsi="Calibri" w:cs="Times New Roman"/>
                <w:i/>
                <w:sz w:val="20"/>
                <w:szCs w:val="20"/>
              </w:rPr>
              <w:t xml:space="preserve">40% </w:t>
            </w:r>
            <w:bookmarkStart w:id="1" w:name="OLE_LINK108"/>
            <w:bookmarkStart w:id="2" w:name="OLE_LINK109"/>
            <w:r w:rsidRPr="00F62A9C">
              <w:rPr>
                <w:rFonts w:ascii="Calibri" w:eastAsia="Times New Roman" w:hAnsi="Calibri" w:cs="Times New Roman"/>
                <w:i/>
                <w:sz w:val="20"/>
                <w:szCs w:val="20"/>
              </w:rPr>
              <w:t xml:space="preserve">of the Strategic Plan institutional results </w:t>
            </w:r>
            <w:bookmarkEnd w:id="1"/>
            <w:bookmarkEnd w:id="2"/>
            <w:r>
              <w:rPr>
                <w:rFonts w:ascii="Calibri" w:eastAsia="Times New Roman" w:hAnsi="Calibri" w:cs="Times New Roman"/>
                <w:i/>
                <w:sz w:val="20"/>
                <w:szCs w:val="20"/>
              </w:rPr>
              <w:t xml:space="preserve">achieved, </w:t>
            </w:r>
            <w:r w:rsidRPr="00F62A9C">
              <w:rPr>
                <w:rFonts w:ascii="Calibri" w:eastAsia="Times New Roman" w:hAnsi="Calibri" w:cs="Times New Roman"/>
                <w:i/>
                <w:sz w:val="20"/>
                <w:szCs w:val="20"/>
              </w:rPr>
              <w:t>40% partially achieved</w:t>
            </w:r>
            <w:r>
              <w:rPr>
                <w:rFonts w:ascii="Calibri" w:eastAsia="Times New Roman" w:hAnsi="Calibri" w:cs="Times New Roman"/>
                <w:i/>
                <w:sz w:val="20"/>
                <w:szCs w:val="20"/>
              </w:rPr>
              <w:t xml:space="preserve">, </w:t>
            </w:r>
            <w:r w:rsidRPr="00F62A9C">
              <w:rPr>
                <w:rFonts w:ascii="Calibri" w:eastAsia="Times New Roman" w:hAnsi="Calibri" w:cs="Times New Roman"/>
                <w:i/>
                <w:sz w:val="20"/>
                <w:szCs w:val="20"/>
              </w:rPr>
              <w:t>4% not achieved</w:t>
            </w:r>
            <w:r>
              <w:rPr>
                <w:rStyle w:val="FootnoteReference"/>
                <w:rFonts w:ascii="Calibri" w:hAnsi="Calibri" w:cs="Times New Roman"/>
              </w:rPr>
              <w:footnoteReference w:id="5"/>
            </w:r>
            <w:r>
              <w:rPr>
                <w:rFonts w:ascii="Calibri" w:eastAsia="Times New Roman" w:hAnsi="Calibri" w:cs="Times New Roman"/>
                <w:sz w:val="20"/>
                <w:szCs w:val="20"/>
              </w:rPr>
              <w:t>)</w:t>
            </w:r>
          </w:p>
        </w:tc>
        <w:tc>
          <w:tcPr>
            <w:tcW w:w="1877" w:type="dxa"/>
          </w:tcPr>
          <w:p w:rsidR="002E0DDC" w:rsidRPr="00CA712C" w:rsidRDefault="002E0DDC" w:rsidP="00BA40DA">
            <w:pPr>
              <w:spacing w:before="120" w:after="120"/>
              <w:jc w:val="center"/>
              <w:rPr>
                <w:rFonts w:eastAsia="Times New Roman" w:cs="Times New Roman"/>
                <w:sz w:val="20"/>
                <w:szCs w:val="20"/>
              </w:rPr>
            </w:pPr>
            <w:r>
              <w:rPr>
                <w:rFonts w:eastAsia="Times New Roman" w:cs="Times New Roman"/>
                <w:sz w:val="20"/>
                <w:szCs w:val="20"/>
              </w:rPr>
              <w:t>85</w:t>
            </w:r>
            <w:r w:rsidRPr="00CA712C">
              <w:rPr>
                <w:rFonts w:eastAsia="Times New Roman" w:cs="Times New Roman"/>
                <w:sz w:val="20"/>
                <w:szCs w:val="20"/>
              </w:rPr>
              <w:t>% achieved</w:t>
            </w:r>
          </w:p>
          <w:p w:rsidR="002E0DDC" w:rsidRPr="00CA712C" w:rsidRDefault="002E0DDC" w:rsidP="00BA40DA">
            <w:pPr>
              <w:spacing w:before="120" w:after="120"/>
              <w:jc w:val="center"/>
              <w:rPr>
                <w:rFonts w:eastAsia="Times New Roman" w:cs="Times New Roman"/>
                <w:b/>
                <w:sz w:val="20"/>
                <w:szCs w:val="20"/>
              </w:rPr>
            </w:pPr>
            <w:r w:rsidRPr="00CA712C">
              <w:rPr>
                <w:rFonts w:eastAsia="Times New Roman" w:cs="Times New Roman"/>
                <w:sz w:val="20"/>
                <w:szCs w:val="20"/>
              </w:rPr>
              <w:t>10% partially achieved</w:t>
            </w:r>
          </w:p>
        </w:tc>
        <w:tc>
          <w:tcPr>
            <w:tcW w:w="6503" w:type="dxa"/>
          </w:tcPr>
          <w:p w:rsidR="002E0DDC" w:rsidRPr="00D96C25" w:rsidRDefault="00705C52" w:rsidP="00705C52">
            <w:pPr>
              <w:tabs>
                <w:tab w:val="left" w:pos="2417"/>
              </w:tabs>
              <w:spacing w:before="120" w:after="120"/>
              <w:rPr>
                <w:rFonts w:eastAsia="Times New Roman" w:cs="Times New Roman"/>
                <w:sz w:val="20"/>
                <w:szCs w:val="20"/>
              </w:rPr>
            </w:pPr>
            <w:r w:rsidRPr="00D96C25">
              <w:rPr>
                <w:rFonts w:eastAsia="Times New Roman" w:cs="Times New Roman"/>
                <w:sz w:val="20"/>
                <w:szCs w:val="20"/>
              </w:rPr>
              <w:t xml:space="preserve">Current indicator measure: </w:t>
            </w:r>
            <w:r w:rsidR="00D96C25" w:rsidRPr="00D96C25">
              <w:rPr>
                <w:rFonts w:eastAsia="Times New Roman" w:cs="Times New Roman"/>
                <w:sz w:val="20"/>
                <w:szCs w:val="20"/>
              </w:rPr>
              <w:tab/>
            </w:r>
            <w:r w:rsidRPr="00D96C25">
              <w:rPr>
                <w:rFonts w:eastAsia="Times New Roman" w:cs="Times New Roman"/>
                <w:sz w:val="20"/>
                <w:szCs w:val="20"/>
              </w:rPr>
              <w:t>5</w:t>
            </w:r>
            <w:r w:rsidR="002E0DDC" w:rsidRPr="00D96C25">
              <w:rPr>
                <w:rFonts w:eastAsia="Times New Roman" w:cs="Times New Roman"/>
                <w:sz w:val="20"/>
                <w:szCs w:val="20"/>
              </w:rPr>
              <w:t>8%</w:t>
            </w:r>
            <w:r w:rsidR="00D96C25" w:rsidRPr="00D96C25">
              <w:rPr>
                <w:rFonts w:eastAsia="Times New Roman" w:cs="Times New Roman"/>
                <w:sz w:val="20"/>
                <w:szCs w:val="20"/>
              </w:rPr>
              <w:t xml:space="preserve"> achieved</w:t>
            </w:r>
            <w:r w:rsidR="00D96C25" w:rsidRPr="00D96C25">
              <w:rPr>
                <w:rFonts w:eastAsia="Times New Roman" w:cs="Times New Roman"/>
                <w:sz w:val="20"/>
                <w:szCs w:val="20"/>
              </w:rPr>
              <w:br/>
            </w:r>
            <w:r w:rsidR="00D96C25" w:rsidRPr="00D96C25">
              <w:rPr>
                <w:rFonts w:eastAsia="Times New Roman" w:cs="Times New Roman"/>
                <w:sz w:val="20"/>
                <w:szCs w:val="20"/>
              </w:rPr>
              <w:tab/>
              <w:t>5% partially achieved</w:t>
            </w:r>
          </w:p>
          <w:p w:rsidR="002E0DDC" w:rsidRPr="00D96C25" w:rsidRDefault="005A4328" w:rsidP="00152FE1">
            <w:pPr>
              <w:spacing w:before="120" w:after="120"/>
              <w:rPr>
                <w:rFonts w:eastAsia="Times New Roman" w:cs="Times New Roman"/>
                <w:sz w:val="20"/>
                <w:szCs w:val="20"/>
              </w:rPr>
            </w:pPr>
            <w:r>
              <w:rPr>
                <w:sz w:val="20"/>
                <w:szCs w:val="20"/>
              </w:rPr>
              <w:t xml:space="preserve">The current indicator measurement represents the percentage of institutional results output indicators meeting or exceeding their 2013 target values. Of 19 indicators with quantitative targets and measures, 11 meet or exceed their 2013 target values.  </w:t>
            </w:r>
            <w:r w:rsidR="007144CC">
              <w:rPr>
                <w:sz w:val="20"/>
                <w:szCs w:val="20"/>
              </w:rPr>
              <w:t xml:space="preserve">This indicator shows a </w:t>
            </w:r>
            <w:r>
              <w:rPr>
                <w:sz w:val="20"/>
                <w:szCs w:val="20"/>
              </w:rPr>
              <w:t>percentage decrease compared to the figures for 2012 that is refle</w:t>
            </w:r>
            <w:r w:rsidR="00152FE1">
              <w:rPr>
                <w:sz w:val="20"/>
                <w:szCs w:val="20"/>
              </w:rPr>
              <w:t xml:space="preserve">ctive of the small sample size </w:t>
            </w:r>
            <w:r>
              <w:rPr>
                <w:sz w:val="20"/>
                <w:szCs w:val="20"/>
              </w:rPr>
              <w:t>(13 indicators in 2012 versus 11 in 2013).      Factors contributing to this downward adjustment from the previous years include a sharply increased target for new and strategic partnerships with emerging global powers that was not met as well as three output indicators that missed their targets by one, two, and 2.2 per cent respectively. </w:t>
            </w:r>
          </w:p>
        </w:tc>
      </w:tr>
      <w:tr w:rsidR="002E0DDC" w:rsidRPr="00CA712C">
        <w:trPr>
          <w:trHeight w:val="1752"/>
        </w:trPr>
        <w:tc>
          <w:tcPr>
            <w:tcW w:w="1680" w:type="dxa"/>
            <w:vMerge/>
          </w:tcPr>
          <w:p w:rsidR="002E0DDC" w:rsidRPr="00CA712C" w:rsidRDefault="002E0DDC" w:rsidP="00BA40DA">
            <w:pPr>
              <w:spacing w:before="120" w:after="120"/>
              <w:rPr>
                <w:rFonts w:cs="Times New Roman"/>
                <w:sz w:val="20"/>
                <w:szCs w:val="20"/>
              </w:rPr>
            </w:pPr>
          </w:p>
        </w:tc>
        <w:tc>
          <w:tcPr>
            <w:tcW w:w="3116" w:type="dxa"/>
          </w:tcPr>
          <w:p w:rsidR="002E0DDC" w:rsidRPr="00CA712C" w:rsidRDefault="002E0DDC" w:rsidP="00BA40DA">
            <w:pPr>
              <w:spacing w:before="120" w:after="120"/>
              <w:rPr>
                <w:rFonts w:eastAsia="Times New Roman" w:cs="Times New Roman"/>
                <w:sz w:val="20"/>
                <w:szCs w:val="20"/>
              </w:rPr>
            </w:pPr>
            <w:r w:rsidRPr="00CA712C">
              <w:rPr>
                <w:rFonts w:eastAsia="Times New Roman" w:cs="Times New Roman"/>
                <w:sz w:val="20"/>
                <w:szCs w:val="20"/>
              </w:rPr>
              <w:t>Percentage of partners perceiving UNDP as an effective contributor to the focus areas</w:t>
            </w:r>
          </w:p>
          <w:p w:rsidR="002E0DDC" w:rsidRPr="00CA712C" w:rsidRDefault="002E0DDC" w:rsidP="003B6600">
            <w:pPr>
              <w:pStyle w:val="ListParagraph"/>
              <w:numPr>
                <w:ilvl w:val="0"/>
                <w:numId w:val="1"/>
              </w:numPr>
              <w:spacing w:before="20" w:after="20"/>
              <w:contextualSpacing w:val="0"/>
              <w:rPr>
                <w:rFonts w:eastAsia="Times New Roman" w:cs="Times New Roman"/>
                <w:i/>
                <w:sz w:val="20"/>
                <w:szCs w:val="20"/>
              </w:rPr>
            </w:pPr>
            <w:bookmarkStart w:id="5" w:name="OLE_LINK74"/>
            <w:bookmarkStart w:id="6" w:name="OLE_LINK75"/>
            <w:r w:rsidRPr="00CA712C">
              <w:rPr>
                <w:rFonts w:eastAsia="Times New Roman" w:cs="Times New Roman"/>
                <w:sz w:val="20"/>
                <w:szCs w:val="20"/>
              </w:rPr>
              <w:t>MDGs</w:t>
            </w:r>
            <w:bookmarkEnd w:id="5"/>
            <w:bookmarkEnd w:id="6"/>
            <w:r w:rsidRPr="00CA712C">
              <w:rPr>
                <w:rFonts w:eastAsia="Times New Roman" w:cs="Times New Roman"/>
                <w:sz w:val="20"/>
                <w:szCs w:val="20"/>
              </w:rPr>
              <w:t xml:space="preserve">, Poverty </w:t>
            </w:r>
            <w:r w:rsidRPr="00CA712C">
              <w:rPr>
                <w:rFonts w:eastAsia="Times New Roman" w:cs="Times New Roman"/>
                <w:i/>
                <w:sz w:val="20"/>
                <w:szCs w:val="20"/>
              </w:rPr>
              <w:t>(Baseline: 72%, 53% respectively)</w:t>
            </w:r>
          </w:p>
          <w:p w:rsidR="002E0DDC" w:rsidRPr="00CA712C" w:rsidRDefault="002E0DDC" w:rsidP="003B6600">
            <w:pPr>
              <w:pStyle w:val="ListParagraph"/>
              <w:numPr>
                <w:ilvl w:val="0"/>
                <w:numId w:val="1"/>
              </w:numPr>
              <w:spacing w:before="20" w:after="20"/>
              <w:contextualSpacing w:val="0"/>
              <w:rPr>
                <w:rFonts w:eastAsia="Times New Roman" w:cs="Times New Roman"/>
                <w:i/>
                <w:sz w:val="20"/>
                <w:szCs w:val="20"/>
              </w:rPr>
            </w:pPr>
            <w:r w:rsidRPr="00CA712C">
              <w:rPr>
                <w:rFonts w:eastAsia="Times New Roman" w:cs="Times New Roman"/>
                <w:sz w:val="20"/>
                <w:szCs w:val="20"/>
              </w:rPr>
              <w:t xml:space="preserve">Democratic Governance </w:t>
            </w:r>
            <w:r w:rsidRPr="00CA712C">
              <w:rPr>
                <w:rFonts w:eastAsia="Times New Roman" w:cs="Times New Roman"/>
                <w:i/>
                <w:sz w:val="20"/>
                <w:szCs w:val="20"/>
              </w:rPr>
              <w:t>(Baseline: 60%)</w:t>
            </w:r>
          </w:p>
          <w:p w:rsidR="002E0DDC" w:rsidRPr="00CA712C" w:rsidRDefault="002E0DDC" w:rsidP="003B6600">
            <w:pPr>
              <w:pStyle w:val="ListParagraph"/>
              <w:numPr>
                <w:ilvl w:val="0"/>
                <w:numId w:val="1"/>
              </w:numPr>
              <w:spacing w:before="20" w:after="20"/>
              <w:contextualSpacing w:val="0"/>
              <w:rPr>
                <w:rFonts w:eastAsia="Times New Roman" w:cs="Times New Roman"/>
                <w:i/>
                <w:sz w:val="20"/>
                <w:szCs w:val="20"/>
              </w:rPr>
            </w:pPr>
            <w:r w:rsidRPr="00CA712C">
              <w:rPr>
                <w:rFonts w:eastAsia="Times New Roman" w:cs="Times New Roman"/>
                <w:sz w:val="20"/>
                <w:szCs w:val="20"/>
              </w:rPr>
              <w:t xml:space="preserve">Crisis Prevention and Recovery </w:t>
            </w:r>
            <w:r w:rsidRPr="00CA712C">
              <w:rPr>
                <w:rFonts w:eastAsia="Times New Roman" w:cs="Times New Roman"/>
                <w:i/>
                <w:sz w:val="20"/>
                <w:szCs w:val="20"/>
              </w:rPr>
              <w:t>(Baseline: 50%)</w:t>
            </w:r>
          </w:p>
          <w:p w:rsidR="002E0DDC" w:rsidRPr="00CA712C" w:rsidRDefault="002E0DDC" w:rsidP="003B6600">
            <w:pPr>
              <w:pStyle w:val="ListParagraph"/>
              <w:numPr>
                <w:ilvl w:val="0"/>
                <w:numId w:val="1"/>
              </w:numPr>
              <w:spacing w:before="20" w:after="20"/>
              <w:contextualSpacing w:val="0"/>
              <w:rPr>
                <w:rFonts w:eastAsia="Times New Roman" w:cs="Times New Roman"/>
                <w:i/>
                <w:sz w:val="20"/>
                <w:szCs w:val="20"/>
              </w:rPr>
            </w:pPr>
            <w:r w:rsidRPr="00CA712C">
              <w:rPr>
                <w:rFonts w:eastAsia="Times New Roman" w:cs="Times New Roman"/>
                <w:sz w:val="20"/>
                <w:szCs w:val="20"/>
              </w:rPr>
              <w:t>Energy and Environment</w:t>
            </w:r>
            <w:r>
              <w:rPr>
                <w:rFonts w:eastAsia="Times New Roman" w:cs="Times New Roman"/>
                <w:sz w:val="20"/>
                <w:szCs w:val="20"/>
              </w:rPr>
              <w:t xml:space="preserve"> </w:t>
            </w:r>
            <w:r w:rsidRPr="00CA712C">
              <w:rPr>
                <w:rFonts w:eastAsia="Times New Roman" w:cs="Times New Roman"/>
                <w:i/>
                <w:sz w:val="20"/>
                <w:szCs w:val="20"/>
              </w:rPr>
              <w:t>(Baseline: 59%)</w:t>
            </w:r>
          </w:p>
          <w:p w:rsidR="002E0DDC" w:rsidRPr="00CA712C" w:rsidRDefault="002E0DDC" w:rsidP="00BA40DA">
            <w:pPr>
              <w:spacing w:before="120" w:after="120"/>
              <w:rPr>
                <w:rFonts w:eastAsia="Times New Roman" w:cs="Times New Roman"/>
                <w:i/>
                <w:sz w:val="20"/>
                <w:szCs w:val="20"/>
              </w:rPr>
            </w:pPr>
            <w:r w:rsidRPr="00CA712C">
              <w:rPr>
                <w:rFonts w:eastAsia="Times New Roman" w:cs="Times New Roman"/>
                <w:i/>
                <w:sz w:val="20"/>
                <w:szCs w:val="20"/>
              </w:rPr>
              <w:t>(Source: Partners</w:t>
            </w:r>
            <w:r>
              <w:rPr>
                <w:rFonts w:eastAsia="Times New Roman" w:cs="Times New Roman"/>
                <w:i/>
                <w:sz w:val="20"/>
                <w:szCs w:val="20"/>
              </w:rPr>
              <w:t>hip</w:t>
            </w:r>
            <w:r w:rsidRPr="00CA712C">
              <w:rPr>
                <w:rFonts w:eastAsia="Times New Roman" w:cs="Times New Roman"/>
                <w:i/>
                <w:sz w:val="20"/>
                <w:szCs w:val="20"/>
              </w:rPr>
              <w:t xml:space="preserve"> Survey</w:t>
            </w:r>
            <w:r>
              <w:rPr>
                <w:rFonts w:eastAsia="Times New Roman" w:cs="Times New Roman"/>
                <w:i/>
                <w:sz w:val="20"/>
                <w:szCs w:val="20"/>
              </w:rPr>
              <w:t>, 2009</w:t>
            </w:r>
            <w:r w:rsidRPr="00CA712C">
              <w:rPr>
                <w:rFonts w:eastAsia="Times New Roman" w:cs="Times New Roman"/>
                <w:i/>
                <w:sz w:val="20"/>
                <w:szCs w:val="20"/>
              </w:rPr>
              <w:t>)</w:t>
            </w:r>
          </w:p>
        </w:tc>
        <w:tc>
          <w:tcPr>
            <w:tcW w:w="1877" w:type="dxa"/>
          </w:tcPr>
          <w:p w:rsidR="002E0DDC" w:rsidRPr="00CA712C" w:rsidRDefault="002E0DDC" w:rsidP="00BA40DA">
            <w:pPr>
              <w:spacing w:before="120" w:after="120"/>
              <w:jc w:val="center"/>
              <w:rPr>
                <w:rFonts w:eastAsia="Times New Roman" w:cs="Times New Roman"/>
                <w:sz w:val="20"/>
                <w:szCs w:val="20"/>
              </w:rPr>
            </w:pPr>
            <w:r w:rsidRPr="00CA712C">
              <w:rPr>
                <w:rFonts w:eastAsia="Times New Roman" w:cs="Times New Roman"/>
                <w:sz w:val="20"/>
                <w:szCs w:val="20"/>
              </w:rPr>
              <w:t>MDGs: 75%</w:t>
            </w:r>
          </w:p>
          <w:p w:rsidR="002E0DDC" w:rsidRPr="00CA712C" w:rsidRDefault="002E0DDC" w:rsidP="00BA40DA">
            <w:pPr>
              <w:spacing w:before="120" w:after="120"/>
              <w:jc w:val="center"/>
              <w:rPr>
                <w:rFonts w:eastAsia="Times New Roman" w:cs="Times New Roman"/>
                <w:sz w:val="20"/>
                <w:szCs w:val="20"/>
              </w:rPr>
            </w:pPr>
            <w:r w:rsidRPr="00CA712C">
              <w:rPr>
                <w:rFonts w:eastAsia="Times New Roman" w:cs="Times New Roman"/>
                <w:sz w:val="20"/>
                <w:szCs w:val="20"/>
              </w:rPr>
              <w:t>Poverty: 60%</w:t>
            </w:r>
          </w:p>
          <w:p w:rsidR="002E0DDC" w:rsidRPr="00CA712C" w:rsidRDefault="002E0DDC" w:rsidP="00BA40DA">
            <w:pPr>
              <w:spacing w:before="120" w:after="120"/>
              <w:jc w:val="center"/>
              <w:rPr>
                <w:rFonts w:eastAsia="Times New Roman" w:cs="Times New Roman"/>
                <w:sz w:val="20"/>
                <w:szCs w:val="20"/>
              </w:rPr>
            </w:pPr>
            <w:r w:rsidRPr="00CA712C">
              <w:rPr>
                <w:rFonts w:eastAsia="Times New Roman" w:cs="Times New Roman"/>
                <w:sz w:val="20"/>
                <w:szCs w:val="20"/>
              </w:rPr>
              <w:t>Dem. Gov.: 65%</w:t>
            </w:r>
          </w:p>
          <w:p w:rsidR="002E0DDC" w:rsidRPr="00CA712C" w:rsidRDefault="002E0DDC" w:rsidP="00BA40DA">
            <w:pPr>
              <w:spacing w:before="120" w:after="120"/>
              <w:jc w:val="center"/>
              <w:rPr>
                <w:rFonts w:eastAsia="Times New Roman" w:cs="Times New Roman"/>
                <w:sz w:val="20"/>
                <w:szCs w:val="20"/>
              </w:rPr>
            </w:pPr>
            <w:r w:rsidRPr="00CA712C">
              <w:rPr>
                <w:rFonts w:eastAsia="Times New Roman" w:cs="Times New Roman"/>
                <w:sz w:val="20"/>
                <w:szCs w:val="20"/>
              </w:rPr>
              <w:t>CPR: 60%</w:t>
            </w:r>
          </w:p>
          <w:p w:rsidR="002E0DDC" w:rsidRPr="00CA712C" w:rsidRDefault="002E0DDC" w:rsidP="00BA40DA">
            <w:pPr>
              <w:spacing w:before="120" w:after="120"/>
              <w:jc w:val="center"/>
              <w:rPr>
                <w:rFonts w:eastAsia="Times New Roman" w:cs="Times New Roman"/>
                <w:sz w:val="20"/>
                <w:szCs w:val="20"/>
              </w:rPr>
            </w:pPr>
            <w:r w:rsidRPr="00CA712C">
              <w:rPr>
                <w:rFonts w:eastAsia="Times New Roman" w:cs="Times New Roman"/>
                <w:sz w:val="20"/>
                <w:szCs w:val="20"/>
              </w:rPr>
              <w:t>E&amp;E: 60%</w:t>
            </w:r>
          </w:p>
        </w:tc>
        <w:tc>
          <w:tcPr>
            <w:tcW w:w="6503" w:type="dxa"/>
          </w:tcPr>
          <w:p w:rsidR="002E0DDC" w:rsidRPr="00845754" w:rsidRDefault="002E0DDC" w:rsidP="002D1C06">
            <w:pPr>
              <w:spacing w:before="120" w:after="120"/>
              <w:rPr>
                <w:rFonts w:eastAsia="Times New Roman" w:cs="Times New Roman"/>
                <w:sz w:val="20"/>
                <w:szCs w:val="20"/>
              </w:rPr>
            </w:pPr>
            <w:r w:rsidRPr="00845754">
              <w:rPr>
                <w:rFonts w:eastAsia="Times New Roman" w:cs="Times New Roman"/>
                <w:sz w:val="20"/>
                <w:szCs w:val="20"/>
              </w:rPr>
              <w:t xml:space="preserve">Current indicator measures: </w:t>
            </w:r>
          </w:p>
          <w:p w:rsidR="002E0DDC" w:rsidRPr="00845754" w:rsidRDefault="002E0DDC" w:rsidP="003B6600">
            <w:pPr>
              <w:tabs>
                <w:tab w:val="right" w:pos="1782"/>
              </w:tabs>
              <w:spacing w:before="20" w:after="20"/>
              <w:ind w:left="360" w:hanging="360"/>
              <w:rPr>
                <w:rFonts w:eastAsia="Times New Roman" w:cs="Times New Roman"/>
                <w:sz w:val="20"/>
                <w:szCs w:val="20"/>
              </w:rPr>
            </w:pPr>
            <w:r w:rsidRPr="00845754">
              <w:rPr>
                <w:rFonts w:eastAsia="Times New Roman" w:cs="Times New Roman"/>
                <w:sz w:val="20"/>
                <w:szCs w:val="20"/>
              </w:rPr>
              <w:tab/>
              <w:t xml:space="preserve">MDGs: </w:t>
            </w:r>
            <w:r w:rsidRPr="00845754">
              <w:rPr>
                <w:rFonts w:eastAsia="Times New Roman" w:cs="Times New Roman"/>
                <w:sz w:val="20"/>
                <w:szCs w:val="20"/>
              </w:rPr>
              <w:tab/>
              <w:t>58%</w:t>
            </w:r>
          </w:p>
          <w:p w:rsidR="002E0DDC" w:rsidRPr="00845754" w:rsidRDefault="002E0DDC" w:rsidP="003B6600">
            <w:pPr>
              <w:tabs>
                <w:tab w:val="right" w:pos="1782"/>
              </w:tabs>
              <w:spacing w:before="20" w:after="20"/>
              <w:ind w:left="360" w:hanging="360"/>
              <w:rPr>
                <w:rFonts w:eastAsia="Times New Roman" w:cs="Times New Roman"/>
                <w:sz w:val="20"/>
                <w:szCs w:val="20"/>
              </w:rPr>
            </w:pPr>
            <w:r w:rsidRPr="00845754">
              <w:rPr>
                <w:rFonts w:eastAsia="Times New Roman" w:cs="Times New Roman"/>
                <w:sz w:val="20"/>
                <w:szCs w:val="20"/>
              </w:rPr>
              <w:tab/>
              <w:t xml:space="preserve">Poverty: </w:t>
            </w:r>
            <w:r w:rsidRPr="00845754">
              <w:rPr>
                <w:rFonts w:eastAsia="Times New Roman" w:cs="Times New Roman"/>
                <w:sz w:val="20"/>
                <w:szCs w:val="20"/>
              </w:rPr>
              <w:tab/>
              <w:t>44%</w:t>
            </w:r>
          </w:p>
          <w:p w:rsidR="002E0DDC" w:rsidRPr="00845754" w:rsidRDefault="002E0DDC" w:rsidP="003B6600">
            <w:pPr>
              <w:tabs>
                <w:tab w:val="right" w:pos="1782"/>
              </w:tabs>
              <w:spacing w:before="20" w:after="20"/>
              <w:ind w:left="360" w:hanging="360"/>
              <w:rPr>
                <w:rFonts w:eastAsia="Times New Roman" w:cs="Times New Roman"/>
                <w:sz w:val="20"/>
                <w:szCs w:val="20"/>
              </w:rPr>
            </w:pPr>
            <w:r w:rsidRPr="00845754">
              <w:rPr>
                <w:rFonts w:eastAsia="Times New Roman" w:cs="Times New Roman"/>
                <w:sz w:val="20"/>
                <w:szCs w:val="20"/>
              </w:rPr>
              <w:tab/>
              <w:t xml:space="preserve">Dem. Gov.: </w:t>
            </w:r>
            <w:r w:rsidRPr="00845754">
              <w:rPr>
                <w:rFonts w:eastAsia="Times New Roman" w:cs="Times New Roman"/>
                <w:sz w:val="20"/>
                <w:szCs w:val="20"/>
              </w:rPr>
              <w:tab/>
              <w:t>56%</w:t>
            </w:r>
          </w:p>
          <w:p w:rsidR="002E0DDC" w:rsidRPr="00845754" w:rsidRDefault="002E0DDC" w:rsidP="003B6600">
            <w:pPr>
              <w:tabs>
                <w:tab w:val="right" w:pos="1782"/>
              </w:tabs>
              <w:spacing w:before="20" w:after="20"/>
              <w:ind w:left="360" w:hanging="360"/>
              <w:rPr>
                <w:rFonts w:eastAsia="Times New Roman" w:cs="Times New Roman"/>
                <w:sz w:val="20"/>
                <w:szCs w:val="20"/>
              </w:rPr>
            </w:pPr>
            <w:r w:rsidRPr="00845754">
              <w:rPr>
                <w:rFonts w:eastAsia="Times New Roman" w:cs="Times New Roman"/>
                <w:sz w:val="20"/>
                <w:szCs w:val="20"/>
              </w:rPr>
              <w:tab/>
              <w:t xml:space="preserve">CPR: </w:t>
            </w:r>
            <w:r w:rsidRPr="00845754">
              <w:rPr>
                <w:rFonts w:eastAsia="Times New Roman" w:cs="Times New Roman"/>
                <w:sz w:val="20"/>
                <w:szCs w:val="20"/>
              </w:rPr>
              <w:tab/>
              <w:t>45%</w:t>
            </w:r>
          </w:p>
          <w:p w:rsidR="002E0DDC" w:rsidRPr="00845754" w:rsidRDefault="002E0DDC" w:rsidP="003B6600">
            <w:pPr>
              <w:tabs>
                <w:tab w:val="right" w:pos="1782"/>
              </w:tabs>
              <w:spacing w:before="20" w:after="20"/>
              <w:ind w:left="360" w:hanging="360"/>
              <w:rPr>
                <w:rFonts w:eastAsia="Times New Roman" w:cs="Times New Roman"/>
                <w:sz w:val="20"/>
                <w:szCs w:val="20"/>
              </w:rPr>
            </w:pPr>
            <w:r w:rsidRPr="00845754">
              <w:rPr>
                <w:rFonts w:eastAsia="Times New Roman" w:cs="Times New Roman"/>
                <w:sz w:val="20"/>
                <w:szCs w:val="20"/>
              </w:rPr>
              <w:tab/>
              <w:t xml:space="preserve">E&amp;E: </w:t>
            </w:r>
            <w:r w:rsidRPr="00845754">
              <w:rPr>
                <w:rFonts w:eastAsia="Times New Roman" w:cs="Times New Roman"/>
                <w:sz w:val="20"/>
                <w:szCs w:val="20"/>
              </w:rPr>
              <w:tab/>
              <w:t>56%</w:t>
            </w:r>
          </w:p>
          <w:p w:rsidR="002E0DDC" w:rsidRPr="00845754" w:rsidRDefault="002E0DDC" w:rsidP="002E0DDC">
            <w:pPr>
              <w:spacing w:before="120" w:after="120"/>
              <w:rPr>
                <w:rFonts w:eastAsia="Times New Roman" w:cs="Times New Roman"/>
                <w:sz w:val="20"/>
                <w:szCs w:val="20"/>
              </w:rPr>
            </w:pPr>
            <w:r w:rsidRPr="00845754">
              <w:rPr>
                <w:rFonts w:eastAsia="Times New Roman" w:cs="Times New Roman"/>
                <w:sz w:val="20"/>
                <w:szCs w:val="20"/>
              </w:rPr>
              <w:t>Data from 2012 Partners Survey</w:t>
            </w:r>
          </w:p>
        </w:tc>
      </w:tr>
      <w:tr w:rsidR="002E0DDC" w:rsidRPr="00CA712C">
        <w:tc>
          <w:tcPr>
            <w:tcW w:w="1680" w:type="dxa"/>
            <w:vMerge/>
          </w:tcPr>
          <w:p w:rsidR="002E0DDC" w:rsidRPr="00CA712C" w:rsidRDefault="002E0DDC" w:rsidP="00BA40DA">
            <w:pPr>
              <w:spacing w:before="120" w:after="120"/>
              <w:rPr>
                <w:rFonts w:eastAsia="Times New Roman" w:cs="Times New Roman"/>
                <w:sz w:val="20"/>
                <w:szCs w:val="20"/>
              </w:rPr>
            </w:pPr>
          </w:p>
        </w:tc>
        <w:tc>
          <w:tcPr>
            <w:tcW w:w="3116" w:type="dxa"/>
          </w:tcPr>
          <w:p w:rsidR="002E0DDC" w:rsidRDefault="002E0DDC" w:rsidP="00BA40DA">
            <w:pPr>
              <w:spacing w:before="120" w:after="120"/>
              <w:rPr>
                <w:rFonts w:eastAsia="Times New Roman" w:cs="Times New Roman"/>
                <w:sz w:val="20"/>
                <w:szCs w:val="20"/>
              </w:rPr>
            </w:pPr>
            <w:r>
              <w:rPr>
                <w:rFonts w:eastAsia="Times New Roman" w:cs="Times New Roman"/>
                <w:sz w:val="20"/>
                <w:szCs w:val="20"/>
              </w:rPr>
              <w:t>Management efficiency ratio</w:t>
            </w:r>
          </w:p>
          <w:p w:rsidR="002E0DDC" w:rsidRPr="00423A44" w:rsidRDefault="002E0DDC" w:rsidP="00BA40DA">
            <w:pPr>
              <w:spacing w:before="120" w:after="120"/>
              <w:rPr>
                <w:rFonts w:eastAsia="Times New Roman" w:cs="Times New Roman"/>
                <w:i/>
                <w:sz w:val="20"/>
                <w:szCs w:val="20"/>
              </w:rPr>
            </w:pPr>
            <w:r w:rsidRPr="00423A44">
              <w:rPr>
                <w:rFonts w:eastAsia="Times New Roman" w:cs="Times New Roman"/>
                <w:i/>
                <w:sz w:val="20"/>
                <w:szCs w:val="20"/>
              </w:rPr>
              <w:t>(Source: Executive Balanced S</w:t>
            </w:r>
            <w:r>
              <w:rPr>
                <w:rFonts w:eastAsia="Times New Roman" w:cs="Times New Roman"/>
                <w:i/>
                <w:sz w:val="20"/>
                <w:szCs w:val="20"/>
              </w:rPr>
              <w:t>c</w:t>
            </w:r>
            <w:r w:rsidRPr="00423A44">
              <w:rPr>
                <w:rFonts w:eastAsia="Times New Roman" w:cs="Times New Roman"/>
                <w:i/>
                <w:sz w:val="20"/>
                <w:szCs w:val="20"/>
              </w:rPr>
              <w:t>orecard</w:t>
            </w:r>
            <w:r>
              <w:rPr>
                <w:rFonts w:eastAsia="Times New Roman" w:cs="Times New Roman"/>
                <w:i/>
                <w:sz w:val="20"/>
                <w:szCs w:val="20"/>
              </w:rPr>
              <w:t>; 2010 Target of 10.7%</w:t>
            </w:r>
            <w:r w:rsidRPr="00423A44">
              <w:rPr>
                <w:rFonts w:eastAsia="Times New Roman" w:cs="Times New Roman"/>
                <w:i/>
                <w:sz w:val="20"/>
                <w:szCs w:val="20"/>
              </w:rPr>
              <w:t>)</w:t>
            </w:r>
          </w:p>
        </w:tc>
        <w:tc>
          <w:tcPr>
            <w:tcW w:w="1877" w:type="dxa"/>
          </w:tcPr>
          <w:p w:rsidR="002E0DDC" w:rsidRPr="006D3AEA" w:rsidRDefault="002E0DDC" w:rsidP="00BA40DA">
            <w:pPr>
              <w:spacing w:before="120" w:after="120"/>
              <w:jc w:val="center"/>
              <w:rPr>
                <w:rFonts w:eastAsia="Times New Roman" w:cs="Times New Roman"/>
                <w:sz w:val="20"/>
                <w:szCs w:val="20"/>
              </w:rPr>
            </w:pPr>
            <w:r w:rsidRPr="006D3AEA">
              <w:rPr>
                <w:rFonts w:eastAsia="Times New Roman" w:cs="Times New Roman"/>
                <w:sz w:val="20"/>
                <w:szCs w:val="20"/>
              </w:rPr>
              <w:t>Target under development</w:t>
            </w:r>
          </w:p>
        </w:tc>
        <w:tc>
          <w:tcPr>
            <w:tcW w:w="6503" w:type="dxa"/>
          </w:tcPr>
          <w:p w:rsidR="002E0DDC" w:rsidRPr="00ED6560" w:rsidRDefault="002E0DDC" w:rsidP="002E0DDC">
            <w:pPr>
              <w:spacing w:before="120" w:after="120"/>
              <w:rPr>
                <w:rFonts w:eastAsia="Times New Roman" w:cs="Times New Roman"/>
                <w:sz w:val="20"/>
                <w:szCs w:val="20"/>
              </w:rPr>
            </w:pPr>
            <w:r w:rsidRPr="00ED6560">
              <w:rPr>
                <w:rFonts w:eastAsia="Times New Roman" w:cs="Times New Roman"/>
                <w:sz w:val="20"/>
                <w:szCs w:val="20"/>
              </w:rPr>
              <w:t xml:space="preserve">Current </w:t>
            </w:r>
            <w:r w:rsidR="00351F33">
              <w:rPr>
                <w:rFonts w:eastAsia="Times New Roman" w:cs="Times New Roman"/>
                <w:sz w:val="20"/>
                <w:szCs w:val="20"/>
              </w:rPr>
              <w:t>indicator measure: 8.66</w:t>
            </w:r>
            <w:r w:rsidRPr="00ED6560">
              <w:rPr>
                <w:rFonts w:eastAsia="Times New Roman" w:cs="Times New Roman"/>
                <w:sz w:val="20"/>
                <w:szCs w:val="20"/>
              </w:rPr>
              <w:t>%</w:t>
            </w:r>
          </w:p>
        </w:tc>
      </w:tr>
      <w:tr w:rsidR="002E0DDC" w:rsidRPr="00CA712C">
        <w:tc>
          <w:tcPr>
            <w:tcW w:w="1680" w:type="dxa"/>
            <w:vMerge w:val="restart"/>
          </w:tcPr>
          <w:p w:rsidR="002E0DDC" w:rsidRPr="00CA712C" w:rsidRDefault="002E0DDC" w:rsidP="00BA40DA">
            <w:pPr>
              <w:spacing w:before="120" w:after="120"/>
              <w:rPr>
                <w:rFonts w:eastAsia="Times New Roman" w:cs="Times New Roman"/>
                <w:sz w:val="20"/>
                <w:szCs w:val="20"/>
              </w:rPr>
            </w:pPr>
            <w:r w:rsidRPr="00CA712C">
              <w:rPr>
                <w:rFonts w:eastAsia="Times New Roman" w:cs="Times New Roman"/>
                <w:sz w:val="20"/>
                <w:szCs w:val="20"/>
              </w:rPr>
              <w:t>Improved accountability for achieving results at Country Office, Regional and Programme Bureaux levels</w:t>
            </w:r>
          </w:p>
          <w:p w:rsidR="002E0DDC" w:rsidRPr="00CA712C" w:rsidRDefault="002E0DDC" w:rsidP="00BA40DA">
            <w:pPr>
              <w:spacing w:before="120" w:after="120"/>
              <w:rPr>
                <w:rFonts w:eastAsia="Times New Roman" w:cs="Times New Roman"/>
                <w:b/>
                <w:sz w:val="20"/>
                <w:szCs w:val="20"/>
              </w:rPr>
            </w:pPr>
            <w:r w:rsidRPr="00CA712C">
              <w:rPr>
                <w:rFonts w:eastAsia="Times New Roman" w:cs="Times New Roman"/>
                <w:b/>
                <w:sz w:val="20"/>
                <w:szCs w:val="20"/>
              </w:rPr>
              <w:t>(Corporate sponsor – RBx)</w:t>
            </w:r>
          </w:p>
        </w:tc>
        <w:tc>
          <w:tcPr>
            <w:tcW w:w="3116" w:type="dxa"/>
          </w:tcPr>
          <w:p w:rsidR="002E0DDC" w:rsidRPr="00CA712C" w:rsidRDefault="002E0DDC" w:rsidP="00BA40DA">
            <w:pPr>
              <w:spacing w:before="120" w:after="120"/>
              <w:rPr>
                <w:rFonts w:eastAsia="Times New Roman" w:cs="Times New Roman"/>
                <w:sz w:val="20"/>
                <w:szCs w:val="20"/>
              </w:rPr>
            </w:pPr>
            <w:bookmarkStart w:id="7" w:name="OLE_LINK11"/>
            <w:bookmarkStart w:id="8" w:name="OLE_LINK12"/>
            <w:r w:rsidRPr="00CA712C">
              <w:rPr>
                <w:rFonts w:eastAsia="Times New Roman" w:cs="Times New Roman"/>
                <w:sz w:val="20"/>
                <w:szCs w:val="20"/>
              </w:rPr>
              <w:t>Percentage of Country Offices performance indicators that are satisfactory</w:t>
            </w:r>
            <w:bookmarkEnd w:id="7"/>
            <w:bookmarkEnd w:id="8"/>
            <w:r w:rsidRPr="00CA712C">
              <w:rPr>
                <w:rFonts w:eastAsia="Times New Roman" w:cs="Times New Roman"/>
                <w:sz w:val="20"/>
                <w:szCs w:val="20"/>
              </w:rPr>
              <w:t xml:space="preserve"> (</w:t>
            </w:r>
            <w:r w:rsidRPr="00CA712C">
              <w:rPr>
                <w:rFonts w:eastAsia="Times New Roman" w:cs="Times New Roman"/>
                <w:i/>
                <w:sz w:val="20"/>
                <w:szCs w:val="20"/>
              </w:rPr>
              <w:t>Source: Regional Bureaux Balanced Scorecard</w:t>
            </w:r>
            <w:r>
              <w:rPr>
                <w:rFonts w:eastAsia="Times New Roman" w:cs="Times New Roman"/>
                <w:i/>
                <w:sz w:val="20"/>
                <w:szCs w:val="20"/>
              </w:rPr>
              <w:t xml:space="preserve"> – </w:t>
            </w:r>
            <w:r w:rsidRPr="00CA712C">
              <w:rPr>
                <w:rFonts w:eastAsia="Times New Roman" w:cs="Times New Roman"/>
                <w:i/>
                <w:sz w:val="20"/>
                <w:szCs w:val="20"/>
              </w:rPr>
              <w:t>Baseline: 38% achieved; 38% partially achieved in 2009)</w:t>
            </w:r>
          </w:p>
        </w:tc>
        <w:tc>
          <w:tcPr>
            <w:tcW w:w="1877" w:type="dxa"/>
          </w:tcPr>
          <w:p w:rsidR="002E0DDC" w:rsidRPr="00FB5BFD" w:rsidRDefault="002E0DDC" w:rsidP="00BA40DA">
            <w:pPr>
              <w:spacing w:before="120" w:after="120"/>
              <w:jc w:val="center"/>
              <w:rPr>
                <w:rFonts w:eastAsia="Times New Roman" w:cs="Times New Roman"/>
                <w:sz w:val="20"/>
                <w:szCs w:val="20"/>
              </w:rPr>
            </w:pPr>
            <w:r w:rsidRPr="00CA712C">
              <w:rPr>
                <w:rFonts w:eastAsia="Times New Roman" w:cs="Times New Roman"/>
                <w:sz w:val="20"/>
                <w:szCs w:val="20"/>
              </w:rPr>
              <w:t>5</w:t>
            </w:r>
            <w:r>
              <w:rPr>
                <w:rFonts w:eastAsia="Times New Roman" w:cs="Times New Roman"/>
                <w:sz w:val="20"/>
                <w:szCs w:val="20"/>
              </w:rPr>
              <w:t>5</w:t>
            </w:r>
            <w:r w:rsidRPr="00CA712C">
              <w:rPr>
                <w:rFonts w:eastAsia="Times New Roman" w:cs="Times New Roman"/>
                <w:sz w:val="20"/>
                <w:szCs w:val="20"/>
              </w:rPr>
              <w:t>% achieved</w:t>
            </w:r>
          </w:p>
        </w:tc>
        <w:tc>
          <w:tcPr>
            <w:tcW w:w="6503" w:type="dxa"/>
          </w:tcPr>
          <w:p w:rsidR="00DA2FB2" w:rsidRDefault="00DA2FB2" w:rsidP="002E0DDC">
            <w:pPr>
              <w:spacing w:before="120" w:after="120"/>
              <w:rPr>
                <w:rFonts w:eastAsia="Times New Roman" w:cs="Times New Roman"/>
                <w:sz w:val="20"/>
                <w:szCs w:val="20"/>
              </w:rPr>
            </w:pPr>
            <w:r>
              <w:rPr>
                <w:rFonts w:eastAsia="Times New Roman" w:cs="Times New Roman"/>
                <w:sz w:val="20"/>
                <w:szCs w:val="20"/>
              </w:rPr>
              <w:t xml:space="preserve">Based on 2013 ROAR reporting, 77% of country programme outcome indicators were reported as </w:t>
            </w:r>
            <w:r>
              <w:rPr>
                <w:rFonts w:eastAsia="Times New Roman" w:cs="Times New Roman"/>
                <w:i/>
                <w:sz w:val="20"/>
                <w:szCs w:val="20"/>
              </w:rPr>
              <w:t>some progress</w:t>
            </w:r>
            <w:r>
              <w:rPr>
                <w:rFonts w:eastAsia="Times New Roman" w:cs="Times New Roman"/>
                <w:sz w:val="20"/>
                <w:szCs w:val="20"/>
              </w:rPr>
              <w:t xml:space="preserve">, </w:t>
            </w:r>
            <w:r>
              <w:rPr>
                <w:rFonts w:eastAsia="Times New Roman" w:cs="Times New Roman"/>
                <w:i/>
                <w:sz w:val="20"/>
                <w:szCs w:val="20"/>
              </w:rPr>
              <w:t>significant progress</w:t>
            </w:r>
            <w:r>
              <w:rPr>
                <w:rFonts w:eastAsia="Times New Roman" w:cs="Times New Roman"/>
                <w:sz w:val="20"/>
                <w:szCs w:val="20"/>
              </w:rPr>
              <w:t xml:space="preserve">, or </w:t>
            </w:r>
            <w:r>
              <w:rPr>
                <w:rFonts w:eastAsia="Times New Roman" w:cs="Times New Roman"/>
                <w:i/>
                <w:sz w:val="20"/>
                <w:szCs w:val="20"/>
              </w:rPr>
              <w:t>target reached or surpassed</w:t>
            </w:r>
            <w:r>
              <w:rPr>
                <w:rFonts w:eastAsia="Times New Roman" w:cs="Times New Roman"/>
                <w:sz w:val="20"/>
                <w:szCs w:val="20"/>
              </w:rPr>
              <w:t xml:space="preserve">; 19% reported </w:t>
            </w:r>
            <w:r>
              <w:rPr>
                <w:rFonts w:eastAsia="Times New Roman" w:cs="Times New Roman"/>
                <w:i/>
                <w:sz w:val="20"/>
                <w:szCs w:val="20"/>
              </w:rPr>
              <w:t>no change</w:t>
            </w:r>
            <w:r>
              <w:rPr>
                <w:rFonts w:eastAsia="Times New Roman" w:cs="Times New Roman"/>
                <w:sz w:val="20"/>
                <w:szCs w:val="20"/>
              </w:rPr>
              <w:t xml:space="preserve"> and 4% reported </w:t>
            </w:r>
            <w:r>
              <w:rPr>
                <w:rFonts w:eastAsia="Times New Roman" w:cs="Times New Roman"/>
                <w:i/>
                <w:sz w:val="20"/>
                <w:szCs w:val="20"/>
              </w:rPr>
              <w:t>regression</w:t>
            </w:r>
            <w:r>
              <w:rPr>
                <w:rFonts w:eastAsia="Times New Roman" w:cs="Times New Roman"/>
                <w:sz w:val="20"/>
                <w:szCs w:val="20"/>
              </w:rPr>
              <w:t xml:space="preserve">. </w:t>
            </w:r>
          </w:p>
          <w:p w:rsidR="002E0DDC" w:rsidRPr="00DA2FB2" w:rsidRDefault="00DA2FB2" w:rsidP="002E0DDC">
            <w:pPr>
              <w:spacing w:before="120" w:after="120"/>
              <w:rPr>
                <w:rFonts w:eastAsia="Times New Roman" w:cs="Times New Roman"/>
                <w:sz w:val="20"/>
                <w:szCs w:val="20"/>
              </w:rPr>
            </w:pPr>
            <w:r>
              <w:rPr>
                <w:rFonts w:eastAsia="Times New Roman" w:cs="Times New Roman"/>
                <w:sz w:val="20"/>
                <w:szCs w:val="20"/>
              </w:rPr>
              <w:t>The change in source for this indicator is due to the redesign of the Balanced Scorecard to address the needs of the new strategic plan.</w:t>
            </w:r>
          </w:p>
        </w:tc>
      </w:tr>
      <w:tr w:rsidR="002E0DDC" w:rsidRPr="00CA712C">
        <w:tc>
          <w:tcPr>
            <w:tcW w:w="1680" w:type="dxa"/>
            <w:vMerge/>
          </w:tcPr>
          <w:p w:rsidR="002E0DDC" w:rsidRPr="00CA712C" w:rsidRDefault="002E0DDC" w:rsidP="00BA40DA">
            <w:pPr>
              <w:spacing w:before="120" w:after="120"/>
              <w:rPr>
                <w:rFonts w:eastAsia="Times New Roman" w:cs="Times New Roman"/>
                <w:sz w:val="20"/>
                <w:szCs w:val="20"/>
              </w:rPr>
            </w:pPr>
          </w:p>
        </w:tc>
        <w:tc>
          <w:tcPr>
            <w:tcW w:w="3116" w:type="dxa"/>
          </w:tcPr>
          <w:p w:rsidR="002E0DDC" w:rsidRPr="00CA712C" w:rsidRDefault="002E0DDC" w:rsidP="00BA40DA">
            <w:pPr>
              <w:spacing w:before="120" w:after="120"/>
              <w:rPr>
                <w:rFonts w:cs="Times New Roman"/>
                <w:sz w:val="20"/>
                <w:szCs w:val="20"/>
              </w:rPr>
            </w:pPr>
            <w:r w:rsidRPr="00CA712C">
              <w:rPr>
                <w:rFonts w:cs="Times New Roman"/>
                <w:sz w:val="20"/>
                <w:szCs w:val="20"/>
              </w:rPr>
              <w:t xml:space="preserve">Percentage of outcomes that are reported as either on-track or achieved </w:t>
            </w:r>
          </w:p>
          <w:p w:rsidR="002E0DDC" w:rsidRPr="00CA712C" w:rsidRDefault="002E0DDC" w:rsidP="00BA40DA">
            <w:pPr>
              <w:spacing w:before="120" w:after="120"/>
              <w:rPr>
                <w:rFonts w:eastAsia="Times New Roman" w:cs="Times New Roman"/>
                <w:i/>
                <w:sz w:val="20"/>
                <w:szCs w:val="20"/>
              </w:rPr>
            </w:pPr>
            <w:r w:rsidRPr="00CA712C">
              <w:rPr>
                <w:rFonts w:cs="Times New Roman"/>
                <w:i/>
                <w:sz w:val="20"/>
                <w:szCs w:val="20"/>
              </w:rPr>
              <w:t xml:space="preserve">(Source: </w:t>
            </w:r>
            <w:r w:rsidRPr="00CA712C">
              <w:rPr>
                <w:rFonts w:eastAsia="Times New Roman" w:cs="Times New Roman"/>
                <w:i/>
                <w:sz w:val="20"/>
                <w:szCs w:val="20"/>
              </w:rPr>
              <w:t>Executive Balanced Scorecard</w:t>
            </w:r>
            <w:r>
              <w:rPr>
                <w:rFonts w:eastAsia="Times New Roman" w:cs="Times New Roman"/>
                <w:i/>
                <w:sz w:val="20"/>
                <w:szCs w:val="20"/>
              </w:rPr>
              <w:t xml:space="preserve"> – </w:t>
            </w:r>
            <w:r w:rsidRPr="00CA712C">
              <w:rPr>
                <w:rFonts w:eastAsia="Times New Roman" w:cs="Times New Roman"/>
                <w:i/>
                <w:sz w:val="20"/>
                <w:szCs w:val="20"/>
              </w:rPr>
              <w:t>Baseline: 72.9%</w:t>
            </w:r>
            <w:r w:rsidRPr="00CA712C">
              <w:rPr>
                <w:rFonts w:cs="Times New Roman"/>
                <w:i/>
                <w:sz w:val="20"/>
                <w:szCs w:val="20"/>
              </w:rPr>
              <w:t>)</w:t>
            </w:r>
          </w:p>
        </w:tc>
        <w:tc>
          <w:tcPr>
            <w:tcW w:w="1877" w:type="dxa"/>
          </w:tcPr>
          <w:p w:rsidR="002E0DDC" w:rsidRPr="00CA712C" w:rsidRDefault="002E0DDC" w:rsidP="00BA40DA">
            <w:pPr>
              <w:spacing w:before="120" w:after="120"/>
              <w:jc w:val="center"/>
              <w:rPr>
                <w:rFonts w:eastAsia="Times New Roman" w:cs="Times New Roman"/>
                <w:sz w:val="20"/>
                <w:szCs w:val="20"/>
              </w:rPr>
            </w:pPr>
            <w:r>
              <w:rPr>
                <w:rFonts w:eastAsia="Times New Roman" w:cs="Times New Roman"/>
                <w:sz w:val="20"/>
                <w:szCs w:val="20"/>
              </w:rPr>
              <w:t>90</w:t>
            </w:r>
            <w:r w:rsidRPr="00CA712C">
              <w:rPr>
                <w:rFonts w:eastAsia="Times New Roman" w:cs="Times New Roman"/>
                <w:sz w:val="20"/>
                <w:szCs w:val="20"/>
              </w:rPr>
              <w:t>%</w:t>
            </w:r>
          </w:p>
        </w:tc>
        <w:tc>
          <w:tcPr>
            <w:tcW w:w="6503" w:type="dxa"/>
          </w:tcPr>
          <w:p w:rsidR="002E0DDC" w:rsidRPr="00845754" w:rsidRDefault="002E0DDC" w:rsidP="00BA40DA">
            <w:pPr>
              <w:spacing w:before="120" w:after="120"/>
              <w:rPr>
                <w:rFonts w:eastAsia="Times New Roman" w:cs="Times New Roman"/>
                <w:sz w:val="20"/>
                <w:szCs w:val="20"/>
              </w:rPr>
            </w:pPr>
            <w:r w:rsidRPr="00845754">
              <w:rPr>
                <w:rFonts w:eastAsia="Times New Roman" w:cs="Times New Roman"/>
                <w:sz w:val="20"/>
                <w:szCs w:val="20"/>
              </w:rPr>
              <w:t>Current indicator measure: 71% (achieved + positive change)</w:t>
            </w:r>
          </w:p>
          <w:p w:rsidR="002E0DDC" w:rsidRPr="00845754" w:rsidRDefault="002E0DDC" w:rsidP="002E0DDC">
            <w:pPr>
              <w:spacing w:before="120" w:after="120"/>
              <w:rPr>
                <w:rFonts w:eastAsia="Times New Roman" w:cs="Times New Roman"/>
                <w:sz w:val="20"/>
                <w:szCs w:val="20"/>
              </w:rPr>
            </w:pPr>
            <w:r w:rsidRPr="00845754">
              <w:rPr>
                <w:rFonts w:eastAsia="Times New Roman" w:cs="Times New Roman"/>
                <w:sz w:val="20"/>
                <w:szCs w:val="20"/>
              </w:rPr>
              <w:t>Based on 2013 ROAR reporting.</w:t>
            </w:r>
          </w:p>
        </w:tc>
      </w:tr>
      <w:tr w:rsidR="002E0DDC" w:rsidRPr="00CA712C">
        <w:tc>
          <w:tcPr>
            <w:tcW w:w="1680" w:type="dxa"/>
            <w:vMerge/>
          </w:tcPr>
          <w:p w:rsidR="002E0DDC" w:rsidRPr="00CA712C" w:rsidRDefault="002E0DDC" w:rsidP="00BA40DA">
            <w:pPr>
              <w:spacing w:before="120" w:after="120"/>
              <w:rPr>
                <w:rFonts w:eastAsia="Times New Roman" w:cs="Times New Roman"/>
                <w:sz w:val="20"/>
                <w:szCs w:val="20"/>
              </w:rPr>
            </w:pPr>
          </w:p>
        </w:tc>
        <w:tc>
          <w:tcPr>
            <w:tcW w:w="3116" w:type="dxa"/>
          </w:tcPr>
          <w:p w:rsidR="002E0DDC" w:rsidRPr="00CA712C" w:rsidRDefault="002E0DDC" w:rsidP="00BA40DA">
            <w:pPr>
              <w:spacing w:before="120" w:after="120"/>
              <w:rPr>
                <w:rFonts w:eastAsia="Times New Roman" w:cs="Times New Roman"/>
                <w:sz w:val="20"/>
                <w:szCs w:val="20"/>
              </w:rPr>
            </w:pPr>
            <w:r w:rsidRPr="00CA712C">
              <w:rPr>
                <w:rFonts w:eastAsia="Times New Roman" w:cs="Times New Roman"/>
                <w:sz w:val="20"/>
                <w:szCs w:val="20"/>
              </w:rPr>
              <w:t>Percentage of evaluations with management responses</w:t>
            </w:r>
          </w:p>
          <w:p w:rsidR="002E0DDC" w:rsidRPr="00CA712C" w:rsidRDefault="002E0DDC" w:rsidP="00BA40DA">
            <w:pPr>
              <w:spacing w:before="120" w:after="120"/>
              <w:rPr>
                <w:rFonts w:eastAsia="Times New Roman" w:cs="Times New Roman"/>
                <w:sz w:val="20"/>
                <w:szCs w:val="20"/>
              </w:rPr>
            </w:pPr>
            <w:r w:rsidRPr="00CA712C">
              <w:rPr>
                <w:rFonts w:eastAsia="Times New Roman" w:cs="Times New Roman"/>
                <w:sz w:val="20"/>
                <w:szCs w:val="20"/>
              </w:rPr>
              <w:t>(</w:t>
            </w:r>
            <w:r w:rsidRPr="00CA712C">
              <w:rPr>
                <w:rFonts w:eastAsia="Times New Roman" w:cs="Times New Roman"/>
                <w:i/>
                <w:sz w:val="20"/>
                <w:szCs w:val="20"/>
              </w:rPr>
              <w:t>Source: Executive Balanced Scorecard</w:t>
            </w:r>
            <w:r>
              <w:rPr>
                <w:rFonts w:eastAsia="Times New Roman" w:cs="Times New Roman"/>
                <w:i/>
                <w:sz w:val="20"/>
                <w:szCs w:val="20"/>
              </w:rPr>
              <w:t xml:space="preserve"> – </w:t>
            </w:r>
            <w:r w:rsidRPr="00CA712C">
              <w:rPr>
                <w:rFonts w:eastAsia="Times New Roman" w:cs="Times New Roman"/>
                <w:i/>
                <w:sz w:val="20"/>
                <w:szCs w:val="20"/>
              </w:rPr>
              <w:t>Baseline: 84.1%)</w:t>
            </w:r>
          </w:p>
        </w:tc>
        <w:tc>
          <w:tcPr>
            <w:tcW w:w="1877" w:type="dxa"/>
          </w:tcPr>
          <w:p w:rsidR="002E0DDC" w:rsidRPr="00CA712C" w:rsidRDefault="002E0DDC" w:rsidP="00BA40DA">
            <w:pPr>
              <w:spacing w:before="120" w:after="120"/>
              <w:jc w:val="center"/>
              <w:rPr>
                <w:rFonts w:eastAsia="Times New Roman" w:cs="Times New Roman"/>
                <w:sz w:val="20"/>
                <w:szCs w:val="20"/>
              </w:rPr>
            </w:pPr>
            <w:r w:rsidRPr="00CA712C">
              <w:rPr>
                <w:rFonts w:eastAsia="Times New Roman" w:cs="Times New Roman"/>
                <w:sz w:val="20"/>
                <w:szCs w:val="20"/>
              </w:rPr>
              <w:t>95%</w:t>
            </w:r>
          </w:p>
        </w:tc>
        <w:tc>
          <w:tcPr>
            <w:tcW w:w="6503" w:type="dxa"/>
          </w:tcPr>
          <w:p w:rsidR="002E0DDC" w:rsidRPr="00845754" w:rsidRDefault="002E0DDC" w:rsidP="002E0DDC">
            <w:pPr>
              <w:spacing w:before="120" w:after="120"/>
              <w:rPr>
                <w:rFonts w:eastAsia="Times New Roman" w:cs="Times New Roman"/>
                <w:sz w:val="20"/>
                <w:szCs w:val="20"/>
              </w:rPr>
            </w:pPr>
            <w:r w:rsidRPr="00845754">
              <w:rPr>
                <w:rFonts w:eastAsia="Times New Roman" w:cs="Times New Roman"/>
                <w:sz w:val="20"/>
                <w:szCs w:val="20"/>
              </w:rPr>
              <w:t xml:space="preserve">Current indicator measure: 97% </w:t>
            </w:r>
          </w:p>
          <w:p w:rsidR="002E0DDC" w:rsidRPr="00845754" w:rsidRDefault="002E0DDC" w:rsidP="002E0DDC">
            <w:pPr>
              <w:spacing w:before="120" w:after="120"/>
              <w:rPr>
                <w:rFonts w:eastAsia="Times New Roman" w:cs="Times New Roman"/>
                <w:sz w:val="20"/>
                <w:szCs w:val="20"/>
              </w:rPr>
            </w:pPr>
            <w:r w:rsidRPr="00845754">
              <w:rPr>
                <w:rFonts w:eastAsia="Times New Roman" w:cs="Times New Roman"/>
                <w:sz w:val="20"/>
                <w:szCs w:val="20"/>
              </w:rPr>
              <w:t>Collective percentage for independen</w:t>
            </w:r>
            <w:r w:rsidR="00845754" w:rsidRPr="00845754">
              <w:rPr>
                <w:rFonts w:eastAsia="Times New Roman" w:cs="Times New Roman"/>
                <w:sz w:val="20"/>
                <w:szCs w:val="20"/>
              </w:rPr>
              <w:t xml:space="preserve">t and decentralised evaluations, per table below </w:t>
            </w:r>
            <w:r w:rsidRPr="00845754">
              <w:rPr>
                <w:rFonts w:eastAsia="Times New Roman" w:cs="Times New Roman"/>
                <w:sz w:val="20"/>
                <w:szCs w:val="20"/>
              </w:rPr>
              <w:t>(at 12 May 2014, 97.6% for management responses to 82 independent evaluations completed during the period 2008-2013; and 96.9% for management responses to 1,769 decentralised evaluations completed during the period 2008-2013)</w:t>
            </w:r>
          </w:p>
        </w:tc>
      </w:tr>
      <w:tr w:rsidR="002E0DDC" w:rsidRPr="00CA712C">
        <w:tc>
          <w:tcPr>
            <w:tcW w:w="1680" w:type="dxa"/>
            <w:vMerge/>
          </w:tcPr>
          <w:p w:rsidR="002E0DDC" w:rsidRPr="00CA712C" w:rsidRDefault="002E0DDC" w:rsidP="00BA40DA">
            <w:pPr>
              <w:spacing w:before="120" w:after="120"/>
              <w:rPr>
                <w:rFonts w:eastAsia="Times New Roman" w:cs="Times New Roman"/>
                <w:sz w:val="20"/>
                <w:szCs w:val="20"/>
              </w:rPr>
            </w:pPr>
          </w:p>
        </w:tc>
        <w:tc>
          <w:tcPr>
            <w:tcW w:w="11496" w:type="dxa"/>
            <w:gridSpan w:val="3"/>
          </w:tcPr>
          <w:p w:rsidR="002E0DDC" w:rsidRDefault="002E0DDC" w:rsidP="002E0DDC">
            <w:pPr>
              <w:spacing w:before="120" w:after="120"/>
              <w:rPr>
                <w:rFonts w:eastAsia="Times New Roman" w:cs="Times New Roman"/>
                <w:sz w:val="20"/>
                <w:szCs w:val="20"/>
              </w:rPr>
            </w:pPr>
          </w:p>
        </w:tc>
      </w:tr>
      <w:tr w:rsidR="002E0DDC" w:rsidRPr="00CA712C">
        <w:trPr>
          <w:trHeight w:val="1376"/>
        </w:trPr>
        <w:tc>
          <w:tcPr>
            <w:tcW w:w="1680" w:type="dxa"/>
            <w:vMerge/>
          </w:tcPr>
          <w:p w:rsidR="002E0DDC" w:rsidRPr="00CA712C" w:rsidRDefault="002E0DDC" w:rsidP="00BA40DA">
            <w:pPr>
              <w:spacing w:before="120" w:after="120"/>
              <w:rPr>
                <w:rFonts w:eastAsia="Times New Roman" w:cs="Times New Roman"/>
                <w:sz w:val="20"/>
                <w:szCs w:val="20"/>
              </w:rPr>
            </w:pPr>
          </w:p>
        </w:tc>
        <w:tc>
          <w:tcPr>
            <w:tcW w:w="3116" w:type="dxa"/>
          </w:tcPr>
          <w:p w:rsidR="002E0DDC" w:rsidRPr="00CA712C" w:rsidRDefault="002E0DDC" w:rsidP="00BA40DA">
            <w:pPr>
              <w:spacing w:before="120" w:after="120"/>
              <w:rPr>
                <w:rFonts w:eastAsia="Times New Roman" w:cs="Times New Roman"/>
                <w:sz w:val="20"/>
                <w:szCs w:val="20"/>
              </w:rPr>
            </w:pPr>
            <w:r>
              <w:rPr>
                <w:rFonts w:eastAsia="Times New Roman" w:cs="Times New Roman"/>
                <w:sz w:val="20"/>
                <w:szCs w:val="20"/>
              </w:rPr>
              <w:t xml:space="preserve">Percentage of risk based audit reports with unsatisfactory ratings </w:t>
            </w:r>
            <w:r w:rsidRPr="005218DD">
              <w:rPr>
                <w:rFonts w:eastAsia="Times New Roman" w:cs="Times New Roman"/>
                <w:i/>
                <w:sz w:val="20"/>
                <w:szCs w:val="20"/>
              </w:rPr>
              <w:t>(Source: OAI Database</w:t>
            </w:r>
            <w:r>
              <w:rPr>
                <w:rFonts w:eastAsia="Times New Roman" w:cs="Times New Roman"/>
                <w:i/>
                <w:sz w:val="20"/>
                <w:szCs w:val="20"/>
              </w:rPr>
              <w:t xml:space="preserve"> - </w:t>
            </w:r>
            <w:r w:rsidRPr="005218DD">
              <w:rPr>
                <w:rFonts w:eastAsia="Times New Roman" w:cs="Times New Roman"/>
                <w:i/>
                <w:sz w:val="20"/>
                <w:szCs w:val="20"/>
              </w:rPr>
              <w:t>Baseline: 12% unsatisfactory)</w:t>
            </w:r>
          </w:p>
        </w:tc>
        <w:tc>
          <w:tcPr>
            <w:tcW w:w="1877" w:type="dxa"/>
          </w:tcPr>
          <w:p w:rsidR="002E0DDC" w:rsidRPr="00CA712C" w:rsidRDefault="002E0DDC" w:rsidP="00E65A9C">
            <w:pPr>
              <w:spacing w:before="120" w:after="120"/>
              <w:ind w:left="-69" w:right="-18"/>
              <w:jc w:val="center"/>
              <w:rPr>
                <w:rFonts w:eastAsia="Times New Roman" w:cs="Times New Roman"/>
                <w:sz w:val="20"/>
                <w:szCs w:val="20"/>
              </w:rPr>
            </w:pPr>
            <w:r>
              <w:rPr>
                <w:rFonts w:eastAsia="Times New Roman" w:cs="Times New Roman"/>
                <w:sz w:val="20"/>
                <w:szCs w:val="20"/>
              </w:rPr>
              <w:t>less than 15%</w:t>
            </w:r>
          </w:p>
        </w:tc>
        <w:tc>
          <w:tcPr>
            <w:tcW w:w="6503" w:type="dxa"/>
          </w:tcPr>
          <w:p w:rsidR="002E0DDC" w:rsidRPr="002E0DDC" w:rsidRDefault="002E0DDC" w:rsidP="002E0DDC">
            <w:pPr>
              <w:spacing w:before="120" w:after="120"/>
              <w:rPr>
                <w:rFonts w:eastAsia="Times New Roman" w:cs="Times New Roman"/>
                <w:sz w:val="20"/>
                <w:szCs w:val="20"/>
              </w:rPr>
            </w:pPr>
            <w:r w:rsidRPr="002E0DDC">
              <w:rPr>
                <w:rFonts w:eastAsia="Times New Roman" w:cs="Times New Roman"/>
                <w:sz w:val="20"/>
                <w:szCs w:val="20"/>
              </w:rPr>
              <w:t>Current indicator measure: 8%</w:t>
            </w:r>
          </w:p>
          <w:p w:rsidR="002E0DDC" w:rsidRPr="002E0DDC" w:rsidRDefault="002E0DDC" w:rsidP="002E0DDC">
            <w:pPr>
              <w:spacing w:before="120" w:after="120"/>
              <w:rPr>
                <w:rFonts w:eastAsia="Times New Roman" w:cs="Times New Roman"/>
                <w:sz w:val="20"/>
                <w:szCs w:val="20"/>
              </w:rPr>
            </w:pPr>
            <w:r w:rsidRPr="002E0DDC">
              <w:rPr>
                <w:rFonts w:eastAsia="Times New Roman" w:cs="Times New Roman"/>
                <w:sz w:val="20"/>
                <w:szCs w:val="20"/>
              </w:rPr>
              <w:t>There are 7 reports (or 8%) rated as unsatisfactory out of 81 audit reports with audit ratings issued by OAI</w:t>
            </w:r>
          </w:p>
        </w:tc>
      </w:tr>
      <w:tr w:rsidR="002E0DDC" w:rsidRPr="00CA712C">
        <w:tc>
          <w:tcPr>
            <w:tcW w:w="1680" w:type="dxa"/>
            <w:vMerge w:val="restart"/>
          </w:tcPr>
          <w:p w:rsidR="002E0DDC" w:rsidRPr="00CA712C" w:rsidRDefault="002E0DDC" w:rsidP="00BA40DA">
            <w:pPr>
              <w:spacing w:before="120" w:after="120"/>
              <w:rPr>
                <w:rFonts w:eastAsia="Times New Roman" w:cs="Times New Roman"/>
                <w:sz w:val="20"/>
                <w:szCs w:val="20"/>
              </w:rPr>
            </w:pPr>
            <w:r w:rsidRPr="00CA712C">
              <w:rPr>
                <w:rFonts w:eastAsia="Times New Roman" w:cs="Times New Roman"/>
                <w:sz w:val="20"/>
                <w:szCs w:val="20"/>
              </w:rPr>
              <w:t xml:space="preserve">UNDP human </w:t>
            </w:r>
            <w:r w:rsidRPr="00CA712C">
              <w:rPr>
                <w:rFonts w:eastAsia="Times New Roman" w:cs="Times New Roman"/>
                <w:sz w:val="20"/>
                <w:szCs w:val="20"/>
              </w:rPr>
              <w:lastRenderedPageBreak/>
              <w:t>resources effectively managed to attract, develop and retain a talented and diversified workforce</w:t>
            </w:r>
          </w:p>
          <w:p w:rsidR="002E0DDC" w:rsidRPr="00CA712C" w:rsidRDefault="002E0DDC" w:rsidP="00BA40DA">
            <w:pPr>
              <w:spacing w:before="120" w:after="120"/>
              <w:rPr>
                <w:rFonts w:eastAsia="Times New Roman" w:cs="Times New Roman"/>
                <w:b/>
                <w:sz w:val="20"/>
                <w:szCs w:val="20"/>
              </w:rPr>
            </w:pPr>
            <w:r w:rsidRPr="00CA712C">
              <w:rPr>
                <w:rFonts w:eastAsia="Times New Roman" w:cs="Times New Roman"/>
                <w:b/>
                <w:sz w:val="20"/>
                <w:szCs w:val="20"/>
              </w:rPr>
              <w:t>(Corporate sponsor – OHR/BoM)</w:t>
            </w:r>
          </w:p>
        </w:tc>
        <w:tc>
          <w:tcPr>
            <w:tcW w:w="3116" w:type="dxa"/>
          </w:tcPr>
          <w:p w:rsidR="002E0DDC" w:rsidRPr="00CA712C" w:rsidRDefault="002E0DDC" w:rsidP="00BA40DA">
            <w:pPr>
              <w:spacing w:before="120" w:after="120"/>
              <w:rPr>
                <w:rFonts w:eastAsia="Times New Roman" w:cs="Times New Roman"/>
                <w:sz w:val="20"/>
                <w:szCs w:val="20"/>
              </w:rPr>
            </w:pPr>
            <w:r w:rsidRPr="00CA712C">
              <w:rPr>
                <w:rFonts w:eastAsia="Times New Roman" w:cs="Times New Roman"/>
                <w:sz w:val="20"/>
                <w:szCs w:val="20"/>
              </w:rPr>
              <w:lastRenderedPageBreak/>
              <w:t xml:space="preserve">Staff satisfaction with work </w:t>
            </w:r>
            <w:r w:rsidR="00FD40A0" w:rsidRPr="00CA712C">
              <w:rPr>
                <w:rFonts w:eastAsia="Times New Roman" w:cs="Times New Roman"/>
                <w:sz w:val="20"/>
                <w:szCs w:val="20"/>
              </w:rPr>
              <w:lastRenderedPageBreak/>
              <w:t xml:space="preserve">environment </w:t>
            </w:r>
            <w:r w:rsidRPr="00CA712C">
              <w:rPr>
                <w:rFonts w:eastAsia="Times New Roman" w:cs="Times New Roman"/>
                <w:sz w:val="20"/>
                <w:szCs w:val="20"/>
              </w:rPr>
              <w:br/>
              <w:t>(</w:t>
            </w:r>
            <w:r w:rsidRPr="00CA712C">
              <w:rPr>
                <w:rFonts w:eastAsia="Times New Roman" w:cs="Times New Roman"/>
                <w:i/>
                <w:sz w:val="20"/>
                <w:szCs w:val="20"/>
              </w:rPr>
              <w:t xml:space="preserve">Source: </w:t>
            </w:r>
            <w:bookmarkStart w:id="9" w:name="OLE_LINK78"/>
            <w:bookmarkStart w:id="10" w:name="OLE_LINK79"/>
            <w:r w:rsidRPr="00CA712C">
              <w:rPr>
                <w:rFonts w:eastAsia="Times New Roman" w:cs="Times New Roman"/>
                <w:i/>
                <w:sz w:val="20"/>
                <w:szCs w:val="20"/>
              </w:rPr>
              <w:t>Executive Balanced Scorecard</w:t>
            </w:r>
            <w:bookmarkEnd w:id="9"/>
            <w:bookmarkEnd w:id="10"/>
            <w:r w:rsidRPr="00CA712C">
              <w:rPr>
                <w:rFonts w:eastAsia="Times New Roman" w:cs="Times New Roman"/>
                <w:i/>
                <w:sz w:val="20"/>
                <w:szCs w:val="20"/>
              </w:rPr>
              <w:t>/Global Staff Survey</w:t>
            </w:r>
            <w:r>
              <w:rPr>
                <w:rFonts w:eastAsia="Times New Roman" w:cs="Times New Roman"/>
                <w:i/>
                <w:sz w:val="20"/>
                <w:szCs w:val="20"/>
              </w:rPr>
              <w:t xml:space="preserve"> – </w:t>
            </w:r>
            <w:r w:rsidRPr="00CA712C">
              <w:rPr>
                <w:rFonts w:eastAsia="Times New Roman" w:cs="Times New Roman"/>
                <w:i/>
                <w:sz w:val="20"/>
                <w:szCs w:val="20"/>
              </w:rPr>
              <w:t>Baseline: 66%)</w:t>
            </w:r>
          </w:p>
        </w:tc>
        <w:tc>
          <w:tcPr>
            <w:tcW w:w="1877" w:type="dxa"/>
          </w:tcPr>
          <w:p w:rsidR="002E0DDC" w:rsidRPr="00CA712C" w:rsidRDefault="002E0DDC" w:rsidP="00BA40DA">
            <w:pPr>
              <w:spacing w:before="120" w:after="120"/>
              <w:jc w:val="center"/>
              <w:rPr>
                <w:rFonts w:eastAsia="Times New Roman" w:cs="Times New Roman"/>
                <w:b/>
                <w:sz w:val="20"/>
                <w:szCs w:val="20"/>
              </w:rPr>
            </w:pPr>
            <w:r>
              <w:rPr>
                <w:rFonts w:eastAsia="Times New Roman" w:cs="Times New Roman"/>
                <w:sz w:val="20"/>
                <w:szCs w:val="20"/>
              </w:rPr>
              <w:lastRenderedPageBreak/>
              <w:t>75</w:t>
            </w:r>
            <w:r w:rsidRPr="00CA712C">
              <w:rPr>
                <w:rFonts w:eastAsia="Times New Roman" w:cs="Times New Roman"/>
                <w:sz w:val="20"/>
                <w:szCs w:val="20"/>
              </w:rPr>
              <w:t>%</w:t>
            </w:r>
          </w:p>
        </w:tc>
        <w:tc>
          <w:tcPr>
            <w:tcW w:w="6503" w:type="dxa"/>
          </w:tcPr>
          <w:p w:rsidR="002E0DDC" w:rsidRPr="002E0DDC" w:rsidRDefault="002E0DDC" w:rsidP="00A252CE">
            <w:pPr>
              <w:spacing w:before="120" w:after="120"/>
              <w:rPr>
                <w:rFonts w:eastAsia="Times New Roman" w:cs="Times New Roman"/>
                <w:sz w:val="20"/>
                <w:szCs w:val="20"/>
              </w:rPr>
            </w:pPr>
            <w:r w:rsidRPr="002E0DDC">
              <w:rPr>
                <w:rFonts w:eastAsia="Times New Roman" w:cs="Times New Roman"/>
                <w:sz w:val="20"/>
                <w:szCs w:val="20"/>
              </w:rPr>
              <w:t>Current indicator measure: 71.5%</w:t>
            </w:r>
          </w:p>
          <w:p w:rsidR="002E0DDC" w:rsidRPr="002E0DDC" w:rsidRDefault="002E0DDC" w:rsidP="00FF4110">
            <w:pPr>
              <w:spacing w:before="120" w:after="120"/>
              <w:rPr>
                <w:rFonts w:eastAsia="Times New Roman" w:cs="Times New Roman"/>
                <w:sz w:val="20"/>
                <w:szCs w:val="20"/>
              </w:rPr>
            </w:pPr>
            <w:r w:rsidRPr="002E0DDC">
              <w:rPr>
                <w:sz w:val="20"/>
              </w:rPr>
              <w:lastRenderedPageBreak/>
              <w:t>In 2013, the approach to the analysis of the Global Staff Survey results remained the same as in 2012, with a focus on staff engagement as both a measure and prerequisite of successful organizational performance. The engagement index in the UNDP GSS consists of 5 elements: UNDP as an organization to work for; treating staff with respect; pride to work for UNDP; UNDP inspiring staff to perform at one’s best; and staff’s intent to stay. Globally, the engagement index has</w:t>
            </w:r>
            <w:r w:rsidR="00FF4110">
              <w:rPr>
                <w:sz w:val="20"/>
              </w:rPr>
              <w:t xml:space="preserve"> no</w:t>
            </w:r>
            <w:r w:rsidRPr="002E0DDC">
              <w:rPr>
                <w:sz w:val="20"/>
              </w:rPr>
              <w:t xml:space="preserve">t changed </w:t>
            </w:r>
            <w:r w:rsidR="00FF4110">
              <w:rPr>
                <w:sz w:val="20"/>
              </w:rPr>
              <w:t xml:space="preserve">significantly </w:t>
            </w:r>
            <w:r w:rsidRPr="002E0DDC">
              <w:rPr>
                <w:sz w:val="20"/>
              </w:rPr>
              <w:t xml:space="preserve">since 2010: 71.5% in 2013, 72.4% in 2012, and 71.8% in 2010; although </w:t>
            </w:r>
            <w:r w:rsidR="00FF4110">
              <w:rPr>
                <w:sz w:val="20"/>
              </w:rPr>
              <w:t xml:space="preserve">over time </w:t>
            </w:r>
            <w:r w:rsidRPr="002E0DDC">
              <w:rPr>
                <w:sz w:val="20"/>
              </w:rPr>
              <w:t>there have been differences by region.</w:t>
            </w:r>
          </w:p>
        </w:tc>
      </w:tr>
      <w:tr w:rsidR="002E0DDC" w:rsidRPr="00CA712C">
        <w:tc>
          <w:tcPr>
            <w:tcW w:w="1680" w:type="dxa"/>
            <w:vMerge/>
          </w:tcPr>
          <w:p w:rsidR="002E0DDC" w:rsidRPr="00CA712C" w:rsidRDefault="002E0DDC" w:rsidP="00BA40DA">
            <w:pPr>
              <w:spacing w:before="120" w:after="120"/>
              <w:rPr>
                <w:rFonts w:eastAsia="Times New Roman" w:cs="Times New Roman"/>
                <w:sz w:val="20"/>
                <w:szCs w:val="20"/>
              </w:rPr>
            </w:pPr>
          </w:p>
        </w:tc>
        <w:tc>
          <w:tcPr>
            <w:tcW w:w="3116" w:type="dxa"/>
          </w:tcPr>
          <w:p w:rsidR="002E0DDC" w:rsidRDefault="002E0DDC" w:rsidP="00BA40DA">
            <w:pPr>
              <w:spacing w:before="120" w:after="120"/>
              <w:rPr>
                <w:rFonts w:eastAsia="Times New Roman" w:cs="Times New Roman"/>
                <w:i/>
                <w:sz w:val="20"/>
                <w:szCs w:val="20"/>
              </w:rPr>
            </w:pPr>
            <w:r>
              <w:rPr>
                <w:rFonts w:eastAsia="Times New Roman" w:cs="Times New Roman"/>
                <w:sz w:val="20"/>
                <w:szCs w:val="20"/>
              </w:rPr>
              <w:t>Gender Balance</w:t>
            </w:r>
            <w:r>
              <w:rPr>
                <w:rFonts w:eastAsia="Times New Roman" w:cs="Times New Roman"/>
                <w:sz w:val="20"/>
                <w:szCs w:val="20"/>
              </w:rPr>
              <w:br/>
              <w:t xml:space="preserve">- </w:t>
            </w:r>
            <w:r w:rsidRPr="00CA712C">
              <w:rPr>
                <w:rFonts w:eastAsia="Times New Roman" w:cs="Times New Roman"/>
                <w:sz w:val="20"/>
                <w:szCs w:val="20"/>
              </w:rPr>
              <w:t xml:space="preserve">All levels </w:t>
            </w:r>
            <w:r w:rsidRPr="00CA712C">
              <w:rPr>
                <w:rFonts w:eastAsia="Times New Roman" w:cs="Times New Roman"/>
                <w:i/>
                <w:sz w:val="20"/>
                <w:szCs w:val="20"/>
              </w:rPr>
              <w:t>(Baseline: Int’l professionals: 45% female)</w:t>
            </w:r>
          </w:p>
          <w:p w:rsidR="002E0DDC" w:rsidRPr="00CA712C" w:rsidRDefault="002E0DDC" w:rsidP="00BA40DA">
            <w:pPr>
              <w:spacing w:before="120" w:after="120"/>
              <w:rPr>
                <w:rFonts w:eastAsia="Times New Roman" w:cs="Times New Roman"/>
                <w:sz w:val="20"/>
                <w:szCs w:val="20"/>
              </w:rPr>
            </w:pPr>
            <w:r>
              <w:rPr>
                <w:rFonts w:eastAsia="Times New Roman" w:cs="Times New Roman"/>
                <w:i/>
                <w:sz w:val="20"/>
                <w:szCs w:val="20"/>
              </w:rPr>
              <w:t xml:space="preserve">- </w:t>
            </w:r>
            <w:r w:rsidRPr="00CA712C">
              <w:rPr>
                <w:rFonts w:eastAsia="Times New Roman" w:cs="Times New Roman"/>
                <w:sz w:val="20"/>
                <w:szCs w:val="20"/>
              </w:rPr>
              <w:t xml:space="preserve">D1 and above </w:t>
            </w:r>
            <w:r w:rsidRPr="00CA712C">
              <w:rPr>
                <w:rFonts w:eastAsia="Times New Roman" w:cs="Times New Roman"/>
                <w:i/>
                <w:sz w:val="20"/>
                <w:szCs w:val="20"/>
              </w:rPr>
              <w:t>(Baseline: 39% female)</w:t>
            </w:r>
            <w:r w:rsidRPr="00CA712C">
              <w:rPr>
                <w:rFonts w:eastAsia="Times New Roman" w:cs="Times New Roman"/>
                <w:i/>
                <w:sz w:val="20"/>
                <w:szCs w:val="20"/>
              </w:rPr>
              <w:br/>
              <w:t>(Source: Executive Balanced Scorecard/Global Staff Survey)</w:t>
            </w:r>
          </w:p>
        </w:tc>
        <w:tc>
          <w:tcPr>
            <w:tcW w:w="1877" w:type="dxa"/>
          </w:tcPr>
          <w:p w:rsidR="002E0DDC" w:rsidRPr="00DB540E" w:rsidRDefault="002E0DDC" w:rsidP="00302627">
            <w:pPr>
              <w:spacing w:before="120" w:after="120"/>
              <w:jc w:val="center"/>
              <w:rPr>
                <w:rFonts w:eastAsia="Times New Roman" w:cs="Times New Roman"/>
                <w:sz w:val="20"/>
                <w:szCs w:val="20"/>
              </w:rPr>
            </w:pPr>
            <w:r w:rsidRPr="00DB540E">
              <w:rPr>
                <w:rFonts w:eastAsia="Times New Roman" w:cs="Times New Roman"/>
                <w:sz w:val="20"/>
                <w:szCs w:val="20"/>
              </w:rPr>
              <w:t>All levels female: 50%</w:t>
            </w:r>
          </w:p>
          <w:p w:rsidR="002E0DDC" w:rsidRPr="00DB540E" w:rsidRDefault="002E0DDC" w:rsidP="00302627">
            <w:pPr>
              <w:spacing w:before="120" w:after="120"/>
              <w:jc w:val="center"/>
              <w:rPr>
                <w:rFonts w:eastAsia="Times New Roman" w:cs="Times New Roman"/>
                <w:sz w:val="20"/>
                <w:szCs w:val="20"/>
              </w:rPr>
            </w:pPr>
            <w:r w:rsidRPr="00DB540E">
              <w:rPr>
                <w:rFonts w:eastAsia="Times New Roman" w:cs="Times New Roman"/>
                <w:sz w:val="20"/>
                <w:szCs w:val="20"/>
              </w:rPr>
              <w:t>D1 &amp; above female: 45%</w:t>
            </w:r>
          </w:p>
        </w:tc>
        <w:tc>
          <w:tcPr>
            <w:tcW w:w="6503" w:type="dxa"/>
          </w:tcPr>
          <w:p w:rsidR="002E0DDC" w:rsidRPr="002E0DDC" w:rsidRDefault="002E0DDC" w:rsidP="00A252CE">
            <w:pPr>
              <w:spacing w:before="120" w:after="120"/>
              <w:rPr>
                <w:rFonts w:eastAsia="Times New Roman" w:cs="Times New Roman"/>
                <w:sz w:val="20"/>
                <w:szCs w:val="20"/>
              </w:rPr>
            </w:pPr>
            <w:r w:rsidRPr="002E0DDC">
              <w:rPr>
                <w:rFonts w:eastAsia="Times New Roman" w:cs="Times New Roman"/>
                <w:sz w:val="20"/>
                <w:szCs w:val="20"/>
              </w:rPr>
              <w:t>Current indicator measure: 42% for all levels, 35% for D1 and above</w:t>
            </w:r>
          </w:p>
          <w:p w:rsidR="002E0DDC" w:rsidRPr="002E0DDC" w:rsidRDefault="002E0DDC" w:rsidP="002E0DDC">
            <w:pPr>
              <w:spacing w:before="120" w:after="120"/>
              <w:rPr>
                <w:rFonts w:eastAsia="Times New Roman" w:cs="Times New Roman"/>
                <w:sz w:val="20"/>
                <w:szCs w:val="20"/>
              </w:rPr>
            </w:pPr>
            <w:r w:rsidRPr="002E0DDC">
              <w:rPr>
                <w:rFonts w:eastAsia="Times New Roman" w:cs="Times New Roman"/>
                <w:sz w:val="20"/>
                <w:szCs w:val="20"/>
              </w:rPr>
              <w:t xml:space="preserve">By the end of 2013, the share of women in the workforce at all levels was 42% (ATLAS data as of 1 January 2014). The rate was also 42% for all IP levels and 35% for D1 and above. For middle and senior management positions, the rates were 38% and 35% respectively. </w:t>
            </w:r>
          </w:p>
        </w:tc>
      </w:tr>
      <w:tr w:rsidR="002E0DDC" w:rsidRPr="00CA712C">
        <w:tc>
          <w:tcPr>
            <w:tcW w:w="1680" w:type="dxa"/>
            <w:vMerge/>
          </w:tcPr>
          <w:p w:rsidR="002E0DDC" w:rsidRPr="00CA712C" w:rsidRDefault="002E0DDC" w:rsidP="00BA40DA">
            <w:pPr>
              <w:spacing w:before="120" w:after="120"/>
              <w:rPr>
                <w:rFonts w:eastAsia="Times New Roman" w:cs="Times New Roman"/>
                <w:b/>
                <w:bCs/>
                <w:sz w:val="20"/>
                <w:szCs w:val="20"/>
              </w:rPr>
            </w:pPr>
          </w:p>
        </w:tc>
        <w:tc>
          <w:tcPr>
            <w:tcW w:w="3116" w:type="dxa"/>
          </w:tcPr>
          <w:p w:rsidR="002E0DDC" w:rsidRPr="00CA712C" w:rsidRDefault="002E0DDC" w:rsidP="00BA40DA">
            <w:pPr>
              <w:spacing w:before="120" w:after="120"/>
              <w:rPr>
                <w:rFonts w:cs="Times New Roman"/>
                <w:sz w:val="20"/>
                <w:szCs w:val="20"/>
              </w:rPr>
            </w:pPr>
            <w:r w:rsidRPr="00CA712C">
              <w:rPr>
                <w:rFonts w:eastAsia="Times New Roman" w:cs="Times New Roman"/>
                <w:sz w:val="20"/>
                <w:szCs w:val="20"/>
              </w:rPr>
              <w:t>Client sa</w:t>
            </w:r>
            <w:r>
              <w:rPr>
                <w:rFonts w:eastAsia="Times New Roman" w:cs="Times New Roman"/>
                <w:sz w:val="20"/>
                <w:szCs w:val="20"/>
              </w:rPr>
              <w:t xml:space="preserve">tisfaction with the quality of </w:t>
            </w:r>
            <w:r w:rsidRPr="00CA712C">
              <w:rPr>
                <w:rFonts w:eastAsia="Times New Roman" w:cs="Times New Roman"/>
                <w:sz w:val="20"/>
                <w:szCs w:val="20"/>
              </w:rPr>
              <w:t>earning and staff development Products and services.</w:t>
            </w:r>
            <w:r w:rsidRPr="00CA712C">
              <w:rPr>
                <w:rFonts w:cs="Times New Roman"/>
                <w:sz w:val="20"/>
                <w:szCs w:val="20"/>
              </w:rPr>
              <w:t> </w:t>
            </w:r>
          </w:p>
          <w:p w:rsidR="002E0DDC" w:rsidRPr="00CA712C" w:rsidRDefault="002E0DDC" w:rsidP="00BA40DA">
            <w:pPr>
              <w:spacing w:before="120" w:after="120"/>
              <w:rPr>
                <w:rFonts w:eastAsia="Times New Roman" w:cs="Times New Roman"/>
                <w:i/>
                <w:sz w:val="20"/>
                <w:szCs w:val="20"/>
              </w:rPr>
            </w:pPr>
            <w:r w:rsidRPr="00CA712C">
              <w:rPr>
                <w:rFonts w:eastAsia="Times New Roman" w:cs="Times New Roman"/>
                <w:i/>
                <w:sz w:val="20"/>
                <w:szCs w:val="20"/>
              </w:rPr>
              <w:t xml:space="preserve">(Source: </w:t>
            </w:r>
            <w:bookmarkStart w:id="11" w:name="OLE_LINK48"/>
            <w:bookmarkStart w:id="12" w:name="OLE_LINK49"/>
            <w:r w:rsidRPr="00CA712C">
              <w:rPr>
                <w:rFonts w:eastAsia="Times New Roman" w:cs="Times New Roman"/>
                <w:i/>
                <w:sz w:val="20"/>
                <w:szCs w:val="20"/>
              </w:rPr>
              <w:t>Products and Services Survey</w:t>
            </w:r>
            <w:bookmarkEnd w:id="11"/>
            <w:bookmarkEnd w:id="12"/>
            <w:r>
              <w:rPr>
                <w:rFonts w:eastAsia="Times New Roman" w:cs="Times New Roman"/>
                <w:i/>
                <w:sz w:val="20"/>
                <w:szCs w:val="20"/>
              </w:rPr>
              <w:t xml:space="preserve"> – </w:t>
            </w:r>
            <w:r w:rsidRPr="00CA712C">
              <w:rPr>
                <w:rFonts w:eastAsia="Times New Roman" w:cs="Times New Roman"/>
                <w:i/>
                <w:sz w:val="20"/>
                <w:szCs w:val="20"/>
              </w:rPr>
              <w:t>Baseline: 60%)</w:t>
            </w:r>
          </w:p>
        </w:tc>
        <w:tc>
          <w:tcPr>
            <w:tcW w:w="1877" w:type="dxa"/>
          </w:tcPr>
          <w:p w:rsidR="002E0DDC" w:rsidRPr="00CA712C" w:rsidRDefault="002E0DDC" w:rsidP="00BA40DA">
            <w:pPr>
              <w:spacing w:before="120" w:after="120"/>
              <w:jc w:val="center"/>
              <w:rPr>
                <w:rFonts w:eastAsia="Times New Roman" w:cs="Times New Roman"/>
                <w:sz w:val="20"/>
                <w:szCs w:val="20"/>
              </w:rPr>
            </w:pPr>
            <w:r w:rsidRPr="00CA712C">
              <w:rPr>
                <w:rFonts w:eastAsia="Times New Roman" w:cs="Times New Roman"/>
                <w:sz w:val="20"/>
                <w:szCs w:val="20"/>
              </w:rPr>
              <w:t>70%</w:t>
            </w:r>
          </w:p>
        </w:tc>
        <w:tc>
          <w:tcPr>
            <w:tcW w:w="6503" w:type="dxa"/>
          </w:tcPr>
          <w:p w:rsidR="002E0DDC" w:rsidRPr="002E0DDC" w:rsidRDefault="002E0DDC" w:rsidP="00A252CE">
            <w:pPr>
              <w:spacing w:before="120" w:after="120"/>
              <w:rPr>
                <w:rFonts w:eastAsia="Times New Roman" w:cs="Times New Roman"/>
                <w:sz w:val="20"/>
                <w:szCs w:val="20"/>
              </w:rPr>
            </w:pPr>
            <w:r w:rsidRPr="002E0DDC">
              <w:rPr>
                <w:rFonts w:eastAsia="Times New Roman" w:cs="Times New Roman"/>
                <w:sz w:val="20"/>
                <w:szCs w:val="20"/>
              </w:rPr>
              <w:t xml:space="preserve">Current indicator measure: 70% </w:t>
            </w:r>
          </w:p>
          <w:p w:rsidR="002E0DDC" w:rsidRPr="002E0DDC" w:rsidRDefault="002E0DDC" w:rsidP="002E0DDC">
            <w:pPr>
              <w:rPr>
                <w:sz w:val="20"/>
              </w:rPr>
            </w:pPr>
            <w:r w:rsidRPr="002E0DDC">
              <w:rPr>
                <w:sz w:val="20"/>
              </w:rPr>
              <w:t>This data is based on the 2012 Headquarters Products and Services Survey, as no HQPSS was conducted in 2013:</w:t>
            </w:r>
          </w:p>
          <w:p w:rsidR="002E0DDC" w:rsidRPr="002E0DDC" w:rsidRDefault="002E0DDC" w:rsidP="002E0DDC">
            <w:pPr>
              <w:rPr>
                <w:sz w:val="20"/>
              </w:rPr>
            </w:pPr>
          </w:p>
          <w:p w:rsidR="002E0DDC" w:rsidRPr="002E0DDC" w:rsidRDefault="002E0DDC" w:rsidP="002E0DDC">
            <w:pPr>
              <w:ind w:left="345" w:hanging="187"/>
              <w:rPr>
                <w:sz w:val="20"/>
              </w:rPr>
            </w:pPr>
            <w:r w:rsidRPr="002E0DDC">
              <w:rPr>
                <w:sz w:val="20"/>
              </w:rPr>
              <w:t>•</w:t>
            </w:r>
            <w:r w:rsidRPr="002E0DDC">
              <w:rPr>
                <w:sz w:val="20"/>
              </w:rPr>
              <w:tab/>
              <w:t>70% staff were satisfied with the learning resources support</w:t>
            </w:r>
          </w:p>
          <w:p w:rsidR="002E0DDC" w:rsidRPr="002E0DDC" w:rsidRDefault="002E0DDC" w:rsidP="002E0DDC">
            <w:pPr>
              <w:ind w:left="345" w:hanging="187"/>
              <w:rPr>
                <w:sz w:val="20"/>
              </w:rPr>
            </w:pPr>
            <w:r w:rsidRPr="002E0DDC">
              <w:rPr>
                <w:sz w:val="20"/>
              </w:rPr>
              <w:t>•</w:t>
            </w:r>
            <w:r w:rsidRPr="002E0DDC">
              <w:rPr>
                <w:sz w:val="20"/>
              </w:rPr>
              <w:tab/>
              <w:t>65% with learning advisory services</w:t>
            </w:r>
          </w:p>
          <w:p w:rsidR="002E0DDC" w:rsidRPr="002E0DDC" w:rsidRDefault="002E0DDC" w:rsidP="002E0DDC">
            <w:pPr>
              <w:ind w:left="345" w:hanging="187"/>
              <w:rPr>
                <w:sz w:val="20"/>
              </w:rPr>
            </w:pPr>
            <w:r w:rsidRPr="002E0DDC">
              <w:rPr>
                <w:sz w:val="20"/>
              </w:rPr>
              <w:t>•</w:t>
            </w:r>
            <w:r w:rsidRPr="002E0DDC">
              <w:rPr>
                <w:sz w:val="20"/>
              </w:rPr>
              <w:tab/>
              <w:t>73% with the Learning Management System (LMS)</w:t>
            </w:r>
          </w:p>
          <w:p w:rsidR="002E0DDC" w:rsidRPr="002E0DDC" w:rsidRDefault="002E0DDC" w:rsidP="00A000C7">
            <w:pPr>
              <w:ind w:left="345" w:hanging="187"/>
              <w:rPr>
                <w:sz w:val="20"/>
              </w:rPr>
            </w:pPr>
            <w:r w:rsidRPr="002E0DDC">
              <w:rPr>
                <w:sz w:val="20"/>
              </w:rPr>
              <w:t>•</w:t>
            </w:r>
            <w:r w:rsidRPr="002E0DDC">
              <w:rPr>
                <w:sz w:val="20"/>
              </w:rPr>
              <w:tab/>
              <w:t>71 % with LMS Support (Help Desk)</w:t>
            </w:r>
          </w:p>
          <w:p w:rsidR="002E0DDC" w:rsidRPr="002E0DDC" w:rsidRDefault="002E0DDC" w:rsidP="002E0DDC">
            <w:pPr>
              <w:spacing w:before="120" w:after="120"/>
              <w:rPr>
                <w:rFonts w:eastAsia="Times New Roman" w:cs="Times New Roman"/>
                <w:sz w:val="20"/>
                <w:szCs w:val="20"/>
              </w:rPr>
            </w:pPr>
            <w:r w:rsidRPr="002E0DDC">
              <w:rPr>
                <w:sz w:val="20"/>
              </w:rPr>
              <w:t>The average of these satisfaction levels is 70%.</w:t>
            </w:r>
          </w:p>
        </w:tc>
      </w:tr>
      <w:tr w:rsidR="002E0DDC" w:rsidRPr="00CA712C">
        <w:tc>
          <w:tcPr>
            <w:tcW w:w="1680" w:type="dxa"/>
            <w:vMerge/>
          </w:tcPr>
          <w:p w:rsidR="002E0DDC" w:rsidRPr="00CA712C" w:rsidRDefault="002E0DDC" w:rsidP="00BA40DA">
            <w:pPr>
              <w:spacing w:before="120" w:after="120"/>
              <w:rPr>
                <w:rFonts w:eastAsia="Times New Roman" w:cs="Times New Roman"/>
                <w:b/>
                <w:bCs/>
                <w:sz w:val="20"/>
                <w:szCs w:val="20"/>
              </w:rPr>
            </w:pPr>
          </w:p>
        </w:tc>
        <w:tc>
          <w:tcPr>
            <w:tcW w:w="3116" w:type="dxa"/>
          </w:tcPr>
          <w:p w:rsidR="002E0DDC" w:rsidRPr="00CA712C" w:rsidRDefault="002E0DDC" w:rsidP="00BA40DA">
            <w:pPr>
              <w:spacing w:before="120" w:after="120"/>
              <w:rPr>
                <w:rFonts w:eastAsia="Times New Roman" w:cs="Times New Roman"/>
                <w:sz w:val="20"/>
                <w:szCs w:val="20"/>
              </w:rPr>
            </w:pPr>
            <w:r w:rsidRPr="00CA712C">
              <w:rPr>
                <w:rFonts w:eastAsia="Times New Roman" w:cs="Times New Roman"/>
                <w:sz w:val="20"/>
                <w:szCs w:val="20"/>
              </w:rPr>
              <w:t xml:space="preserve">Average time taken to fill eligible vacancies (candidate pools and other IPs) </w:t>
            </w:r>
          </w:p>
          <w:p w:rsidR="002E0DDC" w:rsidRPr="00CA712C" w:rsidRDefault="002E0DDC" w:rsidP="00BA40DA">
            <w:pPr>
              <w:spacing w:before="120" w:after="120"/>
              <w:rPr>
                <w:rFonts w:eastAsia="Times New Roman" w:cs="Times New Roman"/>
                <w:i/>
                <w:sz w:val="20"/>
                <w:szCs w:val="20"/>
              </w:rPr>
            </w:pPr>
            <w:r>
              <w:rPr>
                <w:rFonts w:eastAsia="Times New Roman" w:cs="Times New Roman"/>
                <w:i/>
                <w:sz w:val="20"/>
                <w:szCs w:val="20"/>
              </w:rPr>
              <w:t>(</w:t>
            </w:r>
            <w:r w:rsidRPr="00CA712C">
              <w:rPr>
                <w:rFonts w:eastAsia="Times New Roman" w:cs="Times New Roman"/>
                <w:i/>
                <w:sz w:val="20"/>
                <w:szCs w:val="20"/>
              </w:rPr>
              <w:t>Source: OHR Database</w:t>
            </w:r>
            <w:r>
              <w:rPr>
                <w:rFonts w:eastAsia="Times New Roman" w:cs="Times New Roman"/>
                <w:i/>
                <w:sz w:val="20"/>
                <w:szCs w:val="20"/>
              </w:rPr>
              <w:t xml:space="preserve"> – </w:t>
            </w:r>
            <w:r w:rsidRPr="00CA712C">
              <w:rPr>
                <w:rFonts w:eastAsia="Times New Roman" w:cs="Times New Roman"/>
                <w:i/>
                <w:sz w:val="20"/>
                <w:szCs w:val="20"/>
              </w:rPr>
              <w:t xml:space="preserve">Baseline: 18.5 weeks for fixed-term </w:t>
            </w:r>
            <w:r w:rsidRPr="00CA712C">
              <w:rPr>
                <w:rFonts w:eastAsia="Times New Roman" w:cs="Times New Roman"/>
                <w:i/>
                <w:sz w:val="20"/>
                <w:szCs w:val="20"/>
              </w:rPr>
              <w:lastRenderedPageBreak/>
              <w:t>appointment; N/A candidate pools)</w:t>
            </w:r>
          </w:p>
        </w:tc>
        <w:tc>
          <w:tcPr>
            <w:tcW w:w="1877" w:type="dxa"/>
          </w:tcPr>
          <w:p w:rsidR="002E0DDC" w:rsidRPr="00CA712C" w:rsidRDefault="002E0DDC" w:rsidP="00BA40DA">
            <w:pPr>
              <w:spacing w:before="120" w:after="120"/>
              <w:jc w:val="center"/>
              <w:rPr>
                <w:rFonts w:eastAsia="Times New Roman" w:cs="Times New Roman"/>
                <w:sz w:val="20"/>
                <w:szCs w:val="20"/>
              </w:rPr>
            </w:pPr>
            <w:r w:rsidRPr="00CA712C">
              <w:rPr>
                <w:rFonts w:eastAsia="Times New Roman" w:cs="Times New Roman"/>
                <w:sz w:val="20"/>
                <w:szCs w:val="20"/>
              </w:rPr>
              <w:lastRenderedPageBreak/>
              <w:t>12 weeks for FTA;</w:t>
            </w:r>
          </w:p>
          <w:p w:rsidR="002E0DDC" w:rsidRPr="00CA712C" w:rsidRDefault="002E0DDC" w:rsidP="00BA40DA">
            <w:pPr>
              <w:spacing w:before="120" w:after="120"/>
              <w:jc w:val="center"/>
              <w:rPr>
                <w:rFonts w:eastAsia="Times New Roman" w:cs="Times New Roman"/>
                <w:sz w:val="20"/>
                <w:szCs w:val="20"/>
              </w:rPr>
            </w:pPr>
            <w:r w:rsidRPr="00CA712C">
              <w:rPr>
                <w:rFonts w:eastAsia="Times New Roman" w:cs="Times New Roman"/>
                <w:sz w:val="20"/>
                <w:szCs w:val="20"/>
              </w:rPr>
              <w:t>60 days for candidate pools</w:t>
            </w:r>
          </w:p>
        </w:tc>
        <w:tc>
          <w:tcPr>
            <w:tcW w:w="6503" w:type="dxa"/>
          </w:tcPr>
          <w:p w:rsidR="00DB540E" w:rsidRPr="009B4C98" w:rsidRDefault="00DB540E" w:rsidP="00DB540E">
            <w:pPr>
              <w:tabs>
                <w:tab w:val="left" w:pos="2322"/>
              </w:tabs>
              <w:spacing w:before="120"/>
              <w:rPr>
                <w:sz w:val="20"/>
                <w:szCs w:val="20"/>
              </w:rPr>
            </w:pPr>
            <w:r w:rsidRPr="009B4C98">
              <w:rPr>
                <w:sz w:val="20"/>
                <w:szCs w:val="20"/>
              </w:rPr>
              <w:t>Current indicator measure:</w:t>
            </w:r>
            <w:r w:rsidRPr="009B4C98">
              <w:rPr>
                <w:sz w:val="20"/>
                <w:szCs w:val="20"/>
              </w:rPr>
              <w:tab/>
              <w:t>22.4 weeks for international FTA</w:t>
            </w:r>
          </w:p>
          <w:p w:rsidR="00DB540E" w:rsidRPr="009B4C98" w:rsidRDefault="00DB540E" w:rsidP="00DB540E">
            <w:pPr>
              <w:tabs>
                <w:tab w:val="left" w:pos="2322"/>
              </w:tabs>
              <w:spacing w:after="120"/>
              <w:rPr>
                <w:sz w:val="20"/>
                <w:szCs w:val="20"/>
              </w:rPr>
            </w:pPr>
            <w:r>
              <w:rPr>
                <w:sz w:val="20"/>
                <w:szCs w:val="20"/>
              </w:rPr>
              <w:tab/>
            </w:r>
            <w:r w:rsidR="00C72BFA">
              <w:rPr>
                <w:sz w:val="20"/>
                <w:szCs w:val="20"/>
              </w:rPr>
              <w:t>19</w:t>
            </w:r>
            <w:r w:rsidRPr="009B4C98">
              <w:rPr>
                <w:sz w:val="20"/>
                <w:szCs w:val="20"/>
              </w:rPr>
              <w:t xml:space="preserve"> </w:t>
            </w:r>
            <w:r>
              <w:rPr>
                <w:sz w:val="20"/>
                <w:szCs w:val="20"/>
              </w:rPr>
              <w:t xml:space="preserve">working </w:t>
            </w:r>
            <w:r w:rsidRPr="009B4C98">
              <w:rPr>
                <w:sz w:val="20"/>
                <w:szCs w:val="20"/>
              </w:rPr>
              <w:t>days for candidate pools</w:t>
            </w:r>
          </w:p>
          <w:p w:rsidR="002E0DDC" w:rsidRPr="002E0DDC" w:rsidRDefault="002E0DDC" w:rsidP="00DB540E">
            <w:pPr>
              <w:spacing w:before="120" w:after="120"/>
              <w:rPr>
                <w:rFonts w:eastAsia="Times New Roman" w:cs="Times New Roman"/>
                <w:sz w:val="20"/>
                <w:szCs w:val="20"/>
              </w:rPr>
            </w:pPr>
            <w:r w:rsidRPr="002E0DDC">
              <w:rPr>
                <w:rFonts w:eastAsia="Times New Roman" w:cs="Times New Roman"/>
                <w:sz w:val="20"/>
                <w:szCs w:val="20"/>
              </w:rPr>
              <w:t xml:space="preserve">There were no measures for recruitment of international fixed-term appointment (FTA) posts in 2013, </w:t>
            </w:r>
            <w:r w:rsidR="00DB540E">
              <w:rPr>
                <w:rFonts w:eastAsia="Times New Roman" w:cs="Times New Roman"/>
                <w:sz w:val="20"/>
                <w:szCs w:val="20"/>
              </w:rPr>
              <w:t>therefore results were measured in 2012</w:t>
            </w:r>
            <w:r w:rsidRPr="002E0DDC">
              <w:rPr>
                <w:rFonts w:eastAsia="Times New Roman" w:cs="Times New Roman"/>
                <w:sz w:val="20"/>
                <w:szCs w:val="20"/>
              </w:rPr>
              <w:t xml:space="preserve">. </w:t>
            </w:r>
          </w:p>
        </w:tc>
      </w:tr>
      <w:tr w:rsidR="002E0DDC" w:rsidRPr="00CA712C">
        <w:tc>
          <w:tcPr>
            <w:tcW w:w="1680" w:type="dxa"/>
            <w:vMerge w:val="restart"/>
          </w:tcPr>
          <w:p w:rsidR="002E0DDC" w:rsidRPr="00CA712C" w:rsidRDefault="002E0DDC" w:rsidP="00BA40DA">
            <w:pPr>
              <w:spacing w:before="120" w:after="120"/>
              <w:rPr>
                <w:rFonts w:cs="Times New Roman"/>
                <w:sz w:val="20"/>
                <w:szCs w:val="20"/>
              </w:rPr>
            </w:pPr>
            <w:r w:rsidRPr="00CA712C">
              <w:rPr>
                <w:rFonts w:cs="Times New Roman"/>
                <w:sz w:val="20"/>
                <w:szCs w:val="20"/>
              </w:rPr>
              <w:lastRenderedPageBreak/>
              <w:t xml:space="preserve">New and strategic partnerships developed and communications focus enhanced for more strategic positioning of UNDP </w:t>
            </w:r>
          </w:p>
          <w:p w:rsidR="002E0DDC" w:rsidRPr="00CA712C" w:rsidRDefault="002E0DDC" w:rsidP="00BA40DA">
            <w:pPr>
              <w:spacing w:before="120" w:after="120"/>
              <w:rPr>
                <w:rFonts w:eastAsia="Times New Roman" w:cs="Times New Roman"/>
                <w:b/>
                <w:sz w:val="20"/>
                <w:szCs w:val="20"/>
              </w:rPr>
            </w:pPr>
            <w:r w:rsidRPr="00CA712C">
              <w:rPr>
                <w:rFonts w:eastAsia="Times New Roman" w:cs="Times New Roman"/>
                <w:b/>
                <w:sz w:val="20"/>
                <w:szCs w:val="20"/>
              </w:rPr>
              <w:t>(Co</w:t>
            </w:r>
            <w:r>
              <w:rPr>
                <w:rFonts w:eastAsia="Times New Roman" w:cs="Times New Roman"/>
                <w:b/>
                <w:sz w:val="20"/>
                <w:szCs w:val="20"/>
              </w:rPr>
              <w:t>rporate sponsor – BERA</w:t>
            </w:r>
            <w:r w:rsidRPr="00CA712C">
              <w:rPr>
                <w:rFonts w:eastAsia="Times New Roman" w:cs="Times New Roman"/>
                <w:b/>
                <w:sz w:val="20"/>
                <w:szCs w:val="20"/>
              </w:rPr>
              <w:t>)</w:t>
            </w:r>
          </w:p>
        </w:tc>
        <w:tc>
          <w:tcPr>
            <w:tcW w:w="3116" w:type="dxa"/>
          </w:tcPr>
          <w:p w:rsidR="002E0DDC" w:rsidRPr="00CA712C" w:rsidRDefault="002E0DDC" w:rsidP="00BA40DA">
            <w:pPr>
              <w:spacing w:before="120" w:after="120"/>
              <w:rPr>
                <w:rFonts w:cs="Times New Roman"/>
                <w:sz w:val="20"/>
                <w:szCs w:val="20"/>
              </w:rPr>
            </w:pPr>
            <w:r w:rsidRPr="00CA712C">
              <w:rPr>
                <w:rFonts w:cs="Times New Roman"/>
                <w:sz w:val="20"/>
                <w:szCs w:val="20"/>
              </w:rPr>
              <w:t>Percentage of country office websites compliant with corporate standards</w:t>
            </w:r>
            <w:r>
              <w:rPr>
                <w:rFonts w:cs="Times New Roman"/>
                <w:sz w:val="20"/>
                <w:szCs w:val="20"/>
              </w:rPr>
              <w:t xml:space="preserve"> </w:t>
            </w:r>
          </w:p>
          <w:p w:rsidR="002E0DDC" w:rsidRPr="00CA712C" w:rsidRDefault="002E0DDC" w:rsidP="00BA40DA">
            <w:pPr>
              <w:spacing w:before="120" w:after="120"/>
              <w:rPr>
                <w:rFonts w:eastAsia="Times New Roman" w:cs="Times New Roman"/>
                <w:color w:val="FF0000"/>
                <w:sz w:val="20"/>
                <w:szCs w:val="20"/>
              </w:rPr>
            </w:pPr>
            <w:r w:rsidRPr="00CA712C">
              <w:rPr>
                <w:rFonts w:cs="Times New Roman"/>
                <w:sz w:val="20"/>
                <w:szCs w:val="20"/>
              </w:rPr>
              <w:t>(</w:t>
            </w:r>
            <w:r>
              <w:rPr>
                <w:rFonts w:cs="Times New Roman"/>
                <w:i/>
                <w:iCs/>
                <w:sz w:val="20"/>
                <w:szCs w:val="20"/>
              </w:rPr>
              <w:t>Source: Executive/ BERA</w:t>
            </w:r>
            <w:r w:rsidRPr="00CA712C">
              <w:rPr>
                <w:rFonts w:cs="Times New Roman"/>
                <w:i/>
                <w:iCs/>
                <w:sz w:val="20"/>
                <w:szCs w:val="20"/>
              </w:rPr>
              <w:t xml:space="preserve"> Balanced Scorecard</w:t>
            </w:r>
            <w:r>
              <w:rPr>
                <w:rFonts w:eastAsia="Times New Roman" w:cs="Times New Roman"/>
                <w:i/>
                <w:sz w:val="20"/>
                <w:szCs w:val="20"/>
              </w:rPr>
              <w:t xml:space="preserve"> – </w:t>
            </w:r>
            <w:r w:rsidRPr="00CA712C">
              <w:rPr>
                <w:rFonts w:cs="Times New Roman"/>
                <w:i/>
                <w:iCs/>
                <w:sz w:val="20"/>
                <w:szCs w:val="20"/>
              </w:rPr>
              <w:t>Baseline: 71%)</w:t>
            </w:r>
          </w:p>
        </w:tc>
        <w:tc>
          <w:tcPr>
            <w:tcW w:w="1877" w:type="dxa"/>
          </w:tcPr>
          <w:p w:rsidR="002E0DDC" w:rsidRPr="00CA712C" w:rsidRDefault="002E0DDC" w:rsidP="00BA40DA">
            <w:pPr>
              <w:spacing w:before="120" w:after="120"/>
              <w:jc w:val="center"/>
              <w:rPr>
                <w:rFonts w:eastAsia="Times New Roman" w:cs="Times New Roman"/>
                <w:b/>
                <w:sz w:val="20"/>
                <w:szCs w:val="20"/>
              </w:rPr>
            </w:pPr>
            <w:r w:rsidRPr="00CA712C">
              <w:rPr>
                <w:rFonts w:eastAsia="Times New Roman" w:cs="Times New Roman"/>
                <w:sz w:val="20"/>
                <w:szCs w:val="20"/>
              </w:rPr>
              <w:t>93%</w:t>
            </w:r>
          </w:p>
        </w:tc>
        <w:tc>
          <w:tcPr>
            <w:tcW w:w="6503" w:type="dxa"/>
          </w:tcPr>
          <w:p w:rsidR="002E0DDC" w:rsidRPr="002E0DDC" w:rsidRDefault="002E0DDC" w:rsidP="004B47AE">
            <w:pPr>
              <w:spacing w:before="120" w:after="120"/>
              <w:rPr>
                <w:rFonts w:eastAsia="Times New Roman" w:cs="Times New Roman"/>
                <w:sz w:val="20"/>
                <w:szCs w:val="20"/>
              </w:rPr>
            </w:pPr>
            <w:r w:rsidRPr="002E0DDC">
              <w:rPr>
                <w:rFonts w:eastAsia="Times New Roman" w:cs="Times New Roman"/>
                <w:sz w:val="20"/>
                <w:szCs w:val="20"/>
              </w:rPr>
              <w:t>As part of the Agenda for Organizational Change, a new transparency and accountability indicator (CO Website Updated and Reflects Key UNDP Priorities) will replace the current indicator, and will be introduced in 2014 with a view to upgrade and better reflect the latest organisational priorities, including:</w:t>
            </w:r>
          </w:p>
          <w:p w:rsidR="00A7518B" w:rsidRDefault="002E0DDC" w:rsidP="002E0DDC">
            <w:pPr>
              <w:pStyle w:val="ListParagraph"/>
              <w:numPr>
                <w:ilvl w:val="0"/>
                <w:numId w:val="12"/>
              </w:numPr>
              <w:spacing w:before="120" w:after="120"/>
              <w:ind w:left="446" w:hanging="187"/>
              <w:contextualSpacing w:val="0"/>
              <w:rPr>
                <w:rFonts w:eastAsia="Times New Roman" w:cs="Times New Roman"/>
                <w:sz w:val="20"/>
                <w:szCs w:val="20"/>
              </w:rPr>
            </w:pPr>
            <w:r w:rsidRPr="002E0DDC">
              <w:rPr>
                <w:rFonts w:eastAsia="Times New Roman" w:cs="Times New Roman"/>
                <w:sz w:val="20"/>
                <w:szCs w:val="20"/>
              </w:rPr>
              <w:t xml:space="preserve">Transparency, as defined in the International Aid Transparency Initiative (IATI) as well as adherence to the Information Disclosure Policy.   </w:t>
            </w:r>
          </w:p>
          <w:p w:rsidR="002E0DDC" w:rsidRPr="00A7518B" w:rsidRDefault="002E0DDC" w:rsidP="002E0DDC">
            <w:pPr>
              <w:pStyle w:val="ListParagraph"/>
              <w:numPr>
                <w:ilvl w:val="0"/>
                <w:numId w:val="12"/>
              </w:numPr>
              <w:spacing w:before="120" w:after="120"/>
              <w:ind w:left="446" w:hanging="187"/>
              <w:contextualSpacing w:val="0"/>
              <w:rPr>
                <w:rFonts w:eastAsia="Times New Roman" w:cs="Times New Roman"/>
                <w:sz w:val="20"/>
                <w:szCs w:val="20"/>
              </w:rPr>
            </w:pPr>
            <w:r w:rsidRPr="00A7518B">
              <w:rPr>
                <w:rFonts w:eastAsia="Times New Roman" w:cs="Times New Roman"/>
                <w:sz w:val="20"/>
                <w:szCs w:val="20"/>
              </w:rPr>
              <w:t xml:space="preserve">Communication of results through a coherent and harmonized approach based on UNDP’s global Internet upgrade. </w:t>
            </w:r>
          </w:p>
        </w:tc>
      </w:tr>
      <w:tr w:rsidR="002E0DDC" w:rsidRPr="00CA712C">
        <w:tc>
          <w:tcPr>
            <w:tcW w:w="1680" w:type="dxa"/>
            <w:vMerge/>
          </w:tcPr>
          <w:p w:rsidR="002E0DDC" w:rsidRPr="00CA712C" w:rsidRDefault="002E0DDC" w:rsidP="00BA40DA">
            <w:pPr>
              <w:spacing w:before="120" w:after="120"/>
              <w:rPr>
                <w:rFonts w:eastAsia="Times New Roman" w:cs="Times New Roman"/>
                <w:sz w:val="20"/>
                <w:szCs w:val="20"/>
              </w:rPr>
            </w:pPr>
          </w:p>
        </w:tc>
        <w:tc>
          <w:tcPr>
            <w:tcW w:w="3116" w:type="dxa"/>
          </w:tcPr>
          <w:p w:rsidR="002E0DDC" w:rsidRPr="00CA712C" w:rsidRDefault="002E0DDC" w:rsidP="00BA40DA">
            <w:pPr>
              <w:spacing w:before="120" w:after="120"/>
              <w:rPr>
                <w:rFonts w:cs="Times New Roman"/>
                <w:sz w:val="20"/>
                <w:szCs w:val="20"/>
              </w:rPr>
            </w:pPr>
            <w:r w:rsidRPr="00CA712C">
              <w:rPr>
                <w:rFonts w:cs="Times New Roman"/>
                <w:sz w:val="20"/>
                <w:szCs w:val="20"/>
              </w:rPr>
              <w:t>Number of new and strategic partnership agreements, plans and/or modalities launched with emerging global powers.</w:t>
            </w:r>
            <w:r>
              <w:rPr>
                <w:rFonts w:cs="Times New Roman"/>
                <w:sz w:val="20"/>
                <w:szCs w:val="20"/>
              </w:rPr>
              <w:t xml:space="preserve"> </w:t>
            </w:r>
          </w:p>
          <w:p w:rsidR="002E0DDC" w:rsidRPr="00CA712C" w:rsidRDefault="002E0DDC" w:rsidP="00BA40DA">
            <w:pPr>
              <w:spacing w:before="120" w:after="120"/>
              <w:rPr>
                <w:rFonts w:eastAsia="Times New Roman" w:cs="Times New Roman"/>
                <w:sz w:val="20"/>
                <w:szCs w:val="20"/>
              </w:rPr>
            </w:pPr>
            <w:r w:rsidRPr="00CA712C">
              <w:rPr>
                <w:rFonts w:cs="Times New Roman"/>
                <w:sz w:val="20"/>
                <w:szCs w:val="20"/>
              </w:rPr>
              <w:t>(</w:t>
            </w:r>
            <w:r w:rsidRPr="00CA712C">
              <w:rPr>
                <w:rFonts w:cs="Times New Roman"/>
                <w:i/>
                <w:iCs/>
                <w:sz w:val="20"/>
                <w:szCs w:val="20"/>
              </w:rPr>
              <w:t>Source: New Strategic Partnerships Progress Tracker</w:t>
            </w:r>
            <w:r>
              <w:rPr>
                <w:rFonts w:eastAsia="Times New Roman" w:cs="Times New Roman"/>
                <w:i/>
                <w:sz w:val="20"/>
                <w:szCs w:val="20"/>
              </w:rPr>
              <w:t xml:space="preserve"> – </w:t>
            </w:r>
            <w:r w:rsidRPr="00CA712C">
              <w:rPr>
                <w:rFonts w:cs="Times New Roman"/>
                <w:i/>
                <w:iCs/>
                <w:sz w:val="20"/>
                <w:szCs w:val="20"/>
              </w:rPr>
              <w:t>Baseline: N/A</w:t>
            </w:r>
            <w:r w:rsidRPr="00CA712C">
              <w:rPr>
                <w:rFonts w:cs="Times New Roman"/>
                <w:sz w:val="20"/>
                <w:szCs w:val="20"/>
              </w:rPr>
              <w:t>)</w:t>
            </w:r>
          </w:p>
        </w:tc>
        <w:tc>
          <w:tcPr>
            <w:tcW w:w="1877" w:type="dxa"/>
          </w:tcPr>
          <w:p w:rsidR="002E0DDC" w:rsidRPr="00CA712C" w:rsidRDefault="002E0DDC" w:rsidP="00BA40DA">
            <w:pPr>
              <w:spacing w:before="120" w:after="120"/>
              <w:jc w:val="center"/>
              <w:rPr>
                <w:rFonts w:eastAsia="Times New Roman" w:cs="Times New Roman"/>
                <w:sz w:val="20"/>
                <w:szCs w:val="20"/>
              </w:rPr>
            </w:pPr>
            <w:r w:rsidRPr="00CA712C">
              <w:rPr>
                <w:rFonts w:eastAsia="Times New Roman" w:cs="Times New Roman"/>
                <w:sz w:val="20"/>
                <w:szCs w:val="20"/>
              </w:rPr>
              <w:t>11</w:t>
            </w:r>
          </w:p>
        </w:tc>
        <w:tc>
          <w:tcPr>
            <w:tcW w:w="6503" w:type="dxa"/>
          </w:tcPr>
          <w:p w:rsidR="002E0DDC" w:rsidRPr="002E0DDC" w:rsidRDefault="002E0DDC" w:rsidP="00BA40DA">
            <w:pPr>
              <w:spacing w:before="120" w:after="120"/>
              <w:rPr>
                <w:rFonts w:eastAsia="Times New Roman" w:cs="Times New Roman"/>
                <w:sz w:val="20"/>
                <w:szCs w:val="20"/>
              </w:rPr>
            </w:pPr>
            <w:r w:rsidRPr="002E0DDC">
              <w:rPr>
                <w:rFonts w:eastAsia="Times New Roman" w:cs="Times New Roman"/>
                <w:sz w:val="20"/>
                <w:szCs w:val="20"/>
              </w:rPr>
              <w:t>Current indicator measure: 7</w:t>
            </w:r>
          </w:p>
          <w:p w:rsidR="002E0DDC" w:rsidRPr="002E0DDC" w:rsidRDefault="002E0DDC" w:rsidP="002E0DDC">
            <w:pPr>
              <w:spacing w:before="120" w:after="120"/>
              <w:ind w:left="8"/>
              <w:rPr>
                <w:rFonts w:eastAsia="Times New Roman" w:cs="Times New Roman"/>
                <w:sz w:val="20"/>
                <w:szCs w:val="20"/>
              </w:rPr>
            </w:pPr>
            <w:r w:rsidRPr="002E0DDC">
              <w:rPr>
                <w:rFonts w:eastAsia="Times New Roman" w:cs="Times New Roman"/>
                <w:sz w:val="20"/>
                <w:szCs w:val="20"/>
              </w:rPr>
              <w:t>In 2013, UNDP had in total seven partnership agreements with the following emerging economies: India, Indonesia, Brazil, China, Mexico, South Africa and Turkey. These partnership agreements seek to expand South-South cooperation in support of mutually agreed development priorities. Operationalization of the seven partnership agreements continued in 2013, including but not limited to the following:</w:t>
            </w:r>
          </w:p>
          <w:p w:rsidR="002E0DDC" w:rsidRPr="002E0DDC" w:rsidRDefault="002E0DDC" w:rsidP="002E0DDC">
            <w:pPr>
              <w:pStyle w:val="ListParagraph"/>
              <w:numPr>
                <w:ilvl w:val="0"/>
                <w:numId w:val="13"/>
              </w:numPr>
              <w:spacing w:before="120" w:after="120"/>
              <w:ind w:left="446" w:hanging="187"/>
              <w:contextualSpacing w:val="0"/>
              <w:rPr>
                <w:rFonts w:eastAsia="Times New Roman" w:cs="Times New Roman"/>
                <w:sz w:val="20"/>
                <w:szCs w:val="20"/>
              </w:rPr>
            </w:pPr>
            <w:r w:rsidRPr="002E0DDC">
              <w:rPr>
                <w:rFonts w:eastAsia="Times New Roman" w:cs="Times New Roman"/>
                <w:sz w:val="20"/>
                <w:szCs w:val="20"/>
              </w:rPr>
              <w:t>The Administrator held a high-level partnership dialogue with the South African Minister of International Cooperation, where the partnership agreement and South-South cooperation were discussed.</w:t>
            </w:r>
          </w:p>
          <w:p w:rsidR="002E0DDC" w:rsidRPr="002E0DDC" w:rsidRDefault="002E0DDC" w:rsidP="002E0DDC">
            <w:pPr>
              <w:pStyle w:val="ListParagraph"/>
              <w:numPr>
                <w:ilvl w:val="0"/>
                <w:numId w:val="13"/>
              </w:numPr>
              <w:spacing w:before="120" w:after="120"/>
              <w:ind w:left="446" w:hanging="187"/>
              <w:contextualSpacing w:val="0"/>
              <w:rPr>
                <w:rFonts w:eastAsia="Times New Roman" w:cs="Times New Roman"/>
                <w:sz w:val="20"/>
                <w:szCs w:val="20"/>
              </w:rPr>
            </w:pPr>
            <w:r w:rsidRPr="002E0DDC">
              <w:rPr>
                <w:rFonts w:eastAsia="Times New Roman" w:cs="Times New Roman"/>
                <w:sz w:val="20"/>
                <w:szCs w:val="20"/>
              </w:rPr>
              <w:t>Mexico, UNDP provided strong support during the preparations of the High Level Meeting on the Global Partnership for Effective Development Cooperation.</w:t>
            </w:r>
          </w:p>
          <w:p w:rsidR="002E0DDC" w:rsidRPr="002E0DDC" w:rsidRDefault="002E0DDC" w:rsidP="002E0DDC">
            <w:pPr>
              <w:pStyle w:val="ListParagraph"/>
              <w:numPr>
                <w:ilvl w:val="0"/>
                <w:numId w:val="13"/>
              </w:numPr>
              <w:spacing w:before="120" w:after="120"/>
              <w:ind w:left="446" w:hanging="187"/>
              <w:contextualSpacing w:val="0"/>
              <w:rPr>
                <w:rFonts w:eastAsia="Times New Roman" w:cs="Times New Roman"/>
                <w:sz w:val="20"/>
                <w:szCs w:val="20"/>
              </w:rPr>
            </w:pPr>
            <w:r w:rsidRPr="002E0DDC">
              <w:rPr>
                <w:rFonts w:eastAsia="Times New Roman" w:cs="Times New Roman"/>
                <w:sz w:val="20"/>
                <w:szCs w:val="20"/>
              </w:rPr>
              <w:t>UNDP expanded collaboration with China on South-South cooperation, including projects on renewable energy in Ghana and Zambia.</w:t>
            </w:r>
          </w:p>
          <w:p w:rsidR="002E0DDC" w:rsidRPr="002E0DDC" w:rsidRDefault="002E0DDC" w:rsidP="002E0DDC">
            <w:pPr>
              <w:spacing w:before="120" w:after="120"/>
              <w:rPr>
                <w:rFonts w:eastAsia="Times New Roman" w:cs="Times New Roman"/>
                <w:sz w:val="20"/>
                <w:szCs w:val="20"/>
              </w:rPr>
            </w:pPr>
            <w:r w:rsidRPr="002E0DDC">
              <w:rPr>
                <w:rFonts w:eastAsia="Times New Roman" w:cs="Times New Roman"/>
                <w:sz w:val="20"/>
                <w:szCs w:val="20"/>
              </w:rPr>
              <w:t>Turkey increased its core voluntary contribution from $1.1 to $3.0 mil.</w:t>
            </w:r>
          </w:p>
        </w:tc>
      </w:tr>
      <w:tr w:rsidR="002E0DDC" w:rsidRPr="00CA712C">
        <w:tc>
          <w:tcPr>
            <w:tcW w:w="1680" w:type="dxa"/>
            <w:vMerge/>
          </w:tcPr>
          <w:p w:rsidR="002E0DDC" w:rsidRPr="00CA712C" w:rsidRDefault="002E0DDC" w:rsidP="00BA40DA">
            <w:pPr>
              <w:spacing w:before="120" w:after="120"/>
              <w:rPr>
                <w:rFonts w:eastAsia="Times New Roman" w:cs="Times New Roman"/>
                <w:sz w:val="20"/>
                <w:szCs w:val="20"/>
              </w:rPr>
            </w:pPr>
          </w:p>
        </w:tc>
        <w:tc>
          <w:tcPr>
            <w:tcW w:w="3116" w:type="dxa"/>
          </w:tcPr>
          <w:p w:rsidR="002E0DDC" w:rsidRPr="00CA712C" w:rsidRDefault="002E0DDC" w:rsidP="00BA40DA">
            <w:pPr>
              <w:spacing w:before="120" w:after="120"/>
              <w:rPr>
                <w:rFonts w:cs="Times New Roman"/>
                <w:sz w:val="20"/>
                <w:szCs w:val="20"/>
              </w:rPr>
            </w:pPr>
            <w:r>
              <w:rPr>
                <w:rFonts w:cs="Times New Roman"/>
                <w:sz w:val="20"/>
                <w:szCs w:val="20"/>
              </w:rPr>
              <w:t>Number of new strategic </w:t>
            </w:r>
            <w:r w:rsidRPr="00CA712C">
              <w:rPr>
                <w:rFonts w:cs="Times New Roman"/>
                <w:sz w:val="20"/>
                <w:szCs w:val="20"/>
              </w:rPr>
              <w:t xml:space="preserve">platforms </w:t>
            </w:r>
            <w:r w:rsidRPr="00CA712C">
              <w:rPr>
                <w:rFonts w:cs="Times New Roman"/>
                <w:sz w:val="20"/>
                <w:szCs w:val="20"/>
              </w:rPr>
              <w:lastRenderedPageBreak/>
              <w:t>and/or alliances launched with foundations, private sector, civil society organi</w:t>
            </w:r>
            <w:r>
              <w:rPr>
                <w:rFonts w:cs="Times New Roman"/>
                <w:sz w:val="20"/>
                <w:szCs w:val="20"/>
              </w:rPr>
              <w:t>s</w:t>
            </w:r>
            <w:r w:rsidRPr="00CA712C">
              <w:rPr>
                <w:rFonts w:cs="Times New Roman"/>
                <w:sz w:val="20"/>
                <w:szCs w:val="20"/>
              </w:rPr>
              <w:t xml:space="preserve">ations and other partners </w:t>
            </w:r>
          </w:p>
          <w:p w:rsidR="002E0DDC" w:rsidRPr="00CA712C" w:rsidRDefault="002E0DDC" w:rsidP="00BA40DA">
            <w:pPr>
              <w:spacing w:before="120" w:after="120"/>
              <w:rPr>
                <w:rFonts w:cs="Times New Roman"/>
                <w:sz w:val="20"/>
                <w:szCs w:val="20"/>
              </w:rPr>
            </w:pPr>
            <w:r w:rsidRPr="00CA712C">
              <w:rPr>
                <w:rFonts w:cs="Times New Roman"/>
                <w:sz w:val="20"/>
                <w:szCs w:val="20"/>
              </w:rPr>
              <w:t xml:space="preserve"> (</w:t>
            </w:r>
            <w:r>
              <w:rPr>
                <w:rFonts w:cs="Times New Roman"/>
                <w:i/>
                <w:iCs/>
                <w:sz w:val="20"/>
                <w:szCs w:val="20"/>
              </w:rPr>
              <w:t>Source: BERA</w:t>
            </w:r>
            <w:r w:rsidRPr="00CA712C">
              <w:rPr>
                <w:rFonts w:cs="Times New Roman"/>
                <w:i/>
                <w:iCs/>
                <w:sz w:val="20"/>
                <w:szCs w:val="20"/>
              </w:rPr>
              <w:t xml:space="preserve"> Balanced Scorecard</w:t>
            </w:r>
            <w:r>
              <w:rPr>
                <w:rFonts w:eastAsia="Times New Roman" w:cs="Times New Roman"/>
                <w:i/>
                <w:sz w:val="20"/>
                <w:szCs w:val="20"/>
              </w:rPr>
              <w:t xml:space="preserve"> – </w:t>
            </w:r>
            <w:r w:rsidRPr="00CA712C">
              <w:rPr>
                <w:rFonts w:cs="Times New Roman"/>
                <w:i/>
                <w:iCs/>
                <w:sz w:val="20"/>
                <w:szCs w:val="20"/>
              </w:rPr>
              <w:t>Baseline: 10</w:t>
            </w:r>
            <w:r w:rsidRPr="00CA712C">
              <w:rPr>
                <w:rFonts w:cs="Times New Roman"/>
                <w:sz w:val="20"/>
                <w:szCs w:val="20"/>
              </w:rPr>
              <w:t>)</w:t>
            </w:r>
          </w:p>
        </w:tc>
        <w:tc>
          <w:tcPr>
            <w:tcW w:w="1877" w:type="dxa"/>
          </w:tcPr>
          <w:p w:rsidR="002E0DDC" w:rsidRPr="00CA712C" w:rsidRDefault="002E0DDC" w:rsidP="00BA40DA">
            <w:pPr>
              <w:spacing w:before="120" w:after="120"/>
              <w:jc w:val="center"/>
              <w:rPr>
                <w:rFonts w:eastAsia="Times New Roman" w:cs="Times New Roman"/>
                <w:sz w:val="20"/>
                <w:szCs w:val="20"/>
              </w:rPr>
            </w:pPr>
            <w:r w:rsidRPr="00CA712C">
              <w:rPr>
                <w:rFonts w:eastAsia="Times New Roman" w:cs="Times New Roman"/>
                <w:sz w:val="20"/>
                <w:szCs w:val="20"/>
              </w:rPr>
              <w:lastRenderedPageBreak/>
              <w:t>11</w:t>
            </w:r>
          </w:p>
        </w:tc>
        <w:tc>
          <w:tcPr>
            <w:tcW w:w="6503" w:type="dxa"/>
          </w:tcPr>
          <w:p w:rsidR="002E0DDC" w:rsidRPr="002E0DDC" w:rsidRDefault="002E0DDC" w:rsidP="00BA40DA">
            <w:pPr>
              <w:spacing w:before="120" w:after="120"/>
              <w:rPr>
                <w:rFonts w:eastAsia="Times New Roman" w:cs="Times New Roman"/>
                <w:sz w:val="20"/>
                <w:szCs w:val="20"/>
              </w:rPr>
            </w:pPr>
            <w:r w:rsidRPr="002E0DDC">
              <w:rPr>
                <w:rFonts w:eastAsia="Times New Roman" w:cs="Times New Roman"/>
                <w:sz w:val="20"/>
                <w:szCs w:val="20"/>
              </w:rPr>
              <w:t>Current indicator measure: 14</w:t>
            </w:r>
          </w:p>
          <w:p w:rsidR="002E0DDC" w:rsidRPr="002E0DDC" w:rsidRDefault="002E0DDC" w:rsidP="002E0DDC">
            <w:pPr>
              <w:pStyle w:val="ListParagraph"/>
              <w:numPr>
                <w:ilvl w:val="0"/>
                <w:numId w:val="14"/>
              </w:numPr>
              <w:spacing w:before="120" w:after="120"/>
              <w:ind w:left="446" w:hanging="187"/>
              <w:contextualSpacing w:val="0"/>
              <w:rPr>
                <w:rFonts w:eastAsia="Times New Roman" w:cs="Times New Roman"/>
                <w:sz w:val="20"/>
                <w:szCs w:val="20"/>
              </w:rPr>
            </w:pPr>
            <w:r w:rsidRPr="002E0DDC">
              <w:rPr>
                <w:rFonts w:eastAsia="Times New Roman" w:cs="Times New Roman"/>
                <w:sz w:val="20"/>
                <w:szCs w:val="20"/>
              </w:rPr>
              <w:lastRenderedPageBreak/>
              <w:t>Overall, a total of 50 UNDP offices received USD$23.9 million in financial contributions from private sector partners in 2013.</w:t>
            </w:r>
          </w:p>
          <w:p w:rsidR="002E0DDC" w:rsidRPr="002E0DDC" w:rsidRDefault="002E0DDC" w:rsidP="002E0DDC">
            <w:pPr>
              <w:pStyle w:val="ListParagraph"/>
              <w:numPr>
                <w:ilvl w:val="0"/>
                <w:numId w:val="14"/>
              </w:numPr>
              <w:spacing w:before="120" w:after="120"/>
              <w:ind w:left="446" w:hanging="187"/>
              <w:contextualSpacing w:val="0"/>
              <w:rPr>
                <w:rFonts w:eastAsia="Times New Roman" w:cs="Times New Roman"/>
                <w:sz w:val="20"/>
                <w:szCs w:val="20"/>
              </w:rPr>
            </w:pPr>
            <w:r w:rsidRPr="002E0DDC">
              <w:rPr>
                <w:rFonts w:eastAsia="Times New Roman" w:cs="Times New Roman"/>
                <w:sz w:val="20"/>
                <w:szCs w:val="20"/>
              </w:rPr>
              <w:t>In addition, a total of 38 UNDP Offices reported on project activities under Corporate Outcome 1.3 in 2013 (Policies, strategies and partnerships established to enhance public-private sector collaboration and private sector and market development that benefit the poor and ensure that low-income households and small enterprises have access to a broad range of financial and legal services) with a total 2014 budget of $164 million and expenditures of $132 million.</w:t>
            </w:r>
          </w:p>
          <w:p w:rsidR="002E0DDC" w:rsidRPr="002E0DDC" w:rsidRDefault="002E0DDC" w:rsidP="002E0DDC">
            <w:pPr>
              <w:pStyle w:val="ListParagraph"/>
              <w:numPr>
                <w:ilvl w:val="0"/>
                <w:numId w:val="14"/>
              </w:numPr>
              <w:spacing w:before="120" w:after="120"/>
              <w:ind w:left="446" w:hanging="187"/>
              <w:contextualSpacing w:val="0"/>
              <w:rPr>
                <w:rFonts w:eastAsia="Times New Roman" w:cs="Times New Roman"/>
                <w:sz w:val="20"/>
                <w:szCs w:val="20"/>
              </w:rPr>
            </w:pPr>
            <w:r w:rsidRPr="002E0DDC">
              <w:rPr>
                <w:rFonts w:eastAsia="Times New Roman" w:cs="Times New Roman"/>
                <w:sz w:val="20"/>
                <w:szCs w:val="20"/>
              </w:rPr>
              <w:t>Foundations and post-2015: UNDP initiated a dialogue platform with Foundations to enhance engagement of philanthropy in support of the emerging post-2015 development agenda. Between April and December 2013, UNDP exchanged views with over 300 foundations and organized two high level meetings on this topic during the Development Cooperation Forum and the General Assembly in Sept 2015.</w:t>
            </w:r>
          </w:p>
          <w:p w:rsidR="002E0DDC" w:rsidRPr="002E0DDC" w:rsidRDefault="002E0DDC" w:rsidP="002E0DDC">
            <w:pPr>
              <w:pStyle w:val="ListParagraph"/>
              <w:numPr>
                <w:ilvl w:val="0"/>
                <w:numId w:val="14"/>
              </w:numPr>
              <w:spacing w:before="120" w:after="120"/>
              <w:ind w:left="446" w:hanging="187"/>
              <w:contextualSpacing w:val="0"/>
              <w:rPr>
                <w:rFonts w:eastAsia="Times New Roman" w:cs="Times New Roman"/>
                <w:sz w:val="20"/>
                <w:szCs w:val="20"/>
              </w:rPr>
            </w:pPr>
            <w:r w:rsidRPr="002E0DDC">
              <w:rPr>
                <w:rFonts w:eastAsia="Times New Roman" w:cs="Times New Roman"/>
                <w:sz w:val="20"/>
                <w:szCs w:val="20"/>
              </w:rPr>
              <w:t>UNDP engaged with the Spanish company Telefonica in a new partnership focused on supporting youth development in Latin America and raising awareness and engage young people around the emerging post-2015 development agenda.</w:t>
            </w:r>
          </w:p>
          <w:p w:rsidR="002E0DDC" w:rsidRPr="002E0DDC" w:rsidRDefault="002E0DDC" w:rsidP="002E0DDC">
            <w:pPr>
              <w:pStyle w:val="ListParagraph"/>
              <w:numPr>
                <w:ilvl w:val="0"/>
                <w:numId w:val="14"/>
              </w:numPr>
              <w:spacing w:before="120" w:after="120"/>
              <w:ind w:left="446" w:hanging="187"/>
              <w:contextualSpacing w:val="0"/>
              <w:rPr>
                <w:rFonts w:eastAsia="Times New Roman" w:cs="Times New Roman"/>
                <w:sz w:val="20"/>
                <w:szCs w:val="20"/>
              </w:rPr>
            </w:pPr>
            <w:r w:rsidRPr="002E0DDC">
              <w:rPr>
                <w:rFonts w:eastAsia="Times New Roman" w:cs="Times New Roman"/>
                <w:sz w:val="20"/>
                <w:szCs w:val="20"/>
              </w:rPr>
              <w:t>The UNDP Istanbul International Center on Private Sector in Development (IICPSD) together with the Union of Chambers and Commodity Exchanges of Turkey (TOBB) launched a new platform for research and engagement between public and private actors on issues related to the private sector’s role in skills development and new models for vocational training, entitled “Global Alliance for Sustainable Employment”.</w:t>
            </w:r>
          </w:p>
          <w:p w:rsidR="002E0DDC" w:rsidRPr="002E0DDC" w:rsidRDefault="002E0DDC" w:rsidP="002E0DDC">
            <w:pPr>
              <w:pStyle w:val="ListParagraph"/>
              <w:numPr>
                <w:ilvl w:val="0"/>
                <w:numId w:val="14"/>
              </w:numPr>
              <w:spacing w:before="120" w:after="120"/>
              <w:ind w:left="446" w:hanging="187"/>
              <w:contextualSpacing w:val="0"/>
              <w:rPr>
                <w:rFonts w:eastAsia="Times New Roman" w:cs="Times New Roman"/>
                <w:sz w:val="20"/>
                <w:szCs w:val="20"/>
              </w:rPr>
            </w:pPr>
            <w:r w:rsidRPr="002E0DDC">
              <w:rPr>
                <w:rFonts w:eastAsia="Times New Roman" w:cs="Times New Roman"/>
                <w:sz w:val="20"/>
                <w:szCs w:val="20"/>
              </w:rPr>
              <w:t>The IICPSD also launched a collaboration with the University of Michigan to analyze and promote more significant contributions of foreign direct investments to local economic development and competitiveness. The first country of focus for this initiative in 2013 was Liberia.</w:t>
            </w:r>
          </w:p>
          <w:p w:rsidR="002E0DDC" w:rsidRPr="002E0DDC" w:rsidRDefault="002E0DDC" w:rsidP="002E0DDC">
            <w:pPr>
              <w:pStyle w:val="ListParagraph"/>
              <w:numPr>
                <w:ilvl w:val="0"/>
                <w:numId w:val="14"/>
              </w:numPr>
              <w:spacing w:before="120" w:after="120"/>
              <w:ind w:left="446" w:hanging="187"/>
              <w:contextualSpacing w:val="0"/>
              <w:rPr>
                <w:rFonts w:eastAsia="Times New Roman" w:cs="Times New Roman"/>
                <w:sz w:val="20"/>
                <w:szCs w:val="20"/>
              </w:rPr>
            </w:pPr>
            <w:r w:rsidRPr="002E0DDC">
              <w:rPr>
                <w:rFonts w:eastAsia="Times New Roman" w:cs="Times New Roman"/>
                <w:sz w:val="20"/>
                <w:szCs w:val="20"/>
              </w:rPr>
              <w:lastRenderedPageBreak/>
              <w:t>UNDP established new relationships with numerous leading global extractive industry associations, initiatives and companies to form synergies and collaboration with UNDP’s new global project on the extractive sector, approved in 2013. Several new country level partnerships with extractive industry actors were formed, including with: a major mining company in Brazil to promote local development; with two large oil &amp; gas companies in Colombia to address community development and access to water and improved food security as well as to manage disaster risk; and with a major mining company in Sierra Leone to promote skills and apprenticeships. Several other partnerships are under development.</w:t>
            </w:r>
          </w:p>
          <w:p w:rsidR="002E0DDC" w:rsidRPr="002E0DDC" w:rsidRDefault="002E0DDC" w:rsidP="002E0DDC">
            <w:pPr>
              <w:pStyle w:val="ListParagraph"/>
              <w:numPr>
                <w:ilvl w:val="0"/>
                <w:numId w:val="14"/>
              </w:numPr>
              <w:spacing w:before="120" w:after="120"/>
              <w:ind w:left="446" w:hanging="187"/>
              <w:contextualSpacing w:val="0"/>
              <w:rPr>
                <w:rFonts w:eastAsia="Times New Roman" w:cs="Times New Roman"/>
                <w:sz w:val="20"/>
                <w:szCs w:val="20"/>
              </w:rPr>
            </w:pPr>
            <w:r w:rsidRPr="002E0DDC">
              <w:rPr>
                <w:rFonts w:eastAsia="Times New Roman" w:cs="Times New Roman"/>
                <w:sz w:val="20"/>
                <w:szCs w:val="20"/>
              </w:rPr>
              <w:t>UNDP hosted “Business Call to Action” initiative with the UNDP Country Offices supported the Philippines Business for Progress launch of a new country level platform for dialogue, advocacy and mobilization of company-led inclusive business initiatives.</w:t>
            </w:r>
          </w:p>
          <w:p w:rsidR="002E0DDC" w:rsidRPr="002E0DDC" w:rsidRDefault="002E0DDC" w:rsidP="002E0DDC">
            <w:pPr>
              <w:pStyle w:val="ListParagraph"/>
              <w:numPr>
                <w:ilvl w:val="0"/>
                <w:numId w:val="14"/>
              </w:numPr>
              <w:spacing w:before="120" w:after="120"/>
              <w:ind w:left="446" w:hanging="187"/>
              <w:contextualSpacing w:val="0"/>
              <w:rPr>
                <w:rFonts w:eastAsia="Times New Roman" w:cs="Times New Roman"/>
                <w:sz w:val="20"/>
                <w:szCs w:val="20"/>
              </w:rPr>
            </w:pPr>
            <w:r w:rsidRPr="002E0DDC">
              <w:rPr>
                <w:rFonts w:eastAsia="Times New Roman" w:cs="Times New Roman"/>
                <w:sz w:val="20"/>
                <w:szCs w:val="20"/>
              </w:rPr>
              <w:t>UNDP’s regional private sector project in Africa launched a major report on building inclusive business for shared prosperity in Africa and convened regional policy dialogues based on the report.</w:t>
            </w:r>
          </w:p>
          <w:p w:rsidR="002E0DDC" w:rsidRPr="002E0DDC" w:rsidRDefault="002E0DDC" w:rsidP="002E0DDC">
            <w:pPr>
              <w:spacing w:before="120" w:after="120"/>
              <w:rPr>
                <w:rFonts w:eastAsia="Times New Roman" w:cs="Times New Roman"/>
                <w:sz w:val="20"/>
                <w:szCs w:val="20"/>
              </w:rPr>
            </w:pPr>
            <w:r w:rsidRPr="002E0DDC">
              <w:rPr>
                <w:rFonts w:eastAsia="Times New Roman" w:cs="Times New Roman"/>
                <w:sz w:val="20"/>
                <w:szCs w:val="20"/>
              </w:rPr>
              <w:t>Internally, UNDP approved a new Policy on Due Diligence and Partnerships with the Private Sector to strengthen management of risks that arise from increased collaboration. This risk management policy and association risk management tool provides an internal mechanism for greater support and oversight of UNDP’s engagement with the private sector.</w:t>
            </w:r>
          </w:p>
        </w:tc>
      </w:tr>
      <w:tr w:rsidR="002E0DDC" w:rsidRPr="00CA712C">
        <w:tc>
          <w:tcPr>
            <w:tcW w:w="1680" w:type="dxa"/>
            <w:vMerge w:val="restart"/>
          </w:tcPr>
          <w:p w:rsidR="002E0DDC" w:rsidRPr="00CA712C" w:rsidRDefault="002E0DDC" w:rsidP="00BA40DA">
            <w:pPr>
              <w:spacing w:before="120" w:after="120"/>
              <w:rPr>
                <w:rFonts w:eastAsia="Times New Roman" w:cs="Times New Roman"/>
                <w:sz w:val="20"/>
                <w:szCs w:val="20"/>
              </w:rPr>
            </w:pPr>
            <w:r w:rsidRPr="00CA712C">
              <w:rPr>
                <w:rFonts w:eastAsia="Times New Roman" w:cs="Times New Roman"/>
                <w:sz w:val="20"/>
                <w:szCs w:val="20"/>
              </w:rPr>
              <w:lastRenderedPageBreak/>
              <w:t xml:space="preserve">Programmatic needs supported by effective and efficient financial, ICT, procurement and administrative policies, procedures and </w:t>
            </w:r>
            <w:r w:rsidRPr="00CA712C">
              <w:rPr>
                <w:rFonts w:eastAsia="Times New Roman" w:cs="Times New Roman"/>
                <w:sz w:val="20"/>
                <w:szCs w:val="20"/>
              </w:rPr>
              <w:lastRenderedPageBreak/>
              <w:t>systems</w:t>
            </w:r>
          </w:p>
          <w:p w:rsidR="002E0DDC" w:rsidRPr="00CA712C" w:rsidRDefault="002E0DDC" w:rsidP="00BA40DA">
            <w:pPr>
              <w:spacing w:before="120" w:after="120"/>
              <w:rPr>
                <w:rFonts w:eastAsia="Times New Roman" w:cs="Times New Roman"/>
                <w:b/>
                <w:sz w:val="20"/>
                <w:szCs w:val="20"/>
              </w:rPr>
            </w:pPr>
            <w:r w:rsidRPr="00CA712C">
              <w:rPr>
                <w:rFonts w:eastAsia="Times New Roman" w:cs="Times New Roman"/>
                <w:b/>
                <w:sz w:val="20"/>
                <w:szCs w:val="20"/>
              </w:rPr>
              <w:t>(Corporate sponsor – BoM)</w:t>
            </w:r>
          </w:p>
        </w:tc>
        <w:tc>
          <w:tcPr>
            <w:tcW w:w="3116" w:type="dxa"/>
          </w:tcPr>
          <w:p w:rsidR="002E0DDC" w:rsidRPr="00CA712C" w:rsidRDefault="002E0DDC" w:rsidP="00BA40DA">
            <w:pPr>
              <w:spacing w:before="120" w:after="120"/>
              <w:rPr>
                <w:rFonts w:eastAsia="Times New Roman" w:cs="Times New Roman"/>
                <w:sz w:val="20"/>
                <w:szCs w:val="20"/>
              </w:rPr>
            </w:pPr>
            <w:r w:rsidRPr="00CA712C">
              <w:rPr>
                <w:rFonts w:eastAsia="Times New Roman" w:cs="Times New Roman"/>
                <w:sz w:val="20"/>
                <w:szCs w:val="20"/>
              </w:rPr>
              <w:lastRenderedPageBreak/>
              <w:t>Percentage of BoM Balanced Scorecard indicators with satisfactory ratings</w:t>
            </w:r>
            <w:r>
              <w:rPr>
                <w:rFonts w:eastAsia="Times New Roman" w:cs="Times New Roman"/>
                <w:sz w:val="20"/>
                <w:szCs w:val="20"/>
              </w:rPr>
              <w:t xml:space="preserve"> </w:t>
            </w:r>
            <w:r w:rsidRPr="00CA712C">
              <w:rPr>
                <w:rFonts w:eastAsia="Times New Roman" w:cs="Times New Roman"/>
                <w:i/>
                <w:sz w:val="20"/>
                <w:szCs w:val="20"/>
              </w:rPr>
              <w:t>(Source: BoM Balanced Scorecard</w:t>
            </w:r>
            <w:r>
              <w:rPr>
                <w:rFonts w:eastAsia="Times New Roman" w:cs="Times New Roman"/>
                <w:i/>
                <w:sz w:val="20"/>
                <w:szCs w:val="20"/>
              </w:rPr>
              <w:t xml:space="preserve"> – </w:t>
            </w:r>
            <w:r w:rsidRPr="00CA712C">
              <w:rPr>
                <w:rFonts w:eastAsia="Times New Roman" w:cs="Times New Roman"/>
                <w:i/>
                <w:sz w:val="20"/>
                <w:szCs w:val="20"/>
              </w:rPr>
              <w:t>Baseline: 32% achieved; 57% partially achieved in 2009)</w:t>
            </w:r>
          </w:p>
        </w:tc>
        <w:tc>
          <w:tcPr>
            <w:tcW w:w="1877" w:type="dxa"/>
          </w:tcPr>
          <w:p w:rsidR="002E0DDC" w:rsidRPr="00CA712C" w:rsidRDefault="002E0DDC" w:rsidP="00BA40DA">
            <w:pPr>
              <w:spacing w:before="120" w:after="120"/>
              <w:jc w:val="center"/>
              <w:rPr>
                <w:rFonts w:eastAsia="Times New Roman" w:cs="Times New Roman"/>
                <w:sz w:val="20"/>
                <w:szCs w:val="20"/>
              </w:rPr>
            </w:pPr>
            <w:r w:rsidRPr="00CA712C">
              <w:rPr>
                <w:rFonts w:eastAsia="Times New Roman" w:cs="Times New Roman"/>
                <w:sz w:val="20"/>
                <w:szCs w:val="20"/>
              </w:rPr>
              <w:t>60% achieved</w:t>
            </w:r>
          </w:p>
        </w:tc>
        <w:tc>
          <w:tcPr>
            <w:tcW w:w="6503" w:type="dxa"/>
          </w:tcPr>
          <w:p w:rsidR="002E0DDC" w:rsidRPr="002E0DDC" w:rsidRDefault="002E0DDC" w:rsidP="00BA40DA">
            <w:pPr>
              <w:spacing w:before="120" w:after="120" w:line="276" w:lineRule="auto"/>
              <w:rPr>
                <w:rFonts w:eastAsia="Times New Roman" w:cs="Times New Roman"/>
                <w:sz w:val="20"/>
                <w:szCs w:val="20"/>
              </w:rPr>
            </w:pPr>
            <w:r w:rsidRPr="002E0DDC">
              <w:rPr>
                <w:rFonts w:eastAsia="Times New Roman" w:cs="Times New Roman"/>
                <w:sz w:val="20"/>
                <w:szCs w:val="20"/>
              </w:rPr>
              <w:t>Current indicator measure: 75%</w:t>
            </w:r>
          </w:p>
          <w:p w:rsidR="002E0DDC" w:rsidRPr="002E0DDC" w:rsidRDefault="002E0DDC" w:rsidP="002E0DDC">
            <w:pPr>
              <w:spacing w:before="120" w:after="120"/>
              <w:rPr>
                <w:rFonts w:eastAsia="Times New Roman" w:cs="Times New Roman"/>
                <w:sz w:val="20"/>
                <w:szCs w:val="20"/>
              </w:rPr>
            </w:pPr>
            <w:r w:rsidRPr="002E0DDC">
              <w:rPr>
                <w:sz w:val="20"/>
              </w:rPr>
              <w:t xml:space="preserve">Out of 12 corporate Annual Business Plan (ABP) indicators included into the BoM 2013 IWP, 9 were completed. </w:t>
            </w:r>
          </w:p>
        </w:tc>
      </w:tr>
      <w:tr w:rsidR="002E0DDC" w:rsidRPr="00CA712C">
        <w:tc>
          <w:tcPr>
            <w:tcW w:w="1680" w:type="dxa"/>
            <w:vMerge/>
          </w:tcPr>
          <w:p w:rsidR="002E0DDC" w:rsidRPr="00CA712C" w:rsidRDefault="002E0DDC" w:rsidP="00BA40DA">
            <w:pPr>
              <w:spacing w:before="120" w:after="120"/>
              <w:rPr>
                <w:rFonts w:eastAsia="Times New Roman" w:cs="Times New Roman"/>
                <w:sz w:val="20"/>
                <w:szCs w:val="20"/>
              </w:rPr>
            </w:pPr>
          </w:p>
        </w:tc>
        <w:tc>
          <w:tcPr>
            <w:tcW w:w="3116" w:type="dxa"/>
          </w:tcPr>
          <w:p w:rsidR="002E0DDC" w:rsidRPr="00CA712C" w:rsidRDefault="002E0DDC" w:rsidP="00BA40DA">
            <w:pPr>
              <w:spacing w:before="120" w:after="120"/>
              <w:rPr>
                <w:rFonts w:cs="Times New Roman"/>
                <w:i/>
                <w:iCs/>
                <w:sz w:val="20"/>
                <w:szCs w:val="20"/>
                <w:lang w:val="en-GB"/>
              </w:rPr>
            </w:pPr>
            <w:r w:rsidRPr="00CA712C">
              <w:rPr>
                <w:rFonts w:eastAsia="Times New Roman" w:cs="Times New Roman"/>
                <w:sz w:val="20"/>
                <w:szCs w:val="20"/>
              </w:rPr>
              <w:t xml:space="preserve">Percentage of operating units meeting financial data quality </w:t>
            </w:r>
            <w:r w:rsidRPr="00CA712C">
              <w:rPr>
                <w:rFonts w:eastAsia="Times New Roman" w:cs="Times New Roman"/>
                <w:sz w:val="20"/>
                <w:szCs w:val="20"/>
              </w:rPr>
              <w:lastRenderedPageBreak/>
              <w:t xml:space="preserve">standards, including compliance with IPSAS </w:t>
            </w:r>
          </w:p>
          <w:p w:rsidR="002E0DDC" w:rsidRPr="00CA712C" w:rsidRDefault="002E0DDC" w:rsidP="00BA40DA">
            <w:pPr>
              <w:spacing w:before="120" w:after="120"/>
              <w:rPr>
                <w:rFonts w:eastAsia="Times New Roman" w:cs="Times New Roman"/>
                <w:sz w:val="20"/>
                <w:szCs w:val="20"/>
              </w:rPr>
            </w:pPr>
            <w:r w:rsidRPr="00CA712C">
              <w:rPr>
                <w:rFonts w:eastAsia="Times New Roman" w:cs="Times New Roman"/>
                <w:i/>
                <w:sz w:val="20"/>
                <w:szCs w:val="20"/>
              </w:rPr>
              <w:t>(Source: Financial Data Quality Dashboard</w:t>
            </w:r>
            <w:r>
              <w:rPr>
                <w:rFonts w:eastAsia="Times New Roman" w:cs="Times New Roman"/>
                <w:i/>
                <w:sz w:val="20"/>
                <w:szCs w:val="20"/>
              </w:rPr>
              <w:t xml:space="preserve"> – </w:t>
            </w:r>
            <w:r w:rsidRPr="00CA712C">
              <w:rPr>
                <w:rFonts w:eastAsia="Times New Roman" w:cs="Times New Roman"/>
                <w:i/>
                <w:sz w:val="20"/>
                <w:szCs w:val="20"/>
              </w:rPr>
              <w:t>Baseline: 85%)</w:t>
            </w:r>
          </w:p>
        </w:tc>
        <w:tc>
          <w:tcPr>
            <w:tcW w:w="1877" w:type="dxa"/>
          </w:tcPr>
          <w:p w:rsidR="002E0DDC" w:rsidRPr="00CA712C" w:rsidRDefault="002E0DDC" w:rsidP="00BA40DA">
            <w:pPr>
              <w:spacing w:before="120" w:after="120"/>
              <w:jc w:val="center"/>
              <w:rPr>
                <w:rFonts w:eastAsia="Times New Roman" w:cs="Times New Roman"/>
                <w:sz w:val="20"/>
                <w:szCs w:val="20"/>
              </w:rPr>
            </w:pPr>
            <w:r w:rsidRPr="00CA712C">
              <w:rPr>
                <w:rFonts w:eastAsia="Times New Roman" w:cs="Times New Roman"/>
                <w:sz w:val="20"/>
                <w:szCs w:val="20"/>
              </w:rPr>
              <w:lastRenderedPageBreak/>
              <w:t>90%</w:t>
            </w:r>
          </w:p>
        </w:tc>
        <w:tc>
          <w:tcPr>
            <w:tcW w:w="6503" w:type="dxa"/>
          </w:tcPr>
          <w:p w:rsidR="002E0DDC" w:rsidRPr="00C65E2F" w:rsidRDefault="00C65E2F" w:rsidP="00FF3419">
            <w:pPr>
              <w:spacing w:before="120" w:after="120"/>
              <w:rPr>
                <w:rFonts w:eastAsia="Times New Roman" w:cs="Times New Roman"/>
                <w:sz w:val="20"/>
                <w:szCs w:val="20"/>
              </w:rPr>
            </w:pPr>
            <w:r w:rsidRPr="00C65E2F">
              <w:rPr>
                <w:rFonts w:eastAsia="Times New Roman" w:cs="Times New Roman"/>
                <w:sz w:val="20"/>
                <w:szCs w:val="20"/>
              </w:rPr>
              <w:t>Current indicator measure: 82</w:t>
            </w:r>
            <w:r w:rsidR="002E0DDC" w:rsidRPr="00C65E2F">
              <w:rPr>
                <w:rFonts w:eastAsia="Times New Roman" w:cs="Times New Roman"/>
                <w:sz w:val="20"/>
                <w:szCs w:val="20"/>
              </w:rPr>
              <w:t>%</w:t>
            </w:r>
          </w:p>
          <w:p w:rsidR="002E0DDC" w:rsidRPr="00C65E2F" w:rsidRDefault="002E0DDC" w:rsidP="00C557E7">
            <w:pPr>
              <w:spacing w:before="120" w:after="120"/>
              <w:rPr>
                <w:rFonts w:eastAsia="Times New Roman" w:cs="Times New Roman"/>
                <w:sz w:val="20"/>
                <w:szCs w:val="20"/>
              </w:rPr>
            </w:pPr>
            <w:r w:rsidRPr="00C65E2F">
              <w:rPr>
                <w:rFonts w:eastAsia="Times New Roman" w:cs="Times New Roman"/>
                <w:sz w:val="20"/>
                <w:szCs w:val="20"/>
              </w:rPr>
              <w:t xml:space="preserve">As of the </w:t>
            </w:r>
            <w:r w:rsidR="00C73F43">
              <w:rPr>
                <w:rFonts w:eastAsia="Times New Roman" w:cs="Times New Roman"/>
                <w:sz w:val="20"/>
                <w:szCs w:val="20"/>
              </w:rPr>
              <w:t>4th quarter of 2013, 115</w:t>
            </w:r>
            <w:r w:rsidRPr="00C65E2F">
              <w:rPr>
                <w:rFonts w:eastAsia="Times New Roman" w:cs="Times New Roman"/>
                <w:sz w:val="20"/>
                <w:szCs w:val="20"/>
              </w:rPr>
              <w:t xml:space="preserve"> out of </w:t>
            </w:r>
            <w:r w:rsidR="00C65E2F" w:rsidRPr="00C65E2F">
              <w:rPr>
                <w:rFonts w:eastAsia="Times New Roman" w:cs="Times New Roman"/>
                <w:sz w:val="20"/>
                <w:szCs w:val="20"/>
              </w:rPr>
              <w:t>135</w:t>
            </w:r>
            <w:r w:rsidRPr="00C65E2F">
              <w:rPr>
                <w:rFonts w:eastAsia="Times New Roman" w:cs="Times New Roman"/>
                <w:sz w:val="20"/>
                <w:szCs w:val="20"/>
              </w:rPr>
              <w:t xml:space="preserve"> COs we</w:t>
            </w:r>
            <w:r w:rsidR="00C65E2F" w:rsidRPr="00C65E2F">
              <w:rPr>
                <w:rFonts w:eastAsia="Times New Roman" w:cs="Times New Roman"/>
                <w:sz w:val="20"/>
                <w:szCs w:val="20"/>
              </w:rPr>
              <w:t>re</w:t>
            </w:r>
            <w:r w:rsidR="00C557E7">
              <w:rPr>
                <w:rFonts w:eastAsia="Times New Roman" w:cs="Times New Roman"/>
                <w:sz w:val="20"/>
                <w:szCs w:val="20"/>
              </w:rPr>
              <w:t xml:space="preserve"> in the “Acclaim” </w:t>
            </w:r>
            <w:r w:rsidR="00C557E7">
              <w:rPr>
                <w:rFonts w:eastAsia="Times New Roman" w:cs="Times New Roman"/>
                <w:sz w:val="20"/>
                <w:szCs w:val="20"/>
              </w:rPr>
              <w:lastRenderedPageBreak/>
              <w:t>category</w:t>
            </w:r>
            <w:r w:rsidRPr="00C65E2F">
              <w:rPr>
                <w:rFonts w:eastAsia="Times New Roman" w:cs="Times New Roman"/>
                <w:sz w:val="20"/>
                <w:szCs w:val="20"/>
              </w:rPr>
              <w:t xml:space="preserve"> of the Comptroller’s List.</w:t>
            </w:r>
          </w:p>
        </w:tc>
      </w:tr>
      <w:tr w:rsidR="002E0DDC" w:rsidRPr="00CA712C">
        <w:tc>
          <w:tcPr>
            <w:tcW w:w="1680" w:type="dxa"/>
            <w:vMerge/>
          </w:tcPr>
          <w:p w:rsidR="002E0DDC" w:rsidRPr="00CA712C" w:rsidRDefault="002E0DDC" w:rsidP="00BA40DA">
            <w:pPr>
              <w:spacing w:before="120" w:after="120"/>
              <w:rPr>
                <w:rFonts w:eastAsia="Times New Roman" w:cs="Times New Roman"/>
                <w:sz w:val="20"/>
                <w:szCs w:val="20"/>
              </w:rPr>
            </w:pPr>
          </w:p>
        </w:tc>
        <w:tc>
          <w:tcPr>
            <w:tcW w:w="3116" w:type="dxa"/>
          </w:tcPr>
          <w:p w:rsidR="002E0DDC" w:rsidRPr="00CA712C" w:rsidRDefault="002E0DDC" w:rsidP="00BA40DA">
            <w:pPr>
              <w:spacing w:before="120" w:after="120"/>
              <w:rPr>
                <w:rFonts w:eastAsia="Times New Roman" w:cs="Times New Roman"/>
                <w:sz w:val="20"/>
                <w:szCs w:val="20"/>
              </w:rPr>
            </w:pPr>
            <w:r>
              <w:rPr>
                <w:rFonts w:eastAsia="Times New Roman" w:cs="Times New Roman"/>
                <w:sz w:val="20"/>
                <w:szCs w:val="20"/>
              </w:rPr>
              <w:t>Percentage of internal audit</w:t>
            </w:r>
            <w:r w:rsidRPr="00CA712C">
              <w:rPr>
                <w:rFonts w:eastAsia="Times New Roman" w:cs="Times New Roman"/>
                <w:sz w:val="20"/>
                <w:szCs w:val="20"/>
              </w:rPr>
              <w:t xml:space="preserve"> and UNBOA audit recommendations implemented by target completion date</w:t>
            </w:r>
          </w:p>
          <w:p w:rsidR="002E0DDC" w:rsidRPr="00CA712C" w:rsidRDefault="002E0DDC" w:rsidP="00BA40DA">
            <w:pPr>
              <w:spacing w:before="120" w:after="120"/>
              <w:rPr>
                <w:rFonts w:cs="Times New Roman"/>
                <w:sz w:val="20"/>
                <w:szCs w:val="20"/>
              </w:rPr>
            </w:pPr>
            <w:r w:rsidRPr="00CA712C">
              <w:rPr>
                <w:rFonts w:eastAsia="Times New Roman" w:cs="Times New Roman"/>
                <w:i/>
                <w:sz w:val="20"/>
                <w:szCs w:val="20"/>
              </w:rPr>
              <w:t xml:space="preserve">(Source: </w:t>
            </w:r>
            <w:bookmarkStart w:id="13" w:name="OLE_LINK60"/>
            <w:bookmarkStart w:id="14" w:name="OLE_LINK61"/>
            <w:r w:rsidRPr="00CA712C">
              <w:rPr>
                <w:rFonts w:eastAsia="Times New Roman" w:cs="Times New Roman"/>
                <w:i/>
                <w:sz w:val="20"/>
                <w:szCs w:val="20"/>
              </w:rPr>
              <w:t>Executive /BoM Balanced Scorecard</w:t>
            </w:r>
            <w:bookmarkEnd w:id="13"/>
            <w:bookmarkEnd w:id="14"/>
            <w:r>
              <w:rPr>
                <w:rFonts w:eastAsia="Times New Roman" w:cs="Times New Roman"/>
                <w:i/>
                <w:sz w:val="20"/>
                <w:szCs w:val="20"/>
              </w:rPr>
              <w:t xml:space="preserve"> – </w:t>
            </w:r>
            <w:r w:rsidRPr="00CA712C">
              <w:rPr>
                <w:rFonts w:eastAsia="Times New Roman" w:cs="Times New Roman"/>
                <w:i/>
                <w:sz w:val="20"/>
                <w:szCs w:val="20"/>
              </w:rPr>
              <w:t>Baseline: OAI 75.</w:t>
            </w:r>
            <w:r>
              <w:rPr>
                <w:rFonts w:eastAsia="Times New Roman" w:cs="Times New Roman"/>
                <w:i/>
                <w:sz w:val="20"/>
                <w:szCs w:val="20"/>
              </w:rPr>
              <w:t>7</w:t>
            </w:r>
            <w:r w:rsidRPr="00CA712C">
              <w:rPr>
                <w:rFonts w:eastAsia="Times New Roman" w:cs="Times New Roman"/>
                <w:i/>
                <w:sz w:val="20"/>
                <w:szCs w:val="20"/>
              </w:rPr>
              <w:t>%, UNBOA 90%)</w:t>
            </w:r>
          </w:p>
        </w:tc>
        <w:tc>
          <w:tcPr>
            <w:tcW w:w="1877" w:type="dxa"/>
          </w:tcPr>
          <w:p w:rsidR="002E0DDC" w:rsidRPr="00CA712C" w:rsidRDefault="002E0DDC" w:rsidP="00BA40DA">
            <w:pPr>
              <w:spacing w:before="120" w:after="120"/>
              <w:jc w:val="center"/>
              <w:rPr>
                <w:rFonts w:eastAsia="Times New Roman" w:cs="Times New Roman"/>
                <w:sz w:val="20"/>
                <w:szCs w:val="20"/>
              </w:rPr>
            </w:pPr>
            <w:r w:rsidRPr="00CA712C">
              <w:rPr>
                <w:rFonts w:eastAsia="Times New Roman" w:cs="Times New Roman"/>
                <w:sz w:val="20"/>
                <w:szCs w:val="20"/>
              </w:rPr>
              <w:t>OAI: 90%</w:t>
            </w:r>
          </w:p>
          <w:p w:rsidR="002E0DDC" w:rsidRPr="00CA712C" w:rsidRDefault="002E0DDC" w:rsidP="00BA40DA">
            <w:pPr>
              <w:spacing w:before="120" w:after="120"/>
              <w:jc w:val="center"/>
              <w:rPr>
                <w:rFonts w:eastAsia="Times New Roman" w:cs="Times New Roman"/>
                <w:sz w:val="20"/>
                <w:szCs w:val="20"/>
              </w:rPr>
            </w:pPr>
            <w:r w:rsidRPr="00CA712C">
              <w:rPr>
                <w:rFonts w:eastAsia="Times New Roman" w:cs="Times New Roman"/>
                <w:sz w:val="20"/>
                <w:szCs w:val="20"/>
              </w:rPr>
              <w:t>UNBOA: 90%</w:t>
            </w:r>
          </w:p>
        </w:tc>
        <w:tc>
          <w:tcPr>
            <w:tcW w:w="6503" w:type="dxa"/>
          </w:tcPr>
          <w:p w:rsidR="002E0DDC" w:rsidRPr="002E0DDC" w:rsidRDefault="002E0DDC" w:rsidP="002E0DDC">
            <w:pPr>
              <w:spacing w:before="120" w:after="120"/>
              <w:rPr>
                <w:rFonts w:eastAsia="Times New Roman" w:cs="Times New Roman"/>
                <w:sz w:val="20"/>
                <w:szCs w:val="20"/>
              </w:rPr>
            </w:pPr>
            <w:r w:rsidRPr="002E0DDC">
              <w:rPr>
                <w:rFonts w:eastAsia="Times New Roman" w:cs="Times New Roman"/>
                <w:sz w:val="20"/>
                <w:szCs w:val="20"/>
              </w:rPr>
              <w:t>Current indicator measure: 88% (OAI)</w:t>
            </w:r>
          </w:p>
          <w:p w:rsidR="002E0DDC" w:rsidRPr="002E0DDC" w:rsidRDefault="002E0DDC" w:rsidP="002E0DDC">
            <w:pPr>
              <w:spacing w:before="120" w:after="120"/>
              <w:rPr>
                <w:rFonts w:eastAsia="Times New Roman" w:cs="Times New Roman"/>
                <w:sz w:val="20"/>
                <w:szCs w:val="20"/>
              </w:rPr>
            </w:pPr>
            <w:r w:rsidRPr="002E0DDC">
              <w:rPr>
                <w:rFonts w:eastAsia="Times New Roman" w:cs="Times New Roman"/>
                <w:sz w:val="20"/>
                <w:szCs w:val="20"/>
              </w:rPr>
              <w:t>UNBOA will report on the 2013 implementation rate in July 2014 when they finalize their audit report.</w:t>
            </w:r>
          </w:p>
        </w:tc>
      </w:tr>
      <w:tr w:rsidR="002E0DDC" w:rsidRPr="00CA712C">
        <w:tc>
          <w:tcPr>
            <w:tcW w:w="1680" w:type="dxa"/>
            <w:vMerge/>
          </w:tcPr>
          <w:p w:rsidR="002E0DDC" w:rsidRPr="00CA712C" w:rsidRDefault="002E0DDC" w:rsidP="00BA40DA">
            <w:pPr>
              <w:spacing w:before="120" w:after="120"/>
              <w:rPr>
                <w:rFonts w:eastAsia="Times New Roman" w:cs="Times New Roman"/>
                <w:sz w:val="20"/>
                <w:szCs w:val="20"/>
              </w:rPr>
            </w:pPr>
          </w:p>
        </w:tc>
        <w:tc>
          <w:tcPr>
            <w:tcW w:w="3116" w:type="dxa"/>
          </w:tcPr>
          <w:p w:rsidR="002E0DDC" w:rsidRPr="00CA712C" w:rsidRDefault="002E0DDC" w:rsidP="00BA40DA">
            <w:pPr>
              <w:spacing w:before="120" w:after="120"/>
              <w:rPr>
                <w:rFonts w:cs="Times New Roman"/>
                <w:sz w:val="20"/>
                <w:szCs w:val="20"/>
              </w:rPr>
            </w:pPr>
            <w:r w:rsidRPr="00CA712C">
              <w:rPr>
                <w:rFonts w:cs="Times New Roman"/>
                <w:sz w:val="20"/>
                <w:szCs w:val="20"/>
              </w:rPr>
              <w:t>Percentage of users satisfied with ICT services and tools</w:t>
            </w:r>
          </w:p>
          <w:p w:rsidR="002E0DDC" w:rsidRPr="00CA712C" w:rsidRDefault="002E0DDC" w:rsidP="00BA40DA">
            <w:pPr>
              <w:spacing w:before="120" w:after="120"/>
              <w:rPr>
                <w:rFonts w:cs="Times New Roman"/>
                <w:i/>
                <w:color w:val="1F497D"/>
                <w:sz w:val="20"/>
                <w:szCs w:val="20"/>
              </w:rPr>
            </w:pPr>
            <w:r w:rsidRPr="00CA712C">
              <w:rPr>
                <w:rFonts w:cs="Times New Roman"/>
                <w:i/>
                <w:sz w:val="20"/>
                <w:szCs w:val="20"/>
              </w:rPr>
              <w:t xml:space="preserve">(Source: </w:t>
            </w:r>
            <w:r w:rsidRPr="00CA712C">
              <w:rPr>
                <w:rFonts w:eastAsia="Times New Roman" w:cs="Times New Roman"/>
                <w:i/>
                <w:sz w:val="20"/>
                <w:szCs w:val="20"/>
              </w:rPr>
              <w:t>BoM Balanced Scorecard</w:t>
            </w:r>
            <w:r>
              <w:rPr>
                <w:rFonts w:eastAsia="Times New Roman" w:cs="Times New Roman"/>
                <w:i/>
                <w:sz w:val="20"/>
                <w:szCs w:val="20"/>
              </w:rPr>
              <w:t xml:space="preserve"> – </w:t>
            </w:r>
            <w:r w:rsidRPr="00CA712C">
              <w:rPr>
                <w:rFonts w:eastAsia="Times New Roman" w:cs="Times New Roman"/>
                <w:i/>
                <w:sz w:val="20"/>
                <w:szCs w:val="20"/>
              </w:rPr>
              <w:t>Baseline: 58% in 2009</w:t>
            </w:r>
            <w:r w:rsidRPr="00CA712C">
              <w:rPr>
                <w:rFonts w:cs="Times New Roman"/>
                <w:i/>
                <w:sz w:val="20"/>
                <w:szCs w:val="20"/>
              </w:rPr>
              <w:t>)</w:t>
            </w:r>
          </w:p>
        </w:tc>
        <w:tc>
          <w:tcPr>
            <w:tcW w:w="1877" w:type="dxa"/>
          </w:tcPr>
          <w:p w:rsidR="002E0DDC" w:rsidRPr="00CA712C" w:rsidRDefault="002E0DDC" w:rsidP="00BA40DA">
            <w:pPr>
              <w:spacing w:before="120" w:after="120"/>
              <w:jc w:val="center"/>
              <w:rPr>
                <w:rFonts w:eastAsia="Times New Roman" w:cs="Times New Roman"/>
                <w:sz w:val="20"/>
                <w:szCs w:val="20"/>
              </w:rPr>
            </w:pPr>
            <w:r w:rsidRPr="00CA712C">
              <w:rPr>
                <w:rFonts w:eastAsia="Times New Roman" w:cs="Times New Roman"/>
                <w:sz w:val="20"/>
                <w:szCs w:val="20"/>
              </w:rPr>
              <w:t>70%</w:t>
            </w:r>
          </w:p>
        </w:tc>
        <w:tc>
          <w:tcPr>
            <w:tcW w:w="6503" w:type="dxa"/>
          </w:tcPr>
          <w:p w:rsidR="002E0DDC" w:rsidRPr="002E0DDC" w:rsidRDefault="002E0DDC" w:rsidP="00BA40DA">
            <w:pPr>
              <w:spacing w:before="120" w:after="120"/>
              <w:rPr>
                <w:rFonts w:eastAsia="Times New Roman" w:cs="Times New Roman"/>
                <w:sz w:val="20"/>
                <w:szCs w:val="20"/>
              </w:rPr>
            </w:pPr>
            <w:r w:rsidRPr="002E0DDC">
              <w:rPr>
                <w:rFonts w:eastAsia="Times New Roman" w:cs="Times New Roman"/>
                <w:sz w:val="20"/>
                <w:szCs w:val="20"/>
              </w:rPr>
              <w:t>Current indicator measure: 69%</w:t>
            </w:r>
          </w:p>
          <w:p w:rsidR="002E0DDC" w:rsidRPr="002E0DDC" w:rsidRDefault="002E0DDC" w:rsidP="002E0DDC">
            <w:pPr>
              <w:spacing w:before="120" w:after="120"/>
              <w:rPr>
                <w:rFonts w:eastAsia="Times New Roman" w:cs="Times New Roman"/>
                <w:sz w:val="20"/>
                <w:szCs w:val="20"/>
              </w:rPr>
            </w:pPr>
            <w:r w:rsidRPr="002E0DDC">
              <w:rPr>
                <w:sz w:val="20"/>
              </w:rPr>
              <w:t>Based on the Overall Quality Index Report of the 2012 Products and Services Survey (no HQPSS was conducted in 2013), 69% of all UNDP staff and 79% of country office staff were satisfied with corporate ICT services and tools.</w:t>
            </w:r>
          </w:p>
        </w:tc>
      </w:tr>
      <w:tr w:rsidR="002E0DDC" w:rsidRPr="00CA712C">
        <w:tc>
          <w:tcPr>
            <w:tcW w:w="1680" w:type="dxa"/>
            <w:vMerge/>
          </w:tcPr>
          <w:p w:rsidR="002E0DDC" w:rsidRPr="00CA712C" w:rsidRDefault="002E0DDC" w:rsidP="00BA40DA">
            <w:pPr>
              <w:spacing w:before="120" w:after="120"/>
              <w:rPr>
                <w:rFonts w:eastAsia="Times New Roman" w:cs="Times New Roman"/>
                <w:sz w:val="20"/>
                <w:szCs w:val="20"/>
              </w:rPr>
            </w:pPr>
          </w:p>
        </w:tc>
        <w:tc>
          <w:tcPr>
            <w:tcW w:w="3116" w:type="dxa"/>
          </w:tcPr>
          <w:p w:rsidR="002E0DDC" w:rsidRPr="00CA712C" w:rsidRDefault="002E0DDC" w:rsidP="00BA40DA">
            <w:pPr>
              <w:spacing w:before="120" w:after="120"/>
              <w:rPr>
                <w:rFonts w:eastAsia="Times New Roman" w:cs="Times New Roman"/>
                <w:sz w:val="20"/>
                <w:szCs w:val="20"/>
              </w:rPr>
            </w:pPr>
            <w:r w:rsidRPr="00CA712C">
              <w:rPr>
                <w:rFonts w:eastAsia="Times New Roman" w:cs="Times New Roman"/>
                <w:sz w:val="20"/>
                <w:szCs w:val="20"/>
              </w:rPr>
              <w:t xml:space="preserve">Percentage of ACP and RCP procurement cases approved upon first submissions. </w:t>
            </w:r>
          </w:p>
          <w:p w:rsidR="002E0DDC" w:rsidRPr="00CA712C" w:rsidRDefault="002E0DDC" w:rsidP="00BA40DA">
            <w:pPr>
              <w:spacing w:before="120" w:after="120"/>
              <w:rPr>
                <w:rFonts w:eastAsia="Times New Roman" w:cs="Times New Roman"/>
                <w:i/>
                <w:sz w:val="20"/>
                <w:szCs w:val="20"/>
              </w:rPr>
            </w:pPr>
            <w:r w:rsidRPr="00CA712C">
              <w:rPr>
                <w:rFonts w:eastAsia="Times New Roman" w:cs="Times New Roman"/>
                <w:i/>
                <w:sz w:val="20"/>
                <w:szCs w:val="20"/>
              </w:rPr>
              <w:t>(Source: ACP Database</w:t>
            </w:r>
            <w:r>
              <w:rPr>
                <w:rFonts w:eastAsia="Times New Roman" w:cs="Times New Roman"/>
                <w:i/>
                <w:sz w:val="20"/>
                <w:szCs w:val="20"/>
              </w:rPr>
              <w:t xml:space="preserve"> – </w:t>
            </w:r>
            <w:r w:rsidRPr="00CA712C">
              <w:rPr>
                <w:rFonts w:eastAsia="Times New Roman" w:cs="Times New Roman"/>
                <w:i/>
                <w:sz w:val="20"/>
                <w:szCs w:val="20"/>
              </w:rPr>
              <w:t>Baseline: 70%)</w:t>
            </w:r>
          </w:p>
        </w:tc>
        <w:tc>
          <w:tcPr>
            <w:tcW w:w="1877" w:type="dxa"/>
          </w:tcPr>
          <w:p w:rsidR="002E0DDC" w:rsidRPr="00CA712C" w:rsidRDefault="002E0DDC" w:rsidP="00BA40DA">
            <w:pPr>
              <w:spacing w:before="120" w:after="120"/>
              <w:jc w:val="center"/>
              <w:rPr>
                <w:rFonts w:eastAsia="Times New Roman" w:cs="Times New Roman"/>
                <w:sz w:val="20"/>
                <w:szCs w:val="20"/>
              </w:rPr>
            </w:pPr>
            <w:r w:rsidRPr="00CA712C">
              <w:rPr>
                <w:rFonts w:eastAsia="Times New Roman" w:cs="Times New Roman"/>
                <w:sz w:val="20"/>
                <w:szCs w:val="20"/>
              </w:rPr>
              <w:t>75%</w:t>
            </w:r>
          </w:p>
        </w:tc>
        <w:tc>
          <w:tcPr>
            <w:tcW w:w="6503" w:type="dxa"/>
          </w:tcPr>
          <w:p w:rsidR="002E0DDC" w:rsidRPr="002E0DDC" w:rsidRDefault="002E0DDC" w:rsidP="0008552A">
            <w:pPr>
              <w:spacing w:before="120" w:after="120"/>
              <w:rPr>
                <w:rFonts w:eastAsia="Times New Roman" w:cs="Times New Roman"/>
                <w:sz w:val="20"/>
                <w:szCs w:val="20"/>
              </w:rPr>
            </w:pPr>
            <w:r w:rsidRPr="002E0DDC">
              <w:rPr>
                <w:rFonts w:eastAsia="Times New Roman" w:cs="Times New Roman"/>
                <w:sz w:val="20"/>
                <w:szCs w:val="20"/>
              </w:rPr>
              <w:t>Current indicator measure: 75.24%</w:t>
            </w:r>
          </w:p>
          <w:p w:rsidR="002E0DDC" w:rsidRPr="002E0DDC" w:rsidRDefault="002E0DDC" w:rsidP="002E0DDC">
            <w:pPr>
              <w:spacing w:before="120" w:after="120"/>
              <w:rPr>
                <w:rFonts w:eastAsia="Times New Roman" w:cs="Times New Roman"/>
                <w:sz w:val="20"/>
                <w:szCs w:val="20"/>
              </w:rPr>
            </w:pPr>
            <w:r w:rsidRPr="002E0DDC">
              <w:rPr>
                <w:rFonts w:eastAsia="Times New Roman" w:cs="Times New Roman"/>
                <w:sz w:val="20"/>
                <w:szCs w:val="20"/>
              </w:rPr>
              <w:t xml:space="preserve">Based on the corporate Procurement Dashboard, 75.24% of cases were approved after first review in 2013.  </w:t>
            </w:r>
          </w:p>
        </w:tc>
      </w:tr>
      <w:tr w:rsidR="002E0DDC" w:rsidRPr="00CA712C">
        <w:tc>
          <w:tcPr>
            <w:tcW w:w="1680" w:type="dxa"/>
            <w:vMerge w:val="restart"/>
          </w:tcPr>
          <w:p w:rsidR="002E0DDC" w:rsidRPr="00CA712C" w:rsidRDefault="002E0DDC" w:rsidP="00BA40DA">
            <w:pPr>
              <w:spacing w:before="120" w:after="120"/>
              <w:rPr>
                <w:rFonts w:eastAsia="Times New Roman" w:cs="Times New Roman"/>
                <w:sz w:val="20"/>
                <w:szCs w:val="20"/>
              </w:rPr>
            </w:pPr>
            <w:r w:rsidRPr="00CA712C">
              <w:rPr>
                <w:rFonts w:eastAsia="Times New Roman" w:cs="Times New Roman"/>
                <w:sz w:val="20"/>
                <w:szCs w:val="20"/>
              </w:rPr>
              <w:t>Security for staff and premises and a safer environment for programme delivery enhanced</w:t>
            </w:r>
          </w:p>
          <w:p w:rsidR="002E0DDC" w:rsidRPr="00CA712C" w:rsidRDefault="002E0DDC" w:rsidP="00BA40DA">
            <w:pPr>
              <w:spacing w:before="120" w:after="120"/>
              <w:rPr>
                <w:rFonts w:eastAsia="Times New Roman" w:cs="Times New Roman"/>
                <w:b/>
                <w:sz w:val="20"/>
                <w:szCs w:val="20"/>
              </w:rPr>
            </w:pPr>
            <w:r w:rsidRPr="00CA712C">
              <w:rPr>
                <w:rFonts w:eastAsia="Times New Roman" w:cs="Times New Roman"/>
                <w:b/>
                <w:sz w:val="20"/>
                <w:szCs w:val="20"/>
              </w:rPr>
              <w:t xml:space="preserve">(Corporate </w:t>
            </w:r>
            <w:r w:rsidRPr="00CA712C">
              <w:rPr>
                <w:rFonts w:eastAsia="Times New Roman" w:cs="Times New Roman"/>
                <w:b/>
                <w:sz w:val="20"/>
                <w:szCs w:val="20"/>
              </w:rPr>
              <w:lastRenderedPageBreak/>
              <w:t>sponsor – Security Office/BoM)</w:t>
            </w:r>
          </w:p>
        </w:tc>
        <w:tc>
          <w:tcPr>
            <w:tcW w:w="3116" w:type="dxa"/>
          </w:tcPr>
          <w:p w:rsidR="002E0DDC" w:rsidRPr="00CA712C" w:rsidRDefault="002E0DDC" w:rsidP="00BA40DA">
            <w:pPr>
              <w:spacing w:before="120" w:after="120"/>
              <w:rPr>
                <w:rFonts w:eastAsia="Times New Roman" w:cs="Times New Roman"/>
                <w:color w:val="FF0000"/>
                <w:sz w:val="20"/>
                <w:szCs w:val="20"/>
              </w:rPr>
            </w:pPr>
            <w:r w:rsidRPr="00CA712C">
              <w:rPr>
                <w:rFonts w:eastAsia="Times New Roman" w:cs="Times New Roman"/>
                <w:sz w:val="20"/>
                <w:szCs w:val="20"/>
              </w:rPr>
              <w:lastRenderedPageBreak/>
              <w:t xml:space="preserve">Percentage of country offices meeting minimum operations security standards (MOSS) </w:t>
            </w:r>
            <w:r w:rsidRPr="00CA712C">
              <w:rPr>
                <w:rFonts w:eastAsia="Times New Roman" w:cs="Times New Roman"/>
                <w:sz w:val="20"/>
                <w:szCs w:val="20"/>
              </w:rPr>
              <w:br/>
              <w:t>(</w:t>
            </w:r>
            <w:r w:rsidRPr="00CA712C">
              <w:rPr>
                <w:rFonts w:eastAsia="Times New Roman" w:cs="Times New Roman"/>
                <w:i/>
                <w:sz w:val="20"/>
                <w:szCs w:val="20"/>
              </w:rPr>
              <w:t xml:space="preserve">Source: </w:t>
            </w:r>
            <w:bookmarkStart w:id="15" w:name="OLE_LINK4"/>
            <w:r w:rsidRPr="00CA712C">
              <w:rPr>
                <w:rFonts w:eastAsia="Times New Roman" w:cs="Times New Roman"/>
                <w:i/>
                <w:sz w:val="20"/>
                <w:szCs w:val="20"/>
              </w:rPr>
              <w:t>Executive /</w:t>
            </w:r>
            <w:bookmarkEnd w:id="15"/>
            <w:r w:rsidRPr="00CA712C">
              <w:rPr>
                <w:rFonts w:eastAsia="Times New Roman" w:cs="Times New Roman"/>
                <w:i/>
                <w:sz w:val="20"/>
                <w:szCs w:val="20"/>
              </w:rPr>
              <w:t xml:space="preserve"> BoM Balanced Scorecard</w:t>
            </w:r>
            <w:r>
              <w:rPr>
                <w:rFonts w:eastAsia="Times New Roman" w:cs="Times New Roman"/>
                <w:i/>
                <w:sz w:val="20"/>
                <w:szCs w:val="20"/>
              </w:rPr>
              <w:t xml:space="preserve"> – </w:t>
            </w:r>
            <w:r w:rsidRPr="00CA712C">
              <w:rPr>
                <w:rFonts w:eastAsia="Times New Roman" w:cs="Times New Roman"/>
                <w:i/>
                <w:sz w:val="20"/>
                <w:szCs w:val="20"/>
              </w:rPr>
              <w:t>Baseline: 63%)</w:t>
            </w:r>
          </w:p>
        </w:tc>
        <w:tc>
          <w:tcPr>
            <w:tcW w:w="1877" w:type="dxa"/>
          </w:tcPr>
          <w:p w:rsidR="002E0DDC" w:rsidRPr="00CA712C" w:rsidRDefault="002E0DDC" w:rsidP="00BA40DA">
            <w:pPr>
              <w:spacing w:before="120" w:after="120"/>
              <w:jc w:val="center"/>
              <w:rPr>
                <w:rFonts w:eastAsia="Times New Roman" w:cs="Times New Roman"/>
                <w:b/>
                <w:sz w:val="20"/>
                <w:szCs w:val="20"/>
              </w:rPr>
            </w:pPr>
            <w:r w:rsidRPr="00CA712C">
              <w:rPr>
                <w:rFonts w:eastAsia="Times New Roman" w:cs="Times New Roman"/>
                <w:sz w:val="20"/>
                <w:szCs w:val="20"/>
              </w:rPr>
              <w:t>80%</w:t>
            </w:r>
          </w:p>
        </w:tc>
        <w:tc>
          <w:tcPr>
            <w:tcW w:w="6503" w:type="dxa"/>
          </w:tcPr>
          <w:p w:rsidR="002E0DDC" w:rsidRPr="002E0DDC" w:rsidRDefault="002E0DDC" w:rsidP="00BA40DA">
            <w:pPr>
              <w:spacing w:before="120" w:after="120"/>
              <w:rPr>
                <w:rFonts w:eastAsia="Times New Roman" w:cs="Times New Roman"/>
                <w:sz w:val="20"/>
                <w:szCs w:val="20"/>
              </w:rPr>
            </w:pPr>
            <w:r w:rsidRPr="002E0DDC">
              <w:rPr>
                <w:rFonts w:eastAsia="Times New Roman" w:cs="Times New Roman"/>
                <w:sz w:val="20"/>
                <w:szCs w:val="20"/>
              </w:rPr>
              <w:t>Current indicator measure: 77.8%</w:t>
            </w:r>
          </w:p>
          <w:p w:rsidR="002E0DDC" w:rsidRPr="002E0DDC" w:rsidRDefault="002E0DDC" w:rsidP="002E0DDC">
            <w:pPr>
              <w:spacing w:before="120" w:after="120"/>
              <w:rPr>
                <w:rFonts w:eastAsia="Times New Roman" w:cs="Times New Roman"/>
                <w:sz w:val="20"/>
                <w:szCs w:val="20"/>
              </w:rPr>
            </w:pPr>
            <w:r w:rsidRPr="002E0DDC">
              <w:rPr>
                <w:sz w:val="20"/>
              </w:rPr>
              <w:t xml:space="preserve">The overall MOSS compliance of UNDP offices improved from 76.6% in 2012 to 77.8% in 2013, which is an increase of 1.2%. </w:t>
            </w:r>
          </w:p>
        </w:tc>
      </w:tr>
      <w:tr w:rsidR="002E0DDC" w:rsidRPr="00CA712C">
        <w:tc>
          <w:tcPr>
            <w:tcW w:w="1680" w:type="dxa"/>
            <w:vMerge/>
          </w:tcPr>
          <w:p w:rsidR="002E0DDC" w:rsidRPr="00CA712C" w:rsidRDefault="002E0DDC" w:rsidP="00BA40DA">
            <w:pPr>
              <w:spacing w:before="120" w:after="120"/>
              <w:rPr>
                <w:rFonts w:eastAsia="Times New Roman" w:cs="Times New Roman"/>
                <w:sz w:val="20"/>
                <w:szCs w:val="20"/>
              </w:rPr>
            </w:pPr>
          </w:p>
        </w:tc>
        <w:tc>
          <w:tcPr>
            <w:tcW w:w="3116" w:type="dxa"/>
          </w:tcPr>
          <w:p w:rsidR="002E0DDC" w:rsidRPr="00CA712C" w:rsidRDefault="002E0DDC" w:rsidP="00BA40DA">
            <w:pPr>
              <w:spacing w:before="120" w:after="120"/>
              <w:rPr>
                <w:rFonts w:eastAsia="Times New Roman" w:cs="Times New Roman"/>
                <w:sz w:val="20"/>
                <w:szCs w:val="20"/>
              </w:rPr>
            </w:pPr>
            <w:r w:rsidRPr="00CA712C">
              <w:rPr>
                <w:rFonts w:eastAsia="Times New Roman" w:cs="Times New Roman"/>
                <w:sz w:val="20"/>
                <w:szCs w:val="20"/>
              </w:rPr>
              <w:t xml:space="preserve">Percentage of country offices meeting Business Continuity Plan </w:t>
            </w:r>
            <w:r w:rsidR="00FD40A0" w:rsidRPr="00CA712C">
              <w:rPr>
                <w:rFonts w:eastAsia="Times New Roman" w:cs="Times New Roman"/>
                <w:sz w:val="20"/>
                <w:szCs w:val="20"/>
              </w:rPr>
              <w:t xml:space="preserve">requirements </w:t>
            </w:r>
            <w:r w:rsidRPr="00CA712C">
              <w:rPr>
                <w:rFonts w:eastAsia="Times New Roman" w:cs="Times New Roman"/>
                <w:sz w:val="20"/>
                <w:szCs w:val="20"/>
              </w:rPr>
              <w:br/>
            </w:r>
            <w:r w:rsidRPr="00CA712C">
              <w:rPr>
                <w:rFonts w:eastAsia="Times New Roman" w:cs="Times New Roman"/>
                <w:sz w:val="20"/>
                <w:szCs w:val="20"/>
              </w:rPr>
              <w:lastRenderedPageBreak/>
              <w:t>(</w:t>
            </w:r>
            <w:r w:rsidRPr="00CA712C">
              <w:rPr>
                <w:rFonts w:eastAsia="Times New Roman" w:cs="Times New Roman"/>
                <w:i/>
                <w:sz w:val="20"/>
                <w:szCs w:val="20"/>
              </w:rPr>
              <w:t>Source: Executive / BoM Balanced Scorecard</w:t>
            </w:r>
            <w:r>
              <w:rPr>
                <w:rFonts w:eastAsia="Times New Roman" w:cs="Times New Roman"/>
                <w:i/>
                <w:sz w:val="20"/>
                <w:szCs w:val="20"/>
              </w:rPr>
              <w:t xml:space="preserve"> – </w:t>
            </w:r>
            <w:r w:rsidRPr="00CA712C">
              <w:rPr>
                <w:rFonts w:eastAsia="Times New Roman" w:cs="Times New Roman"/>
                <w:i/>
                <w:sz w:val="20"/>
                <w:szCs w:val="20"/>
              </w:rPr>
              <w:t>Baseline: 79.6%)</w:t>
            </w:r>
          </w:p>
        </w:tc>
        <w:tc>
          <w:tcPr>
            <w:tcW w:w="1877" w:type="dxa"/>
          </w:tcPr>
          <w:p w:rsidR="002E0DDC" w:rsidRPr="00CA712C" w:rsidRDefault="002E0DDC" w:rsidP="00BA40DA">
            <w:pPr>
              <w:spacing w:before="120" w:after="120"/>
              <w:jc w:val="center"/>
              <w:rPr>
                <w:rFonts w:eastAsia="Times New Roman" w:cs="Times New Roman"/>
                <w:sz w:val="20"/>
                <w:szCs w:val="20"/>
              </w:rPr>
            </w:pPr>
            <w:r w:rsidRPr="00CA712C">
              <w:rPr>
                <w:rFonts w:eastAsia="Times New Roman" w:cs="Times New Roman"/>
                <w:sz w:val="20"/>
                <w:szCs w:val="20"/>
              </w:rPr>
              <w:lastRenderedPageBreak/>
              <w:t>95%</w:t>
            </w:r>
          </w:p>
        </w:tc>
        <w:tc>
          <w:tcPr>
            <w:tcW w:w="6503" w:type="dxa"/>
          </w:tcPr>
          <w:p w:rsidR="002E0DDC" w:rsidRPr="002E0DDC" w:rsidRDefault="002E0DDC" w:rsidP="00BA40DA">
            <w:pPr>
              <w:spacing w:before="120" w:after="120"/>
              <w:rPr>
                <w:rFonts w:eastAsia="Times New Roman" w:cs="Times New Roman"/>
                <w:sz w:val="20"/>
                <w:szCs w:val="20"/>
              </w:rPr>
            </w:pPr>
            <w:r w:rsidRPr="002E0DDC">
              <w:rPr>
                <w:rFonts w:eastAsia="Times New Roman" w:cs="Times New Roman"/>
                <w:sz w:val="20"/>
                <w:szCs w:val="20"/>
              </w:rPr>
              <w:t>Current indicator measure: 95%</w:t>
            </w:r>
          </w:p>
          <w:p w:rsidR="002E0DDC" w:rsidRPr="002E0DDC" w:rsidRDefault="002E0DDC" w:rsidP="002E0DDC">
            <w:pPr>
              <w:spacing w:before="120" w:after="120"/>
              <w:rPr>
                <w:rFonts w:eastAsia="Times New Roman" w:cs="Times New Roman"/>
                <w:sz w:val="20"/>
                <w:szCs w:val="20"/>
              </w:rPr>
            </w:pPr>
            <w:r w:rsidRPr="002E0DDC">
              <w:rPr>
                <w:rFonts w:eastAsia="Times New Roman" w:cs="Times New Roman"/>
                <w:sz w:val="20"/>
                <w:szCs w:val="20"/>
              </w:rPr>
              <w:t>95% of country offices confirmed meeting BCP requirements.</w:t>
            </w:r>
          </w:p>
        </w:tc>
      </w:tr>
      <w:tr w:rsidR="002E0DDC" w:rsidRPr="00CA712C">
        <w:tc>
          <w:tcPr>
            <w:tcW w:w="1680" w:type="dxa"/>
            <w:vMerge w:val="restart"/>
          </w:tcPr>
          <w:p w:rsidR="002E0DDC" w:rsidRPr="00CA712C" w:rsidRDefault="002E0DDC" w:rsidP="00BA40DA">
            <w:pPr>
              <w:spacing w:before="120" w:after="120"/>
              <w:rPr>
                <w:rFonts w:eastAsia="Times New Roman" w:cs="Times New Roman"/>
                <w:sz w:val="20"/>
                <w:szCs w:val="20"/>
              </w:rPr>
            </w:pPr>
            <w:r w:rsidRPr="00CA712C">
              <w:rPr>
                <w:rFonts w:eastAsia="Times New Roman" w:cs="Times New Roman"/>
                <w:sz w:val="20"/>
                <w:szCs w:val="20"/>
              </w:rPr>
              <w:lastRenderedPageBreak/>
              <w:t xml:space="preserve">Independent corporate oversight and reasonable assurance provided on the adequacy of internal controls of UNDP resources and on the effectiveness and efficiency of UNDP contributions in support of the achievement of development results </w:t>
            </w:r>
          </w:p>
          <w:p w:rsidR="002E0DDC" w:rsidRPr="00CA712C" w:rsidRDefault="002E0DDC" w:rsidP="00BA40DA">
            <w:pPr>
              <w:spacing w:before="120" w:after="120"/>
              <w:rPr>
                <w:rFonts w:eastAsia="Times New Roman" w:cs="Times New Roman"/>
                <w:b/>
                <w:sz w:val="20"/>
                <w:szCs w:val="20"/>
              </w:rPr>
            </w:pPr>
            <w:r w:rsidRPr="00CA712C">
              <w:rPr>
                <w:rFonts w:eastAsia="Times New Roman" w:cs="Times New Roman"/>
                <w:b/>
                <w:sz w:val="20"/>
                <w:szCs w:val="20"/>
              </w:rPr>
              <w:t>(Corporate sponsor – OAI/Evaluation Office)</w:t>
            </w:r>
          </w:p>
        </w:tc>
        <w:tc>
          <w:tcPr>
            <w:tcW w:w="3116" w:type="dxa"/>
          </w:tcPr>
          <w:p w:rsidR="002E0DDC" w:rsidRPr="00CA712C" w:rsidRDefault="002E0DDC" w:rsidP="00BA40DA">
            <w:pPr>
              <w:spacing w:before="120" w:after="120"/>
              <w:rPr>
                <w:rFonts w:eastAsia="Times New Roman" w:cs="Times New Roman"/>
                <w:sz w:val="20"/>
                <w:szCs w:val="20"/>
              </w:rPr>
            </w:pPr>
            <w:r w:rsidRPr="00CA712C">
              <w:rPr>
                <w:rFonts w:eastAsia="Times New Roman" w:cs="Times New Roman"/>
                <w:sz w:val="20"/>
                <w:szCs w:val="20"/>
              </w:rPr>
              <w:t xml:space="preserve">Number of risk-based audit reports of country offices, programmes, projects and other business units and functions issued per year </w:t>
            </w:r>
          </w:p>
          <w:p w:rsidR="002E0DDC" w:rsidRPr="00CA712C" w:rsidRDefault="002E0DDC" w:rsidP="00BA40DA">
            <w:pPr>
              <w:spacing w:before="120" w:after="120"/>
              <w:rPr>
                <w:rFonts w:eastAsia="Times New Roman" w:cs="Times New Roman"/>
                <w:i/>
                <w:sz w:val="20"/>
                <w:szCs w:val="20"/>
              </w:rPr>
            </w:pPr>
            <w:r w:rsidRPr="00CA712C">
              <w:rPr>
                <w:rFonts w:eastAsia="Times New Roman" w:cs="Times New Roman"/>
                <w:i/>
                <w:sz w:val="20"/>
                <w:szCs w:val="20"/>
              </w:rPr>
              <w:t>(Source: OAI Database</w:t>
            </w:r>
            <w:r>
              <w:rPr>
                <w:rFonts w:eastAsia="Times New Roman" w:cs="Times New Roman"/>
                <w:i/>
                <w:sz w:val="20"/>
                <w:szCs w:val="20"/>
              </w:rPr>
              <w:t xml:space="preserve"> – </w:t>
            </w:r>
            <w:r w:rsidRPr="00CA712C">
              <w:rPr>
                <w:rFonts w:eastAsia="Times New Roman" w:cs="Times New Roman"/>
                <w:i/>
                <w:sz w:val="20"/>
                <w:szCs w:val="20"/>
              </w:rPr>
              <w:t>Baseline: 69)</w:t>
            </w:r>
          </w:p>
        </w:tc>
        <w:tc>
          <w:tcPr>
            <w:tcW w:w="1877" w:type="dxa"/>
          </w:tcPr>
          <w:p w:rsidR="002E0DDC" w:rsidRPr="00CA712C" w:rsidRDefault="002E0DDC" w:rsidP="00BA40DA">
            <w:pPr>
              <w:spacing w:before="120" w:after="120"/>
              <w:jc w:val="center"/>
              <w:rPr>
                <w:rFonts w:eastAsia="Times New Roman" w:cs="Times New Roman"/>
                <w:sz w:val="20"/>
                <w:szCs w:val="20"/>
              </w:rPr>
            </w:pPr>
            <w:r w:rsidRPr="00CA712C">
              <w:rPr>
                <w:rFonts w:eastAsia="Times New Roman" w:cs="Times New Roman"/>
                <w:sz w:val="20"/>
                <w:szCs w:val="20"/>
              </w:rPr>
              <w:t>74</w:t>
            </w:r>
          </w:p>
        </w:tc>
        <w:tc>
          <w:tcPr>
            <w:tcW w:w="6503" w:type="dxa"/>
          </w:tcPr>
          <w:p w:rsidR="002E0DDC" w:rsidRPr="002E0DDC" w:rsidRDefault="002E0DDC" w:rsidP="002E0DDC">
            <w:pPr>
              <w:spacing w:before="120" w:after="120"/>
              <w:rPr>
                <w:rFonts w:eastAsia="Times New Roman" w:cs="Times New Roman"/>
                <w:sz w:val="20"/>
                <w:szCs w:val="20"/>
              </w:rPr>
            </w:pPr>
            <w:r w:rsidRPr="002E0DDC">
              <w:rPr>
                <w:rFonts w:eastAsia="Times New Roman" w:cs="Times New Roman"/>
                <w:sz w:val="20"/>
                <w:szCs w:val="20"/>
              </w:rPr>
              <w:t>Current indicator measure: 135</w:t>
            </w:r>
          </w:p>
          <w:p w:rsidR="002E0DDC" w:rsidRPr="002E0DDC" w:rsidRDefault="002E0DDC" w:rsidP="002E0DDC">
            <w:pPr>
              <w:spacing w:before="120" w:after="120"/>
              <w:rPr>
                <w:rFonts w:eastAsia="Times New Roman" w:cs="Times New Roman"/>
                <w:sz w:val="20"/>
                <w:szCs w:val="20"/>
              </w:rPr>
            </w:pPr>
            <w:r w:rsidRPr="002E0DDC">
              <w:rPr>
                <w:rFonts w:eastAsia="Times New Roman" w:cs="Times New Roman"/>
                <w:sz w:val="20"/>
                <w:szCs w:val="20"/>
              </w:rPr>
              <w:t>The number of reports issued by OAI in 2013 increased by 40 (42%) from 95 in 2012.</w:t>
            </w:r>
          </w:p>
          <w:p w:rsidR="002E0DDC" w:rsidRPr="002E0DDC" w:rsidRDefault="002E0DDC" w:rsidP="002E0DDC">
            <w:pPr>
              <w:spacing w:before="120" w:after="120"/>
              <w:rPr>
                <w:rFonts w:eastAsia="Times New Roman" w:cs="Times New Roman"/>
                <w:sz w:val="20"/>
                <w:szCs w:val="20"/>
              </w:rPr>
            </w:pPr>
            <w:r w:rsidRPr="002E0DDC">
              <w:rPr>
                <w:rFonts w:eastAsia="Times New Roman" w:cs="Times New Roman"/>
                <w:sz w:val="20"/>
                <w:szCs w:val="20"/>
              </w:rPr>
              <w:t>Source: 2013 Annual Report of OAI (DP/2014/16)</w:t>
            </w:r>
          </w:p>
        </w:tc>
      </w:tr>
      <w:tr w:rsidR="002E0DDC" w:rsidRPr="00CA712C">
        <w:tc>
          <w:tcPr>
            <w:tcW w:w="1680" w:type="dxa"/>
            <w:vMerge/>
          </w:tcPr>
          <w:p w:rsidR="002E0DDC" w:rsidRPr="00CA712C" w:rsidRDefault="002E0DDC" w:rsidP="00BA40DA">
            <w:pPr>
              <w:spacing w:before="120" w:after="120"/>
              <w:rPr>
                <w:rFonts w:eastAsia="Times New Roman" w:cs="Times New Roman"/>
                <w:sz w:val="20"/>
                <w:szCs w:val="20"/>
              </w:rPr>
            </w:pPr>
          </w:p>
        </w:tc>
        <w:tc>
          <w:tcPr>
            <w:tcW w:w="3116" w:type="dxa"/>
          </w:tcPr>
          <w:p w:rsidR="002E0DDC" w:rsidRPr="00CA712C" w:rsidRDefault="002E0DDC" w:rsidP="00BA40DA">
            <w:pPr>
              <w:spacing w:before="120" w:after="120"/>
              <w:rPr>
                <w:rFonts w:eastAsia="Times New Roman" w:cs="Times New Roman"/>
                <w:sz w:val="20"/>
                <w:szCs w:val="20"/>
              </w:rPr>
            </w:pPr>
            <w:r w:rsidRPr="00CA712C">
              <w:rPr>
                <w:rFonts w:eastAsia="Times New Roman" w:cs="Times New Roman"/>
                <w:sz w:val="20"/>
                <w:szCs w:val="20"/>
              </w:rPr>
              <w:t>Timely review of NGO/NIM audit reports and issuance of review letters</w:t>
            </w:r>
          </w:p>
          <w:p w:rsidR="002E0DDC" w:rsidRPr="00CA712C" w:rsidRDefault="002E0DDC" w:rsidP="00BA40DA">
            <w:pPr>
              <w:spacing w:before="120" w:after="120"/>
              <w:rPr>
                <w:rFonts w:eastAsia="Times New Roman" w:cs="Times New Roman"/>
                <w:sz w:val="20"/>
                <w:szCs w:val="20"/>
              </w:rPr>
            </w:pPr>
            <w:r w:rsidRPr="00CA712C">
              <w:rPr>
                <w:rFonts w:eastAsia="Times New Roman" w:cs="Times New Roman"/>
                <w:sz w:val="20"/>
                <w:szCs w:val="20"/>
              </w:rPr>
              <w:t xml:space="preserve"> </w:t>
            </w:r>
            <w:bookmarkStart w:id="16" w:name="OLE_LINK24"/>
            <w:bookmarkStart w:id="17" w:name="OLE_LINK25"/>
            <w:r w:rsidRPr="00CA712C">
              <w:rPr>
                <w:rFonts w:eastAsia="Times New Roman" w:cs="Times New Roman"/>
                <w:sz w:val="20"/>
                <w:szCs w:val="20"/>
              </w:rPr>
              <w:t>(S</w:t>
            </w:r>
            <w:r w:rsidRPr="00CA712C">
              <w:rPr>
                <w:rFonts w:eastAsia="Times New Roman" w:cs="Times New Roman"/>
                <w:i/>
                <w:sz w:val="20"/>
                <w:szCs w:val="20"/>
              </w:rPr>
              <w:t>ource: OAI Database</w:t>
            </w:r>
            <w:r>
              <w:rPr>
                <w:rFonts w:eastAsia="Times New Roman" w:cs="Times New Roman"/>
                <w:i/>
                <w:sz w:val="20"/>
                <w:szCs w:val="20"/>
              </w:rPr>
              <w:t xml:space="preserve"> – </w:t>
            </w:r>
            <w:r w:rsidRPr="00CA712C">
              <w:rPr>
                <w:rFonts w:eastAsia="Times New Roman" w:cs="Times New Roman"/>
                <w:i/>
                <w:sz w:val="20"/>
                <w:szCs w:val="20"/>
              </w:rPr>
              <w:t>Baseline: 70% in 2009)</w:t>
            </w:r>
            <w:bookmarkEnd w:id="16"/>
            <w:bookmarkEnd w:id="17"/>
          </w:p>
        </w:tc>
        <w:tc>
          <w:tcPr>
            <w:tcW w:w="1877" w:type="dxa"/>
          </w:tcPr>
          <w:p w:rsidR="002E0DDC" w:rsidRPr="00CA712C" w:rsidRDefault="002E0DDC" w:rsidP="00BA40DA">
            <w:pPr>
              <w:spacing w:before="120" w:after="120"/>
              <w:jc w:val="center"/>
              <w:rPr>
                <w:rFonts w:eastAsia="Times New Roman" w:cs="Times New Roman"/>
                <w:sz w:val="20"/>
                <w:szCs w:val="20"/>
              </w:rPr>
            </w:pPr>
            <w:r w:rsidRPr="00CA712C">
              <w:rPr>
                <w:rFonts w:eastAsia="Times New Roman" w:cs="Times New Roman"/>
                <w:sz w:val="20"/>
                <w:szCs w:val="20"/>
              </w:rPr>
              <w:t>75%</w:t>
            </w:r>
          </w:p>
        </w:tc>
        <w:tc>
          <w:tcPr>
            <w:tcW w:w="6503" w:type="dxa"/>
          </w:tcPr>
          <w:p w:rsidR="002E0DDC" w:rsidRPr="002E0DDC" w:rsidRDefault="002E0DDC" w:rsidP="002E0DDC">
            <w:pPr>
              <w:spacing w:before="120" w:after="120"/>
              <w:rPr>
                <w:rFonts w:eastAsia="Times New Roman" w:cs="Times New Roman"/>
                <w:sz w:val="20"/>
                <w:szCs w:val="20"/>
              </w:rPr>
            </w:pPr>
            <w:r w:rsidRPr="002E0DDC">
              <w:rPr>
                <w:rFonts w:eastAsia="Times New Roman" w:cs="Times New Roman"/>
                <w:sz w:val="20"/>
                <w:szCs w:val="20"/>
              </w:rPr>
              <w:t>Current indicator measure: 86% (as at Dec 2013)</w:t>
            </w:r>
          </w:p>
          <w:p w:rsidR="002E0DDC" w:rsidRPr="002E0DDC" w:rsidRDefault="002E0DDC" w:rsidP="002E0DDC">
            <w:pPr>
              <w:spacing w:before="120" w:after="120"/>
              <w:rPr>
                <w:rFonts w:eastAsia="Times New Roman" w:cs="Times New Roman"/>
                <w:sz w:val="20"/>
                <w:szCs w:val="20"/>
              </w:rPr>
            </w:pPr>
            <w:r w:rsidRPr="002E0DDC">
              <w:rPr>
                <w:rFonts w:eastAsia="Times New Roman" w:cs="Times New Roman"/>
                <w:sz w:val="20"/>
                <w:szCs w:val="20"/>
              </w:rPr>
              <w:t>OAI</w:t>
            </w:r>
            <w:r w:rsidRPr="002E0DDC">
              <w:rPr>
                <w:rFonts w:eastAsia="Times New Roman" w:cs="Times New Roman"/>
                <w:spacing w:val="11"/>
                <w:sz w:val="20"/>
                <w:szCs w:val="20"/>
              </w:rPr>
              <w:t xml:space="preserve"> </w:t>
            </w:r>
            <w:r w:rsidRPr="002E0DDC">
              <w:rPr>
                <w:rFonts w:eastAsia="Times New Roman" w:cs="Times New Roman"/>
                <w:spacing w:val="-1"/>
                <w:sz w:val="20"/>
                <w:szCs w:val="20"/>
              </w:rPr>
              <w:t>co</w:t>
            </w:r>
            <w:r w:rsidRPr="002E0DDC">
              <w:rPr>
                <w:rFonts w:eastAsia="Times New Roman" w:cs="Times New Roman"/>
                <w:sz w:val="20"/>
                <w:szCs w:val="20"/>
              </w:rPr>
              <w:t>nduct</w:t>
            </w:r>
            <w:r w:rsidRPr="002E0DDC">
              <w:rPr>
                <w:rFonts w:eastAsia="Times New Roman" w:cs="Times New Roman"/>
                <w:spacing w:val="-1"/>
                <w:sz w:val="20"/>
                <w:szCs w:val="20"/>
              </w:rPr>
              <w:t>e</w:t>
            </w:r>
            <w:r w:rsidRPr="002E0DDC">
              <w:rPr>
                <w:rFonts w:eastAsia="Times New Roman" w:cs="Times New Roman"/>
                <w:sz w:val="20"/>
                <w:szCs w:val="20"/>
              </w:rPr>
              <w:t>d</w:t>
            </w:r>
            <w:r w:rsidRPr="002E0DDC">
              <w:rPr>
                <w:rFonts w:eastAsia="Times New Roman" w:cs="Times New Roman"/>
                <w:spacing w:val="11"/>
                <w:sz w:val="20"/>
                <w:szCs w:val="20"/>
              </w:rPr>
              <w:t xml:space="preserve"> </w:t>
            </w:r>
            <w:r w:rsidRPr="002E0DDC">
              <w:rPr>
                <w:rFonts w:eastAsia="Times New Roman" w:cs="Times New Roman"/>
                <w:spacing w:val="-1"/>
                <w:sz w:val="20"/>
                <w:szCs w:val="20"/>
              </w:rPr>
              <w:t>a</w:t>
            </w:r>
            <w:r w:rsidRPr="002E0DDC">
              <w:rPr>
                <w:rFonts w:eastAsia="Times New Roman" w:cs="Times New Roman"/>
                <w:sz w:val="20"/>
                <w:szCs w:val="20"/>
              </w:rPr>
              <w:t>n</w:t>
            </w:r>
            <w:r w:rsidRPr="002E0DDC">
              <w:rPr>
                <w:rFonts w:eastAsia="Times New Roman" w:cs="Times New Roman"/>
                <w:spacing w:val="11"/>
                <w:sz w:val="20"/>
                <w:szCs w:val="20"/>
              </w:rPr>
              <w:t xml:space="preserve"> </w:t>
            </w:r>
            <w:r w:rsidRPr="002E0DDC">
              <w:rPr>
                <w:rFonts w:eastAsia="Times New Roman" w:cs="Times New Roman"/>
                <w:spacing w:val="-2"/>
                <w:sz w:val="20"/>
                <w:szCs w:val="20"/>
              </w:rPr>
              <w:t>i</w:t>
            </w:r>
            <w:r w:rsidRPr="002E0DDC">
              <w:rPr>
                <w:rFonts w:eastAsia="Times New Roman" w:cs="Times New Roman"/>
                <w:spacing w:val="1"/>
                <w:sz w:val="20"/>
                <w:szCs w:val="20"/>
              </w:rPr>
              <w:t>n</w:t>
            </w:r>
            <w:r w:rsidRPr="002E0DDC">
              <w:rPr>
                <w:rFonts w:eastAsia="Times New Roman" w:cs="Times New Roman"/>
                <w:sz w:val="20"/>
                <w:szCs w:val="20"/>
              </w:rPr>
              <w:t>-d</w:t>
            </w:r>
            <w:r w:rsidRPr="002E0DDC">
              <w:rPr>
                <w:rFonts w:eastAsia="Times New Roman" w:cs="Times New Roman"/>
                <w:spacing w:val="-1"/>
                <w:sz w:val="20"/>
                <w:szCs w:val="20"/>
              </w:rPr>
              <w:t>e</w:t>
            </w:r>
            <w:r w:rsidRPr="002E0DDC">
              <w:rPr>
                <w:rFonts w:eastAsia="Times New Roman" w:cs="Times New Roman"/>
                <w:spacing w:val="1"/>
                <w:sz w:val="20"/>
                <w:szCs w:val="20"/>
              </w:rPr>
              <w:t>p</w:t>
            </w:r>
            <w:r w:rsidRPr="002E0DDC">
              <w:rPr>
                <w:rFonts w:eastAsia="Times New Roman" w:cs="Times New Roman"/>
                <w:sz w:val="20"/>
                <w:szCs w:val="20"/>
              </w:rPr>
              <w:t>th</w:t>
            </w:r>
            <w:r w:rsidRPr="002E0DDC">
              <w:rPr>
                <w:rFonts w:eastAsia="Times New Roman" w:cs="Times New Roman"/>
                <w:spacing w:val="9"/>
                <w:sz w:val="20"/>
                <w:szCs w:val="20"/>
              </w:rPr>
              <w:t xml:space="preserve"> </w:t>
            </w:r>
            <w:r w:rsidRPr="002E0DDC">
              <w:rPr>
                <w:rFonts w:eastAsia="Times New Roman" w:cs="Times New Roman"/>
                <w:sz w:val="20"/>
                <w:szCs w:val="20"/>
              </w:rPr>
              <w:t>revi</w:t>
            </w:r>
            <w:r w:rsidRPr="002E0DDC">
              <w:rPr>
                <w:rFonts w:eastAsia="Times New Roman" w:cs="Times New Roman"/>
                <w:spacing w:val="-1"/>
                <w:sz w:val="20"/>
                <w:szCs w:val="20"/>
              </w:rPr>
              <w:t>e</w:t>
            </w:r>
            <w:r w:rsidRPr="002E0DDC">
              <w:rPr>
                <w:rFonts w:eastAsia="Times New Roman" w:cs="Times New Roman"/>
                <w:sz w:val="20"/>
                <w:szCs w:val="20"/>
              </w:rPr>
              <w:t>w</w:t>
            </w:r>
            <w:r w:rsidRPr="002E0DDC">
              <w:rPr>
                <w:rFonts w:eastAsia="Times New Roman" w:cs="Times New Roman"/>
                <w:spacing w:val="10"/>
                <w:sz w:val="20"/>
                <w:szCs w:val="20"/>
              </w:rPr>
              <w:t xml:space="preserve"> </w:t>
            </w:r>
            <w:r w:rsidRPr="002E0DDC">
              <w:rPr>
                <w:rFonts w:eastAsia="Times New Roman" w:cs="Times New Roman"/>
                <w:sz w:val="20"/>
                <w:szCs w:val="20"/>
              </w:rPr>
              <w:t>of</w:t>
            </w:r>
            <w:r w:rsidRPr="002E0DDC">
              <w:rPr>
                <w:rFonts w:eastAsia="Times New Roman" w:cs="Times New Roman"/>
                <w:spacing w:val="11"/>
                <w:sz w:val="20"/>
                <w:szCs w:val="20"/>
              </w:rPr>
              <w:t xml:space="preserve"> a selected sample of the NGO/NIM audit reports.  The sample reviewed by OAI represented 50 percent of the audit reports received and </w:t>
            </w:r>
            <w:r w:rsidRPr="002E0DDC">
              <w:rPr>
                <w:rFonts w:eastAsia="Times New Roman" w:cs="Times New Roman"/>
                <w:sz w:val="20"/>
                <w:szCs w:val="20"/>
              </w:rPr>
              <w:t>86</w:t>
            </w:r>
            <w:r w:rsidRPr="002E0DDC">
              <w:rPr>
                <w:rFonts w:eastAsia="Times New Roman" w:cs="Times New Roman"/>
                <w:spacing w:val="2"/>
                <w:sz w:val="20"/>
                <w:szCs w:val="20"/>
              </w:rPr>
              <w:t xml:space="preserve"> </w:t>
            </w:r>
            <w:r w:rsidRPr="002E0DDC">
              <w:rPr>
                <w:rFonts w:eastAsia="Times New Roman" w:cs="Times New Roman"/>
                <w:spacing w:val="1"/>
                <w:sz w:val="20"/>
                <w:szCs w:val="20"/>
              </w:rPr>
              <w:t>p</w:t>
            </w:r>
            <w:r w:rsidRPr="002E0DDC">
              <w:rPr>
                <w:rFonts w:eastAsia="Times New Roman" w:cs="Times New Roman"/>
                <w:spacing w:val="-1"/>
                <w:sz w:val="20"/>
                <w:szCs w:val="20"/>
              </w:rPr>
              <w:t>e</w:t>
            </w:r>
            <w:r w:rsidRPr="002E0DDC">
              <w:rPr>
                <w:rFonts w:eastAsia="Times New Roman" w:cs="Times New Roman"/>
                <w:sz w:val="20"/>
                <w:szCs w:val="20"/>
              </w:rPr>
              <w:t>r</w:t>
            </w:r>
            <w:r w:rsidRPr="002E0DDC">
              <w:rPr>
                <w:rFonts w:eastAsia="Times New Roman" w:cs="Times New Roman"/>
                <w:spacing w:val="1"/>
                <w:sz w:val="20"/>
                <w:szCs w:val="20"/>
              </w:rPr>
              <w:t xml:space="preserve"> </w:t>
            </w:r>
            <w:r w:rsidRPr="002E0DDC">
              <w:rPr>
                <w:rFonts w:eastAsia="Times New Roman" w:cs="Times New Roman"/>
                <w:sz w:val="20"/>
                <w:szCs w:val="20"/>
              </w:rPr>
              <w:t>ce</w:t>
            </w:r>
            <w:r w:rsidRPr="002E0DDC">
              <w:rPr>
                <w:rFonts w:eastAsia="Times New Roman" w:cs="Times New Roman"/>
                <w:spacing w:val="1"/>
                <w:sz w:val="20"/>
                <w:szCs w:val="20"/>
              </w:rPr>
              <w:t>n</w:t>
            </w:r>
            <w:r w:rsidRPr="002E0DDC">
              <w:rPr>
                <w:rFonts w:eastAsia="Times New Roman" w:cs="Times New Roman"/>
                <w:sz w:val="20"/>
                <w:szCs w:val="20"/>
              </w:rPr>
              <w:t>t</w:t>
            </w:r>
            <w:r w:rsidRPr="002E0DDC">
              <w:rPr>
                <w:rFonts w:eastAsia="Times New Roman" w:cs="Times New Roman"/>
                <w:spacing w:val="1"/>
                <w:sz w:val="20"/>
                <w:szCs w:val="20"/>
              </w:rPr>
              <w:t xml:space="preserve"> o</w:t>
            </w:r>
            <w:r w:rsidRPr="002E0DDC">
              <w:rPr>
                <w:rFonts w:eastAsia="Times New Roman" w:cs="Times New Roman"/>
                <w:sz w:val="20"/>
                <w:szCs w:val="20"/>
              </w:rPr>
              <w:t>f</w:t>
            </w:r>
            <w:r w:rsidRPr="002E0DDC">
              <w:rPr>
                <w:rFonts w:eastAsia="Times New Roman" w:cs="Times New Roman"/>
                <w:spacing w:val="1"/>
                <w:sz w:val="20"/>
                <w:szCs w:val="20"/>
              </w:rPr>
              <w:t xml:space="preserve"> </w:t>
            </w:r>
            <w:r w:rsidRPr="002E0DDC">
              <w:rPr>
                <w:rFonts w:eastAsia="Times New Roman" w:cs="Times New Roman"/>
                <w:sz w:val="20"/>
                <w:szCs w:val="20"/>
              </w:rPr>
              <w:t>t</w:t>
            </w:r>
            <w:r w:rsidRPr="002E0DDC">
              <w:rPr>
                <w:rFonts w:eastAsia="Times New Roman" w:cs="Times New Roman"/>
                <w:spacing w:val="1"/>
                <w:sz w:val="20"/>
                <w:szCs w:val="20"/>
              </w:rPr>
              <w:t>h</w:t>
            </w:r>
            <w:r w:rsidRPr="002E0DDC">
              <w:rPr>
                <w:rFonts w:eastAsia="Times New Roman" w:cs="Times New Roman"/>
                <w:sz w:val="20"/>
                <w:szCs w:val="20"/>
              </w:rPr>
              <w:t>e</w:t>
            </w:r>
            <w:r w:rsidRPr="002E0DDC">
              <w:rPr>
                <w:rFonts w:eastAsia="Times New Roman" w:cs="Times New Roman"/>
                <w:spacing w:val="1"/>
                <w:sz w:val="20"/>
                <w:szCs w:val="20"/>
              </w:rPr>
              <w:t xml:space="preserve"> NGO/NIM </w:t>
            </w:r>
            <w:r w:rsidRPr="002E0DDC">
              <w:rPr>
                <w:rFonts w:eastAsia="Times New Roman" w:cs="Times New Roman"/>
                <w:sz w:val="20"/>
                <w:szCs w:val="20"/>
              </w:rPr>
              <w:t>au</w:t>
            </w:r>
            <w:r w:rsidRPr="002E0DDC">
              <w:rPr>
                <w:rFonts w:eastAsia="Times New Roman" w:cs="Times New Roman"/>
                <w:spacing w:val="1"/>
                <w:sz w:val="20"/>
                <w:szCs w:val="20"/>
              </w:rPr>
              <w:t>d</w:t>
            </w:r>
            <w:r w:rsidRPr="002E0DDC">
              <w:rPr>
                <w:rFonts w:eastAsia="Times New Roman" w:cs="Times New Roman"/>
                <w:sz w:val="20"/>
                <w:szCs w:val="20"/>
              </w:rPr>
              <w:t>ited expenditure (or $</w:t>
            </w:r>
            <w:r w:rsidRPr="002E0DDC">
              <w:rPr>
                <w:rFonts w:eastAsia="Times New Roman" w:cs="Times New Roman"/>
                <w:spacing w:val="1"/>
                <w:sz w:val="20"/>
                <w:szCs w:val="20"/>
              </w:rPr>
              <w:t>1</w:t>
            </w:r>
            <w:r w:rsidRPr="002E0DDC">
              <w:rPr>
                <w:rFonts w:eastAsia="Times New Roman" w:cs="Times New Roman"/>
                <w:sz w:val="20"/>
                <w:szCs w:val="20"/>
              </w:rPr>
              <w:t>.</w:t>
            </w:r>
            <w:r w:rsidRPr="002E0DDC">
              <w:rPr>
                <w:rFonts w:eastAsia="Times New Roman" w:cs="Times New Roman"/>
                <w:spacing w:val="1"/>
                <w:sz w:val="20"/>
                <w:szCs w:val="20"/>
              </w:rPr>
              <w:t>6</w:t>
            </w:r>
            <w:r w:rsidRPr="002E0DDC">
              <w:rPr>
                <w:rFonts w:eastAsia="Times New Roman" w:cs="Times New Roman"/>
                <w:sz w:val="20"/>
                <w:szCs w:val="20"/>
              </w:rPr>
              <w:t>7</w:t>
            </w:r>
            <w:r w:rsidRPr="002E0DDC">
              <w:rPr>
                <w:rFonts w:eastAsia="Times New Roman" w:cs="Times New Roman"/>
                <w:spacing w:val="1"/>
                <w:sz w:val="20"/>
                <w:szCs w:val="20"/>
              </w:rPr>
              <w:t xml:space="preserve"> b</w:t>
            </w:r>
            <w:r w:rsidRPr="002E0DDC">
              <w:rPr>
                <w:rFonts w:eastAsia="Times New Roman" w:cs="Times New Roman"/>
                <w:sz w:val="20"/>
                <w:szCs w:val="20"/>
              </w:rPr>
              <w:t>illi</w:t>
            </w:r>
            <w:r w:rsidRPr="002E0DDC">
              <w:rPr>
                <w:rFonts w:eastAsia="Times New Roman" w:cs="Times New Roman"/>
                <w:spacing w:val="1"/>
                <w:sz w:val="20"/>
                <w:szCs w:val="20"/>
              </w:rPr>
              <w:t>o</w:t>
            </w:r>
            <w:r w:rsidRPr="002E0DDC">
              <w:rPr>
                <w:rFonts w:eastAsia="Times New Roman" w:cs="Times New Roman"/>
                <w:sz w:val="20"/>
                <w:szCs w:val="20"/>
              </w:rPr>
              <w:t>n).</w:t>
            </w:r>
          </w:p>
          <w:p w:rsidR="002E0DDC" w:rsidRPr="002E0DDC" w:rsidRDefault="002E0DDC" w:rsidP="002E0DDC">
            <w:pPr>
              <w:spacing w:before="120" w:after="120"/>
              <w:rPr>
                <w:rFonts w:eastAsia="Times New Roman" w:cs="Times New Roman"/>
                <w:sz w:val="20"/>
                <w:szCs w:val="20"/>
              </w:rPr>
            </w:pPr>
            <w:r w:rsidRPr="002E0DDC">
              <w:rPr>
                <w:rFonts w:eastAsia="Times New Roman" w:cs="Times New Roman"/>
                <w:sz w:val="20"/>
                <w:szCs w:val="20"/>
              </w:rPr>
              <w:t>Source: 2013 Annual Report of OAI (DP/2014/16)</w:t>
            </w:r>
          </w:p>
        </w:tc>
      </w:tr>
      <w:tr w:rsidR="002E0DDC" w:rsidRPr="00CA712C">
        <w:tc>
          <w:tcPr>
            <w:tcW w:w="1680" w:type="dxa"/>
            <w:vMerge/>
          </w:tcPr>
          <w:p w:rsidR="002E0DDC" w:rsidRPr="00CA712C" w:rsidRDefault="002E0DDC" w:rsidP="00BA40DA">
            <w:pPr>
              <w:spacing w:before="120" w:after="120"/>
              <w:rPr>
                <w:rFonts w:eastAsia="Times New Roman" w:cs="Times New Roman"/>
                <w:sz w:val="20"/>
                <w:szCs w:val="20"/>
              </w:rPr>
            </w:pPr>
          </w:p>
        </w:tc>
        <w:tc>
          <w:tcPr>
            <w:tcW w:w="3116" w:type="dxa"/>
          </w:tcPr>
          <w:p w:rsidR="002E0DDC" w:rsidRPr="00CA712C" w:rsidRDefault="002E0DDC" w:rsidP="00BA40DA">
            <w:pPr>
              <w:spacing w:before="120" w:after="120"/>
              <w:rPr>
                <w:rFonts w:eastAsia="Times New Roman" w:cs="Times New Roman"/>
                <w:sz w:val="20"/>
                <w:szCs w:val="20"/>
              </w:rPr>
            </w:pPr>
            <w:r w:rsidRPr="00CA712C">
              <w:rPr>
                <w:rFonts w:eastAsia="Times New Roman" w:cs="Times New Roman"/>
                <w:sz w:val="20"/>
                <w:szCs w:val="20"/>
              </w:rPr>
              <w:t xml:space="preserve">Timely completion of </w:t>
            </w:r>
            <w:bookmarkStart w:id="18" w:name="OLE_LINK50"/>
            <w:bookmarkStart w:id="19" w:name="OLE_LINK51"/>
            <w:r w:rsidRPr="00CA712C">
              <w:rPr>
                <w:rFonts w:eastAsia="Times New Roman" w:cs="Times New Roman"/>
                <w:sz w:val="20"/>
                <w:szCs w:val="20"/>
              </w:rPr>
              <w:t xml:space="preserve">programme evaluations </w:t>
            </w:r>
            <w:bookmarkEnd w:id="18"/>
            <w:bookmarkEnd w:id="19"/>
            <w:r w:rsidRPr="00CA712C">
              <w:rPr>
                <w:rFonts w:eastAsia="Times New Roman" w:cs="Times New Roman"/>
                <w:sz w:val="20"/>
                <w:szCs w:val="20"/>
              </w:rPr>
              <w:t>(ADRs, regional, global, South-South) for management and Executive Board consideration before approval of the new programme</w:t>
            </w:r>
          </w:p>
          <w:p w:rsidR="002E0DDC" w:rsidRPr="00CA712C" w:rsidRDefault="002E0DDC" w:rsidP="00BA40DA">
            <w:pPr>
              <w:spacing w:before="120" w:after="120"/>
              <w:rPr>
                <w:rFonts w:eastAsia="Times New Roman" w:cs="Times New Roman"/>
                <w:sz w:val="20"/>
                <w:szCs w:val="20"/>
              </w:rPr>
            </w:pPr>
            <w:r w:rsidRPr="00CA712C">
              <w:rPr>
                <w:rFonts w:eastAsia="Times New Roman" w:cs="Times New Roman"/>
                <w:i/>
                <w:sz w:val="20"/>
                <w:szCs w:val="20"/>
              </w:rPr>
              <w:t>(Source: EB Website</w:t>
            </w:r>
            <w:r>
              <w:rPr>
                <w:rFonts w:eastAsia="Times New Roman" w:cs="Times New Roman"/>
                <w:i/>
                <w:sz w:val="20"/>
                <w:szCs w:val="20"/>
              </w:rPr>
              <w:t xml:space="preserve"> – </w:t>
            </w:r>
            <w:r w:rsidRPr="00CA712C">
              <w:rPr>
                <w:rFonts w:eastAsia="Times New Roman" w:cs="Times New Roman"/>
                <w:i/>
                <w:sz w:val="20"/>
                <w:szCs w:val="20"/>
              </w:rPr>
              <w:t>Baseline: 93% for management 100</w:t>
            </w:r>
            <w:r>
              <w:rPr>
                <w:rFonts w:eastAsia="Times New Roman" w:cs="Times New Roman"/>
                <w:i/>
                <w:sz w:val="20"/>
                <w:szCs w:val="20"/>
              </w:rPr>
              <w:t>%</w:t>
            </w:r>
            <w:r w:rsidRPr="00CA712C">
              <w:rPr>
                <w:rFonts w:eastAsia="Times New Roman" w:cs="Times New Roman"/>
                <w:i/>
                <w:sz w:val="20"/>
                <w:szCs w:val="20"/>
              </w:rPr>
              <w:t xml:space="preserve"> for Executive Board)</w:t>
            </w:r>
          </w:p>
        </w:tc>
        <w:tc>
          <w:tcPr>
            <w:tcW w:w="1877" w:type="dxa"/>
          </w:tcPr>
          <w:p w:rsidR="002E0DDC" w:rsidRPr="00CA712C" w:rsidRDefault="002E0DDC" w:rsidP="00BA40DA">
            <w:pPr>
              <w:spacing w:before="120" w:after="120"/>
              <w:jc w:val="center"/>
              <w:rPr>
                <w:rFonts w:eastAsia="Times New Roman" w:cs="Times New Roman"/>
                <w:sz w:val="20"/>
                <w:szCs w:val="20"/>
              </w:rPr>
            </w:pPr>
            <w:r w:rsidRPr="00CA712C">
              <w:rPr>
                <w:rFonts w:eastAsia="Times New Roman" w:cs="Times New Roman"/>
                <w:sz w:val="20"/>
                <w:szCs w:val="20"/>
              </w:rPr>
              <w:t>100% for both</w:t>
            </w:r>
          </w:p>
        </w:tc>
        <w:tc>
          <w:tcPr>
            <w:tcW w:w="6503" w:type="dxa"/>
          </w:tcPr>
          <w:p w:rsidR="002E0DDC" w:rsidRPr="002E0DDC" w:rsidRDefault="002E0DDC" w:rsidP="002E0DDC">
            <w:pPr>
              <w:spacing w:before="120" w:after="120"/>
              <w:rPr>
                <w:rFonts w:eastAsia="Times New Roman" w:cs="Times New Roman"/>
                <w:sz w:val="20"/>
                <w:szCs w:val="18"/>
              </w:rPr>
            </w:pPr>
            <w:r w:rsidRPr="002E0DDC">
              <w:rPr>
                <w:rFonts w:eastAsia="Times New Roman" w:cs="Times New Roman"/>
                <w:sz w:val="20"/>
                <w:szCs w:val="18"/>
              </w:rPr>
              <w:t>Current indicator measure: 100%</w:t>
            </w:r>
          </w:p>
          <w:p w:rsidR="002E0DDC" w:rsidRPr="002E0DDC" w:rsidRDefault="002E0DDC" w:rsidP="002E0DDC">
            <w:pPr>
              <w:spacing w:before="120" w:after="120"/>
              <w:rPr>
                <w:rFonts w:eastAsia="Times New Roman" w:cs="Times New Roman"/>
                <w:sz w:val="20"/>
                <w:szCs w:val="18"/>
              </w:rPr>
            </w:pPr>
            <w:r w:rsidRPr="002E0DDC">
              <w:rPr>
                <w:sz w:val="20"/>
                <w:szCs w:val="18"/>
              </w:rPr>
              <w:t xml:space="preserve">Seven programmatic evaluations were presented to the Executive Board at the 2013 annual session. </w:t>
            </w:r>
          </w:p>
          <w:p w:rsidR="002E0DDC" w:rsidRPr="005A4328" w:rsidRDefault="00052D73" w:rsidP="005A4328">
            <w:pPr>
              <w:pStyle w:val="ColorfulList-Accent11"/>
              <w:spacing w:before="120" w:after="120"/>
              <w:ind w:left="0"/>
              <w:jc w:val="both"/>
              <w:rPr>
                <w:color w:val="000000"/>
                <w:sz w:val="20"/>
                <w:szCs w:val="20"/>
              </w:rPr>
            </w:pPr>
            <w:r>
              <w:rPr>
                <w:color w:val="000000"/>
                <w:sz w:val="20"/>
                <w:szCs w:val="20"/>
              </w:rPr>
              <w:t xml:space="preserve">Assessments of Development Results (ADRs) conducted by the UNDP Evaluation Office for Niger and Egypt were made available to the UNDP Executive Board in June and September 2013. Other ADRs conducted in 2012–2013 and submitted with their CPDs in 2013 include Angola and Côte D’Ivoire.  Timor-L’este was undertaken but not completed in 2013 and will be submitted with its corresponding country programme document in 2014. The ADR for Croatia, conducted in 2013, will also be made available in 2014.  During 2013, ADRs were conducted in Afghanistan, Algeria, Iraq, Kenya and Sierra Leone, and will be submitted to the UNDP Executive Board in 2014. A planned evaluation of UNDP work in Lebanon was postponed due to the Syrian crisis and the deteriorating security situation. These ADRs will be made available the UNDP Executive Board at the same time that the </w:t>
            </w:r>
            <w:r>
              <w:rPr>
                <w:color w:val="000000"/>
                <w:sz w:val="20"/>
                <w:szCs w:val="20"/>
              </w:rPr>
              <w:lastRenderedPageBreak/>
              <w:t xml:space="preserve">corresponding country programme </w:t>
            </w:r>
            <w:r w:rsidRPr="004525AC">
              <w:rPr>
                <w:color w:val="000000"/>
                <w:sz w:val="20"/>
                <w:szCs w:val="20"/>
              </w:rPr>
              <w:t>documents are presented for approval.</w:t>
            </w:r>
          </w:p>
        </w:tc>
      </w:tr>
      <w:tr w:rsidR="002E0DDC" w:rsidRPr="00CA712C">
        <w:tc>
          <w:tcPr>
            <w:tcW w:w="1680" w:type="dxa"/>
            <w:vMerge/>
            <w:tcBorders>
              <w:bottom w:val="single" w:sz="4" w:space="0" w:color="auto"/>
            </w:tcBorders>
          </w:tcPr>
          <w:p w:rsidR="002E0DDC" w:rsidRPr="00CA712C" w:rsidRDefault="002E0DDC" w:rsidP="00BA40DA">
            <w:pPr>
              <w:spacing w:before="120" w:after="120"/>
              <w:rPr>
                <w:rFonts w:eastAsia="Times New Roman" w:cs="Times New Roman"/>
                <w:sz w:val="20"/>
                <w:szCs w:val="20"/>
              </w:rPr>
            </w:pPr>
          </w:p>
        </w:tc>
        <w:tc>
          <w:tcPr>
            <w:tcW w:w="3116" w:type="dxa"/>
            <w:tcBorders>
              <w:bottom w:val="single" w:sz="4" w:space="0" w:color="auto"/>
            </w:tcBorders>
          </w:tcPr>
          <w:p w:rsidR="002E0DDC" w:rsidRPr="00CA712C" w:rsidRDefault="002E0DDC" w:rsidP="00BA40DA">
            <w:pPr>
              <w:spacing w:before="120" w:after="120"/>
              <w:rPr>
                <w:rFonts w:eastAsia="Times New Roman" w:cs="Times New Roman"/>
                <w:sz w:val="20"/>
                <w:szCs w:val="20"/>
              </w:rPr>
            </w:pPr>
            <w:r w:rsidRPr="00CA712C">
              <w:rPr>
                <w:rFonts w:eastAsia="Times New Roman" w:cs="Times New Roman"/>
                <w:sz w:val="20"/>
                <w:szCs w:val="20"/>
              </w:rPr>
              <w:t>Timely quality ratings of all planned decentrali</w:t>
            </w:r>
            <w:r>
              <w:rPr>
                <w:rFonts w:eastAsia="Times New Roman" w:cs="Times New Roman"/>
                <w:sz w:val="20"/>
                <w:szCs w:val="20"/>
              </w:rPr>
              <w:t>s</w:t>
            </w:r>
            <w:r w:rsidRPr="00CA712C">
              <w:rPr>
                <w:rFonts w:eastAsia="Times New Roman" w:cs="Times New Roman"/>
                <w:sz w:val="20"/>
                <w:szCs w:val="20"/>
              </w:rPr>
              <w:t>ed evaluations and issuance of rating report</w:t>
            </w:r>
          </w:p>
          <w:p w:rsidR="002E0DDC" w:rsidRPr="00CA712C" w:rsidRDefault="002E0DDC" w:rsidP="00BA40DA">
            <w:pPr>
              <w:spacing w:before="120" w:after="120"/>
              <w:rPr>
                <w:rFonts w:eastAsia="Times New Roman" w:cs="Times New Roman"/>
                <w:sz w:val="20"/>
                <w:szCs w:val="20"/>
              </w:rPr>
            </w:pPr>
            <w:r w:rsidRPr="00CA712C">
              <w:rPr>
                <w:rFonts w:eastAsia="Times New Roman" w:cs="Times New Roman"/>
                <w:i/>
                <w:sz w:val="20"/>
                <w:szCs w:val="20"/>
              </w:rPr>
              <w:t>(Source: Evaluation Resource Centre</w:t>
            </w:r>
            <w:r>
              <w:rPr>
                <w:rFonts w:eastAsia="Times New Roman" w:cs="Times New Roman"/>
                <w:i/>
                <w:sz w:val="20"/>
                <w:szCs w:val="20"/>
              </w:rPr>
              <w:t xml:space="preserve"> – </w:t>
            </w:r>
            <w:r w:rsidRPr="00CA712C">
              <w:rPr>
                <w:rFonts w:eastAsia="Times New Roman" w:cs="Times New Roman"/>
                <w:i/>
                <w:sz w:val="20"/>
                <w:szCs w:val="20"/>
              </w:rPr>
              <w:t>Baseline: N/A)</w:t>
            </w:r>
          </w:p>
        </w:tc>
        <w:tc>
          <w:tcPr>
            <w:tcW w:w="1877" w:type="dxa"/>
            <w:tcBorders>
              <w:bottom w:val="single" w:sz="4" w:space="0" w:color="auto"/>
            </w:tcBorders>
          </w:tcPr>
          <w:p w:rsidR="002E0DDC" w:rsidRPr="00CA712C" w:rsidRDefault="002E0DDC" w:rsidP="00BA40DA">
            <w:pPr>
              <w:spacing w:before="120" w:after="120"/>
              <w:jc w:val="center"/>
              <w:rPr>
                <w:rFonts w:eastAsia="Times New Roman" w:cs="Times New Roman"/>
                <w:sz w:val="20"/>
                <w:szCs w:val="20"/>
              </w:rPr>
            </w:pPr>
            <w:r w:rsidRPr="00CA712C">
              <w:rPr>
                <w:rFonts w:eastAsia="Times New Roman" w:cs="Times New Roman"/>
                <w:sz w:val="20"/>
                <w:szCs w:val="20"/>
              </w:rPr>
              <w:t>Target under development</w:t>
            </w:r>
          </w:p>
        </w:tc>
        <w:tc>
          <w:tcPr>
            <w:tcW w:w="6503" w:type="dxa"/>
            <w:tcBorders>
              <w:bottom w:val="single" w:sz="4" w:space="0" w:color="auto"/>
            </w:tcBorders>
          </w:tcPr>
          <w:p w:rsidR="002E0DDC" w:rsidRPr="002E0DDC" w:rsidRDefault="002E0DDC" w:rsidP="002E0DDC">
            <w:pPr>
              <w:spacing w:before="120" w:after="120"/>
              <w:rPr>
                <w:rFonts w:eastAsia="Times New Roman" w:cs="Times New Roman"/>
                <w:sz w:val="20"/>
                <w:szCs w:val="20"/>
              </w:rPr>
            </w:pPr>
            <w:r w:rsidRPr="002E0DDC">
              <w:rPr>
                <w:rFonts w:eastAsia="Times New Roman" w:cs="Times New Roman"/>
                <w:sz w:val="20"/>
                <w:szCs w:val="20"/>
              </w:rPr>
              <w:t>In the 2013 Annual Report on Evaluation (ARE), the Evaluation Office (EO) reported 298 decentralized evaluations that were completed in 2013 and made available in the Evaluation Resource Centre as of 31 January 2014.  Of these, 223 evaluations were quality assessed by EO.  These include 179 decentralized evaluations and 44 terminal evaluations of GEF projects.</w:t>
            </w:r>
          </w:p>
        </w:tc>
      </w:tr>
    </w:tbl>
    <w:p w:rsidR="00E07CCA" w:rsidRPr="00712229" w:rsidRDefault="0079114C" w:rsidP="002E0DDC">
      <w:pPr>
        <w:numPr>
          <w:ilvl w:val="0"/>
          <w:numId w:val="39"/>
        </w:numPr>
        <w:tabs>
          <w:tab w:val="left" w:pos="1080"/>
          <w:tab w:val="right" w:pos="12960"/>
        </w:tabs>
        <w:spacing w:before="120" w:after="240" w:line="240" w:lineRule="auto"/>
        <w:ind w:left="360"/>
        <w:rPr>
          <w:b/>
        </w:rPr>
      </w:pPr>
      <w:r>
        <w:rPr>
          <w:b/>
        </w:rPr>
        <w:br w:type="page"/>
      </w:r>
      <w:r w:rsidR="00712229">
        <w:rPr>
          <w:b/>
        </w:rPr>
        <w:lastRenderedPageBreak/>
        <w:t>UN coordination results</w:t>
      </w:r>
      <w:r w:rsidR="005001C6" w:rsidRPr="00712229">
        <w:rPr>
          <w:b/>
        </w:rPr>
        <w:t xml:space="preserve"> </w:t>
      </w:r>
    </w:p>
    <w:tbl>
      <w:tblPr>
        <w:tblStyle w:val="TableGrid"/>
        <w:tblW w:w="0" w:type="auto"/>
        <w:tblLook w:val="04A0" w:firstRow="1" w:lastRow="0" w:firstColumn="1" w:lastColumn="0" w:noHBand="0" w:noVBand="1"/>
      </w:tblPr>
      <w:tblGrid>
        <w:gridCol w:w="1760"/>
        <w:gridCol w:w="2788"/>
        <w:gridCol w:w="1176"/>
        <w:gridCol w:w="7452"/>
      </w:tblGrid>
      <w:tr w:rsidR="00712229" w:rsidRPr="00CA712C">
        <w:trPr>
          <w:tblHeader/>
        </w:trPr>
        <w:tc>
          <w:tcPr>
            <w:tcW w:w="1760" w:type="dxa"/>
            <w:shd w:val="clear" w:color="auto" w:fill="D9D9D9" w:themeFill="background1" w:themeFillShade="D9"/>
            <w:vAlign w:val="bottom"/>
          </w:tcPr>
          <w:p w:rsidR="00712229" w:rsidRPr="00CA712C" w:rsidRDefault="00712229" w:rsidP="00A73DD4">
            <w:pPr>
              <w:keepNext/>
              <w:keepLines/>
              <w:tabs>
                <w:tab w:val="left" w:pos="7020"/>
              </w:tabs>
              <w:spacing w:before="120" w:after="120"/>
              <w:jc w:val="center"/>
              <w:rPr>
                <w:rFonts w:cs="Times New Roman"/>
                <w:b/>
                <w:sz w:val="20"/>
                <w:szCs w:val="20"/>
              </w:rPr>
            </w:pPr>
            <w:r w:rsidRPr="00CA712C">
              <w:rPr>
                <w:rFonts w:cs="Times New Roman"/>
                <w:b/>
                <w:sz w:val="20"/>
                <w:szCs w:val="20"/>
              </w:rPr>
              <w:t>Outputs</w:t>
            </w:r>
          </w:p>
        </w:tc>
        <w:tc>
          <w:tcPr>
            <w:tcW w:w="2788" w:type="dxa"/>
            <w:shd w:val="clear" w:color="auto" w:fill="D9D9D9" w:themeFill="background1" w:themeFillShade="D9"/>
            <w:vAlign w:val="bottom"/>
          </w:tcPr>
          <w:p w:rsidR="00712229" w:rsidRPr="00CA712C" w:rsidRDefault="00712229" w:rsidP="00A73DD4">
            <w:pPr>
              <w:keepNext/>
              <w:keepLines/>
              <w:tabs>
                <w:tab w:val="left" w:pos="7020"/>
              </w:tabs>
              <w:spacing w:before="120" w:after="120"/>
              <w:jc w:val="center"/>
              <w:rPr>
                <w:rFonts w:cs="Times New Roman"/>
                <w:b/>
                <w:sz w:val="20"/>
                <w:szCs w:val="20"/>
              </w:rPr>
            </w:pPr>
            <w:r w:rsidRPr="00CA712C">
              <w:rPr>
                <w:rFonts w:cs="Times New Roman"/>
                <w:b/>
                <w:sz w:val="20"/>
                <w:szCs w:val="20"/>
              </w:rPr>
              <w:t>Output indicators</w:t>
            </w:r>
            <w:r>
              <w:rPr>
                <w:rFonts w:cs="Times New Roman"/>
                <w:b/>
                <w:sz w:val="20"/>
                <w:szCs w:val="20"/>
              </w:rPr>
              <w:t>; baseline refers to 2010 unless otherwise stated</w:t>
            </w:r>
          </w:p>
        </w:tc>
        <w:tc>
          <w:tcPr>
            <w:tcW w:w="1176" w:type="dxa"/>
            <w:shd w:val="clear" w:color="auto" w:fill="D9D9D9" w:themeFill="background1" w:themeFillShade="D9"/>
            <w:vAlign w:val="bottom"/>
          </w:tcPr>
          <w:p w:rsidR="00712229" w:rsidRPr="00CA712C" w:rsidRDefault="00712229" w:rsidP="00A73DD4">
            <w:pPr>
              <w:keepNext/>
              <w:keepLines/>
              <w:tabs>
                <w:tab w:val="left" w:pos="7020"/>
              </w:tabs>
              <w:spacing w:before="120" w:after="120"/>
              <w:jc w:val="center"/>
              <w:rPr>
                <w:rFonts w:cs="Times New Roman"/>
                <w:b/>
                <w:sz w:val="20"/>
                <w:szCs w:val="20"/>
              </w:rPr>
            </w:pPr>
            <w:r w:rsidRPr="00CA712C">
              <w:rPr>
                <w:rFonts w:cs="Times New Roman"/>
                <w:b/>
                <w:sz w:val="20"/>
                <w:szCs w:val="20"/>
              </w:rPr>
              <w:t>Target 2013</w:t>
            </w:r>
          </w:p>
        </w:tc>
        <w:tc>
          <w:tcPr>
            <w:tcW w:w="7452" w:type="dxa"/>
            <w:shd w:val="clear" w:color="auto" w:fill="D9D9D9" w:themeFill="background1" w:themeFillShade="D9"/>
            <w:vAlign w:val="bottom"/>
          </w:tcPr>
          <w:p w:rsidR="00712229" w:rsidRDefault="00712229" w:rsidP="00A73DD4">
            <w:pPr>
              <w:keepNext/>
              <w:keepLines/>
              <w:tabs>
                <w:tab w:val="left" w:pos="7020"/>
              </w:tabs>
              <w:spacing w:before="120" w:after="120"/>
              <w:jc w:val="center"/>
              <w:rPr>
                <w:rFonts w:cs="Times New Roman"/>
                <w:b/>
                <w:sz w:val="20"/>
                <w:szCs w:val="20"/>
              </w:rPr>
            </w:pPr>
            <w:r>
              <w:rPr>
                <w:rFonts w:cs="Times New Roman"/>
                <w:b/>
                <w:sz w:val="20"/>
                <w:szCs w:val="20"/>
              </w:rPr>
              <w:t>Progress against targets</w:t>
            </w:r>
          </w:p>
        </w:tc>
      </w:tr>
      <w:tr w:rsidR="00712229" w:rsidRPr="00CA712C">
        <w:trPr>
          <w:tblHeader/>
        </w:trPr>
        <w:tc>
          <w:tcPr>
            <w:tcW w:w="13176" w:type="dxa"/>
            <w:gridSpan w:val="4"/>
            <w:shd w:val="clear" w:color="auto" w:fill="F2F2F2" w:themeFill="background1" w:themeFillShade="F2"/>
          </w:tcPr>
          <w:p w:rsidR="00712229" w:rsidRPr="00720EA9" w:rsidRDefault="00712229" w:rsidP="00A73DD4">
            <w:pPr>
              <w:keepNext/>
              <w:keepLines/>
              <w:spacing w:before="120" w:after="120"/>
              <w:rPr>
                <w:rFonts w:eastAsia="Times New Roman" w:cs="Times New Roman"/>
                <w:b/>
                <w:szCs w:val="20"/>
              </w:rPr>
            </w:pPr>
            <w:r w:rsidRPr="00720EA9">
              <w:rPr>
                <w:rFonts w:eastAsia="Times New Roman" w:cs="Times New Roman"/>
                <w:b/>
                <w:szCs w:val="20"/>
              </w:rPr>
              <w:t>United Nations development coordination</w:t>
            </w:r>
          </w:p>
        </w:tc>
      </w:tr>
      <w:tr w:rsidR="00712229" w:rsidRPr="00CA712C">
        <w:tc>
          <w:tcPr>
            <w:tcW w:w="1760" w:type="dxa"/>
          </w:tcPr>
          <w:p w:rsidR="00712229" w:rsidRPr="00CA712C" w:rsidRDefault="00712229" w:rsidP="00BA40DA">
            <w:pPr>
              <w:spacing w:before="120" w:after="120"/>
              <w:rPr>
                <w:rFonts w:eastAsia="Times New Roman" w:cs="Times New Roman"/>
                <w:sz w:val="20"/>
                <w:szCs w:val="20"/>
              </w:rPr>
            </w:pPr>
            <w:r w:rsidRPr="00CA712C">
              <w:rPr>
                <w:rFonts w:eastAsia="Times New Roman" w:cs="Times New Roman"/>
                <w:sz w:val="20"/>
                <w:szCs w:val="20"/>
              </w:rPr>
              <w:t>UNDP management of the resident coordinator system enhanced</w:t>
            </w:r>
          </w:p>
          <w:p w:rsidR="00712229" w:rsidRPr="00CA712C" w:rsidRDefault="00712229" w:rsidP="00BA40DA">
            <w:pPr>
              <w:spacing w:before="120" w:after="120"/>
              <w:rPr>
                <w:rFonts w:eastAsia="Times New Roman" w:cs="Times New Roman"/>
                <w:b/>
                <w:sz w:val="20"/>
                <w:szCs w:val="20"/>
              </w:rPr>
            </w:pPr>
            <w:bookmarkStart w:id="20" w:name="OLE_LINK1"/>
            <w:bookmarkStart w:id="21" w:name="OLE_LINK2"/>
            <w:r>
              <w:rPr>
                <w:rFonts w:eastAsia="Times New Roman" w:cs="Times New Roman"/>
                <w:b/>
                <w:sz w:val="20"/>
                <w:szCs w:val="20"/>
              </w:rPr>
              <w:t>(Corporate sponsor – BERA</w:t>
            </w:r>
            <w:r w:rsidRPr="00CA712C">
              <w:rPr>
                <w:rFonts w:eastAsia="Times New Roman" w:cs="Times New Roman"/>
                <w:b/>
                <w:sz w:val="20"/>
                <w:szCs w:val="20"/>
              </w:rPr>
              <w:t>)</w:t>
            </w:r>
            <w:bookmarkEnd w:id="20"/>
            <w:bookmarkEnd w:id="21"/>
          </w:p>
        </w:tc>
        <w:tc>
          <w:tcPr>
            <w:tcW w:w="2788" w:type="dxa"/>
          </w:tcPr>
          <w:p w:rsidR="00712229" w:rsidRPr="00CA712C" w:rsidRDefault="00712229" w:rsidP="00BA40DA">
            <w:pPr>
              <w:spacing w:before="120" w:after="120"/>
              <w:rPr>
                <w:rFonts w:eastAsia="Times New Roman" w:cs="Times New Roman"/>
                <w:i/>
                <w:sz w:val="20"/>
                <w:szCs w:val="20"/>
              </w:rPr>
            </w:pPr>
            <w:bookmarkStart w:id="22" w:name="OLE_LINK15"/>
            <w:bookmarkStart w:id="23" w:name="OLE_LINK17"/>
            <w:r w:rsidRPr="00CA712C">
              <w:rPr>
                <w:rFonts w:eastAsia="Times New Roman" w:cs="Times New Roman"/>
                <w:sz w:val="20"/>
                <w:szCs w:val="20"/>
              </w:rPr>
              <w:t>Percentage</w:t>
            </w:r>
            <w:bookmarkEnd w:id="22"/>
            <w:bookmarkEnd w:id="23"/>
            <w:r w:rsidRPr="00CA712C">
              <w:rPr>
                <w:rFonts w:eastAsia="Times New Roman" w:cs="Times New Roman"/>
                <w:sz w:val="20"/>
                <w:szCs w:val="20"/>
              </w:rPr>
              <w:t xml:space="preserve"> of completed UNDP actions in response to the Management and Accountability System Report and Implementation Plan</w:t>
            </w:r>
            <w:r w:rsidRPr="00CA712C">
              <w:rPr>
                <w:rFonts w:eastAsia="Times New Roman" w:cs="Times New Roman"/>
                <w:i/>
                <w:sz w:val="20"/>
                <w:szCs w:val="20"/>
              </w:rPr>
              <w:t xml:space="preserve"> </w:t>
            </w:r>
          </w:p>
          <w:p w:rsidR="00712229" w:rsidRPr="00CA712C" w:rsidRDefault="00712229" w:rsidP="00BA40DA">
            <w:pPr>
              <w:spacing w:before="120" w:after="120"/>
              <w:rPr>
                <w:rFonts w:eastAsia="Times New Roman" w:cs="Times New Roman"/>
                <w:i/>
                <w:sz w:val="20"/>
                <w:szCs w:val="20"/>
              </w:rPr>
            </w:pPr>
            <w:r>
              <w:rPr>
                <w:rFonts w:eastAsia="Times New Roman" w:cs="Times New Roman"/>
                <w:i/>
                <w:sz w:val="20"/>
                <w:szCs w:val="20"/>
              </w:rPr>
              <w:t>(Source: BERA</w:t>
            </w:r>
            <w:r w:rsidRPr="00CA712C">
              <w:rPr>
                <w:rFonts w:eastAsia="Times New Roman" w:cs="Times New Roman"/>
                <w:i/>
                <w:sz w:val="20"/>
                <w:szCs w:val="20"/>
              </w:rPr>
              <w:t xml:space="preserve"> Balanced Scorecard</w:t>
            </w:r>
            <w:r>
              <w:rPr>
                <w:rFonts w:eastAsia="Times New Roman" w:cs="Times New Roman"/>
                <w:i/>
                <w:sz w:val="20"/>
                <w:szCs w:val="20"/>
              </w:rPr>
              <w:t xml:space="preserve"> – </w:t>
            </w:r>
            <w:r w:rsidRPr="00CA712C">
              <w:rPr>
                <w:rFonts w:eastAsia="Times New Roman" w:cs="Times New Roman"/>
                <w:i/>
                <w:sz w:val="20"/>
                <w:szCs w:val="20"/>
              </w:rPr>
              <w:t>Baseline: 80%)</w:t>
            </w:r>
          </w:p>
        </w:tc>
        <w:tc>
          <w:tcPr>
            <w:tcW w:w="1176" w:type="dxa"/>
          </w:tcPr>
          <w:p w:rsidR="00712229" w:rsidRPr="00CA712C" w:rsidRDefault="00712229" w:rsidP="00BA40DA">
            <w:pPr>
              <w:spacing w:before="120" w:after="120"/>
              <w:jc w:val="center"/>
              <w:rPr>
                <w:rFonts w:eastAsia="Times New Roman" w:cs="Times New Roman"/>
                <w:sz w:val="20"/>
                <w:szCs w:val="20"/>
              </w:rPr>
            </w:pPr>
            <w:r w:rsidRPr="00CA712C">
              <w:rPr>
                <w:rFonts w:eastAsia="Times New Roman" w:cs="Times New Roman"/>
                <w:sz w:val="20"/>
                <w:szCs w:val="20"/>
              </w:rPr>
              <w:t>100%</w:t>
            </w:r>
          </w:p>
        </w:tc>
        <w:tc>
          <w:tcPr>
            <w:tcW w:w="7452" w:type="dxa"/>
          </w:tcPr>
          <w:p w:rsidR="00712229" w:rsidRPr="00712229" w:rsidRDefault="00712229" w:rsidP="00302ACB">
            <w:pPr>
              <w:spacing w:before="120" w:after="120"/>
              <w:rPr>
                <w:rFonts w:eastAsia="Times New Roman" w:cs="Times New Roman"/>
                <w:sz w:val="20"/>
                <w:szCs w:val="20"/>
              </w:rPr>
            </w:pPr>
            <w:r w:rsidRPr="00712229">
              <w:rPr>
                <w:rFonts w:eastAsia="Times New Roman" w:cs="Times New Roman"/>
                <w:sz w:val="20"/>
                <w:szCs w:val="20"/>
              </w:rPr>
              <w:t>Current indicator measure: 100%</w:t>
            </w:r>
          </w:p>
          <w:p w:rsidR="00712229" w:rsidRPr="00712229" w:rsidRDefault="00712229" w:rsidP="00302ACB">
            <w:pPr>
              <w:spacing w:before="120" w:after="120"/>
              <w:rPr>
                <w:rFonts w:eastAsia="Times New Roman" w:cs="Times New Roman"/>
                <w:sz w:val="20"/>
                <w:szCs w:val="20"/>
              </w:rPr>
            </w:pPr>
            <w:r w:rsidRPr="00712229">
              <w:rPr>
                <w:rFonts w:eastAsia="Times New Roman" w:cs="Times New Roman"/>
                <w:sz w:val="20"/>
                <w:szCs w:val="20"/>
              </w:rPr>
              <w:t>UNDP has fulfilled its M&amp;A requirements since 2009. However, the rest of the system has been slower responding</w:t>
            </w:r>
            <w:r w:rsidR="00783AFA">
              <w:rPr>
                <w:rFonts w:eastAsia="Times New Roman" w:cs="Times New Roman"/>
                <w:sz w:val="20"/>
                <w:szCs w:val="20"/>
              </w:rPr>
              <w:t xml:space="preserve"> to this commitment. As of December</w:t>
            </w:r>
            <w:r w:rsidRPr="00712229">
              <w:rPr>
                <w:rFonts w:eastAsia="Times New Roman" w:cs="Times New Roman"/>
                <w:sz w:val="20"/>
                <w:szCs w:val="20"/>
              </w:rPr>
              <w:t xml:space="preserve"> </w:t>
            </w:r>
            <w:r w:rsidR="00783AFA">
              <w:rPr>
                <w:rFonts w:eastAsia="Times New Roman" w:cs="Times New Roman"/>
                <w:sz w:val="20"/>
                <w:szCs w:val="20"/>
              </w:rPr>
              <w:t>2013</w:t>
            </w:r>
            <w:r w:rsidRPr="00712229">
              <w:rPr>
                <w:rFonts w:eastAsia="Times New Roman" w:cs="Times New Roman"/>
                <w:sz w:val="20"/>
                <w:szCs w:val="20"/>
              </w:rPr>
              <w:t>, 10 agencies have reported full implementation of the Management and Accountability System (MAS) mutual accountability criteria, 9 have reported partial implementation, and 1 has not implemented any of the four criteria.</w:t>
            </w:r>
          </w:p>
          <w:p w:rsidR="00712229" w:rsidRPr="00712229" w:rsidRDefault="00712229" w:rsidP="00302ACB">
            <w:pPr>
              <w:spacing w:before="120" w:after="120"/>
              <w:rPr>
                <w:rFonts w:eastAsia="Times New Roman" w:cs="Times New Roman"/>
                <w:sz w:val="20"/>
                <w:szCs w:val="20"/>
              </w:rPr>
            </w:pPr>
            <w:r w:rsidRPr="00712229">
              <w:rPr>
                <w:rFonts w:eastAsia="Times New Roman" w:cs="Times New Roman"/>
                <w:sz w:val="20"/>
                <w:szCs w:val="20"/>
              </w:rPr>
              <w:t>Implementation of the MAS at the country level by the full spectrum of UNDG members remains a core priority for UNDP, to ensure a stronger, collectively owned and accountable RC system. To this end, in 2013, together with our UNDG partners we have revised the Resident Coordinator Job Description and the country guidance for establishing UNCT codes of conducts. The new guidance reflects additional QCPR priorities, facilitates implementation of Delivering as One, and provides up-to-date guidelines for triple-hatted Resident Coordinators.</w:t>
            </w:r>
          </w:p>
          <w:p w:rsidR="00712229" w:rsidRPr="00712229" w:rsidRDefault="00712229" w:rsidP="00302ACB">
            <w:pPr>
              <w:spacing w:before="120" w:after="120"/>
              <w:rPr>
                <w:rFonts w:eastAsia="Times New Roman" w:cs="Times New Roman"/>
                <w:sz w:val="20"/>
                <w:szCs w:val="20"/>
              </w:rPr>
            </w:pPr>
            <w:r w:rsidRPr="00712229">
              <w:rPr>
                <w:rFonts w:eastAsia="Times New Roman" w:cs="Times New Roman"/>
                <w:sz w:val="20"/>
                <w:szCs w:val="20"/>
              </w:rPr>
              <w:t>UNDP has additionally committed to improve the functionality of the functional firewall by ensuring that RCs sign letters of delegation of authority with UNDP Country Directors for a series of RR duties, so that they are ultimately further available for their system-wide tasks.</w:t>
            </w:r>
          </w:p>
          <w:p w:rsidR="00712229" w:rsidRPr="00712229" w:rsidRDefault="00712229" w:rsidP="00712229">
            <w:pPr>
              <w:spacing w:before="120" w:after="120"/>
              <w:rPr>
                <w:rFonts w:eastAsia="Times New Roman" w:cs="Times New Roman"/>
                <w:sz w:val="20"/>
                <w:szCs w:val="20"/>
              </w:rPr>
            </w:pPr>
            <w:r w:rsidRPr="00712229">
              <w:rPr>
                <w:rFonts w:eastAsia="Times New Roman" w:cs="Times New Roman"/>
                <w:sz w:val="20"/>
                <w:szCs w:val="20"/>
              </w:rPr>
              <w:t>Additionally, to strengthen quality assurance mechanisms around MAS implementation, we have encouraged the UNDG to collect MAS implementation data at both HQ and country level to ensure that policies adopted by agencies headquarters trickle down and are fully implemented by country offices and representatives.</w:t>
            </w:r>
          </w:p>
        </w:tc>
      </w:tr>
      <w:tr w:rsidR="00712229" w:rsidRPr="00CA712C">
        <w:tc>
          <w:tcPr>
            <w:tcW w:w="1760" w:type="dxa"/>
          </w:tcPr>
          <w:p w:rsidR="00712229" w:rsidRPr="00CA712C" w:rsidRDefault="00712229" w:rsidP="00BA40DA">
            <w:pPr>
              <w:spacing w:before="120" w:after="120"/>
              <w:rPr>
                <w:rFonts w:eastAsia="Times New Roman" w:cs="Times New Roman"/>
                <w:sz w:val="20"/>
                <w:szCs w:val="20"/>
              </w:rPr>
            </w:pPr>
            <w:r w:rsidRPr="00CA712C">
              <w:rPr>
                <w:rFonts w:eastAsia="Times New Roman" w:cs="Times New Roman"/>
                <w:sz w:val="20"/>
                <w:szCs w:val="20"/>
              </w:rPr>
              <w:t xml:space="preserve">Ownership of the resident coordinator system by the United Nations development system </w:t>
            </w:r>
            <w:r w:rsidRPr="00CA712C">
              <w:rPr>
                <w:rFonts w:eastAsia="Times New Roman" w:cs="Times New Roman"/>
                <w:sz w:val="20"/>
                <w:szCs w:val="20"/>
              </w:rPr>
              <w:lastRenderedPageBreak/>
              <w:t>strengthened</w:t>
            </w:r>
          </w:p>
          <w:p w:rsidR="00712229" w:rsidRPr="00CA712C" w:rsidRDefault="00712229" w:rsidP="00BA40DA">
            <w:pPr>
              <w:spacing w:before="120" w:after="120"/>
              <w:rPr>
                <w:rFonts w:eastAsia="Times New Roman" w:cs="Times New Roman"/>
                <w:b/>
                <w:sz w:val="20"/>
                <w:szCs w:val="20"/>
              </w:rPr>
            </w:pPr>
            <w:r>
              <w:rPr>
                <w:rFonts w:eastAsia="Times New Roman" w:cs="Times New Roman"/>
                <w:b/>
                <w:sz w:val="20"/>
                <w:szCs w:val="20"/>
              </w:rPr>
              <w:t>(Corporate sponsor – BERA</w:t>
            </w:r>
            <w:r w:rsidRPr="00CA712C">
              <w:rPr>
                <w:rFonts w:eastAsia="Times New Roman" w:cs="Times New Roman"/>
                <w:b/>
                <w:sz w:val="20"/>
                <w:szCs w:val="20"/>
              </w:rPr>
              <w:t>)</w:t>
            </w:r>
          </w:p>
        </w:tc>
        <w:tc>
          <w:tcPr>
            <w:tcW w:w="2788" w:type="dxa"/>
          </w:tcPr>
          <w:p w:rsidR="00712229" w:rsidRPr="00CA712C" w:rsidRDefault="00712229" w:rsidP="00BA40DA">
            <w:pPr>
              <w:spacing w:before="120" w:after="120"/>
              <w:rPr>
                <w:rFonts w:eastAsia="Times New Roman" w:cs="Times New Roman"/>
                <w:sz w:val="20"/>
                <w:szCs w:val="20"/>
              </w:rPr>
            </w:pPr>
            <w:bookmarkStart w:id="24" w:name="OLE_LINK21"/>
            <w:bookmarkStart w:id="25" w:name="OLE_LINK18"/>
            <w:r w:rsidRPr="00CA712C">
              <w:rPr>
                <w:rFonts w:eastAsia="Times New Roman" w:cs="Times New Roman"/>
                <w:sz w:val="20"/>
                <w:szCs w:val="20"/>
              </w:rPr>
              <w:lastRenderedPageBreak/>
              <w:t xml:space="preserve">Percentage of </w:t>
            </w:r>
            <w:bookmarkEnd w:id="24"/>
            <w:bookmarkEnd w:id="25"/>
            <w:r w:rsidRPr="00CA712C">
              <w:rPr>
                <w:rFonts w:eastAsia="Times New Roman" w:cs="Times New Roman"/>
                <w:sz w:val="20"/>
                <w:szCs w:val="20"/>
              </w:rPr>
              <w:t>UN System partners satisfied with UNDP’s management of the resident coordinator system</w:t>
            </w:r>
          </w:p>
          <w:p w:rsidR="00712229" w:rsidRPr="00CA712C" w:rsidRDefault="00712229" w:rsidP="00BA40DA">
            <w:pPr>
              <w:spacing w:before="120" w:after="120"/>
              <w:rPr>
                <w:rFonts w:eastAsia="Times New Roman" w:cs="Times New Roman"/>
                <w:sz w:val="20"/>
                <w:szCs w:val="20"/>
              </w:rPr>
            </w:pPr>
            <w:r w:rsidRPr="00CA712C">
              <w:rPr>
                <w:rFonts w:eastAsia="Times New Roman" w:cs="Times New Roman"/>
                <w:sz w:val="20"/>
                <w:szCs w:val="20"/>
              </w:rPr>
              <w:t>(</w:t>
            </w:r>
            <w:r>
              <w:rPr>
                <w:rFonts w:eastAsia="Times New Roman" w:cs="Times New Roman"/>
                <w:i/>
                <w:sz w:val="20"/>
                <w:szCs w:val="20"/>
              </w:rPr>
              <w:t>Source: BERA</w:t>
            </w:r>
            <w:r w:rsidRPr="00CA712C">
              <w:rPr>
                <w:rFonts w:eastAsia="Times New Roman" w:cs="Times New Roman"/>
                <w:i/>
                <w:sz w:val="20"/>
                <w:szCs w:val="20"/>
              </w:rPr>
              <w:t xml:space="preserve"> Balanced Scorecard</w:t>
            </w:r>
            <w:r>
              <w:rPr>
                <w:rFonts w:eastAsia="Times New Roman" w:cs="Times New Roman"/>
                <w:i/>
                <w:sz w:val="20"/>
                <w:szCs w:val="20"/>
              </w:rPr>
              <w:t xml:space="preserve"> – </w:t>
            </w:r>
            <w:r w:rsidRPr="00CA712C">
              <w:rPr>
                <w:rFonts w:eastAsia="Times New Roman" w:cs="Times New Roman"/>
                <w:i/>
                <w:sz w:val="20"/>
                <w:szCs w:val="20"/>
              </w:rPr>
              <w:t xml:space="preserve">Baseline: 69% in </w:t>
            </w:r>
            <w:r w:rsidRPr="00CA712C">
              <w:rPr>
                <w:rFonts w:eastAsia="Times New Roman" w:cs="Times New Roman"/>
                <w:i/>
                <w:sz w:val="20"/>
                <w:szCs w:val="20"/>
              </w:rPr>
              <w:lastRenderedPageBreak/>
              <w:t>2009)</w:t>
            </w:r>
          </w:p>
        </w:tc>
        <w:tc>
          <w:tcPr>
            <w:tcW w:w="1176" w:type="dxa"/>
          </w:tcPr>
          <w:p w:rsidR="00712229" w:rsidRPr="00CA712C" w:rsidRDefault="00712229" w:rsidP="00BA40DA">
            <w:pPr>
              <w:spacing w:before="120" w:after="120"/>
              <w:jc w:val="center"/>
              <w:rPr>
                <w:rFonts w:eastAsia="Times New Roman" w:cs="Times New Roman"/>
                <w:sz w:val="20"/>
                <w:szCs w:val="20"/>
              </w:rPr>
            </w:pPr>
            <w:r w:rsidRPr="00CA712C">
              <w:rPr>
                <w:rFonts w:eastAsia="Times New Roman" w:cs="Times New Roman"/>
                <w:sz w:val="20"/>
                <w:szCs w:val="20"/>
              </w:rPr>
              <w:lastRenderedPageBreak/>
              <w:t>75%</w:t>
            </w:r>
          </w:p>
        </w:tc>
        <w:tc>
          <w:tcPr>
            <w:tcW w:w="7452" w:type="dxa"/>
          </w:tcPr>
          <w:p w:rsidR="00712229" w:rsidRPr="00712229" w:rsidRDefault="00712229" w:rsidP="00BA40DA">
            <w:pPr>
              <w:spacing w:before="120" w:after="120"/>
              <w:rPr>
                <w:rFonts w:eastAsia="Times New Roman" w:cs="Times New Roman"/>
                <w:sz w:val="20"/>
                <w:szCs w:val="20"/>
              </w:rPr>
            </w:pPr>
            <w:r w:rsidRPr="00712229">
              <w:rPr>
                <w:rFonts w:eastAsia="Times New Roman" w:cs="Times New Roman"/>
                <w:sz w:val="20"/>
                <w:szCs w:val="20"/>
              </w:rPr>
              <w:t>Current indicator measure: 71%</w:t>
            </w:r>
          </w:p>
          <w:p w:rsidR="00712229" w:rsidRPr="00712229" w:rsidRDefault="00712229" w:rsidP="00712229">
            <w:pPr>
              <w:spacing w:before="120" w:after="120"/>
              <w:rPr>
                <w:rFonts w:eastAsia="Times New Roman" w:cs="Times New Roman"/>
                <w:sz w:val="20"/>
                <w:szCs w:val="20"/>
              </w:rPr>
            </w:pPr>
            <w:r w:rsidRPr="00712229">
              <w:rPr>
                <w:rFonts w:eastAsia="Times New Roman" w:cs="Times New Roman"/>
                <w:sz w:val="20"/>
                <w:szCs w:val="20"/>
              </w:rPr>
              <w:t>Data from 2012 Partners Survey</w:t>
            </w:r>
          </w:p>
        </w:tc>
      </w:tr>
      <w:tr w:rsidR="00712229" w:rsidRPr="00CA712C">
        <w:tc>
          <w:tcPr>
            <w:tcW w:w="1760" w:type="dxa"/>
            <w:tcBorders>
              <w:bottom w:val="single" w:sz="4" w:space="0" w:color="auto"/>
            </w:tcBorders>
          </w:tcPr>
          <w:p w:rsidR="00712229" w:rsidRPr="00CA712C" w:rsidRDefault="00712229" w:rsidP="00BA40DA">
            <w:pPr>
              <w:spacing w:before="120" w:after="120"/>
              <w:rPr>
                <w:rFonts w:eastAsia="Times New Roman" w:cs="Times New Roman"/>
                <w:sz w:val="20"/>
                <w:szCs w:val="20"/>
              </w:rPr>
            </w:pPr>
            <w:r w:rsidRPr="00CA712C">
              <w:rPr>
                <w:rFonts w:eastAsia="Times New Roman" w:cs="Times New Roman"/>
                <w:sz w:val="20"/>
                <w:szCs w:val="20"/>
              </w:rPr>
              <w:lastRenderedPageBreak/>
              <w:t>Effective coordination and facilitation on programming and common business operations provided to the United Nations country team</w:t>
            </w:r>
          </w:p>
          <w:p w:rsidR="00712229" w:rsidRPr="00CA712C" w:rsidRDefault="00712229" w:rsidP="00BA40DA">
            <w:pPr>
              <w:spacing w:before="120" w:after="120"/>
              <w:rPr>
                <w:rFonts w:eastAsia="Times New Roman" w:cs="Times New Roman"/>
                <w:b/>
                <w:sz w:val="20"/>
                <w:szCs w:val="20"/>
              </w:rPr>
            </w:pPr>
            <w:r w:rsidRPr="00CA712C">
              <w:rPr>
                <w:rFonts w:eastAsia="Times New Roman" w:cs="Times New Roman"/>
                <w:b/>
                <w:sz w:val="20"/>
                <w:szCs w:val="20"/>
              </w:rPr>
              <w:t xml:space="preserve">(Corporate sponsor – </w:t>
            </w:r>
            <w:r>
              <w:rPr>
                <w:rFonts w:eastAsia="Times New Roman" w:cs="Times New Roman"/>
                <w:b/>
                <w:sz w:val="20"/>
                <w:szCs w:val="20"/>
              </w:rPr>
              <w:t>DOCO</w:t>
            </w:r>
            <w:r w:rsidRPr="00CA712C">
              <w:rPr>
                <w:rFonts w:eastAsia="Times New Roman" w:cs="Times New Roman"/>
                <w:b/>
                <w:sz w:val="20"/>
                <w:szCs w:val="20"/>
              </w:rPr>
              <w:t>)</w:t>
            </w:r>
          </w:p>
        </w:tc>
        <w:tc>
          <w:tcPr>
            <w:tcW w:w="2788" w:type="dxa"/>
            <w:tcBorders>
              <w:bottom w:val="single" w:sz="4" w:space="0" w:color="auto"/>
            </w:tcBorders>
          </w:tcPr>
          <w:p w:rsidR="00712229" w:rsidRPr="00CA712C" w:rsidRDefault="00712229" w:rsidP="00BA40DA">
            <w:pPr>
              <w:spacing w:before="120" w:after="120"/>
              <w:rPr>
                <w:rFonts w:eastAsia="Times New Roman" w:cs="Times New Roman"/>
                <w:sz w:val="20"/>
                <w:szCs w:val="20"/>
              </w:rPr>
            </w:pPr>
            <w:r w:rsidRPr="00CA712C">
              <w:rPr>
                <w:rFonts w:eastAsia="Times New Roman" w:cs="Times New Roman"/>
                <w:sz w:val="20"/>
                <w:szCs w:val="20"/>
              </w:rPr>
              <w:t>Percentage of DOCO outputs achieved in the UNDG work plan</w:t>
            </w:r>
          </w:p>
          <w:p w:rsidR="00712229" w:rsidRPr="00CA11C0" w:rsidRDefault="00712229" w:rsidP="00BA40DA">
            <w:pPr>
              <w:spacing w:before="120" w:after="120"/>
              <w:rPr>
                <w:rFonts w:eastAsia="Times New Roman" w:cs="Times New Roman"/>
                <w:i/>
                <w:sz w:val="20"/>
                <w:szCs w:val="20"/>
              </w:rPr>
            </w:pPr>
            <w:r w:rsidRPr="00CA712C">
              <w:rPr>
                <w:rFonts w:eastAsia="Times New Roman" w:cs="Times New Roman"/>
                <w:sz w:val="20"/>
                <w:szCs w:val="20"/>
              </w:rPr>
              <w:t>(</w:t>
            </w:r>
            <w:r w:rsidRPr="00CA712C">
              <w:rPr>
                <w:rFonts w:eastAsia="Times New Roman" w:cs="Times New Roman"/>
                <w:i/>
                <w:sz w:val="20"/>
                <w:szCs w:val="20"/>
              </w:rPr>
              <w:t>Source: UNDG work plan</w:t>
            </w:r>
            <w:r>
              <w:rPr>
                <w:rFonts w:eastAsia="Times New Roman" w:cs="Times New Roman"/>
                <w:i/>
                <w:sz w:val="20"/>
                <w:szCs w:val="20"/>
              </w:rPr>
              <w:t xml:space="preserve"> – Baseline: 90%</w:t>
            </w:r>
            <w:r w:rsidRPr="00CA712C">
              <w:rPr>
                <w:rFonts w:eastAsia="Times New Roman" w:cs="Times New Roman"/>
                <w:i/>
                <w:sz w:val="20"/>
                <w:szCs w:val="20"/>
              </w:rPr>
              <w:t>)</w:t>
            </w:r>
          </w:p>
        </w:tc>
        <w:tc>
          <w:tcPr>
            <w:tcW w:w="1176" w:type="dxa"/>
            <w:tcBorders>
              <w:bottom w:val="single" w:sz="4" w:space="0" w:color="auto"/>
            </w:tcBorders>
          </w:tcPr>
          <w:p w:rsidR="00712229" w:rsidRPr="00CA712C" w:rsidRDefault="00712229" w:rsidP="00BA40DA">
            <w:pPr>
              <w:spacing w:before="120" w:after="120"/>
              <w:jc w:val="center"/>
              <w:rPr>
                <w:rFonts w:eastAsia="Times New Roman" w:cs="Times New Roman"/>
                <w:sz w:val="20"/>
                <w:szCs w:val="20"/>
              </w:rPr>
            </w:pPr>
            <w:r w:rsidRPr="00CA712C">
              <w:rPr>
                <w:rFonts w:eastAsia="Times New Roman" w:cs="Times New Roman"/>
                <w:sz w:val="20"/>
                <w:szCs w:val="20"/>
              </w:rPr>
              <w:t>100%</w:t>
            </w:r>
          </w:p>
        </w:tc>
        <w:tc>
          <w:tcPr>
            <w:tcW w:w="7452" w:type="dxa"/>
            <w:tcBorders>
              <w:bottom w:val="single" w:sz="4" w:space="0" w:color="auto"/>
            </w:tcBorders>
          </w:tcPr>
          <w:p w:rsidR="00712229" w:rsidRPr="00712229" w:rsidRDefault="00712229" w:rsidP="00302ACB">
            <w:pPr>
              <w:spacing w:before="120" w:after="120"/>
              <w:rPr>
                <w:rFonts w:eastAsia="Times New Roman" w:cs="Times New Roman"/>
                <w:sz w:val="20"/>
                <w:szCs w:val="20"/>
              </w:rPr>
            </w:pPr>
            <w:r w:rsidRPr="00712229">
              <w:rPr>
                <w:rFonts w:eastAsia="Times New Roman" w:cs="Times New Roman"/>
                <w:sz w:val="20"/>
                <w:szCs w:val="20"/>
              </w:rPr>
              <w:t>Current indicator measure: 93%</w:t>
            </w:r>
          </w:p>
          <w:p w:rsidR="00712229" w:rsidRPr="00712229" w:rsidRDefault="00712229" w:rsidP="00302ACB">
            <w:pPr>
              <w:spacing w:before="120" w:after="120"/>
              <w:rPr>
                <w:rFonts w:eastAsia="Times New Roman" w:cs="Times New Roman"/>
                <w:sz w:val="20"/>
                <w:szCs w:val="20"/>
              </w:rPr>
            </w:pPr>
            <w:r w:rsidRPr="00712229">
              <w:rPr>
                <w:rFonts w:eastAsia="Times New Roman" w:cs="Times New Roman"/>
                <w:sz w:val="20"/>
                <w:szCs w:val="20"/>
              </w:rPr>
              <w:t>In 2013, the UNDG adopted a new work plan for 2013-2014, which is fully aligned with the QCPR and the UNDG Strategic Priorities for 2013-2016. Therefore, this figure cannot be directly compared with the figures for previous years.</w:t>
            </w:r>
          </w:p>
          <w:p w:rsidR="00712229" w:rsidRPr="00712229" w:rsidRDefault="00712229" w:rsidP="00712229">
            <w:pPr>
              <w:spacing w:before="120" w:after="120"/>
              <w:rPr>
                <w:rFonts w:eastAsia="Times New Roman" w:cs="Times New Roman"/>
                <w:sz w:val="20"/>
                <w:szCs w:val="20"/>
              </w:rPr>
            </w:pPr>
            <w:r w:rsidRPr="00712229">
              <w:rPr>
                <w:rFonts w:eastAsia="Times New Roman" w:cs="Times New Roman"/>
                <w:sz w:val="20"/>
                <w:szCs w:val="20"/>
              </w:rPr>
              <w:t>DOCO’s work plan is fully aligned with the UNDG work plan both in content and timing. The above figure reflects DOCO outputs that were completed in 2013 and those that are on track to be completed in 2014. Outputs that have either been cancelled or are experiencing delays have not been included.</w:t>
            </w:r>
          </w:p>
        </w:tc>
      </w:tr>
    </w:tbl>
    <w:p w:rsidR="00C83E58" w:rsidRDefault="00C83E58" w:rsidP="00BA40DA">
      <w:pPr>
        <w:tabs>
          <w:tab w:val="left" w:pos="7668"/>
          <w:tab w:val="left" w:pos="13068"/>
        </w:tabs>
        <w:spacing w:before="120" w:after="120"/>
        <w:rPr>
          <w:rFonts w:eastAsia="Times New Roman" w:cs="Times New Roman"/>
          <w:sz w:val="20"/>
          <w:szCs w:val="20"/>
        </w:rPr>
      </w:pPr>
    </w:p>
    <w:p w:rsidR="007D41C2" w:rsidRDefault="007D41C2" w:rsidP="00C65870">
      <w:pPr>
        <w:spacing w:before="120" w:after="120" w:line="240" w:lineRule="auto"/>
        <w:jc w:val="both"/>
        <w:rPr>
          <w:sz w:val="20"/>
        </w:rPr>
      </w:pPr>
    </w:p>
    <w:p w:rsidR="005001C6" w:rsidRDefault="005001C6" w:rsidP="00BA40DA">
      <w:pPr>
        <w:tabs>
          <w:tab w:val="left" w:pos="7668"/>
          <w:tab w:val="left" w:pos="13068"/>
        </w:tabs>
        <w:spacing w:before="120" w:after="120"/>
        <w:rPr>
          <w:rFonts w:eastAsia="Times New Roman" w:cs="Times New Roman"/>
          <w:sz w:val="20"/>
          <w:szCs w:val="20"/>
        </w:rPr>
      </w:pPr>
    </w:p>
    <w:p w:rsidR="00056F6B" w:rsidRPr="0079114C" w:rsidRDefault="00056F6B">
      <w:pPr>
        <w:rPr>
          <w:b/>
          <w:sz w:val="2"/>
        </w:rPr>
      </w:pPr>
      <w:r>
        <w:rPr>
          <w:b/>
        </w:rPr>
        <w:br w:type="page"/>
      </w:r>
    </w:p>
    <w:p w:rsidR="005001C6" w:rsidRPr="006153EF" w:rsidRDefault="006153EF" w:rsidP="006153EF">
      <w:pPr>
        <w:numPr>
          <w:ilvl w:val="0"/>
          <w:numId w:val="39"/>
        </w:numPr>
        <w:tabs>
          <w:tab w:val="left" w:pos="1080"/>
          <w:tab w:val="right" w:pos="12960"/>
        </w:tabs>
        <w:spacing w:before="120" w:after="240" w:line="240" w:lineRule="auto"/>
        <w:ind w:left="360"/>
        <w:rPr>
          <w:b/>
        </w:rPr>
      </w:pPr>
      <w:r>
        <w:rPr>
          <w:b/>
        </w:rPr>
        <w:lastRenderedPageBreak/>
        <w:t>Special purpose results</w:t>
      </w:r>
      <w:r w:rsidR="005001C6" w:rsidRPr="006153EF">
        <w:rPr>
          <w:rFonts w:eastAsia="Times New Roman" w:cs="Times New Roman"/>
          <w:sz w:val="20"/>
          <w:szCs w:val="20"/>
        </w:rPr>
        <w:tab/>
      </w:r>
    </w:p>
    <w:tbl>
      <w:tblPr>
        <w:tblStyle w:val="TableGrid"/>
        <w:tblW w:w="0" w:type="auto"/>
        <w:tblLook w:val="04A0" w:firstRow="1" w:lastRow="0" w:firstColumn="1" w:lastColumn="0" w:noHBand="0" w:noVBand="1"/>
      </w:tblPr>
      <w:tblGrid>
        <w:gridCol w:w="1742"/>
        <w:gridCol w:w="2741"/>
        <w:gridCol w:w="1206"/>
        <w:gridCol w:w="7487"/>
      </w:tblGrid>
      <w:tr w:rsidR="00383D75" w:rsidRPr="00CA712C">
        <w:trPr>
          <w:tblHeader/>
        </w:trPr>
        <w:tc>
          <w:tcPr>
            <w:tcW w:w="1742" w:type="dxa"/>
            <w:shd w:val="clear" w:color="auto" w:fill="D9D9D9" w:themeFill="background1" w:themeFillShade="D9"/>
            <w:vAlign w:val="bottom"/>
          </w:tcPr>
          <w:p w:rsidR="00383D75" w:rsidRPr="00CA712C" w:rsidRDefault="00383D75" w:rsidP="00BA40DA">
            <w:pPr>
              <w:tabs>
                <w:tab w:val="left" w:pos="7020"/>
              </w:tabs>
              <w:spacing w:before="120" w:after="120"/>
              <w:jc w:val="center"/>
              <w:rPr>
                <w:rFonts w:cs="Times New Roman"/>
                <w:b/>
                <w:sz w:val="20"/>
                <w:szCs w:val="20"/>
              </w:rPr>
            </w:pPr>
            <w:r w:rsidRPr="00CA712C">
              <w:rPr>
                <w:rFonts w:cs="Times New Roman"/>
                <w:b/>
                <w:sz w:val="20"/>
                <w:szCs w:val="20"/>
              </w:rPr>
              <w:t>Outputs</w:t>
            </w:r>
          </w:p>
        </w:tc>
        <w:tc>
          <w:tcPr>
            <w:tcW w:w="2741" w:type="dxa"/>
            <w:shd w:val="clear" w:color="auto" w:fill="D9D9D9" w:themeFill="background1" w:themeFillShade="D9"/>
            <w:vAlign w:val="bottom"/>
          </w:tcPr>
          <w:p w:rsidR="00383D75" w:rsidRPr="00CA712C" w:rsidRDefault="00383D75" w:rsidP="00BA40DA">
            <w:pPr>
              <w:tabs>
                <w:tab w:val="left" w:pos="7020"/>
              </w:tabs>
              <w:spacing w:before="120" w:after="120"/>
              <w:jc w:val="center"/>
              <w:rPr>
                <w:rFonts w:cs="Times New Roman"/>
                <w:b/>
                <w:sz w:val="20"/>
                <w:szCs w:val="20"/>
              </w:rPr>
            </w:pPr>
            <w:r w:rsidRPr="00CA712C">
              <w:rPr>
                <w:rFonts w:cs="Times New Roman"/>
                <w:b/>
                <w:sz w:val="20"/>
                <w:szCs w:val="20"/>
              </w:rPr>
              <w:t>Output indicators</w:t>
            </w:r>
            <w:r>
              <w:rPr>
                <w:rFonts w:cs="Times New Roman"/>
                <w:b/>
                <w:sz w:val="20"/>
                <w:szCs w:val="20"/>
              </w:rPr>
              <w:t>; baseline refers to 2010 unless otherwise stated</w:t>
            </w:r>
          </w:p>
        </w:tc>
        <w:tc>
          <w:tcPr>
            <w:tcW w:w="1206" w:type="dxa"/>
            <w:shd w:val="clear" w:color="auto" w:fill="D9D9D9" w:themeFill="background1" w:themeFillShade="D9"/>
            <w:vAlign w:val="bottom"/>
          </w:tcPr>
          <w:p w:rsidR="00383D75" w:rsidRPr="00CA712C" w:rsidRDefault="00383D75" w:rsidP="00BA40DA">
            <w:pPr>
              <w:tabs>
                <w:tab w:val="left" w:pos="7020"/>
              </w:tabs>
              <w:spacing w:before="120" w:after="120"/>
              <w:jc w:val="center"/>
              <w:rPr>
                <w:rFonts w:cs="Times New Roman"/>
                <w:b/>
                <w:sz w:val="20"/>
                <w:szCs w:val="20"/>
              </w:rPr>
            </w:pPr>
            <w:r w:rsidRPr="00CA712C">
              <w:rPr>
                <w:rFonts w:cs="Times New Roman"/>
                <w:b/>
                <w:sz w:val="20"/>
                <w:szCs w:val="20"/>
              </w:rPr>
              <w:t>Target 2013</w:t>
            </w:r>
          </w:p>
        </w:tc>
        <w:tc>
          <w:tcPr>
            <w:tcW w:w="7487" w:type="dxa"/>
            <w:shd w:val="clear" w:color="auto" w:fill="D9D9D9" w:themeFill="background1" w:themeFillShade="D9"/>
            <w:vAlign w:val="bottom"/>
          </w:tcPr>
          <w:p w:rsidR="00383D75" w:rsidRDefault="00383D75" w:rsidP="00BA40DA">
            <w:pPr>
              <w:tabs>
                <w:tab w:val="left" w:pos="7020"/>
              </w:tabs>
              <w:spacing w:before="120" w:after="120"/>
              <w:jc w:val="center"/>
              <w:rPr>
                <w:rFonts w:cs="Times New Roman"/>
                <w:b/>
                <w:sz w:val="20"/>
                <w:szCs w:val="20"/>
              </w:rPr>
            </w:pPr>
            <w:r>
              <w:rPr>
                <w:rFonts w:cs="Times New Roman"/>
                <w:b/>
                <w:sz w:val="20"/>
                <w:szCs w:val="20"/>
              </w:rPr>
              <w:t>Progress against targets</w:t>
            </w:r>
          </w:p>
        </w:tc>
      </w:tr>
      <w:tr w:rsidR="00383D75" w:rsidRPr="00CA712C">
        <w:trPr>
          <w:tblHeader/>
        </w:trPr>
        <w:tc>
          <w:tcPr>
            <w:tcW w:w="13176" w:type="dxa"/>
            <w:gridSpan w:val="4"/>
            <w:shd w:val="clear" w:color="auto" w:fill="F2F2F2" w:themeFill="background1" w:themeFillShade="F2"/>
          </w:tcPr>
          <w:p w:rsidR="00383D75" w:rsidRPr="00720EA9" w:rsidRDefault="00383D75" w:rsidP="00BA40DA">
            <w:pPr>
              <w:spacing w:before="120" w:after="120"/>
              <w:rPr>
                <w:rFonts w:eastAsia="Times New Roman" w:cs="Times New Roman"/>
                <w:b/>
                <w:szCs w:val="20"/>
              </w:rPr>
            </w:pPr>
            <w:r w:rsidRPr="00720EA9">
              <w:rPr>
                <w:rFonts w:eastAsia="Times New Roman" w:cs="Times New Roman"/>
                <w:b/>
                <w:szCs w:val="20"/>
              </w:rPr>
              <w:t>Special purpose</w:t>
            </w:r>
          </w:p>
        </w:tc>
      </w:tr>
      <w:tr w:rsidR="00383D75" w:rsidRPr="00CA712C">
        <w:tc>
          <w:tcPr>
            <w:tcW w:w="1742" w:type="dxa"/>
          </w:tcPr>
          <w:p w:rsidR="00383D75" w:rsidRDefault="00383D75" w:rsidP="00BA40DA">
            <w:pPr>
              <w:spacing w:before="120" w:after="120"/>
              <w:rPr>
                <w:sz w:val="20"/>
                <w:szCs w:val="20"/>
              </w:rPr>
            </w:pPr>
            <w:r w:rsidRPr="00B30AE6">
              <w:rPr>
                <w:sz w:val="20"/>
                <w:szCs w:val="20"/>
              </w:rPr>
              <w:t xml:space="preserve">UNV </w:t>
            </w:r>
            <w:bookmarkStart w:id="26" w:name="OLE_LINK55"/>
            <w:bookmarkStart w:id="27" w:name="OLE_LINK56"/>
            <w:r w:rsidRPr="00B30AE6">
              <w:rPr>
                <w:sz w:val="20"/>
                <w:szCs w:val="20"/>
              </w:rPr>
              <w:t xml:space="preserve">programmatic needs supported by effective and efficient management </w:t>
            </w:r>
            <w:bookmarkEnd w:id="26"/>
            <w:bookmarkEnd w:id="27"/>
          </w:p>
          <w:p w:rsidR="00383D75" w:rsidRPr="00B30AE6" w:rsidRDefault="00383D75" w:rsidP="00BA40DA">
            <w:pPr>
              <w:spacing w:before="120" w:after="120"/>
              <w:rPr>
                <w:rFonts w:ascii="Calibri" w:eastAsia="Times New Roman" w:hAnsi="Calibri" w:cs="Times New Roman"/>
                <w:b/>
                <w:sz w:val="20"/>
                <w:szCs w:val="20"/>
              </w:rPr>
            </w:pPr>
            <w:r w:rsidRPr="00B30AE6">
              <w:rPr>
                <w:b/>
                <w:bCs/>
                <w:sz w:val="20"/>
                <w:szCs w:val="20"/>
              </w:rPr>
              <w:t>(Corporate sponsor – UNV)</w:t>
            </w:r>
          </w:p>
        </w:tc>
        <w:tc>
          <w:tcPr>
            <w:tcW w:w="2741" w:type="dxa"/>
          </w:tcPr>
          <w:p w:rsidR="00383D75" w:rsidRPr="00CA712C" w:rsidRDefault="00383D75" w:rsidP="00BA40DA">
            <w:pPr>
              <w:spacing w:before="120" w:after="120"/>
              <w:rPr>
                <w:rFonts w:cs="Times New Roman"/>
                <w:sz w:val="20"/>
                <w:szCs w:val="20"/>
              </w:rPr>
            </w:pPr>
            <w:r w:rsidRPr="00CA712C">
              <w:rPr>
                <w:rFonts w:cs="Times New Roman"/>
                <w:sz w:val="20"/>
                <w:szCs w:val="20"/>
              </w:rPr>
              <w:t>Percentage increase in the number of UN Volunteers and other volunteers associated wit</w:t>
            </w:r>
            <w:r>
              <w:rPr>
                <w:rFonts w:cs="Times New Roman"/>
                <w:sz w:val="20"/>
                <w:szCs w:val="20"/>
              </w:rPr>
              <w:t>h UNV mobilised for Millennium D</w:t>
            </w:r>
            <w:r w:rsidRPr="00CA712C">
              <w:rPr>
                <w:rFonts w:cs="Times New Roman"/>
                <w:sz w:val="20"/>
                <w:szCs w:val="20"/>
              </w:rPr>
              <w:t>evelopment Goals, humanitarian, post crisis and peace building activities</w:t>
            </w:r>
          </w:p>
          <w:p w:rsidR="00383D75" w:rsidRPr="00CA11C0" w:rsidRDefault="00383D75" w:rsidP="00BA40DA">
            <w:pPr>
              <w:spacing w:before="120" w:after="120"/>
              <w:rPr>
                <w:rFonts w:cs="Times New Roman"/>
                <w:i/>
                <w:sz w:val="20"/>
                <w:szCs w:val="20"/>
              </w:rPr>
            </w:pPr>
            <w:r w:rsidRPr="00CA712C">
              <w:rPr>
                <w:rFonts w:cs="Times New Roman"/>
                <w:i/>
                <w:sz w:val="20"/>
                <w:szCs w:val="20"/>
              </w:rPr>
              <w:t>(Source: HCM and UNV database</w:t>
            </w:r>
            <w:r>
              <w:rPr>
                <w:rFonts w:eastAsia="Times New Roman" w:cs="Times New Roman"/>
                <w:i/>
                <w:sz w:val="20"/>
                <w:szCs w:val="20"/>
              </w:rPr>
              <w:t xml:space="preserve"> – </w:t>
            </w:r>
            <w:r w:rsidRPr="00CA712C">
              <w:rPr>
                <w:rFonts w:cs="Times New Roman"/>
                <w:i/>
                <w:sz w:val="20"/>
                <w:szCs w:val="20"/>
              </w:rPr>
              <w:t>Baseline: 7,960 UNV; 15,109 online volunteer assignments)</w:t>
            </w:r>
          </w:p>
        </w:tc>
        <w:tc>
          <w:tcPr>
            <w:tcW w:w="1206" w:type="dxa"/>
          </w:tcPr>
          <w:p w:rsidR="00383D75" w:rsidRPr="00CA712C" w:rsidRDefault="00383D75" w:rsidP="00BA40DA">
            <w:pPr>
              <w:spacing w:before="120" w:after="120"/>
              <w:jc w:val="center"/>
              <w:rPr>
                <w:rFonts w:eastAsia="Times New Roman" w:cs="Times New Roman"/>
                <w:sz w:val="20"/>
                <w:szCs w:val="20"/>
              </w:rPr>
            </w:pPr>
            <w:r w:rsidRPr="00CA712C">
              <w:rPr>
                <w:rFonts w:eastAsia="Times New Roman" w:cs="Times New Roman"/>
                <w:sz w:val="20"/>
                <w:szCs w:val="20"/>
              </w:rPr>
              <w:t>5%</w:t>
            </w:r>
            <w:r>
              <w:rPr>
                <w:rFonts w:eastAsia="Times New Roman" w:cs="Times New Roman"/>
                <w:sz w:val="20"/>
                <w:szCs w:val="20"/>
              </w:rPr>
              <w:t xml:space="preserve"> increase</w:t>
            </w:r>
          </w:p>
        </w:tc>
        <w:tc>
          <w:tcPr>
            <w:tcW w:w="7487" w:type="dxa"/>
          </w:tcPr>
          <w:p w:rsidR="00383D75" w:rsidRPr="00383D75" w:rsidRDefault="00383D75" w:rsidP="00302ACB">
            <w:pPr>
              <w:spacing w:before="120" w:after="120"/>
              <w:rPr>
                <w:rFonts w:eastAsia="Times New Roman" w:cs="Times New Roman"/>
                <w:sz w:val="20"/>
                <w:szCs w:val="20"/>
              </w:rPr>
            </w:pPr>
            <w:r w:rsidRPr="00383D75">
              <w:rPr>
                <w:rFonts w:eastAsia="Times New Roman" w:cs="Times New Roman"/>
                <w:sz w:val="20"/>
                <w:szCs w:val="20"/>
              </w:rPr>
              <w:t>Current indicator measure: 13% increase in online volunteer assignments and 19% decrease in UN Volunteer assignments.</w:t>
            </w:r>
          </w:p>
          <w:p w:rsidR="00383D75" w:rsidRPr="00383D75" w:rsidRDefault="00383D75" w:rsidP="00302ACB">
            <w:pPr>
              <w:spacing w:before="120" w:after="120"/>
              <w:rPr>
                <w:rFonts w:eastAsia="Times New Roman" w:cs="Times New Roman"/>
                <w:sz w:val="20"/>
                <w:szCs w:val="20"/>
              </w:rPr>
            </w:pPr>
            <w:r w:rsidRPr="00383D75">
              <w:rPr>
                <w:rFonts w:eastAsia="Times New Roman" w:cs="Times New Roman"/>
                <w:sz w:val="20"/>
                <w:szCs w:val="20"/>
              </w:rPr>
              <w:t xml:space="preserve">In 2013, UNV administered 17,370 Online Volunteering assignments, which represents 13% increase from 2010 baseline. </w:t>
            </w:r>
          </w:p>
          <w:p w:rsidR="00383D75" w:rsidRPr="00383D75" w:rsidRDefault="00383D75" w:rsidP="00302ACB">
            <w:pPr>
              <w:spacing w:before="120" w:after="120"/>
              <w:rPr>
                <w:sz w:val="20"/>
                <w:szCs w:val="20"/>
                <w:lang w:val="en-GB" w:eastAsia="en-GB"/>
              </w:rPr>
            </w:pPr>
            <w:r w:rsidRPr="00383D75">
              <w:rPr>
                <w:rFonts w:eastAsia="Times New Roman" w:cs="Times New Roman"/>
                <w:sz w:val="20"/>
                <w:szCs w:val="20"/>
              </w:rPr>
              <w:t xml:space="preserve">UN Volunteer assignments declined by 19% as compared to 2010 with 6,459 UN Volunteer assignments in 2013. </w:t>
            </w:r>
            <w:r w:rsidRPr="00383D75">
              <w:rPr>
                <w:sz w:val="20"/>
                <w:szCs w:val="20"/>
                <w:lang w:val="en-GB" w:eastAsia="en-GB"/>
              </w:rPr>
              <w:t xml:space="preserve">It should, however, be noted that historical peaks in UN Volunteer numbers seen in and around the baseline of 2010 were defined by increased demand for UN Volunteers in the peace-keeping missions, as well as one-off large electoral support missions. The consequent gradual decline is related to a number of factors, including the close-down of a large peacekeeping mission (United Nations Integrated Mission in Timor-Leste), the closedown of electoral support missions and continued “right sizing” exercises in a number of others, as well as deployment challenges due to security and absorption capacity. </w:t>
            </w:r>
          </w:p>
          <w:p w:rsidR="00383D75" w:rsidRPr="00383D75" w:rsidRDefault="00383D75" w:rsidP="00383D75">
            <w:pPr>
              <w:spacing w:before="120" w:after="120"/>
              <w:rPr>
                <w:rFonts w:eastAsia="Times New Roman" w:cs="Times New Roman"/>
                <w:sz w:val="20"/>
                <w:szCs w:val="20"/>
              </w:rPr>
            </w:pPr>
            <w:r w:rsidRPr="00383D75">
              <w:rPr>
                <w:sz w:val="20"/>
                <w:szCs w:val="20"/>
                <w:lang w:val="en-GB" w:eastAsia="en-GB"/>
              </w:rPr>
              <w:t>The UNV Strategic Framework 2014-2017 has taken into account the challenges outlined in the peace and development landscape and set a clear course and theory of change to increase numbers in the years ahead.</w:t>
            </w:r>
            <w:r w:rsidRPr="00383D75">
              <w:rPr>
                <w:rFonts w:eastAsia="Times New Roman" w:cs="Times New Roman"/>
                <w:sz w:val="20"/>
                <w:szCs w:val="20"/>
              </w:rPr>
              <w:t xml:space="preserve">  </w:t>
            </w:r>
          </w:p>
        </w:tc>
      </w:tr>
      <w:tr w:rsidR="00383D75" w:rsidRPr="00CA712C">
        <w:tc>
          <w:tcPr>
            <w:tcW w:w="1742" w:type="dxa"/>
          </w:tcPr>
          <w:p w:rsidR="00383D75" w:rsidRPr="00E47C0C" w:rsidRDefault="00383D75" w:rsidP="00BA40DA">
            <w:pPr>
              <w:spacing w:before="120" w:after="120"/>
              <w:rPr>
                <w:rFonts w:ascii="Calibri" w:eastAsia="Times New Roman" w:hAnsi="Calibri" w:cs="Times New Roman"/>
                <w:sz w:val="20"/>
                <w:szCs w:val="20"/>
              </w:rPr>
            </w:pPr>
            <w:r w:rsidRPr="00E47C0C">
              <w:rPr>
                <w:rFonts w:ascii="Calibri" w:eastAsia="Times New Roman" w:hAnsi="Calibri" w:cs="Times New Roman"/>
                <w:sz w:val="20"/>
                <w:szCs w:val="20"/>
              </w:rPr>
              <w:t xml:space="preserve">UNCDF </w:t>
            </w:r>
            <w:r w:rsidRPr="00E47C0C">
              <w:rPr>
                <w:sz w:val="20"/>
                <w:szCs w:val="20"/>
              </w:rPr>
              <w:t>programmatic needs supported by effective and efficient management</w:t>
            </w:r>
          </w:p>
          <w:p w:rsidR="00383D75" w:rsidRPr="00E47C0C" w:rsidRDefault="00383D75" w:rsidP="00BA40DA">
            <w:pPr>
              <w:spacing w:before="120" w:after="120"/>
              <w:rPr>
                <w:rFonts w:ascii="Calibri" w:eastAsia="Times New Roman" w:hAnsi="Calibri" w:cs="Times New Roman"/>
                <w:b/>
                <w:sz w:val="20"/>
                <w:szCs w:val="20"/>
              </w:rPr>
            </w:pPr>
            <w:r w:rsidRPr="00E47C0C">
              <w:rPr>
                <w:rFonts w:ascii="Calibri" w:eastAsia="Times New Roman" w:hAnsi="Calibri" w:cs="Times New Roman"/>
                <w:b/>
                <w:sz w:val="20"/>
                <w:szCs w:val="20"/>
              </w:rPr>
              <w:t>(Corporate sponsor – UNCDF)</w:t>
            </w:r>
          </w:p>
        </w:tc>
        <w:tc>
          <w:tcPr>
            <w:tcW w:w="2741" w:type="dxa"/>
          </w:tcPr>
          <w:p w:rsidR="00383D75" w:rsidRPr="00CA712C" w:rsidRDefault="00383D75" w:rsidP="00BA40DA">
            <w:pPr>
              <w:spacing w:before="120" w:after="120"/>
              <w:rPr>
                <w:rFonts w:cs="Times New Roman"/>
                <w:color w:val="000000"/>
                <w:sz w:val="20"/>
                <w:szCs w:val="20"/>
              </w:rPr>
            </w:pPr>
            <w:r w:rsidRPr="00CA712C">
              <w:rPr>
                <w:rFonts w:cs="Times New Roman"/>
                <w:color w:val="000000"/>
                <w:sz w:val="20"/>
                <w:szCs w:val="20"/>
              </w:rPr>
              <w:t>Percentage of Least Developed Countries where UNCDF is active in which contributions are integrated in the United Nations country level programming framework</w:t>
            </w:r>
          </w:p>
          <w:p w:rsidR="00383D75" w:rsidRPr="00CA11C0" w:rsidRDefault="00383D75" w:rsidP="00BA40DA">
            <w:pPr>
              <w:spacing w:before="120" w:after="120"/>
              <w:rPr>
                <w:rFonts w:eastAsia="Times New Roman" w:cs="Times New Roman"/>
                <w:i/>
                <w:sz w:val="20"/>
                <w:szCs w:val="20"/>
              </w:rPr>
            </w:pPr>
            <w:r w:rsidRPr="00CA712C">
              <w:rPr>
                <w:rFonts w:eastAsia="Times New Roman" w:cs="Times New Roman"/>
                <w:i/>
                <w:sz w:val="20"/>
                <w:szCs w:val="20"/>
              </w:rPr>
              <w:t xml:space="preserve"> (Source: UNCDF scorecard</w:t>
            </w:r>
            <w:r>
              <w:rPr>
                <w:rFonts w:eastAsia="Times New Roman" w:cs="Times New Roman"/>
                <w:i/>
                <w:sz w:val="20"/>
                <w:szCs w:val="20"/>
              </w:rPr>
              <w:t xml:space="preserve"> – </w:t>
            </w:r>
            <w:r w:rsidRPr="00CA712C">
              <w:rPr>
                <w:rFonts w:eastAsia="Times New Roman" w:cs="Times New Roman"/>
                <w:i/>
                <w:sz w:val="20"/>
                <w:szCs w:val="20"/>
              </w:rPr>
              <w:t>Baseline: 70%)</w:t>
            </w:r>
          </w:p>
        </w:tc>
        <w:tc>
          <w:tcPr>
            <w:tcW w:w="1206" w:type="dxa"/>
          </w:tcPr>
          <w:p w:rsidR="00383D75" w:rsidRPr="00CA712C" w:rsidRDefault="00383D75" w:rsidP="00BA40DA">
            <w:pPr>
              <w:spacing w:before="120" w:after="120"/>
              <w:jc w:val="center"/>
              <w:rPr>
                <w:rFonts w:eastAsia="Times New Roman" w:cs="Times New Roman"/>
                <w:sz w:val="20"/>
                <w:szCs w:val="20"/>
              </w:rPr>
            </w:pPr>
            <w:r w:rsidRPr="00CA712C">
              <w:rPr>
                <w:rFonts w:eastAsia="Times New Roman" w:cs="Times New Roman"/>
                <w:sz w:val="20"/>
                <w:szCs w:val="20"/>
              </w:rPr>
              <w:t>100%</w:t>
            </w:r>
          </w:p>
        </w:tc>
        <w:tc>
          <w:tcPr>
            <w:tcW w:w="7487" w:type="dxa"/>
          </w:tcPr>
          <w:p w:rsidR="00383D75" w:rsidRPr="00383D75" w:rsidRDefault="00383D75" w:rsidP="00383D75">
            <w:pPr>
              <w:spacing w:before="120" w:after="120"/>
              <w:rPr>
                <w:sz w:val="20"/>
              </w:rPr>
            </w:pPr>
            <w:r w:rsidRPr="00383D75">
              <w:rPr>
                <w:sz w:val="20"/>
              </w:rPr>
              <w:t>This indicator is no longer a part of the UNCDF scorecard and is not included in the UNCDF 2013 Results-Oriented Annual Report.</w:t>
            </w:r>
          </w:p>
        </w:tc>
      </w:tr>
    </w:tbl>
    <w:p w:rsidR="00AB1851" w:rsidRPr="00383D75" w:rsidRDefault="00EE392C" w:rsidP="00383D75">
      <w:pPr>
        <w:spacing w:before="120" w:after="120" w:line="240" w:lineRule="auto"/>
        <w:jc w:val="both"/>
        <w:rPr>
          <w:sz w:val="20"/>
        </w:rPr>
      </w:pPr>
      <w:r w:rsidRPr="00F965D0">
        <w:rPr>
          <w:sz w:val="20"/>
        </w:rPr>
        <w:t xml:space="preserve"> </w:t>
      </w:r>
    </w:p>
    <w:p w:rsidR="003B34FA" w:rsidRDefault="000B08DD" w:rsidP="00A712BB">
      <w:pPr>
        <w:rPr>
          <w:b/>
        </w:rPr>
      </w:pPr>
      <w:r>
        <w:rPr>
          <w:b/>
        </w:rPr>
        <w:br w:type="page"/>
      </w:r>
      <w:r w:rsidR="00056F6B">
        <w:rPr>
          <w:b/>
        </w:rPr>
        <w:lastRenderedPageBreak/>
        <w:t>Annex IV</w:t>
      </w:r>
      <w:r w:rsidR="00DE204F">
        <w:rPr>
          <w:b/>
        </w:rPr>
        <w:t xml:space="preserve">:  </w:t>
      </w:r>
      <w:r w:rsidR="00D92016">
        <w:rPr>
          <w:b/>
        </w:rPr>
        <w:t>Provisional 2013</w:t>
      </w:r>
      <w:r w:rsidR="0012679A" w:rsidRPr="0012679A">
        <w:rPr>
          <w:b/>
        </w:rPr>
        <w:t xml:space="preserve"> programme expenditure</w:t>
      </w:r>
    </w:p>
    <w:p w:rsidR="003B34FA" w:rsidRPr="00A725B7" w:rsidRDefault="003B34FA" w:rsidP="00BA40DA">
      <w:pPr>
        <w:keepNext/>
        <w:keepLines/>
        <w:spacing w:before="120" w:after="120" w:line="240" w:lineRule="auto"/>
        <w:rPr>
          <w:b/>
          <w:szCs w:val="24"/>
        </w:rPr>
      </w:pPr>
      <w:r w:rsidRPr="00F965D0">
        <w:rPr>
          <w:rFonts w:ascii="Calibri" w:hAnsi="Calibri" w:cs="Calibri"/>
          <w:b/>
          <w:bCs/>
          <w:color w:val="000000"/>
          <w:szCs w:val="20"/>
        </w:rPr>
        <w:t xml:space="preserve">Table </w:t>
      </w:r>
      <w:r w:rsidR="00D94E34" w:rsidRPr="00D94E34">
        <w:rPr>
          <w:rFonts w:ascii="Calibri" w:hAnsi="Calibri" w:cs="Calibri"/>
          <w:b/>
          <w:bCs/>
          <w:color w:val="000000"/>
          <w:szCs w:val="20"/>
        </w:rPr>
        <w:t>2</w:t>
      </w:r>
      <w:r w:rsidR="00D92016">
        <w:rPr>
          <w:rFonts w:ascii="Calibri" w:hAnsi="Calibri" w:cs="Calibri"/>
          <w:b/>
          <w:bCs/>
          <w:color w:val="000000"/>
          <w:szCs w:val="20"/>
        </w:rPr>
        <w:t>: Provisional 2013</w:t>
      </w:r>
      <w:r w:rsidRPr="00F965D0">
        <w:rPr>
          <w:rFonts w:ascii="Calibri" w:hAnsi="Calibri" w:cs="Calibri"/>
          <w:b/>
          <w:bCs/>
          <w:color w:val="000000"/>
          <w:szCs w:val="20"/>
        </w:rPr>
        <w:t xml:space="preserve"> programme expenditure (regular, other, non-LDC, LD</w:t>
      </w:r>
      <w:r w:rsidR="00DE204F" w:rsidRPr="00F965D0">
        <w:rPr>
          <w:rFonts w:ascii="Calibri" w:hAnsi="Calibri" w:cs="Calibri"/>
          <w:b/>
          <w:bCs/>
          <w:color w:val="000000"/>
          <w:szCs w:val="20"/>
        </w:rPr>
        <w:t>C) by strategic plan focus area</w:t>
      </w:r>
      <w:r w:rsidRPr="00F965D0">
        <w:rPr>
          <w:rFonts w:ascii="Calibri" w:hAnsi="Calibri" w:cs="Calibri"/>
          <w:b/>
          <w:bCs/>
          <w:color w:val="000000"/>
          <w:szCs w:val="20"/>
        </w:rPr>
        <w:t xml:space="preserve"> and </w:t>
      </w:r>
      <w:r w:rsidR="00DE204F" w:rsidRPr="00F965D0">
        <w:rPr>
          <w:rFonts w:ascii="Calibri" w:hAnsi="Calibri" w:cs="Calibri"/>
          <w:b/>
          <w:bCs/>
          <w:color w:val="000000"/>
          <w:szCs w:val="20"/>
        </w:rPr>
        <w:t xml:space="preserve">corporate </w:t>
      </w:r>
      <w:r w:rsidRPr="00F965D0">
        <w:rPr>
          <w:rFonts w:ascii="Calibri" w:hAnsi="Calibri" w:cs="Calibri"/>
          <w:b/>
          <w:bCs/>
          <w:color w:val="000000"/>
          <w:szCs w:val="20"/>
        </w:rPr>
        <w:t>outcome</w:t>
      </w:r>
      <w:r w:rsidR="009F713A" w:rsidRPr="00F965D0">
        <w:rPr>
          <w:rStyle w:val="FootnoteReference"/>
          <w:rFonts w:ascii="Calibri" w:hAnsi="Calibri" w:cs="Calibri"/>
          <w:b/>
          <w:bCs/>
          <w:color w:val="000000"/>
          <w:szCs w:val="20"/>
        </w:rPr>
        <w:footnoteReference w:id="6"/>
      </w:r>
    </w:p>
    <w:tbl>
      <w:tblPr>
        <w:tblW w:w="13530" w:type="dxa"/>
        <w:jc w:val="right"/>
        <w:tblLayout w:type="fixed"/>
        <w:tblLook w:val="0000" w:firstRow="0" w:lastRow="0" w:firstColumn="0" w:lastColumn="0" w:noHBand="0" w:noVBand="0"/>
      </w:tblPr>
      <w:tblGrid>
        <w:gridCol w:w="3720"/>
        <w:gridCol w:w="1155"/>
        <w:gridCol w:w="627"/>
        <w:gridCol w:w="1170"/>
        <w:gridCol w:w="648"/>
        <w:gridCol w:w="1155"/>
        <w:gridCol w:w="630"/>
        <w:gridCol w:w="1257"/>
        <w:gridCol w:w="648"/>
        <w:gridCol w:w="1242"/>
        <w:gridCol w:w="1278"/>
      </w:tblGrid>
      <w:tr w:rsidR="00CD2E95" w:rsidRPr="00B00C3A">
        <w:trPr>
          <w:trHeight w:val="298"/>
          <w:tblHeader/>
          <w:jc w:val="right"/>
        </w:trPr>
        <w:tc>
          <w:tcPr>
            <w:tcW w:w="3720" w:type="dxa"/>
            <w:vMerge w:val="restart"/>
            <w:tcBorders>
              <w:top w:val="single" w:sz="4" w:space="0" w:color="auto"/>
              <w:left w:val="single" w:sz="6" w:space="0" w:color="auto"/>
              <w:right w:val="single" w:sz="6" w:space="0" w:color="auto"/>
            </w:tcBorders>
            <w:shd w:val="clear" w:color="auto" w:fill="F2F2F2" w:themeFill="background1" w:themeFillShade="F2"/>
            <w:vAlign w:val="center"/>
          </w:tcPr>
          <w:p w:rsidR="00CD2E95" w:rsidRPr="00B00C3A" w:rsidRDefault="00DE204F" w:rsidP="00DE204F">
            <w:pPr>
              <w:widowControl w:val="0"/>
              <w:autoSpaceDE w:val="0"/>
              <w:autoSpaceDN w:val="0"/>
              <w:adjustRightInd w:val="0"/>
              <w:spacing w:before="120" w:after="120" w:line="240" w:lineRule="auto"/>
              <w:jc w:val="center"/>
              <w:rPr>
                <w:rFonts w:cs="Calibri"/>
                <w:b/>
                <w:bCs/>
                <w:color w:val="000000"/>
                <w:sz w:val="20"/>
                <w:szCs w:val="20"/>
              </w:rPr>
            </w:pPr>
            <w:r>
              <w:rPr>
                <w:rFonts w:cs="Calibri"/>
                <w:b/>
                <w:bCs/>
                <w:color w:val="000000"/>
                <w:sz w:val="20"/>
                <w:szCs w:val="20"/>
              </w:rPr>
              <w:t xml:space="preserve">Strategic plan focus area / corporate </w:t>
            </w:r>
            <w:r w:rsidR="00CD2E95" w:rsidRPr="00B00C3A">
              <w:rPr>
                <w:rFonts w:cs="Calibri"/>
                <w:b/>
                <w:bCs/>
                <w:color w:val="000000"/>
                <w:sz w:val="20"/>
                <w:szCs w:val="20"/>
              </w:rPr>
              <w:t>outcome</w:t>
            </w:r>
          </w:p>
        </w:tc>
        <w:tc>
          <w:tcPr>
            <w:tcW w:w="9810" w:type="dxa"/>
            <w:gridSpan w:val="10"/>
            <w:tcBorders>
              <w:top w:val="single" w:sz="4" w:space="0" w:color="auto"/>
              <w:left w:val="single" w:sz="6" w:space="0" w:color="auto"/>
              <w:bottom w:val="single" w:sz="6" w:space="0" w:color="auto"/>
              <w:right w:val="single" w:sz="6" w:space="0" w:color="auto"/>
            </w:tcBorders>
            <w:shd w:val="clear" w:color="auto" w:fill="F2F2F2" w:themeFill="background1" w:themeFillShade="F2"/>
          </w:tcPr>
          <w:p w:rsidR="00CD2E95" w:rsidRPr="00D1728B" w:rsidRDefault="00CD2E95" w:rsidP="00BA40DA">
            <w:pPr>
              <w:widowControl w:val="0"/>
              <w:autoSpaceDE w:val="0"/>
              <w:autoSpaceDN w:val="0"/>
              <w:adjustRightInd w:val="0"/>
              <w:spacing w:before="120" w:after="120" w:line="240" w:lineRule="auto"/>
              <w:jc w:val="center"/>
              <w:rPr>
                <w:rFonts w:cs="Calibri"/>
                <w:color w:val="000000"/>
                <w:szCs w:val="20"/>
              </w:rPr>
            </w:pPr>
            <w:r w:rsidRPr="00D1728B">
              <w:rPr>
                <w:rFonts w:cs="Calibri"/>
                <w:b/>
                <w:bCs/>
                <w:color w:val="000000"/>
                <w:szCs w:val="20"/>
              </w:rPr>
              <w:t>2</w:t>
            </w:r>
            <w:r w:rsidR="00D92016">
              <w:rPr>
                <w:rFonts w:cs="Calibri"/>
                <w:b/>
                <w:bCs/>
                <w:color w:val="000000"/>
                <w:szCs w:val="20"/>
              </w:rPr>
              <w:t>013</w:t>
            </w:r>
            <w:r w:rsidRPr="00D1728B">
              <w:rPr>
                <w:rFonts w:cs="Calibri"/>
                <w:b/>
                <w:bCs/>
                <w:color w:val="000000"/>
                <w:szCs w:val="20"/>
              </w:rPr>
              <w:t xml:space="preserve"> programme expenditure, in thousands of dollars, %</w:t>
            </w:r>
          </w:p>
        </w:tc>
      </w:tr>
      <w:tr w:rsidR="00CD2E95" w:rsidRPr="00B00C3A">
        <w:trPr>
          <w:trHeight w:val="557"/>
          <w:tblHeader/>
          <w:jc w:val="right"/>
        </w:trPr>
        <w:tc>
          <w:tcPr>
            <w:tcW w:w="3720" w:type="dxa"/>
            <w:vMerge/>
            <w:tcBorders>
              <w:left w:val="single" w:sz="6" w:space="0" w:color="auto"/>
              <w:bottom w:val="single" w:sz="6" w:space="0" w:color="auto"/>
              <w:right w:val="single" w:sz="6" w:space="0" w:color="auto"/>
            </w:tcBorders>
            <w:shd w:val="clear" w:color="auto" w:fill="F2F2F2" w:themeFill="background1" w:themeFillShade="F2"/>
          </w:tcPr>
          <w:p w:rsidR="00CD2E95" w:rsidRPr="00B00C3A" w:rsidRDefault="00CD2E95" w:rsidP="00BA40DA">
            <w:pPr>
              <w:widowControl w:val="0"/>
              <w:autoSpaceDE w:val="0"/>
              <w:autoSpaceDN w:val="0"/>
              <w:adjustRightInd w:val="0"/>
              <w:spacing w:before="120" w:after="120" w:line="240" w:lineRule="auto"/>
              <w:jc w:val="center"/>
              <w:rPr>
                <w:rFonts w:cs="Calibri"/>
                <w:color w:val="000000"/>
                <w:sz w:val="20"/>
                <w:szCs w:val="20"/>
              </w:rPr>
            </w:pPr>
          </w:p>
        </w:tc>
        <w:tc>
          <w:tcPr>
            <w:tcW w:w="1155" w:type="dxa"/>
            <w:tcBorders>
              <w:top w:val="single" w:sz="6" w:space="0" w:color="auto"/>
              <w:left w:val="single" w:sz="6" w:space="0" w:color="auto"/>
              <w:bottom w:val="single" w:sz="6" w:space="0" w:color="auto"/>
              <w:right w:val="dashed" w:sz="4" w:space="0" w:color="auto"/>
            </w:tcBorders>
            <w:shd w:val="clear" w:color="auto" w:fill="F2F2F2" w:themeFill="background1" w:themeFillShade="F2"/>
            <w:vAlign w:val="bottom"/>
          </w:tcPr>
          <w:p w:rsidR="00CD2E95" w:rsidRPr="00B00C3A" w:rsidRDefault="00CD2E95" w:rsidP="00BA40DA">
            <w:pPr>
              <w:widowControl w:val="0"/>
              <w:autoSpaceDE w:val="0"/>
              <w:autoSpaceDN w:val="0"/>
              <w:adjustRightInd w:val="0"/>
              <w:spacing w:before="120" w:after="120" w:line="240" w:lineRule="auto"/>
              <w:ind w:left="-108"/>
              <w:jc w:val="right"/>
              <w:rPr>
                <w:rFonts w:cs="Calibri"/>
                <w:b/>
                <w:bCs/>
                <w:color w:val="000000"/>
                <w:sz w:val="20"/>
                <w:szCs w:val="20"/>
              </w:rPr>
            </w:pPr>
            <w:r w:rsidRPr="00B00C3A">
              <w:rPr>
                <w:rFonts w:cs="Calibri"/>
                <w:b/>
                <w:bCs/>
                <w:color w:val="000000"/>
                <w:sz w:val="20"/>
                <w:szCs w:val="20"/>
              </w:rPr>
              <w:t>Regular resources</w:t>
            </w:r>
          </w:p>
        </w:tc>
        <w:tc>
          <w:tcPr>
            <w:tcW w:w="627" w:type="dxa"/>
            <w:tcBorders>
              <w:top w:val="single" w:sz="6" w:space="0" w:color="auto"/>
              <w:left w:val="dashed" w:sz="4" w:space="0" w:color="auto"/>
              <w:bottom w:val="single" w:sz="6" w:space="0" w:color="auto"/>
              <w:right w:val="single" w:sz="6" w:space="0" w:color="auto"/>
            </w:tcBorders>
            <w:shd w:val="clear" w:color="auto" w:fill="F2F2F2" w:themeFill="background1" w:themeFillShade="F2"/>
            <w:vAlign w:val="bottom"/>
          </w:tcPr>
          <w:p w:rsidR="00CD2E95" w:rsidRPr="00B00C3A" w:rsidRDefault="00CD2E95" w:rsidP="00BA40DA">
            <w:pPr>
              <w:widowControl w:val="0"/>
              <w:autoSpaceDE w:val="0"/>
              <w:autoSpaceDN w:val="0"/>
              <w:adjustRightInd w:val="0"/>
              <w:spacing w:before="120" w:after="120" w:line="240" w:lineRule="auto"/>
              <w:jc w:val="right"/>
              <w:rPr>
                <w:rFonts w:cs="Calibri"/>
                <w:b/>
                <w:bCs/>
                <w:color w:val="000000"/>
                <w:sz w:val="20"/>
                <w:szCs w:val="20"/>
              </w:rPr>
            </w:pPr>
            <w:r w:rsidRPr="00B00C3A">
              <w:rPr>
                <w:rFonts w:cs="Calibri"/>
                <w:b/>
                <w:bCs/>
                <w:color w:val="000000"/>
                <w:sz w:val="20"/>
                <w:szCs w:val="20"/>
              </w:rPr>
              <w:t>% of total</w:t>
            </w:r>
          </w:p>
        </w:tc>
        <w:tc>
          <w:tcPr>
            <w:tcW w:w="1170" w:type="dxa"/>
            <w:tcBorders>
              <w:top w:val="single" w:sz="6" w:space="0" w:color="auto"/>
              <w:left w:val="single" w:sz="6" w:space="0" w:color="auto"/>
              <w:bottom w:val="single" w:sz="6" w:space="0" w:color="auto"/>
              <w:right w:val="dashed" w:sz="4" w:space="0" w:color="auto"/>
            </w:tcBorders>
            <w:shd w:val="clear" w:color="auto" w:fill="F2F2F2" w:themeFill="background1" w:themeFillShade="F2"/>
            <w:vAlign w:val="bottom"/>
          </w:tcPr>
          <w:p w:rsidR="00CD2E95" w:rsidRPr="00B00C3A" w:rsidRDefault="00CD2E95" w:rsidP="00BA40DA">
            <w:pPr>
              <w:widowControl w:val="0"/>
              <w:autoSpaceDE w:val="0"/>
              <w:autoSpaceDN w:val="0"/>
              <w:adjustRightInd w:val="0"/>
              <w:spacing w:before="120" w:after="120" w:line="240" w:lineRule="auto"/>
              <w:jc w:val="right"/>
              <w:rPr>
                <w:rFonts w:cs="Calibri"/>
                <w:b/>
                <w:bCs/>
                <w:color w:val="000000"/>
                <w:sz w:val="20"/>
                <w:szCs w:val="20"/>
              </w:rPr>
            </w:pPr>
            <w:r w:rsidRPr="00B00C3A">
              <w:rPr>
                <w:rFonts w:cs="Calibri"/>
                <w:b/>
                <w:bCs/>
                <w:color w:val="000000"/>
                <w:sz w:val="20"/>
                <w:szCs w:val="20"/>
              </w:rPr>
              <w:t>Other donor resources</w:t>
            </w:r>
          </w:p>
        </w:tc>
        <w:tc>
          <w:tcPr>
            <w:tcW w:w="648" w:type="dxa"/>
            <w:tcBorders>
              <w:top w:val="single" w:sz="6" w:space="0" w:color="auto"/>
              <w:left w:val="dashed" w:sz="4" w:space="0" w:color="auto"/>
              <w:bottom w:val="single" w:sz="6" w:space="0" w:color="auto"/>
              <w:right w:val="single" w:sz="6" w:space="0" w:color="auto"/>
            </w:tcBorders>
            <w:shd w:val="clear" w:color="auto" w:fill="F2F2F2" w:themeFill="background1" w:themeFillShade="F2"/>
            <w:vAlign w:val="bottom"/>
          </w:tcPr>
          <w:p w:rsidR="00CD2E95" w:rsidRPr="00B00C3A" w:rsidRDefault="00CD2E95" w:rsidP="00BA40DA">
            <w:pPr>
              <w:widowControl w:val="0"/>
              <w:autoSpaceDE w:val="0"/>
              <w:autoSpaceDN w:val="0"/>
              <w:adjustRightInd w:val="0"/>
              <w:spacing w:before="120" w:after="120" w:line="240" w:lineRule="auto"/>
              <w:jc w:val="right"/>
              <w:rPr>
                <w:rFonts w:cs="Calibri"/>
                <w:b/>
                <w:bCs/>
                <w:color w:val="000000"/>
                <w:sz w:val="20"/>
                <w:szCs w:val="20"/>
              </w:rPr>
            </w:pPr>
            <w:r w:rsidRPr="00B00C3A">
              <w:rPr>
                <w:rFonts w:cs="Calibri"/>
                <w:b/>
                <w:bCs/>
                <w:color w:val="000000"/>
                <w:sz w:val="20"/>
                <w:szCs w:val="20"/>
              </w:rPr>
              <w:t>% of total</w:t>
            </w:r>
          </w:p>
        </w:tc>
        <w:tc>
          <w:tcPr>
            <w:tcW w:w="1155" w:type="dxa"/>
            <w:tcBorders>
              <w:top w:val="single" w:sz="6" w:space="0" w:color="auto"/>
              <w:left w:val="single" w:sz="6" w:space="0" w:color="auto"/>
              <w:bottom w:val="single" w:sz="6" w:space="0" w:color="auto"/>
              <w:right w:val="dashed" w:sz="4" w:space="0" w:color="auto"/>
            </w:tcBorders>
            <w:shd w:val="clear" w:color="auto" w:fill="F2F2F2" w:themeFill="background1" w:themeFillShade="F2"/>
            <w:vAlign w:val="bottom"/>
          </w:tcPr>
          <w:p w:rsidR="00CD2E95" w:rsidRPr="00B00C3A" w:rsidRDefault="00CD2E95" w:rsidP="00BA40DA">
            <w:pPr>
              <w:widowControl w:val="0"/>
              <w:autoSpaceDE w:val="0"/>
              <w:autoSpaceDN w:val="0"/>
              <w:adjustRightInd w:val="0"/>
              <w:spacing w:before="120" w:after="120" w:line="240" w:lineRule="auto"/>
              <w:ind w:left="-108"/>
              <w:jc w:val="right"/>
              <w:rPr>
                <w:rFonts w:cs="Calibri"/>
                <w:b/>
                <w:bCs/>
                <w:color w:val="000000"/>
                <w:sz w:val="20"/>
                <w:szCs w:val="20"/>
              </w:rPr>
            </w:pPr>
            <w:r w:rsidRPr="00B00C3A">
              <w:rPr>
                <w:rFonts w:cs="Calibri"/>
                <w:b/>
                <w:bCs/>
                <w:color w:val="000000"/>
                <w:sz w:val="20"/>
                <w:szCs w:val="20"/>
              </w:rPr>
              <w:t xml:space="preserve"> Local resources </w:t>
            </w:r>
          </w:p>
        </w:tc>
        <w:tc>
          <w:tcPr>
            <w:tcW w:w="630" w:type="dxa"/>
            <w:tcBorders>
              <w:top w:val="single" w:sz="6" w:space="0" w:color="auto"/>
              <w:left w:val="dashed" w:sz="4" w:space="0" w:color="auto"/>
              <w:bottom w:val="single" w:sz="6" w:space="0" w:color="auto"/>
              <w:right w:val="single" w:sz="6" w:space="0" w:color="auto"/>
            </w:tcBorders>
            <w:shd w:val="clear" w:color="auto" w:fill="F2F2F2" w:themeFill="background1" w:themeFillShade="F2"/>
            <w:vAlign w:val="bottom"/>
          </w:tcPr>
          <w:p w:rsidR="00CD2E95" w:rsidRPr="00B00C3A" w:rsidRDefault="00CD2E95" w:rsidP="00BA40DA">
            <w:pPr>
              <w:widowControl w:val="0"/>
              <w:autoSpaceDE w:val="0"/>
              <w:autoSpaceDN w:val="0"/>
              <w:adjustRightInd w:val="0"/>
              <w:spacing w:before="120" w:after="120" w:line="240" w:lineRule="auto"/>
              <w:jc w:val="right"/>
              <w:rPr>
                <w:rFonts w:cs="Calibri"/>
                <w:b/>
                <w:bCs/>
                <w:color w:val="000000"/>
                <w:sz w:val="20"/>
                <w:szCs w:val="20"/>
              </w:rPr>
            </w:pPr>
            <w:r w:rsidRPr="00B00C3A">
              <w:rPr>
                <w:rFonts w:cs="Calibri"/>
                <w:b/>
                <w:bCs/>
                <w:color w:val="000000"/>
                <w:sz w:val="20"/>
                <w:szCs w:val="20"/>
              </w:rPr>
              <w:t>% of total</w:t>
            </w:r>
          </w:p>
        </w:tc>
        <w:tc>
          <w:tcPr>
            <w:tcW w:w="1257" w:type="dxa"/>
            <w:tcBorders>
              <w:top w:val="single" w:sz="6" w:space="0" w:color="auto"/>
              <w:left w:val="single" w:sz="6" w:space="0" w:color="auto"/>
              <w:bottom w:val="single" w:sz="6" w:space="0" w:color="auto"/>
              <w:right w:val="dashed" w:sz="4" w:space="0" w:color="auto"/>
            </w:tcBorders>
            <w:shd w:val="clear" w:color="auto" w:fill="F2F2F2" w:themeFill="background1" w:themeFillShade="F2"/>
            <w:vAlign w:val="bottom"/>
          </w:tcPr>
          <w:p w:rsidR="00CD2E95" w:rsidRPr="00B00C3A" w:rsidRDefault="00CD2E95" w:rsidP="00BA40DA">
            <w:pPr>
              <w:widowControl w:val="0"/>
              <w:autoSpaceDE w:val="0"/>
              <w:autoSpaceDN w:val="0"/>
              <w:adjustRightInd w:val="0"/>
              <w:spacing w:before="120" w:after="120" w:line="240" w:lineRule="auto"/>
              <w:jc w:val="right"/>
              <w:rPr>
                <w:rFonts w:cs="Calibri"/>
                <w:b/>
                <w:bCs/>
                <w:color w:val="000000"/>
                <w:sz w:val="20"/>
                <w:szCs w:val="20"/>
              </w:rPr>
            </w:pPr>
            <w:r w:rsidRPr="00B00C3A">
              <w:rPr>
                <w:rFonts w:cs="Calibri"/>
                <w:b/>
                <w:bCs/>
                <w:color w:val="000000"/>
                <w:sz w:val="20"/>
                <w:szCs w:val="20"/>
              </w:rPr>
              <w:t xml:space="preserve"> Non-LDC expenditure </w:t>
            </w:r>
          </w:p>
        </w:tc>
        <w:tc>
          <w:tcPr>
            <w:tcW w:w="648" w:type="dxa"/>
            <w:tcBorders>
              <w:top w:val="single" w:sz="6" w:space="0" w:color="auto"/>
              <w:left w:val="dashed" w:sz="4" w:space="0" w:color="auto"/>
              <w:bottom w:val="single" w:sz="6" w:space="0" w:color="auto"/>
              <w:right w:val="single" w:sz="6" w:space="0" w:color="auto"/>
            </w:tcBorders>
            <w:shd w:val="clear" w:color="auto" w:fill="F2F2F2" w:themeFill="background1" w:themeFillShade="F2"/>
            <w:vAlign w:val="bottom"/>
          </w:tcPr>
          <w:p w:rsidR="00CD2E95" w:rsidRPr="00B00C3A" w:rsidRDefault="00CD2E95" w:rsidP="00BA40DA">
            <w:pPr>
              <w:widowControl w:val="0"/>
              <w:autoSpaceDE w:val="0"/>
              <w:autoSpaceDN w:val="0"/>
              <w:adjustRightInd w:val="0"/>
              <w:spacing w:before="120" w:after="120" w:line="240" w:lineRule="auto"/>
              <w:jc w:val="right"/>
              <w:rPr>
                <w:rFonts w:cs="Calibri"/>
                <w:b/>
                <w:bCs/>
                <w:color w:val="000000"/>
                <w:sz w:val="20"/>
                <w:szCs w:val="20"/>
              </w:rPr>
            </w:pPr>
            <w:r w:rsidRPr="00B00C3A">
              <w:rPr>
                <w:rFonts w:cs="Calibri"/>
                <w:b/>
                <w:bCs/>
                <w:color w:val="000000"/>
                <w:sz w:val="20"/>
                <w:szCs w:val="20"/>
              </w:rPr>
              <w:t>% of total</w:t>
            </w:r>
          </w:p>
        </w:tc>
        <w:tc>
          <w:tcPr>
            <w:tcW w:w="12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tcPr>
          <w:p w:rsidR="00CD2E95" w:rsidRPr="00B00C3A" w:rsidRDefault="00CD2E95" w:rsidP="00BA40DA">
            <w:pPr>
              <w:widowControl w:val="0"/>
              <w:autoSpaceDE w:val="0"/>
              <w:autoSpaceDN w:val="0"/>
              <w:adjustRightInd w:val="0"/>
              <w:spacing w:before="120" w:after="120" w:line="240" w:lineRule="auto"/>
              <w:jc w:val="right"/>
              <w:rPr>
                <w:rFonts w:cs="Calibri"/>
                <w:b/>
                <w:bCs/>
                <w:color w:val="000000"/>
                <w:sz w:val="20"/>
                <w:szCs w:val="20"/>
              </w:rPr>
            </w:pPr>
            <w:r w:rsidRPr="00B00C3A">
              <w:rPr>
                <w:rFonts w:cs="Calibri"/>
                <w:b/>
                <w:bCs/>
                <w:color w:val="000000"/>
                <w:sz w:val="20"/>
                <w:szCs w:val="20"/>
              </w:rPr>
              <w:t xml:space="preserve"> LDC expenditure </w:t>
            </w:r>
          </w:p>
        </w:tc>
        <w:tc>
          <w:tcPr>
            <w:tcW w:w="127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tcPr>
          <w:p w:rsidR="00CD2E95" w:rsidRPr="00B00C3A" w:rsidRDefault="00CD2E95" w:rsidP="00BA40DA">
            <w:pPr>
              <w:widowControl w:val="0"/>
              <w:autoSpaceDE w:val="0"/>
              <w:autoSpaceDN w:val="0"/>
              <w:adjustRightInd w:val="0"/>
              <w:spacing w:before="120" w:after="120" w:line="240" w:lineRule="auto"/>
              <w:jc w:val="right"/>
              <w:rPr>
                <w:rFonts w:cs="Calibri"/>
                <w:b/>
                <w:bCs/>
                <w:color w:val="000000"/>
                <w:sz w:val="20"/>
                <w:szCs w:val="20"/>
              </w:rPr>
            </w:pPr>
            <w:r w:rsidRPr="00B00C3A">
              <w:rPr>
                <w:rFonts w:cs="Calibri"/>
                <w:b/>
                <w:bCs/>
                <w:color w:val="000000"/>
                <w:sz w:val="20"/>
                <w:szCs w:val="20"/>
              </w:rPr>
              <w:t xml:space="preserve"> Grand total </w:t>
            </w:r>
          </w:p>
        </w:tc>
      </w:tr>
      <w:tr w:rsidR="00CD2E95" w:rsidRPr="00B00C3A">
        <w:trPr>
          <w:trHeight w:val="278"/>
          <w:jc w:val="right"/>
        </w:trPr>
        <w:tc>
          <w:tcPr>
            <w:tcW w:w="13530" w:type="dxa"/>
            <w:gridSpan w:val="11"/>
            <w:tcBorders>
              <w:top w:val="single" w:sz="6" w:space="0" w:color="auto"/>
              <w:left w:val="single" w:sz="6" w:space="0" w:color="auto"/>
              <w:bottom w:val="single" w:sz="6" w:space="0" w:color="auto"/>
              <w:right w:val="single" w:sz="6" w:space="0" w:color="auto"/>
            </w:tcBorders>
            <w:shd w:val="clear" w:color="C0C0C0" w:fill="D9D9D9" w:themeFill="background1" w:themeFillShade="D9"/>
          </w:tcPr>
          <w:p w:rsidR="00CD2E95" w:rsidRPr="00B00C3A" w:rsidRDefault="00CD2E95" w:rsidP="00BA40DA">
            <w:pPr>
              <w:widowControl w:val="0"/>
              <w:autoSpaceDE w:val="0"/>
              <w:autoSpaceDN w:val="0"/>
              <w:adjustRightInd w:val="0"/>
              <w:spacing w:before="120" w:after="120" w:line="240" w:lineRule="auto"/>
              <w:jc w:val="center"/>
              <w:rPr>
                <w:rFonts w:cs="Calibri"/>
                <w:color w:val="000000"/>
                <w:sz w:val="20"/>
                <w:szCs w:val="20"/>
              </w:rPr>
            </w:pPr>
            <w:r w:rsidRPr="00B00C3A">
              <w:rPr>
                <w:rFonts w:cs="Arial"/>
                <w:b/>
                <w:bCs/>
                <w:color w:val="000000"/>
                <w:sz w:val="20"/>
                <w:szCs w:val="20"/>
              </w:rPr>
              <w:t>Focus area 1: Achieving the MDGs and reducing human poverty</w:t>
            </w:r>
          </w:p>
        </w:tc>
      </w:tr>
      <w:tr w:rsidR="0030355C" w:rsidRPr="00B00C3A">
        <w:trPr>
          <w:trHeight w:val="595"/>
          <w:jc w:val="right"/>
        </w:trPr>
        <w:tc>
          <w:tcPr>
            <w:tcW w:w="3720" w:type="dxa"/>
            <w:tcBorders>
              <w:top w:val="single" w:sz="6" w:space="0" w:color="auto"/>
              <w:left w:val="single" w:sz="6" w:space="0" w:color="auto"/>
              <w:bottom w:val="single" w:sz="6" w:space="0" w:color="auto"/>
              <w:right w:val="single" w:sz="6" w:space="0" w:color="auto"/>
            </w:tcBorders>
          </w:tcPr>
          <w:p w:rsidR="0030355C" w:rsidRPr="00B00C3A" w:rsidRDefault="0030355C" w:rsidP="00BA40DA">
            <w:pPr>
              <w:spacing w:before="120" w:after="120"/>
              <w:rPr>
                <w:sz w:val="18"/>
              </w:rPr>
            </w:pPr>
            <w:r w:rsidRPr="00B00C3A">
              <w:rPr>
                <w:sz w:val="18"/>
              </w:rPr>
              <w:t>1.1. Capacities of national and local institutions enhanced to scale up proven MDG acceleration interventions and to plan, monitor, report and evaluate the MDG progress in the context of related national development priorities</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t>$78,817</w:t>
            </w:r>
          </w:p>
        </w:tc>
        <w:tc>
          <w:tcPr>
            <w:tcW w:w="627"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14%</w:t>
            </w:r>
          </w:p>
        </w:tc>
        <w:tc>
          <w:tcPr>
            <w:tcW w:w="1170"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t>$216,080</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38%</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t>$274,058</w:t>
            </w:r>
          </w:p>
        </w:tc>
        <w:tc>
          <w:tcPr>
            <w:tcW w:w="630"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48%</w:t>
            </w:r>
          </w:p>
        </w:tc>
        <w:tc>
          <w:tcPr>
            <w:tcW w:w="1257"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t>$385,725</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68%</w:t>
            </w:r>
          </w:p>
        </w:tc>
        <w:tc>
          <w:tcPr>
            <w:tcW w:w="1242" w:type="dxa"/>
            <w:tcBorders>
              <w:top w:val="single" w:sz="6" w:space="0" w:color="auto"/>
              <w:left w:val="single" w:sz="6" w:space="0" w:color="auto"/>
              <w:bottom w:val="single" w:sz="6" w:space="0" w:color="auto"/>
              <w:right w:val="single" w:sz="6" w:space="0" w:color="auto"/>
            </w:tcBorders>
            <w:vAlign w:val="center"/>
          </w:tcPr>
          <w:p w:rsidR="0030355C" w:rsidRPr="00E26529" w:rsidRDefault="0030355C" w:rsidP="0030355C">
            <w:pPr>
              <w:jc w:val="right"/>
            </w:pPr>
            <w:r w:rsidRPr="00E26529">
              <w:t>$183,230</w:t>
            </w:r>
          </w:p>
        </w:tc>
        <w:tc>
          <w:tcPr>
            <w:tcW w:w="1278" w:type="dxa"/>
            <w:tcBorders>
              <w:top w:val="single" w:sz="6" w:space="0" w:color="auto"/>
              <w:left w:val="single" w:sz="6" w:space="0" w:color="auto"/>
              <w:bottom w:val="single" w:sz="6" w:space="0" w:color="auto"/>
              <w:right w:val="single" w:sz="6" w:space="0" w:color="auto"/>
            </w:tcBorders>
            <w:vAlign w:val="center"/>
          </w:tcPr>
          <w:p w:rsidR="0030355C" w:rsidRPr="00E26529" w:rsidRDefault="0030355C" w:rsidP="0030355C">
            <w:pPr>
              <w:jc w:val="right"/>
            </w:pPr>
            <w:r w:rsidRPr="00E26529">
              <w:t>$568,955</w:t>
            </w:r>
          </w:p>
        </w:tc>
      </w:tr>
      <w:tr w:rsidR="0030355C" w:rsidRPr="00B00C3A">
        <w:trPr>
          <w:trHeight w:val="595"/>
          <w:jc w:val="right"/>
        </w:trPr>
        <w:tc>
          <w:tcPr>
            <w:tcW w:w="3720" w:type="dxa"/>
            <w:tcBorders>
              <w:top w:val="single" w:sz="6" w:space="0" w:color="auto"/>
              <w:left w:val="single" w:sz="6" w:space="0" w:color="auto"/>
              <w:bottom w:val="single" w:sz="6" w:space="0" w:color="auto"/>
              <w:right w:val="single" w:sz="6" w:space="0" w:color="auto"/>
            </w:tcBorders>
          </w:tcPr>
          <w:p w:rsidR="0030355C" w:rsidRPr="00B00C3A" w:rsidRDefault="0030355C" w:rsidP="00BA40DA">
            <w:pPr>
              <w:spacing w:before="120" w:after="120"/>
              <w:rPr>
                <w:sz w:val="18"/>
              </w:rPr>
            </w:pPr>
            <w:r w:rsidRPr="00B00C3A">
              <w:rPr>
                <w:sz w:val="18"/>
              </w:rPr>
              <w:t>1.2. Inclusive growth and social equity promoted through pro-poor macroeconomic and fiscal policies that support income, employment and social protection of youth, women and vulnerable groups in a sustainable way</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t>$27,264</w:t>
            </w:r>
          </w:p>
        </w:tc>
        <w:tc>
          <w:tcPr>
            <w:tcW w:w="627"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14%</w:t>
            </w:r>
          </w:p>
        </w:tc>
        <w:tc>
          <w:tcPr>
            <w:tcW w:w="1170"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t>$70,865</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36%</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t>$99,244</w:t>
            </w:r>
          </w:p>
        </w:tc>
        <w:tc>
          <w:tcPr>
            <w:tcW w:w="630"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50%</w:t>
            </w:r>
          </w:p>
        </w:tc>
        <w:tc>
          <w:tcPr>
            <w:tcW w:w="1257"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t>$144,722</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73%</w:t>
            </w:r>
          </w:p>
        </w:tc>
        <w:tc>
          <w:tcPr>
            <w:tcW w:w="1242" w:type="dxa"/>
            <w:tcBorders>
              <w:top w:val="single" w:sz="6" w:space="0" w:color="auto"/>
              <w:left w:val="single" w:sz="6" w:space="0" w:color="auto"/>
              <w:bottom w:val="single" w:sz="6" w:space="0" w:color="auto"/>
              <w:right w:val="single" w:sz="6" w:space="0" w:color="auto"/>
            </w:tcBorders>
            <w:vAlign w:val="center"/>
          </w:tcPr>
          <w:p w:rsidR="0030355C" w:rsidRPr="00E26529" w:rsidRDefault="0030355C" w:rsidP="0030355C">
            <w:pPr>
              <w:jc w:val="right"/>
            </w:pPr>
            <w:r w:rsidRPr="00E26529">
              <w:t>$52,651</w:t>
            </w:r>
          </w:p>
        </w:tc>
        <w:tc>
          <w:tcPr>
            <w:tcW w:w="1278" w:type="dxa"/>
            <w:tcBorders>
              <w:top w:val="single" w:sz="6" w:space="0" w:color="auto"/>
              <w:left w:val="single" w:sz="6" w:space="0" w:color="auto"/>
              <w:bottom w:val="single" w:sz="6" w:space="0" w:color="auto"/>
              <w:right w:val="single" w:sz="6" w:space="0" w:color="auto"/>
            </w:tcBorders>
            <w:vAlign w:val="center"/>
          </w:tcPr>
          <w:p w:rsidR="0030355C" w:rsidRPr="00E26529" w:rsidRDefault="0030355C" w:rsidP="0030355C">
            <w:pPr>
              <w:jc w:val="right"/>
            </w:pPr>
            <w:r w:rsidRPr="00E26529">
              <w:t>$197,373</w:t>
            </w:r>
          </w:p>
        </w:tc>
      </w:tr>
      <w:tr w:rsidR="0030355C" w:rsidRPr="00B00C3A">
        <w:trPr>
          <w:trHeight w:val="595"/>
          <w:jc w:val="right"/>
        </w:trPr>
        <w:tc>
          <w:tcPr>
            <w:tcW w:w="3720" w:type="dxa"/>
            <w:tcBorders>
              <w:top w:val="single" w:sz="6" w:space="0" w:color="auto"/>
              <w:left w:val="single" w:sz="6" w:space="0" w:color="auto"/>
              <w:bottom w:val="single" w:sz="6" w:space="0" w:color="auto"/>
              <w:right w:val="single" w:sz="6" w:space="0" w:color="auto"/>
            </w:tcBorders>
          </w:tcPr>
          <w:p w:rsidR="0030355C" w:rsidRPr="00B00C3A" w:rsidRDefault="0030355C" w:rsidP="00BA40DA">
            <w:pPr>
              <w:spacing w:before="120" w:after="120"/>
              <w:rPr>
                <w:sz w:val="18"/>
              </w:rPr>
            </w:pPr>
            <w:r w:rsidRPr="00B00C3A">
              <w:rPr>
                <w:sz w:val="18"/>
              </w:rPr>
              <w:t>1.3. Policies, strategies and partnerships established to enhance public-private sector collaboration and private sector and market development that benefit the poor and ensure that low-income households and small enterprises have access to a broad range of financial and legal services</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t>$22,371</w:t>
            </w:r>
          </w:p>
        </w:tc>
        <w:tc>
          <w:tcPr>
            <w:tcW w:w="627"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17%</w:t>
            </w:r>
          </w:p>
        </w:tc>
        <w:tc>
          <w:tcPr>
            <w:tcW w:w="1170"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t>$83,010</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64%</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t>$24,068</w:t>
            </w:r>
          </w:p>
        </w:tc>
        <w:tc>
          <w:tcPr>
            <w:tcW w:w="630"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19%</w:t>
            </w:r>
          </w:p>
        </w:tc>
        <w:tc>
          <w:tcPr>
            <w:tcW w:w="1257"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t>$49,643</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38%</w:t>
            </w:r>
          </w:p>
        </w:tc>
        <w:tc>
          <w:tcPr>
            <w:tcW w:w="1242" w:type="dxa"/>
            <w:tcBorders>
              <w:top w:val="single" w:sz="6" w:space="0" w:color="auto"/>
              <w:left w:val="single" w:sz="6" w:space="0" w:color="auto"/>
              <w:bottom w:val="single" w:sz="6" w:space="0" w:color="auto"/>
              <w:right w:val="single" w:sz="6" w:space="0" w:color="auto"/>
            </w:tcBorders>
            <w:vAlign w:val="center"/>
          </w:tcPr>
          <w:p w:rsidR="0030355C" w:rsidRPr="00E26529" w:rsidRDefault="0030355C" w:rsidP="0030355C">
            <w:pPr>
              <w:jc w:val="right"/>
            </w:pPr>
            <w:r w:rsidRPr="00E26529">
              <w:t>$79,805</w:t>
            </w:r>
          </w:p>
        </w:tc>
        <w:tc>
          <w:tcPr>
            <w:tcW w:w="1278" w:type="dxa"/>
            <w:tcBorders>
              <w:top w:val="single" w:sz="6" w:space="0" w:color="auto"/>
              <w:left w:val="single" w:sz="6" w:space="0" w:color="auto"/>
              <w:bottom w:val="single" w:sz="6" w:space="0" w:color="auto"/>
              <w:right w:val="single" w:sz="6" w:space="0" w:color="auto"/>
            </w:tcBorders>
            <w:vAlign w:val="center"/>
          </w:tcPr>
          <w:p w:rsidR="0030355C" w:rsidRPr="00E26529" w:rsidRDefault="0030355C" w:rsidP="0030355C">
            <w:pPr>
              <w:jc w:val="right"/>
            </w:pPr>
            <w:r w:rsidRPr="00E26529">
              <w:t>$129,448</w:t>
            </w:r>
          </w:p>
        </w:tc>
      </w:tr>
      <w:tr w:rsidR="0030355C" w:rsidRPr="00B00C3A">
        <w:trPr>
          <w:trHeight w:val="300"/>
          <w:jc w:val="right"/>
        </w:trPr>
        <w:tc>
          <w:tcPr>
            <w:tcW w:w="3720" w:type="dxa"/>
            <w:tcBorders>
              <w:top w:val="single" w:sz="6" w:space="0" w:color="auto"/>
              <w:left w:val="single" w:sz="6" w:space="0" w:color="auto"/>
              <w:bottom w:val="single" w:sz="6" w:space="0" w:color="auto"/>
              <w:right w:val="single" w:sz="6" w:space="0" w:color="auto"/>
            </w:tcBorders>
          </w:tcPr>
          <w:p w:rsidR="0030355C" w:rsidRPr="00B00C3A" w:rsidRDefault="0030355C" w:rsidP="00BA40DA">
            <w:pPr>
              <w:spacing w:before="120" w:after="120"/>
              <w:rPr>
                <w:sz w:val="18"/>
              </w:rPr>
            </w:pPr>
            <w:r w:rsidRPr="00B00C3A">
              <w:rPr>
                <w:sz w:val="18"/>
              </w:rPr>
              <w:t xml:space="preserve">1.4. Strengthened national capacities to integrate into the global economic system and </w:t>
            </w:r>
            <w:r w:rsidRPr="00B00C3A">
              <w:rPr>
                <w:sz w:val="18"/>
              </w:rPr>
              <w:lastRenderedPageBreak/>
              <w:t>to negotiate and manage traditional &amp; emerging development finance for inclusive development</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lastRenderedPageBreak/>
              <w:t>$24</w:t>
            </w:r>
          </w:p>
        </w:tc>
        <w:tc>
          <w:tcPr>
            <w:tcW w:w="627"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2%</w:t>
            </w:r>
          </w:p>
        </w:tc>
        <w:tc>
          <w:tcPr>
            <w:tcW w:w="1170"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t>$1,486</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98%</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t>$0</w:t>
            </w:r>
          </w:p>
        </w:tc>
        <w:tc>
          <w:tcPr>
            <w:tcW w:w="630"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0%</w:t>
            </w:r>
          </w:p>
        </w:tc>
        <w:tc>
          <w:tcPr>
            <w:tcW w:w="1257"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t>$1,122</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74%</w:t>
            </w:r>
          </w:p>
        </w:tc>
        <w:tc>
          <w:tcPr>
            <w:tcW w:w="1242" w:type="dxa"/>
            <w:tcBorders>
              <w:top w:val="single" w:sz="6" w:space="0" w:color="auto"/>
              <w:left w:val="single" w:sz="6" w:space="0" w:color="auto"/>
              <w:bottom w:val="single" w:sz="6" w:space="0" w:color="auto"/>
              <w:right w:val="single" w:sz="6" w:space="0" w:color="auto"/>
            </w:tcBorders>
            <w:vAlign w:val="center"/>
          </w:tcPr>
          <w:p w:rsidR="0030355C" w:rsidRPr="00E26529" w:rsidRDefault="0030355C" w:rsidP="0030355C">
            <w:pPr>
              <w:jc w:val="right"/>
            </w:pPr>
            <w:r w:rsidRPr="00E26529">
              <w:t>$388</w:t>
            </w:r>
          </w:p>
        </w:tc>
        <w:tc>
          <w:tcPr>
            <w:tcW w:w="1278" w:type="dxa"/>
            <w:tcBorders>
              <w:top w:val="single" w:sz="6" w:space="0" w:color="auto"/>
              <w:left w:val="single" w:sz="6" w:space="0" w:color="auto"/>
              <w:bottom w:val="single" w:sz="6" w:space="0" w:color="auto"/>
              <w:right w:val="single" w:sz="6" w:space="0" w:color="auto"/>
            </w:tcBorders>
            <w:vAlign w:val="center"/>
          </w:tcPr>
          <w:p w:rsidR="0030355C" w:rsidRPr="00E26529" w:rsidRDefault="0030355C" w:rsidP="0030355C">
            <w:pPr>
              <w:jc w:val="right"/>
            </w:pPr>
            <w:r w:rsidRPr="00E26529">
              <w:t>$1,510</w:t>
            </w:r>
          </w:p>
        </w:tc>
      </w:tr>
      <w:tr w:rsidR="0030355C" w:rsidRPr="00B00C3A">
        <w:trPr>
          <w:trHeight w:val="667"/>
          <w:jc w:val="right"/>
        </w:trPr>
        <w:tc>
          <w:tcPr>
            <w:tcW w:w="3720" w:type="dxa"/>
            <w:tcBorders>
              <w:top w:val="single" w:sz="6" w:space="0" w:color="auto"/>
              <w:left w:val="single" w:sz="6" w:space="0" w:color="auto"/>
              <w:bottom w:val="single" w:sz="6" w:space="0" w:color="auto"/>
              <w:right w:val="single" w:sz="6" w:space="0" w:color="auto"/>
            </w:tcBorders>
          </w:tcPr>
          <w:p w:rsidR="0030355C" w:rsidRPr="00B00C3A" w:rsidRDefault="0030355C" w:rsidP="00BA40DA">
            <w:pPr>
              <w:spacing w:before="120" w:after="120"/>
              <w:rPr>
                <w:sz w:val="18"/>
              </w:rPr>
            </w:pPr>
            <w:r w:rsidRPr="00B00C3A">
              <w:rPr>
                <w:sz w:val="18"/>
              </w:rPr>
              <w:lastRenderedPageBreak/>
              <w:t>1.5. Strengthened capacities to mainstream action into national policies, plans and strategies on the socio-economic causes and consequences of HIV and the linkage to the health MDG</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t>$2,837</w:t>
            </w:r>
          </w:p>
        </w:tc>
        <w:tc>
          <w:tcPr>
            <w:tcW w:w="627"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12%</w:t>
            </w:r>
          </w:p>
        </w:tc>
        <w:tc>
          <w:tcPr>
            <w:tcW w:w="1170"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t>$20,384</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87%</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t>$179</w:t>
            </w:r>
          </w:p>
        </w:tc>
        <w:tc>
          <w:tcPr>
            <w:tcW w:w="630"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1%</w:t>
            </w:r>
          </w:p>
        </w:tc>
        <w:tc>
          <w:tcPr>
            <w:tcW w:w="1257"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t>$15,740</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67%</w:t>
            </w:r>
          </w:p>
        </w:tc>
        <w:tc>
          <w:tcPr>
            <w:tcW w:w="1242" w:type="dxa"/>
            <w:tcBorders>
              <w:top w:val="single" w:sz="6" w:space="0" w:color="auto"/>
              <w:left w:val="single" w:sz="6" w:space="0" w:color="auto"/>
              <w:bottom w:val="single" w:sz="6" w:space="0" w:color="auto"/>
              <w:right w:val="single" w:sz="6" w:space="0" w:color="auto"/>
            </w:tcBorders>
            <w:vAlign w:val="center"/>
          </w:tcPr>
          <w:p w:rsidR="0030355C" w:rsidRPr="00E26529" w:rsidRDefault="0030355C" w:rsidP="0030355C">
            <w:pPr>
              <w:jc w:val="right"/>
            </w:pPr>
            <w:r w:rsidRPr="00E26529">
              <w:t>$7,660</w:t>
            </w:r>
          </w:p>
        </w:tc>
        <w:tc>
          <w:tcPr>
            <w:tcW w:w="1278" w:type="dxa"/>
            <w:tcBorders>
              <w:top w:val="single" w:sz="6" w:space="0" w:color="auto"/>
              <w:left w:val="single" w:sz="6" w:space="0" w:color="auto"/>
              <w:bottom w:val="single" w:sz="6" w:space="0" w:color="auto"/>
              <w:right w:val="single" w:sz="6" w:space="0" w:color="auto"/>
            </w:tcBorders>
            <w:vAlign w:val="center"/>
          </w:tcPr>
          <w:p w:rsidR="0030355C" w:rsidRPr="00E26529" w:rsidRDefault="0030355C" w:rsidP="0030355C">
            <w:pPr>
              <w:jc w:val="right"/>
            </w:pPr>
            <w:r w:rsidRPr="00E26529">
              <w:t>$23,400</w:t>
            </w:r>
          </w:p>
        </w:tc>
      </w:tr>
      <w:tr w:rsidR="0030355C" w:rsidRPr="00B00C3A">
        <w:trPr>
          <w:trHeight w:val="1339"/>
          <w:jc w:val="right"/>
        </w:trPr>
        <w:tc>
          <w:tcPr>
            <w:tcW w:w="3720" w:type="dxa"/>
            <w:tcBorders>
              <w:top w:val="single" w:sz="6" w:space="0" w:color="auto"/>
              <w:left w:val="single" w:sz="6" w:space="0" w:color="auto"/>
              <w:bottom w:val="single" w:sz="6" w:space="0" w:color="auto"/>
              <w:right w:val="single" w:sz="6" w:space="0" w:color="auto"/>
            </w:tcBorders>
          </w:tcPr>
          <w:p w:rsidR="0030355C" w:rsidRPr="00B00C3A" w:rsidRDefault="0030355C" w:rsidP="00BA40DA">
            <w:pPr>
              <w:spacing w:before="120" w:after="120"/>
              <w:rPr>
                <w:sz w:val="18"/>
              </w:rPr>
            </w:pPr>
            <w:r w:rsidRPr="00B00C3A">
              <w:rPr>
                <w:sz w:val="18"/>
              </w:rPr>
              <w:t>1.6. Strengthened national capacity for inclusive governance and coordination of national HIV responses, and for the protection of human rights of people affected by HIV, including women and other vulnerable groups</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t>$4,930</w:t>
            </w:r>
          </w:p>
        </w:tc>
        <w:tc>
          <w:tcPr>
            <w:tcW w:w="627"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2%</w:t>
            </w:r>
          </w:p>
        </w:tc>
        <w:tc>
          <w:tcPr>
            <w:tcW w:w="1170"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t>$220,631</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96%</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t>$3,095</w:t>
            </w:r>
          </w:p>
        </w:tc>
        <w:tc>
          <w:tcPr>
            <w:tcW w:w="630"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1%</w:t>
            </w:r>
          </w:p>
        </w:tc>
        <w:tc>
          <w:tcPr>
            <w:tcW w:w="1257"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t>$167,403</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73%</w:t>
            </w:r>
          </w:p>
        </w:tc>
        <w:tc>
          <w:tcPr>
            <w:tcW w:w="1242" w:type="dxa"/>
            <w:tcBorders>
              <w:top w:val="single" w:sz="6" w:space="0" w:color="auto"/>
              <w:left w:val="single" w:sz="6" w:space="0" w:color="auto"/>
              <w:bottom w:val="single" w:sz="6" w:space="0" w:color="auto"/>
              <w:right w:val="single" w:sz="6" w:space="0" w:color="auto"/>
            </w:tcBorders>
            <w:vAlign w:val="center"/>
          </w:tcPr>
          <w:p w:rsidR="0030355C" w:rsidRPr="00E26529" w:rsidRDefault="0030355C" w:rsidP="0030355C">
            <w:pPr>
              <w:jc w:val="right"/>
            </w:pPr>
            <w:r w:rsidRPr="00E26529">
              <w:t>$61,253</w:t>
            </w:r>
          </w:p>
        </w:tc>
        <w:tc>
          <w:tcPr>
            <w:tcW w:w="1278" w:type="dxa"/>
            <w:tcBorders>
              <w:top w:val="single" w:sz="6" w:space="0" w:color="auto"/>
              <w:left w:val="single" w:sz="6" w:space="0" w:color="auto"/>
              <w:bottom w:val="single" w:sz="6" w:space="0" w:color="auto"/>
              <w:right w:val="single" w:sz="6" w:space="0" w:color="auto"/>
            </w:tcBorders>
            <w:vAlign w:val="center"/>
          </w:tcPr>
          <w:p w:rsidR="0030355C" w:rsidRPr="00E26529" w:rsidRDefault="0030355C" w:rsidP="0030355C">
            <w:pPr>
              <w:jc w:val="right"/>
            </w:pPr>
            <w:r w:rsidRPr="00E26529">
              <w:t>$228,656</w:t>
            </w:r>
          </w:p>
        </w:tc>
      </w:tr>
      <w:tr w:rsidR="0030355C" w:rsidRPr="00B00C3A">
        <w:trPr>
          <w:trHeight w:val="372"/>
          <w:jc w:val="right"/>
        </w:trPr>
        <w:tc>
          <w:tcPr>
            <w:tcW w:w="3720" w:type="dxa"/>
            <w:tcBorders>
              <w:top w:val="single" w:sz="6" w:space="0" w:color="auto"/>
              <w:left w:val="single" w:sz="6" w:space="0" w:color="auto"/>
              <w:bottom w:val="single" w:sz="6" w:space="0" w:color="auto"/>
              <w:right w:val="single" w:sz="6" w:space="0" w:color="auto"/>
            </w:tcBorders>
          </w:tcPr>
          <w:p w:rsidR="0030355C" w:rsidRPr="00B00C3A" w:rsidRDefault="0030355C" w:rsidP="00BA40DA">
            <w:pPr>
              <w:spacing w:before="120" w:after="120"/>
              <w:rPr>
                <w:sz w:val="18"/>
              </w:rPr>
            </w:pPr>
            <w:r w:rsidRPr="00B00C3A">
              <w:rPr>
                <w:sz w:val="18"/>
              </w:rPr>
              <w:t>1.7. Strengthened national capacities for implementation of HIV funds and programmes, including those financed through multilateral initiatives like the Global Fund to fight AIDS, Tuberculosis, and Malaria</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t>$3,210</w:t>
            </w:r>
          </w:p>
        </w:tc>
        <w:tc>
          <w:tcPr>
            <w:tcW w:w="627"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2%</w:t>
            </w:r>
          </w:p>
        </w:tc>
        <w:tc>
          <w:tcPr>
            <w:tcW w:w="1170"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t>$128,864</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97%</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t>$794</w:t>
            </w:r>
          </w:p>
        </w:tc>
        <w:tc>
          <w:tcPr>
            <w:tcW w:w="630"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1%</w:t>
            </w:r>
          </w:p>
        </w:tc>
        <w:tc>
          <w:tcPr>
            <w:tcW w:w="1257" w:type="dxa"/>
            <w:tcBorders>
              <w:top w:val="single" w:sz="6" w:space="0" w:color="auto"/>
              <w:left w:val="single" w:sz="6" w:space="0" w:color="auto"/>
              <w:bottom w:val="single" w:sz="6" w:space="0" w:color="auto"/>
              <w:right w:val="dashed" w:sz="4" w:space="0" w:color="auto"/>
            </w:tcBorders>
            <w:vAlign w:val="center"/>
          </w:tcPr>
          <w:p w:rsidR="0030355C" w:rsidRPr="00E26529" w:rsidRDefault="0030355C" w:rsidP="0030355C">
            <w:pPr>
              <w:jc w:val="right"/>
            </w:pPr>
            <w:r w:rsidRPr="00E26529">
              <w:t>$34,111</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26529" w:rsidRDefault="0030355C" w:rsidP="0030355C">
            <w:pPr>
              <w:jc w:val="center"/>
            </w:pPr>
            <w:r w:rsidRPr="00E26529">
              <w:t>26%</w:t>
            </w:r>
          </w:p>
        </w:tc>
        <w:tc>
          <w:tcPr>
            <w:tcW w:w="1242" w:type="dxa"/>
            <w:tcBorders>
              <w:top w:val="single" w:sz="6" w:space="0" w:color="auto"/>
              <w:left w:val="single" w:sz="6" w:space="0" w:color="auto"/>
              <w:bottom w:val="single" w:sz="6" w:space="0" w:color="auto"/>
              <w:right w:val="single" w:sz="6" w:space="0" w:color="auto"/>
            </w:tcBorders>
            <w:vAlign w:val="center"/>
          </w:tcPr>
          <w:p w:rsidR="0030355C" w:rsidRPr="00E26529" w:rsidRDefault="0030355C" w:rsidP="0030355C">
            <w:pPr>
              <w:jc w:val="right"/>
            </w:pPr>
            <w:r w:rsidRPr="00E26529">
              <w:t>$98,757</w:t>
            </w:r>
          </w:p>
        </w:tc>
        <w:tc>
          <w:tcPr>
            <w:tcW w:w="1278" w:type="dxa"/>
            <w:tcBorders>
              <w:top w:val="single" w:sz="6" w:space="0" w:color="auto"/>
              <w:left w:val="single" w:sz="6" w:space="0" w:color="auto"/>
              <w:bottom w:val="single" w:sz="6" w:space="0" w:color="auto"/>
              <w:right w:val="single" w:sz="6" w:space="0" w:color="auto"/>
            </w:tcBorders>
            <w:vAlign w:val="center"/>
          </w:tcPr>
          <w:p w:rsidR="0030355C" w:rsidRPr="00E26529" w:rsidRDefault="0030355C" w:rsidP="0030355C">
            <w:pPr>
              <w:jc w:val="right"/>
            </w:pPr>
            <w:r w:rsidRPr="00E26529">
              <w:t>$132,868</w:t>
            </w:r>
          </w:p>
        </w:tc>
      </w:tr>
      <w:tr w:rsidR="0030355C" w:rsidRPr="00B00C3A">
        <w:trPr>
          <w:trHeight w:val="278"/>
          <w:jc w:val="right"/>
        </w:trPr>
        <w:tc>
          <w:tcPr>
            <w:tcW w:w="3720" w:type="dxa"/>
            <w:tcBorders>
              <w:top w:val="single" w:sz="6" w:space="0" w:color="auto"/>
              <w:left w:val="single" w:sz="6" w:space="0" w:color="auto"/>
              <w:bottom w:val="double" w:sz="4" w:space="0" w:color="auto"/>
              <w:right w:val="single" w:sz="6" w:space="0" w:color="auto"/>
            </w:tcBorders>
          </w:tcPr>
          <w:p w:rsidR="0030355C" w:rsidRPr="00B00C3A" w:rsidRDefault="0030355C" w:rsidP="00BA40DA">
            <w:pPr>
              <w:widowControl w:val="0"/>
              <w:autoSpaceDE w:val="0"/>
              <w:autoSpaceDN w:val="0"/>
              <w:adjustRightInd w:val="0"/>
              <w:spacing w:before="120" w:after="120" w:line="240" w:lineRule="auto"/>
              <w:rPr>
                <w:rFonts w:cs="Arial"/>
                <w:color w:val="000000"/>
                <w:sz w:val="18"/>
                <w:szCs w:val="18"/>
              </w:rPr>
            </w:pPr>
            <w:r w:rsidRPr="00B00C3A">
              <w:rPr>
                <w:rFonts w:cs="Arial"/>
                <w:color w:val="000000"/>
                <w:sz w:val="18"/>
                <w:szCs w:val="18"/>
              </w:rPr>
              <w:t>Other</w:t>
            </w:r>
          </w:p>
        </w:tc>
        <w:tc>
          <w:tcPr>
            <w:tcW w:w="1155" w:type="dxa"/>
            <w:tcBorders>
              <w:top w:val="single" w:sz="6" w:space="0" w:color="auto"/>
              <w:left w:val="single" w:sz="6" w:space="0" w:color="auto"/>
              <w:bottom w:val="double" w:sz="4" w:space="0" w:color="auto"/>
              <w:right w:val="dashed" w:sz="4" w:space="0" w:color="auto"/>
            </w:tcBorders>
            <w:vAlign w:val="center"/>
          </w:tcPr>
          <w:p w:rsidR="0030355C" w:rsidRPr="00E26529" w:rsidRDefault="0030355C" w:rsidP="00D94E34">
            <w:pPr>
              <w:spacing w:after="0"/>
              <w:jc w:val="right"/>
            </w:pPr>
            <w:r w:rsidRPr="00E26529">
              <w:t>$14,783</w:t>
            </w:r>
          </w:p>
        </w:tc>
        <w:tc>
          <w:tcPr>
            <w:tcW w:w="627" w:type="dxa"/>
            <w:tcBorders>
              <w:top w:val="single" w:sz="6" w:space="0" w:color="auto"/>
              <w:left w:val="dashed" w:sz="4" w:space="0" w:color="auto"/>
              <w:bottom w:val="double" w:sz="4" w:space="0" w:color="auto"/>
              <w:right w:val="single" w:sz="6" w:space="0" w:color="auto"/>
            </w:tcBorders>
            <w:vAlign w:val="center"/>
          </w:tcPr>
          <w:p w:rsidR="0030355C" w:rsidRPr="00E26529" w:rsidRDefault="0030355C" w:rsidP="00D94E34">
            <w:pPr>
              <w:spacing w:after="0"/>
              <w:jc w:val="right"/>
            </w:pPr>
            <w:r w:rsidRPr="00E26529">
              <w:t>20%</w:t>
            </w:r>
          </w:p>
        </w:tc>
        <w:tc>
          <w:tcPr>
            <w:tcW w:w="1170" w:type="dxa"/>
            <w:tcBorders>
              <w:top w:val="single" w:sz="6" w:space="0" w:color="auto"/>
              <w:left w:val="single" w:sz="6" w:space="0" w:color="auto"/>
              <w:bottom w:val="double" w:sz="4" w:space="0" w:color="auto"/>
              <w:right w:val="dashed" w:sz="4" w:space="0" w:color="auto"/>
            </w:tcBorders>
            <w:vAlign w:val="center"/>
          </w:tcPr>
          <w:p w:rsidR="0030355C" w:rsidRPr="00E26529" w:rsidRDefault="0030355C" w:rsidP="00D94E34">
            <w:pPr>
              <w:spacing w:after="0"/>
              <w:jc w:val="right"/>
            </w:pPr>
            <w:r w:rsidRPr="00E26529">
              <w:t>$37,065</w:t>
            </w:r>
          </w:p>
        </w:tc>
        <w:tc>
          <w:tcPr>
            <w:tcW w:w="648" w:type="dxa"/>
            <w:tcBorders>
              <w:top w:val="single" w:sz="6" w:space="0" w:color="auto"/>
              <w:left w:val="dashed" w:sz="4" w:space="0" w:color="auto"/>
              <w:bottom w:val="double" w:sz="4" w:space="0" w:color="auto"/>
              <w:right w:val="single" w:sz="6" w:space="0" w:color="auto"/>
            </w:tcBorders>
            <w:vAlign w:val="center"/>
          </w:tcPr>
          <w:p w:rsidR="0030355C" w:rsidRPr="00E26529" w:rsidRDefault="0030355C" w:rsidP="00D94E34">
            <w:pPr>
              <w:spacing w:after="0"/>
              <w:jc w:val="right"/>
            </w:pPr>
            <w:r w:rsidRPr="00E26529">
              <w:t>49%</w:t>
            </w:r>
          </w:p>
        </w:tc>
        <w:tc>
          <w:tcPr>
            <w:tcW w:w="1155" w:type="dxa"/>
            <w:tcBorders>
              <w:top w:val="single" w:sz="6" w:space="0" w:color="auto"/>
              <w:left w:val="single" w:sz="6" w:space="0" w:color="auto"/>
              <w:bottom w:val="double" w:sz="4" w:space="0" w:color="auto"/>
              <w:right w:val="dashed" w:sz="4" w:space="0" w:color="auto"/>
            </w:tcBorders>
            <w:vAlign w:val="center"/>
          </w:tcPr>
          <w:p w:rsidR="0030355C" w:rsidRPr="00E26529" w:rsidRDefault="0030355C" w:rsidP="00D94E34">
            <w:pPr>
              <w:spacing w:after="0"/>
              <w:jc w:val="right"/>
            </w:pPr>
            <w:r w:rsidRPr="00E26529">
              <w:t>$23,161</w:t>
            </w:r>
          </w:p>
        </w:tc>
        <w:tc>
          <w:tcPr>
            <w:tcW w:w="630" w:type="dxa"/>
            <w:tcBorders>
              <w:top w:val="single" w:sz="6" w:space="0" w:color="auto"/>
              <w:left w:val="dashed" w:sz="4" w:space="0" w:color="auto"/>
              <w:bottom w:val="double" w:sz="4" w:space="0" w:color="auto"/>
              <w:right w:val="single" w:sz="6" w:space="0" w:color="auto"/>
            </w:tcBorders>
            <w:vAlign w:val="center"/>
          </w:tcPr>
          <w:p w:rsidR="0030355C" w:rsidRPr="00E26529" w:rsidRDefault="0030355C" w:rsidP="00D94E34">
            <w:pPr>
              <w:spacing w:after="0"/>
              <w:jc w:val="right"/>
            </w:pPr>
            <w:r w:rsidRPr="00E26529">
              <w:t>31%</w:t>
            </w:r>
          </w:p>
        </w:tc>
        <w:tc>
          <w:tcPr>
            <w:tcW w:w="1257" w:type="dxa"/>
            <w:tcBorders>
              <w:top w:val="single" w:sz="6" w:space="0" w:color="auto"/>
              <w:left w:val="single" w:sz="6" w:space="0" w:color="auto"/>
              <w:bottom w:val="double" w:sz="4" w:space="0" w:color="auto"/>
              <w:right w:val="dashed" w:sz="4" w:space="0" w:color="auto"/>
            </w:tcBorders>
            <w:vAlign w:val="center"/>
          </w:tcPr>
          <w:p w:rsidR="0030355C" w:rsidRPr="00E26529" w:rsidRDefault="0030355C" w:rsidP="00D94E34">
            <w:pPr>
              <w:spacing w:after="0"/>
              <w:jc w:val="right"/>
            </w:pPr>
            <w:r w:rsidRPr="00E26529">
              <w:t>$73,476</w:t>
            </w:r>
          </w:p>
        </w:tc>
        <w:tc>
          <w:tcPr>
            <w:tcW w:w="648" w:type="dxa"/>
            <w:tcBorders>
              <w:top w:val="single" w:sz="6" w:space="0" w:color="auto"/>
              <w:left w:val="dashed" w:sz="4" w:space="0" w:color="auto"/>
              <w:bottom w:val="double" w:sz="4" w:space="0" w:color="auto"/>
              <w:right w:val="single" w:sz="6" w:space="0" w:color="auto"/>
            </w:tcBorders>
            <w:vAlign w:val="center"/>
          </w:tcPr>
          <w:p w:rsidR="0030355C" w:rsidRPr="00E26529" w:rsidRDefault="0030355C" w:rsidP="00D94E34">
            <w:pPr>
              <w:spacing w:after="0"/>
              <w:jc w:val="right"/>
            </w:pPr>
            <w:r w:rsidRPr="00E26529">
              <w:t>98%</w:t>
            </w:r>
          </w:p>
        </w:tc>
        <w:tc>
          <w:tcPr>
            <w:tcW w:w="1242" w:type="dxa"/>
            <w:tcBorders>
              <w:top w:val="single" w:sz="6" w:space="0" w:color="auto"/>
              <w:left w:val="single" w:sz="6" w:space="0" w:color="auto"/>
              <w:bottom w:val="double" w:sz="4" w:space="0" w:color="auto"/>
              <w:right w:val="single" w:sz="6" w:space="0" w:color="auto"/>
            </w:tcBorders>
            <w:vAlign w:val="center"/>
          </w:tcPr>
          <w:p w:rsidR="0030355C" w:rsidRPr="00E26529" w:rsidRDefault="0030355C" w:rsidP="00D94E34">
            <w:pPr>
              <w:spacing w:after="0"/>
              <w:jc w:val="right"/>
            </w:pPr>
            <w:r w:rsidRPr="00E26529">
              <w:t>$1,534</w:t>
            </w:r>
          </w:p>
        </w:tc>
        <w:tc>
          <w:tcPr>
            <w:tcW w:w="1278" w:type="dxa"/>
            <w:tcBorders>
              <w:top w:val="single" w:sz="6" w:space="0" w:color="auto"/>
              <w:left w:val="single" w:sz="6" w:space="0" w:color="auto"/>
              <w:bottom w:val="double" w:sz="4" w:space="0" w:color="auto"/>
              <w:right w:val="single" w:sz="6" w:space="0" w:color="auto"/>
            </w:tcBorders>
            <w:vAlign w:val="center"/>
          </w:tcPr>
          <w:p w:rsidR="0030355C" w:rsidRPr="00E26529" w:rsidRDefault="0030355C" w:rsidP="00D94E34">
            <w:pPr>
              <w:spacing w:after="0"/>
              <w:jc w:val="right"/>
            </w:pPr>
            <w:r w:rsidRPr="00E26529">
              <w:t>$75,010</w:t>
            </w:r>
          </w:p>
        </w:tc>
      </w:tr>
      <w:tr w:rsidR="0030355C" w:rsidRPr="00B00C3A">
        <w:trPr>
          <w:trHeight w:val="278"/>
          <w:jc w:val="right"/>
        </w:trPr>
        <w:tc>
          <w:tcPr>
            <w:tcW w:w="3720" w:type="dxa"/>
            <w:tcBorders>
              <w:top w:val="double" w:sz="4" w:space="0" w:color="auto"/>
              <w:left w:val="single" w:sz="6" w:space="0" w:color="auto"/>
              <w:bottom w:val="single" w:sz="6" w:space="0" w:color="auto"/>
              <w:right w:val="single" w:sz="6" w:space="0" w:color="auto"/>
            </w:tcBorders>
            <w:shd w:val="clear" w:color="C0C0C0" w:fill="auto"/>
          </w:tcPr>
          <w:p w:rsidR="0030355C" w:rsidRPr="00B00C3A" w:rsidRDefault="0030355C" w:rsidP="00BA40DA">
            <w:pPr>
              <w:widowControl w:val="0"/>
              <w:autoSpaceDE w:val="0"/>
              <w:autoSpaceDN w:val="0"/>
              <w:adjustRightInd w:val="0"/>
              <w:spacing w:before="120" w:after="120" w:line="240" w:lineRule="auto"/>
              <w:rPr>
                <w:rFonts w:cs="Arial"/>
                <w:b/>
                <w:bCs/>
                <w:color w:val="000000"/>
                <w:sz w:val="20"/>
                <w:szCs w:val="20"/>
              </w:rPr>
            </w:pPr>
            <w:r w:rsidRPr="00B00C3A">
              <w:rPr>
                <w:rFonts w:cs="Arial"/>
                <w:b/>
                <w:bCs/>
                <w:color w:val="000000"/>
                <w:sz w:val="20"/>
                <w:szCs w:val="20"/>
              </w:rPr>
              <w:t>Focus area 1 total</w:t>
            </w:r>
          </w:p>
        </w:tc>
        <w:tc>
          <w:tcPr>
            <w:tcW w:w="1155" w:type="dxa"/>
            <w:tcBorders>
              <w:top w:val="double" w:sz="4" w:space="0" w:color="auto"/>
              <w:left w:val="single" w:sz="6" w:space="0" w:color="auto"/>
              <w:bottom w:val="single" w:sz="6" w:space="0" w:color="auto"/>
              <w:right w:val="dashed" w:sz="4" w:space="0" w:color="auto"/>
            </w:tcBorders>
            <w:shd w:val="clear" w:color="C0C0C0" w:fill="auto"/>
            <w:vAlign w:val="center"/>
          </w:tcPr>
          <w:p w:rsidR="0030355C" w:rsidRPr="0030355C" w:rsidRDefault="0030355C" w:rsidP="00D94E34">
            <w:pPr>
              <w:spacing w:after="0"/>
              <w:jc w:val="right"/>
              <w:rPr>
                <w:b/>
              </w:rPr>
            </w:pPr>
            <w:r w:rsidRPr="0030355C">
              <w:rPr>
                <w:b/>
              </w:rPr>
              <w:t>$154,236</w:t>
            </w:r>
          </w:p>
        </w:tc>
        <w:tc>
          <w:tcPr>
            <w:tcW w:w="627" w:type="dxa"/>
            <w:tcBorders>
              <w:top w:val="double" w:sz="4" w:space="0" w:color="auto"/>
              <w:left w:val="dashed" w:sz="4" w:space="0" w:color="auto"/>
              <w:bottom w:val="single" w:sz="6" w:space="0" w:color="auto"/>
              <w:right w:val="single" w:sz="6" w:space="0" w:color="auto"/>
            </w:tcBorders>
            <w:shd w:val="clear" w:color="C0C0C0" w:fill="auto"/>
            <w:vAlign w:val="center"/>
          </w:tcPr>
          <w:p w:rsidR="0030355C" w:rsidRPr="0030355C" w:rsidRDefault="0030355C" w:rsidP="00D94E34">
            <w:pPr>
              <w:spacing w:after="0"/>
              <w:jc w:val="right"/>
              <w:rPr>
                <w:b/>
              </w:rPr>
            </w:pPr>
            <w:r w:rsidRPr="0030355C">
              <w:rPr>
                <w:b/>
              </w:rPr>
              <w:t>11%</w:t>
            </w:r>
          </w:p>
        </w:tc>
        <w:tc>
          <w:tcPr>
            <w:tcW w:w="1170" w:type="dxa"/>
            <w:tcBorders>
              <w:top w:val="double" w:sz="4" w:space="0" w:color="auto"/>
              <w:left w:val="single" w:sz="6" w:space="0" w:color="auto"/>
              <w:bottom w:val="single" w:sz="6" w:space="0" w:color="auto"/>
              <w:right w:val="dashed" w:sz="4" w:space="0" w:color="auto"/>
            </w:tcBorders>
            <w:shd w:val="clear" w:color="C0C0C0" w:fill="auto"/>
            <w:vAlign w:val="center"/>
          </w:tcPr>
          <w:p w:rsidR="0030355C" w:rsidRPr="0030355C" w:rsidRDefault="0030355C" w:rsidP="00D94E34">
            <w:pPr>
              <w:spacing w:after="0"/>
              <w:jc w:val="right"/>
              <w:rPr>
                <w:b/>
              </w:rPr>
            </w:pPr>
            <w:r w:rsidRPr="0030355C">
              <w:rPr>
                <w:b/>
              </w:rPr>
              <w:t>$778,385</w:t>
            </w:r>
          </w:p>
        </w:tc>
        <w:tc>
          <w:tcPr>
            <w:tcW w:w="648" w:type="dxa"/>
            <w:tcBorders>
              <w:top w:val="double" w:sz="4" w:space="0" w:color="auto"/>
              <w:left w:val="dashed" w:sz="4" w:space="0" w:color="auto"/>
              <w:bottom w:val="single" w:sz="6" w:space="0" w:color="auto"/>
              <w:right w:val="single" w:sz="6" w:space="0" w:color="auto"/>
            </w:tcBorders>
            <w:shd w:val="clear" w:color="C0C0C0" w:fill="auto"/>
            <w:vAlign w:val="center"/>
          </w:tcPr>
          <w:p w:rsidR="0030355C" w:rsidRPr="0030355C" w:rsidRDefault="0030355C" w:rsidP="00D94E34">
            <w:pPr>
              <w:spacing w:after="0"/>
              <w:jc w:val="right"/>
              <w:rPr>
                <w:b/>
              </w:rPr>
            </w:pPr>
            <w:r w:rsidRPr="0030355C">
              <w:rPr>
                <w:b/>
              </w:rPr>
              <w:t>57%</w:t>
            </w:r>
          </w:p>
        </w:tc>
        <w:tc>
          <w:tcPr>
            <w:tcW w:w="1155" w:type="dxa"/>
            <w:tcBorders>
              <w:top w:val="double" w:sz="4" w:space="0" w:color="auto"/>
              <w:left w:val="single" w:sz="6" w:space="0" w:color="auto"/>
              <w:bottom w:val="single" w:sz="6" w:space="0" w:color="auto"/>
              <w:right w:val="dashed" w:sz="4" w:space="0" w:color="auto"/>
            </w:tcBorders>
            <w:shd w:val="clear" w:color="C0C0C0" w:fill="auto"/>
            <w:vAlign w:val="center"/>
          </w:tcPr>
          <w:p w:rsidR="0030355C" w:rsidRPr="0030355C" w:rsidRDefault="0030355C" w:rsidP="00D94E34">
            <w:pPr>
              <w:spacing w:after="0"/>
              <w:jc w:val="right"/>
              <w:rPr>
                <w:b/>
              </w:rPr>
            </w:pPr>
            <w:r w:rsidRPr="0030355C">
              <w:rPr>
                <w:b/>
              </w:rPr>
              <w:t>$424,598</w:t>
            </w:r>
          </w:p>
        </w:tc>
        <w:tc>
          <w:tcPr>
            <w:tcW w:w="630" w:type="dxa"/>
            <w:tcBorders>
              <w:top w:val="double" w:sz="4" w:space="0" w:color="auto"/>
              <w:left w:val="dashed" w:sz="4" w:space="0" w:color="auto"/>
              <w:bottom w:val="single" w:sz="6" w:space="0" w:color="auto"/>
              <w:right w:val="single" w:sz="6" w:space="0" w:color="auto"/>
            </w:tcBorders>
            <w:shd w:val="clear" w:color="C0C0C0" w:fill="auto"/>
            <w:vAlign w:val="center"/>
          </w:tcPr>
          <w:p w:rsidR="0030355C" w:rsidRPr="0030355C" w:rsidRDefault="0030355C" w:rsidP="00D94E34">
            <w:pPr>
              <w:spacing w:after="0"/>
              <w:jc w:val="right"/>
              <w:rPr>
                <w:b/>
              </w:rPr>
            </w:pPr>
            <w:r w:rsidRPr="0030355C">
              <w:rPr>
                <w:b/>
              </w:rPr>
              <w:t>31%</w:t>
            </w:r>
          </w:p>
        </w:tc>
        <w:tc>
          <w:tcPr>
            <w:tcW w:w="1257" w:type="dxa"/>
            <w:tcBorders>
              <w:top w:val="double" w:sz="4" w:space="0" w:color="auto"/>
              <w:left w:val="single" w:sz="6" w:space="0" w:color="auto"/>
              <w:bottom w:val="single" w:sz="6" w:space="0" w:color="auto"/>
              <w:right w:val="dashed" w:sz="4" w:space="0" w:color="auto"/>
            </w:tcBorders>
            <w:shd w:val="clear" w:color="C0C0C0" w:fill="auto"/>
            <w:vAlign w:val="center"/>
          </w:tcPr>
          <w:p w:rsidR="0030355C" w:rsidRPr="0030355C" w:rsidRDefault="0030355C" w:rsidP="00D94E34">
            <w:pPr>
              <w:spacing w:after="0"/>
              <w:jc w:val="right"/>
              <w:rPr>
                <w:b/>
              </w:rPr>
            </w:pPr>
            <w:r w:rsidRPr="0030355C">
              <w:rPr>
                <w:b/>
              </w:rPr>
              <w:t>$871,943</w:t>
            </w:r>
          </w:p>
        </w:tc>
        <w:tc>
          <w:tcPr>
            <w:tcW w:w="648" w:type="dxa"/>
            <w:tcBorders>
              <w:top w:val="double" w:sz="4" w:space="0" w:color="auto"/>
              <w:left w:val="dashed" w:sz="4" w:space="0" w:color="auto"/>
              <w:bottom w:val="single" w:sz="6" w:space="0" w:color="auto"/>
              <w:right w:val="single" w:sz="6" w:space="0" w:color="auto"/>
            </w:tcBorders>
            <w:shd w:val="clear" w:color="C0C0C0" w:fill="auto"/>
            <w:vAlign w:val="center"/>
          </w:tcPr>
          <w:p w:rsidR="0030355C" w:rsidRPr="0030355C" w:rsidRDefault="0030355C" w:rsidP="00D94E34">
            <w:pPr>
              <w:spacing w:after="0"/>
              <w:jc w:val="right"/>
              <w:rPr>
                <w:b/>
              </w:rPr>
            </w:pPr>
            <w:r w:rsidRPr="0030355C">
              <w:rPr>
                <w:b/>
              </w:rPr>
              <w:t>64%</w:t>
            </w:r>
          </w:p>
        </w:tc>
        <w:tc>
          <w:tcPr>
            <w:tcW w:w="1242" w:type="dxa"/>
            <w:tcBorders>
              <w:top w:val="double" w:sz="4" w:space="0" w:color="auto"/>
              <w:left w:val="single" w:sz="6" w:space="0" w:color="auto"/>
              <w:bottom w:val="single" w:sz="6" w:space="0" w:color="auto"/>
              <w:right w:val="single" w:sz="6" w:space="0" w:color="auto"/>
            </w:tcBorders>
            <w:shd w:val="clear" w:color="C0C0C0" w:fill="auto"/>
            <w:vAlign w:val="center"/>
          </w:tcPr>
          <w:p w:rsidR="0030355C" w:rsidRPr="0030355C" w:rsidRDefault="0030355C" w:rsidP="00D94E34">
            <w:pPr>
              <w:spacing w:after="0"/>
              <w:jc w:val="right"/>
              <w:rPr>
                <w:b/>
              </w:rPr>
            </w:pPr>
            <w:r w:rsidRPr="0030355C">
              <w:rPr>
                <w:b/>
              </w:rPr>
              <w:t>$485,276</w:t>
            </w:r>
          </w:p>
        </w:tc>
        <w:tc>
          <w:tcPr>
            <w:tcW w:w="1278" w:type="dxa"/>
            <w:tcBorders>
              <w:top w:val="double" w:sz="4" w:space="0" w:color="auto"/>
              <w:left w:val="single" w:sz="6" w:space="0" w:color="auto"/>
              <w:bottom w:val="single" w:sz="6" w:space="0" w:color="auto"/>
              <w:right w:val="single" w:sz="6" w:space="0" w:color="auto"/>
            </w:tcBorders>
            <w:shd w:val="clear" w:color="C0C0C0" w:fill="auto"/>
            <w:vAlign w:val="center"/>
          </w:tcPr>
          <w:p w:rsidR="0030355C" w:rsidRPr="0030355C" w:rsidRDefault="0030355C" w:rsidP="00D94E34">
            <w:pPr>
              <w:spacing w:after="0"/>
              <w:jc w:val="right"/>
              <w:rPr>
                <w:b/>
              </w:rPr>
            </w:pPr>
            <w:r w:rsidRPr="0030355C">
              <w:rPr>
                <w:b/>
              </w:rPr>
              <w:t>$1,357,220</w:t>
            </w:r>
          </w:p>
        </w:tc>
      </w:tr>
      <w:tr w:rsidR="00CD2E95" w:rsidRPr="00B00C3A">
        <w:trPr>
          <w:trHeight w:val="298"/>
          <w:jc w:val="right"/>
        </w:trPr>
        <w:tc>
          <w:tcPr>
            <w:tcW w:w="13530" w:type="dxa"/>
            <w:gridSpan w:val="11"/>
            <w:tcBorders>
              <w:top w:val="single" w:sz="6" w:space="0" w:color="auto"/>
              <w:left w:val="single" w:sz="6" w:space="0" w:color="auto"/>
              <w:bottom w:val="single" w:sz="6" w:space="0" w:color="auto"/>
              <w:right w:val="single" w:sz="6" w:space="0" w:color="auto"/>
            </w:tcBorders>
            <w:shd w:val="clear" w:color="C0C0C0" w:fill="D9D9D9" w:themeFill="background1" w:themeFillShade="D9"/>
          </w:tcPr>
          <w:p w:rsidR="00CD2E95" w:rsidRPr="00B00C3A" w:rsidRDefault="00CD2E95" w:rsidP="00BA40DA">
            <w:pPr>
              <w:widowControl w:val="0"/>
              <w:autoSpaceDE w:val="0"/>
              <w:autoSpaceDN w:val="0"/>
              <w:adjustRightInd w:val="0"/>
              <w:spacing w:before="120" w:after="120" w:line="240" w:lineRule="auto"/>
              <w:jc w:val="center"/>
              <w:rPr>
                <w:rFonts w:cs="Calibri"/>
                <w:color w:val="000000"/>
                <w:sz w:val="20"/>
                <w:szCs w:val="20"/>
              </w:rPr>
            </w:pPr>
            <w:r w:rsidRPr="00B00C3A">
              <w:rPr>
                <w:rFonts w:cs="Arial"/>
                <w:b/>
                <w:bCs/>
                <w:color w:val="000000"/>
                <w:sz w:val="20"/>
                <w:szCs w:val="20"/>
              </w:rPr>
              <w:t>Focus area 2: Fostering democratic governance</w:t>
            </w:r>
          </w:p>
        </w:tc>
      </w:tr>
      <w:tr w:rsidR="0030355C" w:rsidRPr="00B00C3A">
        <w:trPr>
          <w:trHeight w:val="792"/>
          <w:jc w:val="right"/>
        </w:trPr>
        <w:tc>
          <w:tcPr>
            <w:tcW w:w="3720" w:type="dxa"/>
            <w:tcBorders>
              <w:top w:val="single" w:sz="6" w:space="0" w:color="auto"/>
              <w:left w:val="single" w:sz="6" w:space="0" w:color="auto"/>
              <w:bottom w:val="single" w:sz="6" w:space="0" w:color="auto"/>
              <w:right w:val="single" w:sz="6" w:space="0" w:color="auto"/>
            </w:tcBorders>
          </w:tcPr>
          <w:p w:rsidR="0030355C" w:rsidRPr="00B00C3A" w:rsidRDefault="0030355C" w:rsidP="00BA40DA">
            <w:pPr>
              <w:spacing w:before="120" w:after="120"/>
              <w:rPr>
                <w:sz w:val="18"/>
              </w:rPr>
            </w:pPr>
            <w:r w:rsidRPr="00B00C3A">
              <w:rPr>
                <w:sz w:val="18"/>
              </w:rPr>
              <w:t>2.1. Civil society, including civil society organi</w:t>
            </w:r>
            <w:r>
              <w:rPr>
                <w:sz w:val="18"/>
              </w:rPr>
              <w:t>s</w:t>
            </w:r>
            <w:r w:rsidRPr="00B00C3A">
              <w:rPr>
                <w:sz w:val="18"/>
              </w:rPr>
              <w:t xml:space="preserve">ations and voluntary associations, and the private sector contribute to the MDGs in support of national planning strategies and </w:t>
            </w:r>
            <w:r w:rsidRPr="00B00C3A">
              <w:rPr>
                <w:sz w:val="18"/>
              </w:rPr>
              <w:lastRenderedPageBreak/>
              <w:t>policies</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lastRenderedPageBreak/>
              <w:t>$2,540</w:t>
            </w:r>
          </w:p>
        </w:tc>
        <w:tc>
          <w:tcPr>
            <w:tcW w:w="627"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13%</w:t>
            </w:r>
          </w:p>
        </w:tc>
        <w:tc>
          <w:tcPr>
            <w:tcW w:w="1170"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$10,248</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54%</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$6,304</w:t>
            </w:r>
          </w:p>
        </w:tc>
        <w:tc>
          <w:tcPr>
            <w:tcW w:w="630"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33%</w:t>
            </w:r>
          </w:p>
        </w:tc>
        <w:tc>
          <w:tcPr>
            <w:tcW w:w="1257"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$16,598</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87%</w:t>
            </w:r>
          </w:p>
        </w:tc>
        <w:tc>
          <w:tcPr>
            <w:tcW w:w="1242" w:type="dxa"/>
            <w:tcBorders>
              <w:top w:val="single" w:sz="6" w:space="0" w:color="auto"/>
              <w:left w:val="single" w:sz="6" w:space="0" w:color="auto"/>
              <w:bottom w:val="single" w:sz="6" w:space="0" w:color="auto"/>
              <w:right w:val="single" w:sz="6" w:space="0" w:color="auto"/>
            </w:tcBorders>
            <w:vAlign w:val="center"/>
          </w:tcPr>
          <w:p w:rsidR="0030355C" w:rsidRPr="00EC5B12" w:rsidRDefault="0030355C" w:rsidP="0030355C">
            <w:pPr>
              <w:jc w:val="right"/>
            </w:pPr>
            <w:r w:rsidRPr="00EC5B12">
              <w:t>$2,493</w:t>
            </w:r>
          </w:p>
        </w:tc>
        <w:tc>
          <w:tcPr>
            <w:tcW w:w="1278" w:type="dxa"/>
            <w:tcBorders>
              <w:top w:val="single" w:sz="6" w:space="0" w:color="auto"/>
              <w:left w:val="single" w:sz="6" w:space="0" w:color="auto"/>
              <w:bottom w:val="single" w:sz="6" w:space="0" w:color="auto"/>
              <w:right w:val="single" w:sz="6" w:space="0" w:color="auto"/>
            </w:tcBorders>
            <w:vAlign w:val="center"/>
          </w:tcPr>
          <w:p w:rsidR="0030355C" w:rsidRPr="00EC5B12" w:rsidRDefault="0030355C" w:rsidP="0030355C">
            <w:pPr>
              <w:jc w:val="right"/>
            </w:pPr>
            <w:r w:rsidRPr="00EC5B12">
              <w:t>$19,091</w:t>
            </w:r>
          </w:p>
        </w:tc>
      </w:tr>
      <w:tr w:rsidR="0030355C" w:rsidRPr="00B00C3A">
        <w:trPr>
          <w:trHeight w:val="595"/>
          <w:jc w:val="right"/>
        </w:trPr>
        <w:tc>
          <w:tcPr>
            <w:tcW w:w="3720" w:type="dxa"/>
            <w:tcBorders>
              <w:top w:val="single" w:sz="6" w:space="0" w:color="auto"/>
              <w:left w:val="single" w:sz="6" w:space="0" w:color="auto"/>
              <w:bottom w:val="single" w:sz="6" w:space="0" w:color="auto"/>
              <w:right w:val="single" w:sz="6" w:space="0" w:color="auto"/>
            </w:tcBorders>
          </w:tcPr>
          <w:p w:rsidR="0030355C" w:rsidRPr="00B00C3A" w:rsidRDefault="0030355C" w:rsidP="00BA40DA">
            <w:pPr>
              <w:spacing w:before="120" w:after="120"/>
              <w:rPr>
                <w:sz w:val="18"/>
              </w:rPr>
            </w:pPr>
            <w:r w:rsidRPr="00B00C3A">
              <w:rPr>
                <w:sz w:val="18"/>
              </w:rPr>
              <w:lastRenderedPageBreak/>
              <w:t>2.2. Electoral laws, processes and institutions strengthen inclusive participation and professional electoral administration</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$21,219</w:t>
            </w:r>
          </w:p>
        </w:tc>
        <w:tc>
          <w:tcPr>
            <w:tcW w:w="627"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13%</w:t>
            </w:r>
          </w:p>
        </w:tc>
        <w:tc>
          <w:tcPr>
            <w:tcW w:w="1170"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$117,061</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74%</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$20,313</w:t>
            </w:r>
          </w:p>
        </w:tc>
        <w:tc>
          <w:tcPr>
            <w:tcW w:w="630"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13%</w:t>
            </w:r>
          </w:p>
        </w:tc>
        <w:tc>
          <w:tcPr>
            <w:tcW w:w="1257"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$66,500</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42%</w:t>
            </w:r>
          </w:p>
        </w:tc>
        <w:tc>
          <w:tcPr>
            <w:tcW w:w="1242" w:type="dxa"/>
            <w:tcBorders>
              <w:top w:val="single" w:sz="6" w:space="0" w:color="auto"/>
              <w:left w:val="single" w:sz="6" w:space="0" w:color="auto"/>
              <w:bottom w:val="single" w:sz="6" w:space="0" w:color="auto"/>
              <w:right w:val="single" w:sz="6" w:space="0" w:color="auto"/>
            </w:tcBorders>
            <w:vAlign w:val="center"/>
          </w:tcPr>
          <w:p w:rsidR="0030355C" w:rsidRPr="00EC5B12" w:rsidRDefault="0030355C" w:rsidP="0030355C">
            <w:pPr>
              <w:jc w:val="right"/>
            </w:pPr>
            <w:r w:rsidRPr="00EC5B12">
              <w:t>$92,093</w:t>
            </w:r>
          </w:p>
        </w:tc>
        <w:tc>
          <w:tcPr>
            <w:tcW w:w="1278" w:type="dxa"/>
            <w:tcBorders>
              <w:top w:val="single" w:sz="6" w:space="0" w:color="auto"/>
              <w:left w:val="single" w:sz="6" w:space="0" w:color="auto"/>
              <w:bottom w:val="single" w:sz="6" w:space="0" w:color="auto"/>
              <w:right w:val="single" w:sz="6" w:space="0" w:color="auto"/>
            </w:tcBorders>
            <w:vAlign w:val="center"/>
          </w:tcPr>
          <w:p w:rsidR="0030355C" w:rsidRPr="00EC5B12" w:rsidRDefault="0030355C" w:rsidP="0030355C">
            <w:pPr>
              <w:jc w:val="right"/>
            </w:pPr>
            <w:r w:rsidRPr="00EC5B12">
              <w:t>$158,593</w:t>
            </w:r>
          </w:p>
        </w:tc>
      </w:tr>
      <w:tr w:rsidR="0030355C" w:rsidRPr="00B00C3A">
        <w:trPr>
          <w:trHeight w:val="394"/>
          <w:jc w:val="right"/>
        </w:trPr>
        <w:tc>
          <w:tcPr>
            <w:tcW w:w="3720" w:type="dxa"/>
            <w:tcBorders>
              <w:top w:val="single" w:sz="6" w:space="0" w:color="auto"/>
              <w:left w:val="single" w:sz="6" w:space="0" w:color="auto"/>
              <w:bottom w:val="single" w:sz="6" w:space="0" w:color="auto"/>
              <w:right w:val="single" w:sz="6" w:space="0" w:color="auto"/>
            </w:tcBorders>
          </w:tcPr>
          <w:p w:rsidR="0030355C" w:rsidRPr="00B00C3A" w:rsidRDefault="0030355C" w:rsidP="00BA40DA">
            <w:pPr>
              <w:spacing w:before="120" w:after="120"/>
              <w:rPr>
                <w:sz w:val="18"/>
              </w:rPr>
            </w:pPr>
            <w:r w:rsidRPr="00B00C3A">
              <w:rPr>
                <w:sz w:val="18"/>
              </w:rPr>
              <w:t>2.3. Access to information policies support accountability and transparency</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$1,191</w:t>
            </w:r>
          </w:p>
        </w:tc>
        <w:tc>
          <w:tcPr>
            <w:tcW w:w="627"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2%</w:t>
            </w:r>
          </w:p>
        </w:tc>
        <w:tc>
          <w:tcPr>
            <w:tcW w:w="1170"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$6,917</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14%</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$40,248</w:t>
            </w:r>
          </w:p>
        </w:tc>
        <w:tc>
          <w:tcPr>
            <w:tcW w:w="630"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83%</w:t>
            </w:r>
          </w:p>
        </w:tc>
        <w:tc>
          <w:tcPr>
            <w:tcW w:w="1257"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$47,514</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98%</w:t>
            </w:r>
          </w:p>
        </w:tc>
        <w:tc>
          <w:tcPr>
            <w:tcW w:w="1242" w:type="dxa"/>
            <w:tcBorders>
              <w:top w:val="single" w:sz="6" w:space="0" w:color="auto"/>
              <w:left w:val="single" w:sz="6" w:space="0" w:color="auto"/>
              <w:bottom w:val="single" w:sz="6" w:space="0" w:color="auto"/>
              <w:right w:val="single" w:sz="6" w:space="0" w:color="auto"/>
            </w:tcBorders>
            <w:vAlign w:val="center"/>
          </w:tcPr>
          <w:p w:rsidR="0030355C" w:rsidRPr="00EC5B12" w:rsidRDefault="0030355C" w:rsidP="0030355C">
            <w:pPr>
              <w:jc w:val="right"/>
            </w:pPr>
            <w:r w:rsidRPr="00EC5B12">
              <w:t>$842</w:t>
            </w:r>
          </w:p>
        </w:tc>
        <w:tc>
          <w:tcPr>
            <w:tcW w:w="1278" w:type="dxa"/>
            <w:tcBorders>
              <w:top w:val="single" w:sz="6" w:space="0" w:color="auto"/>
              <w:left w:val="single" w:sz="6" w:space="0" w:color="auto"/>
              <w:bottom w:val="single" w:sz="6" w:space="0" w:color="auto"/>
              <w:right w:val="single" w:sz="6" w:space="0" w:color="auto"/>
            </w:tcBorders>
            <w:vAlign w:val="center"/>
          </w:tcPr>
          <w:p w:rsidR="0030355C" w:rsidRPr="00EC5B12" w:rsidRDefault="0030355C" w:rsidP="0030355C">
            <w:pPr>
              <w:jc w:val="right"/>
            </w:pPr>
            <w:r w:rsidRPr="00EC5B12">
              <w:t>$48,356</w:t>
            </w:r>
          </w:p>
        </w:tc>
      </w:tr>
      <w:tr w:rsidR="0030355C" w:rsidRPr="00B00C3A">
        <w:trPr>
          <w:trHeight w:val="595"/>
          <w:jc w:val="right"/>
        </w:trPr>
        <w:tc>
          <w:tcPr>
            <w:tcW w:w="3720" w:type="dxa"/>
            <w:tcBorders>
              <w:top w:val="single" w:sz="6" w:space="0" w:color="auto"/>
              <w:left w:val="single" w:sz="6" w:space="0" w:color="auto"/>
              <w:bottom w:val="single" w:sz="6" w:space="0" w:color="auto"/>
              <w:right w:val="single" w:sz="6" w:space="0" w:color="auto"/>
            </w:tcBorders>
          </w:tcPr>
          <w:p w:rsidR="0030355C" w:rsidRPr="00B00C3A" w:rsidRDefault="0030355C" w:rsidP="00BA40DA">
            <w:pPr>
              <w:spacing w:before="120" w:after="120"/>
              <w:rPr>
                <w:sz w:val="18"/>
              </w:rPr>
            </w:pPr>
            <w:r w:rsidRPr="00B00C3A">
              <w:rPr>
                <w:sz w:val="18"/>
              </w:rPr>
              <w:t>2.4. National, regional and local levels of governance expand their capacities to manage the equitable delivery of public services</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$63,121</w:t>
            </w:r>
          </w:p>
        </w:tc>
        <w:tc>
          <w:tcPr>
            <w:tcW w:w="627"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20%</w:t>
            </w:r>
          </w:p>
        </w:tc>
        <w:tc>
          <w:tcPr>
            <w:tcW w:w="1170"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$150,175</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48%</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$100,041</w:t>
            </w:r>
          </w:p>
        </w:tc>
        <w:tc>
          <w:tcPr>
            <w:tcW w:w="630"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32%</w:t>
            </w:r>
          </w:p>
        </w:tc>
        <w:tc>
          <w:tcPr>
            <w:tcW w:w="1257"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$179,397</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57%</w:t>
            </w:r>
          </w:p>
        </w:tc>
        <w:tc>
          <w:tcPr>
            <w:tcW w:w="1242" w:type="dxa"/>
            <w:tcBorders>
              <w:top w:val="single" w:sz="6" w:space="0" w:color="auto"/>
              <w:left w:val="single" w:sz="6" w:space="0" w:color="auto"/>
              <w:bottom w:val="single" w:sz="6" w:space="0" w:color="auto"/>
              <w:right w:val="single" w:sz="6" w:space="0" w:color="auto"/>
            </w:tcBorders>
            <w:vAlign w:val="center"/>
          </w:tcPr>
          <w:p w:rsidR="0030355C" w:rsidRPr="00EC5B12" w:rsidRDefault="0030355C" w:rsidP="0030355C">
            <w:pPr>
              <w:jc w:val="right"/>
            </w:pPr>
            <w:r w:rsidRPr="00EC5B12">
              <w:t>$133,940</w:t>
            </w:r>
          </w:p>
        </w:tc>
        <w:tc>
          <w:tcPr>
            <w:tcW w:w="1278" w:type="dxa"/>
            <w:tcBorders>
              <w:top w:val="single" w:sz="6" w:space="0" w:color="auto"/>
              <w:left w:val="single" w:sz="6" w:space="0" w:color="auto"/>
              <w:bottom w:val="single" w:sz="6" w:space="0" w:color="auto"/>
              <w:right w:val="single" w:sz="6" w:space="0" w:color="auto"/>
            </w:tcBorders>
            <w:vAlign w:val="center"/>
          </w:tcPr>
          <w:p w:rsidR="0030355C" w:rsidRPr="00EC5B12" w:rsidRDefault="0030355C" w:rsidP="0030355C">
            <w:pPr>
              <w:jc w:val="right"/>
            </w:pPr>
            <w:r w:rsidRPr="00EC5B12">
              <w:t>$313,337</w:t>
            </w:r>
          </w:p>
        </w:tc>
      </w:tr>
      <w:tr w:rsidR="0030355C" w:rsidRPr="00B00C3A">
        <w:trPr>
          <w:trHeight w:val="792"/>
          <w:jc w:val="right"/>
        </w:trPr>
        <w:tc>
          <w:tcPr>
            <w:tcW w:w="3720" w:type="dxa"/>
            <w:tcBorders>
              <w:top w:val="single" w:sz="6" w:space="0" w:color="auto"/>
              <w:left w:val="single" w:sz="6" w:space="0" w:color="auto"/>
              <w:bottom w:val="single" w:sz="6" w:space="0" w:color="auto"/>
              <w:right w:val="single" w:sz="6" w:space="0" w:color="auto"/>
            </w:tcBorders>
          </w:tcPr>
          <w:p w:rsidR="0030355C" w:rsidRPr="00B00C3A" w:rsidRDefault="0030355C" w:rsidP="00BA40DA">
            <w:pPr>
              <w:spacing w:before="120" w:after="120"/>
              <w:rPr>
                <w:sz w:val="18"/>
              </w:rPr>
            </w:pPr>
            <w:r w:rsidRPr="00B00C3A">
              <w:rPr>
                <w:sz w:val="18"/>
              </w:rPr>
              <w:t>2.5. Legislatures, regional elected bodies, and local assemblies have strengthened institutional capacity, enabling them to represent their constituents more effectively</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$16,168</w:t>
            </w:r>
          </w:p>
        </w:tc>
        <w:tc>
          <w:tcPr>
            <w:tcW w:w="627"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20%</w:t>
            </w:r>
          </w:p>
        </w:tc>
        <w:tc>
          <w:tcPr>
            <w:tcW w:w="1170"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$51,911</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64%</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$12,783</w:t>
            </w:r>
          </w:p>
        </w:tc>
        <w:tc>
          <w:tcPr>
            <w:tcW w:w="630"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16%</w:t>
            </w:r>
          </w:p>
        </w:tc>
        <w:tc>
          <w:tcPr>
            <w:tcW w:w="1257"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$33,026</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41%</w:t>
            </w:r>
          </w:p>
        </w:tc>
        <w:tc>
          <w:tcPr>
            <w:tcW w:w="1242" w:type="dxa"/>
            <w:tcBorders>
              <w:top w:val="single" w:sz="6" w:space="0" w:color="auto"/>
              <w:left w:val="single" w:sz="6" w:space="0" w:color="auto"/>
              <w:bottom w:val="single" w:sz="6" w:space="0" w:color="auto"/>
              <w:right w:val="single" w:sz="6" w:space="0" w:color="auto"/>
            </w:tcBorders>
            <w:vAlign w:val="center"/>
          </w:tcPr>
          <w:p w:rsidR="0030355C" w:rsidRPr="00EC5B12" w:rsidRDefault="0030355C" w:rsidP="0030355C">
            <w:pPr>
              <w:jc w:val="right"/>
            </w:pPr>
            <w:r w:rsidRPr="00EC5B12">
              <w:t>$47,835</w:t>
            </w:r>
          </w:p>
        </w:tc>
        <w:tc>
          <w:tcPr>
            <w:tcW w:w="1278" w:type="dxa"/>
            <w:tcBorders>
              <w:top w:val="single" w:sz="6" w:space="0" w:color="auto"/>
              <w:left w:val="single" w:sz="6" w:space="0" w:color="auto"/>
              <w:bottom w:val="single" w:sz="6" w:space="0" w:color="auto"/>
              <w:right w:val="single" w:sz="6" w:space="0" w:color="auto"/>
            </w:tcBorders>
            <w:vAlign w:val="center"/>
          </w:tcPr>
          <w:p w:rsidR="0030355C" w:rsidRPr="00EC5B12" w:rsidRDefault="0030355C" w:rsidP="0030355C">
            <w:pPr>
              <w:jc w:val="right"/>
            </w:pPr>
            <w:r w:rsidRPr="00EC5B12">
              <w:t>$80,862</w:t>
            </w:r>
          </w:p>
        </w:tc>
      </w:tr>
      <w:tr w:rsidR="0030355C" w:rsidRPr="00B00C3A">
        <w:trPr>
          <w:trHeight w:val="792"/>
          <w:jc w:val="right"/>
        </w:trPr>
        <w:tc>
          <w:tcPr>
            <w:tcW w:w="3720" w:type="dxa"/>
            <w:tcBorders>
              <w:top w:val="single" w:sz="6" w:space="0" w:color="auto"/>
              <w:left w:val="single" w:sz="6" w:space="0" w:color="auto"/>
              <w:bottom w:val="single" w:sz="6" w:space="0" w:color="auto"/>
              <w:right w:val="single" w:sz="6" w:space="0" w:color="auto"/>
            </w:tcBorders>
          </w:tcPr>
          <w:p w:rsidR="0030355C" w:rsidRPr="00B00C3A" w:rsidRDefault="0030355C" w:rsidP="00BA40DA">
            <w:pPr>
              <w:spacing w:before="120" w:after="120"/>
              <w:rPr>
                <w:sz w:val="18"/>
              </w:rPr>
            </w:pPr>
            <w:r w:rsidRPr="00B00C3A">
              <w:rPr>
                <w:sz w:val="18"/>
              </w:rPr>
              <w:t>2.6. Effective, responsive, accessible and fair justice systems promote the rule of law, including both formal and informal processes, with due consideration on the rights of the poor, women and vulnerable groups</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$11,691</w:t>
            </w:r>
          </w:p>
        </w:tc>
        <w:tc>
          <w:tcPr>
            <w:tcW w:w="627"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15%</w:t>
            </w:r>
          </w:p>
        </w:tc>
        <w:tc>
          <w:tcPr>
            <w:tcW w:w="1170"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$63,655</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80%</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$4,527</w:t>
            </w:r>
          </w:p>
        </w:tc>
        <w:tc>
          <w:tcPr>
            <w:tcW w:w="630"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6%</w:t>
            </w:r>
          </w:p>
        </w:tc>
        <w:tc>
          <w:tcPr>
            <w:tcW w:w="1257"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$59,739</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75%</w:t>
            </w:r>
          </w:p>
        </w:tc>
        <w:tc>
          <w:tcPr>
            <w:tcW w:w="1242" w:type="dxa"/>
            <w:tcBorders>
              <w:top w:val="single" w:sz="6" w:space="0" w:color="auto"/>
              <w:left w:val="single" w:sz="6" w:space="0" w:color="auto"/>
              <w:bottom w:val="single" w:sz="6" w:space="0" w:color="auto"/>
              <w:right w:val="single" w:sz="6" w:space="0" w:color="auto"/>
            </w:tcBorders>
            <w:vAlign w:val="center"/>
          </w:tcPr>
          <w:p w:rsidR="0030355C" w:rsidRPr="00EC5B12" w:rsidRDefault="0030355C" w:rsidP="0030355C">
            <w:pPr>
              <w:jc w:val="right"/>
            </w:pPr>
            <w:r w:rsidRPr="00EC5B12">
              <w:t>$20,135</w:t>
            </w:r>
          </w:p>
        </w:tc>
        <w:tc>
          <w:tcPr>
            <w:tcW w:w="1278" w:type="dxa"/>
            <w:tcBorders>
              <w:top w:val="single" w:sz="6" w:space="0" w:color="auto"/>
              <w:left w:val="single" w:sz="6" w:space="0" w:color="auto"/>
              <w:bottom w:val="single" w:sz="6" w:space="0" w:color="auto"/>
              <w:right w:val="single" w:sz="6" w:space="0" w:color="auto"/>
            </w:tcBorders>
            <w:vAlign w:val="center"/>
          </w:tcPr>
          <w:p w:rsidR="0030355C" w:rsidRPr="00EC5B12" w:rsidRDefault="0030355C" w:rsidP="0030355C">
            <w:pPr>
              <w:jc w:val="right"/>
            </w:pPr>
            <w:r w:rsidRPr="00EC5B12">
              <w:t>$79,874</w:t>
            </w:r>
          </w:p>
        </w:tc>
      </w:tr>
      <w:tr w:rsidR="0030355C" w:rsidRPr="00B00C3A">
        <w:trPr>
          <w:trHeight w:val="446"/>
          <w:jc w:val="right"/>
        </w:trPr>
        <w:tc>
          <w:tcPr>
            <w:tcW w:w="3720" w:type="dxa"/>
            <w:tcBorders>
              <w:top w:val="single" w:sz="6" w:space="0" w:color="auto"/>
              <w:left w:val="single" w:sz="6" w:space="0" w:color="auto"/>
              <w:bottom w:val="single" w:sz="6" w:space="0" w:color="auto"/>
              <w:right w:val="single" w:sz="6" w:space="0" w:color="auto"/>
            </w:tcBorders>
          </w:tcPr>
          <w:p w:rsidR="0030355C" w:rsidRPr="00B00C3A" w:rsidRDefault="0030355C" w:rsidP="00BA40DA">
            <w:pPr>
              <w:spacing w:before="120" w:after="120"/>
              <w:rPr>
                <w:sz w:val="18"/>
              </w:rPr>
            </w:pPr>
            <w:r w:rsidRPr="00B00C3A">
              <w:rPr>
                <w:sz w:val="18"/>
              </w:rPr>
              <w:t>2.7. Strengthened capacities of national human rights institutions</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$11,626</w:t>
            </w:r>
          </w:p>
        </w:tc>
        <w:tc>
          <w:tcPr>
            <w:tcW w:w="627"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7%</w:t>
            </w:r>
          </w:p>
        </w:tc>
        <w:tc>
          <w:tcPr>
            <w:tcW w:w="1170"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$52,134</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32%</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$100,408</w:t>
            </w:r>
          </w:p>
        </w:tc>
        <w:tc>
          <w:tcPr>
            <w:tcW w:w="630"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61%</w:t>
            </w:r>
          </w:p>
        </w:tc>
        <w:tc>
          <w:tcPr>
            <w:tcW w:w="1257"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$138,572</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84%</w:t>
            </w:r>
          </w:p>
        </w:tc>
        <w:tc>
          <w:tcPr>
            <w:tcW w:w="1242" w:type="dxa"/>
            <w:tcBorders>
              <w:top w:val="single" w:sz="6" w:space="0" w:color="auto"/>
              <w:left w:val="single" w:sz="6" w:space="0" w:color="auto"/>
              <w:bottom w:val="single" w:sz="6" w:space="0" w:color="auto"/>
              <w:right w:val="single" w:sz="6" w:space="0" w:color="auto"/>
            </w:tcBorders>
            <w:vAlign w:val="center"/>
          </w:tcPr>
          <w:p w:rsidR="0030355C" w:rsidRPr="00EC5B12" w:rsidRDefault="0030355C" w:rsidP="0030355C">
            <w:pPr>
              <w:jc w:val="right"/>
            </w:pPr>
            <w:r w:rsidRPr="00EC5B12">
              <w:t>$25,595</w:t>
            </w:r>
          </w:p>
        </w:tc>
        <w:tc>
          <w:tcPr>
            <w:tcW w:w="1278" w:type="dxa"/>
            <w:tcBorders>
              <w:top w:val="single" w:sz="6" w:space="0" w:color="auto"/>
              <w:left w:val="single" w:sz="6" w:space="0" w:color="auto"/>
              <w:bottom w:val="single" w:sz="6" w:space="0" w:color="auto"/>
              <w:right w:val="single" w:sz="6" w:space="0" w:color="auto"/>
            </w:tcBorders>
            <w:vAlign w:val="center"/>
          </w:tcPr>
          <w:p w:rsidR="0030355C" w:rsidRPr="00EC5B12" w:rsidRDefault="0030355C" w:rsidP="0030355C">
            <w:pPr>
              <w:jc w:val="right"/>
            </w:pPr>
            <w:r w:rsidRPr="00EC5B12">
              <w:t>$164,168</w:t>
            </w:r>
          </w:p>
        </w:tc>
      </w:tr>
      <w:tr w:rsidR="0030355C" w:rsidRPr="00B00C3A">
        <w:trPr>
          <w:trHeight w:val="336"/>
          <w:jc w:val="right"/>
        </w:trPr>
        <w:tc>
          <w:tcPr>
            <w:tcW w:w="3720" w:type="dxa"/>
            <w:tcBorders>
              <w:top w:val="single" w:sz="6" w:space="0" w:color="auto"/>
              <w:left w:val="single" w:sz="6" w:space="0" w:color="auto"/>
              <w:bottom w:val="single" w:sz="6" w:space="0" w:color="auto"/>
              <w:right w:val="single" w:sz="6" w:space="0" w:color="auto"/>
            </w:tcBorders>
          </w:tcPr>
          <w:p w:rsidR="0030355C" w:rsidRPr="00B00C3A" w:rsidRDefault="0030355C" w:rsidP="00BA40DA">
            <w:pPr>
              <w:spacing w:before="120" w:after="120"/>
              <w:rPr>
                <w:sz w:val="18"/>
              </w:rPr>
            </w:pPr>
            <w:r w:rsidRPr="00B00C3A">
              <w:rPr>
                <w:sz w:val="18"/>
              </w:rPr>
              <w:t>2.8. Strengthened national, regional and local level capacity to mainstream gender equality and women’s empowerment in government policies and institutions</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$5,526</w:t>
            </w:r>
          </w:p>
        </w:tc>
        <w:tc>
          <w:tcPr>
            <w:tcW w:w="627"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11%</w:t>
            </w:r>
          </w:p>
        </w:tc>
        <w:tc>
          <w:tcPr>
            <w:tcW w:w="1170"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$39,554</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80%</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$4,141</w:t>
            </w:r>
          </w:p>
        </w:tc>
        <w:tc>
          <w:tcPr>
            <w:tcW w:w="630"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8%</w:t>
            </w:r>
          </w:p>
        </w:tc>
        <w:tc>
          <w:tcPr>
            <w:tcW w:w="1257"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$46,807</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95%</w:t>
            </w:r>
          </w:p>
        </w:tc>
        <w:tc>
          <w:tcPr>
            <w:tcW w:w="1242" w:type="dxa"/>
            <w:tcBorders>
              <w:top w:val="single" w:sz="6" w:space="0" w:color="auto"/>
              <w:left w:val="single" w:sz="6" w:space="0" w:color="auto"/>
              <w:bottom w:val="single" w:sz="6" w:space="0" w:color="auto"/>
              <w:right w:val="single" w:sz="6" w:space="0" w:color="auto"/>
            </w:tcBorders>
            <w:vAlign w:val="center"/>
          </w:tcPr>
          <w:p w:rsidR="0030355C" w:rsidRPr="00EC5B12" w:rsidRDefault="0030355C" w:rsidP="0030355C">
            <w:pPr>
              <w:jc w:val="right"/>
            </w:pPr>
            <w:r w:rsidRPr="00EC5B12">
              <w:t>$2,414</w:t>
            </w:r>
          </w:p>
        </w:tc>
        <w:tc>
          <w:tcPr>
            <w:tcW w:w="1278" w:type="dxa"/>
            <w:tcBorders>
              <w:top w:val="single" w:sz="6" w:space="0" w:color="auto"/>
              <w:left w:val="single" w:sz="6" w:space="0" w:color="auto"/>
              <w:bottom w:val="single" w:sz="6" w:space="0" w:color="auto"/>
              <w:right w:val="single" w:sz="6" w:space="0" w:color="auto"/>
            </w:tcBorders>
            <w:vAlign w:val="center"/>
          </w:tcPr>
          <w:p w:rsidR="0030355C" w:rsidRPr="00EC5B12" w:rsidRDefault="0030355C" w:rsidP="0030355C">
            <w:pPr>
              <w:jc w:val="right"/>
            </w:pPr>
            <w:r w:rsidRPr="00EC5B12">
              <w:t>$49,221</w:t>
            </w:r>
          </w:p>
        </w:tc>
      </w:tr>
      <w:tr w:rsidR="0030355C" w:rsidRPr="00B00C3A">
        <w:trPr>
          <w:trHeight w:val="394"/>
          <w:jc w:val="right"/>
        </w:trPr>
        <w:tc>
          <w:tcPr>
            <w:tcW w:w="3720" w:type="dxa"/>
            <w:tcBorders>
              <w:top w:val="single" w:sz="6" w:space="0" w:color="auto"/>
              <w:left w:val="single" w:sz="6" w:space="0" w:color="auto"/>
              <w:bottom w:val="single" w:sz="6" w:space="0" w:color="auto"/>
              <w:right w:val="single" w:sz="6" w:space="0" w:color="auto"/>
            </w:tcBorders>
          </w:tcPr>
          <w:p w:rsidR="0030355C" w:rsidRPr="00B00C3A" w:rsidRDefault="0030355C" w:rsidP="00BA40DA">
            <w:pPr>
              <w:spacing w:before="120" w:after="120"/>
              <w:rPr>
                <w:sz w:val="18"/>
              </w:rPr>
            </w:pPr>
            <w:r w:rsidRPr="00B00C3A">
              <w:rPr>
                <w:sz w:val="18"/>
              </w:rPr>
              <w:lastRenderedPageBreak/>
              <w:t>2.9. Strengthened national-, regional- and local-level capacity to implement anti-corruption initiatives</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$6,011</w:t>
            </w:r>
          </w:p>
        </w:tc>
        <w:tc>
          <w:tcPr>
            <w:tcW w:w="627"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19%</w:t>
            </w:r>
          </w:p>
        </w:tc>
        <w:tc>
          <w:tcPr>
            <w:tcW w:w="1170"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$23,562</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73%</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$2,678</w:t>
            </w:r>
          </w:p>
        </w:tc>
        <w:tc>
          <w:tcPr>
            <w:tcW w:w="630"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8%</w:t>
            </w:r>
          </w:p>
        </w:tc>
        <w:tc>
          <w:tcPr>
            <w:tcW w:w="1257" w:type="dxa"/>
            <w:tcBorders>
              <w:top w:val="single" w:sz="6" w:space="0" w:color="auto"/>
              <w:left w:val="single" w:sz="6" w:space="0" w:color="auto"/>
              <w:bottom w:val="single" w:sz="6" w:space="0" w:color="auto"/>
              <w:right w:val="dashed" w:sz="4" w:space="0" w:color="auto"/>
            </w:tcBorders>
            <w:vAlign w:val="center"/>
          </w:tcPr>
          <w:p w:rsidR="0030355C" w:rsidRPr="00EC5B12" w:rsidRDefault="0030355C" w:rsidP="0030355C">
            <w:pPr>
              <w:jc w:val="right"/>
            </w:pPr>
            <w:r w:rsidRPr="00EC5B12">
              <w:t>$28,102</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EC5B12" w:rsidRDefault="0030355C" w:rsidP="004526BF">
            <w:pPr>
              <w:jc w:val="center"/>
            </w:pPr>
            <w:r w:rsidRPr="00EC5B12">
              <w:t>87%</w:t>
            </w:r>
          </w:p>
        </w:tc>
        <w:tc>
          <w:tcPr>
            <w:tcW w:w="1242" w:type="dxa"/>
            <w:tcBorders>
              <w:top w:val="single" w:sz="6" w:space="0" w:color="auto"/>
              <w:left w:val="single" w:sz="6" w:space="0" w:color="auto"/>
              <w:bottom w:val="single" w:sz="6" w:space="0" w:color="auto"/>
              <w:right w:val="single" w:sz="6" w:space="0" w:color="auto"/>
            </w:tcBorders>
            <w:vAlign w:val="center"/>
          </w:tcPr>
          <w:p w:rsidR="0030355C" w:rsidRPr="00EC5B12" w:rsidRDefault="0030355C" w:rsidP="0030355C">
            <w:pPr>
              <w:jc w:val="right"/>
            </w:pPr>
            <w:r w:rsidRPr="00EC5B12">
              <w:t>$4,149</w:t>
            </w:r>
          </w:p>
        </w:tc>
        <w:tc>
          <w:tcPr>
            <w:tcW w:w="1278" w:type="dxa"/>
            <w:tcBorders>
              <w:top w:val="single" w:sz="6" w:space="0" w:color="auto"/>
              <w:left w:val="single" w:sz="6" w:space="0" w:color="auto"/>
              <w:bottom w:val="single" w:sz="6" w:space="0" w:color="auto"/>
              <w:right w:val="single" w:sz="6" w:space="0" w:color="auto"/>
            </w:tcBorders>
            <w:vAlign w:val="center"/>
          </w:tcPr>
          <w:p w:rsidR="0030355C" w:rsidRPr="00EC5B12" w:rsidRDefault="0030355C" w:rsidP="0030355C">
            <w:pPr>
              <w:jc w:val="right"/>
            </w:pPr>
            <w:r w:rsidRPr="00EC5B12">
              <w:t>$32,250</w:t>
            </w:r>
          </w:p>
        </w:tc>
      </w:tr>
      <w:tr w:rsidR="0030355C" w:rsidRPr="00B00C3A">
        <w:trPr>
          <w:trHeight w:val="278"/>
          <w:jc w:val="right"/>
        </w:trPr>
        <w:tc>
          <w:tcPr>
            <w:tcW w:w="3720" w:type="dxa"/>
            <w:tcBorders>
              <w:top w:val="single" w:sz="6" w:space="0" w:color="auto"/>
              <w:left w:val="single" w:sz="6" w:space="0" w:color="auto"/>
              <w:bottom w:val="double" w:sz="4" w:space="0" w:color="auto"/>
              <w:right w:val="single" w:sz="6" w:space="0" w:color="auto"/>
            </w:tcBorders>
          </w:tcPr>
          <w:p w:rsidR="0030355C" w:rsidRPr="00B00C3A" w:rsidRDefault="0030355C" w:rsidP="00BA40DA">
            <w:pPr>
              <w:widowControl w:val="0"/>
              <w:autoSpaceDE w:val="0"/>
              <w:autoSpaceDN w:val="0"/>
              <w:adjustRightInd w:val="0"/>
              <w:spacing w:before="120" w:after="120" w:line="240" w:lineRule="auto"/>
              <w:rPr>
                <w:rFonts w:cs="Arial"/>
                <w:color w:val="000000"/>
                <w:sz w:val="18"/>
                <w:szCs w:val="18"/>
              </w:rPr>
            </w:pPr>
            <w:r w:rsidRPr="00B00C3A">
              <w:rPr>
                <w:rFonts w:cs="Arial"/>
                <w:color w:val="000000"/>
                <w:sz w:val="18"/>
                <w:szCs w:val="18"/>
              </w:rPr>
              <w:t>Other</w:t>
            </w:r>
          </w:p>
        </w:tc>
        <w:tc>
          <w:tcPr>
            <w:tcW w:w="1155" w:type="dxa"/>
            <w:tcBorders>
              <w:top w:val="single" w:sz="6" w:space="0" w:color="auto"/>
              <w:left w:val="single" w:sz="6" w:space="0" w:color="auto"/>
              <w:bottom w:val="double" w:sz="4" w:space="0" w:color="auto"/>
              <w:right w:val="dashed" w:sz="4" w:space="0" w:color="auto"/>
            </w:tcBorders>
            <w:vAlign w:val="center"/>
          </w:tcPr>
          <w:p w:rsidR="0030355C" w:rsidRPr="00EC5B12" w:rsidRDefault="0030355C" w:rsidP="00D94E34">
            <w:pPr>
              <w:spacing w:after="0"/>
              <w:jc w:val="right"/>
            </w:pPr>
            <w:r w:rsidRPr="00EC5B12">
              <w:t>$21,863</w:t>
            </w:r>
          </w:p>
        </w:tc>
        <w:tc>
          <w:tcPr>
            <w:tcW w:w="627" w:type="dxa"/>
            <w:tcBorders>
              <w:top w:val="single" w:sz="6" w:space="0" w:color="auto"/>
              <w:left w:val="dashed" w:sz="4" w:space="0" w:color="auto"/>
              <w:bottom w:val="double" w:sz="4" w:space="0" w:color="auto"/>
              <w:right w:val="single" w:sz="6" w:space="0" w:color="auto"/>
            </w:tcBorders>
            <w:vAlign w:val="center"/>
          </w:tcPr>
          <w:p w:rsidR="0030355C" w:rsidRPr="00EC5B12" w:rsidRDefault="0030355C" w:rsidP="00D94E34">
            <w:pPr>
              <w:spacing w:after="0"/>
              <w:jc w:val="right"/>
            </w:pPr>
            <w:r w:rsidRPr="00EC5B12">
              <w:t>26%</w:t>
            </w:r>
          </w:p>
        </w:tc>
        <w:tc>
          <w:tcPr>
            <w:tcW w:w="1170" w:type="dxa"/>
            <w:tcBorders>
              <w:top w:val="single" w:sz="6" w:space="0" w:color="auto"/>
              <w:left w:val="single" w:sz="6" w:space="0" w:color="auto"/>
              <w:bottom w:val="double" w:sz="4" w:space="0" w:color="auto"/>
              <w:right w:val="dashed" w:sz="4" w:space="0" w:color="auto"/>
            </w:tcBorders>
            <w:vAlign w:val="center"/>
          </w:tcPr>
          <w:p w:rsidR="0030355C" w:rsidRPr="00EC5B12" w:rsidRDefault="0030355C" w:rsidP="00D94E34">
            <w:pPr>
              <w:spacing w:after="0"/>
              <w:jc w:val="right"/>
            </w:pPr>
            <w:r w:rsidRPr="00EC5B12">
              <w:t>$50,916</w:t>
            </w:r>
          </w:p>
        </w:tc>
        <w:tc>
          <w:tcPr>
            <w:tcW w:w="648" w:type="dxa"/>
            <w:tcBorders>
              <w:top w:val="single" w:sz="6" w:space="0" w:color="auto"/>
              <w:left w:val="dashed" w:sz="4" w:space="0" w:color="auto"/>
              <w:bottom w:val="double" w:sz="4" w:space="0" w:color="auto"/>
              <w:right w:val="single" w:sz="6" w:space="0" w:color="auto"/>
            </w:tcBorders>
            <w:vAlign w:val="center"/>
          </w:tcPr>
          <w:p w:rsidR="0030355C" w:rsidRPr="00EC5B12" w:rsidRDefault="0030355C" w:rsidP="00D94E34">
            <w:pPr>
              <w:spacing w:after="0"/>
              <w:jc w:val="right"/>
            </w:pPr>
            <w:r w:rsidRPr="00EC5B12">
              <w:t>61%</w:t>
            </w:r>
          </w:p>
        </w:tc>
        <w:tc>
          <w:tcPr>
            <w:tcW w:w="1155" w:type="dxa"/>
            <w:tcBorders>
              <w:top w:val="single" w:sz="6" w:space="0" w:color="auto"/>
              <w:left w:val="single" w:sz="6" w:space="0" w:color="auto"/>
              <w:bottom w:val="double" w:sz="4" w:space="0" w:color="auto"/>
              <w:right w:val="dashed" w:sz="4" w:space="0" w:color="auto"/>
            </w:tcBorders>
            <w:vAlign w:val="center"/>
          </w:tcPr>
          <w:p w:rsidR="0030355C" w:rsidRPr="00EC5B12" w:rsidRDefault="0030355C" w:rsidP="00D94E34">
            <w:pPr>
              <w:spacing w:after="0"/>
              <w:jc w:val="right"/>
            </w:pPr>
            <w:r w:rsidRPr="00EC5B12">
              <w:t>$10,915</w:t>
            </w:r>
          </w:p>
        </w:tc>
        <w:tc>
          <w:tcPr>
            <w:tcW w:w="630" w:type="dxa"/>
            <w:tcBorders>
              <w:top w:val="single" w:sz="6" w:space="0" w:color="auto"/>
              <w:left w:val="dashed" w:sz="4" w:space="0" w:color="auto"/>
              <w:bottom w:val="double" w:sz="4" w:space="0" w:color="auto"/>
              <w:right w:val="single" w:sz="6" w:space="0" w:color="auto"/>
            </w:tcBorders>
            <w:vAlign w:val="center"/>
          </w:tcPr>
          <w:p w:rsidR="0030355C" w:rsidRPr="00EC5B12" w:rsidRDefault="0030355C" w:rsidP="00D94E34">
            <w:pPr>
              <w:spacing w:after="0"/>
              <w:jc w:val="right"/>
            </w:pPr>
            <w:r w:rsidRPr="00EC5B12">
              <w:t>13%</w:t>
            </w:r>
          </w:p>
        </w:tc>
        <w:tc>
          <w:tcPr>
            <w:tcW w:w="1257" w:type="dxa"/>
            <w:tcBorders>
              <w:top w:val="single" w:sz="6" w:space="0" w:color="auto"/>
              <w:left w:val="single" w:sz="6" w:space="0" w:color="auto"/>
              <w:bottom w:val="double" w:sz="4" w:space="0" w:color="auto"/>
              <w:right w:val="dashed" w:sz="4" w:space="0" w:color="auto"/>
            </w:tcBorders>
            <w:vAlign w:val="center"/>
          </w:tcPr>
          <w:p w:rsidR="0030355C" w:rsidRPr="00EC5B12" w:rsidRDefault="0030355C" w:rsidP="00D94E34">
            <w:pPr>
              <w:spacing w:after="0"/>
              <w:jc w:val="right"/>
            </w:pPr>
            <w:r w:rsidRPr="00EC5B12">
              <w:t>$45,121</w:t>
            </w:r>
          </w:p>
        </w:tc>
        <w:tc>
          <w:tcPr>
            <w:tcW w:w="648" w:type="dxa"/>
            <w:tcBorders>
              <w:top w:val="single" w:sz="6" w:space="0" w:color="auto"/>
              <w:left w:val="dashed" w:sz="4" w:space="0" w:color="auto"/>
              <w:bottom w:val="double" w:sz="4" w:space="0" w:color="auto"/>
              <w:right w:val="single" w:sz="6" w:space="0" w:color="auto"/>
            </w:tcBorders>
            <w:vAlign w:val="center"/>
          </w:tcPr>
          <w:p w:rsidR="0030355C" w:rsidRPr="00EC5B12" w:rsidRDefault="0030355C" w:rsidP="00D94E34">
            <w:pPr>
              <w:spacing w:after="0"/>
              <w:jc w:val="right"/>
            </w:pPr>
            <w:r w:rsidRPr="00EC5B12">
              <w:t>54%</w:t>
            </w:r>
          </w:p>
        </w:tc>
        <w:tc>
          <w:tcPr>
            <w:tcW w:w="1242" w:type="dxa"/>
            <w:tcBorders>
              <w:top w:val="single" w:sz="6" w:space="0" w:color="auto"/>
              <w:left w:val="single" w:sz="6" w:space="0" w:color="auto"/>
              <w:bottom w:val="double" w:sz="4" w:space="0" w:color="auto"/>
              <w:right w:val="single" w:sz="6" w:space="0" w:color="auto"/>
            </w:tcBorders>
            <w:vAlign w:val="center"/>
          </w:tcPr>
          <w:p w:rsidR="0030355C" w:rsidRPr="00EC5B12" w:rsidRDefault="0030355C" w:rsidP="00D94E34">
            <w:pPr>
              <w:spacing w:after="0"/>
              <w:jc w:val="right"/>
            </w:pPr>
            <w:r w:rsidRPr="00EC5B12">
              <w:t>$38,573</w:t>
            </w:r>
          </w:p>
        </w:tc>
        <w:tc>
          <w:tcPr>
            <w:tcW w:w="1278" w:type="dxa"/>
            <w:tcBorders>
              <w:top w:val="single" w:sz="6" w:space="0" w:color="auto"/>
              <w:left w:val="single" w:sz="6" w:space="0" w:color="auto"/>
              <w:bottom w:val="double" w:sz="4" w:space="0" w:color="auto"/>
              <w:right w:val="single" w:sz="6" w:space="0" w:color="auto"/>
            </w:tcBorders>
            <w:vAlign w:val="center"/>
          </w:tcPr>
          <w:p w:rsidR="0030355C" w:rsidRPr="00EC5B12" w:rsidRDefault="0030355C" w:rsidP="00D94E34">
            <w:pPr>
              <w:spacing w:after="0"/>
              <w:jc w:val="right"/>
            </w:pPr>
            <w:r w:rsidRPr="00EC5B12">
              <w:t>$83,694</w:t>
            </w:r>
          </w:p>
        </w:tc>
      </w:tr>
      <w:tr w:rsidR="0030355C" w:rsidRPr="00B00C3A">
        <w:trPr>
          <w:trHeight w:val="278"/>
          <w:jc w:val="right"/>
        </w:trPr>
        <w:tc>
          <w:tcPr>
            <w:tcW w:w="3720" w:type="dxa"/>
            <w:tcBorders>
              <w:top w:val="double" w:sz="4" w:space="0" w:color="auto"/>
              <w:left w:val="single" w:sz="6" w:space="0" w:color="auto"/>
              <w:bottom w:val="single" w:sz="6" w:space="0" w:color="auto"/>
              <w:right w:val="single" w:sz="6" w:space="0" w:color="auto"/>
            </w:tcBorders>
            <w:shd w:val="clear" w:color="C0C0C0" w:fill="auto"/>
          </w:tcPr>
          <w:p w:rsidR="0030355C" w:rsidRPr="00EF5635" w:rsidRDefault="0030355C" w:rsidP="00BA40DA">
            <w:pPr>
              <w:widowControl w:val="0"/>
              <w:autoSpaceDE w:val="0"/>
              <w:autoSpaceDN w:val="0"/>
              <w:adjustRightInd w:val="0"/>
              <w:spacing w:before="120" w:after="120" w:line="240" w:lineRule="auto"/>
              <w:rPr>
                <w:rFonts w:cs="Arial"/>
                <w:b/>
                <w:bCs/>
                <w:color w:val="000000"/>
                <w:sz w:val="20"/>
                <w:szCs w:val="20"/>
              </w:rPr>
            </w:pPr>
            <w:r w:rsidRPr="00EF5635">
              <w:rPr>
                <w:rFonts w:cs="Arial"/>
                <w:b/>
                <w:bCs/>
                <w:color w:val="000000"/>
                <w:sz w:val="20"/>
                <w:szCs w:val="20"/>
              </w:rPr>
              <w:t>Focus area 2 total</w:t>
            </w:r>
          </w:p>
        </w:tc>
        <w:tc>
          <w:tcPr>
            <w:tcW w:w="1155" w:type="dxa"/>
            <w:tcBorders>
              <w:top w:val="double" w:sz="4" w:space="0" w:color="auto"/>
              <w:left w:val="single" w:sz="6" w:space="0" w:color="auto"/>
              <w:bottom w:val="single" w:sz="6" w:space="0" w:color="auto"/>
              <w:right w:val="dashed" w:sz="4" w:space="0" w:color="auto"/>
            </w:tcBorders>
            <w:shd w:val="clear" w:color="C0C0C0" w:fill="auto"/>
            <w:vAlign w:val="center"/>
          </w:tcPr>
          <w:p w:rsidR="0030355C" w:rsidRPr="0030355C" w:rsidRDefault="0030355C" w:rsidP="00D94E34">
            <w:pPr>
              <w:spacing w:after="0"/>
              <w:jc w:val="right"/>
              <w:rPr>
                <w:b/>
              </w:rPr>
            </w:pPr>
            <w:r w:rsidRPr="0030355C">
              <w:rPr>
                <w:b/>
              </w:rPr>
              <w:t>$160,956</w:t>
            </w:r>
          </w:p>
        </w:tc>
        <w:tc>
          <w:tcPr>
            <w:tcW w:w="627" w:type="dxa"/>
            <w:tcBorders>
              <w:top w:val="double" w:sz="4" w:space="0" w:color="auto"/>
              <w:left w:val="dashed" w:sz="4" w:space="0" w:color="auto"/>
              <w:bottom w:val="single" w:sz="6" w:space="0" w:color="auto"/>
              <w:right w:val="single" w:sz="6" w:space="0" w:color="auto"/>
            </w:tcBorders>
            <w:shd w:val="clear" w:color="C0C0C0" w:fill="auto"/>
            <w:vAlign w:val="center"/>
          </w:tcPr>
          <w:p w:rsidR="0030355C" w:rsidRPr="0030355C" w:rsidRDefault="0030355C" w:rsidP="00D94E34">
            <w:pPr>
              <w:spacing w:after="0"/>
              <w:jc w:val="right"/>
              <w:rPr>
                <w:b/>
              </w:rPr>
            </w:pPr>
            <w:r w:rsidRPr="0030355C">
              <w:rPr>
                <w:b/>
              </w:rPr>
              <w:t>16%</w:t>
            </w:r>
          </w:p>
        </w:tc>
        <w:tc>
          <w:tcPr>
            <w:tcW w:w="1170" w:type="dxa"/>
            <w:tcBorders>
              <w:top w:val="double" w:sz="4" w:space="0" w:color="auto"/>
              <w:left w:val="single" w:sz="6" w:space="0" w:color="auto"/>
              <w:bottom w:val="single" w:sz="6" w:space="0" w:color="auto"/>
              <w:right w:val="dashed" w:sz="4" w:space="0" w:color="auto"/>
            </w:tcBorders>
            <w:shd w:val="clear" w:color="C0C0C0" w:fill="auto"/>
            <w:vAlign w:val="center"/>
          </w:tcPr>
          <w:p w:rsidR="0030355C" w:rsidRPr="0030355C" w:rsidRDefault="0030355C" w:rsidP="00D94E34">
            <w:pPr>
              <w:spacing w:after="0"/>
              <w:jc w:val="right"/>
              <w:rPr>
                <w:b/>
              </w:rPr>
            </w:pPr>
            <w:r w:rsidRPr="0030355C">
              <w:rPr>
                <w:b/>
              </w:rPr>
              <w:t>$566,132</w:t>
            </w:r>
          </w:p>
        </w:tc>
        <w:tc>
          <w:tcPr>
            <w:tcW w:w="648" w:type="dxa"/>
            <w:tcBorders>
              <w:top w:val="double" w:sz="4" w:space="0" w:color="auto"/>
              <w:left w:val="dashed" w:sz="4" w:space="0" w:color="auto"/>
              <w:bottom w:val="single" w:sz="6" w:space="0" w:color="auto"/>
              <w:right w:val="single" w:sz="6" w:space="0" w:color="auto"/>
            </w:tcBorders>
            <w:shd w:val="clear" w:color="C0C0C0" w:fill="auto"/>
            <w:vAlign w:val="center"/>
          </w:tcPr>
          <w:p w:rsidR="0030355C" w:rsidRPr="0030355C" w:rsidRDefault="0030355C" w:rsidP="00D94E34">
            <w:pPr>
              <w:spacing w:after="0"/>
              <w:jc w:val="right"/>
              <w:rPr>
                <w:b/>
              </w:rPr>
            </w:pPr>
            <w:r w:rsidRPr="0030355C">
              <w:rPr>
                <w:b/>
              </w:rPr>
              <w:t>55%</w:t>
            </w:r>
          </w:p>
        </w:tc>
        <w:tc>
          <w:tcPr>
            <w:tcW w:w="1155" w:type="dxa"/>
            <w:tcBorders>
              <w:top w:val="double" w:sz="4" w:space="0" w:color="auto"/>
              <w:left w:val="single" w:sz="6" w:space="0" w:color="auto"/>
              <w:bottom w:val="single" w:sz="6" w:space="0" w:color="auto"/>
              <w:right w:val="dashed" w:sz="4" w:space="0" w:color="auto"/>
            </w:tcBorders>
            <w:shd w:val="clear" w:color="C0C0C0" w:fill="auto"/>
            <w:vAlign w:val="center"/>
          </w:tcPr>
          <w:p w:rsidR="0030355C" w:rsidRPr="0030355C" w:rsidRDefault="0030355C" w:rsidP="00D94E34">
            <w:pPr>
              <w:spacing w:after="0"/>
              <w:jc w:val="right"/>
              <w:rPr>
                <w:b/>
              </w:rPr>
            </w:pPr>
            <w:r w:rsidRPr="0030355C">
              <w:rPr>
                <w:b/>
              </w:rPr>
              <w:t>$302,358</w:t>
            </w:r>
          </w:p>
        </w:tc>
        <w:tc>
          <w:tcPr>
            <w:tcW w:w="630" w:type="dxa"/>
            <w:tcBorders>
              <w:top w:val="double" w:sz="4" w:space="0" w:color="auto"/>
              <w:left w:val="dashed" w:sz="4" w:space="0" w:color="auto"/>
              <w:bottom w:val="single" w:sz="6" w:space="0" w:color="auto"/>
              <w:right w:val="single" w:sz="6" w:space="0" w:color="auto"/>
            </w:tcBorders>
            <w:shd w:val="clear" w:color="C0C0C0" w:fill="auto"/>
            <w:vAlign w:val="center"/>
          </w:tcPr>
          <w:p w:rsidR="0030355C" w:rsidRPr="0030355C" w:rsidRDefault="0030355C" w:rsidP="00D94E34">
            <w:pPr>
              <w:spacing w:after="0"/>
              <w:jc w:val="right"/>
              <w:rPr>
                <w:b/>
              </w:rPr>
            </w:pPr>
            <w:r w:rsidRPr="0030355C">
              <w:rPr>
                <w:b/>
              </w:rPr>
              <w:t>29%</w:t>
            </w:r>
          </w:p>
        </w:tc>
        <w:tc>
          <w:tcPr>
            <w:tcW w:w="1257" w:type="dxa"/>
            <w:tcBorders>
              <w:top w:val="double" w:sz="4" w:space="0" w:color="auto"/>
              <w:left w:val="single" w:sz="6" w:space="0" w:color="auto"/>
              <w:bottom w:val="single" w:sz="6" w:space="0" w:color="auto"/>
              <w:right w:val="dashed" w:sz="4" w:space="0" w:color="auto"/>
            </w:tcBorders>
            <w:shd w:val="clear" w:color="C0C0C0" w:fill="auto"/>
            <w:vAlign w:val="center"/>
          </w:tcPr>
          <w:p w:rsidR="0030355C" w:rsidRPr="0030355C" w:rsidRDefault="0030355C" w:rsidP="00D94E34">
            <w:pPr>
              <w:spacing w:after="0"/>
              <w:jc w:val="right"/>
              <w:rPr>
                <w:b/>
              </w:rPr>
            </w:pPr>
            <w:r w:rsidRPr="0030355C">
              <w:rPr>
                <w:b/>
              </w:rPr>
              <w:t>$661,376</w:t>
            </w:r>
          </w:p>
        </w:tc>
        <w:tc>
          <w:tcPr>
            <w:tcW w:w="648" w:type="dxa"/>
            <w:tcBorders>
              <w:top w:val="double" w:sz="4" w:space="0" w:color="auto"/>
              <w:left w:val="dashed" w:sz="4" w:space="0" w:color="auto"/>
              <w:bottom w:val="single" w:sz="6" w:space="0" w:color="auto"/>
              <w:right w:val="single" w:sz="6" w:space="0" w:color="auto"/>
            </w:tcBorders>
            <w:shd w:val="clear" w:color="C0C0C0" w:fill="auto"/>
            <w:vAlign w:val="center"/>
          </w:tcPr>
          <w:p w:rsidR="0030355C" w:rsidRPr="0030355C" w:rsidRDefault="0030355C" w:rsidP="00D94E34">
            <w:pPr>
              <w:spacing w:after="0"/>
              <w:jc w:val="right"/>
              <w:rPr>
                <w:b/>
              </w:rPr>
            </w:pPr>
            <w:r w:rsidRPr="0030355C">
              <w:rPr>
                <w:b/>
              </w:rPr>
              <w:t>64%</w:t>
            </w:r>
          </w:p>
        </w:tc>
        <w:tc>
          <w:tcPr>
            <w:tcW w:w="1242" w:type="dxa"/>
            <w:tcBorders>
              <w:top w:val="double" w:sz="4" w:space="0" w:color="auto"/>
              <w:left w:val="single" w:sz="6" w:space="0" w:color="auto"/>
              <w:bottom w:val="single" w:sz="6" w:space="0" w:color="auto"/>
              <w:right w:val="single" w:sz="6" w:space="0" w:color="auto"/>
            </w:tcBorders>
            <w:shd w:val="clear" w:color="C0C0C0" w:fill="auto"/>
            <w:vAlign w:val="center"/>
          </w:tcPr>
          <w:p w:rsidR="0030355C" w:rsidRPr="0030355C" w:rsidRDefault="0030355C" w:rsidP="00D94E34">
            <w:pPr>
              <w:spacing w:after="0"/>
              <w:jc w:val="right"/>
              <w:rPr>
                <w:b/>
              </w:rPr>
            </w:pPr>
            <w:r w:rsidRPr="0030355C">
              <w:rPr>
                <w:b/>
              </w:rPr>
              <w:t>$368,069</w:t>
            </w:r>
          </w:p>
        </w:tc>
        <w:tc>
          <w:tcPr>
            <w:tcW w:w="1278" w:type="dxa"/>
            <w:tcBorders>
              <w:top w:val="double" w:sz="4" w:space="0" w:color="auto"/>
              <w:left w:val="single" w:sz="6" w:space="0" w:color="auto"/>
              <w:bottom w:val="single" w:sz="6" w:space="0" w:color="auto"/>
              <w:right w:val="single" w:sz="6" w:space="0" w:color="auto"/>
            </w:tcBorders>
            <w:shd w:val="clear" w:color="C0C0C0" w:fill="auto"/>
            <w:vAlign w:val="center"/>
          </w:tcPr>
          <w:p w:rsidR="0030355C" w:rsidRPr="0030355C" w:rsidRDefault="0030355C" w:rsidP="00D94E34">
            <w:pPr>
              <w:spacing w:after="0"/>
              <w:jc w:val="right"/>
              <w:rPr>
                <w:b/>
              </w:rPr>
            </w:pPr>
            <w:r w:rsidRPr="0030355C">
              <w:rPr>
                <w:b/>
              </w:rPr>
              <w:t>$1,029,445</w:t>
            </w:r>
          </w:p>
        </w:tc>
      </w:tr>
      <w:tr w:rsidR="00CD2E95" w:rsidRPr="00B00C3A">
        <w:trPr>
          <w:trHeight w:val="278"/>
          <w:jc w:val="right"/>
        </w:trPr>
        <w:tc>
          <w:tcPr>
            <w:tcW w:w="13530" w:type="dxa"/>
            <w:gridSpan w:val="11"/>
            <w:tcBorders>
              <w:top w:val="single" w:sz="6" w:space="0" w:color="auto"/>
              <w:left w:val="single" w:sz="6" w:space="0" w:color="auto"/>
              <w:bottom w:val="single" w:sz="6" w:space="0" w:color="auto"/>
              <w:right w:val="single" w:sz="6" w:space="0" w:color="auto"/>
            </w:tcBorders>
            <w:shd w:val="clear" w:color="C0C0C0" w:fill="D9D9D9" w:themeFill="background1" w:themeFillShade="D9"/>
          </w:tcPr>
          <w:p w:rsidR="00CD2E95" w:rsidRPr="00B00C3A" w:rsidRDefault="00CD2E95" w:rsidP="00BA40DA">
            <w:pPr>
              <w:widowControl w:val="0"/>
              <w:autoSpaceDE w:val="0"/>
              <w:autoSpaceDN w:val="0"/>
              <w:adjustRightInd w:val="0"/>
              <w:spacing w:before="120" w:after="120" w:line="240" w:lineRule="auto"/>
              <w:jc w:val="center"/>
              <w:rPr>
                <w:rFonts w:cs="Calibri"/>
                <w:color w:val="000000"/>
                <w:sz w:val="20"/>
                <w:szCs w:val="20"/>
              </w:rPr>
            </w:pPr>
            <w:r w:rsidRPr="00B00C3A">
              <w:rPr>
                <w:rFonts w:cs="Arial"/>
                <w:b/>
                <w:bCs/>
                <w:color w:val="000000"/>
                <w:sz w:val="20"/>
                <w:szCs w:val="20"/>
              </w:rPr>
              <w:t>Focus area 3: Supporting crisis prevention and recovery</w:t>
            </w:r>
          </w:p>
        </w:tc>
      </w:tr>
      <w:tr w:rsidR="0030355C" w:rsidRPr="00B00C3A">
        <w:trPr>
          <w:trHeight w:val="994"/>
          <w:jc w:val="right"/>
        </w:trPr>
        <w:tc>
          <w:tcPr>
            <w:tcW w:w="3720" w:type="dxa"/>
            <w:tcBorders>
              <w:top w:val="single" w:sz="6" w:space="0" w:color="auto"/>
              <w:left w:val="single" w:sz="6" w:space="0" w:color="auto"/>
              <w:bottom w:val="single" w:sz="6" w:space="0" w:color="auto"/>
              <w:right w:val="single" w:sz="6" w:space="0" w:color="auto"/>
            </w:tcBorders>
          </w:tcPr>
          <w:p w:rsidR="0030355C" w:rsidRPr="00B00C3A" w:rsidRDefault="0030355C" w:rsidP="00BA40DA">
            <w:pPr>
              <w:spacing w:before="120" w:after="120"/>
              <w:rPr>
                <w:sz w:val="18"/>
              </w:rPr>
            </w:pPr>
            <w:r w:rsidRPr="00B00C3A">
              <w:rPr>
                <w:sz w:val="18"/>
              </w:rPr>
              <w:t>3.1. National and local institutions have the capacities to reduce the impact of disasters, especially climate change related disasters, on vulnerable communities</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8644F1" w:rsidRDefault="0030355C" w:rsidP="0030355C">
            <w:pPr>
              <w:jc w:val="right"/>
            </w:pPr>
            <w:r w:rsidRPr="008644F1">
              <w:t>$11,691</w:t>
            </w:r>
          </w:p>
        </w:tc>
        <w:tc>
          <w:tcPr>
            <w:tcW w:w="627" w:type="dxa"/>
            <w:tcBorders>
              <w:top w:val="single" w:sz="6" w:space="0" w:color="auto"/>
              <w:left w:val="dashed" w:sz="4" w:space="0" w:color="auto"/>
              <w:bottom w:val="single" w:sz="6" w:space="0" w:color="auto"/>
              <w:right w:val="single" w:sz="6" w:space="0" w:color="auto"/>
            </w:tcBorders>
            <w:vAlign w:val="center"/>
          </w:tcPr>
          <w:p w:rsidR="0030355C" w:rsidRPr="008644F1" w:rsidRDefault="0030355C" w:rsidP="004526BF">
            <w:pPr>
              <w:jc w:val="center"/>
            </w:pPr>
            <w:r w:rsidRPr="008644F1">
              <w:t>18%</w:t>
            </w:r>
          </w:p>
        </w:tc>
        <w:tc>
          <w:tcPr>
            <w:tcW w:w="1170" w:type="dxa"/>
            <w:tcBorders>
              <w:top w:val="single" w:sz="6" w:space="0" w:color="auto"/>
              <w:left w:val="single" w:sz="6" w:space="0" w:color="auto"/>
              <w:bottom w:val="single" w:sz="6" w:space="0" w:color="auto"/>
              <w:right w:val="dashed" w:sz="4" w:space="0" w:color="auto"/>
            </w:tcBorders>
            <w:vAlign w:val="center"/>
          </w:tcPr>
          <w:p w:rsidR="0030355C" w:rsidRPr="008644F1" w:rsidRDefault="0030355C" w:rsidP="0030355C">
            <w:pPr>
              <w:jc w:val="right"/>
            </w:pPr>
            <w:r w:rsidRPr="008644F1">
              <w:t>$53,081</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8644F1" w:rsidRDefault="0030355C" w:rsidP="004526BF">
            <w:pPr>
              <w:jc w:val="center"/>
            </w:pPr>
            <w:r w:rsidRPr="008644F1">
              <w:t>81%</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8644F1" w:rsidRDefault="0030355C" w:rsidP="0030355C">
            <w:pPr>
              <w:jc w:val="right"/>
            </w:pPr>
            <w:r w:rsidRPr="008644F1">
              <w:t>$617</w:t>
            </w:r>
          </w:p>
        </w:tc>
        <w:tc>
          <w:tcPr>
            <w:tcW w:w="630" w:type="dxa"/>
            <w:tcBorders>
              <w:top w:val="single" w:sz="6" w:space="0" w:color="auto"/>
              <w:left w:val="dashed" w:sz="4" w:space="0" w:color="auto"/>
              <w:bottom w:val="single" w:sz="6" w:space="0" w:color="auto"/>
              <w:right w:val="single" w:sz="6" w:space="0" w:color="auto"/>
            </w:tcBorders>
            <w:vAlign w:val="center"/>
          </w:tcPr>
          <w:p w:rsidR="0030355C" w:rsidRPr="008644F1" w:rsidRDefault="0030355C" w:rsidP="004526BF">
            <w:pPr>
              <w:jc w:val="center"/>
            </w:pPr>
            <w:r w:rsidRPr="008644F1">
              <w:t>1%</w:t>
            </w:r>
          </w:p>
        </w:tc>
        <w:tc>
          <w:tcPr>
            <w:tcW w:w="1257" w:type="dxa"/>
            <w:tcBorders>
              <w:top w:val="single" w:sz="6" w:space="0" w:color="auto"/>
              <w:left w:val="single" w:sz="6" w:space="0" w:color="auto"/>
              <w:bottom w:val="single" w:sz="6" w:space="0" w:color="auto"/>
              <w:right w:val="dashed" w:sz="4" w:space="0" w:color="auto"/>
            </w:tcBorders>
            <w:vAlign w:val="center"/>
          </w:tcPr>
          <w:p w:rsidR="0030355C" w:rsidRPr="008644F1" w:rsidRDefault="0030355C" w:rsidP="0030355C">
            <w:pPr>
              <w:jc w:val="right"/>
            </w:pPr>
            <w:r w:rsidRPr="008644F1">
              <w:t>$21,384</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8644F1" w:rsidRDefault="0030355C" w:rsidP="004526BF">
            <w:pPr>
              <w:jc w:val="center"/>
            </w:pPr>
            <w:r w:rsidRPr="008644F1">
              <w:t>33%</w:t>
            </w:r>
          </w:p>
        </w:tc>
        <w:tc>
          <w:tcPr>
            <w:tcW w:w="1242" w:type="dxa"/>
            <w:tcBorders>
              <w:top w:val="single" w:sz="6" w:space="0" w:color="auto"/>
              <w:left w:val="single" w:sz="6" w:space="0" w:color="auto"/>
              <w:bottom w:val="single" w:sz="6" w:space="0" w:color="auto"/>
              <w:right w:val="single" w:sz="6" w:space="0" w:color="auto"/>
            </w:tcBorders>
            <w:vAlign w:val="center"/>
          </w:tcPr>
          <w:p w:rsidR="0030355C" w:rsidRPr="008644F1" w:rsidRDefault="0030355C" w:rsidP="0030355C">
            <w:pPr>
              <w:jc w:val="right"/>
            </w:pPr>
            <w:r w:rsidRPr="008644F1">
              <w:t>$44,005</w:t>
            </w:r>
          </w:p>
        </w:tc>
        <w:tc>
          <w:tcPr>
            <w:tcW w:w="1278" w:type="dxa"/>
            <w:tcBorders>
              <w:top w:val="single" w:sz="6" w:space="0" w:color="auto"/>
              <w:left w:val="single" w:sz="6" w:space="0" w:color="auto"/>
              <w:bottom w:val="single" w:sz="6" w:space="0" w:color="auto"/>
              <w:right w:val="single" w:sz="6" w:space="0" w:color="auto"/>
            </w:tcBorders>
            <w:vAlign w:val="center"/>
          </w:tcPr>
          <w:p w:rsidR="0030355C" w:rsidRPr="008644F1" w:rsidRDefault="0030355C" w:rsidP="0030355C">
            <w:pPr>
              <w:jc w:val="right"/>
            </w:pPr>
            <w:r w:rsidRPr="008644F1">
              <w:t>$65,389</w:t>
            </w:r>
          </w:p>
        </w:tc>
      </w:tr>
      <w:tr w:rsidR="0030355C" w:rsidRPr="00B00C3A">
        <w:trPr>
          <w:trHeight w:val="792"/>
          <w:jc w:val="right"/>
        </w:trPr>
        <w:tc>
          <w:tcPr>
            <w:tcW w:w="3720" w:type="dxa"/>
            <w:tcBorders>
              <w:top w:val="single" w:sz="6" w:space="0" w:color="auto"/>
              <w:left w:val="single" w:sz="6" w:space="0" w:color="auto"/>
              <w:bottom w:val="single" w:sz="6" w:space="0" w:color="auto"/>
              <w:right w:val="single" w:sz="6" w:space="0" w:color="auto"/>
            </w:tcBorders>
          </w:tcPr>
          <w:p w:rsidR="0030355C" w:rsidRPr="00B00C3A" w:rsidRDefault="0030355C" w:rsidP="00BA40DA">
            <w:pPr>
              <w:spacing w:before="120" w:after="120"/>
              <w:rPr>
                <w:sz w:val="18"/>
              </w:rPr>
            </w:pPr>
            <w:r w:rsidRPr="00B00C3A">
              <w:rPr>
                <w:sz w:val="18"/>
              </w:rPr>
              <w:t>3.2. National and local institutions have the capacities to prevent, reduce and mitigate the impact of conflict</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8644F1" w:rsidRDefault="0030355C" w:rsidP="0030355C">
            <w:pPr>
              <w:jc w:val="right"/>
            </w:pPr>
            <w:r w:rsidRPr="008644F1">
              <w:t>$9,495</w:t>
            </w:r>
          </w:p>
        </w:tc>
        <w:tc>
          <w:tcPr>
            <w:tcW w:w="627" w:type="dxa"/>
            <w:tcBorders>
              <w:top w:val="single" w:sz="6" w:space="0" w:color="auto"/>
              <w:left w:val="dashed" w:sz="4" w:space="0" w:color="auto"/>
              <w:bottom w:val="single" w:sz="6" w:space="0" w:color="auto"/>
              <w:right w:val="single" w:sz="6" w:space="0" w:color="auto"/>
            </w:tcBorders>
            <w:vAlign w:val="center"/>
          </w:tcPr>
          <w:p w:rsidR="0030355C" w:rsidRPr="008644F1" w:rsidRDefault="0030355C" w:rsidP="004526BF">
            <w:pPr>
              <w:jc w:val="center"/>
            </w:pPr>
            <w:r w:rsidRPr="008644F1">
              <w:t>8%</w:t>
            </w:r>
          </w:p>
        </w:tc>
        <w:tc>
          <w:tcPr>
            <w:tcW w:w="1170" w:type="dxa"/>
            <w:tcBorders>
              <w:top w:val="single" w:sz="6" w:space="0" w:color="auto"/>
              <w:left w:val="single" w:sz="6" w:space="0" w:color="auto"/>
              <w:bottom w:val="single" w:sz="6" w:space="0" w:color="auto"/>
              <w:right w:val="dashed" w:sz="4" w:space="0" w:color="auto"/>
            </w:tcBorders>
            <w:vAlign w:val="center"/>
          </w:tcPr>
          <w:p w:rsidR="0030355C" w:rsidRPr="008644F1" w:rsidRDefault="0030355C" w:rsidP="0030355C">
            <w:pPr>
              <w:jc w:val="right"/>
            </w:pPr>
            <w:r w:rsidRPr="008644F1">
              <w:t>$112,155</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8644F1" w:rsidRDefault="0030355C" w:rsidP="004526BF">
            <w:pPr>
              <w:jc w:val="center"/>
            </w:pPr>
            <w:r w:rsidRPr="008644F1">
              <w:t>92%</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8644F1" w:rsidRDefault="0030355C" w:rsidP="0030355C">
            <w:pPr>
              <w:jc w:val="right"/>
            </w:pPr>
            <w:r w:rsidRPr="008644F1">
              <w:t>$356</w:t>
            </w:r>
          </w:p>
        </w:tc>
        <w:tc>
          <w:tcPr>
            <w:tcW w:w="630" w:type="dxa"/>
            <w:tcBorders>
              <w:top w:val="single" w:sz="6" w:space="0" w:color="auto"/>
              <w:left w:val="dashed" w:sz="4" w:space="0" w:color="auto"/>
              <w:bottom w:val="single" w:sz="6" w:space="0" w:color="auto"/>
              <w:right w:val="single" w:sz="6" w:space="0" w:color="auto"/>
            </w:tcBorders>
            <w:vAlign w:val="center"/>
          </w:tcPr>
          <w:p w:rsidR="0030355C" w:rsidRPr="008644F1" w:rsidRDefault="0030355C" w:rsidP="004526BF">
            <w:pPr>
              <w:jc w:val="center"/>
            </w:pPr>
            <w:r w:rsidRPr="008644F1">
              <w:t>0%</w:t>
            </w:r>
          </w:p>
        </w:tc>
        <w:tc>
          <w:tcPr>
            <w:tcW w:w="1257" w:type="dxa"/>
            <w:tcBorders>
              <w:top w:val="single" w:sz="6" w:space="0" w:color="auto"/>
              <w:left w:val="single" w:sz="6" w:space="0" w:color="auto"/>
              <w:bottom w:val="single" w:sz="6" w:space="0" w:color="auto"/>
              <w:right w:val="dashed" w:sz="4" w:space="0" w:color="auto"/>
            </w:tcBorders>
            <w:vAlign w:val="center"/>
          </w:tcPr>
          <w:p w:rsidR="0030355C" w:rsidRPr="008644F1" w:rsidRDefault="0030355C" w:rsidP="0030355C">
            <w:pPr>
              <w:jc w:val="right"/>
            </w:pPr>
            <w:r w:rsidRPr="008644F1">
              <w:t>$18,678</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8644F1" w:rsidRDefault="0030355C" w:rsidP="004526BF">
            <w:pPr>
              <w:jc w:val="center"/>
            </w:pPr>
            <w:r w:rsidRPr="008644F1">
              <w:t>15%</w:t>
            </w:r>
          </w:p>
        </w:tc>
        <w:tc>
          <w:tcPr>
            <w:tcW w:w="1242" w:type="dxa"/>
            <w:tcBorders>
              <w:top w:val="single" w:sz="6" w:space="0" w:color="auto"/>
              <w:left w:val="single" w:sz="6" w:space="0" w:color="auto"/>
              <w:bottom w:val="single" w:sz="6" w:space="0" w:color="auto"/>
              <w:right w:val="single" w:sz="6" w:space="0" w:color="auto"/>
            </w:tcBorders>
            <w:vAlign w:val="center"/>
          </w:tcPr>
          <w:p w:rsidR="0030355C" w:rsidRPr="008644F1" w:rsidRDefault="0030355C" w:rsidP="0030355C">
            <w:pPr>
              <w:jc w:val="right"/>
            </w:pPr>
            <w:r w:rsidRPr="008644F1">
              <w:t>$103,328</w:t>
            </w:r>
          </w:p>
        </w:tc>
        <w:tc>
          <w:tcPr>
            <w:tcW w:w="1278" w:type="dxa"/>
            <w:tcBorders>
              <w:top w:val="single" w:sz="6" w:space="0" w:color="auto"/>
              <w:left w:val="single" w:sz="6" w:space="0" w:color="auto"/>
              <w:bottom w:val="single" w:sz="6" w:space="0" w:color="auto"/>
              <w:right w:val="single" w:sz="6" w:space="0" w:color="auto"/>
            </w:tcBorders>
            <w:vAlign w:val="center"/>
          </w:tcPr>
          <w:p w:rsidR="0030355C" w:rsidRPr="008644F1" w:rsidRDefault="0030355C" w:rsidP="0030355C">
            <w:pPr>
              <w:jc w:val="right"/>
            </w:pPr>
            <w:r w:rsidRPr="008644F1">
              <w:t>$122,006</w:t>
            </w:r>
          </w:p>
        </w:tc>
      </w:tr>
      <w:tr w:rsidR="0030355C" w:rsidRPr="00B00C3A">
        <w:trPr>
          <w:trHeight w:val="595"/>
          <w:jc w:val="right"/>
        </w:trPr>
        <w:tc>
          <w:tcPr>
            <w:tcW w:w="3720" w:type="dxa"/>
            <w:tcBorders>
              <w:top w:val="single" w:sz="6" w:space="0" w:color="auto"/>
              <w:left w:val="single" w:sz="6" w:space="0" w:color="auto"/>
              <w:bottom w:val="single" w:sz="6" w:space="0" w:color="auto"/>
              <w:right w:val="single" w:sz="6" w:space="0" w:color="auto"/>
            </w:tcBorders>
          </w:tcPr>
          <w:p w:rsidR="0030355C" w:rsidRPr="00B00C3A" w:rsidRDefault="0030355C" w:rsidP="00BA40DA">
            <w:pPr>
              <w:spacing w:before="120" w:after="120"/>
              <w:rPr>
                <w:sz w:val="18"/>
              </w:rPr>
            </w:pPr>
            <w:r w:rsidRPr="00B00C3A">
              <w:rPr>
                <w:sz w:val="18"/>
              </w:rPr>
              <w:t>3.3. National and local institutions have the capacities to fulfill key functions of government for recovery in early post-crisis situations</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8644F1" w:rsidRDefault="0030355C" w:rsidP="0030355C">
            <w:pPr>
              <w:jc w:val="right"/>
            </w:pPr>
            <w:r w:rsidRPr="008644F1">
              <w:t>$4,468</w:t>
            </w:r>
          </w:p>
        </w:tc>
        <w:tc>
          <w:tcPr>
            <w:tcW w:w="627" w:type="dxa"/>
            <w:tcBorders>
              <w:top w:val="single" w:sz="6" w:space="0" w:color="auto"/>
              <w:left w:val="dashed" w:sz="4" w:space="0" w:color="auto"/>
              <w:bottom w:val="single" w:sz="6" w:space="0" w:color="auto"/>
              <w:right w:val="single" w:sz="6" w:space="0" w:color="auto"/>
            </w:tcBorders>
            <w:vAlign w:val="center"/>
          </w:tcPr>
          <w:p w:rsidR="0030355C" w:rsidRPr="008644F1" w:rsidRDefault="0030355C" w:rsidP="004526BF">
            <w:pPr>
              <w:jc w:val="center"/>
            </w:pPr>
            <w:r w:rsidRPr="008644F1">
              <w:t>13%</w:t>
            </w:r>
          </w:p>
        </w:tc>
        <w:tc>
          <w:tcPr>
            <w:tcW w:w="1170" w:type="dxa"/>
            <w:tcBorders>
              <w:top w:val="single" w:sz="6" w:space="0" w:color="auto"/>
              <w:left w:val="single" w:sz="6" w:space="0" w:color="auto"/>
              <w:bottom w:val="single" w:sz="6" w:space="0" w:color="auto"/>
              <w:right w:val="dashed" w:sz="4" w:space="0" w:color="auto"/>
            </w:tcBorders>
            <w:vAlign w:val="center"/>
          </w:tcPr>
          <w:p w:rsidR="0030355C" w:rsidRPr="008644F1" w:rsidRDefault="0030355C" w:rsidP="0030355C">
            <w:pPr>
              <w:jc w:val="right"/>
            </w:pPr>
            <w:r w:rsidRPr="008644F1">
              <w:t>$23,456</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8644F1" w:rsidRDefault="0030355C" w:rsidP="004526BF">
            <w:pPr>
              <w:jc w:val="center"/>
            </w:pPr>
            <w:r w:rsidRPr="008644F1">
              <w:t>67%</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8644F1" w:rsidRDefault="0030355C" w:rsidP="0030355C">
            <w:pPr>
              <w:jc w:val="right"/>
            </w:pPr>
            <w:r w:rsidRPr="008644F1">
              <w:t>$7,152</w:t>
            </w:r>
          </w:p>
        </w:tc>
        <w:tc>
          <w:tcPr>
            <w:tcW w:w="630" w:type="dxa"/>
            <w:tcBorders>
              <w:top w:val="single" w:sz="6" w:space="0" w:color="auto"/>
              <w:left w:val="dashed" w:sz="4" w:space="0" w:color="auto"/>
              <w:bottom w:val="single" w:sz="6" w:space="0" w:color="auto"/>
              <w:right w:val="single" w:sz="6" w:space="0" w:color="auto"/>
            </w:tcBorders>
            <w:vAlign w:val="center"/>
          </w:tcPr>
          <w:p w:rsidR="0030355C" w:rsidRPr="008644F1" w:rsidRDefault="0030355C" w:rsidP="004526BF">
            <w:pPr>
              <w:jc w:val="center"/>
            </w:pPr>
            <w:r w:rsidRPr="008644F1">
              <w:t>20%</w:t>
            </w:r>
          </w:p>
        </w:tc>
        <w:tc>
          <w:tcPr>
            <w:tcW w:w="1257" w:type="dxa"/>
            <w:tcBorders>
              <w:top w:val="single" w:sz="6" w:space="0" w:color="auto"/>
              <w:left w:val="single" w:sz="6" w:space="0" w:color="auto"/>
              <w:bottom w:val="single" w:sz="6" w:space="0" w:color="auto"/>
              <w:right w:val="dashed" w:sz="4" w:space="0" w:color="auto"/>
            </w:tcBorders>
            <w:vAlign w:val="center"/>
          </w:tcPr>
          <w:p w:rsidR="0030355C" w:rsidRPr="008644F1" w:rsidRDefault="0030355C" w:rsidP="0030355C">
            <w:pPr>
              <w:jc w:val="right"/>
            </w:pPr>
            <w:r w:rsidRPr="008644F1">
              <w:t>$33,542</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8644F1" w:rsidRDefault="0030355C" w:rsidP="004526BF">
            <w:pPr>
              <w:jc w:val="center"/>
            </w:pPr>
            <w:r w:rsidRPr="008644F1">
              <w:t>96%</w:t>
            </w:r>
          </w:p>
        </w:tc>
        <w:tc>
          <w:tcPr>
            <w:tcW w:w="1242" w:type="dxa"/>
            <w:tcBorders>
              <w:top w:val="single" w:sz="6" w:space="0" w:color="auto"/>
              <w:left w:val="single" w:sz="6" w:space="0" w:color="auto"/>
              <w:bottom w:val="single" w:sz="6" w:space="0" w:color="auto"/>
              <w:right w:val="single" w:sz="6" w:space="0" w:color="auto"/>
            </w:tcBorders>
            <w:vAlign w:val="center"/>
          </w:tcPr>
          <w:p w:rsidR="0030355C" w:rsidRPr="008644F1" w:rsidRDefault="0030355C" w:rsidP="0030355C">
            <w:pPr>
              <w:jc w:val="right"/>
            </w:pPr>
            <w:r w:rsidRPr="008644F1">
              <w:t>$1,535</w:t>
            </w:r>
          </w:p>
        </w:tc>
        <w:tc>
          <w:tcPr>
            <w:tcW w:w="1278" w:type="dxa"/>
            <w:tcBorders>
              <w:top w:val="single" w:sz="6" w:space="0" w:color="auto"/>
              <w:left w:val="single" w:sz="6" w:space="0" w:color="auto"/>
              <w:bottom w:val="single" w:sz="6" w:space="0" w:color="auto"/>
              <w:right w:val="single" w:sz="6" w:space="0" w:color="auto"/>
            </w:tcBorders>
            <w:vAlign w:val="center"/>
          </w:tcPr>
          <w:p w:rsidR="0030355C" w:rsidRPr="008644F1" w:rsidRDefault="0030355C" w:rsidP="0030355C">
            <w:pPr>
              <w:jc w:val="right"/>
            </w:pPr>
            <w:r w:rsidRPr="008644F1">
              <w:t>$35,077</w:t>
            </w:r>
          </w:p>
        </w:tc>
      </w:tr>
      <w:tr w:rsidR="0030355C" w:rsidRPr="00B00C3A">
        <w:trPr>
          <w:trHeight w:val="394"/>
          <w:jc w:val="right"/>
        </w:trPr>
        <w:tc>
          <w:tcPr>
            <w:tcW w:w="3720" w:type="dxa"/>
            <w:tcBorders>
              <w:top w:val="single" w:sz="6" w:space="0" w:color="auto"/>
              <w:left w:val="single" w:sz="6" w:space="0" w:color="auto"/>
              <w:bottom w:val="single" w:sz="6" w:space="0" w:color="auto"/>
              <w:right w:val="single" w:sz="6" w:space="0" w:color="auto"/>
            </w:tcBorders>
          </w:tcPr>
          <w:p w:rsidR="0030355C" w:rsidRPr="00B00C3A" w:rsidRDefault="0030355C" w:rsidP="00BA40DA">
            <w:pPr>
              <w:spacing w:before="120" w:after="120"/>
              <w:rPr>
                <w:sz w:val="18"/>
              </w:rPr>
            </w:pPr>
            <w:r w:rsidRPr="00B00C3A">
              <w:rPr>
                <w:sz w:val="18"/>
              </w:rPr>
              <w:t>3.4. National and local institutions have the capacity to respond to gender-based violence and to increase women’s civic engagement, participation and leadership in crisis prevention, ongoing crisis and post-crisis contexts</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8644F1" w:rsidRDefault="0030355C" w:rsidP="0030355C">
            <w:pPr>
              <w:jc w:val="right"/>
            </w:pPr>
            <w:r w:rsidRPr="008644F1">
              <w:t>$0</w:t>
            </w:r>
          </w:p>
        </w:tc>
        <w:tc>
          <w:tcPr>
            <w:tcW w:w="627" w:type="dxa"/>
            <w:tcBorders>
              <w:top w:val="single" w:sz="6" w:space="0" w:color="auto"/>
              <w:left w:val="dashed" w:sz="4" w:space="0" w:color="auto"/>
              <w:bottom w:val="single" w:sz="6" w:space="0" w:color="auto"/>
              <w:right w:val="single" w:sz="6" w:space="0" w:color="auto"/>
            </w:tcBorders>
            <w:vAlign w:val="center"/>
          </w:tcPr>
          <w:p w:rsidR="0030355C" w:rsidRPr="008644F1" w:rsidRDefault="0030355C" w:rsidP="004526BF">
            <w:pPr>
              <w:jc w:val="center"/>
            </w:pPr>
            <w:r w:rsidRPr="008644F1">
              <w:t>0%</w:t>
            </w:r>
          </w:p>
        </w:tc>
        <w:tc>
          <w:tcPr>
            <w:tcW w:w="1170" w:type="dxa"/>
            <w:tcBorders>
              <w:top w:val="single" w:sz="6" w:space="0" w:color="auto"/>
              <w:left w:val="single" w:sz="6" w:space="0" w:color="auto"/>
              <w:bottom w:val="single" w:sz="6" w:space="0" w:color="auto"/>
              <w:right w:val="dashed" w:sz="4" w:space="0" w:color="auto"/>
            </w:tcBorders>
            <w:vAlign w:val="center"/>
          </w:tcPr>
          <w:p w:rsidR="0030355C" w:rsidRPr="008644F1" w:rsidRDefault="0030355C" w:rsidP="0030355C">
            <w:pPr>
              <w:jc w:val="right"/>
            </w:pPr>
            <w:r w:rsidRPr="008644F1">
              <w:t>$459</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8644F1" w:rsidRDefault="0030355C" w:rsidP="00ED3622">
            <w:pPr>
              <w:ind w:left="-108" w:right="-90"/>
              <w:jc w:val="center"/>
            </w:pPr>
            <w:r w:rsidRPr="008644F1">
              <w:t>100%</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8644F1" w:rsidRDefault="0030355C" w:rsidP="0030355C">
            <w:pPr>
              <w:jc w:val="right"/>
            </w:pPr>
            <w:r w:rsidRPr="008644F1">
              <w:t>$0</w:t>
            </w:r>
          </w:p>
        </w:tc>
        <w:tc>
          <w:tcPr>
            <w:tcW w:w="630" w:type="dxa"/>
            <w:tcBorders>
              <w:top w:val="single" w:sz="6" w:space="0" w:color="auto"/>
              <w:left w:val="dashed" w:sz="4" w:space="0" w:color="auto"/>
              <w:bottom w:val="single" w:sz="6" w:space="0" w:color="auto"/>
              <w:right w:val="single" w:sz="6" w:space="0" w:color="auto"/>
            </w:tcBorders>
            <w:vAlign w:val="center"/>
          </w:tcPr>
          <w:p w:rsidR="0030355C" w:rsidRPr="008644F1" w:rsidRDefault="0030355C" w:rsidP="004526BF">
            <w:pPr>
              <w:jc w:val="center"/>
            </w:pPr>
            <w:r w:rsidRPr="008644F1">
              <w:t>0%</w:t>
            </w:r>
          </w:p>
        </w:tc>
        <w:tc>
          <w:tcPr>
            <w:tcW w:w="1257" w:type="dxa"/>
            <w:tcBorders>
              <w:top w:val="single" w:sz="6" w:space="0" w:color="auto"/>
              <w:left w:val="single" w:sz="6" w:space="0" w:color="auto"/>
              <w:bottom w:val="single" w:sz="6" w:space="0" w:color="auto"/>
              <w:right w:val="dashed" w:sz="4" w:space="0" w:color="auto"/>
            </w:tcBorders>
            <w:vAlign w:val="center"/>
          </w:tcPr>
          <w:p w:rsidR="0030355C" w:rsidRPr="008644F1" w:rsidRDefault="0030355C" w:rsidP="0030355C">
            <w:pPr>
              <w:jc w:val="right"/>
            </w:pPr>
            <w:r w:rsidRPr="008644F1">
              <w:t>$459</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8644F1" w:rsidRDefault="0030355C" w:rsidP="00ED3622">
            <w:pPr>
              <w:ind w:left="-108" w:right="-180"/>
              <w:jc w:val="center"/>
            </w:pPr>
            <w:r w:rsidRPr="008644F1">
              <w:t>100%</w:t>
            </w:r>
          </w:p>
        </w:tc>
        <w:tc>
          <w:tcPr>
            <w:tcW w:w="1242" w:type="dxa"/>
            <w:tcBorders>
              <w:top w:val="single" w:sz="6" w:space="0" w:color="auto"/>
              <w:left w:val="single" w:sz="6" w:space="0" w:color="auto"/>
              <w:bottom w:val="single" w:sz="6" w:space="0" w:color="auto"/>
              <w:right w:val="single" w:sz="6" w:space="0" w:color="auto"/>
            </w:tcBorders>
            <w:vAlign w:val="center"/>
          </w:tcPr>
          <w:p w:rsidR="0030355C" w:rsidRPr="008644F1" w:rsidRDefault="0030355C" w:rsidP="0030355C">
            <w:pPr>
              <w:jc w:val="right"/>
            </w:pPr>
            <w:r w:rsidRPr="008644F1">
              <w:t>$0</w:t>
            </w:r>
          </w:p>
        </w:tc>
        <w:tc>
          <w:tcPr>
            <w:tcW w:w="1278" w:type="dxa"/>
            <w:tcBorders>
              <w:top w:val="single" w:sz="6" w:space="0" w:color="auto"/>
              <w:left w:val="single" w:sz="6" w:space="0" w:color="auto"/>
              <w:bottom w:val="single" w:sz="6" w:space="0" w:color="auto"/>
              <w:right w:val="single" w:sz="6" w:space="0" w:color="auto"/>
            </w:tcBorders>
            <w:vAlign w:val="center"/>
          </w:tcPr>
          <w:p w:rsidR="0030355C" w:rsidRPr="008644F1" w:rsidRDefault="0030355C" w:rsidP="0030355C">
            <w:pPr>
              <w:jc w:val="right"/>
            </w:pPr>
            <w:r w:rsidRPr="008644F1">
              <w:t>$459</w:t>
            </w:r>
          </w:p>
        </w:tc>
      </w:tr>
      <w:tr w:rsidR="0030355C" w:rsidRPr="00B00C3A">
        <w:trPr>
          <w:trHeight w:val="595"/>
          <w:jc w:val="right"/>
        </w:trPr>
        <w:tc>
          <w:tcPr>
            <w:tcW w:w="3720" w:type="dxa"/>
            <w:tcBorders>
              <w:top w:val="single" w:sz="6" w:space="0" w:color="auto"/>
              <w:left w:val="single" w:sz="6" w:space="0" w:color="auto"/>
              <w:bottom w:val="single" w:sz="6" w:space="0" w:color="auto"/>
              <w:right w:val="single" w:sz="6" w:space="0" w:color="auto"/>
            </w:tcBorders>
          </w:tcPr>
          <w:p w:rsidR="0030355C" w:rsidRPr="00B00C3A" w:rsidRDefault="0030355C" w:rsidP="00BA40DA">
            <w:pPr>
              <w:spacing w:before="120" w:after="120"/>
              <w:rPr>
                <w:sz w:val="18"/>
              </w:rPr>
            </w:pPr>
            <w:r w:rsidRPr="00B00C3A">
              <w:rPr>
                <w:sz w:val="18"/>
              </w:rPr>
              <w:t xml:space="preserve">3.5. National and local institutions have the capacity to deliver improved justice and </w:t>
            </w:r>
            <w:r w:rsidRPr="00B00C3A">
              <w:rPr>
                <w:sz w:val="18"/>
              </w:rPr>
              <w:lastRenderedPageBreak/>
              <w:t>security, including safeguarding citizen security, in conflict-affected settings</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8644F1" w:rsidRDefault="0030355C" w:rsidP="0030355C">
            <w:pPr>
              <w:jc w:val="right"/>
            </w:pPr>
            <w:r w:rsidRPr="008644F1">
              <w:lastRenderedPageBreak/>
              <w:t>$6,232</w:t>
            </w:r>
          </w:p>
        </w:tc>
        <w:tc>
          <w:tcPr>
            <w:tcW w:w="627" w:type="dxa"/>
            <w:tcBorders>
              <w:top w:val="single" w:sz="6" w:space="0" w:color="auto"/>
              <w:left w:val="dashed" w:sz="4" w:space="0" w:color="auto"/>
              <w:bottom w:val="single" w:sz="6" w:space="0" w:color="auto"/>
              <w:right w:val="single" w:sz="6" w:space="0" w:color="auto"/>
            </w:tcBorders>
            <w:vAlign w:val="center"/>
          </w:tcPr>
          <w:p w:rsidR="0030355C" w:rsidRPr="008644F1" w:rsidRDefault="0030355C" w:rsidP="004526BF">
            <w:pPr>
              <w:jc w:val="center"/>
            </w:pPr>
            <w:r w:rsidRPr="008644F1">
              <w:t>1%</w:t>
            </w:r>
          </w:p>
        </w:tc>
        <w:tc>
          <w:tcPr>
            <w:tcW w:w="1170" w:type="dxa"/>
            <w:tcBorders>
              <w:top w:val="single" w:sz="6" w:space="0" w:color="auto"/>
              <w:left w:val="single" w:sz="6" w:space="0" w:color="auto"/>
              <w:bottom w:val="single" w:sz="6" w:space="0" w:color="auto"/>
              <w:right w:val="dashed" w:sz="4" w:space="0" w:color="auto"/>
            </w:tcBorders>
            <w:vAlign w:val="center"/>
          </w:tcPr>
          <w:p w:rsidR="0030355C" w:rsidRPr="008644F1" w:rsidRDefault="0030355C" w:rsidP="0030355C">
            <w:pPr>
              <w:jc w:val="right"/>
            </w:pPr>
            <w:r w:rsidRPr="008644F1">
              <w:t>$591,169</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8644F1" w:rsidRDefault="0030355C" w:rsidP="004526BF">
            <w:pPr>
              <w:jc w:val="center"/>
            </w:pPr>
            <w:r w:rsidRPr="008644F1">
              <w:t>97%</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8644F1" w:rsidRDefault="0030355C" w:rsidP="0030355C">
            <w:pPr>
              <w:jc w:val="right"/>
            </w:pPr>
            <w:r w:rsidRPr="008644F1">
              <w:t>$10,827</w:t>
            </w:r>
          </w:p>
        </w:tc>
        <w:tc>
          <w:tcPr>
            <w:tcW w:w="630" w:type="dxa"/>
            <w:tcBorders>
              <w:top w:val="single" w:sz="6" w:space="0" w:color="auto"/>
              <w:left w:val="dashed" w:sz="4" w:space="0" w:color="auto"/>
              <w:bottom w:val="single" w:sz="6" w:space="0" w:color="auto"/>
              <w:right w:val="single" w:sz="6" w:space="0" w:color="auto"/>
            </w:tcBorders>
            <w:vAlign w:val="center"/>
          </w:tcPr>
          <w:p w:rsidR="0030355C" w:rsidRPr="008644F1" w:rsidRDefault="0030355C" w:rsidP="004526BF">
            <w:pPr>
              <w:jc w:val="center"/>
            </w:pPr>
            <w:r w:rsidRPr="008644F1">
              <w:t>2%</w:t>
            </w:r>
          </w:p>
        </w:tc>
        <w:tc>
          <w:tcPr>
            <w:tcW w:w="1257" w:type="dxa"/>
            <w:tcBorders>
              <w:top w:val="single" w:sz="6" w:space="0" w:color="auto"/>
              <w:left w:val="single" w:sz="6" w:space="0" w:color="auto"/>
              <w:bottom w:val="single" w:sz="6" w:space="0" w:color="auto"/>
              <w:right w:val="dashed" w:sz="4" w:space="0" w:color="auto"/>
            </w:tcBorders>
            <w:vAlign w:val="center"/>
          </w:tcPr>
          <w:p w:rsidR="0030355C" w:rsidRPr="008644F1" w:rsidRDefault="0030355C" w:rsidP="0030355C">
            <w:pPr>
              <w:jc w:val="right"/>
            </w:pPr>
            <w:r w:rsidRPr="008644F1">
              <w:t>$26,309</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8644F1" w:rsidRDefault="0030355C" w:rsidP="004526BF">
            <w:pPr>
              <w:jc w:val="center"/>
            </w:pPr>
            <w:r w:rsidRPr="008644F1">
              <w:t>4%</w:t>
            </w:r>
          </w:p>
        </w:tc>
        <w:tc>
          <w:tcPr>
            <w:tcW w:w="1242" w:type="dxa"/>
            <w:tcBorders>
              <w:top w:val="single" w:sz="6" w:space="0" w:color="auto"/>
              <w:left w:val="single" w:sz="6" w:space="0" w:color="auto"/>
              <w:bottom w:val="single" w:sz="6" w:space="0" w:color="auto"/>
              <w:right w:val="single" w:sz="6" w:space="0" w:color="auto"/>
            </w:tcBorders>
            <w:vAlign w:val="center"/>
          </w:tcPr>
          <w:p w:rsidR="0030355C" w:rsidRPr="008644F1" w:rsidRDefault="0030355C" w:rsidP="0030355C">
            <w:pPr>
              <w:jc w:val="right"/>
            </w:pPr>
            <w:r w:rsidRPr="008644F1">
              <w:t>$581,918</w:t>
            </w:r>
          </w:p>
        </w:tc>
        <w:tc>
          <w:tcPr>
            <w:tcW w:w="1278" w:type="dxa"/>
            <w:tcBorders>
              <w:top w:val="single" w:sz="6" w:space="0" w:color="auto"/>
              <w:left w:val="single" w:sz="6" w:space="0" w:color="auto"/>
              <w:bottom w:val="single" w:sz="6" w:space="0" w:color="auto"/>
              <w:right w:val="single" w:sz="6" w:space="0" w:color="auto"/>
            </w:tcBorders>
            <w:vAlign w:val="center"/>
          </w:tcPr>
          <w:p w:rsidR="0030355C" w:rsidRPr="008644F1" w:rsidRDefault="0030355C" w:rsidP="0030355C">
            <w:pPr>
              <w:jc w:val="right"/>
            </w:pPr>
            <w:r w:rsidRPr="008644F1">
              <w:t>$608,227</w:t>
            </w:r>
          </w:p>
        </w:tc>
      </w:tr>
      <w:tr w:rsidR="0030355C" w:rsidRPr="00B00C3A">
        <w:trPr>
          <w:trHeight w:val="595"/>
          <w:jc w:val="right"/>
        </w:trPr>
        <w:tc>
          <w:tcPr>
            <w:tcW w:w="3720" w:type="dxa"/>
            <w:tcBorders>
              <w:top w:val="single" w:sz="6" w:space="0" w:color="auto"/>
              <w:left w:val="single" w:sz="6" w:space="0" w:color="auto"/>
              <w:bottom w:val="single" w:sz="6" w:space="0" w:color="auto"/>
              <w:right w:val="single" w:sz="6" w:space="0" w:color="auto"/>
            </w:tcBorders>
          </w:tcPr>
          <w:p w:rsidR="0030355C" w:rsidRPr="00B00C3A" w:rsidRDefault="0030355C" w:rsidP="00BA40DA">
            <w:pPr>
              <w:spacing w:before="120" w:after="120"/>
              <w:rPr>
                <w:sz w:val="18"/>
              </w:rPr>
            </w:pPr>
            <w:r w:rsidRPr="00B00C3A">
              <w:rPr>
                <w:sz w:val="18"/>
              </w:rPr>
              <w:lastRenderedPageBreak/>
              <w:t>3.6. Livelihoods and economic recovery generated, including infrastructure restoration, employment and sustainable income earning opportunities for crisis affected communities</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8644F1" w:rsidRDefault="0030355C" w:rsidP="0030355C">
            <w:pPr>
              <w:jc w:val="right"/>
            </w:pPr>
            <w:r w:rsidRPr="008644F1">
              <w:t>$14,797</w:t>
            </w:r>
          </w:p>
        </w:tc>
        <w:tc>
          <w:tcPr>
            <w:tcW w:w="627" w:type="dxa"/>
            <w:tcBorders>
              <w:top w:val="single" w:sz="6" w:space="0" w:color="auto"/>
              <w:left w:val="dashed" w:sz="4" w:space="0" w:color="auto"/>
              <w:bottom w:val="single" w:sz="6" w:space="0" w:color="auto"/>
              <w:right w:val="single" w:sz="6" w:space="0" w:color="auto"/>
            </w:tcBorders>
            <w:vAlign w:val="center"/>
          </w:tcPr>
          <w:p w:rsidR="0030355C" w:rsidRPr="008644F1" w:rsidRDefault="0030355C" w:rsidP="004526BF">
            <w:pPr>
              <w:jc w:val="center"/>
            </w:pPr>
            <w:r w:rsidRPr="008644F1">
              <w:t>12%</w:t>
            </w:r>
          </w:p>
        </w:tc>
        <w:tc>
          <w:tcPr>
            <w:tcW w:w="1170" w:type="dxa"/>
            <w:tcBorders>
              <w:top w:val="single" w:sz="6" w:space="0" w:color="auto"/>
              <w:left w:val="single" w:sz="6" w:space="0" w:color="auto"/>
              <w:bottom w:val="single" w:sz="6" w:space="0" w:color="auto"/>
              <w:right w:val="dashed" w:sz="4" w:space="0" w:color="auto"/>
            </w:tcBorders>
            <w:vAlign w:val="center"/>
          </w:tcPr>
          <w:p w:rsidR="0030355C" w:rsidRPr="008644F1" w:rsidRDefault="0030355C" w:rsidP="0030355C">
            <w:pPr>
              <w:jc w:val="right"/>
            </w:pPr>
            <w:r w:rsidRPr="008644F1">
              <w:t>$109,694</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8644F1" w:rsidRDefault="0030355C" w:rsidP="004526BF">
            <w:pPr>
              <w:jc w:val="center"/>
            </w:pPr>
            <w:r w:rsidRPr="008644F1">
              <w:t>86%</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8644F1" w:rsidRDefault="0030355C" w:rsidP="0030355C">
            <w:pPr>
              <w:jc w:val="right"/>
            </w:pPr>
            <w:r w:rsidRPr="008644F1">
              <w:t>$2,600</w:t>
            </w:r>
          </w:p>
        </w:tc>
        <w:tc>
          <w:tcPr>
            <w:tcW w:w="630" w:type="dxa"/>
            <w:tcBorders>
              <w:top w:val="single" w:sz="6" w:space="0" w:color="auto"/>
              <w:left w:val="dashed" w:sz="4" w:space="0" w:color="auto"/>
              <w:bottom w:val="single" w:sz="6" w:space="0" w:color="auto"/>
              <w:right w:val="single" w:sz="6" w:space="0" w:color="auto"/>
            </w:tcBorders>
            <w:vAlign w:val="center"/>
          </w:tcPr>
          <w:p w:rsidR="0030355C" w:rsidRPr="008644F1" w:rsidRDefault="0030355C" w:rsidP="004526BF">
            <w:pPr>
              <w:jc w:val="center"/>
            </w:pPr>
            <w:r w:rsidRPr="008644F1">
              <w:t>2%</w:t>
            </w:r>
          </w:p>
        </w:tc>
        <w:tc>
          <w:tcPr>
            <w:tcW w:w="1257" w:type="dxa"/>
            <w:tcBorders>
              <w:top w:val="single" w:sz="6" w:space="0" w:color="auto"/>
              <w:left w:val="single" w:sz="6" w:space="0" w:color="auto"/>
              <w:bottom w:val="single" w:sz="6" w:space="0" w:color="auto"/>
              <w:right w:val="dashed" w:sz="4" w:space="0" w:color="auto"/>
            </w:tcBorders>
            <w:vAlign w:val="center"/>
          </w:tcPr>
          <w:p w:rsidR="0030355C" w:rsidRPr="008644F1" w:rsidRDefault="0030355C" w:rsidP="0030355C">
            <w:pPr>
              <w:jc w:val="right"/>
            </w:pPr>
            <w:r w:rsidRPr="008644F1">
              <w:t>$63,669</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8644F1" w:rsidRDefault="0030355C" w:rsidP="004526BF">
            <w:pPr>
              <w:jc w:val="center"/>
            </w:pPr>
            <w:r w:rsidRPr="008644F1">
              <w:t>50%</w:t>
            </w:r>
          </w:p>
        </w:tc>
        <w:tc>
          <w:tcPr>
            <w:tcW w:w="1242" w:type="dxa"/>
            <w:tcBorders>
              <w:top w:val="single" w:sz="6" w:space="0" w:color="auto"/>
              <w:left w:val="single" w:sz="6" w:space="0" w:color="auto"/>
              <w:bottom w:val="single" w:sz="6" w:space="0" w:color="auto"/>
              <w:right w:val="single" w:sz="6" w:space="0" w:color="auto"/>
            </w:tcBorders>
            <w:vAlign w:val="center"/>
          </w:tcPr>
          <w:p w:rsidR="0030355C" w:rsidRPr="008644F1" w:rsidRDefault="0030355C" w:rsidP="0030355C">
            <w:pPr>
              <w:jc w:val="right"/>
            </w:pPr>
            <w:r w:rsidRPr="008644F1">
              <w:t>$63,422</w:t>
            </w:r>
          </w:p>
        </w:tc>
        <w:tc>
          <w:tcPr>
            <w:tcW w:w="1278" w:type="dxa"/>
            <w:tcBorders>
              <w:top w:val="single" w:sz="6" w:space="0" w:color="auto"/>
              <w:left w:val="single" w:sz="6" w:space="0" w:color="auto"/>
              <w:bottom w:val="single" w:sz="6" w:space="0" w:color="auto"/>
              <w:right w:val="single" w:sz="6" w:space="0" w:color="auto"/>
            </w:tcBorders>
            <w:vAlign w:val="center"/>
          </w:tcPr>
          <w:p w:rsidR="0030355C" w:rsidRPr="008644F1" w:rsidRDefault="0030355C" w:rsidP="0030355C">
            <w:pPr>
              <w:jc w:val="right"/>
            </w:pPr>
            <w:r w:rsidRPr="008644F1">
              <w:t>$127,091</w:t>
            </w:r>
          </w:p>
        </w:tc>
      </w:tr>
      <w:tr w:rsidR="0030355C" w:rsidRPr="00B00C3A">
        <w:trPr>
          <w:trHeight w:val="278"/>
          <w:jc w:val="right"/>
        </w:trPr>
        <w:tc>
          <w:tcPr>
            <w:tcW w:w="3720" w:type="dxa"/>
            <w:tcBorders>
              <w:top w:val="single" w:sz="6" w:space="0" w:color="auto"/>
              <w:left w:val="single" w:sz="6" w:space="0" w:color="auto"/>
              <w:bottom w:val="double" w:sz="4" w:space="0" w:color="auto"/>
              <w:right w:val="single" w:sz="6" w:space="0" w:color="auto"/>
            </w:tcBorders>
          </w:tcPr>
          <w:p w:rsidR="0030355C" w:rsidRPr="00B00C3A" w:rsidRDefault="0030355C" w:rsidP="00BA40DA">
            <w:pPr>
              <w:widowControl w:val="0"/>
              <w:autoSpaceDE w:val="0"/>
              <w:autoSpaceDN w:val="0"/>
              <w:adjustRightInd w:val="0"/>
              <w:spacing w:before="120" w:after="120" w:line="240" w:lineRule="auto"/>
              <w:rPr>
                <w:rFonts w:cs="Arial"/>
                <w:color w:val="000000"/>
                <w:sz w:val="18"/>
                <w:szCs w:val="18"/>
              </w:rPr>
            </w:pPr>
            <w:r w:rsidRPr="00B00C3A">
              <w:rPr>
                <w:rFonts w:cs="Arial"/>
                <w:color w:val="000000"/>
                <w:sz w:val="18"/>
                <w:szCs w:val="18"/>
              </w:rPr>
              <w:t>Other</w:t>
            </w:r>
          </w:p>
        </w:tc>
        <w:tc>
          <w:tcPr>
            <w:tcW w:w="1155" w:type="dxa"/>
            <w:tcBorders>
              <w:top w:val="single" w:sz="6" w:space="0" w:color="auto"/>
              <w:left w:val="single" w:sz="6" w:space="0" w:color="auto"/>
              <w:bottom w:val="double" w:sz="4" w:space="0" w:color="auto"/>
              <w:right w:val="dashed" w:sz="4" w:space="0" w:color="auto"/>
            </w:tcBorders>
            <w:vAlign w:val="center"/>
          </w:tcPr>
          <w:p w:rsidR="0030355C" w:rsidRPr="008644F1" w:rsidRDefault="0030355C" w:rsidP="00D94E34">
            <w:pPr>
              <w:spacing w:after="0"/>
              <w:jc w:val="right"/>
            </w:pPr>
            <w:r w:rsidRPr="008644F1">
              <w:t>$18,086</w:t>
            </w:r>
          </w:p>
        </w:tc>
        <w:tc>
          <w:tcPr>
            <w:tcW w:w="627" w:type="dxa"/>
            <w:tcBorders>
              <w:top w:val="single" w:sz="6" w:space="0" w:color="auto"/>
              <w:left w:val="dashed" w:sz="4" w:space="0" w:color="auto"/>
              <w:bottom w:val="double" w:sz="4" w:space="0" w:color="auto"/>
              <w:right w:val="single" w:sz="6" w:space="0" w:color="auto"/>
            </w:tcBorders>
            <w:vAlign w:val="center"/>
          </w:tcPr>
          <w:p w:rsidR="0030355C" w:rsidRPr="008644F1" w:rsidRDefault="0030355C" w:rsidP="00D94E34">
            <w:pPr>
              <w:spacing w:after="0"/>
              <w:jc w:val="right"/>
            </w:pPr>
            <w:r w:rsidRPr="008644F1">
              <w:t>34%</w:t>
            </w:r>
          </w:p>
        </w:tc>
        <w:tc>
          <w:tcPr>
            <w:tcW w:w="1170" w:type="dxa"/>
            <w:tcBorders>
              <w:top w:val="single" w:sz="6" w:space="0" w:color="auto"/>
              <w:left w:val="single" w:sz="6" w:space="0" w:color="auto"/>
              <w:bottom w:val="double" w:sz="4" w:space="0" w:color="auto"/>
              <w:right w:val="dashed" w:sz="4" w:space="0" w:color="auto"/>
            </w:tcBorders>
            <w:vAlign w:val="center"/>
          </w:tcPr>
          <w:p w:rsidR="0030355C" w:rsidRPr="008644F1" w:rsidRDefault="0030355C" w:rsidP="00D94E34">
            <w:pPr>
              <w:spacing w:after="0"/>
              <w:jc w:val="right"/>
            </w:pPr>
            <w:r w:rsidRPr="008644F1">
              <w:t>$33,323</w:t>
            </w:r>
          </w:p>
        </w:tc>
        <w:tc>
          <w:tcPr>
            <w:tcW w:w="648" w:type="dxa"/>
            <w:tcBorders>
              <w:top w:val="single" w:sz="6" w:space="0" w:color="auto"/>
              <w:left w:val="dashed" w:sz="4" w:space="0" w:color="auto"/>
              <w:bottom w:val="double" w:sz="4" w:space="0" w:color="auto"/>
              <w:right w:val="single" w:sz="6" w:space="0" w:color="auto"/>
            </w:tcBorders>
            <w:vAlign w:val="center"/>
          </w:tcPr>
          <w:p w:rsidR="0030355C" w:rsidRPr="008644F1" w:rsidRDefault="0030355C" w:rsidP="00D94E34">
            <w:pPr>
              <w:spacing w:after="0"/>
              <w:jc w:val="right"/>
            </w:pPr>
            <w:r w:rsidRPr="008644F1">
              <w:t>63%</w:t>
            </w:r>
          </w:p>
        </w:tc>
        <w:tc>
          <w:tcPr>
            <w:tcW w:w="1155" w:type="dxa"/>
            <w:tcBorders>
              <w:top w:val="single" w:sz="6" w:space="0" w:color="auto"/>
              <w:left w:val="single" w:sz="6" w:space="0" w:color="auto"/>
              <w:bottom w:val="double" w:sz="4" w:space="0" w:color="auto"/>
              <w:right w:val="dashed" w:sz="4" w:space="0" w:color="auto"/>
            </w:tcBorders>
            <w:vAlign w:val="center"/>
          </w:tcPr>
          <w:p w:rsidR="0030355C" w:rsidRPr="008644F1" w:rsidRDefault="0030355C" w:rsidP="00D94E34">
            <w:pPr>
              <w:spacing w:after="0"/>
              <w:jc w:val="right"/>
            </w:pPr>
            <w:r w:rsidRPr="008644F1">
              <w:t>$1,512</w:t>
            </w:r>
          </w:p>
        </w:tc>
        <w:tc>
          <w:tcPr>
            <w:tcW w:w="630" w:type="dxa"/>
            <w:tcBorders>
              <w:top w:val="single" w:sz="6" w:space="0" w:color="auto"/>
              <w:left w:val="dashed" w:sz="4" w:space="0" w:color="auto"/>
              <w:bottom w:val="double" w:sz="4" w:space="0" w:color="auto"/>
              <w:right w:val="single" w:sz="6" w:space="0" w:color="auto"/>
            </w:tcBorders>
            <w:vAlign w:val="center"/>
          </w:tcPr>
          <w:p w:rsidR="0030355C" w:rsidRPr="008644F1" w:rsidRDefault="0030355C" w:rsidP="00D94E34">
            <w:pPr>
              <w:spacing w:after="0"/>
              <w:jc w:val="right"/>
            </w:pPr>
            <w:r w:rsidRPr="008644F1">
              <w:t>3%</w:t>
            </w:r>
          </w:p>
        </w:tc>
        <w:tc>
          <w:tcPr>
            <w:tcW w:w="1257" w:type="dxa"/>
            <w:tcBorders>
              <w:top w:val="single" w:sz="6" w:space="0" w:color="auto"/>
              <w:left w:val="single" w:sz="6" w:space="0" w:color="auto"/>
              <w:bottom w:val="double" w:sz="4" w:space="0" w:color="auto"/>
              <w:right w:val="dashed" w:sz="4" w:space="0" w:color="auto"/>
            </w:tcBorders>
            <w:vAlign w:val="center"/>
          </w:tcPr>
          <w:p w:rsidR="0030355C" w:rsidRPr="008644F1" w:rsidRDefault="0030355C" w:rsidP="00D94E34">
            <w:pPr>
              <w:spacing w:after="0"/>
              <w:jc w:val="right"/>
            </w:pPr>
            <w:r w:rsidRPr="008644F1">
              <w:t>$45,689</w:t>
            </w:r>
          </w:p>
        </w:tc>
        <w:tc>
          <w:tcPr>
            <w:tcW w:w="648" w:type="dxa"/>
            <w:tcBorders>
              <w:top w:val="single" w:sz="6" w:space="0" w:color="auto"/>
              <w:left w:val="dashed" w:sz="4" w:space="0" w:color="auto"/>
              <w:bottom w:val="double" w:sz="4" w:space="0" w:color="auto"/>
              <w:right w:val="single" w:sz="6" w:space="0" w:color="auto"/>
            </w:tcBorders>
            <w:vAlign w:val="center"/>
          </w:tcPr>
          <w:p w:rsidR="0030355C" w:rsidRPr="008644F1" w:rsidRDefault="0030355C" w:rsidP="00D94E34">
            <w:pPr>
              <w:spacing w:after="0"/>
              <w:jc w:val="right"/>
            </w:pPr>
            <w:r w:rsidRPr="008644F1">
              <w:t>86%</w:t>
            </w:r>
          </w:p>
        </w:tc>
        <w:tc>
          <w:tcPr>
            <w:tcW w:w="1242" w:type="dxa"/>
            <w:tcBorders>
              <w:top w:val="single" w:sz="6" w:space="0" w:color="auto"/>
              <w:left w:val="single" w:sz="6" w:space="0" w:color="auto"/>
              <w:bottom w:val="double" w:sz="4" w:space="0" w:color="auto"/>
              <w:right w:val="single" w:sz="6" w:space="0" w:color="auto"/>
            </w:tcBorders>
            <w:vAlign w:val="center"/>
          </w:tcPr>
          <w:p w:rsidR="0030355C" w:rsidRPr="008644F1" w:rsidRDefault="0030355C" w:rsidP="00D94E34">
            <w:pPr>
              <w:spacing w:after="0"/>
              <w:jc w:val="right"/>
            </w:pPr>
            <w:r w:rsidRPr="008644F1">
              <w:t>$7,231</w:t>
            </w:r>
          </w:p>
        </w:tc>
        <w:tc>
          <w:tcPr>
            <w:tcW w:w="1278" w:type="dxa"/>
            <w:tcBorders>
              <w:top w:val="single" w:sz="6" w:space="0" w:color="auto"/>
              <w:left w:val="single" w:sz="6" w:space="0" w:color="auto"/>
              <w:bottom w:val="double" w:sz="4" w:space="0" w:color="auto"/>
              <w:right w:val="single" w:sz="6" w:space="0" w:color="auto"/>
            </w:tcBorders>
            <w:vAlign w:val="center"/>
          </w:tcPr>
          <w:p w:rsidR="0030355C" w:rsidRPr="008644F1" w:rsidRDefault="0030355C" w:rsidP="00D94E34">
            <w:pPr>
              <w:spacing w:after="0"/>
              <w:jc w:val="right"/>
            </w:pPr>
            <w:r w:rsidRPr="008644F1">
              <w:t>$52,921</w:t>
            </w:r>
          </w:p>
        </w:tc>
      </w:tr>
      <w:tr w:rsidR="0030355C" w:rsidRPr="00B00C3A">
        <w:trPr>
          <w:trHeight w:val="278"/>
          <w:jc w:val="right"/>
        </w:trPr>
        <w:tc>
          <w:tcPr>
            <w:tcW w:w="3720" w:type="dxa"/>
            <w:tcBorders>
              <w:top w:val="double" w:sz="4" w:space="0" w:color="auto"/>
              <w:left w:val="single" w:sz="6" w:space="0" w:color="auto"/>
              <w:bottom w:val="single" w:sz="6" w:space="0" w:color="auto"/>
              <w:right w:val="single" w:sz="6" w:space="0" w:color="auto"/>
            </w:tcBorders>
            <w:shd w:val="clear" w:color="C0C0C0" w:fill="auto"/>
          </w:tcPr>
          <w:p w:rsidR="0030355C" w:rsidRPr="00EF5635" w:rsidRDefault="0030355C" w:rsidP="00BA40DA">
            <w:pPr>
              <w:widowControl w:val="0"/>
              <w:autoSpaceDE w:val="0"/>
              <w:autoSpaceDN w:val="0"/>
              <w:adjustRightInd w:val="0"/>
              <w:spacing w:before="120" w:after="120" w:line="240" w:lineRule="auto"/>
              <w:rPr>
                <w:rFonts w:cs="Arial"/>
                <w:b/>
                <w:bCs/>
                <w:color w:val="000000"/>
                <w:sz w:val="20"/>
                <w:szCs w:val="20"/>
              </w:rPr>
            </w:pPr>
            <w:r w:rsidRPr="00EF5635">
              <w:rPr>
                <w:rFonts w:cs="Arial"/>
                <w:b/>
                <w:bCs/>
                <w:color w:val="000000"/>
                <w:sz w:val="20"/>
                <w:szCs w:val="20"/>
              </w:rPr>
              <w:t>Focus area 3 total</w:t>
            </w:r>
          </w:p>
        </w:tc>
        <w:tc>
          <w:tcPr>
            <w:tcW w:w="1155" w:type="dxa"/>
            <w:tcBorders>
              <w:top w:val="double" w:sz="4" w:space="0" w:color="auto"/>
              <w:left w:val="single" w:sz="6" w:space="0" w:color="auto"/>
              <w:bottom w:val="single" w:sz="6" w:space="0" w:color="auto"/>
              <w:right w:val="dashed" w:sz="4" w:space="0" w:color="auto"/>
            </w:tcBorders>
            <w:shd w:val="clear" w:color="C0C0C0" w:fill="auto"/>
            <w:vAlign w:val="center"/>
          </w:tcPr>
          <w:p w:rsidR="0030355C" w:rsidRPr="0030355C" w:rsidRDefault="0030355C" w:rsidP="00D94E34">
            <w:pPr>
              <w:spacing w:after="0"/>
              <w:jc w:val="right"/>
              <w:rPr>
                <w:b/>
              </w:rPr>
            </w:pPr>
            <w:r w:rsidRPr="0030355C">
              <w:rPr>
                <w:b/>
              </w:rPr>
              <w:t>$64,768</w:t>
            </w:r>
          </w:p>
        </w:tc>
        <w:tc>
          <w:tcPr>
            <w:tcW w:w="627" w:type="dxa"/>
            <w:tcBorders>
              <w:top w:val="double" w:sz="4" w:space="0" w:color="auto"/>
              <w:left w:val="dashed" w:sz="4" w:space="0" w:color="auto"/>
              <w:bottom w:val="single" w:sz="6" w:space="0" w:color="auto"/>
              <w:right w:val="single" w:sz="6" w:space="0" w:color="auto"/>
            </w:tcBorders>
            <w:shd w:val="clear" w:color="C0C0C0" w:fill="auto"/>
            <w:vAlign w:val="center"/>
          </w:tcPr>
          <w:p w:rsidR="0030355C" w:rsidRPr="0030355C" w:rsidRDefault="0030355C" w:rsidP="00D94E34">
            <w:pPr>
              <w:spacing w:after="0"/>
              <w:jc w:val="right"/>
              <w:rPr>
                <w:b/>
              </w:rPr>
            </w:pPr>
            <w:r w:rsidRPr="0030355C">
              <w:rPr>
                <w:b/>
              </w:rPr>
              <w:t>6%</w:t>
            </w:r>
          </w:p>
        </w:tc>
        <w:tc>
          <w:tcPr>
            <w:tcW w:w="1170" w:type="dxa"/>
            <w:tcBorders>
              <w:top w:val="double" w:sz="4" w:space="0" w:color="auto"/>
              <w:left w:val="single" w:sz="6" w:space="0" w:color="auto"/>
              <w:bottom w:val="single" w:sz="6" w:space="0" w:color="auto"/>
              <w:right w:val="dashed" w:sz="4" w:space="0" w:color="auto"/>
            </w:tcBorders>
            <w:shd w:val="clear" w:color="C0C0C0" w:fill="auto"/>
            <w:vAlign w:val="center"/>
          </w:tcPr>
          <w:p w:rsidR="0030355C" w:rsidRPr="0030355C" w:rsidRDefault="0030355C" w:rsidP="00D94E34">
            <w:pPr>
              <w:spacing w:after="0"/>
              <w:jc w:val="right"/>
              <w:rPr>
                <w:b/>
              </w:rPr>
            </w:pPr>
            <w:r w:rsidRPr="0030355C">
              <w:rPr>
                <w:b/>
              </w:rPr>
              <w:t>$923,337</w:t>
            </w:r>
          </w:p>
        </w:tc>
        <w:tc>
          <w:tcPr>
            <w:tcW w:w="648" w:type="dxa"/>
            <w:tcBorders>
              <w:top w:val="double" w:sz="4" w:space="0" w:color="auto"/>
              <w:left w:val="dashed" w:sz="4" w:space="0" w:color="auto"/>
              <w:bottom w:val="single" w:sz="6" w:space="0" w:color="auto"/>
              <w:right w:val="single" w:sz="6" w:space="0" w:color="auto"/>
            </w:tcBorders>
            <w:shd w:val="clear" w:color="C0C0C0" w:fill="auto"/>
            <w:vAlign w:val="center"/>
          </w:tcPr>
          <w:p w:rsidR="0030355C" w:rsidRPr="0030355C" w:rsidRDefault="0030355C" w:rsidP="00D94E34">
            <w:pPr>
              <w:spacing w:after="0"/>
              <w:jc w:val="right"/>
              <w:rPr>
                <w:b/>
              </w:rPr>
            </w:pPr>
            <w:r w:rsidRPr="0030355C">
              <w:rPr>
                <w:b/>
              </w:rPr>
              <w:t>91%</w:t>
            </w:r>
          </w:p>
        </w:tc>
        <w:tc>
          <w:tcPr>
            <w:tcW w:w="1155" w:type="dxa"/>
            <w:tcBorders>
              <w:top w:val="double" w:sz="4" w:space="0" w:color="auto"/>
              <w:left w:val="single" w:sz="6" w:space="0" w:color="auto"/>
              <w:bottom w:val="single" w:sz="6" w:space="0" w:color="auto"/>
              <w:right w:val="dashed" w:sz="4" w:space="0" w:color="auto"/>
            </w:tcBorders>
            <w:shd w:val="clear" w:color="C0C0C0" w:fill="auto"/>
            <w:vAlign w:val="center"/>
          </w:tcPr>
          <w:p w:rsidR="0030355C" w:rsidRPr="0030355C" w:rsidRDefault="0030355C" w:rsidP="00D94E34">
            <w:pPr>
              <w:spacing w:after="0"/>
              <w:jc w:val="right"/>
              <w:rPr>
                <w:b/>
              </w:rPr>
            </w:pPr>
            <w:r w:rsidRPr="0030355C">
              <w:rPr>
                <w:b/>
              </w:rPr>
              <w:t>$23,064</w:t>
            </w:r>
          </w:p>
        </w:tc>
        <w:tc>
          <w:tcPr>
            <w:tcW w:w="630" w:type="dxa"/>
            <w:tcBorders>
              <w:top w:val="double" w:sz="4" w:space="0" w:color="auto"/>
              <w:left w:val="dashed" w:sz="4" w:space="0" w:color="auto"/>
              <w:bottom w:val="single" w:sz="6" w:space="0" w:color="auto"/>
              <w:right w:val="single" w:sz="6" w:space="0" w:color="auto"/>
            </w:tcBorders>
            <w:shd w:val="clear" w:color="C0C0C0" w:fill="auto"/>
            <w:vAlign w:val="center"/>
          </w:tcPr>
          <w:p w:rsidR="0030355C" w:rsidRPr="0030355C" w:rsidRDefault="0030355C" w:rsidP="00D94E34">
            <w:pPr>
              <w:spacing w:after="0"/>
              <w:jc w:val="right"/>
              <w:rPr>
                <w:b/>
              </w:rPr>
            </w:pPr>
            <w:r w:rsidRPr="0030355C">
              <w:rPr>
                <w:b/>
              </w:rPr>
              <w:t>2%</w:t>
            </w:r>
          </w:p>
        </w:tc>
        <w:tc>
          <w:tcPr>
            <w:tcW w:w="1257" w:type="dxa"/>
            <w:tcBorders>
              <w:top w:val="double" w:sz="4" w:space="0" w:color="auto"/>
              <w:left w:val="single" w:sz="6" w:space="0" w:color="auto"/>
              <w:bottom w:val="single" w:sz="6" w:space="0" w:color="auto"/>
              <w:right w:val="dashed" w:sz="4" w:space="0" w:color="auto"/>
            </w:tcBorders>
            <w:shd w:val="clear" w:color="C0C0C0" w:fill="auto"/>
            <w:vAlign w:val="center"/>
          </w:tcPr>
          <w:p w:rsidR="0030355C" w:rsidRPr="0030355C" w:rsidRDefault="0030355C" w:rsidP="00D94E34">
            <w:pPr>
              <w:spacing w:after="0"/>
              <w:jc w:val="right"/>
              <w:rPr>
                <w:b/>
              </w:rPr>
            </w:pPr>
            <w:r w:rsidRPr="0030355C">
              <w:rPr>
                <w:b/>
              </w:rPr>
              <w:t>$209,730</w:t>
            </w:r>
          </w:p>
        </w:tc>
        <w:tc>
          <w:tcPr>
            <w:tcW w:w="648" w:type="dxa"/>
            <w:tcBorders>
              <w:top w:val="double" w:sz="4" w:space="0" w:color="auto"/>
              <w:left w:val="dashed" w:sz="4" w:space="0" w:color="auto"/>
              <w:bottom w:val="single" w:sz="6" w:space="0" w:color="auto"/>
              <w:right w:val="single" w:sz="6" w:space="0" w:color="auto"/>
            </w:tcBorders>
            <w:shd w:val="clear" w:color="C0C0C0" w:fill="auto"/>
            <w:vAlign w:val="center"/>
          </w:tcPr>
          <w:p w:rsidR="0030355C" w:rsidRPr="0030355C" w:rsidRDefault="0030355C" w:rsidP="00D94E34">
            <w:pPr>
              <w:spacing w:after="0"/>
              <w:jc w:val="right"/>
              <w:rPr>
                <w:b/>
              </w:rPr>
            </w:pPr>
            <w:r w:rsidRPr="0030355C">
              <w:rPr>
                <w:b/>
              </w:rPr>
              <w:t>21%</w:t>
            </w:r>
          </w:p>
        </w:tc>
        <w:tc>
          <w:tcPr>
            <w:tcW w:w="1242" w:type="dxa"/>
            <w:tcBorders>
              <w:top w:val="double" w:sz="4" w:space="0" w:color="auto"/>
              <w:left w:val="single" w:sz="6" w:space="0" w:color="auto"/>
              <w:bottom w:val="single" w:sz="6" w:space="0" w:color="auto"/>
              <w:right w:val="single" w:sz="6" w:space="0" w:color="auto"/>
            </w:tcBorders>
            <w:shd w:val="clear" w:color="C0C0C0" w:fill="auto"/>
            <w:vAlign w:val="center"/>
          </w:tcPr>
          <w:p w:rsidR="0030355C" w:rsidRPr="0030355C" w:rsidRDefault="0030355C" w:rsidP="00D94E34">
            <w:pPr>
              <w:spacing w:after="0"/>
              <w:jc w:val="right"/>
              <w:rPr>
                <w:b/>
              </w:rPr>
            </w:pPr>
            <w:r w:rsidRPr="0030355C">
              <w:rPr>
                <w:b/>
              </w:rPr>
              <w:t>$801,439</w:t>
            </w:r>
          </w:p>
        </w:tc>
        <w:tc>
          <w:tcPr>
            <w:tcW w:w="1278" w:type="dxa"/>
            <w:tcBorders>
              <w:top w:val="double" w:sz="4" w:space="0" w:color="auto"/>
              <w:left w:val="single" w:sz="6" w:space="0" w:color="auto"/>
              <w:bottom w:val="single" w:sz="6" w:space="0" w:color="auto"/>
              <w:right w:val="single" w:sz="6" w:space="0" w:color="auto"/>
            </w:tcBorders>
            <w:shd w:val="clear" w:color="C0C0C0" w:fill="auto"/>
            <w:vAlign w:val="center"/>
          </w:tcPr>
          <w:p w:rsidR="0030355C" w:rsidRPr="0030355C" w:rsidRDefault="0030355C" w:rsidP="00D94E34">
            <w:pPr>
              <w:spacing w:after="0"/>
              <w:jc w:val="right"/>
              <w:rPr>
                <w:b/>
              </w:rPr>
            </w:pPr>
            <w:r w:rsidRPr="0030355C">
              <w:rPr>
                <w:b/>
              </w:rPr>
              <w:t>$1,011,170</w:t>
            </w:r>
          </w:p>
        </w:tc>
      </w:tr>
      <w:tr w:rsidR="00CD2E95" w:rsidRPr="00B00C3A">
        <w:trPr>
          <w:trHeight w:val="278"/>
          <w:jc w:val="right"/>
        </w:trPr>
        <w:tc>
          <w:tcPr>
            <w:tcW w:w="13530" w:type="dxa"/>
            <w:gridSpan w:val="11"/>
            <w:tcBorders>
              <w:top w:val="single" w:sz="6" w:space="0" w:color="auto"/>
              <w:left w:val="single" w:sz="6" w:space="0" w:color="auto"/>
              <w:bottom w:val="single" w:sz="6" w:space="0" w:color="auto"/>
              <w:right w:val="single" w:sz="6" w:space="0" w:color="auto"/>
            </w:tcBorders>
            <w:shd w:val="clear" w:color="C0C0C0" w:fill="D9D9D9" w:themeFill="background1" w:themeFillShade="D9"/>
          </w:tcPr>
          <w:p w:rsidR="00CD2E95" w:rsidRPr="00B00C3A" w:rsidRDefault="00CD2E95" w:rsidP="00BA40DA">
            <w:pPr>
              <w:widowControl w:val="0"/>
              <w:autoSpaceDE w:val="0"/>
              <w:autoSpaceDN w:val="0"/>
              <w:adjustRightInd w:val="0"/>
              <w:spacing w:before="120" w:after="120" w:line="240" w:lineRule="auto"/>
              <w:jc w:val="center"/>
              <w:rPr>
                <w:rFonts w:cs="Calibri"/>
                <w:color w:val="000000"/>
                <w:sz w:val="20"/>
                <w:szCs w:val="20"/>
              </w:rPr>
            </w:pPr>
            <w:r w:rsidRPr="00B00C3A">
              <w:rPr>
                <w:rFonts w:cs="Arial"/>
                <w:b/>
                <w:bCs/>
                <w:color w:val="000000"/>
                <w:sz w:val="20"/>
                <w:szCs w:val="20"/>
              </w:rPr>
              <w:t>Focus area 4: Managing energy and the environment for sustainable development</w:t>
            </w:r>
          </w:p>
        </w:tc>
      </w:tr>
      <w:tr w:rsidR="0030355C" w:rsidRPr="00B00C3A">
        <w:trPr>
          <w:trHeight w:val="595"/>
          <w:jc w:val="right"/>
        </w:trPr>
        <w:tc>
          <w:tcPr>
            <w:tcW w:w="3720" w:type="dxa"/>
            <w:tcBorders>
              <w:top w:val="single" w:sz="6" w:space="0" w:color="auto"/>
              <w:left w:val="single" w:sz="6" w:space="0" w:color="auto"/>
              <w:bottom w:val="single" w:sz="6" w:space="0" w:color="auto"/>
              <w:right w:val="single" w:sz="6" w:space="0" w:color="auto"/>
            </w:tcBorders>
          </w:tcPr>
          <w:p w:rsidR="0030355C" w:rsidRPr="00B00C3A" w:rsidRDefault="0030355C" w:rsidP="00BA40DA">
            <w:pPr>
              <w:spacing w:before="120" w:after="120"/>
              <w:rPr>
                <w:sz w:val="18"/>
              </w:rPr>
            </w:pPr>
            <w:r w:rsidRPr="00B00C3A">
              <w:rPr>
                <w:sz w:val="18"/>
              </w:rPr>
              <w:t>4.1. Development plans and programmes integrate environmentally sustainable solutions in a manner that promotes poverty reduction, MDG achievement and low-emission climate-resilient development</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112923" w:rsidRDefault="0030355C" w:rsidP="0030355C">
            <w:pPr>
              <w:jc w:val="right"/>
            </w:pPr>
            <w:r w:rsidRPr="00112923">
              <w:t>$23,782</w:t>
            </w:r>
          </w:p>
        </w:tc>
        <w:tc>
          <w:tcPr>
            <w:tcW w:w="627" w:type="dxa"/>
            <w:tcBorders>
              <w:top w:val="single" w:sz="6" w:space="0" w:color="auto"/>
              <w:left w:val="dashed" w:sz="4" w:space="0" w:color="auto"/>
              <w:bottom w:val="single" w:sz="6" w:space="0" w:color="auto"/>
              <w:right w:val="single" w:sz="6" w:space="0" w:color="auto"/>
            </w:tcBorders>
            <w:vAlign w:val="center"/>
          </w:tcPr>
          <w:p w:rsidR="0030355C" w:rsidRPr="00112923" w:rsidRDefault="0030355C" w:rsidP="004526BF">
            <w:pPr>
              <w:jc w:val="center"/>
            </w:pPr>
            <w:r w:rsidRPr="00112923">
              <w:t>9%</w:t>
            </w:r>
          </w:p>
        </w:tc>
        <w:tc>
          <w:tcPr>
            <w:tcW w:w="1170" w:type="dxa"/>
            <w:tcBorders>
              <w:top w:val="single" w:sz="6" w:space="0" w:color="auto"/>
              <w:left w:val="single" w:sz="6" w:space="0" w:color="auto"/>
              <w:bottom w:val="single" w:sz="6" w:space="0" w:color="auto"/>
              <w:right w:val="dashed" w:sz="4" w:space="0" w:color="auto"/>
            </w:tcBorders>
            <w:vAlign w:val="center"/>
          </w:tcPr>
          <w:p w:rsidR="0030355C" w:rsidRPr="00112923" w:rsidRDefault="0030355C" w:rsidP="0030355C">
            <w:pPr>
              <w:jc w:val="right"/>
            </w:pPr>
            <w:r w:rsidRPr="00112923">
              <w:t>$200,245</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112923" w:rsidRDefault="0030355C" w:rsidP="004526BF">
            <w:pPr>
              <w:jc w:val="center"/>
            </w:pPr>
            <w:r w:rsidRPr="00112923">
              <w:t>75%</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112923" w:rsidRDefault="0030355C" w:rsidP="0030355C">
            <w:pPr>
              <w:jc w:val="right"/>
            </w:pPr>
            <w:r w:rsidRPr="00112923">
              <w:t>$42,562</w:t>
            </w:r>
          </w:p>
        </w:tc>
        <w:tc>
          <w:tcPr>
            <w:tcW w:w="630" w:type="dxa"/>
            <w:tcBorders>
              <w:top w:val="single" w:sz="6" w:space="0" w:color="auto"/>
              <w:left w:val="dashed" w:sz="4" w:space="0" w:color="auto"/>
              <w:bottom w:val="single" w:sz="6" w:space="0" w:color="auto"/>
              <w:right w:val="single" w:sz="6" w:space="0" w:color="auto"/>
            </w:tcBorders>
            <w:vAlign w:val="center"/>
          </w:tcPr>
          <w:p w:rsidR="0030355C" w:rsidRPr="00112923" w:rsidRDefault="0030355C" w:rsidP="004526BF">
            <w:pPr>
              <w:jc w:val="center"/>
            </w:pPr>
            <w:r w:rsidRPr="00112923">
              <w:t>16%</w:t>
            </w:r>
          </w:p>
        </w:tc>
        <w:tc>
          <w:tcPr>
            <w:tcW w:w="1257" w:type="dxa"/>
            <w:tcBorders>
              <w:top w:val="single" w:sz="6" w:space="0" w:color="auto"/>
              <w:left w:val="single" w:sz="6" w:space="0" w:color="auto"/>
              <w:bottom w:val="single" w:sz="6" w:space="0" w:color="auto"/>
              <w:right w:val="dashed" w:sz="4" w:space="0" w:color="auto"/>
            </w:tcBorders>
            <w:vAlign w:val="center"/>
          </w:tcPr>
          <w:p w:rsidR="0030355C" w:rsidRPr="00112923" w:rsidRDefault="0030355C" w:rsidP="0030355C">
            <w:pPr>
              <w:jc w:val="right"/>
            </w:pPr>
            <w:r w:rsidRPr="00112923">
              <w:t>$226,816</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112923" w:rsidRDefault="0030355C" w:rsidP="00640034">
            <w:pPr>
              <w:jc w:val="center"/>
            </w:pPr>
            <w:r w:rsidRPr="00112923">
              <w:t>85%</w:t>
            </w:r>
          </w:p>
        </w:tc>
        <w:tc>
          <w:tcPr>
            <w:tcW w:w="1242" w:type="dxa"/>
            <w:tcBorders>
              <w:top w:val="single" w:sz="6" w:space="0" w:color="auto"/>
              <w:left w:val="single" w:sz="6" w:space="0" w:color="auto"/>
              <w:bottom w:val="single" w:sz="6" w:space="0" w:color="auto"/>
              <w:right w:val="single" w:sz="6" w:space="0" w:color="auto"/>
            </w:tcBorders>
            <w:vAlign w:val="center"/>
          </w:tcPr>
          <w:p w:rsidR="0030355C" w:rsidRPr="00112923" w:rsidRDefault="0030355C" w:rsidP="0030355C">
            <w:pPr>
              <w:jc w:val="right"/>
            </w:pPr>
            <w:r w:rsidRPr="00112923">
              <w:t>$39,774</w:t>
            </w:r>
          </w:p>
        </w:tc>
        <w:tc>
          <w:tcPr>
            <w:tcW w:w="1278" w:type="dxa"/>
            <w:tcBorders>
              <w:top w:val="single" w:sz="6" w:space="0" w:color="auto"/>
              <w:left w:val="single" w:sz="6" w:space="0" w:color="auto"/>
              <w:bottom w:val="single" w:sz="6" w:space="0" w:color="auto"/>
              <w:right w:val="single" w:sz="6" w:space="0" w:color="auto"/>
            </w:tcBorders>
            <w:vAlign w:val="center"/>
          </w:tcPr>
          <w:p w:rsidR="0030355C" w:rsidRPr="00112923" w:rsidRDefault="0030355C" w:rsidP="0030355C">
            <w:pPr>
              <w:jc w:val="right"/>
            </w:pPr>
            <w:r w:rsidRPr="00112923">
              <w:t>$266,589</w:t>
            </w:r>
          </w:p>
        </w:tc>
      </w:tr>
      <w:tr w:rsidR="0030355C" w:rsidRPr="00B00C3A">
        <w:trPr>
          <w:trHeight w:val="394"/>
          <w:jc w:val="right"/>
        </w:trPr>
        <w:tc>
          <w:tcPr>
            <w:tcW w:w="3720" w:type="dxa"/>
            <w:tcBorders>
              <w:top w:val="single" w:sz="6" w:space="0" w:color="auto"/>
              <w:left w:val="single" w:sz="6" w:space="0" w:color="auto"/>
              <w:bottom w:val="single" w:sz="6" w:space="0" w:color="auto"/>
              <w:right w:val="single" w:sz="6" w:space="0" w:color="auto"/>
            </w:tcBorders>
          </w:tcPr>
          <w:p w:rsidR="0030355C" w:rsidRPr="00B00C3A" w:rsidRDefault="0030355C" w:rsidP="00BA40DA">
            <w:pPr>
              <w:spacing w:before="120" w:after="120"/>
              <w:rPr>
                <w:sz w:val="18"/>
              </w:rPr>
            </w:pPr>
            <w:r w:rsidRPr="00B00C3A">
              <w:rPr>
                <w:sz w:val="18"/>
              </w:rPr>
              <w:t>4.2. Local and national authorities have the capacities to access and integrate multiple sources of public and private environmental financing in support of sustainable human development, including gender equality and poverty reduction</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112923" w:rsidRDefault="0030355C" w:rsidP="0030355C">
            <w:pPr>
              <w:jc w:val="right"/>
            </w:pPr>
            <w:r w:rsidRPr="00112923">
              <w:t>$4,762</w:t>
            </w:r>
          </w:p>
        </w:tc>
        <w:tc>
          <w:tcPr>
            <w:tcW w:w="627" w:type="dxa"/>
            <w:tcBorders>
              <w:top w:val="single" w:sz="6" w:space="0" w:color="auto"/>
              <w:left w:val="dashed" w:sz="4" w:space="0" w:color="auto"/>
              <w:bottom w:val="single" w:sz="6" w:space="0" w:color="auto"/>
              <w:right w:val="single" w:sz="6" w:space="0" w:color="auto"/>
            </w:tcBorders>
            <w:vAlign w:val="center"/>
          </w:tcPr>
          <w:p w:rsidR="0030355C" w:rsidRPr="00112923" w:rsidRDefault="0030355C" w:rsidP="004526BF">
            <w:pPr>
              <w:jc w:val="center"/>
            </w:pPr>
            <w:r w:rsidRPr="00112923">
              <w:t>19%</w:t>
            </w:r>
          </w:p>
        </w:tc>
        <w:tc>
          <w:tcPr>
            <w:tcW w:w="1170" w:type="dxa"/>
            <w:tcBorders>
              <w:top w:val="single" w:sz="6" w:space="0" w:color="auto"/>
              <w:left w:val="single" w:sz="6" w:space="0" w:color="auto"/>
              <w:bottom w:val="single" w:sz="6" w:space="0" w:color="auto"/>
              <w:right w:val="dashed" w:sz="4" w:space="0" w:color="auto"/>
            </w:tcBorders>
            <w:vAlign w:val="center"/>
          </w:tcPr>
          <w:p w:rsidR="0030355C" w:rsidRPr="00112923" w:rsidRDefault="0030355C" w:rsidP="0030355C">
            <w:pPr>
              <w:jc w:val="right"/>
            </w:pPr>
            <w:r w:rsidRPr="00112923">
              <w:t>$18,308</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112923" w:rsidRDefault="0030355C" w:rsidP="004526BF">
            <w:pPr>
              <w:jc w:val="center"/>
            </w:pPr>
            <w:r w:rsidRPr="00112923">
              <w:t>74%</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112923" w:rsidRDefault="0030355C" w:rsidP="0030355C">
            <w:pPr>
              <w:jc w:val="right"/>
            </w:pPr>
            <w:r w:rsidRPr="00112923">
              <w:t>$1,664</w:t>
            </w:r>
          </w:p>
        </w:tc>
        <w:tc>
          <w:tcPr>
            <w:tcW w:w="630" w:type="dxa"/>
            <w:tcBorders>
              <w:top w:val="single" w:sz="6" w:space="0" w:color="auto"/>
              <w:left w:val="dashed" w:sz="4" w:space="0" w:color="auto"/>
              <w:bottom w:val="single" w:sz="6" w:space="0" w:color="auto"/>
              <w:right w:val="single" w:sz="6" w:space="0" w:color="auto"/>
            </w:tcBorders>
            <w:vAlign w:val="center"/>
          </w:tcPr>
          <w:p w:rsidR="0030355C" w:rsidRPr="00112923" w:rsidRDefault="0030355C" w:rsidP="004526BF">
            <w:pPr>
              <w:jc w:val="center"/>
            </w:pPr>
            <w:r w:rsidRPr="00112923">
              <w:t>7%</w:t>
            </w:r>
          </w:p>
        </w:tc>
        <w:tc>
          <w:tcPr>
            <w:tcW w:w="1257" w:type="dxa"/>
            <w:tcBorders>
              <w:top w:val="single" w:sz="6" w:space="0" w:color="auto"/>
              <w:left w:val="single" w:sz="6" w:space="0" w:color="auto"/>
              <w:bottom w:val="single" w:sz="6" w:space="0" w:color="auto"/>
              <w:right w:val="dashed" w:sz="4" w:space="0" w:color="auto"/>
            </w:tcBorders>
            <w:vAlign w:val="center"/>
          </w:tcPr>
          <w:p w:rsidR="0030355C" w:rsidRPr="00112923" w:rsidRDefault="0030355C" w:rsidP="0030355C">
            <w:pPr>
              <w:jc w:val="right"/>
            </w:pPr>
            <w:r w:rsidRPr="00112923">
              <w:t>$13,415</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112923" w:rsidRDefault="0030355C" w:rsidP="00640034">
            <w:pPr>
              <w:jc w:val="center"/>
            </w:pPr>
            <w:r w:rsidRPr="00112923">
              <w:t>54%</w:t>
            </w:r>
          </w:p>
        </w:tc>
        <w:tc>
          <w:tcPr>
            <w:tcW w:w="1242" w:type="dxa"/>
            <w:tcBorders>
              <w:top w:val="single" w:sz="6" w:space="0" w:color="auto"/>
              <w:left w:val="single" w:sz="6" w:space="0" w:color="auto"/>
              <w:bottom w:val="single" w:sz="6" w:space="0" w:color="auto"/>
              <w:right w:val="single" w:sz="6" w:space="0" w:color="auto"/>
            </w:tcBorders>
            <w:vAlign w:val="center"/>
          </w:tcPr>
          <w:p w:rsidR="0030355C" w:rsidRPr="00112923" w:rsidRDefault="0030355C" w:rsidP="0030355C">
            <w:pPr>
              <w:jc w:val="right"/>
            </w:pPr>
            <w:r w:rsidRPr="00112923">
              <w:t>$11,318</w:t>
            </w:r>
          </w:p>
        </w:tc>
        <w:tc>
          <w:tcPr>
            <w:tcW w:w="1278" w:type="dxa"/>
            <w:tcBorders>
              <w:top w:val="single" w:sz="6" w:space="0" w:color="auto"/>
              <w:left w:val="single" w:sz="6" w:space="0" w:color="auto"/>
              <w:bottom w:val="single" w:sz="6" w:space="0" w:color="auto"/>
              <w:right w:val="single" w:sz="6" w:space="0" w:color="auto"/>
            </w:tcBorders>
            <w:vAlign w:val="center"/>
          </w:tcPr>
          <w:p w:rsidR="0030355C" w:rsidRPr="00112923" w:rsidRDefault="0030355C" w:rsidP="0030355C">
            <w:pPr>
              <w:jc w:val="right"/>
            </w:pPr>
            <w:r w:rsidRPr="00112923">
              <w:t>$24,733</w:t>
            </w:r>
          </w:p>
        </w:tc>
      </w:tr>
      <w:tr w:rsidR="0030355C" w:rsidRPr="00B00C3A">
        <w:trPr>
          <w:trHeight w:val="192"/>
          <w:jc w:val="right"/>
        </w:trPr>
        <w:tc>
          <w:tcPr>
            <w:tcW w:w="3720" w:type="dxa"/>
            <w:tcBorders>
              <w:top w:val="single" w:sz="6" w:space="0" w:color="auto"/>
              <w:left w:val="single" w:sz="6" w:space="0" w:color="auto"/>
              <w:bottom w:val="single" w:sz="6" w:space="0" w:color="auto"/>
              <w:right w:val="single" w:sz="6" w:space="0" w:color="auto"/>
            </w:tcBorders>
          </w:tcPr>
          <w:p w:rsidR="0030355C" w:rsidRPr="00B00C3A" w:rsidRDefault="0030355C" w:rsidP="00BA40DA">
            <w:pPr>
              <w:spacing w:before="120" w:after="120"/>
              <w:rPr>
                <w:sz w:val="18"/>
              </w:rPr>
            </w:pPr>
            <w:r w:rsidRPr="00B00C3A">
              <w:rPr>
                <w:sz w:val="18"/>
              </w:rPr>
              <w:t xml:space="preserve">4.3. National and local governments and communities have the capacities to adapt to climate change and make inclusive and sustainable environment &amp; energy decisions benefitting in particular under-served </w:t>
            </w:r>
            <w:r w:rsidRPr="00B00C3A">
              <w:rPr>
                <w:sz w:val="18"/>
              </w:rPr>
              <w:lastRenderedPageBreak/>
              <w:t>populations</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112923" w:rsidRDefault="0030355C" w:rsidP="0030355C">
            <w:pPr>
              <w:jc w:val="right"/>
            </w:pPr>
            <w:r w:rsidRPr="00112923">
              <w:lastRenderedPageBreak/>
              <w:t>$29,246</w:t>
            </w:r>
          </w:p>
        </w:tc>
        <w:tc>
          <w:tcPr>
            <w:tcW w:w="627" w:type="dxa"/>
            <w:tcBorders>
              <w:top w:val="single" w:sz="6" w:space="0" w:color="auto"/>
              <w:left w:val="dashed" w:sz="4" w:space="0" w:color="auto"/>
              <w:bottom w:val="single" w:sz="6" w:space="0" w:color="auto"/>
              <w:right w:val="single" w:sz="6" w:space="0" w:color="auto"/>
            </w:tcBorders>
            <w:vAlign w:val="center"/>
          </w:tcPr>
          <w:p w:rsidR="0030355C" w:rsidRPr="00112923" w:rsidRDefault="0030355C" w:rsidP="004526BF">
            <w:pPr>
              <w:jc w:val="center"/>
            </w:pPr>
            <w:r w:rsidRPr="00112923">
              <w:t>11%</w:t>
            </w:r>
          </w:p>
        </w:tc>
        <w:tc>
          <w:tcPr>
            <w:tcW w:w="1170" w:type="dxa"/>
            <w:tcBorders>
              <w:top w:val="single" w:sz="6" w:space="0" w:color="auto"/>
              <w:left w:val="single" w:sz="6" w:space="0" w:color="auto"/>
              <w:bottom w:val="single" w:sz="6" w:space="0" w:color="auto"/>
              <w:right w:val="dashed" w:sz="4" w:space="0" w:color="auto"/>
            </w:tcBorders>
            <w:vAlign w:val="center"/>
          </w:tcPr>
          <w:p w:rsidR="0030355C" w:rsidRPr="00112923" w:rsidRDefault="0030355C" w:rsidP="0030355C">
            <w:pPr>
              <w:jc w:val="right"/>
            </w:pPr>
            <w:r w:rsidRPr="00112923">
              <w:t>$228,714</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112923" w:rsidRDefault="0030355C" w:rsidP="004526BF">
            <w:pPr>
              <w:jc w:val="center"/>
            </w:pPr>
            <w:r w:rsidRPr="00112923">
              <w:t>85%</w:t>
            </w:r>
          </w:p>
        </w:tc>
        <w:tc>
          <w:tcPr>
            <w:tcW w:w="1155" w:type="dxa"/>
            <w:tcBorders>
              <w:top w:val="single" w:sz="6" w:space="0" w:color="auto"/>
              <w:left w:val="single" w:sz="6" w:space="0" w:color="auto"/>
              <w:bottom w:val="single" w:sz="6" w:space="0" w:color="auto"/>
              <w:right w:val="dashed" w:sz="4" w:space="0" w:color="auto"/>
            </w:tcBorders>
            <w:vAlign w:val="center"/>
          </w:tcPr>
          <w:p w:rsidR="0030355C" w:rsidRPr="00112923" w:rsidRDefault="0030355C" w:rsidP="0030355C">
            <w:pPr>
              <w:jc w:val="right"/>
            </w:pPr>
            <w:r w:rsidRPr="00112923">
              <w:t>$11,785</w:t>
            </w:r>
          </w:p>
        </w:tc>
        <w:tc>
          <w:tcPr>
            <w:tcW w:w="630" w:type="dxa"/>
            <w:tcBorders>
              <w:top w:val="single" w:sz="6" w:space="0" w:color="auto"/>
              <w:left w:val="dashed" w:sz="4" w:space="0" w:color="auto"/>
              <w:bottom w:val="single" w:sz="6" w:space="0" w:color="auto"/>
              <w:right w:val="single" w:sz="6" w:space="0" w:color="auto"/>
            </w:tcBorders>
            <w:vAlign w:val="center"/>
          </w:tcPr>
          <w:p w:rsidR="0030355C" w:rsidRPr="00112923" w:rsidRDefault="0030355C" w:rsidP="004526BF">
            <w:pPr>
              <w:jc w:val="center"/>
            </w:pPr>
            <w:r w:rsidRPr="00112923">
              <w:t>4%</w:t>
            </w:r>
          </w:p>
        </w:tc>
        <w:tc>
          <w:tcPr>
            <w:tcW w:w="1257" w:type="dxa"/>
            <w:tcBorders>
              <w:top w:val="single" w:sz="6" w:space="0" w:color="auto"/>
              <w:left w:val="single" w:sz="6" w:space="0" w:color="auto"/>
              <w:bottom w:val="single" w:sz="6" w:space="0" w:color="auto"/>
              <w:right w:val="dashed" w:sz="4" w:space="0" w:color="auto"/>
            </w:tcBorders>
            <w:vAlign w:val="center"/>
          </w:tcPr>
          <w:p w:rsidR="0030355C" w:rsidRPr="00112923" w:rsidRDefault="0030355C" w:rsidP="0030355C">
            <w:pPr>
              <w:jc w:val="right"/>
            </w:pPr>
            <w:r w:rsidRPr="00112923">
              <w:t>$207,047</w:t>
            </w:r>
          </w:p>
        </w:tc>
        <w:tc>
          <w:tcPr>
            <w:tcW w:w="648" w:type="dxa"/>
            <w:tcBorders>
              <w:top w:val="single" w:sz="6" w:space="0" w:color="auto"/>
              <w:left w:val="dashed" w:sz="4" w:space="0" w:color="auto"/>
              <w:bottom w:val="single" w:sz="6" w:space="0" w:color="auto"/>
              <w:right w:val="single" w:sz="6" w:space="0" w:color="auto"/>
            </w:tcBorders>
            <w:vAlign w:val="center"/>
          </w:tcPr>
          <w:p w:rsidR="0030355C" w:rsidRPr="00112923" w:rsidRDefault="0030355C" w:rsidP="00640034">
            <w:pPr>
              <w:jc w:val="center"/>
            </w:pPr>
            <w:r w:rsidRPr="00112923">
              <w:t>77%</w:t>
            </w:r>
          </w:p>
        </w:tc>
        <w:tc>
          <w:tcPr>
            <w:tcW w:w="1242" w:type="dxa"/>
            <w:tcBorders>
              <w:top w:val="single" w:sz="6" w:space="0" w:color="auto"/>
              <w:left w:val="single" w:sz="6" w:space="0" w:color="auto"/>
              <w:bottom w:val="single" w:sz="6" w:space="0" w:color="auto"/>
              <w:right w:val="single" w:sz="6" w:space="0" w:color="auto"/>
            </w:tcBorders>
            <w:vAlign w:val="center"/>
          </w:tcPr>
          <w:p w:rsidR="0030355C" w:rsidRPr="00112923" w:rsidRDefault="0030355C" w:rsidP="0030355C">
            <w:pPr>
              <w:jc w:val="right"/>
            </w:pPr>
            <w:r w:rsidRPr="00112923">
              <w:t>$62,698</w:t>
            </w:r>
          </w:p>
        </w:tc>
        <w:tc>
          <w:tcPr>
            <w:tcW w:w="1278" w:type="dxa"/>
            <w:tcBorders>
              <w:top w:val="single" w:sz="6" w:space="0" w:color="auto"/>
              <w:left w:val="single" w:sz="6" w:space="0" w:color="auto"/>
              <w:bottom w:val="single" w:sz="6" w:space="0" w:color="auto"/>
              <w:right w:val="single" w:sz="6" w:space="0" w:color="auto"/>
            </w:tcBorders>
            <w:vAlign w:val="center"/>
          </w:tcPr>
          <w:p w:rsidR="0030355C" w:rsidRPr="00112923" w:rsidRDefault="0030355C" w:rsidP="0030355C">
            <w:pPr>
              <w:jc w:val="right"/>
            </w:pPr>
            <w:r w:rsidRPr="00112923">
              <w:t>$269,745</w:t>
            </w:r>
          </w:p>
        </w:tc>
      </w:tr>
      <w:tr w:rsidR="0030355C" w:rsidRPr="00B00C3A">
        <w:trPr>
          <w:trHeight w:val="278"/>
          <w:jc w:val="right"/>
        </w:trPr>
        <w:tc>
          <w:tcPr>
            <w:tcW w:w="3720" w:type="dxa"/>
            <w:tcBorders>
              <w:top w:val="single" w:sz="6" w:space="0" w:color="auto"/>
              <w:left w:val="single" w:sz="6" w:space="0" w:color="auto"/>
              <w:bottom w:val="double" w:sz="4" w:space="0" w:color="auto"/>
              <w:right w:val="single" w:sz="6" w:space="0" w:color="auto"/>
            </w:tcBorders>
          </w:tcPr>
          <w:p w:rsidR="0030355C" w:rsidRPr="00B00C3A" w:rsidRDefault="0030355C" w:rsidP="00BA40DA">
            <w:pPr>
              <w:widowControl w:val="0"/>
              <w:autoSpaceDE w:val="0"/>
              <w:autoSpaceDN w:val="0"/>
              <w:adjustRightInd w:val="0"/>
              <w:spacing w:before="120" w:after="120" w:line="240" w:lineRule="auto"/>
              <w:rPr>
                <w:rFonts w:cs="Arial"/>
                <w:color w:val="000000"/>
                <w:sz w:val="18"/>
                <w:szCs w:val="18"/>
              </w:rPr>
            </w:pPr>
            <w:r w:rsidRPr="00B00C3A">
              <w:rPr>
                <w:rFonts w:cs="Arial"/>
                <w:color w:val="000000"/>
                <w:sz w:val="18"/>
                <w:szCs w:val="18"/>
              </w:rPr>
              <w:lastRenderedPageBreak/>
              <w:t>Other</w:t>
            </w:r>
          </w:p>
        </w:tc>
        <w:tc>
          <w:tcPr>
            <w:tcW w:w="1155" w:type="dxa"/>
            <w:tcBorders>
              <w:top w:val="single" w:sz="6" w:space="0" w:color="auto"/>
              <w:left w:val="single" w:sz="6" w:space="0" w:color="auto"/>
              <w:bottom w:val="double" w:sz="4" w:space="0" w:color="auto"/>
              <w:right w:val="dashed" w:sz="4" w:space="0" w:color="auto"/>
            </w:tcBorders>
            <w:vAlign w:val="center"/>
          </w:tcPr>
          <w:p w:rsidR="0030355C" w:rsidRPr="00112923" w:rsidRDefault="0030355C" w:rsidP="00D94E34">
            <w:pPr>
              <w:spacing w:after="0"/>
              <w:jc w:val="right"/>
            </w:pPr>
            <w:r w:rsidRPr="00112923">
              <w:t>$3,041</w:t>
            </w:r>
          </w:p>
        </w:tc>
        <w:tc>
          <w:tcPr>
            <w:tcW w:w="627" w:type="dxa"/>
            <w:tcBorders>
              <w:top w:val="single" w:sz="6" w:space="0" w:color="auto"/>
              <w:left w:val="dashed" w:sz="4" w:space="0" w:color="auto"/>
              <w:bottom w:val="double" w:sz="4" w:space="0" w:color="auto"/>
              <w:right w:val="single" w:sz="6" w:space="0" w:color="auto"/>
            </w:tcBorders>
            <w:vAlign w:val="center"/>
          </w:tcPr>
          <w:p w:rsidR="0030355C" w:rsidRPr="00112923" w:rsidRDefault="0030355C" w:rsidP="00D94E34">
            <w:pPr>
              <w:spacing w:after="0"/>
              <w:jc w:val="right"/>
            </w:pPr>
            <w:r w:rsidRPr="00112923">
              <w:t>6%</w:t>
            </w:r>
          </w:p>
        </w:tc>
        <w:tc>
          <w:tcPr>
            <w:tcW w:w="1170" w:type="dxa"/>
            <w:tcBorders>
              <w:top w:val="single" w:sz="6" w:space="0" w:color="auto"/>
              <w:left w:val="single" w:sz="6" w:space="0" w:color="auto"/>
              <w:bottom w:val="double" w:sz="4" w:space="0" w:color="auto"/>
              <w:right w:val="dashed" w:sz="4" w:space="0" w:color="auto"/>
            </w:tcBorders>
            <w:vAlign w:val="center"/>
          </w:tcPr>
          <w:p w:rsidR="0030355C" w:rsidRPr="00112923" w:rsidRDefault="0030355C" w:rsidP="00D94E34">
            <w:pPr>
              <w:spacing w:after="0"/>
              <w:jc w:val="right"/>
            </w:pPr>
            <w:r w:rsidRPr="00112923">
              <w:t>$38,701</w:t>
            </w:r>
          </w:p>
        </w:tc>
        <w:tc>
          <w:tcPr>
            <w:tcW w:w="648" w:type="dxa"/>
            <w:tcBorders>
              <w:top w:val="single" w:sz="6" w:space="0" w:color="auto"/>
              <w:left w:val="dashed" w:sz="4" w:space="0" w:color="auto"/>
              <w:bottom w:val="double" w:sz="4" w:space="0" w:color="auto"/>
              <w:right w:val="single" w:sz="6" w:space="0" w:color="auto"/>
            </w:tcBorders>
            <w:vAlign w:val="center"/>
          </w:tcPr>
          <w:p w:rsidR="0030355C" w:rsidRPr="00112923" w:rsidRDefault="0030355C" w:rsidP="00D94E34">
            <w:pPr>
              <w:spacing w:after="0"/>
              <w:jc w:val="right"/>
            </w:pPr>
            <w:r w:rsidRPr="00112923">
              <w:t>78%</w:t>
            </w:r>
          </w:p>
        </w:tc>
        <w:tc>
          <w:tcPr>
            <w:tcW w:w="1155" w:type="dxa"/>
            <w:tcBorders>
              <w:top w:val="single" w:sz="6" w:space="0" w:color="auto"/>
              <w:left w:val="single" w:sz="6" w:space="0" w:color="auto"/>
              <w:bottom w:val="double" w:sz="4" w:space="0" w:color="auto"/>
              <w:right w:val="dashed" w:sz="4" w:space="0" w:color="auto"/>
            </w:tcBorders>
            <w:vAlign w:val="center"/>
          </w:tcPr>
          <w:p w:rsidR="0030355C" w:rsidRPr="00112923" w:rsidRDefault="0030355C" w:rsidP="00D94E34">
            <w:pPr>
              <w:spacing w:after="0"/>
              <w:jc w:val="right"/>
            </w:pPr>
            <w:r w:rsidRPr="00112923">
              <w:t>$7,765</w:t>
            </w:r>
          </w:p>
        </w:tc>
        <w:tc>
          <w:tcPr>
            <w:tcW w:w="630" w:type="dxa"/>
            <w:tcBorders>
              <w:top w:val="single" w:sz="6" w:space="0" w:color="auto"/>
              <w:left w:val="dashed" w:sz="4" w:space="0" w:color="auto"/>
              <w:bottom w:val="double" w:sz="4" w:space="0" w:color="auto"/>
              <w:right w:val="single" w:sz="6" w:space="0" w:color="auto"/>
            </w:tcBorders>
            <w:vAlign w:val="center"/>
          </w:tcPr>
          <w:p w:rsidR="0030355C" w:rsidRPr="00112923" w:rsidRDefault="0030355C" w:rsidP="00D94E34">
            <w:pPr>
              <w:spacing w:after="0"/>
              <w:jc w:val="right"/>
            </w:pPr>
            <w:r w:rsidRPr="00112923">
              <w:t>16%</w:t>
            </w:r>
          </w:p>
        </w:tc>
        <w:tc>
          <w:tcPr>
            <w:tcW w:w="1257" w:type="dxa"/>
            <w:tcBorders>
              <w:top w:val="single" w:sz="6" w:space="0" w:color="auto"/>
              <w:left w:val="single" w:sz="6" w:space="0" w:color="auto"/>
              <w:bottom w:val="double" w:sz="4" w:space="0" w:color="auto"/>
              <w:right w:val="dashed" w:sz="4" w:space="0" w:color="auto"/>
            </w:tcBorders>
            <w:vAlign w:val="center"/>
          </w:tcPr>
          <w:p w:rsidR="0030355C" w:rsidRPr="00112923" w:rsidRDefault="0030355C" w:rsidP="00D94E34">
            <w:pPr>
              <w:spacing w:after="0"/>
              <w:jc w:val="right"/>
            </w:pPr>
            <w:r w:rsidRPr="00112923">
              <w:t>$47,388</w:t>
            </w:r>
          </w:p>
        </w:tc>
        <w:tc>
          <w:tcPr>
            <w:tcW w:w="648" w:type="dxa"/>
            <w:tcBorders>
              <w:top w:val="single" w:sz="6" w:space="0" w:color="auto"/>
              <w:left w:val="dashed" w:sz="4" w:space="0" w:color="auto"/>
              <w:bottom w:val="double" w:sz="4" w:space="0" w:color="auto"/>
              <w:right w:val="single" w:sz="6" w:space="0" w:color="auto"/>
            </w:tcBorders>
          </w:tcPr>
          <w:p w:rsidR="0030355C" w:rsidRPr="00112923" w:rsidRDefault="0030355C" w:rsidP="00D94E34">
            <w:pPr>
              <w:spacing w:after="0"/>
              <w:jc w:val="right"/>
            </w:pPr>
            <w:r w:rsidRPr="00112923">
              <w:t>96%</w:t>
            </w:r>
          </w:p>
        </w:tc>
        <w:tc>
          <w:tcPr>
            <w:tcW w:w="1242" w:type="dxa"/>
            <w:tcBorders>
              <w:top w:val="single" w:sz="6" w:space="0" w:color="auto"/>
              <w:left w:val="single" w:sz="6" w:space="0" w:color="auto"/>
              <w:bottom w:val="double" w:sz="4" w:space="0" w:color="auto"/>
              <w:right w:val="single" w:sz="6" w:space="0" w:color="auto"/>
            </w:tcBorders>
            <w:vAlign w:val="center"/>
          </w:tcPr>
          <w:p w:rsidR="0030355C" w:rsidRPr="00112923" w:rsidRDefault="0030355C" w:rsidP="00D94E34">
            <w:pPr>
              <w:spacing w:after="0"/>
              <w:jc w:val="right"/>
            </w:pPr>
            <w:r w:rsidRPr="00112923">
              <w:t>$2,119</w:t>
            </w:r>
          </w:p>
        </w:tc>
        <w:tc>
          <w:tcPr>
            <w:tcW w:w="1278" w:type="dxa"/>
            <w:tcBorders>
              <w:top w:val="single" w:sz="6" w:space="0" w:color="auto"/>
              <w:left w:val="single" w:sz="6" w:space="0" w:color="auto"/>
              <w:bottom w:val="double" w:sz="4" w:space="0" w:color="auto"/>
              <w:right w:val="single" w:sz="6" w:space="0" w:color="auto"/>
            </w:tcBorders>
            <w:vAlign w:val="center"/>
          </w:tcPr>
          <w:p w:rsidR="0030355C" w:rsidRPr="00112923" w:rsidRDefault="0030355C" w:rsidP="00D94E34">
            <w:pPr>
              <w:spacing w:after="0"/>
              <w:jc w:val="right"/>
            </w:pPr>
            <w:r w:rsidRPr="00112923">
              <w:t>$49,507</w:t>
            </w:r>
          </w:p>
        </w:tc>
      </w:tr>
      <w:tr w:rsidR="0030355C" w:rsidRPr="00B00C3A">
        <w:trPr>
          <w:trHeight w:val="278"/>
          <w:jc w:val="right"/>
        </w:trPr>
        <w:tc>
          <w:tcPr>
            <w:tcW w:w="3720" w:type="dxa"/>
            <w:tcBorders>
              <w:top w:val="double" w:sz="4" w:space="0" w:color="auto"/>
              <w:left w:val="single" w:sz="6" w:space="0" w:color="auto"/>
              <w:bottom w:val="single" w:sz="6" w:space="0" w:color="auto"/>
              <w:right w:val="single" w:sz="6" w:space="0" w:color="auto"/>
            </w:tcBorders>
            <w:shd w:val="clear" w:color="C0C0C0" w:fill="auto"/>
          </w:tcPr>
          <w:p w:rsidR="0030355C" w:rsidRPr="00B00C3A" w:rsidRDefault="0030355C" w:rsidP="00BA40DA">
            <w:pPr>
              <w:widowControl w:val="0"/>
              <w:autoSpaceDE w:val="0"/>
              <w:autoSpaceDN w:val="0"/>
              <w:adjustRightInd w:val="0"/>
              <w:spacing w:before="120" w:after="120" w:line="240" w:lineRule="auto"/>
              <w:rPr>
                <w:rFonts w:cs="Arial"/>
                <w:b/>
                <w:bCs/>
                <w:color w:val="000000"/>
                <w:sz w:val="20"/>
                <w:szCs w:val="20"/>
              </w:rPr>
            </w:pPr>
            <w:r w:rsidRPr="00B00C3A">
              <w:rPr>
                <w:rFonts w:cs="Arial"/>
                <w:b/>
                <w:bCs/>
                <w:color w:val="000000"/>
                <w:sz w:val="20"/>
                <w:szCs w:val="20"/>
              </w:rPr>
              <w:t>Focus area 4 total</w:t>
            </w:r>
          </w:p>
        </w:tc>
        <w:tc>
          <w:tcPr>
            <w:tcW w:w="1155" w:type="dxa"/>
            <w:tcBorders>
              <w:top w:val="double" w:sz="4" w:space="0" w:color="auto"/>
              <w:left w:val="single" w:sz="6" w:space="0" w:color="auto"/>
              <w:bottom w:val="single" w:sz="6" w:space="0" w:color="auto"/>
              <w:right w:val="dashed" w:sz="4" w:space="0" w:color="auto"/>
            </w:tcBorders>
            <w:shd w:val="clear" w:color="C0C0C0" w:fill="auto"/>
            <w:vAlign w:val="center"/>
          </w:tcPr>
          <w:p w:rsidR="0030355C" w:rsidRPr="0030355C" w:rsidRDefault="0030355C" w:rsidP="00D94E34">
            <w:pPr>
              <w:spacing w:after="0"/>
              <w:jc w:val="right"/>
              <w:rPr>
                <w:b/>
              </w:rPr>
            </w:pPr>
            <w:r w:rsidRPr="0030355C">
              <w:rPr>
                <w:b/>
              </w:rPr>
              <w:t>$60,831</w:t>
            </w:r>
          </w:p>
        </w:tc>
        <w:tc>
          <w:tcPr>
            <w:tcW w:w="627" w:type="dxa"/>
            <w:tcBorders>
              <w:top w:val="double" w:sz="4" w:space="0" w:color="auto"/>
              <w:left w:val="dashed" w:sz="4" w:space="0" w:color="auto"/>
              <w:bottom w:val="single" w:sz="6" w:space="0" w:color="auto"/>
              <w:right w:val="single" w:sz="6" w:space="0" w:color="auto"/>
            </w:tcBorders>
            <w:shd w:val="clear" w:color="C0C0C0" w:fill="auto"/>
            <w:vAlign w:val="center"/>
          </w:tcPr>
          <w:p w:rsidR="0030355C" w:rsidRPr="0030355C" w:rsidRDefault="0030355C" w:rsidP="00D94E34">
            <w:pPr>
              <w:spacing w:after="0"/>
              <w:jc w:val="right"/>
              <w:rPr>
                <w:b/>
              </w:rPr>
            </w:pPr>
            <w:r w:rsidRPr="0030355C">
              <w:rPr>
                <w:b/>
              </w:rPr>
              <w:t>10%</w:t>
            </w:r>
          </w:p>
        </w:tc>
        <w:tc>
          <w:tcPr>
            <w:tcW w:w="1170" w:type="dxa"/>
            <w:tcBorders>
              <w:top w:val="double" w:sz="4" w:space="0" w:color="auto"/>
              <w:left w:val="single" w:sz="6" w:space="0" w:color="auto"/>
              <w:bottom w:val="single" w:sz="6" w:space="0" w:color="auto"/>
              <w:right w:val="dashed" w:sz="4" w:space="0" w:color="auto"/>
            </w:tcBorders>
            <w:shd w:val="clear" w:color="C0C0C0" w:fill="auto"/>
            <w:vAlign w:val="center"/>
          </w:tcPr>
          <w:p w:rsidR="0030355C" w:rsidRPr="0030355C" w:rsidRDefault="0030355C" w:rsidP="00D94E34">
            <w:pPr>
              <w:spacing w:after="0"/>
              <w:jc w:val="right"/>
              <w:rPr>
                <w:b/>
              </w:rPr>
            </w:pPr>
            <w:r w:rsidRPr="0030355C">
              <w:rPr>
                <w:b/>
              </w:rPr>
              <w:t>$485,968</w:t>
            </w:r>
          </w:p>
        </w:tc>
        <w:tc>
          <w:tcPr>
            <w:tcW w:w="648" w:type="dxa"/>
            <w:tcBorders>
              <w:top w:val="double" w:sz="4" w:space="0" w:color="auto"/>
              <w:left w:val="dashed" w:sz="4" w:space="0" w:color="auto"/>
              <w:bottom w:val="single" w:sz="6" w:space="0" w:color="auto"/>
              <w:right w:val="single" w:sz="6" w:space="0" w:color="auto"/>
            </w:tcBorders>
            <w:shd w:val="clear" w:color="C0C0C0" w:fill="auto"/>
            <w:vAlign w:val="center"/>
          </w:tcPr>
          <w:p w:rsidR="0030355C" w:rsidRPr="0030355C" w:rsidRDefault="0030355C" w:rsidP="00D94E34">
            <w:pPr>
              <w:spacing w:after="0"/>
              <w:jc w:val="right"/>
              <w:rPr>
                <w:b/>
              </w:rPr>
            </w:pPr>
            <w:r w:rsidRPr="0030355C">
              <w:rPr>
                <w:b/>
              </w:rPr>
              <w:t>80%</w:t>
            </w:r>
          </w:p>
        </w:tc>
        <w:tc>
          <w:tcPr>
            <w:tcW w:w="1155" w:type="dxa"/>
            <w:tcBorders>
              <w:top w:val="double" w:sz="4" w:space="0" w:color="auto"/>
              <w:left w:val="single" w:sz="6" w:space="0" w:color="auto"/>
              <w:bottom w:val="single" w:sz="6" w:space="0" w:color="auto"/>
              <w:right w:val="dashed" w:sz="4" w:space="0" w:color="auto"/>
            </w:tcBorders>
            <w:shd w:val="clear" w:color="C0C0C0" w:fill="auto"/>
            <w:vAlign w:val="center"/>
          </w:tcPr>
          <w:p w:rsidR="0030355C" w:rsidRPr="0030355C" w:rsidRDefault="0030355C" w:rsidP="00D94E34">
            <w:pPr>
              <w:spacing w:after="0"/>
              <w:jc w:val="right"/>
              <w:rPr>
                <w:b/>
              </w:rPr>
            </w:pPr>
            <w:r w:rsidRPr="0030355C">
              <w:rPr>
                <w:b/>
              </w:rPr>
              <w:t>$63,776</w:t>
            </w:r>
          </w:p>
        </w:tc>
        <w:tc>
          <w:tcPr>
            <w:tcW w:w="630" w:type="dxa"/>
            <w:tcBorders>
              <w:top w:val="double" w:sz="4" w:space="0" w:color="auto"/>
              <w:left w:val="dashed" w:sz="4" w:space="0" w:color="auto"/>
              <w:bottom w:val="single" w:sz="6" w:space="0" w:color="auto"/>
              <w:right w:val="single" w:sz="6" w:space="0" w:color="auto"/>
            </w:tcBorders>
            <w:shd w:val="clear" w:color="C0C0C0" w:fill="auto"/>
            <w:vAlign w:val="center"/>
          </w:tcPr>
          <w:p w:rsidR="0030355C" w:rsidRPr="0030355C" w:rsidRDefault="0030355C" w:rsidP="00D94E34">
            <w:pPr>
              <w:spacing w:after="0"/>
              <w:jc w:val="right"/>
              <w:rPr>
                <w:b/>
              </w:rPr>
            </w:pPr>
            <w:r w:rsidRPr="0030355C">
              <w:rPr>
                <w:b/>
              </w:rPr>
              <w:t>10%</w:t>
            </w:r>
          </w:p>
        </w:tc>
        <w:tc>
          <w:tcPr>
            <w:tcW w:w="1257" w:type="dxa"/>
            <w:tcBorders>
              <w:top w:val="double" w:sz="4" w:space="0" w:color="auto"/>
              <w:left w:val="single" w:sz="6" w:space="0" w:color="auto"/>
              <w:bottom w:val="single" w:sz="6" w:space="0" w:color="auto"/>
              <w:right w:val="dashed" w:sz="4" w:space="0" w:color="auto"/>
            </w:tcBorders>
            <w:shd w:val="clear" w:color="C0C0C0" w:fill="auto"/>
            <w:vAlign w:val="center"/>
          </w:tcPr>
          <w:p w:rsidR="0030355C" w:rsidRPr="0030355C" w:rsidRDefault="0030355C" w:rsidP="00D94E34">
            <w:pPr>
              <w:spacing w:after="0"/>
              <w:jc w:val="right"/>
              <w:rPr>
                <w:b/>
              </w:rPr>
            </w:pPr>
            <w:r w:rsidRPr="0030355C">
              <w:rPr>
                <w:b/>
              </w:rPr>
              <w:t>$494,666</w:t>
            </w:r>
          </w:p>
        </w:tc>
        <w:tc>
          <w:tcPr>
            <w:tcW w:w="648" w:type="dxa"/>
            <w:tcBorders>
              <w:top w:val="double" w:sz="4" w:space="0" w:color="auto"/>
              <w:left w:val="dashed" w:sz="4" w:space="0" w:color="auto"/>
              <w:bottom w:val="single" w:sz="6" w:space="0" w:color="auto"/>
              <w:right w:val="single" w:sz="6" w:space="0" w:color="auto"/>
            </w:tcBorders>
            <w:shd w:val="clear" w:color="C0C0C0" w:fill="auto"/>
            <w:vAlign w:val="center"/>
          </w:tcPr>
          <w:p w:rsidR="0030355C" w:rsidRPr="0030355C" w:rsidRDefault="0030355C" w:rsidP="00D94E34">
            <w:pPr>
              <w:spacing w:after="0" w:line="240" w:lineRule="auto"/>
              <w:jc w:val="right"/>
              <w:rPr>
                <w:b/>
              </w:rPr>
            </w:pPr>
            <w:r w:rsidRPr="0030355C">
              <w:rPr>
                <w:b/>
              </w:rPr>
              <w:t>81%</w:t>
            </w:r>
          </w:p>
        </w:tc>
        <w:tc>
          <w:tcPr>
            <w:tcW w:w="1242" w:type="dxa"/>
            <w:tcBorders>
              <w:top w:val="double" w:sz="4" w:space="0" w:color="auto"/>
              <w:left w:val="single" w:sz="6" w:space="0" w:color="auto"/>
              <w:bottom w:val="single" w:sz="6" w:space="0" w:color="auto"/>
              <w:right w:val="single" w:sz="6" w:space="0" w:color="auto"/>
            </w:tcBorders>
            <w:shd w:val="clear" w:color="C0C0C0" w:fill="auto"/>
            <w:vAlign w:val="center"/>
          </w:tcPr>
          <w:p w:rsidR="0030355C" w:rsidRPr="0030355C" w:rsidRDefault="0030355C" w:rsidP="00D94E34">
            <w:pPr>
              <w:spacing w:after="0"/>
              <w:jc w:val="right"/>
              <w:rPr>
                <w:b/>
              </w:rPr>
            </w:pPr>
            <w:r w:rsidRPr="0030355C">
              <w:rPr>
                <w:b/>
              </w:rPr>
              <w:t>$115,908</w:t>
            </w:r>
          </w:p>
        </w:tc>
        <w:tc>
          <w:tcPr>
            <w:tcW w:w="1278" w:type="dxa"/>
            <w:tcBorders>
              <w:top w:val="double" w:sz="4" w:space="0" w:color="auto"/>
              <w:left w:val="single" w:sz="6" w:space="0" w:color="auto"/>
              <w:bottom w:val="single" w:sz="6" w:space="0" w:color="auto"/>
              <w:right w:val="single" w:sz="6" w:space="0" w:color="auto"/>
            </w:tcBorders>
            <w:shd w:val="clear" w:color="C0C0C0" w:fill="auto"/>
            <w:vAlign w:val="center"/>
          </w:tcPr>
          <w:p w:rsidR="0030355C" w:rsidRPr="0030355C" w:rsidRDefault="0030355C" w:rsidP="00D94E34">
            <w:pPr>
              <w:spacing w:after="0"/>
              <w:jc w:val="right"/>
              <w:rPr>
                <w:b/>
              </w:rPr>
            </w:pPr>
            <w:r w:rsidRPr="0030355C">
              <w:rPr>
                <w:b/>
              </w:rPr>
              <w:t>$610,575</w:t>
            </w:r>
          </w:p>
        </w:tc>
      </w:tr>
      <w:tr w:rsidR="00640034" w:rsidRPr="00B00C3A">
        <w:trPr>
          <w:trHeight w:val="437"/>
          <w:jc w:val="right"/>
        </w:trPr>
        <w:tc>
          <w:tcPr>
            <w:tcW w:w="3720" w:type="dxa"/>
            <w:tcBorders>
              <w:top w:val="single" w:sz="6" w:space="0" w:color="auto"/>
              <w:left w:val="single" w:sz="6" w:space="0" w:color="auto"/>
              <w:bottom w:val="single" w:sz="6" w:space="0" w:color="auto"/>
              <w:right w:val="single" w:sz="6" w:space="0" w:color="auto"/>
            </w:tcBorders>
          </w:tcPr>
          <w:p w:rsidR="00640034" w:rsidRPr="00B00C3A" w:rsidRDefault="00640034" w:rsidP="00BA40DA">
            <w:pPr>
              <w:widowControl w:val="0"/>
              <w:autoSpaceDE w:val="0"/>
              <w:autoSpaceDN w:val="0"/>
              <w:adjustRightInd w:val="0"/>
              <w:spacing w:before="120" w:after="120" w:line="240" w:lineRule="auto"/>
              <w:rPr>
                <w:rFonts w:cs="Arial"/>
                <w:b/>
                <w:bCs/>
                <w:i/>
                <w:iCs/>
                <w:color w:val="000000"/>
                <w:sz w:val="18"/>
                <w:szCs w:val="18"/>
              </w:rPr>
            </w:pPr>
            <w:r w:rsidRPr="00B00C3A">
              <w:rPr>
                <w:rFonts w:cs="Arial"/>
                <w:b/>
                <w:bCs/>
                <w:i/>
                <w:iCs/>
                <w:color w:val="000000"/>
                <w:sz w:val="18"/>
                <w:szCs w:val="18"/>
              </w:rPr>
              <w:t>Total development expenditure linked to the strategic plan development results framework</w:t>
            </w:r>
          </w:p>
        </w:tc>
        <w:tc>
          <w:tcPr>
            <w:tcW w:w="1155" w:type="dxa"/>
            <w:tcBorders>
              <w:top w:val="single" w:sz="6" w:space="0" w:color="auto"/>
              <w:left w:val="single" w:sz="6" w:space="0" w:color="auto"/>
              <w:bottom w:val="single" w:sz="6" w:space="0" w:color="auto"/>
              <w:right w:val="dashed" w:sz="4" w:space="0" w:color="auto"/>
            </w:tcBorders>
            <w:vAlign w:val="center"/>
          </w:tcPr>
          <w:p w:rsidR="00640034" w:rsidRPr="00403A0D" w:rsidRDefault="00640034" w:rsidP="00D94E34">
            <w:pPr>
              <w:spacing w:after="0"/>
              <w:jc w:val="right"/>
            </w:pPr>
            <w:r w:rsidRPr="00403A0D">
              <w:t>$440,791</w:t>
            </w:r>
          </w:p>
        </w:tc>
        <w:tc>
          <w:tcPr>
            <w:tcW w:w="627" w:type="dxa"/>
            <w:tcBorders>
              <w:top w:val="single" w:sz="6" w:space="0" w:color="auto"/>
              <w:left w:val="dashed" w:sz="4" w:space="0" w:color="auto"/>
              <w:bottom w:val="single" w:sz="6" w:space="0" w:color="auto"/>
              <w:right w:val="single" w:sz="6" w:space="0" w:color="auto"/>
            </w:tcBorders>
            <w:vAlign w:val="center"/>
          </w:tcPr>
          <w:p w:rsidR="00640034" w:rsidRPr="00403A0D" w:rsidRDefault="00640034" w:rsidP="00D94E34">
            <w:pPr>
              <w:spacing w:after="0"/>
              <w:jc w:val="right"/>
            </w:pPr>
            <w:r w:rsidRPr="00403A0D">
              <w:t>11%</w:t>
            </w:r>
          </w:p>
        </w:tc>
        <w:tc>
          <w:tcPr>
            <w:tcW w:w="1170" w:type="dxa"/>
            <w:tcBorders>
              <w:top w:val="single" w:sz="6" w:space="0" w:color="auto"/>
              <w:left w:val="single" w:sz="6" w:space="0" w:color="auto"/>
              <w:bottom w:val="single" w:sz="6" w:space="0" w:color="auto"/>
              <w:right w:val="dashed" w:sz="4" w:space="0" w:color="auto"/>
            </w:tcBorders>
            <w:vAlign w:val="center"/>
          </w:tcPr>
          <w:p w:rsidR="00640034" w:rsidRPr="00403A0D" w:rsidRDefault="00640034" w:rsidP="00D94E34">
            <w:pPr>
              <w:spacing w:after="0"/>
              <w:ind w:left="-108"/>
              <w:jc w:val="right"/>
            </w:pPr>
            <w:r w:rsidRPr="00403A0D">
              <w:t>$2,753,822</w:t>
            </w:r>
          </w:p>
        </w:tc>
        <w:tc>
          <w:tcPr>
            <w:tcW w:w="648" w:type="dxa"/>
            <w:tcBorders>
              <w:top w:val="single" w:sz="6" w:space="0" w:color="auto"/>
              <w:left w:val="dashed" w:sz="4" w:space="0" w:color="auto"/>
              <w:bottom w:val="single" w:sz="6" w:space="0" w:color="auto"/>
              <w:right w:val="single" w:sz="6" w:space="0" w:color="auto"/>
            </w:tcBorders>
            <w:vAlign w:val="center"/>
          </w:tcPr>
          <w:p w:rsidR="00640034" w:rsidRPr="00403A0D" w:rsidRDefault="00640034" w:rsidP="00D94E34">
            <w:pPr>
              <w:spacing w:after="0"/>
              <w:jc w:val="right"/>
            </w:pPr>
            <w:r w:rsidRPr="00403A0D">
              <w:t>69%</w:t>
            </w:r>
          </w:p>
        </w:tc>
        <w:tc>
          <w:tcPr>
            <w:tcW w:w="1155" w:type="dxa"/>
            <w:tcBorders>
              <w:top w:val="single" w:sz="6" w:space="0" w:color="auto"/>
              <w:left w:val="single" w:sz="6" w:space="0" w:color="auto"/>
              <w:bottom w:val="single" w:sz="6" w:space="0" w:color="auto"/>
              <w:right w:val="dashed" w:sz="4" w:space="0" w:color="auto"/>
            </w:tcBorders>
            <w:vAlign w:val="center"/>
          </w:tcPr>
          <w:p w:rsidR="00640034" w:rsidRPr="00403A0D" w:rsidRDefault="00640034" w:rsidP="00D94E34">
            <w:pPr>
              <w:spacing w:after="0"/>
              <w:jc w:val="right"/>
            </w:pPr>
            <w:r w:rsidRPr="00403A0D">
              <w:t>$813,796</w:t>
            </w:r>
          </w:p>
        </w:tc>
        <w:tc>
          <w:tcPr>
            <w:tcW w:w="630" w:type="dxa"/>
            <w:tcBorders>
              <w:top w:val="single" w:sz="6" w:space="0" w:color="auto"/>
              <w:left w:val="dashed" w:sz="4" w:space="0" w:color="auto"/>
              <w:bottom w:val="single" w:sz="6" w:space="0" w:color="auto"/>
              <w:right w:val="single" w:sz="6" w:space="0" w:color="auto"/>
            </w:tcBorders>
            <w:vAlign w:val="center"/>
          </w:tcPr>
          <w:p w:rsidR="00640034" w:rsidRPr="00403A0D" w:rsidRDefault="00640034" w:rsidP="00D94E34">
            <w:pPr>
              <w:spacing w:after="0"/>
              <w:jc w:val="right"/>
            </w:pPr>
            <w:r w:rsidRPr="00403A0D">
              <w:t>20%</w:t>
            </w:r>
          </w:p>
        </w:tc>
        <w:tc>
          <w:tcPr>
            <w:tcW w:w="1257" w:type="dxa"/>
            <w:tcBorders>
              <w:top w:val="single" w:sz="6" w:space="0" w:color="auto"/>
              <w:left w:val="single" w:sz="6" w:space="0" w:color="auto"/>
              <w:bottom w:val="single" w:sz="6" w:space="0" w:color="auto"/>
              <w:right w:val="dashed" w:sz="4" w:space="0" w:color="auto"/>
            </w:tcBorders>
            <w:vAlign w:val="center"/>
          </w:tcPr>
          <w:p w:rsidR="00640034" w:rsidRPr="00403A0D" w:rsidRDefault="00640034" w:rsidP="00D94E34">
            <w:pPr>
              <w:spacing w:after="0"/>
              <w:jc w:val="right"/>
            </w:pPr>
            <w:r w:rsidRPr="00403A0D">
              <w:t>$2,237,716</w:t>
            </w:r>
          </w:p>
        </w:tc>
        <w:tc>
          <w:tcPr>
            <w:tcW w:w="648" w:type="dxa"/>
            <w:tcBorders>
              <w:top w:val="single" w:sz="6" w:space="0" w:color="auto"/>
              <w:left w:val="dashed" w:sz="4" w:space="0" w:color="auto"/>
              <w:bottom w:val="single" w:sz="6" w:space="0" w:color="auto"/>
              <w:right w:val="single" w:sz="6" w:space="0" w:color="auto"/>
            </w:tcBorders>
            <w:vAlign w:val="center"/>
          </w:tcPr>
          <w:p w:rsidR="00640034" w:rsidRPr="00403A0D" w:rsidRDefault="00640034" w:rsidP="00D94E34">
            <w:pPr>
              <w:spacing w:after="0"/>
              <w:jc w:val="right"/>
            </w:pPr>
            <w:r w:rsidRPr="00403A0D">
              <w:t>56%</w:t>
            </w:r>
          </w:p>
        </w:tc>
        <w:tc>
          <w:tcPr>
            <w:tcW w:w="1242" w:type="dxa"/>
            <w:tcBorders>
              <w:top w:val="single" w:sz="6" w:space="0" w:color="auto"/>
              <w:left w:val="single" w:sz="6" w:space="0" w:color="auto"/>
              <w:bottom w:val="single" w:sz="6" w:space="0" w:color="auto"/>
              <w:right w:val="single" w:sz="6" w:space="0" w:color="auto"/>
            </w:tcBorders>
            <w:vAlign w:val="center"/>
          </w:tcPr>
          <w:p w:rsidR="00640034" w:rsidRPr="00403A0D" w:rsidRDefault="00640034" w:rsidP="00D94E34">
            <w:pPr>
              <w:spacing w:after="0"/>
              <w:jc w:val="right"/>
            </w:pPr>
            <w:r w:rsidRPr="00403A0D">
              <w:t>$1,770,693</w:t>
            </w:r>
          </w:p>
        </w:tc>
        <w:tc>
          <w:tcPr>
            <w:tcW w:w="1278" w:type="dxa"/>
            <w:tcBorders>
              <w:top w:val="single" w:sz="6" w:space="0" w:color="auto"/>
              <w:left w:val="single" w:sz="6" w:space="0" w:color="auto"/>
              <w:bottom w:val="single" w:sz="6" w:space="0" w:color="auto"/>
              <w:right w:val="single" w:sz="6" w:space="0" w:color="auto"/>
            </w:tcBorders>
            <w:vAlign w:val="center"/>
          </w:tcPr>
          <w:p w:rsidR="00640034" w:rsidRPr="00403A0D" w:rsidRDefault="00640034" w:rsidP="00D94E34">
            <w:pPr>
              <w:spacing w:after="0"/>
              <w:jc w:val="right"/>
            </w:pPr>
            <w:r w:rsidRPr="00403A0D">
              <w:t>$4,008,409</w:t>
            </w:r>
          </w:p>
        </w:tc>
      </w:tr>
      <w:tr w:rsidR="00640034" w:rsidRPr="00B00C3A">
        <w:trPr>
          <w:trHeight w:val="437"/>
          <w:jc w:val="right"/>
        </w:trPr>
        <w:tc>
          <w:tcPr>
            <w:tcW w:w="3720" w:type="dxa"/>
            <w:tcBorders>
              <w:top w:val="single" w:sz="6" w:space="0" w:color="auto"/>
              <w:left w:val="single" w:sz="6" w:space="0" w:color="auto"/>
              <w:bottom w:val="single" w:sz="6" w:space="0" w:color="auto"/>
              <w:right w:val="single" w:sz="6" w:space="0" w:color="auto"/>
            </w:tcBorders>
          </w:tcPr>
          <w:p w:rsidR="00640034" w:rsidRPr="00B00C3A" w:rsidRDefault="00640034" w:rsidP="00BA40DA">
            <w:pPr>
              <w:widowControl w:val="0"/>
              <w:autoSpaceDE w:val="0"/>
              <w:autoSpaceDN w:val="0"/>
              <w:adjustRightInd w:val="0"/>
              <w:spacing w:before="120" w:after="120" w:line="240" w:lineRule="auto"/>
              <w:rPr>
                <w:rFonts w:cs="Arial"/>
                <w:b/>
                <w:bCs/>
                <w:i/>
                <w:iCs/>
                <w:color w:val="000000"/>
                <w:sz w:val="18"/>
                <w:szCs w:val="18"/>
              </w:rPr>
            </w:pPr>
            <w:r w:rsidRPr="00B00C3A">
              <w:rPr>
                <w:rFonts w:cs="Arial"/>
                <w:b/>
                <w:bCs/>
                <w:i/>
                <w:iCs/>
                <w:color w:val="000000"/>
                <w:sz w:val="18"/>
                <w:szCs w:val="18"/>
              </w:rPr>
              <w:t>Other development expenditure including development effectiveness</w:t>
            </w:r>
          </w:p>
        </w:tc>
        <w:tc>
          <w:tcPr>
            <w:tcW w:w="1155" w:type="dxa"/>
            <w:tcBorders>
              <w:top w:val="single" w:sz="6" w:space="0" w:color="auto"/>
              <w:left w:val="single" w:sz="6" w:space="0" w:color="auto"/>
              <w:bottom w:val="single" w:sz="6" w:space="0" w:color="auto"/>
              <w:right w:val="dashed" w:sz="4" w:space="0" w:color="auto"/>
            </w:tcBorders>
            <w:vAlign w:val="center"/>
          </w:tcPr>
          <w:p w:rsidR="00640034" w:rsidRPr="00403A0D" w:rsidRDefault="00640034" w:rsidP="00D94E34">
            <w:pPr>
              <w:spacing w:after="0"/>
              <w:jc w:val="right"/>
            </w:pPr>
            <w:r w:rsidRPr="00403A0D">
              <w:t>$30,668</w:t>
            </w:r>
          </w:p>
        </w:tc>
        <w:tc>
          <w:tcPr>
            <w:tcW w:w="627" w:type="dxa"/>
            <w:tcBorders>
              <w:top w:val="single" w:sz="6" w:space="0" w:color="auto"/>
              <w:left w:val="dashed" w:sz="4" w:space="0" w:color="auto"/>
              <w:bottom w:val="single" w:sz="6" w:space="0" w:color="auto"/>
              <w:right w:val="single" w:sz="6" w:space="0" w:color="auto"/>
            </w:tcBorders>
            <w:vAlign w:val="center"/>
          </w:tcPr>
          <w:p w:rsidR="00640034" w:rsidRPr="00403A0D" w:rsidRDefault="00640034" w:rsidP="00D94E34">
            <w:pPr>
              <w:spacing w:after="0"/>
              <w:jc w:val="right"/>
            </w:pPr>
            <w:r w:rsidRPr="00403A0D">
              <w:t>13%</w:t>
            </w:r>
          </w:p>
        </w:tc>
        <w:tc>
          <w:tcPr>
            <w:tcW w:w="1170" w:type="dxa"/>
            <w:tcBorders>
              <w:top w:val="single" w:sz="6" w:space="0" w:color="auto"/>
              <w:left w:val="single" w:sz="6" w:space="0" w:color="auto"/>
              <w:bottom w:val="single" w:sz="6" w:space="0" w:color="auto"/>
              <w:right w:val="dashed" w:sz="4" w:space="0" w:color="auto"/>
            </w:tcBorders>
            <w:vAlign w:val="center"/>
          </w:tcPr>
          <w:p w:rsidR="00640034" w:rsidRPr="00403A0D" w:rsidRDefault="00640034" w:rsidP="00D94E34">
            <w:pPr>
              <w:spacing w:after="0"/>
              <w:jc w:val="right"/>
            </w:pPr>
            <w:r w:rsidRPr="00403A0D">
              <w:t>$148,906</w:t>
            </w:r>
          </w:p>
        </w:tc>
        <w:tc>
          <w:tcPr>
            <w:tcW w:w="648" w:type="dxa"/>
            <w:tcBorders>
              <w:top w:val="single" w:sz="6" w:space="0" w:color="auto"/>
              <w:left w:val="dashed" w:sz="4" w:space="0" w:color="auto"/>
              <w:bottom w:val="single" w:sz="6" w:space="0" w:color="auto"/>
              <w:right w:val="single" w:sz="6" w:space="0" w:color="auto"/>
            </w:tcBorders>
            <w:vAlign w:val="center"/>
          </w:tcPr>
          <w:p w:rsidR="00640034" w:rsidRPr="00403A0D" w:rsidRDefault="00640034" w:rsidP="00D94E34">
            <w:pPr>
              <w:spacing w:after="0"/>
              <w:jc w:val="right"/>
            </w:pPr>
            <w:r w:rsidRPr="00403A0D">
              <w:t>64%</w:t>
            </w:r>
          </w:p>
        </w:tc>
        <w:tc>
          <w:tcPr>
            <w:tcW w:w="1155" w:type="dxa"/>
            <w:tcBorders>
              <w:top w:val="single" w:sz="6" w:space="0" w:color="auto"/>
              <w:left w:val="single" w:sz="6" w:space="0" w:color="auto"/>
              <w:bottom w:val="single" w:sz="6" w:space="0" w:color="auto"/>
              <w:right w:val="dashed" w:sz="4" w:space="0" w:color="auto"/>
            </w:tcBorders>
            <w:vAlign w:val="center"/>
          </w:tcPr>
          <w:p w:rsidR="00640034" w:rsidRPr="00403A0D" w:rsidRDefault="00640034" w:rsidP="00D94E34">
            <w:pPr>
              <w:spacing w:after="0"/>
              <w:jc w:val="right"/>
            </w:pPr>
            <w:r w:rsidRPr="00403A0D">
              <w:t>$54,520</w:t>
            </w:r>
          </w:p>
        </w:tc>
        <w:tc>
          <w:tcPr>
            <w:tcW w:w="630" w:type="dxa"/>
            <w:tcBorders>
              <w:top w:val="single" w:sz="6" w:space="0" w:color="auto"/>
              <w:left w:val="dashed" w:sz="4" w:space="0" w:color="auto"/>
              <w:bottom w:val="single" w:sz="6" w:space="0" w:color="auto"/>
              <w:right w:val="single" w:sz="6" w:space="0" w:color="auto"/>
            </w:tcBorders>
            <w:vAlign w:val="center"/>
          </w:tcPr>
          <w:p w:rsidR="00640034" w:rsidRPr="00403A0D" w:rsidRDefault="00640034" w:rsidP="00D94E34">
            <w:pPr>
              <w:spacing w:after="0"/>
              <w:jc w:val="right"/>
            </w:pPr>
            <w:r w:rsidRPr="00403A0D">
              <w:t>23%</w:t>
            </w:r>
          </w:p>
        </w:tc>
        <w:tc>
          <w:tcPr>
            <w:tcW w:w="1257" w:type="dxa"/>
            <w:tcBorders>
              <w:top w:val="single" w:sz="6" w:space="0" w:color="auto"/>
              <w:left w:val="single" w:sz="6" w:space="0" w:color="auto"/>
              <w:bottom w:val="single" w:sz="6" w:space="0" w:color="auto"/>
              <w:right w:val="dashed" w:sz="4" w:space="0" w:color="auto"/>
            </w:tcBorders>
            <w:vAlign w:val="center"/>
          </w:tcPr>
          <w:p w:rsidR="00640034" w:rsidRPr="00403A0D" w:rsidRDefault="00640034" w:rsidP="00D94E34">
            <w:pPr>
              <w:spacing w:after="0"/>
              <w:jc w:val="right"/>
            </w:pPr>
            <w:r w:rsidRPr="00403A0D">
              <w:t>$144,810</w:t>
            </w:r>
          </w:p>
        </w:tc>
        <w:tc>
          <w:tcPr>
            <w:tcW w:w="648" w:type="dxa"/>
            <w:tcBorders>
              <w:top w:val="single" w:sz="6" w:space="0" w:color="auto"/>
              <w:left w:val="dashed" w:sz="4" w:space="0" w:color="auto"/>
              <w:bottom w:val="single" w:sz="6" w:space="0" w:color="auto"/>
              <w:right w:val="single" w:sz="6" w:space="0" w:color="auto"/>
            </w:tcBorders>
            <w:vAlign w:val="center"/>
          </w:tcPr>
          <w:p w:rsidR="00640034" w:rsidRPr="00403A0D" w:rsidRDefault="00640034" w:rsidP="00D94E34">
            <w:pPr>
              <w:spacing w:after="0"/>
              <w:jc w:val="right"/>
            </w:pPr>
            <w:r w:rsidRPr="00403A0D">
              <w:t>62%</w:t>
            </w:r>
          </w:p>
        </w:tc>
        <w:tc>
          <w:tcPr>
            <w:tcW w:w="1242" w:type="dxa"/>
            <w:tcBorders>
              <w:top w:val="single" w:sz="6" w:space="0" w:color="auto"/>
              <w:left w:val="single" w:sz="6" w:space="0" w:color="auto"/>
              <w:bottom w:val="single" w:sz="6" w:space="0" w:color="auto"/>
              <w:right w:val="single" w:sz="6" w:space="0" w:color="auto"/>
            </w:tcBorders>
            <w:vAlign w:val="center"/>
          </w:tcPr>
          <w:p w:rsidR="00640034" w:rsidRPr="00403A0D" w:rsidRDefault="00640034" w:rsidP="00D94E34">
            <w:pPr>
              <w:spacing w:after="0"/>
              <w:jc w:val="right"/>
            </w:pPr>
            <w:r w:rsidRPr="00403A0D">
              <w:t>$89,284</w:t>
            </w:r>
          </w:p>
        </w:tc>
        <w:tc>
          <w:tcPr>
            <w:tcW w:w="1278" w:type="dxa"/>
            <w:tcBorders>
              <w:top w:val="single" w:sz="6" w:space="0" w:color="auto"/>
              <w:left w:val="single" w:sz="6" w:space="0" w:color="auto"/>
              <w:bottom w:val="single" w:sz="6" w:space="0" w:color="auto"/>
              <w:right w:val="single" w:sz="6" w:space="0" w:color="auto"/>
            </w:tcBorders>
            <w:vAlign w:val="center"/>
          </w:tcPr>
          <w:p w:rsidR="00640034" w:rsidRPr="00403A0D" w:rsidRDefault="00640034" w:rsidP="00D94E34">
            <w:pPr>
              <w:spacing w:after="0"/>
              <w:jc w:val="right"/>
            </w:pPr>
            <w:r w:rsidRPr="00403A0D">
              <w:t>$234,094</w:t>
            </w:r>
          </w:p>
        </w:tc>
      </w:tr>
      <w:tr w:rsidR="00640034" w:rsidRPr="00B00C3A">
        <w:trPr>
          <w:trHeight w:val="278"/>
          <w:jc w:val="right"/>
        </w:trPr>
        <w:tc>
          <w:tcPr>
            <w:tcW w:w="3720" w:type="dxa"/>
            <w:tcBorders>
              <w:top w:val="single" w:sz="6" w:space="0" w:color="auto"/>
              <w:left w:val="single" w:sz="6" w:space="0" w:color="auto"/>
              <w:bottom w:val="single" w:sz="6" w:space="0" w:color="auto"/>
              <w:right w:val="single" w:sz="6" w:space="0" w:color="auto"/>
            </w:tcBorders>
            <w:shd w:val="clear" w:color="C0C0C0" w:fill="D9D9D9" w:themeFill="background1" w:themeFillShade="D9"/>
            <w:vAlign w:val="center"/>
          </w:tcPr>
          <w:p w:rsidR="00640034" w:rsidRPr="00B00C3A" w:rsidRDefault="00640034" w:rsidP="00E2592E">
            <w:pPr>
              <w:widowControl w:val="0"/>
              <w:autoSpaceDE w:val="0"/>
              <w:autoSpaceDN w:val="0"/>
              <w:adjustRightInd w:val="0"/>
              <w:spacing w:before="120" w:after="120" w:line="240" w:lineRule="auto"/>
              <w:rPr>
                <w:rFonts w:cs="Arial"/>
                <w:b/>
                <w:bCs/>
                <w:color w:val="000000"/>
                <w:sz w:val="20"/>
                <w:szCs w:val="20"/>
              </w:rPr>
            </w:pPr>
            <w:r w:rsidRPr="00B00C3A">
              <w:rPr>
                <w:rFonts w:cs="Arial"/>
                <w:b/>
                <w:bCs/>
                <w:color w:val="000000"/>
                <w:sz w:val="20"/>
                <w:szCs w:val="20"/>
              </w:rPr>
              <w:t>Grand Total development expenditure</w:t>
            </w:r>
          </w:p>
        </w:tc>
        <w:tc>
          <w:tcPr>
            <w:tcW w:w="1155" w:type="dxa"/>
            <w:tcBorders>
              <w:top w:val="single" w:sz="6" w:space="0" w:color="auto"/>
              <w:left w:val="single" w:sz="6" w:space="0" w:color="auto"/>
              <w:bottom w:val="single" w:sz="6" w:space="0" w:color="auto"/>
              <w:right w:val="dashed" w:sz="4" w:space="0" w:color="auto"/>
            </w:tcBorders>
            <w:shd w:val="clear" w:color="C0C0C0" w:fill="D9D9D9" w:themeFill="background1" w:themeFillShade="D9"/>
            <w:vAlign w:val="center"/>
          </w:tcPr>
          <w:p w:rsidR="00640034" w:rsidRPr="00640034" w:rsidRDefault="00640034" w:rsidP="00D94E34">
            <w:pPr>
              <w:spacing w:after="0"/>
              <w:jc w:val="right"/>
              <w:rPr>
                <w:b/>
              </w:rPr>
            </w:pPr>
            <w:r w:rsidRPr="00640034">
              <w:rPr>
                <w:b/>
              </w:rPr>
              <w:t>$471,459</w:t>
            </w:r>
          </w:p>
        </w:tc>
        <w:tc>
          <w:tcPr>
            <w:tcW w:w="627" w:type="dxa"/>
            <w:tcBorders>
              <w:top w:val="single" w:sz="6" w:space="0" w:color="auto"/>
              <w:left w:val="dashed" w:sz="4" w:space="0" w:color="auto"/>
              <w:bottom w:val="single" w:sz="6" w:space="0" w:color="auto"/>
              <w:right w:val="single" w:sz="6" w:space="0" w:color="auto"/>
            </w:tcBorders>
            <w:shd w:val="clear" w:color="C0C0C0" w:fill="D9D9D9" w:themeFill="background1" w:themeFillShade="D9"/>
            <w:vAlign w:val="center"/>
          </w:tcPr>
          <w:p w:rsidR="00640034" w:rsidRPr="00640034" w:rsidRDefault="00640034" w:rsidP="00D94E34">
            <w:pPr>
              <w:spacing w:after="0"/>
              <w:jc w:val="right"/>
              <w:rPr>
                <w:b/>
              </w:rPr>
            </w:pPr>
            <w:r w:rsidRPr="00640034">
              <w:rPr>
                <w:b/>
              </w:rPr>
              <w:t>11%</w:t>
            </w:r>
          </w:p>
        </w:tc>
        <w:tc>
          <w:tcPr>
            <w:tcW w:w="1170" w:type="dxa"/>
            <w:tcBorders>
              <w:top w:val="single" w:sz="6" w:space="0" w:color="auto"/>
              <w:left w:val="single" w:sz="6" w:space="0" w:color="auto"/>
              <w:bottom w:val="single" w:sz="6" w:space="0" w:color="auto"/>
              <w:right w:val="dashed" w:sz="4" w:space="0" w:color="auto"/>
            </w:tcBorders>
            <w:shd w:val="clear" w:color="C0C0C0" w:fill="D9D9D9" w:themeFill="background1" w:themeFillShade="D9"/>
            <w:vAlign w:val="center"/>
          </w:tcPr>
          <w:p w:rsidR="00640034" w:rsidRPr="00640034" w:rsidRDefault="00640034" w:rsidP="00D94E34">
            <w:pPr>
              <w:spacing w:after="0"/>
              <w:ind w:left="-108" w:right="-18"/>
              <w:jc w:val="right"/>
              <w:rPr>
                <w:b/>
              </w:rPr>
            </w:pPr>
            <w:r w:rsidRPr="00640034">
              <w:rPr>
                <w:b/>
              </w:rPr>
              <w:t>$2,902,728</w:t>
            </w:r>
          </w:p>
        </w:tc>
        <w:tc>
          <w:tcPr>
            <w:tcW w:w="648" w:type="dxa"/>
            <w:tcBorders>
              <w:top w:val="single" w:sz="6" w:space="0" w:color="auto"/>
              <w:left w:val="dashed" w:sz="4" w:space="0" w:color="auto"/>
              <w:bottom w:val="single" w:sz="6" w:space="0" w:color="auto"/>
              <w:right w:val="single" w:sz="6" w:space="0" w:color="auto"/>
            </w:tcBorders>
            <w:shd w:val="clear" w:color="C0C0C0" w:fill="D9D9D9" w:themeFill="background1" w:themeFillShade="D9"/>
            <w:vAlign w:val="center"/>
          </w:tcPr>
          <w:p w:rsidR="00640034" w:rsidRPr="00640034" w:rsidRDefault="00640034" w:rsidP="00D94E34">
            <w:pPr>
              <w:spacing w:after="0"/>
              <w:jc w:val="right"/>
              <w:rPr>
                <w:b/>
              </w:rPr>
            </w:pPr>
            <w:r w:rsidRPr="00640034">
              <w:rPr>
                <w:b/>
              </w:rPr>
              <w:t>68%</w:t>
            </w:r>
          </w:p>
        </w:tc>
        <w:tc>
          <w:tcPr>
            <w:tcW w:w="1155" w:type="dxa"/>
            <w:tcBorders>
              <w:top w:val="single" w:sz="6" w:space="0" w:color="auto"/>
              <w:left w:val="single" w:sz="6" w:space="0" w:color="auto"/>
              <w:bottom w:val="single" w:sz="6" w:space="0" w:color="auto"/>
              <w:right w:val="dashed" w:sz="4" w:space="0" w:color="auto"/>
            </w:tcBorders>
            <w:shd w:val="clear" w:color="C0C0C0" w:fill="D9D9D9" w:themeFill="background1" w:themeFillShade="D9"/>
            <w:vAlign w:val="center"/>
          </w:tcPr>
          <w:p w:rsidR="00640034" w:rsidRPr="00640034" w:rsidRDefault="00640034" w:rsidP="00D94E34">
            <w:pPr>
              <w:spacing w:after="0"/>
              <w:jc w:val="right"/>
              <w:rPr>
                <w:b/>
              </w:rPr>
            </w:pPr>
            <w:r w:rsidRPr="00640034">
              <w:rPr>
                <w:b/>
              </w:rPr>
              <w:t>$868,316</w:t>
            </w:r>
          </w:p>
        </w:tc>
        <w:tc>
          <w:tcPr>
            <w:tcW w:w="630" w:type="dxa"/>
            <w:tcBorders>
              <w:top w:val="single" w:sz="6" w:space="0" w:color="auto"/>
              <w:left w:val="dashed" w:sz="4" w:space="0" w:color="auto"/>
              <w:bottom w:val="single" w:sz="6" w:space="0" w:color="auto"/>
              <w:right w:val="single" w:sz="6" w:space="0" w:color="auto"/>
            </w:tcBorders>
            <w:shd w:val="clear" w:color="C0C0C0" w:fill="D9D9D9" w:themeFill="background1" w:themeFillShade="D9"/>
            <w:vAlign w:val="center"/>
          </w:tcPr>
          <w:p w:rsidR="00640034" w:rsidRPr="00640034" w:rsidRDefault="00640034" w:rsidP="00D94E34">
            <w:pPr>
              <w:spacing w:after="0"/>
              <w:jc w:val="right"/>
              <w:rPr>
                <w:b/>
              </w:rPr>
            </w:pPr>
            <w:r w:rsidRPr="00640034">
              <w:rPr>
                <w:b/>
              </w:rPr>
              <w:t>20%</w:t>
            </w:r>
          </w:p>
        </w:tc>
        <w:tc>
          <w:tcPr>
            <w:tcW w:w="1257" w:type="dxa"/>
            <w:tcBorders>
              <w:top w:val="single" w:sz="6" w:space="0" w:color="auto"/>
              <w:left w:val="single" w:sz="6" w:space="0" w:color="auto"/>
              <w:bottom w:val="single" w:sz="6" w:space="0" w:color="auto"/>
              <w:right w:val="dashed" w:sz="4" w:space="0" w:color="auto"/>
            </w:tcBorders>
            <w:shd w:val="clear" w:color="C0C0C0" w:fill="D9D9D9" w:themeFill="background1" w:themeFillShade="D9"/>
            <w:vAlign w:val="center"/>
          </w:tcPr>
          <w:p w:rsidR="00640034" w:rsidRPr="00640034" w:rsidRDefault="00640034" w:rsidP="00D94E34">
            <w:pPr>
              <w:spacing w:after="0"/>
              <w:jc w:val="right"/>
              <w:rPr>
                <w:b/>
              </w:rPr>
            </w:pPr>
            <w:r w:rsidRPr="00640034">
              <w:rPr>
                <w:b/>
              </w:rPr>
              <w:t>$2,382,526</w:t>
            </w:r>
          </w:p>
        </w:tc>
        <w:tc>
          <w:tcPr>
            <w:tcW w:w="648" w:type="dxa"/>
            <w:tcBorders>
              <w:top w:val="single" w:sz="6" w:space="0" w:color="auto"/>
              <w:left w:val="dashed" w:sz="4" w:space="0" w:color="auto"/>
              <w:bottom w:val="single" w:sz="6" w:space="0" w:color="auto"/>
              <w:right w:val="single" w:sz="6" w:space="0" w:color="auto"/>
            </w:tcBorders>
            <w:shd w:val="clear" w:color="C0C0C0" w:fill="D9D9D9" w:themeFill="background1" w:themeFillShade="D9"/>
            <w:vAlign w:val="center"/>
          </w:tcPr>
          <w:p w:rsidR="00640034" w:rsidRPr="00640034" w:rsidRDefault="00640034" w:rsidP="00D94E34">
            <w:pPr>
              <w:spacing w:after="0"/>
              <w:jc w:val="right"/>
              <w:rPr>
                <w:b/>
              </w:rPr>
            </w:pPr>
            <w:r w:rsidRPr="00640034">
              <w:rPr>
                <w:b/>
              </w:rPr>
              <w:t>56%</w:t>
            </w:r>
          </w:p>
        </w:tc>
        <w:tc>
          <w:tcPr>
            <w:tcW w:w="1242" w:type="dxa"/>
            <w:tcBorders>
              <w:top w:val="single" w:sz="6" w:space="0" w:color="auto"/>
              <w:left w:val="single" w:sz="6" w:space="0" w:color="auto"/>
              <w:bottom w:val="single" w:sz="6" w:space="0" w:color="auto"/>
              <w:right w:val="single" w:sz="6" w:space="0" w:color="auto"/>
            </w:tcBorders>
            <w:shd w:val="clear" w:color="C0C0C0" w:fill="D9D9D9" w:themeFill="background1" w:themeFillShade="D9"/>
            <w:vAlign w:val="center"/>
          </w:tcPr>
          <w:p w:rsidR="00640034" w:rsidRPr="00640034" w:rsidRDefault="00640034" w:rsidP="00D94E34">
            <w:pPr>
              <w:spacing w:after="0"/>
              <w:jc w:val="right"/>
              <w:rPr>
                <w:b/>
              </w:rPr>
            </w:pPr>
            <w:r w:rsidRPr="00640034">
              <w:rPr>
                <w:b/>
              </w:rPr>
              <w:t>$1,859,977</w:t>
            </w:r>
          </w:p>
        </w:tc>
        <w:tc>
          <w:tcPr>
            <w:tcW w:w="1278" w:type="dxa"/>
            <w:tcBorders>
              <w:top w:val="single" w:sz="6" w:space="0" w:color="auto"/>
              <w:left w:val="single" w:sz="6" w:space="0" w:color="auto"/>
              <w:bottom w:val="single" w:sz="6" w:space="0" w:color="auto"/>
              <w:right w:val="single" w:sz="6" w:space="0" w:color="auto"/>
            </w:tcBorders>
            <w:shd w:val="clear" w:color="C0C0C0" w:fill="D9D9D9" w:themeFill="background1" w:themeFillShade="D9"/>
            <w:vAlign w:val="center"/>
          </w:tcPr>
          <w:p w:rsidR="00640034" w:rsidRPr="00640034" w:rsidRDefault="00640034" w:rsidP="00D94E34">
            <w:pPr>
              <w:spacing w:after="0"/>
              <w:jc w:val="right"/>
              <w:rPr>
                <w:b/>
              </w:rPr>
            </w:pPr>
            <w:r w:rsidRPr="00640034">
              <w:rPr>
                <w:b/>
              </w:rPr>
              <w:t>$4,242,503</w:t>
            </w:r>
          </w:p>
        </w:tc>
      </w:tr>
    </w:tbl>
    <w:p w:rsidR="0012679A" w:rsidRPr="0012679A" w:rsidRDefault="0012679A" w:rsidP="00BA40DA">
      <w:pPr>
        <w:tabs>
          <w:tab w:val="left" w:pos="1080"/>
          <w:tab w:val="right" w:pos="12960"/>
        </w:tabs>
        <w:spacing w:before="120" w:after="120" w:line="240" w:lineRule="auto"/>
        <w:rPr>
          <w:b/>
        </w:rPr>
      </w:pPr>
    </w:p>
    <w:p w:rsidR="0012679A" w:rsidRPr="0012679A" w:rsidRDefault="00CC29B8" w:rsidP="00FC16B3">
      <w:pPr>
        <w:ind w:left="1260" w:hanging="1260"/>
        <w:rPr>
          <w:b/>
        </w:rPr>
      </w:pPr>
      <w:r>
        <w:rPr>
          <w:b/>
        </w:rPr>
        <w:br w:type="page"/>
      </w:r>
      <w:r>
        <w:rPr>
          <w:b/>
        </w:rPr>
        <w:lastRenderedPageBreak/>
        <w:t>Annex V:</w:t>
      </w:r>
      <w:r>
        <w:rPr>
          <w:b/>
        </w:rPr>
        <w:tab/>
      </w:r>
      <w:r w:rsidR="0012679A" w:rsidRPr="0012679A">
        <w:rPr>
          <w:b/>
        </w:rPr>
        <w:t>Data responding to Executive Board requests</w:t>
      </w:r>
    </w:p>
    <w:p w:rsidR="005E5E00" w:rsidRPr="005E5E00" w:rsidRDefault="005E5E00" w:rsidP="005E5E00">
      <w:pPr>
        <w:spacing w:before="120" w:after="120" w:line="240" w:lineRule="auto"/>
        <w:jc w:val="both"/>
        <w:rPr>
          <w:b/>
          <w:sz w:val="20"/>
          <w:u w:val="single"/>
        </w:rPr>
      </w:pPr>
      <w:r w:rsidRPr="005E5E00">
        <w:rPr>
          <w:b/>
          <w:sz w:val="20"/>
          <w:u w:val="single"/>
        </w:rPr>
        <w:t>Comparison of UNDP expenditures on UN system coordination and programming (decisions 2009/22, 2009/9, and 2008/24)</w:t>
      </w:r>
    </w:p>
    <w:p w:rsidR="006D197F" w:rsidRPr="006D197F" w:rsidRDefault="006D197F" w:rsidP="006D197F">
      <w:pPr>
        <w:pStyle w:val="Default"/>
        <w:numPr>
          <w:ilvl w:val="0"/>
          <w:numId w:val="4"/>
        </w:numPr>
        <w:spacing w:before="120" w:after="120"/>
        <w:ind w:left="450" w:hanging="450"/>
        <w:jc w:val="both"/>
        <w:rPr>
          <w:sz w:val="20"/>
          <w:szCs w:val="20"/>
        </w:rPr>
      </w:pPr>
      <w:r w:rsidRPr="006D197F">
        <w:rPr>
          <w:sz w:val="20"/>
          <w:szCs w:val="20"/>
        </w:rPr>
        <w:t>Executive Board Decision2009/9 requested UNDP to include a “comprehensive comparative analysis of its spending for United Nations system coordination and programming”. The UNDP Strategic Plan broadly estimated $500 million as the overall total for United Nations coordination for 2008-2011, annualised at $125 million over the period of the Plan. Using 2005 figures as the latest available at the time of preparation of the Plan, these annualised estimates translated into 0.8% of the total operational expenditure for development activities of the UN system.</w:t>
      </w:r>
    </w:p>
    <w:p w:rsidR="006D197F" w:rsidRPr="006D197F" w:rsidRDefault="006D197F" w:rsidP="006D197F">
      <w:pPr>
        <w:pStyle w:val="Default"/>
        <w:numPr>
          <w:ilvl w:val="0"/>
          <w:numId w:val="4"/>
        </w:numPr>
        <w:spacing w:before="120" w:after="120"/>
        <w:ind w:left="450" w:hanging="450"/>
        <w:jc w:val="both"/>
        <w:rPr>
          <w:sz w:val="20"/>
          <w:szCs w:val="20"/>
        </w:rPr>
      </w:pPr>
      <w:r w:rsidRPr="006D197F">
        <w:rPr>
          <w:sz w:val="20"/>
          <w:szCs w:val="20"/>
        </w:rPr>
        <w:t>Total expenditure on coordination for UN operational activities reported by UNDP in 2013 totaled $121 million (including staff time allocated for coordination). This includes $12.1 million raised from donors by the Development Operations Coordination Office (DOCO). Overall coordination costs in 2013, including UNDP staff-costed time for UN coordination, stood at approximately 0.75 per cent of the total expenditure for operational activities for development of the UN system.</w:t>
      </w:r>
    </w:p>
    <w:p w:rsidR="005E5E00" w:rsidRPr="005171B2" w:rsidRDefault="006D197F" w:rsidP="006D197F">
      <w:pPr>
        <w:pStyle w:val="Default"/>
        <w:numPr>
          <w:ilvl w:val="0"/>
          <w:numId w:val="4"/>
        </w:numPr>
        <w:spacing w:before="120" w:after="120"/>
        <w:ind w:left="450" w:hanging="450"/>
        <w:jc w:val="both"/>
        <w:rPr>
          <w:sz w:val="20"/>
          <w:szCs w:val="20"/>
        </w:rPr>
      </w:pPr>
      <w:r w:rsidRPr="006D197F">
        <w:rPr>
          <w:sz w:val="20"/>
          <w:szCs w:val="20"/>
        </w:rPr>
        <w:t>Executive Board Decision 2009/22 also requested UNDP to provide, in its annual report to the Board, information on workload studies related to its United Nations development coordination function and associated costs. In this regard, the aggregate cost of UNDP support to the “coordination” function at the country level comprises staff, including the resident coordination/resident representative salary portion, as well as operational and administrative support costs. It represents a percentage of a UNDP country office cost based on a workload survey as presented in Executive Board document DP/2008/3. In 2012, it stands at 27%. There were no workload studies carried out in 2013</w:t>
      </w:r>
      <w:r w:rsidR="005171B2">
        <w:rPr>
          <w:sz w:val="20"/>
          <w:szCs w:val="20"/>
        </w:rPr>
        <w:t>.</w:t>
      </w:r>
    </w:p>
    <w:p w:rsidR="005E5E00" w:rsidRPr="00E55E6F" w:rsidRDefault="006D197F" w:rsidP="00E55E6F">
      <w:pPr>
        <w:spacing w:before="240" w:after="240" w:line="240" w:lineRule="auto"/>
        <w:ind w:left="446"/>
        <w:jc w:val="both"/>
        <w:rPr>
          <w:b/>
          <w:sz w:val="20"/>
        </w:rPr>
      </w:pPr>
      <w:r>
        <w:rPr>
          <w:b/>
          <w:sz w:val="20"/>
        </w:rPr>
        <w:t xml:space="preserve">Table </w:t>
      </w:r>
      <w:r w:rsidR="001A0551" w:rsidRPr="001A0551">
        <w:rPr>
          <w:b/>
          <w:sz w:val="20"/>
        </w:rPr>
        <w:t>3</w:t>
      </w:r>
      <w:r>
        <w:rPr>
          <w:b/>
          <w:sz w:val="20"/>
        </w:rPr>
        <w:t xml:space="preserve">: </w:t>
      </w:r>
      <w:r w:rsidR="001A0551">
        <w:rPr>
          <w:b/>
          <w:sz w:val="20"/>
        </w:rPr>
        <w:t xml:space="preserve"> </w:t>
      </w:r>
      <w:r w:rsidRPr="006D197F">
        <w:rPr>
          <w:b/>
          <w:sz w:val="20"/>
        </w:rPr>
        <w:t>Provisional 2013 programme expenditure by region in thousands of US dollar (decision 2008/14)</w:t>
      </w:r>
    </w:p>
    <w:tbl>
      <w:tblPr>
        <w:tblStyle w:val="TableGrid"/>
        <w:tblW w:w="0" w:type="auto"/>
        <w:tblInd w:w="2628" w:type="dxa"/>
        <w:tblLook w:val="04A0" w:firstRow="1" w:lastRow="0" w:firstColumn="1" w:lastColumn="0" w:noHBand="0" w:noVBand="1"/>
      </w:tblPr>
      <w:tblGrid>
        <w:gridCol w:w="1620"/>
        <w:gridCol w:w="1800"/>
        <w:gridCol w:w="2160"/>
        <w:gridCol w:w="1530"/>
        <w:gridCol w:w="1710"/>
      </w:tblGrid>
      <w:tr w:rsidR="00E55E6F">
        <w:tc>
          <w:tcPr>
            <w:tcW w:w="1620" w:type="dxa"/>
          </w:tcPr>
          <w:p w:rsidR="00E55E6F" w:rsidRPr="00592914" w:rsidRDefault="00E55E6F" w:rsidP="00FC667C">
            <w:pPr>
              <w:rPr>
                <w:sz w:val="20"/>
                <w:szCs w:val="20"/>
              </w:rPr>
            </w:pPr>
            <w:r>
              <w:rPr>
                <w:b/>
                <w:bCs/>
                <w:sz w:val="20"/>
                <w:szCs w:val="20"/>
              </w:rPr>
              <w:t>Region</w:t>
            </w:r>
          </w:p>
        </w:tc>
        <w:tc>
          <w:tcPr>
            <w:tcW w:w="1800" w:type="dxa"/>
          </w:tcPr>
          <w:p w:rsidR="00E55E6F" w:rsidRPr="00592914" w:rsidRDefault="00E55E6F" w:rsidP="00E55E6F">
            <w:pPr>
              <w:jc w:val="right"/>
              <w:rPr>
                <w:sz w:val="20"/>
                <w:szCs w:val="20"/>
              </w:rPr>
            </w:pPr>
            <w:r>
              <w:rPr>
                <w:b/>
                <w:bCs/>
                <w:sz w:val="20"/>
                <w:szCs w:val="20"/>
              </w:rPr>
              <w:t>Regular R</w:t>
            </w:r>
            <w:r w:rsidRPr="00592914">
              <w:rPr>
                <w:b/>
                <w:bCs/>
                <w:sz w:val="20"/>
                <w:szCs w:val="20"/>
              </w:rPr>
              <w:t>esources</w:t>
            </w:r>
          </w:p>
        </w:tc>
        <w:tc>
          <w:tcPr>
            <w:tcW w:w="2160" w:type="dxa"/>
          </w:tcPr>
          <w:p w:rsidR="00E55E6F" w:rsidRPr="00592914" w:rsidRDefault="00E55E6F" w:rsidP="00E55E6F">
            <w:pPr>
              <w:jc w:val="right"/>
              <w:rPr>
                <w:sz w:val="20"/>
                <w:szCs w:val="20"/>
              </w:rPr>
            </w:pPr>
            <w:r>
              <w:rPr>
                <w:b/>
                <w:bCs/>
                <w:sz w:val="20"/>
                <w:szCs w:val="20"/>
              </w:rPr>
              <w:t>Other D</w:t>
            </w:r>
            <w:r w:rsidRPr="00592914">
              <w:rPr>
                <w:b/>
                <w:bCs/>
                <w:sz w:val="20"/>
                <w:szCs w:val="20"/>
              </w:rPr>
              <w:t>onor</w:t>
            </w:r>
            <w:r>
              <w:rPr>
                <w:b/>
                <w:bCs/>
                <w:sz w:val="20"/>
                <w:szCs w:val="20"/>
              </w:rPr>
              <w:t xml:space="preserve"> Resources</w:t>
            </w:r>
          </w:p>
        </w:tc>
        <w:tc>
          <w:tcPr>
            <w:tcW w:w="1530" w:type="dxa"/>
          </w:tcPr>
          <w:p w:rsidR="00E55E6F" w:rsidRPr="00592914" w:rsidRDefault="00E55E6F" w:rsidP="00E55E6F">
            <w:pPr>
              <w:pStyle w:val="Default"/>
              <w:jc w:val="right"/>
              <w:rPr>
                <w:sz w:val="20"/>
                <w:szCs w:val="20"/>
              </w:rPr>
            </w:pPr>
            <w:r>
              <w:rPr>
                <w:b/>
                <w:bCs/>
                <w:sz w:val="20"/>
                <w:szCs w:val="20"/>
              </w:rPr>
              <w:t>Local Re</w:t>
            </w:r>
            <w:r w:rsidRPr="00592914">
              <w:rPr>
                <w:b/>
                <w:bCs/>
                <w:sz w:val="20"/>
                <w:szCs w:val="20"/>
              </w:rPr>
              <w:t xml:space="preserve">sources </w:t>
            </w:r>
          </w:p>
        </w:tc>
        <w:tc>
          <w:tcPr>
            <w:tcW w:w="1710" w:type="dxa"/>
          </w:tcPr>
          <w:p w:rsidR="00E55E6F" w:rsidRPr="00592914" w:rsidRDefault="00E55E6F" w:rsidP="00E55E6F">
            <w:pPr>
              <w:jc w:val="right"/>
              <w:rPr>
                <w:sz w:val="20"/>
                <w:szCs w:val="20"/>
              </w:rPr>
            </w:pPr>
            <w:r>
              <w:rPr>
                <w:b/>
                <w:bCs/>
                <w:sz w:val="20"/>
                <w:szCs w:val="20"/>
              </w:rPr>
              <w:t>Total Expenditure</w:t>
            </w:r>
          </w:p>
        </w:tc>
      </w:tr>
      <w:tr w:rsidR="007E2BD1">
        <w:tc>
          <w:tcPr>
            <w:tcW w:w="1620" w:type="dxa"/>
          </w:tcPr>
          <w:p w:rsidR="007E2BD1" w:rsidRPr="00592914" w:rsidRDefault="007E2BD1" w:rsidP="00FC667C">
            <w:pPr>
              <w:rPr>
                <w:sz w:val="20"/>
                <w:szCs w:val="20"/>
              </w:rPr>
            </w:pPr>
            <w:r w:rsidRPr="00592914">
              <w:rPr>
                <w:sz w:val="20"/>
                <w:szCs w:val="20"/>
              </w:rPr>
              <w:t xml:space="preserve">RBA </w:t>
            </w:r>
          </w:p>
        </w:tc>
        <w:tc>
          <w:tcPr>
            <w:tcW w:w="1800" w:type="dxa"/>
          </w:tcPr>
          <w:p w:rsidR="007E2BD1" w:rsidRPr="00B15849" w:rsidRDefault="007E2BD1" w:rsidP="007E2BD1">
            <w:pPr>
              <w:jc w:val="right"/>
            </w:pPr>
            <w:r w:rsidRPr="00B15849">
              <w:t>200,712</w:t>
            </w:r>
          </w:p>
        </w:tc>
        <w:tc>
          <w:tcPr>
            <w:tcW w:w="2160" w:type="dxa"/>
          </w:tcPr>
          <w:p w:rsidR="007E2BD1" w:rsidRPr="00B15849" w:rsidRDefault="007E2BD1" w:rsidP="007E2BD1">
            <w:pPr>
              <w:jc w:val="right"/>
            </w:pPr>
            <w:r w:rsidRPr="00B15849">
              <w:t>731,554</w:t>
            </w:r>
          </w:p>
        </w:tc>
        <w:tc>
          <w:tcPr>
            <w:tcW w:w="1530" w:type="dxa"/>
          </w:tcPr>
          <w:p w:rsidR="007E2BD1" w:rsidRPr="00B15849" w:rsidRDefault="007E2BD1" w:rsidP="007E2BD1">
            <w:pPr>
              <w:jc w:val="right"/>
            </w:pPr>
            <w:r w:rsidRPr="00B15849">
              <w:t>48,358</w:t>
            </w:r>
          </w:p>
        </w:tc>
        <w:tc>
          <w:tcPr>
            <w:tcW w:w="1710" w:type="dxa"/>
          </w:tcPr>
          <w:p w:rsidR="007E2BD1" w:rsidRPr="00B15849" w:rsidRDefault="007E2BD1" w:rsidP="007E2BD1">
            <w:pPr>
              <w:jc w:val="right"/>
            </w:pPr>
            <w:r w:rsidRPr="00B15849">
              <w:t>980,624</w:t>
            </w:r>
          </w:p>
        </w:tc>
      </w:tr>
      <w:tr w:rsidR="007E2BD1">
        <w:tc>
          <w:tcPr>
            <w:tcW w:w="1620" w:type="dxa"/>
          </w:tcPr>
          <w:p w:rsidR="007E2BD1" w:rsidRPr="00592914" w:rsidRDefault="007E2BD1" w:rsidP="00FC667C">
            <w:pPr>
              <w:rPr>
                <w:sz w:val="20"/>
                <w:szCs w:val="20"/>
              </w:rPr>
            </w:pPr>
            <w:r w:rsidRPr="00592914">
              <w:rPr>
                <w:sz w:val="20"/>
                <w:szCs w:val="20"/>
              </w:rPr>
              <w:t xml:space="preserve">RBAP </w:t>
            </w:r>
          </w:p>
        </w:tc>
        <w:tc>
          <w:tcPr>
            <w:tcW w:w="1800" w:type="dxa"/>
          </w:tcPr>
          <w:p w:rsidR="007E2BD1" w:rsidRPr="00B15849" w:rsidRDefault="007E2BD1" w:rsidP="007E2BD1">
            <w:pPr>
              <w:jc w:val="right"/>
            </w:pPr>
            <w:r w:rsidRPr="00B15849">
              <w:t>106,809</w:t>
            </w:r>
          </w:p>
        </w:tc>
        <w:tc>
          <w:tcPr>
            <w:tcW w:w="2160" w:type="dxa"/>
          </w:tcPr>
          <w:p w:rsidR="007E2BD1" w:rsidRPr="00B15849" w:rsidRDefault="007E2BD1" w:rsidP="007E2BD1">
            <w:pPr>
              <w:jc w:val="right"/>
            </w:pPr>
            <w:r w:rsidRPr="00B15849">
              <w:t>1,059,709</w:t>
            </w:r>
          </w:p>
        </w:tc>
        <w:tc>
          <w:tcPr>
            <w:tcW w:w="1530" w:type="dxa"/>
          </w:tcPr>
          <w:p w:rsidR="007E2BD1" w:rsidRPr="00B15849" w:rsidRDefault="007E2BD1" w:rsidP="007E2BD1">
            <w:pPr>
              <w:jc w:val="right"/>
            </w:pPr>
            <w:r w:rsidRPr="00B15849">
              <w:t>27,146</w:t>
            </w:r>
          </w:p>
        </w:tc>
        <w:tc>
          <w:tcPr>
            <w:tcW w:w="1710" w:type="dxa"/>
          </w:tcPr>
          <w:p w:rsidR="007E2BD1" w:rsidRPr="00B15849" w:rsidRDefault="007E2BD1" w:rsidP="007E2BD1">
            <w:pPr>
              <w:jc w:val="right"/>
            </w:pPr>
            <w:r w:rsidRPr="00B15849">
              <w:t>1,193,664</w:t>
            </w:r>
          </w:p>
        </w:tc>
      </w:tr>
      <w:tr w:rsidR="007E2BD1">
        <w:tc>
          <w:tcPr>
            <w:tcW w:w="1620" w:type="dxa"/>
          </w:tcPr>
          <w:p w:rsidR="007E2BD1" w:rsidRPr="00592914" w:rsidRDefault="007E2BD1" w:rsidP="00FC667C">
            <w:pPr>
              <w:rPr>
                <w:sz w:val="20"/>
                <w:szCs w:val="20"/>
              </w:rPr>
            </w:pPr>
            <w:r w:rsidRPr="00592914">
              <w:rPr>
                <w:sz w:val="20"/>
                <w:szCs w:val="20"/>
              </w:rPr>
              <w:t xml:space="preserve">RBAS </w:t>
            </w:r>
          </w:p>
        </w:tc>
        <w:tc>
          <w:tcPr>
            <w:tcW w:w="1800" w:type="dxa"/>
          </w:tcPr>
          <w:p w:rsidR="007E2BD1" w:rsidRPr="00B15849" w:rsidRDefault="007E2BD1" w:rsidP="007E2BD1">
            <w:pPr>
              <w:jc w:val="right"/>
            </w:pPr>
            <w:r w:rsidRPr="00B15849">
              <w:t>33,091</w:t>
            </w:r>
          </w:p>
        </w:tc>
        <w:tc>
          <w:tcPr>
            <w:tcW w:w="2160" w:type="dxa"/>
          </w:tcPr>
          <w:p w:rsidR="007E2BD1" w:rsidRPr="00B15849" w:rsidRDefault="007E2BD1" w:rsidP="007E2BD1">
            <w:pPr>
              <w:jc w:val="right"/>
            </w:pPr>
            <w:r w:rsidRPr="00B15849">
              <w:t>388,203</w:t>
            </w:r>
          </w:p>
        </w:tc>
        <w:tc>
          <w:tcPr>
            <w:tcW w:w="1530" w:type="dxa"/>
          </w:tcPr>
          <w:p w:rsidR="007E2BD1" w:rsidRPr="00B15849" w:rsidRDefault="007E2BD1" w:rsidP="007E2BD1">
            <w:pPr>
              <w:jc w:val="right"/>
            </w:pPr>
            <w:r w:rsidRPr="00B15849">
              <w:t>115,014</w:t>
            </w:r>
          </w:p>
        </w:tc>
        <w:tc>
          <w:tcPr>
            <w:tcW w:w="1710" w:type="dxa"/>
          </w:tcPr>
          <w:p w:rsidR="007E2BD1" w:rsidRPr="00B15849" w:rsidRDefault="007E2BD1" w:rsidP="007E2BD1">
            <w:pPr>
              <w:jc w:val="right"/>
            </w:pPr>
            <w:r w:rsidRPr="00B15849">
              <w:t>536,307</w:t>
            </w:r>
          </w:p>
        </w:tc>
      </w:tr>
      <w:tr w:rsidR="007E2BD1">
        <w:tc>
          <w:tcPr>
            <w:tcW w:w="1620" w:type="dxa"/>
          </w:tcPr>
          <w:p w:rsidR="007E2BD1" w:rsidRPr="00592914" w:rsidRDefault="007E2BD1" w:rsidP="00FC667C">
            <w:pPr>
              <w:rPr>
                <w:sz w:val="20"/>
                <w:szCs w:val="20"/>
              </w:rPr>
            </w:pPr>
            <w:r w:rsidRPr="00592914">
              <w:rPr>
                <w:sz w:val="20"/>
                <w:szCs w:val="20"/>
              </w:rPr>
              <w:t xml:space="preserve">RBEC </w:t>
            </w:r>
          </w:p>
        </w:tc>
        <w:tc>
          <w:tcPr>
            <w:tcW w:w="1800" w:type="dxa"/>
          </w:tcPr>
          <w:p w:rsidR="007E2BD1" w:rsidRPr="00B15849" w:rsidRDefault="007E2BD1" w:rsidP="007E2BD1">
            <w:pPr>
              <w:jc w:val="right"/>
            </w:pPr>
            <w:r w:rsidRPr="00B15849">
              <w:t>30,038</w:t>
            </w:r>
          </w:p>
        </w:tc>
        <w:tc>
          <w:tcPr>
            <w:tcW w:w="2160" w:type="dxa"/>
          </w:tcPr>
          <w:p w:rsidR="007E2BD1" w:rsidRPr="00B15849" w:rsidRDefault="007E2BD1" w:rsidP="007E2BD1">
            <w:pPr>
              <w:jc w:val="right"/>
            </w:pPr>
            <w:r w:rsidRPr="00B15849">
              <w:t>241,324</w:t>
            </w:r>
          </w:p>
        </w:tc>
        <w:tc>
          <w:tcPr>
            <w:tcW w:w="1530" w:type="dxa"/>
          </w:tcPr>
          <w:p w:rsidR="007E2BD1" w:rsidRPr="00B15849" w:rsidRDefault="007E2BD1" w:rsidP="007E2BD1">
            <w:pPr>
              <w:jc w:val="right"/>
            </w:pPr>
            <w:r w:rsidRPr="00B15849">
              <w:t>57,593</w:t>
            </w:r>
          </w:p>
        </w:tc>
        <w:tc>
          <w:tcPr>
            <w:tcW w:w="1710" w:type="dxa"/>
          </w:tcPr>
          <w:p w:rsidR="007E2BD1" w:rsidRPr="00B15849" w:rsidRDefault="007E2BD1" w:rsidP="007E2BD1">
            <w:pPr>
              <w:jc w:val="right"/>
            </w:pPr>
            <w:r w:rsidRPr="00B15849">
              <w:t>328,955</w:t>
            </w:r>
          </w:p>
        </w:tc>
      </w:tr>
      <w:tr w:rsidR="007E2BD1">
        <w:tc>
          <w:tcPr>
            <w:tcW w:w="1620" w:type="dxa"/>
          </w:tcPr>
          <w:p w:rsidR="007E2BD1" w:rsidRPr="00592914" w:rsidRDefault="007E2BD1" w:rsidP="00FC667C">
            <w:pPr>
              <w:rPr>
                <w:sz w:val="20"/>
                <w:szCs w:val="20"/>
              </w:rPr>
            </w:pPr>
            <w:r w:rsidRPr="00592914">
              <w:rPr>
                <w:sz w:val="20"/>
                <w:szCs w:val="20"/>
              </w:rPr>
              <w:t xml:space="preserve">RBLAC </w:t>
            </w:r>
          </w:p>
        </w:tc>
        <w:tc>
          <w:tcPr>
            <w:tcW w:w="1800" w:type="dxa"/>
          </w:tcPr>
          <w:p w:rsidR="007E2BD1" w:rsidRPr="00B15849" w:rsidRDefault="007E2BD1" w:rsidP="007E2BD1">
            <w:pPr>
              <w:jc w:val="right"/>
            </w:pPr>
            <w:r w:rsidRPr="00B15849">
              <w:t>23,355</w:t>
            </w:r>
          </w:p>
        </w:tc>
        <w:tc>
          <w:tcPr>
            <w:tcW w:w="2160" w:type="dxa"/>
          </w:tcPr>
          <w:p w:rsidR="007E2BD1" w:rsidRPr="00B15849" w:rsidRDefault="007E2BD1" w:rsidP="007E2BD1">
            <w:pPr>
              <w:jc w:val="right"/>
            </w:pPr>
            <w:r w:rsidRPr="00B15849">
              <w:t>251,101</w:t>
            </w:r>
          </w:p>
        </w:tc>
        <w:tc>
          <w:tcPr>
            <w:tcW w:w="1530" w:type="dxa"/>
          </w:tcPr>
          <w:p w:rsidR="007E2BD1" w:rsidRPr="00B15849" w:rsidRDefault="007E2BD1" w:rsidP="007E2BD1">
            <w:pPr>
              <w:jc w:val="right"/>
            </w:pPr>
            <w:r w:rsidRPr="00B15849">
              <w:t>616,871</w:t>
            </w:r>
          </w:p>
        </w:tc>
        <w:tc>
          <w:tcPr>
            <w:tcW w:w="1710" w:type="dxa"/>
          </w:tcPr>
          <w:p w:rsidR="007E2BD1" w:rsidRPr="00B15849" w:rsidRDefault="007E2BD1" w:rsidP="007E2BD1">
            <w:pPr>
              <w:jc w:val="right"/>
            </w:pPr>
            <w:r w:rsidRPr="00B15849">
              <w:t>891,327</w:t>
            </w:r>
          </w:p>
        </w:tc>
      </w:tr>
      <w:tr w:rsidR="007E2BD1">
        <w:tc>
          <w:tcPr>
            <w:tcW w:w="1620" w:type="dxa"/>
          </w:tcPr>
          <w:p w:rsidR="007E2BD1" w:rsidRPr="00592914" w:rsidRDefault="007E2BD1" w:rsidP="00FC667C">
            <w:pPr>
              <w:rPr>
                <w:b/>
                <w:sz w:val="20"/>
                <w:szCs w:val="20"/>
              </w:rPr>
            </w:pPr>
            <w:r w:rsidRPr="00592914">
              <w:rPr>
                <w:b/>
                <w:sz w:val="20"/>
                <w:szCs w:val="20"/>
              </w:rPr>
              <w:t xml:space="preserve">CO Total </w:t>
            </w:r>
          </w:p>
        </w:tc>
        <w:tc>
          <w:tcPr>
            <w:tcW w:w="1800" w:type="dxa"/>
          </w:tcPr>
          <w:p w:rsidR="007E2BD1" w:rsidRPr="007E2BD1" w:rsidRDefault="007E2BD1" w:rsidP="007E2BD1">
            <w:pPr>
              <w:jc w:val="right"/>
              <w:rPr>
                <w:b/>
              </w:rPr>
            </w:pPr>
            <w:r w:rsidRPr="007E2BD1">
              <w:rPr>
                <w:b/>
              </w:rPr>
              <w:t>394,005</w:t>
            </w:r>
          </w:p>
        </w:tc>
        <w:tc>
          <w:tcPr>
            <w:tcW w:w="2160" w:type="dxa"/>
          </w:tcPr>
          <w:p w:rsidR="007E2BD1" w:rsidRPr="007E2BD1" w:rsidRDefault="007E2BD1" w:rsidP="007E2BD1">
            <w:pPr>
              <w:jc w:val="right"/>
              <w:rPr>
                <w:b/>
              </w:rPr>
            </w:pPr>
            <w:r w:rsidRPr="007E2BD1">
              <w:rPr>
                <w:b/>
              </w:rPr>
              <w:t>2,671,891</w:t>
            </w:r>
          </w:p>
        </w:tc>
        <w:tc>
          <w:tcPr>
            <w:tcW w:w="1530" w:type="dxa"/>
          </w:tcPr>
          <w:p w:rsidR="007E2BD1" w:rsidRPr="007E2BD1" w:rsidRDefault="007E2BD1" w:rsidP="007E2BD1">
            <w:pPr>
              <w:jc w:val="right"/>
              <w:rPr>
                <w:b/>
              </w:rPr>
            </w:pPr>
            <w:r w:rsidRPr="007E2BD1">
              <w:rPr>
                <w:b/>
              </w:rPr>
              <w:t>864,982</w:t>
            </w:r>
          </w:p>
        </w:tc>
        <w:tc>
          <w:tcPr>
            <w:tcW w:w="1710" w:type="dxa"/>
          </w:tcPr>
          <w:p w:rsidR="007E2BD1" w:rsidRPr="007E2BD1" w:rsidRDefault="007E2BD1" w:rsidP="007E2BD1">
            <w:pPr>
              <w:jc w:val="right"/>
              <w:rPr>
                <w:b/>
              </w:rPr>
            </w:pPr>
            <w:r w:rsidRPr="007E2BD1">
              <w:rPr>
                <w:b/>
              </w:rPr>
              <w:t>3,930,878</w:t>
            </w:r>
          </w:p>
        </w:tc>
      </w:tr>
      <w:tr w:rsidR="007E2BD1">
        <w:tc>
          <w:tcPr>
            <w:tcW w:w="1620" w:type="dxa"/>
          </w:tcPr>
          <w:p w:rsidR="007E2BD1" w:rsidRPr="00592914" w:rsidRDefault="007E2BD1" w:rsidP="00FC667C">
            <w:pPr>
              <w:rPr>
                <w:b/>
                <w:i/>
                <w:sz w:val="20"/>
                <w:szCs w:val="20"/>
              </w:rPr>
            </w:pPr>
            <w:r w:rsidRPr="00592914">
              <w:rPr>
                <w:b/>
                <w:i/>
                <w:sz w:val="20"/>
                <w:szCs w:val="20"/>
              </w:rPr>
              <w:t xml:space="preserve">HQ Total </w:t>
            </w:r>
          </w:p>
        </w:tc>
        <w:tc>
          <w:tcPr>
            <w:tcW w:w="1800" w:type="dxa"/>
          </w:tcPr>
          <w:p w:rsidR="007E2BD1" w:rsidRPr="007E2BD1" w:rsidRDefault="007E2BD1" w:rsidP="007E2BD1">
            <w:pPr>
              <w:jc w:val="right"/>
              <w:rPr>
                <w:b/>
              </w:rPr>
            </w:pPr>
            <w:r w:rsidRPr="007E2BD1">
              <w:rPr>
                <w:b/>
              </w:rPr>
              <w:t>77,454</w:t>
            </w:r>
          </w:p>
        </w:tc>
        <w:tc>
          <w:tcPr>
            <w:tcW w:w="2160" w:type="dxa"/>
          </w:tcPr>
          <w:p w:rsidR="007E2BD1" w:rsidRPr="007E2BD1" w:rsidRDefault="007E2BD1" w:rsidP="007E2BD1">
            <w:pPr>
              <w:jc w:val="right"/>
              <w:rPr>
                <w:b/>
              </w:rPr>
            </w:pPr>
            <w:r w:rsidRPr="007E2BD1">
              <w:rPr>
                <w:b/>
              </w:rPr>
              <w:t>230,836</w:t>
            </w:r>
          </w:p>
        </w:tc>
        <w:tc>
          <w:tcPr>
            <w:tcW w:w="1530" w:type="dxa"/>
          </w:tcPr>
          <w:p w:rsidR="007E2BD1" w:rsidRPr="007E2BD1" w:rsidRDefault="007E2BD1" w:rsidP="007E2BD1">
            <w:pPr>
              <w:jc w:val="right"/>
              <w:rPr>
                <w:b/>
              </w:rPr>
            </w:pPr>
            <w:r w:rsidRPr="007E2BD1">
              <w:rPr>
                <w:b/>
              </w:rPr>
              <w:t>3,335</w:t>
            </w:r>
          </w:p>
        </w:tc>
        <w:tc>
          <w:tcPr>
            <w:tcW w:w="1710" w:type="dxa"/>
          </w:tcPr>
          <w:p w:rsidR="007E2BD1" w:rsidRPr="007E2BD1" w:rsidRDefault="007E2BD1" w:rsidP="007E2BD1">
            <w:pPr>
              <w:jc w:val="right"/>
              <w:rPr>
                <w:b/>
              </w:rPr>
            </w:pPr>
            <w:r w:rsidRPr="007E2BD1">
              <w:rPr>
                <w:b/>
              </w:rPr>
              <w:t>311,625</w:t>
            </w:r>
          </w:p>
        </w:tc>
      </w:tr>
      <w:tr w:rsidR="007E2BD1">
        <w:tc>
          <w:tcPr>
            <w:tcW w:w="1620" w:type="dxa"/>
          </w:tcPr>
          <w:p w:rsidR="007E2BD1" w:rsidRPr="00592914" w:rsidRDefault="007E2BD1" w:rsidP="00FC667C">
            <w:pPr>
              <w:rPr>
                <w:b/>
                <w:sz w:val="20"/>
                <w:szCs w:val="20"/>
              </w:rPr>
            </w:pPr>
            <w:r w:rsidRPr="00592914">
              <w:rPr>
                <w:b/>
                <w:sz w:val="20"/>
                <w:szCs w:val="20"/>
              </w:rPr>
              <w:t xml:space="preserve">Grand Total </w:t>
            </w:r>
          </w:p>
        </w:tc>
        <w:tc>
          <w:tcPr>
            <w:tcW w:w="1800" w:type="dxa"/>
          </w:tcPr>
          <w:p w:rsidR="007E2BD1" w:rsidRPr="007E2BD1" w:rsidRDefault="007E2BD1" w:rsidP="007E2BD1">
            <w:pPr>
              <w:jc w:val="right"/>
              <w:rPr>
                <w:b/>
              </w:rPr>
            </w:pPr>
            <w:r w:rsidRPr="007E2BD1">
              <w:rPr>
                <w:b/>
              </w:rPr>
              <w:t>471,459</w:t>
            </w:r>
          </w:p>
        </w:tc>
        <w:tc>
          <w:tcPr>
            <w:tcW w:w="2160" w:type="dxa"/>
          </w:tcPr>
          <w:p w:rsidR="007E2BD1" w:rsidRPr="007E2BD1" w:rsidRDefault="007E2BD1" w:rsidP="007E2BD1">
            <w:pPr>
              <w:jc w:val="right"/>
              <w:rPr>
                <w:b/>
              </w:rPr>
            </w:pPr>
            <w:r w:rsidRPr="007E2BD1">
              <w:rPr>
                <w:b/>
              </w:rPr>
              <w:t>2,902,728</w:t>
            </w:r>
          </w:p>
        </w:tc>
        <w:tc>
          <w:tcPr>
            <w:tcW w:w="1530" w:type="dxa"/>
          </w:tcPr>
          <w:p w:rsidR="007E2BD1" w:rsidRPr="007E2BD1" w:rsidRDefault="007E2BD1" w:rsidP="007E2BD1">
            <w:pPr>
              <w:jc w:val="right"/>
              <w:rPr>
                <w:b/>
              </w:rPr>
            </w:pPr>
            <w:r w:rsidRPr="007E2BD1">
              <w:rPr>
                <w:b/>
              </w:rPr>
              <w:t>868,316</w:t>
            </w:r>
          </w:p>
        </w:tc>
        <w:tc>
          <w:tcPr>
            <w:tcW w:w="1710" w:type="dxa"/>
          </w:tcPr>
          <w:p w:rsidR="007E2BD1" w:rsidRPr="007E2BD1" w:rsidRDefault="007E2BD1" w:rsidP="007E2BD1">
            <w:pPr>
              <w:jc w:val="right"/>
              <w:rPr>
                <w:b/>
              </w:rPr>
            </w:pPr>
            <w:r w:rsidRPr="007E2BD1">
              <w:rPr>
                <w:b/>
              </w:rPr>
              <w:t>4,242,503</w:t>
            </w:r>
          </w:p>
        </w:tc>
      </w:tr>
    </w:tbl>
    <w:p w:rsidR="0012679A" w:rsidRPr="0012679A" w:rsidRDefault="00CC29B8" w:rsidP="00FD7077">
      <w:pPr>
        <w:ind w:left="1260" w:hanging="1260"/>
        <w:rPr>
          <w:b/>
        </w:rPr>
      </w:pPr>
      <w:r>
        <w:rPr>
          <w:b/>
        </w:rPr>
        <w:br w:type="page"/>
      </w:r>
      <w:r w:rsidR="00A712BB" w:rsidRPr="000976F1">
        <w:rPr>
          <w:b/>
        </w:rPr>
        <w:lastRenderedPageBreak/>
        <w:t>Annex V</w:t>
      </w:r>
      <w:r w:rsidR="00F06A98" w:rsidRPr="000976F1">
        <w:rPr>
          <w:b/>
        </w:rPr>
        <w:t>I</w:t>
      </w:r>
      <w:r w:rsidRPr="000976F1">
        <w:rPr>
          <w:b/>
        </w:rPr>
        <w:t>:</w:t>
      </w:r>
      <w:r w:rsidRPr="000976F1">
        <w:rPr>
          <w:b/>
        </w:rPr>
        <w:tab/>
      </w:r>
      <w:r w:rsidR="007711A3" w:rsidRPr="000976F1">
        <w:rPr>
          <w:b/>
        </w:rPr>
        <w:t>Overview of the status of implementation of management responses to independent and decentrali</w:t>
      </w:r>
      <w:r w:rsidR="00A61247" w:rsidRPr="000976F1">
        <w:rPr>
          <w:b/>
        </w:rPr>
        <w:t>s</w:t>
      </w:r>
      <w:r w:rsidR="007711A3" w:rsidRPr="000976F1">
        <w:rPr>
          <w:b/>
        </w:rPr>
        <w:t xml:space="preserve">ed evaluations </w:t>
      </w:r>
      <w:r w:rsidR="00F06A98" w:rsidRPr="000976F1">
        <w:rPr>
          <w:b/>
        </w:rPr>
        <w:t>during</w:t>
      </w:r>
      <w:r w:rsidR="006F6AA5">
        <w:rPr>
          <w:b/>
        </w:rPr>
        <w:t xml:space="preserve"> </w:t>
      </w:r>
      <w:r w:rsidR="00D92016">
        <w:rPr>
          <w:b/>
        </w:rPr>
        <w:t>2013</w:t>
      </w:r>
    </w:p>
    <w:p w:rsidR="00B65B9F" w:rsidRPr="00763F80" w:rsidRDefault="00B65B9F" w:rsidP="00B65B9F">
      <w:pPr>
        <w:numPr>
          <w:ilvl w:val="0"/>
          <w:numId w:val="4"/>
        </w:numPr>
        <w:spacing w:before="120" w:after="120" w:line="240" w:lineRule="auto"/>
        <w:ind w:left="450" w:hanging="450"/>
        <w:jc w:val="both"/>
        <w:rPr>
          <w:sz w:val="20"/>
        </w:rPr>
      </w:pPr>
      <w:r w:rsidRPr="00763F80">
        <w:rPr>
          <w:sz w:val="20"/>
        </w:rPr>
        <w:t>The present annex is submitted in compliance with Executive Board decision 2011/3 (paragraph 7) on the Evaluation Policy, which requests UNDP “to include an overview of the status of the implementation of management responses in the annual report of the Administrator”.</w:t>
      </w:r>
    </w:p>
    <w:p w:rsidR="00B65B9F" w:rsidRPr="00763F80" w:rsidRDefault="00B65B9F" w:rsidP="00B65B9F">
      <w:pPr>
        <w:numPr>
          <w:ilvl w:val="0"/>
          <w:numId w:val="4"/>
        </w:numPr>
        <w:spacing w:before="120" w:after="120" w:line="240" w:lineRule="auto"/>
        <w:ind w:left="450" w:hanging="450"/>
        <w:jc w:val="both"/>
        <w:rPr>
          <w:sz w:val="20"/>
        </w:rPr>
      </w:pPr>
      <w:r w:rsidRPr="00763F80">
        <w:rPr>
          <w:sz w:val="20"/>
        </w:rPr>
        <w:t xml:space="preserve">Section (a) below provides a statistical overview of the status of implementation of key actions in management responses to independent evaluation conducted by the Evaluation Office during </w:t>
      </w:r>
      <w:r>
        <w:rPr>
          <w:sz w:val="20"/>
        </w:rPr>
        <w:t xml:space="preserve">2013. </w:t>
      </w:r>
      <w:r w:rsidRPr="00763F80">
        <w:rPr>
          <w:sz w:val="20"/>
        </w:rPr>
        <w:t xml:space="preserve">Section (b) provides a statistical overview of the status of implementation of key actions in management responses to decentralized evaluations completed during the same period. The data presented below reflects the information available in the Evaluation Resource Centre (ERC) database (erc.undp.org) as of </w:t>
      </w:r>
      <w:r>
        <w:rPr>
          <w:sz w:val="20"/>
        </w:rPr>
        <w:t>April 1</w:t>
      </w:r>
      <w:r w:rsidRPr="00836E7E">
        <w:rPr>
          <w:sz w:val="20"/>
          <w:vertAlign w:val="superscript"/>
        </w:rPr>
        <w:t>st</w:t>
      </w:r>
      <w:r>
        <w:rPr>
          <w:sz w:val="20"/>
        </w:rPr>
        <w:t xml:space="preserve"> 2014</w:t>
      </w:r>
      <w:r w:rsidRPr="00763F80">
        <w:rPr>
          <w:sz w:val="20"/>
        </w:rPr>
        <w:t>.</w:t>
      </w:r>
    </w:p>
    <w:p w:rsidR="00B65B9F" w:rsidRDefault="00B65B9F" w:rsidP="00B65B9F">
      <w:pPr>
        <w:numPr>
          <w:ilvl w:val="0"/>
          <w:numId w:val="15"/>
        </w:numPr>
        <w:tabs>
          <w:tab w:val="left" w:pos="1080"/>
          <w:tab w:val="right" w:pos="12960"/>
        </w:tabs>
        <w:spacing w:before="120" w:after="120" w:line="240" w:lineRule="auto"/>
        <w:ind w:left="360"/>
        <w:rPr>
          <w:b/>
        </w:rPr>
      </w:pPr>
      <w:r w:rsidRPr="00A30005">
        <w:rPr>
          <w:b/>
        </w:rPr>
        <w:t>Status of implementation of key actions in management responses to i</w:t>
      </w:r>
      <w:r>
        <w:rPr>
          <w:b/>
        </w:rPr>
        <w:t>ndependent evaluations 2008-2013</w:t>
      </w:r>
      <w:r>
        <w:rPr>
          <w:rStyle w:val="FootnoteReference"/>
          <w:b/>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gridCol w:w="990"/>
        <w:gridCol w:w="810"/>
        <w:gridCol w:w="990"/>
        <w:gridCol w:w="900"/>
        <w:gridCol w:w="900"/>
        <w:gridCol w:w="848"/>
        <w:gridCol w:w="790"/>
      </w:tblGrid>
      <w:tr w:rsidR="00B65B9F" w:rsidRPr="00114D47">
        <w:trPr>
          <w:trHeight w:val="300"/>
        </w:trPr>
        <w:tc>
          <w:tcPr>
            <w:tcW w:w="6948" w:type="dxa"/>
            <w:shd w:val="clear" w:color="auto" w:fill="auto"/>
            <w:noWrap/>
            <w:vAlign w:val="bottom"/>
          </w:tcPr>
          <w:p w:rsidR="00B65B9F" w:rsidRPr="00114D47" w:rsidRDefault="00B65B9F" w:rsidP="002E0DDC">
            <w:pPr>
              <w:spacing w:after="0" w:line="240" w:lineRule="auto"/>
              <w:rPr>
                <w:rFonts w:eastAsia="Times New Roman" w:cs="Times New Roman"/>
                <w:sz w:val="16"/>
                <w:szCs w:val="16"/>
              </w:rPr>
            </w:pPr>
          </w:p>
        </w:tc>
        <w:tc>
          <w:tcPr>
            <w:tcW w:w="990" w:type="dxa"/>
            <w:shd w:val="clear" w:color="auto" w:fill="auto"/>
            <w:noWrap/>
            <w:vAlign w:val="bottom"/>
          </w:tcPr>
          <w:p w:rsidR="00B65B9F" w:rsidRPr="00114D47" w:rsidRDefault="00B65B9F" w:rsidP="002E0DDC">
            <w:pPr>
              <w:spacing w:after="0" w:line="240" w:lineRule="auto"/>
              <w:rPr>
                <w:rFonts w:eastAsia="Times New Roman" w:cs="Times New Roman"/>
                <w:sz w:val="16"/>
                <w:szCs w:val="16"/>
              </w:rPr>
            </w:pPr>
          </w:p>
        </w:tc>
        <w:tc>
          <w:tcPr>
            <w:tcW w:w="810" w:type="dxa"/>
            <w:shd w:val="clear" w:color="auto" w:fill="auto"/>
            <w:noWrap/>
            <w:vAlign w:val="bottom"/>
          </w:tcPr>
          <w:p w:rsidR="00B65B9F" w:rsidRPr="00114D47" w:rsidRDefault="00B65B9F" w:rsidP="002E0DDC">
            <w:pPr>
              <w:spacing w:after="0" w:line="240" w:lineRule="auto"/>
              <w:rPr>
                <w:rFonts w:eastAsia="Times New Roman" w:cs="Times New Roman"/>
                <w:sz w:val="16"/>
                <w:szCs w:val="16"/>
              </w:rPr>
            </w:pPr>
          </w:p>
        </w:tc>
        <w:tc>
          <w:tcPr>
            <w:tcW w:w="990" w:type="dxa"/>
            <w:shd w:val="clear" w:color="auto" w:fill="auto"/>
            <w:noWrap/>
            <w:vAlign w:val="bottom"/>
          </w:tcPr>
          <w:p w:rsidR="00B65B9F" w:rsidRPr="00114D47" w:rsidRDefault="00B65B9F" w:rsidP="002E0DDC">
            <w:pPr>
              <w:spacing w:after="0" w:line="240" w:lineRule="auto"/>
              <w:rPr>
                <w:rFonts w:eastAsia="Times New Roman" w:cs="Times New Roman"/>
                <w:sz w:val="16"/>
                <w:szCs w:val="16"/>
              </w:rPr>
            </w:pPr>
          </w:p>
        </w:tc>
        <w:tc>
          <w:tcPr>
            <w:tcW w:w="3438" w:type="dxa"/>
            <w:gridSpan w:val="4"/>
            <w:shd w:val="clear" w:color="auto" w:fill="auto"/>
            <w:noWrap/>
            <w:vAlign w:val="bottom"/>
          </w:tcPr>
          <w:p w:rsidR="00B65B9F" w:rsidRPr="00114D47" w:rsidRDefault="00B65B9F" w:rsidP="002E0DDC">
            <w:pPr>
              <w:spacing w:after="0" w:line="240" w:lineRule="auto"/>
              <w:jc w:val="center"/>
              <w:rPr>
                <w:rFonts w:eastAsia="Times New Roman" w:cs="Times New Roman"/>
                <w:b/>
                <w:bCs/>
                <w:color w:val="000000"/>
                <w:sz w:val="16"/>
                <w:szCs w:val="16"/>
              </w:rPr>
            </w:pPr>
            <w:r w:rsidRPr="00114D47">
              <w:rPr>
                <w:rFonts w:eastAsia="Times New Roman" w:cs="Times New Roman"/>
                <w:b/>
                <w:bCs/>
                <w:color w:val="000000"/>
                <w:sz w:val="16"/>
                <w:szCs w:val="16"/>
              </w:rPr>
              <w:t>Status of key Actions</w:t>
            </w:r>
          </w:p>
        </w:tc>
      </w:tr>
      <w:tr w:rsidR="00B65B9F" w:rsidRPr="00114D47">
        <w:trPr>
          <w:trHeight w:val="555"/>
        </w:trPr>
        <w:tc>
          <w:tcPr>
            <w:tcW w:w="6948" w:type="dxa"/>
            <w:shd w:val="clear" w:color="auto" w:fill="auto"/>
            <w:vAlign w:val="center"/>
          </w:tcPr>
          <w:p w:rsidR="00B65B9F" w:rsidRPr="00114D47" w:rsidRDefault="00B65B9F" w:rsidP="002E0DDC">
            <w:pPr>
              <w:spacing w:after="0" w:line="240" w:lineRule="auto"/>
              <w:jc w:val="center"/>
              <w:rPr>
                <w:rFonts w:eastAsia="Times New Roman" w:cs="Times New Roman"/>
                <w:b/>
                <w:bCs/>
                <w:color w:val="000000"/>
                <w:sz w:val="16"/>
                <w:szCs w:val="16"/>
              </w:rPr>
            </w:pPr>
            <w:r w:rsidRPr="00114D47">
              <w:rPr>
                <w:rFonts w:eastAsia="Times New Roman" w:cs="Times New Roman"/>
                <w:b/>
                <w:bCs/>
                <w:color w:val="000000"/>
                <w:sz w:val="16"/>
                <w:szCs w:val="16"/>
              </w:rPr>
              <w:t>Title</w:t>
            </w:r>
          </w:p>
        </w:tc>
        <w:tc>
          <w:tcPr>
            <w:tcW w:w="990" w:type="dxa"/>
            <w:shd w:val="clear" w:color="auto" w:fill="auto"/>
            <w:vAlign w:val="center"/>
          </w:tcPr>
          <w:p w:rsidR="00B65B9F" w:rsidRPr="00114D47" w:rsidRDefault="00B65B9F" w:rsidP="002E0DDC">
            <w:pPr>
              <w:spacing w:after="0" w:line="240" w:lineRule="auto"/>
              <w:jc w:val="center"/>
              <w:rPr>
                <w:rFonts w:eastAsia="Times New Roman" w:cs="Times New Roman"/>
                <w:b/>
                <w:bCs/>
                <w:color w:val="000000"/>
                <w:sz w:val="16"/>
                <w:szCs w:val="16"/>
              </w:rPr>
            </w:pPr>
            <w:r w:rsidRPr="00114D47">
              <w:rPr>
                <w:rFonts w:eastAsia="Times New Roman" w:cs="Times New Roman"/>
                <w:b/>
                <w:bCs/>
                <w:color w:val="000000"/>
                <w:sz w:val="16"/>
                <w:szCs w:val="16"/>
              </w:rPr>
              <w:t>Mgmt. Response Status</w:t>
            </w:r>
          </w:p>
        </w:tc>
        <w:tc>
          <w:tcPr>
            <w:tcW w:w="810" w:type="dxa"/>
            <w:shd w:val="clear" w:color="auto" w:fill="auto"/>
            <w:vAlign w:val="center"/>
          </w:tcPr>
          <w:p w:rsidR="00B65B9F" w:rsidRPr="00114D47" w:rsidRDefault="00B65B9F" w:rsidP="002E0DDC">
            <w:pPr>
              <w:spacing w:after="0" w:line="240" w:lineRule="auto"/>
              <w:jc w:val="center"/>
              <w:rPr>
                <w:rFonts w:eastAsia="Times New Roman" w:cs="Times New Roman"/>
                <w:b/>
                <w:bCs/>
                <w:color w:val="000000"/>
                <w:sz w:val="16"/>
                <w:szCs w:val="16"/>
              </w:rPr>
            </w:pPr>
            <w:r w:rsidRPr="00114D47">
              <w:rPr>
                <w:rFonts w:eastAsia="Times New Roman" w:cs="Times New Roman"/>
                <w:b/>
                <w:bCs/>
                <w:color w:val="000000"/>
                <w:sz w:val="16"/>
                <w:szCs w:val="16"/>
              </w:rPr>
              <w:t>No. of Key Actions</w:t>
            </w:r>
          </w:p>
        </w:tc>
        <w:tc>
          <w:tcPr>
            <w:tcW w:w="990" w:type="dxa"/>
            <w:shd w:val="clear" w:color="auto" w:fill="auto"/>
            <w:vAlign w:val="center"/>
          </w:tcPr>
          <w:p w:rsidR="00B65B9F" w:rsidRPr="00114D47" w:rsidRDefault="00B65B9F" w:rsidP="002E0DDC">
            <w:pPr>
              <w:spacing w:after="0" w:line="240" w:lineRule="auto"/>
              <w:jc w:val="center"/>
              <w:rPr>
                <w:rFonts w:eastAsia="Times New Roman" w:cs="Times New Roman"/>
                <w:b/>
                <w:bCs/>
                <w:color w:val="000000"/>
                <w:sz w:val="16"/>
                <w:szCs w:val="16"/>
              </w:rPr>
            </w:pPr>
            <w:r w:rsidRPr="00114D47">
              <w:rPr>
                <w:rFonts w:eastAsia="Times New Roman" w:cs="Times New Roman"/>
                <w:b/>
                <w:bCs/>
                <w:color w:val="000000"/>
                <w:sz w:val="16"/>
                <w:szCs w:val="16"/>
              </w:rPr>
              <w:t>Completed/Ongoing</w:t>
            </w:r>
          </w:p>
        </w:tc>
        <w:tc>
          <w:tcPr>
            <w:tcW w:w="900" w:type="dxa"/>
            <w:shd w:val="clear" w:color="auto" w:fill="auto"/>
            <w:vAlign w:val="center"/>
          </w:tcPr>
          <w:p w:rsidR="00B65B9F" w:rsidRPr="00114D47" w:rsidRDefault="00B65B9F" w:rsidP="002E0DDC">
            <w:pPr>
              <w:spacing w:after="0" w:line="240" w:lineRule="auto"/>
              <w:jc w:val="center"/>
              <w:rPr>
                <w:rFonts w:eastAsia="Times New Roman" w:cs="Times New Roman"/>
                <w:b/>
                <w:bCs/>
                <w:color w:val="000000"/>
                <w:sz w:val="16"/>
                <w:szCs w:val="16"/>
              </w:rPr>
            </w:pPr>
            <w:r w:rsidRPr="00114D47">
              <w:rPr>
                <w:rFonts w:eastAsia="Times New Roman" w:cs="Times New Roman"/>
                <w:b/>
                <w:bCs/>
                <w:color w:val="000000"/>
                <w:sz w:val="16"/>
                <w:szCs w:val="16"/>
              </w:rPr>
              <w:t>Initiated</w:t>
            </w:r>
          </w:p>
        </w:tc>
        <w:tc>
          <w:tcPr>
            <w:tcW w:w="900" w:type="dxa"/>
            <w:shd w:val="clear" w:color="auto" w:fill="auto"/>
            <w:vAlign w:val="center"/>
          </w:tcPr>
          <w:p w:rsidR="00B65B9F" w:rsidRPr="00114D47" w:rsidRDefault="00B65B9F" w:rsidP="002E0DDC">
            <w:pPr>
              <w:spacing w:after="0" w:line="240" w:lineRule="auto"/>
              <w:jc w:val="center"/>
              <w:rPr>
                <w:rFonts w:eastAsia="Times New Roman" w:cs="Times New Roman"/>
                <w:b/>
                <w:bCs/>
                <w:color w:val="000000"/>
                <w:sz w:val="16"/>
                <w:szCs w:val="16"/>
              </w:rPr>
            </w:pPr>
            <w:r w:rsidRPr="00114D47">
              <w:rPr>
                <w:rFonts w:eastAsia="Times New Roman" w:cs="Times New Roman"/>
                <w:b/>
                <w:bCs/>
                <w:color w:val="000000"/>
                <w:sz w:val="16"/>
                <w:szCs w:val="16"/>
              </w:rPr>
              <w:t>Not Initiated</w:t>
            </w:r>
          </w:p>
        </w:tc>
        <w:tc>
          <w:tcPr>
            <w:tcW w:w="848" w:type="dxa"/>
            <w:shd w:val="clear" w:color="auto" w:fill="auto"/>
            <w:vAlign w:val="center"/>
          </w:tcPr>
          <w:p w:rsidR="00B65B9F" w:rsidRPr="00114D47" w:rsidRDefault="00B65B9F" w:rsidP="002E0DDC">
            <w:pPr>
              <w:spacing w:after="0" w:line="240" w:lineRule="auto"/>
              <w:jc w:val="center"/>
              <w:rPr>
                <w:rFonts w:eastAsia="Times New Roman" w:cs="Times New Roman"/>
                <w:b/>
                <w:bCs/>
                <w:color w:val="000000"/>
                <w:sz w:val="16"/>
                <w:szCs w:val="16"/>
              </w:rPr>
            </w:pPr>
            <w:r w:rsidRPr="00114D47">
              <w:rPr>
                <w:rFonts w:eastAsia="Times New Roman" w:cs="Times New Roman"/>
                <w:b/>
                <w:bCs/>
                <w:color w:val="000000"/>
                <w:sz w:val="16"/>
                <w:szCs w:val="16"/>
              </w:rPr>
              <w:t>No Longer Applicable</w:t>
            </w:r>
          </w:p>
        </w:tc>
        <w:tc>
          <w:tcPr>
            <w:tcW w:w="790" w:type="dxa"/>
            <w:shd w:val="clear" w:color="auto" w:fill="auto"/>
            <w:vAlign w:val="center"/>
          </w:tcPr>
          <w:p w:rsidR="00B65B9F" w:rsidRPr="00114D47" w:rsidRDefault="00B65B9F" w:rsidP="002E0DDC">
            <w:pPr>
              <w:spacing w:after="0" w:line="240" w:lineRule="auto"/>
              <w:jc w:val="center"/>
              <w:rPr>
                <w:rFonts w:eastAsia="Times New Roman" w:cs="Times New Roman"/>
                <w:b/>
                <w:bCs/>
                <w:color w:val="000000"/>
                <w:sz w:val="16"/>
                <w:szCs w:val="16"/>
              </w:rPr>
            </w:pPr>
            <w:r w:rsidRPr="00114D47">
              <w:rPr>
                <w:rFonts w:eastAsia="Times New Roman" w:cs="Times New Roman"/>
                <w:b/>
                <w:bCs/>
                <w:color w:val="000000"/>
                <w:sz w:val="16"/>
                <w:szCs w:val="16"/>
              </w:rPr>
              <w:t>Overdue</w:t>
            </w:r>
          </w:p>
        </w:tc>
      </w:tr>
      <w:tr w:rsidR="00B65B9F" w:rsidRPr="00114D47">
        <w:trPr>
          <w:trHeight w:val="170"/>
        </w:trPr>
        <w:tc>
          <w:tcPr>
            <w:tcW w:w="13176" w:type="dxa"/>
            <w:gridSpan w:val="8"/>
            <w:shd w:val="clear" w:color="auto" w:fill="C4BC96" w:themeFill="background2" w:themeFillShade="BF"/>
            <w:vAlign w:val="center"/>
          </w:tcPr>
          <w:p w:rsidR="00B65B9F" w:rsidRPr="000728C4" w:rsidRDefault="00B65B9F" w:rsidP="002E0DDC">
            <w:pPr>
              <w:spacing w:after="0" w:line="240" w:lineRule="auto"/>
              <w:rPr>
                <w:rFonts w:eastAsia="Times New Roman" w:cs="Times New Roman"/>
                <w:b/>
                <w:bCs/>
                <w:color w:val="000000"/>
                <w:sz w:val="16"/>
                <w:szCs w:val="16"/>
                <w:highlight w:val="darkYellow"/>
              </w:rPr>
            </w:pPr>
            <w:r w:rsidRPr="000728C4">
              <w:rPr>
                <w:rFonts w:eastAsia="Times New Roman" w:cs="Times New Roman"/>
                <w:b/>
                <w:bCs/>
                <w:color w:val="000000"/>
                <w:sz w:val="16"/>
                <w:szCs w:val="16"/>
              </w:rPr>
              <w:t>2013</w:t>
            </w:r>
          </w:p>
        </w:tc>
      </w:tr>
      <w:tr w:rsidR="00B65B9F" w:rsidRPr="00114D47">
        <w:trPr>
          <w:trHeight w:val="278"/>
        </w:trPr>
        <w:tc>
          <w:tcPr>
            <w:tcW w:w="6948" w:type="dxa"/>
            <w:shd w:val="clear" w:color="auto" w:fill="auto"/>
            <w:vAlign w:val="bottom"/>
          </w:tcPr>
          <w:p w:rsidR="00B65B9F" w:rsidRPr="00114D47" w:rsidRDefault="00B65B9F" w:rsidP="002E0DDC">
            <w:pPr>
              <w:spacing w:after="0" w:line="240" w:lineRule="auto"/>
              <w:rPr>
                <w:rFonts w:eastAsia="Times New Roman" w:cs="Times New Roman"/>
                <w:color w:val="000000"/>
                <w:sz w:val="16"/>
                <w:szCs w:val="16"/>
              </w:rPr>
            </w:pPr>
            <w:r w:rsidRPr="00114D47">
              <w:rPr>
                <w:rFonts w:eastAsia="Times New Roman" w:cs="Times New Roman"/>
                <w:color w:val="000000"/>
                <w:sz w:val="16"/>
                <w:szCs w:val="16"/>
              </w:rPr>
              <w:t xml:space="preserve">Assessment of Development Results: Angola </w:t>
            </w:r>
          </w:p>
        </w:tc>
        <w:tc>
          <w:tcPr>
            <w:tcW w:w="9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Yes</w:t>
            </w:r>
          </w:p>
        </w:tc>
        <w:tc>
          <w:tcPr>
            <w:tcW w:w="81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18</w:t>
            </w:r>
          </w:p>
        </w:tc>
        <w:tc>
          <w:tcPr>
            <w:tcW w:w="990" w:type="dxa"/>
            <w:shd w:val="clear" w:color="auto" w:fill="auto"/>
            <w:vAlign w:val="center"/>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16</w:t>
            </w:r>
          </w:p>
        </w:tc>
        <w:tc>
          <w:tcPr>
            <w:tcW w:w="900" w:type="dxa"/>
            <w:shd w:val="clear" w:color="auto" w:fill="auto"/>
            <w:vAlign w:val="center"/>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2</w:t>
            </w:r>
          </w:p>
        </w:tc>
        <w:tc>
          <w:tcPr>
            <w:tcW w:w="900" w:type="dxa"/>
            <w:shd w:val="clear" w:color="auto" w:fill="auto"/>
            <w:vAlign w:val="center"/>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c>
          <w:tcPr>
            <w:tcW w:w="848" w:type="dxa"/>
            <w:shd w:val="clear" w:color="auto" w:fill="auto"/>
            <w:vAlign w:val="center"/>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c>
          <w:tcPr>
            <w:tcW w:w="790" w:type="dxa"/>
            <w:shd w:val="clear" w:color="auto" w:fill="auto"/>
            <w:vAlign w:val="center"/>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r>
      <w:tr w:rsidR="00B65B9F" w:rsidRPr="00114D47">
        <w:trPr>
          <w:trHeight w:val="197"/>
        </w:trPr>
        <w:tc>
          <w:tcPr>
            <w:tcW w:w="6948" w:type="dxa"/>
            <w:shd w:val="clear" w:color="auto" w:fill="auto"/>
            <w:vAlign w:val="bottom"/>
          </w:tcPr>
          <w:p w:rsidR="00B65B9F" w:rsidRPr="00114D47" w:rsidRDefault="00B65B9F" w:rsidP="002E0DDC">
            <w:pPr>
              <w:spacing w:after="0" w:line="240" w:lineRule="auto"/>
              <w:rPr>
                <w:rFonts w:eastAsia="Times New Roman" w:cs="Times New Roman"/>
                <w:color w:val="000000"/>
                <w:sz w:val="16"/>
                <w:szCs w:val="16"/>
              </w:rPr>
            </w:pPr>
            <w:r w:rsidRPr="00114D47">
              <w:rPr>
                <w:rFonts w:eastAsia="Times New Roman" w:cs="Times New Roman"/>
                <w:color w:val="000000"/>
                <w:sz w:val="16"/>
                <w:szCs w:val="16"/>
              </w:rPr>
              <w:t xml:space="preserve">Evaluation of the Fourth Global Programme </w:t>
            </w:r>
          </w:p>
        </w:tc>
        <w:tc>
          <w:tcPr>
            <w:tcW w:w="9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Yes</w:t>
            </w:r>
          </w:p>
        </w:tc>
        <w:tc>
          <w:tcPr>
            <w:tcW w:w="81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24</w:t>
            </w:r>
          </w:p>
        </w:tc>
        <w:tc>
          <w:tcPr>
            <w:tcW w:w="9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5</w:t>
            </w:r>
          </w:p>
        </w:tc>
        <w:tc>
          <w:tcPr>
            <w:tcW w:w="90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15</w:t>
            </w:r>
          </w:p>
        </w:tc>
        <w:tc>
          <w:tcPr>
            <w:tcW w:w="90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c>
          <w:tcPr>
            <w:tcW w:w="848"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c>
          <w:tcPr>
            <w:tcW w:w="7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4</w:t>
            </w:r>
          </w:p>
        </w:tc>
      </w:tr>
      <w:tr w:rsidR="00B65B9F" w:rsidRPr="00114D47">
        <w:trPr>
          <w:trHeight w:val="278"/>
        </w:trPr>
        <w:tc>
          <w:tcPr>
            <w:tcW w:w="6948" w:type="dxa"/>
            <w:shd w:val="clear" w:color="auto" w:fill="auto"/>
            <w:vAlign w:val="bottom"/>
          </w:tcPr>
          <w:p w:rsidR="00B65B9F" w:rsidRPr="00114D47" w:rsidRDefault="00B65B9F" w:rsidP="002E0DDC">
            <w:pPr>
              <w:spacing w:after="0" w:line="240" w:lineRule="auto"/>
              <w:rPr>
                <w:rFonts w:eastAsia="Times New Roman" w:cs="Times New Roman"/>
                <w:color w:val="000000"/>
                <w:sz w:val="16"/>
                <w:szCs w:val="16"/>
              </w:rPr>
            </w:pPr>
            <w:r w:rsidRPr="00114D47">
              <w:rPr>
                <w:rFonts w:eastAsia="Times New Roman" w:cs="Times New Roman"/>
                <w:color w:val="000000"/>
                <w:sz w:val="16"/>
                <w:szCs w:val="16"/>
              </w:rPr>
              <w:t xml:space="preserve">Evaluation of UNDP Regional Programme for Latin America and the Caribbean (2008-2013) </w:t>
            </w:r>
          </w:p>
        </w:tc>
        <w:tc>
          <w:tcPr>
            <w:tcW w:w="9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Yes</w:t>
            </w:r>
          </w:p>
        </w:tc>
        <w:tc>
          <w:tcPr>
            <w:tcW w:w="81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17</w:t>
            </w:r>
          </w:p>
        </w:tc>
        <w:tc>
          <w:tcPr>
            <w:tcW w:w="9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5</w:t>
            </w:r>
          </w:p>
        </w:tc>
        <w:tc>
          <w:tcPr>
            <w:tcW w:w="90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11</w:t>
            </w:r>
          </w:p>
        </w:tc>
        <w:tc>
          <w:tcPr>
            <w:tcW w:w="90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c>
          <w:tcPr>
            <w:tcW w:w="848"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c>
          <w:tcPr>
            <w:tcW w:w="7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1</w:t>
            </w:r>
          </w:p>
        </w:tc>
      </w:tr>
      <w:tr w:rsidR="00B65B9F" w:rsidRPr="00114D47">
        <w:trPr>
          <w:trHeight w:val="242"/>
        </w:trPr>
        <w:tc>
          <w:tcPr>
            <w:tcW w:w="6948" w:type="dxa"/>
            <w:shd w:val="clear" w:color="auto" w:fill="auto"/>
            <w:vAlign w:val="bottom"/>
          </w:tcPr>
          <w:p w:rsidR="00B65B9F" w:rsidRPr="00114D47" w:rsidRDefault="00B65B9F" w:rsidP="002E0DDC">
            <w:pPr>
              <w:spacing w:after="0" w:line="240" w:lineRule="auto"/>
              <w:rPr>
                <w:rFonts w:eastAsia="Times New Roman" w:cs="Times New Roman"/>
                <w:color w:val="000000"/>
                <w:sz w:val="16"/>
                <w:szCs w:val="16"/>
              </w:rPr>
            </w:pPr>
            <w:r w:rsidRPr="00114D47">
              <w:rPr>
                <w:rFonts w:eastAsia="Times New Roman" w:cs="Times New Roman"/>
                <w:color w:val="000000"/>
                <w:sz w:val="16"/>
                <w:szCs w:val="16"/>
              </w:rPr>
              <w:t xml:space="preserve">Evaluation of UNDP Contribution to South-South and Triangular Cooperation (2008-2011) </w:t>
            </w:r>
          </w:p>
        </w:tc>
        <w:tc>
          <w:tcPr>
            <w:tcW w:w="9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Yes</w:t>
            </w:r>
          </w:p>
        </w:tc>
        <w:tc>
          <w:tcPr>
            <w:tcW w:w="81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21</w:t>
            </w:r>
          </w:p>
        </w:tc>
        <w:tc>
          <w:tcPr>
            <w:tcW w:w="9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7</w:t>
            </w:r>
          </w:p>
        </w:tc>
        <w:tc>
          <w:tcPr>
            <w:tcW w:w="90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10</w:t>
            </w:r>
          </w:p>
        </w:tc>
        <w:tc>
          <w:tcPr>
            <w:tcW w:w="90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1</w:t>
            </w:r>
          </w:p>
        </w:tc>
        <w:tc>
          <w:tcPr>
            <w:tcW w:w="848"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c>
          <w:tcPr>
            <w:tcW w:w="7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3</w:t>
            </w:r>
          </w:p>
        </w:tc>
      </w:tr>
      <w:tr w:rsidR="00B65B9F" w:rsidRPr="00114D47">
        <w:trPr>
          <w:trHeight w:val="188"/>
        </w:trPr>
        <w:tc>
          <w:tcPr>
            <w:tcW w:w="6948" w:type="dxa"/>
            <w:shd w:val="clear" w:color="auto" w:fill="auto"/>
            <w:vAlign w:val="bottom"/>
          </w:tcPr>
          <w:p w:rsidR="00B65B9F" w:rsidRPr="00114D47" w:rsidRDefault="00B65B9F" w:rsidP="002E0DDC">
            <w:pPr>
              <w:spacing w:after="0" w:line="240" w:lineRule="auto"/>
              <w:rPr>
                <w:rFonts w:eastAsia="Times New Roman" w:cs="Times New Roman"/>
                <w:color w:val="000000"/>
                <w:sz w:val="16"/>
                <w:szCs w:val="16"/>
              </w:rPr>
            </w:pPr>
            <w:r w:rsidRPr="00114D47">
              <w:rPr>
                <w:rFonts w:eastAsia="Times New Roman" w:cs="Times New Roman"/>
                <w:color w:val="000000"/>
                <w:sz w:val="16"/>
                <w:szCs w:val="16"/>
              </w:rPr>
              <w:t xml:space="preserve">Evaluation of the Regional Programme for Asia and the Pacific (2008-2013) </w:t>
            </w:r>
          </w:p>
        </w:tc>
        <w:tc>
          <w:tcPr>
            <w:tcW w:w="9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Yes</w:t>
            </w:r>
          </w:p>
        </w:tc>
        <w:tc>
          <w:tcPr>
            <w:tcW w:w="81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22</w:t>
            </w:r>
          </w:p>
        </w:tc>
        <w:tc>
          <w:tcPr>
            <w:tcW w:w="9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10</w:t>
            </w:r>
          </w:p>
        </w:tc>
        <w:tc>
          <w:tcPr>
            <w:tcW w:w="90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7</w:t>
            </w:r>
          </w:p>
        </w:tc>
        <w:tc>
          <w:tcPr>
            <w:tcW w:w="90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c>
          <w:tcPr>
            <w:tcW w:w="848"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c>
          <w:tcPr>
            <w:tcW w:w="7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5</w:t>
            </w:r>
          </w:p>
        </w:tc>
      </w:tr>
      <w:tr w:rsidR="00B65B9F" w:rsidRPr="00114D47">
        <w:trPr>
          <w:trHeight w:val="242"/>
        </w:trPr>
        <w:tc>
          <w:tcPr>
            <w:tcW w:w="6948" w:type="dxa"/>
            <w:shd w:val="clear" w:color="auto" w:fill="auto"/>
            <w:vAlign w:val="bottom"/>
          </w:tcPr>
          <w:p w:rsidR="00B65B9F" w:rsidRPr="00114D47" w:rsidRDefault="00B65B9F" w:rsidP="002E0DDC">
            <w:pPr>
              <w:spacing w:after="0" w:line="240" w:lineRule="auto"/>
              <w:rPr>
                <w:rFonts w:eastAsia="Times New Roman" w:cs="Times New Roman"/>
                <w:color w:val="000000"/>
                <w:sz w:val="16"/>
                <w:szCs w:val="16"/>
              </w:rPr>
            </w:pPr>
            <w:r w:rsidRPr="00114D47">
              <w:rPr>
                <w:rFonts w:eastAsia="Times New Roman" w:cs="Times New Roman"/>
                <w:color w:val="000000"/>
                <w:sz w:val="16"/>
                <w:szCs w:val="16"/>
              </w:rPr>
              <w:t xml:space="preserve">Evaluation of the Regional Programme for Europe and the CIS (2011-2013) </w:t>
            </w:r>
          </w:p>
        </w:tc>
        <w:tc>
          <w:tcPr>
            <w:tcW w:w="9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Yes</w:t>
            </w:r>
          </w:p>
        </w:tc>
        <w:tc>
          <w:tcPr>
            <w:tcW w:w="81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19</w:t>
            </w:r>
          </w:p>
        </w:tc>
        <w:tc>
          <w:tcPr>
            <w:tcW w:w="9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2</w:t>
            </w:r>
          </w:p>
        </w:tc>
        <w:tc>
          <w:tcPr>
            <w:tcW w:w="90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17</w:t>
            </w:r>
          </w:p>
        </w:tc>
        <w:tc>
          <w:tcPr>
            <w:tcW w:w="90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c>
          <w:tcPr>
            <w:tcW w:w="848"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c>
          <w:tcPr>
            <w:tcW w:w="7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r>
      <w:tr w:rsidR="00B65B9F" w:rsidRPr="00114D47">
        <w:trPr>
          <w:trHeight w:val="305"/>
        </w:trPr>
        <w:tc>
          <w:tcPr>
            <w:tcW w:w="6948" w:type="dxa"/>
            <w:shd w:val="clear" w:color="auto" w:fill="auto"/>
            <w:vAlign w:val="bottom"/>
          </w:tcPr>
          <w:p w:rsidR="00B65B9F" w:rsidRPr="00114D47" w:rsidRDefault="00B65B9F" w:rsidP="002E0DDC">
            <w:pPr>
              <w:spacing w:after="0" w:line="240" w:lineRule="auto"/>
              <w:rPr>
                <w:rFonts w:eastAsia="Times New Roman" w:cs="Times New Roman"/>
                <w:color w:val="000000"/>
                <w:sz w:val="16"/>
                <w:szCs w:val="16"/>
              </w:rPr>
            </w:pPr>
            <w:r w:rsidRPr="00114D47">
              <w:rPr>
                <w:rFonts w:eastAsia="Times New Roman" w:cs="Times New Roman"/>
                <w:color w:val="000000"/>
                <w:sz w:val="16"/>
                <w:szCs w:val="16"/>
              </w:rPr>
              <w:t xml:space="preserve">Evaluation of the Regional Programme for Arab States (2010-2013) </w:t>
            </w:r>
          </w:p>
        </w:tc>
        <w:tc>
          <w:tcPr>
            <w:tcW w:w="9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Yes</w:t>
            </w:r>
          </w:p>
        </w:tc>
        <w:tc>
          <w:tcPr>
            <w:tcW w:w="81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12</w:t>
            </w:r>
          </w:p>
        </w:tc>
        <w:tc>
          <w:tcPr>
            <w:tcW w:w="9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9</w:t>
            </w:r>
          </w:p>
        </w:tc>
        <w:tc>
          <w:tcPr>
            <w:tcW w:w="90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3</w:t>
            </w:r>
          </w:p>
        </w:tc>
        <w:tc>
          <w:tcPr>
            <w:tcW w:w="90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c>
          <w:tcPr>
            <w:tcW w:w="848"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c>
          <w:tcPr>
            <w:tcW w:w="7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r>
      <w:tr w:rsidR="00B65B9F" w:rsidRPr="00114D47">
        <w:trPr>
          <w:trHeight w:val="260"/>
        </w:trPr>
        <w:tc>
          <w:tcPr>
            <w:tcW w:w="6948" w:type="dxa"/>
            <w:shd w:val="clear" w:color="auto" w:fill="auto"/>
            <w:vAlign w:val="bottom"/>
          </w:tcPr>
          <w:p w:rsidR="00B65B9F" w:rsidRPr="00114D47" w:rsidRDefault="00B65B9F" w:rsidP="002E0DDC">
            <w:pPr>
              <w:spacing w:after="0" w:line="240" w:lineRule="auto"/>
              <w:rPr>
                <w:rFonts w:eastAsia="Times New Roman" w:cs="Times New Roman"/>
                <w:color w:val="000000"/>
                <w:sz w:val="16"/>
                <w:szCs w:val="16"/>
              </w:rPr>
            </w:pPr>
            <w:r w:rsidRPr="00114D47">
              <w:rPr>
                <w:rFonts w:eastAsia="Times New Roman" w:cs="Times New Roman"/>
                <w:color w:val="000000"/>
                <w:sz w:val="16"/>
                <w:szCs w:val="16"/>
              </w:rPr>
              <w:t xml:space="preserve">Evaluation of UNDP Strategic Plan 2008-2013 </w:t>
            </w:r>
          </w:p>
        </w:tc>
        <w:tc>
          <w:tcPr>
            <w:tcW w:w="9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Yes</w:t>
            </w:r>
          </w:p>
        </w:tc>
        <w:tc>
          <w:tcPr>
            <w:tcW w:w="81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11</w:t>
            </w:r>
          </w:p>
        </w:tc>
        <w:tc>
          <w:tcPr>
            <w:tcW w:w="9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9</w:t>
            </w:r>
          </w:p>
        </w:tc>
        <w:tc>
          <w:tcPr>
            <w:tcW w:w="90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2</w:t>
            </w:r>
          </w:p>
        </w:tc>
        <w:tc>
          <w:tcPr>
            <w:tcW w:w="90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c>
          <w:tcPr>
            <w:tcW w:w="848"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c>
          <w:tcPr>
            <w:tcW w:w="7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r>
      <w:tr w:rsidR="00B65B9F" w:rsidRPr="00114D47">
        <w:trPr>
          <w:trHeight w:val="260"/>
        </w:trPr>
        <w:tc>
          <w:tcPr>
            <w:tcW w:w="6948" w:type="dxa"/>
            <w:shd w:val="clear" w:color="auto" w:fill="auto"/>
            <w:vAlign w:val="bottom"/>
          </w:tcPr>
          <w:p w:rsidR="00B65B9F" w:rsidRPr="00114D47" w:rsidRDefault="00B65B9F" w:rsidP="002E0DDC">
            <w:pPr>
              <w:spacing w:after="0" w:line="240" w:lineRule="auto"/>
              <w:rPr>
                <w:rFonts w:eastAsia="Times New Roman" w:cs="Times New Roman"/>
                <w:color w:val="000000"/>
                <w:sz w:val="16"/>
                <w:szCs w:val="16"/>
              </w:rPr>
            </w:pPr>
            <w:r w:rsidRPr="00114D47">
              <w:rPr>
                <w:rFonts w:eastAsia="Times New Roman" w:cs="Times New Roman"/>
                <w:color w:val="000000"/>
                <w:sz w:val="16"/>
                <w:szCs w:val="16"/>
              </w:rPr>
              <w:t xml:space="preserve">Evaluation of the Regional Programme for Africa (2008-2013) </w:t>
            </w:r>
          </w:p>
        </w:tc>
        <w:tc>
          <w:tcPr>
            <w:tcW w:w="9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Yes</w:t>
            </w:r>
          </w:p>
        </w:tc>
        <w:tc>
          <w:tcPr>
            <w:tcW w:w="81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20</w:t>
            </w:r>
          </w:p>
        </w:tc>
        <w:tc>
          <w:tcPr>
            <w:tcW w:w="9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18</w:t>
            </w:r>
          </w:p>
        </w:tc>
        <w:tc>
          <w:tcPr>
            <w:tcW w:w="90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2</w:t>
            </w:r>
          </w:p>
        </w:tc>
        <w:tc>
          <w:tcPr>
            <w:tcW w:w="90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c>
          <w:tcPr>
            <w:tcW w:w="848"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c>
          <w:tcPr>
            <w:tcW w:w="7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r>
      <w:tr w:rsidR="00B65B9F" w:rsidRPr="00114D47">
        <w:trPr>
          <w:trHeight w:val="260"/>
        </w:trPr>
        <w:tc>
          <w:tcPr>
            <w:tcW w:w="6948" w:type="dxa"/>
            <w:shd w:val="clear" w:color="auto" w:fill="auto"/>
            <w:vAlign w:val="bottom"/>
          </w:tcPr>
          <w:p w:rsidR="00B65B9F" w:rsidRPr="00114D47" w:rsidRDefault="00B65B9F" w:rsidP="002E0DDC">
            <w:pPr>
              <w:spacing w:after="0" w:line="240" w:lineRule="auto"/>
              <w:rPr>
                <w:rFonts w:eastAsia="Times New Roman" w:cs="Times New Roman"/>
                <w:color w:val="000000"/>
                <w:sz w:val="16"/>
                <w:szCs w:val="16"/>
              </w:rPr>
            </w:pPr>
            <w:r w:rsidRPr="00114D47">
              <w:rPr>
                <w:rFonts w:eastAsia="Times New Roman" w:cs="Times New Roman"/>
                <w:color w:val="000000"/>
                <w:sz w:val="16"/>
                <w:szCs w:val="16"/>
              </w:rPr>
              <w:t xml:space="preserve">Assessment </w:t>
            </w:r>
            <w:r>
              <w:rPr>
                <w:rFonts w:eastAsia="Times New Roman" w:cs="Times New Roman"/>
                <w:color w:val="000000"/>
                <w:sz w:val="16"/>
                <w:szCs w:val="16"/>
              </w:rPr>
              <w:t>of Development Results: Cote d'I</w:t>
            </w:r>
            <w:r w:rsidRPr="00114D47">
              <w:rPr>
                <w:rFonts w:eastAsia="Times New Roman" w:cs="Times New Roman"/>
                <w:color w:val="000000"/>
                <w:sz w:val="16"/>
                <w:szCs w:val="16"/>
              </w:rPr>
              <w:t>voire</w:t>
            </w:r>
          </w:p>
        </w:tc>
        <w:tc>
          <w:tcPr>
            <w:tcW w:w="9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Yes</w:t>
            </w:r>
          </w:p>
        </w:tc>
        <w:tc>
          <w:tcPr>
            <w:tcW w:w="81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6</w:t>
            </w:r>
          </w:p>
        </w:tc>
        <w:tc>
          <w:tcPr>
            <w:tcW w:w="9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3</w:t>
            </w:r>
          </w:p>
        </w:tc>
        <w:tc>
          <w:tcPr>
            <w:tcW w:w="90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c>
          <w:tcPr>
            <w:tcW w:w="90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c>
          <w:tcPr>
            <w:tcW w:w="848"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c>
          <w:tcPr>
            <w:tcW w:w="7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3</w:t>
            </w:r>
          </w:p>
        </w:tc>
      </w:tr>
      <w:tr w:rsidR="00B65B9F" w:rsidRPr="00114D47">
        <w:trPr>
          <w:trHeight w:val="170"/>
        </w:trPr>
        <w:tc>
          <w:tcPr>
            <w:tcW w:w="6948" w:type="dxa"/>
            <w:shd w:val="clear" w:color="auto" w:fill="auto"/>
            <w:vAlign w:val="bottom"/>
          </w:tcPr>
          <w:p w:rsidR="00B65B9F" w:rsidRPr="00114D47" w:rsidRDefault="00B65B9F" w:rsidP="002E0DDC">
            <w:pPr>
              <w:spacing w:after="0" w:line="240" w:lineRule="auto"/>
              <w:rPr>
                <w:rFonts w:eastAsia="Times New Roman" w:cs="Times New Roman"/>
                <w:color w:val="000000"/>
                <w:sz w:val="16"/>
                <w:szCs w:val="16"/>
              </w:rPr>
            </w:pPr>
            <w:r w:rsidRPr="00114D47">
              <w:rPr>
                <w:rFonts w:eastAsia="Times New Roman" w:cs="Times New Roman"/>
                <w:color w:val="000000"/>
                <w:sz w:val="16"/>
                <w:szCs w:val="16"/>
              </w:rPr>
              <w:t>Assessment of Development Results: Niger</w:t>
            </w:r>
          </w:p>
        </w:tc>
        <w:tc>
          <w:tcPr>
            <w:tcW w:w="9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Yes</w:t>
            </w:r>
          </w:p>
        </w:tc>
        <w:tc>
          <w:tcPr>
            <w:tcW w:w="81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17</w:t>
            </w:r>
          </w:p>
        </w:tc>
        <w:tc>
          <w:tcPr>
            <w:tcW w:w="9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8</w:t>
            </w:r>
          </w:p>
        </w:tc>
        <w:tc>
          <w:tcPr>
            <w:tcW w:w="90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8</w:t>
            </w:r>
          </w:p>
        </w:tc>
        <w:tc>
          <w:tcPr>
            <w:tcW w:w="90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c>
          <w:tcPr>
            <w:tcW w:w="848"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c>
          <w:tcPr>
            <w:tcW w:w="7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1</w:t>
            </w:r>
          </w:p>
        </w:tc>
      </w:tr>
      <w:tr w:rsidR="00B65B9F" w:rsidRPr="00114D47">
        <w:trPr>
          <w:trHeight w:val="242"/>
        </w:trPr>
        <w:tc>
          <w:tcPr>
            <w:tcW w:w="6948" w:type="dxa"/>
            <w:shd w:val="clear" w:color="auto" w:fill="auto"/>
            <w:vAlign w:val="bottom"/>
          </w:tcPr>
          <w:p w:rsidR="00B65B9F" w:rsidRPr="00114D47" w:rsidRDefault="00B65B9F" w:rsidP="002E0DDC">
            <w:pPr>
              <w:spacing w:after="0" w:line="240" w:lineRule="auto"/>
              <w:rPr>
                <w:rFonts w:eastAsia="Times New Roman" w:cs="Times New Roman"/>
                <w:color w:val="000000"/>
                <w:sz w:val="16"/>
                <w:szCs w:val="16"/>
              </w:rPr>
            </w:pPr>
            <w:r w:rsidRPr="00114D47">
              <w:rPr>
                <w:rFonts w:eastAsia="Times New Roman" w:cs="Times New Roman"/>
                <w:color w:val="000000"/>
                <w:sz w:val="16"/>
                <w:szCs w:val="16"/>
              </w:rPr>
              <w:t xml:space="preserve">Evaluation of UNDP Contribution to Poverty Reduction </w:t>
            </w:r>
          </w:p>
        </w:tc>
        <w:tc>
          <w:tcPr>
            <w:tcW w:w="9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Yes</w:t>
            </w:r>
          </w:p>
        </w:tc>
        <w:tc>
          <w:tcPr>
            <w:tcW w:w="81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15</w:t>
            </w:r>
          </w:p>
        </w:tc>
        <w:tc>
          <w:tcPr>
            <w:tcW w:w="9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3</w:t>
            </w:r>
          </w:p>
        </w:tc>
        <w:tc>
          <w:tcPr>
            <w:tcW w:w="90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3</w:t>
            </w:r>
          </w:p>
        </w:tc>
        <w:tc>
          <w:tcPr>
            <w:tcW w:w="90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c>
          <w:tcPr>
            <w:tcW w:w="848"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c>
          <w:tcPr>
            <w:tcW w:w="7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9</w:t>
            </w:r>
          </w:p>
        </w:tc>
      </w:tr>
      <w:tr w:rsidR="00B65B9F" w:rsidRPr="00114D47">
        <w:trPr>
          <w:trHeight w:val="260"/>
        </w:trPr>
        <w:tc>
          <w:tcPr>
            <w:tcW w:w="6948" w:type="dxa"/>
            <w:shd w:val="clear" w:color="auto" w:fill="auto"/>
            <w:vAlign w:val="bottom"/>
          </w:tcPr>
          <w:p w:rsidR="00B65B9F" w:rsidRPr="00114D47" w:rsidRDefault="00B65B9F" w:rsidP="002E0DDC">
            <w:pPr>
              <w:spacing w:after="0" w:line="240" w:lineRule="auto"/>
              <w:rPr>
                <w:rFonts w:eastAsia="Times New Roman" w:cs="Times New Roman"/>
                <w:color w:val="000000"/>
                <w:sz w:val="16"/>
                <w:szCs w:val="16"/>
              </w:rPr>
            </w:pPr>
            <w:r w:rsidRPr="00114D47">
              <w:rPr>
                <w:rFonts w:eastAsia="Times New Roman" w:cs="Times New Roman"/>
                <w:color w:val="000000"/>
                <w:sz w:val="16"/>
                <w:szCs w:val="16"/>
              </w:rPr>
              <w:t xml:space="preserve">Evaluation of UNDP Support to Conflict-Affected Countries i the Context of UN Peace Operations </w:t>
            </w:r>
          </w:p>
        </w:tc>
        <w:tc>
          <w:tcPr>
            <w:tcW w:w="9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Yes</w:t>
            </w:r>
          </w:p>
        </w:tc>
        <w:tc>
          <w:tcPr>
            <w:tcW w:w="81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35</w:t>
            </w:r>
          </w:p>
        </w:tc>
        <w:tc>
          <w:tcPr>
            <w:tcW w:w="9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13</w:t>
            </w:r>
          </w:p>
        </w:tc>
        <w:tc>
          <w:tcPr>
            <w:tcW w:w="90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5</w:t>
            </w:r>
          </w:p>
        </w:tc>
        <w:tc>
          <w:tcPr>
            <w:tcW w:w="90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5</w:t>
            </w:r>
          </w:p>
        </w:tc>
        <w:tc>
          <w:tcPr>
            <w:tcW w:w="848"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c>
          <w:tcPr>
            <w:tcW w:w="790" w:type="dxa"/>
            <w:shd w:val="clear" w:color="auto" w:fill="auto"/>
            <w:vAlign w:val="bottom"/>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12</w:t>
            </w:r>
          </w:p>
        </w:tc>
      </w:tr>
      <w:tr w:rsidR="00B65B9F" w:rsidRPr="00114D47">
        <w:trPr>
          <w:trHeight w:val="260"/>
        </w:trPr>
        <w:tc>
          <w:tcPr>
            <w:tcW w:w="6948" w:type="dxa"/>
            <w:shd w:val="clear" w:color="000000" w:fill="D9D9D9"/>
            <w:vAlign w:val="bottom"/>
          </w:tcPr>
          <w:p w:rsidR="00B65B9F" w:rsidRPr="00114D47" w:rsidRDefault="00B65B9F" w:rsidP="002E0DDC">
            <w:pPr>
              <w:spacing w:after="0" w:line="240" w:lineRule="auto"/>
              <w:rPr>
                <w:rFonts w:eastAsia="Times New Roman" w:cs="Times New Roman"/>
                <w:b/>
                <w:bCs/>
                <w:color w:val="000000"/>
                <w:sz w:val="16"/>
                <w:szCs w:val="16"/>
              </w:rPr>
            </w:pPr>
            <w:r w:rsidRPr="00114D47">
              <w:rPr>
                <w:rFonts w:eastAsia="Times New Roman" w:cs="Times New Roman"/>
                <w:b/>
                <w:bCs/>
                <w:color w:val="000000"/>
                <w:sz w:val="16"/>
                <w:szCs w:val="16"/>
              </w:rPr>
              <w:t>Totals 2013</w:t>
            </w:r>
          </w:p>
        </w:tc>
        <w:tc>
          <w:tcPr>
            <w:tcW w:w="990" w:type="dxa"/>
            <w:vMerge w:val="restart"/>
            <w:shd w:val="clear" w:color="000000" w:fill="D9D9D9"/>
            <w:noWrap/>
            <w:vAlign w:val="center"/>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8</w:t>
            </w:r>
          </w:p>
        </w:tc>
        <w:tc>
          <w:tcPr>
            <w:tcW w:w="810" w:type="dxa"/>
            <w:vMerge w:val="restart"/>
            <w:shd w:val="clear" w:color="000000" w:fill="D9D9D9"/>
            <w:noWrap/>
            <w:vAlign w:val="center"/>
          </w:tcPr>
          <w:p w:rsidR="00B65B9F" w:rsidRPr="00114D47" w:rsidRDefault="00B65B9F" w:rsidP="002E0DDC">
            <w:pPr>
              <w:spacing w:after="0" w:line="240" w:lineRule="auto"/>
              <w:jc w:val="center"/>
              <w:rPr>
                <w:rFonts w:eastAsia="Times New Roman" w:cs="Times New Roman"/>
                <w:b/>
                <w:bCs/>
                <w:color w:val="000000"/>
                <w:sz w:val="16"/>
                <w:szCs w:val="16"/>
              </w:rPr>
            </w:pPr>
            <w:r w:rsidRPr="00114D47">
              <w:rPr>
                <w:rFonts w:eastAsia="Times New Roman" w:cs="Times New Roman"/>
                <w:b/>
                <w:bCs/>
                <w:color w:val="000000"/>
                <w:sz w:val="16"/>
                <w:szCs w:val="16"/>
              </w:rPr>
              <w:t>219</w:t>
            </w:r>
          </w:p>
        </w:tc>
        <w:tc>
          <w:tcPr>
            <w:tcW w:w="990" w:type="dxa"/>
            <w:vMerge w:val="restart"/>
            <w:shd w:val="clear" w:color="000000" w:fill="D9D9D9"/>
            <w:noWrap/>
            <w:vAlign w:val="center"/>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92</w:t>
            </w:r>
          </w:p>
        </w:tc>
        <w:tc>
          <w:tcPr>
            <w:tcW w:w="900" w:type="dxa"/>
            <w:vMerge w:val="restart"/>
            <w:shd w:val="clear" w:color="000000" w:fill="D9D9D9"/>
            <w:noWrap/>
            <w:vAlign w:val="center"/>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83</w:t>
            </w:r>
          </w:p>
        </w:tc>
        <w:tc>
          <w:tcPr>
            <w:tcW w:w="900" w:type="dxa"/>
            <w:vMerge w:val="restart"/>
            <w:shd w:val="clear" w:color="000000" w:fill="D9D9D9"/>
            <w:noWrap/>
            <w:vAlign w:val="center"/>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6</w:t>
            </w:r>
          </w:p>
        </w:tc>
        <w:tc>
          <w:tcPr>
            <w:tcW w:w="848" w:type="dxa"/>
            <w:vMerge w:val="restart"/>
            <w:shd w:val="clear" w:color="000000" w:fill="D9D9D9"/>
            <w:noWrap/>
            <w:vAlign w:val="center"/>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0</w:t>
            </w:r>
          </w:p>
        </w:tc>
        <w:tc>
          <w:tcPr>
            <w:tcW w:w="790" w:type="dxa"/>
            <w:vMerge w:val="restart"/>
            <w:shd w:val="clear" w:color="000000" w:fill="D9D9D9"/>
            <w:noWrap/>
            <w:vAlign w:val="center"/>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38</w:t>
            </w:r>
          </w:p>
        </w:tc>
      </w:tr>
      <w:tr w:rsidR="00B65B9F" w:rsidRPr="00114D47">
        <w:trPr>
          <w:trHeight w:val="260"/>
        </w:trPr>
        <w:tc>
          <w:tcPr>
            <w:tcW w:w="6948" w:type="dxa"/>
            <w:shd w:val="clear" w:color="000000" w:fill="D9D9D9"/>
            <w:vAlign w:val="bottom"/>
          </w:tcPr>
          <w:p w:rsidR="00B65B9F" w:rsidRPr="00114D47" w:rsidRDefault="00B65B9F" w:rsidP="002E0DDC">
            <w:pPr>
              <w:spacing w:after="0" w:line="240" w:lineRule="auto"/>
              <w:rPr>
                <w:rFonts w:eastAsia="Times New Roman" w:cs="Times New Roman"/>
                <w:color w:val="000000"/>
                <w:sz w:val="16"/>
                <w:szCs w:val="16"/>
              </w:rPr>
            </w:pPr>
            <w:r w:rsidRPr="00114D47">
              <w:rPr>
                <w:rFonts w:eastAsia="Times New Roman" w:cs="Times New Roman"/>
                <w:color w:val="000000"/>
                <w:sz w:val="16"/>
                <w:szCs w:val="16"/>
              </w:rPr>
              <w:t>13 Evaluations</w:t>
            </w:r>
          </w:p>
        </w:tc>
        <w:tc>
          <w:tcPr>
            <w:tcW w:w="990" w:type="dxa"/>
            <w:vMerge/>
            <w:vAlign w:val="center"/>
          </w:tcPr>
          <w:p w:rsidR="00B65B9F" w:rsidRPr="00114D47" w:rsidRDefault="00B65B9F" w:rsidP="002E0DDC">
            <w:pPr>
              <w:spacing w:after="0" w:line="240" w:lineRule="auto"/>
              <w:rPr>
                <w:rFonts w:eastAsia="Times New Roman" w:cs="Times New Roman"/>
                <w:color w:val="000000"/>
                <w:sz w:val="16"/>
                <w:szCs w:val="16"/>
              </w:rPr>
            </w:pPr>
          </w:p>
        </w:tc>
        <w:tc>
          <w:tcPr>
            <w:tcW w:w="810" w:type="dxa"/>
            <w:vMerge/>
            <w:vAlign w:val="center"/>
          </w:tcPr>
          <w:p w:rsidR="00B65B9F" w:rsidRPr="00114D47" w:rsidRDefault="00B65B9F" w:rsidP="002E0DDC">
            <w:pPr>
              <w:spacing w:after="0" w:line="240" w:lineRule="auto"/>
              <w:rPr>
                <w:rFonts w:eastAsia="Times New Roman" w:cs="Times New Roman"/>
                <w:b/>
                <w:bCs/>
                <w:color w:val="000000"/>
                <w:sz w:val="16"/>
                <w:szCs w:val="16"/>
              </w:rPr>
            </w:pPr>
          </w:p>
        </w:tc>
        <w:tc>
          <w:tcPr>
            <w:tcW w:w="990" w:type="dxa"/>
            <w:vMerge/>
            <w:vAlign w:val="center"/>
          </w:tcPr>
          <w:p w:rsidR="00B65B9F" w:rsidRPr="00114D47" w:rsidRDefault="00B65B9F" w:rsidP="002E0DDC">
            <w:pPr>
              <w:spacing w:after="0" w:line="240" w:lineRule="auto"/>
              <w:rPr>
                <w:rFonts w:eastAsia="Times New Roman" w:cs="Times New Roman"/>
                <w:color w:val="000000"/>
                <w:sz w:val="16"/>
                <w:szCs w:val="16"/>
              </w:rPr>
            </w:pPr>
          </w:p>
        </w:tc>
        <w:tc>
          <w:tcPr>
            <w:tcW w:w="900" w:type="dxa"/>
            <w:vMerge/>
            <w:vAlign w:val="center"/>
          </w:tcPr>
          <w:p w:rsidR="00B65B9F" w:rsidRPr="00114D47" w:rsidRDefault="00B65B9F" w:rsidP="002E0DDC">
            <w:pPr>
              <w:spacing w:after="0" w:line="240" w:lineRule="auto"/>
              <w:rPr>
                <w:rFonts w:eastAsia="Times New Roman" w:cs="Times New Roman"/>
                <w:color w:val="000000"/>
                <w:sz w:val="16"/>
                <w:szCs w:val="16"/>
              </w:rPr>
            </w:pPr>
          </w:p>
        </w:tc>
        <w:tc>
          <w:tcPr>
            <w:tcW w:w="900" w:type="dxa"/>
            <w:vMerge/>
            <w:vAlign w:val="center"/>
          </w:tcPr>
          <w:p w:rsidR="00B65B9F" w:rsidRPr="00114D47" w:rsidRDefault="00B65B9F" w:rsidP="002E0DDC">
            <w:pPr>
              <w:spacing w:after="0" w:line="240" w:lineRule="auto"/>
              <w:rPr>
                <w:rFonts w:eastAsia="Times New Roman" w:cs="Times New Roman"/>
                <w:color w:val="000000"/>
                <w:sz w:val="16"/>
                <w:szCs w:val="16"/>
              </w:rPr>
            </w:pPr>
          </w:p>
        </w:tc>
        <w:tc>
          <w:tcPr>
            <w:tcW w:w="848" w:type="dxa"/>
            <w:vMerge/>
            <w:vAlign w:val="center"/>
          </w:tcPr>
          <w:p w:rsidR="00B65B9F" w:rsidRPr="00114D47" w:rsidRDefault="00B65B9F" w:rsidP="002E0DDC">
            <w:pPr>
              <w:spacing w:after="0" w:line="240" w:lineRule="auto"/>
              <w:rPr>
                <w:rFonts w:eastAsia="Times New Roman" w:cs="Times New Roman"/>
                <w:color w:val="000000"/>
                <w:sz w:val="16"/>
                <w:szCs w:val="16"/>
              </w:rPr>
            </w:pPr>
          </w:p>
        </w:tc>
        <w:tc>
          <w:tcPr>
            <w:tcW w:w="790" w:type="dxa"/>
            <w:vMerge/>
            <w:vAlign w:val="center"/>
          </w:tcPr>
          <w:p w:rsidR="00B65B9F" w:rsidRPr="00114D47" w:rsidRDefault="00B65B9F" w:rsidP="002E0DDC">
            <w:pPr>
              <w:spacing w:after="0" w:line="240" w:lineRule="auto"/>
              <w:rPr>
                <w:rFonts w:eastAsia="Times New Roman" w:cs="Times New Roman"/>
                <w:color w:val="000000"/>
                <w:sz w:val="16"/>
                <w:szCs w:val="16"/>
              </w:rPr>
            </w:pPr>
          </w:p>
        </w:tc>
      </w:tr>
      <w:tr w:rsidR="00B65B9F" w:rsidRPr="00114D47">
        <w:trPr>
          <w:trHeight w:val="300"/>
        </w:trPr>
        <w:tc>
          <w:tcPr>
            <w:tcW w:w="6948" w:type="dxa"/>
            <w:shd w:val="clear" w:color="000000" w:fill="D9D9D9"/>
            <w:vAlign w:val="bottom"/>
          </w:tcPr>
          <w:p w:rsidR="00B65B9F" w:rsidRPr="00114D47" w:rsidRDefault="00B65B9F" w:rsidP="002E0DDC">
            <w:pPr>
              <w:spacing w:after="0" w:line="240" w:lineRule="auto"/>
              <w:rPr>
                <w:rFonts w:eastAsia="Times New Roman" w:cs="Times New Roman"/>
                <w:color w:val="000000"/>
                <w:sz w:val="16"/>
                <w:szCs w:val="16"/>
              </w:rPr>
            </w:pPr>
            <w:r w:rsidRPr="00114D47">
              <w:rPr>
                <w:rFonts w:eastAsia="Times New Roman" w:cs="Times New Roman"/>
                <w:color w:val="000000"/>
                <w:sz w:val="16"/>
                <w:szCs w:val="16"/>
              </w:rPr>
              <w:t> </w:t>
            </w:r>
          </w:p>
        </w:tc>
        <w:tc>
          <w:tcPr>
            <w:tcW w:w="990" w:type="dxa"/>
            <w:shd w:val="clear" w:color="000000" w:fill="D9D9D9"/>
            <w:noWrap/>
            <w:vAlign w:val="center"/>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 </w:t>
            </w:r>
          </w:p>
        </w:tc>
        <w:tc>
          <w:tcPr>
            <w:tcW w:w="810" w:type="dxa"/>
            <w:shd w:val="clear" w:color="000000" w:fill="D9D9D9"/>
            <w:noWrap/>
            <w:vAlign w:val="center"/>
          </w:tcPr>
          <w:p w:rsidR="00B65B9F" w:rsidRPr="00114D47" w:rsidRDefault="00B65B9F" w:rsidP="002E0DDC">
            <w:pPr>
              <w:spacing w:after="0" w:line="240" w:lineRule="auto"/>
              <w:jc w:val="center"/>
              <w:rPr>
                <w:rFonts w:eastAsia="Times New Roman" w:cs="Times New Roman"/>
                <w:color w:val="000000"/>
                <w:sz w:val="16"/>
                <w:szCs w:val="16"/>
              </w:rPr>
            </w:pPr>
            <w:r w:rsidRPr="00114D47">
              <w:rPr>
                <w:rFonts w:eastAsia="Times New Roman" w:cs="Times New Roman"/>
                <w:color w:val="000000"/>
                <w:sz w:val="16"/>
                <w:szCs w:val="16"/>
              </w:rPr>
              <w:t> </w:t>
            </w:r>
          </w:p>
        </w:tc>
        <w:tc>
          <w:tcPr>
            <w:tcW w:w="4428" w:type="dxa"/>
            <w:gridSpan w:val="5"/>
            <w:shd w:val="clear" w:color="000000" w:fill="D9D9D9"/>
            <w:noWrap/>
            <w:vAlign w:val="center"/>
          </w:tcPr>
          <w:p w:rsidR="00B65B9F" w:rsidRPr="00114D47" w:rsidRDefault="00B65B9F" w:rsidP="002E0DDC">
            <w:pPr>
              <w:spacing w:after="0" w:line="240" w:lineRule="auto"/>
              <w:jc w:val="center"/>
              <w:rPr>
                <w:rFonts w:eastAsia="Times New Roman" w:cs="Times New Roman"/>
                <w:b/>
                <w:bCs/>
                <w:color w:val="000000"/>
                <w:sz w:val="16"/>
                <w:szCs w:val="16"/>
              </w:rPr>
            </w:pPr>
            <w:r w:rsidRPr="00114D47">
              <w:rPr>
                <w:rFonts w:eastAsia="Times New Roman" w:cs="Times New Roman"/>
                <w:b/>
                <w:bCs/>
                <w:color w:val="000000"/>
                <w:sz w:val="16"/>
                <w:szCs w:val="16"/>
              </w:rPr>
              <w:t>219</w:t>
            </w:r>
          </w:p>
        </w:tc>
      </w:tr>
    </w:tbl>
    <w:p w:rsidR="00E33378" w:rsidRPr="00E33378" w:rsidRDefault="00E33378">
      <w:pPr>
        <w:rPr>
          <w:b/>
          <w:sz w:val="2"/>
        </w:rPr>
      </w:pPr>
    </w:p>
    <w:p w:rsidR="006D197F" w:rsidRDefault="006D197F" w:rsidP="006D197F">
      <w:pPr>
        <w:rPr>
          <w:b/>
        </w:rPr>
      </w:pPr>
      <w:r>
        <w:rPr>
          <w:b/>
        </w:rPr>
        <w:br w:type="page"/>
      </w:r>
      <w:r>
        <w:rPr>
          <w:b/>
        </w:rPr>
        <w:lastRenderedPageBreak/>
        <w:t>Annex VII:</w:t>
      </w:r>
      <w:r>
        <w:rPr>
          <w:b/>
        </w:rPr>
        <w:tab/>
      </w:r>
      <w:r>
        <w:rPr>
          <w:b/>
          <w:szCs w:val="26"/>
        </w:rPr>
        <w:t>Preliminary QCPR indicator results</w:t>
      </w:r>
    </w:p>
    <w:p w:rsidR="00A33CE1" w:rsidRPr="00A33CE1" w:rsidRDefault="00A33CE1" w:rsidP="00A33CE1">
      <w:pPr>
        <w:spacing w:after="0" w:line="240" w:lineRule="auto"/>
        <w:jc w:val="both"/>
        <w:rPr>
          <w:rFonts w:eastAsia="MS ??" w:cs="Times New Roman"/>
          <w:sz w:val="20"/>
          <w:szCs w:val="20"/>
        </w:rPr>
      </w:pPr>
      <w:r w:rsidRPr="00A33CE1">
        <w:rPr>
          <w:rFonts w:eastAsia="MS ??" w:cs="Times New Roman"/>
          <w:sz w:val="20"/>
          <w:szCs w:val="20"/>
        </w:rPr>
        <w:t xml:space="preserve">Starting from June 2015 when the first annual report on the Strategic Plan 2014-2017 is released, UNDP will integrate QCPR implementation reporting into its annual reporting on the Strategic Plan. The initiative is a direct response to ECOSOC resolution 2013/5 and a further step towards full alignment between the UNDP Strategic Plan and QCPR cycles, and overall simplification of reporting processes at Headquarters. In this regard, UNDP’s reporting will be guided by the Secretary-General’s QCPR Monitoring and Reporting Framework, to which UNDP has been a core contributor, in close consultation with DESA and other UNDG members.  Internally, to ensure a rigorous QCPR follow-up process, UNDP has put in place a cross-bureau mechanism consisting of a QCPR Task Team and QCPR Implementation Plan which translates QCPR mandates into actionable tasks that the organization has to take to achieve the desired results. Lead bureaus and units have been identified for each task, together with the required deadlines for completion and a regular progress reporting schedule. The standing QCPR Task Team is also responsible for identifying bottlenecks in implementation and proposing measures to address them. </w:t>
      </w:r>
    </w:p>
    <w:p w:rsidR="00A33CE1" w:rsidRPr="00A33CE1" w:rsidRDefault="00A33CE1" w:rsidP="00A33CE1">
      <w:pPr>
        <w:spacing w:after="0" w:line="240" w:lineRule="auto"/>
        <w:jc w:val="both"/>
        <w:rPr>
          <w:rFonts w:eastAsia="MS ??" w:cs="Times New Roman"/>
          <w:sz w:val="20"/>
          <w:szCs w:val="20"/>
        </w:rPr>
      </w:pPr>
    </w:p>
    <w:p w:rsidR="00A33CE1" w:rsidRPr="00A33CE1" w:rsidRDefault="00A33CE1" w:rsidP="00A33CE1">
      <w:pPr>
        <w:spacing w:after="0" w:line="240" w:lineRule="auto"/>
        <w:jc w:val="both"/>
        <w:rPr>
          <w:rFonts w:eastAsia="MS ??" w:cs="Times New Roman"/>
          <w:sz w:val="20"/>
          <w:szCs w:val="20"/>
        </w:rPr>
      </w:pPr>
      <w:r w:rsidRPr="00A33CE1">
        <w:rPr>
          <w:rFonts w:eastAsia="MS ??" w:cs="Times New Roman"/>
          <w:sz w:val="20"/>
          <w:szCs w:val="20"/>
        </w:rPr>
        <w:t>While it is expected that the QCPR implementation plan will become the main tool for UNDP’s individual QCPR reporting to the Executive Board throughout the current QCPR cycle, in the interim, the present annex is supplemental to Section V of the Annual Report and provides update on progress made on UNDP efforts to address key areas of the QCPR.  It follows the structure and format of the S-G’s QCPR Monitoring and Reporting Framework. However, while the framework outlines system-wide indicators that will be reported through the Secretary-General’s report to the Economic and Social Council, the present annex focusses on UNDP-specific actions to address key QCPR mandates to date. The indicators chosen are those considered most relevant to UNDP’s mandate as well as priority areas for the Executive Board. Further data will be provided in future reports once on-going inter-agency work on data sources and collection mechanisms is complete.</w:t>
      </w:r>
    </w:p>
    <w:p w:rsidR="00A33CE1" w:rsidRPr="00A33CE1" w:rsidRDefault="00A33CE1" w:rsidP="00A33CE1">
      <w:pPr>
        <w:spacing w:after="0" w:line="240" w:lineRule="auto"/>
        <w:jc w:val="center"/>
        <w:rPr>
          <w:rFonts w:eastAsia="MS ??" w:cs="Times New Roman"/>
          <w:b/>
          <w:color w:val="0070C0"/>
          <w:sz w:val="20"/>
          <w:szCs w:val="20"/>
        </w:rPr>
      </w:pPr>
    </w:p>
    <w:p w:rsidR="00A33CE1" w:rsidRPr="00A33CE1" w:rsidRDefault="00A33CE1" w:rsidP="00A33CE1">
      <w:pPr>
        <w:spacing w:after="0" w:line="240" w:lineRule="auto"/>
        <w:jc w:val="center"/>
        <w:rPr>
          <w:rFonts w:eastAsia="MS ??" w:cs="Times New Roman"/>
          <w:b/>
          <w:color w:val="0070C0"/>
          <w:sz w:val="20"/>
          <w:szCs w:val="20"/>
        </w:rPr>
      </w:pPr>
    </w:p>
    <w:p w:rsidR="00A33CE1" w:rsidRPr="00A33CE1" w:rsidRDefault="00A33CE1" w:rsidP="00A33CE1">
      <w:pPr>
        <w:spacing w:after="0" w:line="240" w:lineRule="auto"/>
        <w:jc w:val="center"/>
        <w:rPr>
          <w:rFonts w:ascii="Cambria" w:eastAsia="MS ??" w:hAnsi="Cambria" w:cs="Times New Roman"/>
          <w:b/>
          <w:color w:val="0070C0"/>
          <w:sz w:val="24"/>
          <w:szCs w:val="24"/>
        </w:rPr>
      </w:pPr>
    </w:p>
    <w:p w:rsidR="00A33CE1" w:rsidRPr="00A33CE1" w:rsidRDefault="00A33CE1" w:rsidP="00A33CE1">
      <w:pPr>
        <w:spacing w:after="0" w:line="240" w:lineRule="auto"/>
        <w:jc w:val="center"/>
        <w:rPr>
          <w:rFonts w:ascii="Cambria" w:eastAsia="MS ??" w:hAnsi="Cambria" w:cs="Times New Roman"/>
          <w:b/>
          <w:color w:val="0070C0"/>
          <w:sz w:val="24"/>
          <w:szCs w:val="24"/>
        </w:rPr>
      </w:pPr>
    </w:p>
    <w:p w:rsidR="00A33CE1" w:rsidRPr="00A33CE1" w:rsidRDefault="00A33CE1" w:rsidP="00A33CE1">
      <w:pPr>
        <w:spacing w:after="0" w:line="240" w:lineRule="auto"/>
        <w:jc w:val="center"/>
        <w:rPr>
          <w:rFonts w:ascii="Cambria" w:eastAsia="MS ??" w:hAnsi="Cambria" w:cs="Times New Roman"/>
          <w:b/>
          <w:color w:val="0070C0"/>
          <w:sz w:val="24"/>
          <w:szCs w:val="24"/>
        </w:rPr>
      </w:pPr>
    </w:p>
    <w:p w:rsidR="00A33CE1" w:rsidRPr="00A33CE1" w:rsidRDefault="00A33CE1" w:rsidP="00A33CE1">
      <w:pPr>
        <w:spacing w:after="0" w:line="240" w:lineRule="auto"/>
        <w:jc w:val="center"/>
        <w:rPr>
          <w:rFonts w:ascii="Cambria" w:eastAsia="MS ??" w:hAnsi="Cambria" w:cs="Times New Roman"/>
          <w:b/>
          <w:color w:val="0070C0"/>
          <w:sz w:val="24"/>
          <w:szCs w:val="24"/>
        </w:rPr>
      </w:pPr>
    </w:p>
    <w:p w:rsidR="00A33CE1" w:rsidRPr="00A33CE1" w:rsidRDefault="00A33CE1" w:rsidP="00A33CE1">
      <w:pPr>
        <w:spacing w:after="0" w:line="240" w:lineRule="auto"/>
        <w:jc w:val="center"/>
        <w:rPr>
          <w:rFonts w:ascii="Cambria" w:eastAsia="MS ??" w:hAnsi="Cambria" w:cs="Times New Roman"/>
          <w:b/>
          <w:color w:val="0070C0"/>
          <w:sz w:val="24"/>
          <w:szCs w:val="24"/>
        </w:rPr>
      </w:pPr>
    </w:p>
    <w:p w:rsidR="00A33CE1" w:rsidRDefault="00A33CE1" w:rsidP="00A33CE1">
      <w:pPr>
        <w:spacing w:after="0" w:line="240" w:lineRule="auto"/>
        <w:jc w:val="center"/>
        <w:rPr>
          <w:rFonts w:ascii="Cambria" w:eastAsia="MS ??" w:hAnsi="Cambria" w:cs="Times New Roman"/>
          <w:b/>
          <w:color w:val="0070C0"/>
          <w:sz w:val="24"/>
          <w:szCs w:val="24"/>
        </w:rPr>
      </w:pPr>
    </w:p>
    <w:p w:rsidR="00A33CE1" w:rsidRDefault="00A33CE1" w:rsidP="00A33CE1">
      <w:pPr>
        <w:spacing w:after="0" w:line="240" w:lineRule="auto"/>
        <w:jc w:val="center"/>
        <w:rPr>
          <w:rFonts w:ascii="Cambria" w:eastAsia="MS ??" w:hAnsi="Cambria" w:cs="Times New Roman"/>
          <w:b/>
          <w:color w:val="0070C0"/>
          <w:sz w:val="24"/>
          <w:szCs w:val="24"/>
        </w:rPr>
      </w:pPr>
    </w:p>
    <w:p w:rsidR="00A33CE1" w:rsidRDefault="00A33CE1" w:rsidP="00A33CE1">
      <w:pPr>
        <w:spacing w:after="0" w:line="240" w:lineRule="auto"/>
        <w:jc w:val="center"/>
        <w:rPr>
          <w:rFonts w:ascii="Cambria" w:eastAsia="MS ??" w:hAnsi="Cambria" w:cs="Times New Roman"/>
          <w:b/>
          <w:color w:val="0070C0"/>
          <w:sz w:val="24"/>
          <w:szCs w:val="24"/>
        </w:rPr>
      </w:pPr>
    </w:p>
    <w:p w:rsidR="00A33CE1" w:rsidRDefault="00A33CE1" w:rsidP="00A33CE1">
      <w:pPr>
        <w:spacing w:after="0" w:line="240" w:lineRule="auto"/>
        <w:jc w:val="center"/>
        <w:rPr>
          <w:rFonts w:ascii="Cambria" w:eastAsia="MS ??" w:hAnsi="Cambria" w:cs="Times New Roman"/>
          <w:b/>
          <w:color w:val="0070C0"/>
          <w:sz w:val="24"/>
          <w:szCs w:val="24"/>
        </w:rPr>
      </w:pPr>
    </w:p>
    <w:p w:rsidR="00A33CE1" w:rsidRDefault="00A33CE1" w:rsidP="00A33CE1">
      <w:pPr>
        <w:spacing w:after="0" w:line="240" w:lineRule="auto"/>
        <w:jc w:val="center"/>
        <w:rPr>
          <w:rFonts w:ascii="Cambria" w:eastAsia="MS ??" w:hAnsi="Cambria" w:cs="Times New Roman"/>
          <w:b/>
          <w:color w:val="0070C0"/>
          <w:sz w:val="24"/>
          <w:szCs w:val="24"/>
        </w:rPr>
      </w:pPr>
    </w:p>
    <w:p w:rsidR="00A33CE1" w:rsidRPr="00A33CE1" w:rsidRDefault="00A33CE1" w:rsidP="00A33CE1">
      <w:pPr>
        <w:spacing w:after="0" w:line="240" w:lineRule="auto"/>
        <w:jc w:val="center"/>
        <w:rPr>
          <w:rFonts w:ascii="Cambria" w:eastAsia="MS ??" w:hAnsi="Cambria" w:cs="Times New Roman"/>
          <w:b/>
          <w:color w:val="0070C0"/>
          <w:sz w:val="24"/>
          <w:szCs w:val="24"/>
        </w:rPr>
      </w:pPr>
    </w:p>
    <w:p w:rsidR="00A33CE1" w:rsidRPr="00A33CE1" w:rsidRDefault="00A33CE1" w:rsidP="00A33CE1">
      <w:pPr>
        <w:spacing w:after="0" w:line="240" w:lineRule="auto"/>
        <w:jc w:val="center"/>
        <w:rPr>
          <w:rFonts w:ascii="Cambria" w:eastAsia="MS ??" w:hAnsi="Cambria" w:cs="Times New Roman"/>
          <w:b/>
          <w:color w:val="0070C0"/>
          <w:sz w:val="24"/>
          <w:szCs w:val="24"/>
        </w:rPr>
      </w:pPr>
    </w:p>
    <w:p w:rsidR="00A33CE1" w:rsidRDefault="00A33CE1" w:rsidP="00A33CE1">
      <w:pPr>
        <w:spacing w:after="0" w:line="240" w:lineRule="auto"/>
        <w:jc w:val="center"/>
        <w:rPr>
          <w:rFonts w:ascii="Cambria" w:eastAsia="MS ??" w:hAnsi="Cambria" w:cs="Times New Roman"/>
          <w:b/>
          <w:color w:val="0070C0"/>
          <w:sz w:val="24"/>
          <w:szCs w:val="24"/>
        </w:rPr>
      </w:pPr>
    </w:p>
    <w:p w:rsidR="000C250D" w:rsidRDefault="000C250D" w:rsidP="00A33CE1">
      <w:pPr>
        <w:spacing w:after="0" w:line="240" w:lineRule="auto"/>
        <w:jc w:val="center"/>
        <w:rPr>
          <w:rFonts w:ascii="Cambria" w:eastAsia="MS ??" w:hAnsi="Cambria" w:cs="Times New Roman"/>
          <w:b/>
          <w:color w:val="0070C0"/>
          <w:sz w:val="24"/>
          <w:szCs w:val="24"/>
        </w:rPr>
      </w:pPr>
    </w:p>
    <w:p w:rsidR="000C250D" w:rsidRDefault="000C250D" w:rsidP="00A33CE1">
      <w:pPr>
        <w:spacing w:after="0" w:line="240" w:lineRule="auto"/>
        <w:jc w:val="center"/>
        <w:rPr>
          <w:rFonts w:ascii="Cambria" w:eastAsia="MS ??" w:hAnsi="Cambria" w:cs="Times New Roman"/>
          <w:b/>
          <w:color w:val="0070C0"/>
          <w:sz w:val="24"/>
          <w:szCs w:val="24"/>
        </w:rPr>
      </w:pPr>
    </w:p>
    <w:p w:rsidR="000C250D" w:rsidRDefault="000C250D" w:rsidP="00A33CE1">
      <w:pPr>
        <w:spacing w:after="0" w:line="240" w:lineRule="auto"/>
        <w:jc w:val="center"/>
        <w:rPr>
          <w:rFonts w:ascii="Cambria" w:eastAsia="MS ??" w:hAnsi="Cambria" w:cs="Times New Roman"/>
          <w:b/>
          <w:color w:val="0070C0"/>
          <w:sz w:val="24"/>
          <w:szCs w:val="24"/>
        </w:rPr>
      </w:pPr>
    </w:p>
    <w:p w:rsidR="000C250D" w:rsidRPr="00A33CE1" w:rsidRDefault="000C250D" w:rsidP="00A33CE1">
      <w:pPr>
        <w:spacing w:after="0" w:line="240" w:lineRule="auto"/>
        <w:jc w:val="center"/>
        <w:rPr>
          <w:rFonts w:ascii="Cambria" w:eastAsia="MS ??" w:hAnsi="Cambria" w:cs="Times New Roman"/>
          <w:b/>
          <w:color w:val="0070C0"/>
          <w:sz w:val="24"/>
          <w:szCs w:val="24"/>
        </w:rPr>
      </w:pPr>
    </w:p>
    <w:tbl>
      <w:tblPr>
        <w:tblW w:w="1345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655"/>
        <w:gridCol w:w="78"/>
        <w:gridCol w:w="707"/>
        <w:gridCol w:w="4359"/>
        <w:gridCol w:w="1275"/>
        <w:gridCol w:w="5103"/>
        <w:gridCol w:w="1276"/>
      </w:tblGrid>
      <w:tr w:rsidR="00A33CE1" w:rsidRPr="00A33CE1" w:rsidTr="000B2F98">
        <w:trPr>
          <w:tblHeader/>
        </w:trPr>
        <w:tc>
          <w:tcPr>
            <w:tcW w:w="733" w:type="dxa"/>
            <w:gridSpan w:val="2"/>
            <w:tcBorders>
              <w:top w:val="dotted" w:sz="4" w:space="0" w:color="auto"/>
            </w:tcBorders>
            <w:shd w:val="clear" w:color="auto" w:fill="8DB3E2"/>
          </w:tcPr>
          <w:p w:rsidR="00A33CE1" w:rsidRPr="00A33CE1" w:rsidRDefault="00A33CE1" w:rsidP="00A33CE1">
            <w:pPr>
              <w:spacing w:after="0" w:line="240" w:lineRule="auto"/>
              <w:rPr>
                <w:rFonts w:eastAsia="MS ??" w:cs="Times New Roman"/>
                <w:sz w:val="18"/>
              </w:rPr>
            </w:pPr>
            <w:r w:rsidRPr="00A33CE1">
              <w:rPr>
                <w:rFonts w:eastAsia="MS ??" w:cs="Times New Roman"/>
                <w:b/>
                <w:sz w:val="14"/>
              </w:rPr>
              <w:lastRenderedPageBreak/>
              <w:t>Indicator # in SG’s framework</w:t>
            </w:r>
          </w:p>
        </w:tc>
        <w:tc>
          <w:tcPr>
            <w:tcW w:w="707" w:type="dxa"/>
            <w:tcBorders>
              <w:top w:val="dotted" w:sz="4" w:space="0" w:color="auto"/>
            </w:tcBorders>
            <w:shd w:val="clear" w:color="auto" w:fill="8DB3E2"/>
          </w:tcPr>
          <w:p w:rsidR="00A33CE1" w:rsidRPr="00A33CE1" w:rsidRDefault="00A33CE1" w:rsidP="00A33CE1">
            <w:pPr>
              <w:spacing w:after="0" w:line="240" w:lineRule="auto"/>
              <w:rPr>
                <w:rFonts w:eastAsia="MS ??" w:cs="Times New Roman"/>
                <w:sz w:val="18"/>
              </w:rPr>
            </w:pPr>
            <w:r w:rsidRPr="00A33CE1">
              <w:rPr>
                <w:rFonts w:eastAsia="MS ??" w:cs="Times New Roman"/>
                <w:b/>
                <w:sz w:val="14"/>
              </w:rPr>
              <w:t>Operative Paragraph in QCPR</w:t>
            </w:r>
          </w:p>
        </w:tc>
        <w:tc>
          <w:tcPr>
            <w:tcW w:w="4359" w:type="dxa"/>
            <w:tcBorders>
              <w:top w:val="dotted" w:sz="4" w:space="0" w:color="auto"/>
            </w:tcBorders>
            <w:shd w:val="clear" w:color="auto" w:fill="8DB3E2"/>
          </w:tcPr>
          <w:p w:rsidR="00A33CE1" w:rsidRPr="00A33CE1" w:rsidRDefault="00A33CE1" w:rsidP="00A33CE1">
            <w:pPr>
              <w:spacing w:after="0" w:line="240" w:lineRule="auto"/>
              <w:rPr>
                <w:rFonts w:eastAsia="MS ??" w:cs="Times New Roman"/>
                <w:sz w:val="18"/>
              </w:rPr>
            </w:pPr>
            <w:r w:rsidRPr="00A33CE1">
              <w:rPr>
                <w:rFonts w:eastAsia="MS ??" w:cs="Times New Roman"/>
                <w:b/>
                <w:sz w:val="18"/>
              </w:rPr>
              <w:t>Corresponding Indicator in the Secretary-General’s QCPR Monitoring Framework</w:t>
            </w:r>
          </w:p>
        </w:tc>
        <w:tc>
          <w:tcPr>
            <w:tcW w:w="1275" w:type="dxa"/>
            <w:tcBorders>
              <w:top w:val="dotted" w:sz="4" w:space="0" w:color="auto"/>
            </w:tcBorders>
            <w:shd w:val="clear" w:color="auto" w:fill="8DB3E2"/>
          </w:tcPr>
          <w:p w:rsidR="00A33CE1" w:rsidRPr="00A33CE1" w:rsidRDefault="00A33CE1" w:rsidP="00A33CE1">
            <w:pPr>
              <w:spacing w:after="0" w:line="240" w:lineRule="auto"/>
              <w:rPr>
                <w:rFonts w:eastAsia="MS ??" w:cs="Times New Roman"/>
                <w:b/>
                <w:sz w:val="18"/>
              </w:rPr>
            </w:pPr>
            <w:r w:rsidRPr="00A33CE1">
              <w:rPr>
                <w:rFonts w:eastAsia="MS ??" w:cs="Times New Roman"/>
                <w:b/>
                <w:sz w:val="18"/>
              </w:rPr>
              <w:t xml:space="preserve">Status </w:t>
            </w:r>
          </w:p>
          <w:p w:rsidR="00A33CE1" w:rsidRPr="00A33CE1" w:rsidRDefault="00A33CE1" w:rsidP="00A33CE1">
            <w:pPr>
              <w:spacing w:after="0" w:line="240" w:lineRule="auto"/>
              <w:rPr>
                <w:rFonts w:eastAsia="MS ??" w:cs="Times New Roman"/>
                <w:sz w:val="18"/>
              </w:rPr>
            </w:pPr>
            <w:r w:rsidRPr="00A33CE1">
              <w:rPr>
                <w:rFonts w:eastAsia="MS ??" w:cs="Times New Roman"/>
                <w:b/>
                <w:sz w:val="18"/>
              </w:rPr>
              <w:t>(Color coded)</w:t>
            </w:r>
          </w:p>
        </w:tc>
        <w:tc>
          <w:tcPr>
            <w:tcW w:w="5103" w:type="dxa"/>
            <w:tcBorders>
              <w:top w:val="dotted" w:sz="4" w:space="0" w:color="auto"/>
            </w:tcBorders>
            <w:shd w:val="clear" w:color="auto" w:fill="8DB3E2"/>
          </w:tcPr>
          <w:p w:rsidR="00A33CE1" w:rsidRPr="00A33CE1" w:rsidRDefault="00A33CE1" w:rsidP="00A33CE1">
            <w:pPr>
              <w:spacing w:after="0" w:line="240" w:lineRule="auto"/>
              <w:rPr>
                <w:rFonts w:eastAsia="MS ??" w:cs="Times New Roman"/>
                <w:sz w:val="18"/>
              </w:rPr>
            </w:pPr>
            <w:r w:rsidRPr="00A33CE1">
              <w:rPr>
                <w:rFonts w:eastAsia="MS ??" w:cs="Times New Roman"/>
                <w:b/>
                <w:sz w:val="18"/>
              </w:rPr>
              <w:t>Progress Update</w:t>
            </w:r>
          </w:p>
        </w:tc>
        <w:tc>
          <w:tcPr>
            <w:tcW w:w="1276" w:type="dxa"/>
            <w:tcBorders>
              <w:top w:val="dotted" w:sz="4" w:space="0" w:color="auto"/>
            </w:tcBorders>
            <w:shd w:val="clear" w:color="auto" w:fill="8DB3E2"/>
          </w:tcPr>
          <w:p w:rsidR="00A33CE1" w:rsidRPr="00A33CE1" w:rsidRDefault="00A33CE1" w:rsidP="00A33CE1">
            <w:pPr>
              <w:spacing w:after="0" w:line="240" w:lineRule="auto"/>
              <w:rPr>
                <w:rFonts w:eastAsia="MS ??" w:cs="Times New Roman"/>
                <w:b/>
                <w:sz w:val="18"/>
              </w:rPr>
            </w:pPr>
            <w:r w:rsidRPr="00A33CE1">
              <w:rPr>
                <w:rFonts w:eastAsia="MS ??" w:cs="Times New Roman"/>
                <w:b/>
                <w:sz w:val="18"/>
              </w:rPr>
              <w:t>Reported Through</w:t>
            </w:r>
          </w:p>
        </w:tc>
      </w:tr>
      <w:tr w:rsidR="00A33CE1" w:rsidRPr="00A33CE1" w:rsidTr="000B2F98">
        <w:tc>
          <w:tcPr>
            <w:tcW w:w="13453" w:type="dxa"/>
            <w:gridSpan w:val="7"/>
            <w:shd w:val="clear" w:color="auto" w:fill="D9D9D9"/>
            <w:vAlign w:val="center"/>
          </w:tcPr>
          <w:p w:rsidR="00A33CE1" w:rsidRPr="00A33CE1" w:rsidRDefault="00A33CE1" w:rsidP="00A33CE1">
            <w:pPr>
              <w:spacing w:after="0" w:line="240" w:lineRule="auto"/>
              <w:rPr>
                <w:rFonts w:eastAsia="MS ??" w:cs="Times New Roman"/>
                <w:b/>
                <w:sz w:val="20"/>
                <w:szCs w:val="20"/>
              </w:rPr>
            </w:pPr>
            <w:r w:rsidRPr="00A33CE1">
              <w:rPr>
                <w:rFonts w:eastAsia="MS ??" w:cs="Times New Roman"/>
                <w:b/>
                <w:sz w:val="20"/>
                <w:szCs w:val="20"/>
              </w:rPr>
              <w:t>FUNDING OF OPERATIONAL ACTIVITIES FOR DEVELOPMENT</w:t>
            </w:r>
          </w:p>
        </w:tc>
      </w:tr>
      <w:tr w:rsidR="00A33CE1" w:rsidRPr="00A33CE1" w:rsidTr="000B2F98">
        <w:tc>
          <w:tcPr>
            <w:tcW w:w="655" w:type="dxa"/>
            <w:tcBorders>
              <w:right w:val="nil"/>
            </w:tcBorders>
          </w:tcPr>
          <w:p w:rsidR="00A33CE1" w:rsidRPr="00A33CE1" w:rsidRDefault="00A33CE1" w:rsidP="00A33CE1">
            <w:pPr>
              <w:spacing w:before="1" w:after="0" w:line="240" w:lineRule="auto"/>
              <w:rPr>
                <w:rFonts w:eastAsia="MS ??" w:cs="Times New Roman"/>
                <w:sz w:val="18"/>
                <w:szCs w:val="18"/>
              </w:rPr>
            </w:pPr>
            <w:r w:rsidRPr="00A33CE1">
              <w:rPr>
                <w:rFonts w:eastAsia="MS ??" w:cs="Times New Roman"/>
                <w:sz w:val="18"/>
                <w:szCs w:val="18"/>
              </w:rPr>
              <w:t>12</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tcPr>
          <w:p w:rsidR="00A33CE1" w:rsidRPr="00A33CE1" w:rsidRDefault="00A33CE1" w:rsidP="00A33CE1">
            <w:pPr>
              <w:spacing w:after="0" w:line="240" w:lineRule="auto"/>
              <w:rPr>
                <w:rFonts w:eastAsia="MS ??" w:cs="Calibri"/>
                <w:sz w:val="18"/>
                <w:szCs w:val="18"/>
                <w:lang w:eastAsia="en-GB"/>
              </w:rPr>
            </w:pPr>
            <w:r w:rsidRPr="00A33CE1">
              <w:rPr>
                <w:rFonts w:eastAsia="MS ??" w:cs="Calibri"/>
                <w:sz w:val="18"/>
                <w:szCs w:val="18"/>
                <w:lang w:eastAsia="en-GB"/>
              </w:rPr>
              <w:t>35</w:t>
            </w: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of UN entities reporting to their governing bodies in 2014 on concrete measures to broaden the donor base.</w:t>
            </w:r>
          </w:p>
        </w:tc>
        <w:tc>
          <w:tcPr>
            <w:tcW w:w="1275" w:type="dxa"/>
          </w:tcPr>
          <w:p w:rsidR="00A33CE1" w:rsidRPr="00A33CE1" w:rsidRDefault="00A33CE1" w:rsidP="00A33CE1">
            <w:pPr>
              <w:spacing w:after="0" w:line="240" w:lineRule="auto"/>
              <w:rPr>
                <w:rFonts w:eastAsia="MS ??" w:cs="Times New Roman"/>
                <w:b/>
                <w:color w:val="FFC000"/>
                <w:sz w:val="18"/>
                <w:szCs w:val="18"/>
              </w:rPr>
            </w:pPr>
            <w:r w:rsidRPr="00A33CE1">
              <w:rPr>
                <w:rFonts w:eastAsia="MS ??" w:cs="Times New Roman"/>
                <w:b/>
                <w:color w:val="FFC000"/>
                <w:sz w:val="18"/>
                <w:szCs w:val="18"/>
              </w:rPr>
              <w:t>In Progress</w:t>
            </w:r>
          </w:p>
          <w:p w:rsidR="00A33CE1" w:rsidRPr="00A33CE1" w:rsidRDefault="00A33CE1" w:rsidP="00A33CE1">
            <w:pPr>
              <w:spacing w:after="0" w:line="240" w:lineRule="auto"/>
              <w:rPr>
                <w:rFonts w:eastAsia="MS ??" w:cs="Times New Roman"/>
                <w:sz w:val="18"/>
                <w:szCs w:val="18"/>
              </w:rPr>
            </w:pPr>
          </w:p>
        </w:tc>
        <w:tc>
          <w:tcPr>
            <w:tcW w:w="5103" w:type="dxa"/>
          </w:tcPr>
          <w:p w:rsidR="00A33CE1" w:rsidRPr="00A33CE1" w:rsidRDefault="00A33CE1" w:rsidP="00A33CE1">
            <w:pPr>
              <w:spacing w:after="0" w:line="240" w:lineRule="auto"/>
              <w:rPr>
                <w:rFonts w:eastAsia="MS Mincho" w:cs="Times New Roman"/>
                <w:sz w:val="18"/>
                <w:szCs w:val="18"/>
              </w:rPr>
            </w:pPr>
            <w:r w:rsidRPr="00A33CE1">
              <w:rPr>
                <w:rFonts w:eastAsia="MS ??" w:cs="Times New Roman"/>
                <w:sz w:val="18"/>
                <w:szCs w:val="18"/>
              </w:rPr>
              <w:t xml:space="preserve">UNDP funding from programme countries for local resources and third party contributions increased by 24% in 2013.  In addition, 56 member states contributed to UNDP regular resources in 2014 as compared to 50 in 2013.  UNDP will present a paper on “Status of regular and other funding to UNDP and its administered funds for 2014 and onward” to the EB in September 2014, outlining how  UNDP is delivering on its commitment in the Strategic Plan to increase the scale and effectiveness of its engagement in South-South and triangular cooperation and private sector partnerships. </w:t>
            </w:r>
          </w:p>
        </w:tc>
        <w:tc>
          <w:tcPr>
            <w:tcW w:w="1276"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Annual Report</w:t>
            </w:r>
          </w:p>
        </w:tc>
      </w:tr>
      <w:tr w:rsidR="00A33CE1" w:rsidRPr="00A33CE1" w:rsidTr="000B2F98">
        <w:tc>
          <w:tcPr>
            <w:tcW w:w="655" w:type="dxa"/>
            <w:tcBorders>
              <w:right w:val="nil"/>
            </w:tcBorders>
            <w:vAlign w:val="center"/>
          </w:tcPr>
          <w:p w:rsidR="00A33CE1" w:rsidRPr="00A33CE1" w:rsidRDefault="00A33CE1" w:rsidP="00A33CE1">
            <w:pPr>
              <w:spacing w:before="1" w:after="0" w:line="240" w:lineRule="auto"/>
              <w:rPr>
                <w:rFonts w:eastAsia="MS ??" w:cs="Times New Roman"/>
                <w:sz w:val="18"/>
                <w:szCs w:val="18"/>
              </w:rPr>
            </w:pPr>
            <w:r w:rsidRPr="00A33CE1">
              <w:rPr>
                <w:rFonts w:eastAsia="MS ??" w:cs="Times New Roman"/>
                <w:sz w:val="18"/>
                <w:szCs w:val="18"/>
              </w:rPr>
              <w:t>(not in S-G’s framework)</w:t>
            </w:r>
          </w:p>
        </w:tc>
        <w:tc>
          <w:tcPr>
            <w:tcW w:w="78" w:type="dxa"/>
            <w:tcBorders>
              <w:left w:val="nil"/>
            </w:tcBorders>
            <w:vAlign w:val="center"/>
          </w:tcPr>
          <w:p w:rsidR="00A33CE1" w:rsidRPr="00A33CE1" w:rsidRDefault="00A33CE1" w:rsidP="00A33CE1">
            <w:pPr>
              <w:spacing w:after="0" w:line="240" w:lineRule="auto"/>
              <w:rPr>
                <w:rFonts w:eastAsia="MS ??" w:cs="Times New Roman"/>
                <w:sz w:val="18"/>
                <w:szCs w:val="18"/>
              </w:rPr>
            </w:pPr>
          </w:p>
        </w:tc>
        <w:tc>
          <w:tcPr>
            <w:tcW w:w="707" w:type="dxa"/>
            <w:vAlign w:val="center"/>
          </w:tcPr>
          <w:p w:rsidR="00A33CE1" w:rsidRPr="00A33CE1" w:rsidRDefault="00A33CE1" w:rsidP="00A33CE1">
            <w:pPr>
              <w:spacing w:after="0" w:line="240" w:lineRule="auto"/>
              <w:rPr>
                <w:rFonts w:eastAsia="MS ??" w:cs="Calibri"/>
                <w:sz w:val="18"/>
                <w:szCs w:val="18"/>
                <w:lang w:eastAsia="en-GB"/>
              </w:rPr>
            </w:pPr>
            <w:r w:rsidRPr="00A33CE1">
              <w:rPr>
                <w:rFonts w:eastAsia="MS ??" w:cs="Calibri"/>
                <w:sz w:val="18"/>
                <w:szCs w:val="18"/>
                <w:lang w:eastAsia="en-GB"/>
              </w:rPr>
              <w:t xml:space="preserve">36 </w:t>
            </w: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Mincho" w:cs="Times New Roman"/>
                <w:sz w:val="18"/>
                <w:szCs w:val="18"/>
              </w:rPr>
              <w:t>Provide information on efforts made in communicating to the general public in annual reports</w:t>
            </w:r>
          </w:p>
        </w:tc>
        <w:tc>
          <w:tcPr>
            <w:tcW w:w="1275" w:type="dxa"/>
          </w:tcPr>
          <w:p w:rsidR="00A33CE1" w:rsidRPr="00A33CE1" w:rsidRDefault="00A33CE1" w:rsidP="00A33CE1">
            <w:pPr>
              <w:spacing w:after="0" w:line="240" w:lineRule="auto"/>
              <w:rPr>
                <w:rFonts w:eastAsia="MS ??" w:cs="Times New Roman"/>
                <w:b/>
                <w:color w:val="FFC000"/>
                <w:sz w:val="18"/>
                <w:szCs w:val="18"/>
              </w:rPr>
            </w:pPr>
            <w:r w:rsidRPr="00A33CE1">
              <w:rPr>
                <w:rFonts w:eastAsia="MS ??" w:cs="Times New Roman"/>
                <w:b/>
                <w:color w:val="00B050"/>
                <w:sz w:val="18"/>
                <w:szCs w:val="18"/>
              </w:rPr>
              <w:t>Ongoing</w:t>
            </w:r>
          </w:p>
          <w:p w:rsidR="00A33CE1" w:rsidRPr="00A33CE1" w:rsidRDefault="00A33CE1" w:rsidP="00A33CE1">
            <w:pPr>
              <w:spacing w:after="0" w:line="240" w:lineRule="auto"/>
              <w:rPr>
                <w:rFonts w:eastAsia="MS ??" w:cs="Times New Roman"/>
                <w:b/>
                <w:color w:val="FFC000"/>
                <w:sz w:val="18"/>
                <w:szCs w:val="18"/>
              </w:rPr>
            </w:pPr>
          </w:p>
        </w:tc>
        <w:tc>
          <w:tcPr>
            <w:tcW w:w="5103"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xml:space="preserve">UNDP has updated its information disclosure policy, quarterly information on projects is now posted online, an Illustrated Annual Report is completed each year, results factsheets are produced on an on-going basis and several films and web stories for the general public have been completed and are being produced on an on-going basis. </w:t>
            </w:r>
          </w:p>
          <w:p w:rsidR="00A33CE1" w:rsidRPr="00A33CE1" w:rsidRDefault="00A33CE1" w:rsidP="00A33CE1">
            <w:pPr>
              <w:spacing w:after="0" w:line="240" w:lineRule="auto"/>
              <w:rPr>
                <w:rFonts w:eastAsia="MS Mincho" w:cs="Times New Roman"/>
                <w:sz w:val="18"/>
                <w:szCs w:val="18"/>
                <w:lang w:val="en-GB"/>
              </w:rPr>
            </w:pPr>
          </w:p>
          <w:p w:rsidR="00A33CE1" w:rsidRPr="00A33CE1" w:rsidRDefault="00A33CE1" w:rsidP="00A33CE1">
            <w:pPr>
              <w:spacing w:after="0" w:line="240" w:lineRule="auto"/>
              <w:rPr>
                <w:rFonts w:eastAsia="MS ??" w:cs="Times New Roman"/>
                <w:sz w:val="18"/>
                <w:szCs w:val="18"/>
              </w:rPr>
            </w:pPr>
            <w:r w:rsidRPr="00A33CE1">
              <w:rPr>
                <w:rFonts w:eastAsia="MS Mincho" w:cs="Times New Roman"/>
                <w:sz w:val="18"/>
                <w:szCs w:val="18"/>
                <w:lang w:val="en-GB"/>
              </w:rPr>
              <w:t>As</w:t>
            </w:r>
            <w:r w:rsidRPr="00A33CE1">
              <w:rPr>
                <w:rFonts w:eastAsia="MS ??" w:cs="Times New Roman"/>
                <w:sz w:val="18"/>
                <w:szCs w:val="18"/>
              </w:rPr>
              <w:t xml:space="preserve"> part of its transparency and openness agenda and in line with requirements of the IATI, UNDP significantly expanded the set of data and information about its activities published at its portal, </w:t>
            </w:r>
            <w:hyperlink r:id="rId17" w:history="1">
              <w:r w:rsidRPr="00A33CE1">
                <w:rPr>
                  <w:rFonts w:eastAsia="MS ??" w:cs="Times New Roman"/>
                  <w:sz w:val="18"/>
                  <w:szCs w:val="18"/>
                </w:rPr>
                <w:t>http://open.undp.org</w:t>
              </w:r>
            </w:hyperlink>
            <w:r w:rsidRPr="00A33CE1">
              <w:rPr>
                <w:rFonts w:eastAsia="MS ??" w:cs="Times New Roman"/>
                <w:sz w:val="18"/>
                <w:szCs w:val="18"/>
              </w:rPr>
              <w:t>. In 2013, UNDP increased its ranking from tenth to fourth place in the Publish What You Fund Aid Transparency Index.</w:t>
            </w:r>
          </w:p>
        </w:tc>
        <w:tc>
          <w:tcPr>
            <w:tcW w:w="1276" w:type="dxa"/>
          </w:tcPr>
          <w:p w:rsidR="00A33CE1" w:rsidRPr="00A33CE1" w:rsidRDefault="00A33CE1" w:rsidP="00A33CE1">
            <w:pPr>
              <w:spacing w:after="0" w:line="240" w:lineRule="auto"/>
              <w:rPr>
                <w:rFonts w:eastAsia="MS ??" w:cs="Times New Roman"/>
                <w:sz w:val="18"/>
                <w:szCs w:val="18"/>
              </w:rPr>
            </w:pPr>
            <w:r w:rsidRPr="00A33CE1">
              <w:rPr>
                <w:rFonts w:eastAsia="MS Mincho" w:cs="Times New Roman"/>
                <w:sz w:val="18"/>
                <w:szCs w:val="18"/>
                <w:lang w:val="en-GB"/>
              </w:rPr>
              <w:t xml:space="preserve">Annual Report </w:t>
            </w:r>
          </w:p>
        </w:tc>
      </w:tr>
      <w:tr w:rsidR="00A33CE1" w:rsidRPr="00A33CE1" w:rsidTr="000B2F98">
        <w:tc>
          <w:tcPr>
            <w:tcW w:w="655" w:type="dxa"/>
            <w:tcBorders>
              <w:right w:val="nil"/>
            </w:tcBorders>
            <w:vAlign w:val="center"/>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13</w:t>
            </w:r>
          </w:p>
        </w:tc>
        <w:tc>
          <w:tcPr>
            <w:tcW w:w="78" w:type="dxa"/>
            <w:tcBorders>
              <w:left w:val="nil"/>
            </w:tcBorders>
            <w:vAlign w:val="center"/>
          </w:tcPr>
          <w:p w:rsidR="00A33CE1" w:rsidRPr="00A33CE1" w:rsidRDefault="00A33CE1" w:rsidP="00A33CE1">
            <w:pPr>
              <w:spacing w:after="0" w:line="240" w:lineRule="auto"/>
              <w:rPr>
                <w:rFonts w:eastAsia="MS ??" w:cs="Times New Roman"/>
                <w:sz w:val="18"/>
                <w:szCs w:val="18"/>
              </w:rPr>
            </w:pPr>
          </w:p>
        </w:tc>
        <w:tc>
          <w:tcPr>
            <w:tcW w:w="707" w:type="dxa"/>
            <w:vAlign w:val="center"/>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39</w:t>
            </w: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of UN funds and programmes that defined common principles for the concept of critical mass of core resources by 2014</w:t>
            </w:r>
          </w:p>
        </w:tc>
        <w:tc>
          <w:tcPr>
            <w:tcW w:w="1275" w:type="dxa"/>
            <w:vMerge w:val="restart"/>
          </w:tcPr>
          <w:p w:rsidR="00A33CE1" w:rsidRPr="00A33CE1" w:rsidRDefault="00A33CE1" w:rsidP="00A33CE1">
            <w:pPr>
              <w:spacing w:after="0" w:line="240" w:lineRule="auto"/>
              <w:rPr>
                <w:rFonts w:eastAsia="MS ??" w:cs="Times New Roman"/>
                <w:b/>
                <w:color w:val="FFC000"/>
                <w:sz w:val="18"/>
                <w:szCs w:val="18"/>
              </w:rPr>
            </w:pPr>
            <w:r w:rsidRPr="00A33CE1">
              <w:rPr>
                <w:rFonts w:eastAsia="MS ??" w:cs="Times New Roman"/>
                <w:b/>
                <w:color w:val="FFC000"/>
                <w:sz w:val="18"/>
                <w:szCs w:val="18"/>
              </w:rPr>
              <w:t>In Progress</w:t>
            </w:r>
          </w:p>
          <w:p w:rsidR="00A33CE1" w:rsidRPr="00A33CE1" w:rsidRDefault="00A33CE1" w:rsidP="00A33CE1">
            <w:pPr>
              <w:spacing w:after="0" w:line="240" w:lineRule="auto"/>
              <w:rPr>
                <w:rFonts w:eastAsia="MS ??" w:cs="Times New Roman"/>
                <w:sz w:val="18"/>
                <w:szCs w:val="18"/>
              </w:rPr>
            </w:pPr>
          </w:p>
        </w:tc>
        <w:tc>
          <w:tcPr>
            <w:tcW w:w="5103" w:type="dxa"/>
            <w:vMerge w:val="restart"/>
          </w:tcPr>
          <w:p w:rsidR="00A33CE1" w:rsidRPr="00A33CE1" w:rsidRDefault="00A33CE1" w:rsidP="00B715EA">
            <w:pPr>
              <w:spacing w:after="0" w:line="240" w:lineRule="auto"/>
              <w:rPr>
                <w:rFonts w:eastAsia="MS ??" w:cs="Times New Roman"/>
                <w:sz w:val="18"/>
                <w:szCs w:val="18"/>
              </w:rPr>
            </w:pPr>
            <w:r w:rsidRPr="00A33CE1">
              <w:rPr>
                <w:rFonts w:eastAsia="MS ??" w:cs="Times New Roman"/>
                <w:sz w:val="18"/>
                <w:szCs w:val="18"/>
              </w:rPr>
              <w:t>UNDP has been engaging with EB members on how best to resource UNDP’s 2014-2017 Strategic Plan.  UNDP held several meetings with EB regional groups, the EB Bureau and EB members on all funding issues including, but not restricted to, critical mass of core resources and structured dialogues on financing development results, emphasizing predictable, flexible and quality funding, aligned to Strategic Plan outcomes.  On May 8, UNDP held a workshop on the Strategic Plan 2014-2017 funding issues.  Additional workshops will be organized in 2014.</w:t>
            </w:r>
            <w:r w:rsidR="00B715EA">
              <w:rPr>
                <w:rFonts w:eastAsia="MS ??" w:cs="Times New Roman"/>
                <w:sz w:val="18"/>
                <w:szCs w:val="18"/>
              </w:rPr>
              <w:t xml:space="preserve">  A paper on critical mass is scheduled to go to UNDP’s Executive Board at its second regular session in September 2014.</w:t>
            </w:r>
          </w:p>
        </w:tc>
        <w:tc>
          <w:tcPr>
            <w:tcW w:w="1276" w:type="dxa"/>
            <w:vMerge w:val="restart"/>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Annual Report</w:t>
            </w:r>
          </w:p>
        </w:tc>
      </w:tr>
      <w:tr w:rsidR="00A33CE1" w:rsidRPr="00A33CE1" w:rsidTr="000B2F98">
        <w:tc>
          <w:tcPr>
            <w:tcW w:w="655" w:type="dxa"/>
            <w:tcBorders>
              <w:right w:val="nil"/>
            </w:tcBorders>
            <w:vAlign w:val="center"/>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17</w:t>
            </w:r>
          </w:p>
        </w:tc>
        <w:tc>
          <w:tcPr>
            <w:tcW w:w="78" w:type="dxa"/>
            <w:tcBorders>
              <w:left w:val="nil"/>
            </w:tcBorders>
            <w:vAlign w:val="center"/>
          </w:tcPr>
          <w:p w:rsidR="00A33CE1" w:rsidRPr="00A33CE1" w:rsidRDefault="00A33CE1" w:rsidP="00A33CE1">
            <w:pPr>
              <w:spacing w:after="0" w:line="240" w:lineRule="auto"/>
              <w:rPr>
                <w:rFonts w:eastAsia="MS ??" w:cs="Times New Roman"/>
                <w:sz w:val="18"/>
                <w:szCs w:val="18"/>
              </w:rPr>
            </w:pPr>
          </w:p>
        </w:tc>
        <w:tc>
          <w:tcPr>
            <w:tcW w:w="707" w:type="dxa"/>
            <w:vAlign w:val="center"/>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46</w:t>
            </w: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of UN entities that held structured dialogues in their respective governing bodies during 2014 on how to finance the development results agreed in the new strategic planning cycle.</w:t>
            </w:r>
          </w:p>
        </w:tc>
        <w:tc>
          <w:tcPr>
            <w:tcW w:w="1275" w:type="dxa"/>
            <w:vMerge/>
          </w:tcPr>
          <w:p w:rsidR="00A33CE1" w:rsidRPr="00A33CE1" w:rsidRDefault="00A33CE1" w:rsidP="00A33CE1">
            <w:pPr>
              <w:spacing w:after="0" w:line="240" w:lineRule="auto"/>
              <w:rPr>
                <w:rFonts w:eastAsia="MS ??" w:cs="Times New Roman"/>
                <w:sz w:val="18"/>
                <w:szCs w:val="18"/>
              </w:rPr>
            </w:pPr>
          </w:p>
        </w:tc>
        <w:tc>
          <w:tcPr>
            <w:tcW w:w="5103" w:type="dxa"/>
            <w:vMerge/>
          </w:tcPr>
          <w:p w:rsidR="00A33CE1" w:rsidRPr="00A33CE1" w:rsidRDefault="00A33CE1" w:rsidP="00A33CE1">
            <w:pPr>
              <w:spacing w:after="0" w:line="240" w:lineRule="auto"/>
              <w:rPr>
                <w:rFonts w:eastAsia="MS ??" w:cs="Times New Roman"/>
                <w:sz w:val="18"/>
                <w:szCs w:val="18"/>
              </w:rPr>
            </w:pPr>
          </w:p>
        </w:tc>
        <w:tc>
          <w:tcPr>
            <w:tcW w:w="1276" w:type="dxa"/>
            <w:vMerge/>
          </w:tcPr>
          <w:p w:rsidR="00A33CE1" w:rsidRPr="00A33CE1" w:rsidRDefault="00A33CE1" w:rsidP="00A33CE1">
            <w:pPr>
              <w:spacing w:after="0" w:line="240" w:lineRule="auto"/>
              <w:rPr>
                <w:rFonts w:eastAsia="MS ??" w:cs="Times New Roman"/>
                <w:sz w:val="18"/>
                <w:szCs w:val="18"/>
              </w:rPr>
            </w:pPr>
          </w:p>
        </w:tc>
      </w:tr>
      <w:tr w:rsidR="00A33CE1" w:rsidRPr="00A33CE1" w:rsidTr="000B2F98">
        <w:tc>
          <w:tcPr>
            <w:tcW w:w="733" w:type="dxa"/>
            <w:gridSpan w:val="2"/>
            <w:vAlign w:val="center"/>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14</w:t>
            </w:r>
          </w:p>
        </w:tc>
        <w:tc>
          <w:tcPr>
            <w:tcW w:w="707" w:type="dxa"/>
            <w:vAlign w:val="center"/>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41</w:t>
            </w: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of UN entities consolidating all projected core and non-core resources within an integrated budgetary framework.</w:t>
            </w:r>
          </w:p>
        </w:tc>
        <w:tc>
          <w:tcPr>
            <w:tcW w:w="1275" w:type="dxa"/>
          </w:tcPr>
          <w:p w:rsidR="00A33CE1" w:rsidRPr="00A33CE1" w:rsidRDefault="00A33CE1" w:rsidP="00A33CE1">
            <w:pPr>
              <w:spacing w:after="0" w:line="240" w:lineRule="auto"/>
              <w:rPr>
                <w:rFonts w:eastAsia="MS ??" w:cs="Times New Roman"/>
                <w:b/>
                <w:color w:val="00B050"/>
                <w:sz w:val="18"/>
                <w:szCs w:val="18"/>
              </w:rPr>
            </w:pPr>
            <w:r w:rsidRPr="00A33CE1">
              <w:rPr>
                <w:rFonts w:eastAsia="MS ??" w:cs="Times New Roman"/>
                <w:b/>
                <w:color w:val="00B050"/>
                <w:sz w:val="18"/>
                <w:szCs w:val="18"/>
              </w:rPr>
              <w:t>Achieved</w:t>
            </w:r>
          </w:p>
          <w:p w:rsidR="00A33CE1" w:rsidRPr="00A33CE1" w:rsidRDefault="00A33CE1" w:rsidP="00A33CE1">
            <w:pPr>
              <w:spacing w:after="0" w:line="240" w:lineRule="auto"/>
              <w:rPr>
                <w:rFonts w:eastAsia="MS ??" w:cs="Times New Roman"/>
                <w:sz w:val="18"/>
                <w:szCs w:val="18"/>
              </w:rPr>
            </w:pPr>
          </w:p>
        </w:tc>
        <w:tc>
          <w:tcPr>
            <w:tcW w:w="5103" w:type="dxa"/>
          </w:tcPr>
          <w:p w:rsidR="00A33CE1" w:rsidRPr="00A33CE1" w:rsidRDefault="00A33CE1" w:rsidP="00A33CE1">
            <w:pPr>
              <w:spacing w:after="0" w:line="240" w:lineRule="auto"/>
              <w:rPr>
                <w:rFonts w:eastAsia="MS Mincho" w:cs="Times New Roman"/>
                <w:sz w:val="18"/>
                <w:szCs w:val="18"/>
              </w:rPr>
            </w:pPr>
            <w:r w:rsidRPr="00A33CE1">
              <w:rPr>
                <w:rFonts w:eastAsia="MS ??" w:cs="Times New Roman"/>
                <w:sz w:val="18"/>
                <w:szCs w:val="18"/>
              </w:rPr>
              <w:t>At the second regular session of 2013, the Executive Board approved for the first time a UNDP integrated budget, in line with the QCPR directives on aligning programming and resources. Continuing efforts to ensure high-quality financial management resulted in the clean audit opinion from the United Nations Board of Auditors on the UNDP 2012 financial statements, the first to comply with the International Public Sector Accounting Standards.</w:t>
            </w:r>
            <w:r w:rsidRPr="00A33CE1">
              <w:rPr>
                <w:rFonts w:eastAsia="MS Mincho" w:cs="Times New Roman"/>
                <w:sz w:val="18"/>
                <w:szCs w:val="18"/>
                <w:lang w:val="en-GB"/>
              </w:rPr>
              <w:t xml:space="preserve"> </w:t>
            </w:r>
          </w:p>
        </w:tc>
        <w:tc>
          <w:tcPr>
            <w:tcW w:w="1276"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Annual Report IRRF</w:t>
            </w:r>
          </w:p>
        </w:tc>
      </w:tr>
      <w:tr w:rsidR="00A33CE1" w:rsidRPr="00A33CE1" w:rsidTr="000B2F98">
        <w:trPr>
          <w:trHeight w:val="260"/>
        </w:trPr>
        <w:tc>
          <w:tcPr>
            <w:tcW w:w="655" w:type="dxa"/>
            <w:tcBorders>
              <w:right w:val="nil"/>
            </w:tcBorders>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18a</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vMerge w:val="restart"/>
            <w:vAlign w:val="center"/>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xml:space="preserve">10, 11, </w:t>
            </w:r>
            <w:r w:rsidRPr="00A33CE1">
              <w:rPr>
                <w:rFonts w:eastAsia="MS ??" w:cs="Times New Roman"/>
                <w:sz w:val="18"/>
                <w:szCs w:val="18"/>
              </w:rPr>
              <w:lastRenderedPageBreak/>
              <w:t>13, 19, 30</w:t>
            </w: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lastRenderedPageBreak/>
              <w:t xml:space="preserve">% share of core country-level programme expenditures </w:t>
            </w:r>
            <w:r w:rsidRPr="00A33CE1">
              <w:rPr>
                <w:rFonts w:eastAsia="MS ??" w:cs="Times New Roman"/>
                <w:sz w:val="18"/>
                <w:szCs w:val="18"/>
              </w:rPr>
              <w:lastRenderedPageBreak/>
              <w:t>spent in Least Developed Countries (excluding local resources).</w:t>
            </w:r>
          </w:p>
        </w:tc>
        <w:tc>
          <w:tcPr>
            <w:tcW w:w="1275" w:type="dxa"/>
            <w:vMerge w:val="restart"/>
            <w:vAlign w:val="center"/>
          </w:tcPr>
          <w:p w:rsidR="00A33CE1" w:rsidRPr="00A33CE1" w:rsidRDefault="00A33CE1" w:rsidP="00A33CE1">
            <w:pPr>
              <w:spacing w:after="0" w:line="240" w:lineRule="auto"/>
              <w:rPr>
                <w:rFonts w:eastAsia="MS ??" w:cs="Times New Roman"/>
                <w:b/>
                <w:color w:val="FFC000"/>
                <w:sz w:val="18"/>
                <w:szCs w:val="18"/>
              </w:rPr>
            </w:pPr>
          </w:p>
          <w:p w:rsidR="00A33CE1" w:rsidRPr="00A33CE1" w:rsidRDefault="00A33CE1" w:rsidP="00A33CE1">
            <w:pPr>
              <w:spacing w:after="0" w:line="240" w:lineRule="auto"/>
              <w:rPr>
                <w:rFonts w:eastAsia="MS ??" w:cs="Times New Roman"/>
                <w:sz w:val="18"/>
                <w:szCs w:val="18"/>
              </w:rPr>
            </w:pPr>
            <w:r w:rsidRPr="00A33CE1">
              <w:rPr>
                <w:rFonts w:eastAsia="MS ??" w:cs="Times New Roman"/>
                <w:b/>
                <w:color w:val="FFC000"/>
                <w:sz w:val="18"/>
                <w:szCs w:val="18"/>
              </w:rPr>
              <w:lastRenderedPageBreak/>
              <w:t>Ongoing</w:t>
            </w:r>
          </w:p>
        </w:tc>
        <w:tc>
          <w:tcPr>
            <w:tcW w:w="5103" w:type="dxa"/>
            <w:vMerge w:val="restart"/>
            <w:vAlign w:val="center"/>
          </w:tcPr>
          <w:p w:rsidR="00A33CE1" w:rsidRPr="00A33CE1" w:rsidRDefault="00A33CE1" w:rsidP="00A33CE1">
            <w:pPr>
              <w:numPr>
                <w:ilvl w:val="0"/>
                <w:numId w:val="42"/>
              </w:numPr>
              <w:spacing w:after="0" w:line="240" w:lineRule="auto"/>
              <w:contextualSpacing/>
              <w:rPr>
                <w:rFonts w:eastAsia="MS Mincho" w:cs="Times New Roman"/>
                <w:sz w:val="18"/>
                <w:szCs w:val="18"/>
                <w:lang w:val="en-GB" w:eastAsia="en-GB"/>
              </w:rPr>
            </w:pPr>
            <w:r w:rsidRPr="00A33CE1">
              <w:rPr>
                <w:rFonts w:eastAsia="MS Mincho" w:cs="Times New Roman"/>
                <w:sz w:val="18"/>
                <w:szCs w:val="18"/>
                <w:lang w:val="en-GB" w:eastAsia="en-GB"/>
              </w:rPr>
              <w:lastRenderedPageBreak/>
              <w:t>52% (2013)</w:t>
            </w:r>
          </w:p>
          <w:p w:rsidR="00A33CE1" w:rsidRPr="00A33CE1" w:rsidRDefault="00A33CE1" w:rsidP="00A33CE1">
            <w:pPr>
              <w:spacing w:after="0"/>
              <w:rPr>
                <w:rFonts w:eastAsia="MS Mincho" w:cs="Times New Roman"/>
                <w:sz w:val="18"/>
                <w:szCs w:val="18"/>
                <w:lang w:val="en-GB"/>
              </w:rPr>
            </w:pPr>
          </w:p>
          <w:p w:rsidR="00A33CE1" w:rsidRPr="00A33CE1" w:rsidRDefault="00A33CE1" w:rsidP="00A33CE1">
            <w:pPr>
              <w:spacing w:after="0"/>
              <w:rPr>
                <w:rFonts w:eastAsia="MS Mincho" w:cs="Times New Roman"/>
                <w:sz w:val="18"/>
                <w:szCs w:val="18"/>
                <w:lang w:val="en-GB"/>
              </w:rPr>
            </w:pPr>
          </w:p>
          <w:p w:rsidR="00A33CE1" w:rsidRPr="00A33CE1" w:rsidRDefault="00A33CE1" w:rsidP="00A33CE1">
            <w:pPr>
              <w:numPr>
                <w:ilvl w:val="0"/>
                <w:numId w:val="42"/>
              </w:numPr>
              <w:spacing w:after="0" w:line="240" w:lineRule="auto"/>
              <w:contextualSpacing/>
              <w:rPr>
                <w:rFonts w:eastAsia="MS ??" w:cs="Times New Roman"/>
                <w:sz w:val="18"/>
                <w:szCs w:val="18"/>
                <w:lang w:eastAsia="en-GB"/>
              </w:rPr>
            </w:pPr>
            <w:r w:rsidRPr="00A33CE1">
              <w:rPr>
                <w:rFonts w:eastAsia="MS Mincho" w:cs="Times New Roman"/>
                <w:sz w:val="18"/>
                <w:szCs w:val="18"/>
                <w:lang w:val="en-GB" w:eastAsia="en-GB"/>
              </w:rPr>
              <w:t>54% (2013)</w:t>
            </w:r>
          </w:p>
        </w:tc>
        <w:tc>
          <w:tcPr>
            <w:tcW w:w="1276" w:type="dxa"/>
            <w:vMerge w:val="restart"/>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lastRenderedPageBreak/>
              <w:t>Annual Report</w:t>
            </w:r>
          </w:p>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lastRenderedPageBreak/>
              <w:t>S-G report</w:t>
            </w:r>
          </w:p>
        </w:tc>
      </w:tr>
      <w:tr w:rsidR="00A33CE1" w:rsidRPr="00A33CE1" w:rsidTr="000B2F98">
        <w:trPr>
          <w:trHeight w:val="259"/>
        </w:trPr>
        <w:tc>
          <w:tcPr>
            <w:tcW w:w="655" w:type="dxa"/>
            <w:tcBorders>
              <w:right w:val="nil"/>
            </w:tcBorders>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lastRenderedPageBreak/>
              <w:t>18b</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vMerge/>
          </w:tcPr>
          <w:p w:rsidR="00A33CE1" w:rsidRPr="00A33CE1" w:rsidRDefault="00A33CE1" w:rsidP="00A33CE1">
            <w:pPr>
              <w:spacing w:after="0" w:line="240" w:lineRule="auto"/>
              <w:rPr>
                <w:rFonts w:eastAsia="MS ??" w:cs="Times New Roman"/>
                <w:sz w:val="18"/>
                <w:szCs w:val="18"/>
              </w:rPr>
            </w:pP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share of total country-level programme expenditures spent in Least Developed Countries (excluding local resources).</w:t>
            </w:r>
          </w:p>
        </w:tc>
        <w:tc>
          <w:tcPr>
            <w:tcW w:w="1275" w:type="dxa"/>
            <w:vMerge/>
          </w:tcPr>
          <w:p w:rsidR="00A33CE1" w:rsidRPr="00A33CE1" w:rsidRDefault="00A33CE1" w:rsidP="00A33CE1">
            <w:pPr>
              <w:spacing w:after="0" w:line="240" w:lineRule="auto"/>
              <w:rPr>
                <w:rFonts w:eastAsia="MS ??" w:cs="Times New Roman"/>
                <w:sz w:val="18"/>
                <w:szCs w:val="18"/>
              </w:rPr>
            </w:pPr>
          </w:p>
        </w:tc>
        <w:tc>
          <w:tcPr>
            <w:tcW w:w="5103" w:type="dxa"/>
            <w:vMerge/>
          </w:tcPr>
          <w:p w:rsidR="00A33CE1" w:rsidRPr="00A33CE1" w:rsidRDefault="00A33CE1" w:rsidP="00A33CE1">
            <w:pPr>
              <w:spacing w:after="0" w:line="240" w:lineRule="auto"/>
              <w:rPr>
                <w:rFonts w:eastAsia="MS ??" w:cs="Times New Roman"/>
                <w:sz w:val="18"/>
                <w:szCs w:val="18"/>
              </w:rPr>
            </w:pPr>
          </w:p>
        </w:tc>
        <w:tc>
          <w:tcPr>
            <w:tcW w:w="1276" w:type="dxa"/>
            <w:vMerge/>
          </w:tcPr>
          <w:p w:rsidR="00A33CE1" w:rsidRPr="00A33CE1" w:rsidRDefault="00A33CE1" w:rsidP="00A33CE1">
            <w:pPr>
              <w:spacing w:after="0" w:line="240" w:lineRule="auto"/>
              <w:rPr>
                <w:rFonts w:eastAsia="MS ??" w:cs="Times New Roman"/>
                <w:sz w:val="18"/>
                <w:szCs w:val="18"/>
              </w:rPr>
            </w:pPr>
          </w:p>
        </w:tc>
      </w:tr>
      <w:tr w:rsidR="00A33CE1" w:rsidRPr="00A33CE1" w:rsidTr="000B2F98">
        <w:tc>
          <w:tcPr>
            <w:tcW w:w="655" w:type="dxa"/>
            <w:tcBorders>
              <w:right w:val="nil"/>
            </w:tcBorders>
            <w:vAlign w:val="center"/>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19</w:t>
            </w:r>
          </w:p>
        </w:tc>
        <w:tc>
          <w:tcPr>
            <w:tcW w:w="78" w:type="dxa"/>
            <w:tcBorders>
              <w:left w:val="nil"/>
            </w:tcBorders>
            <w:vAlign w:val="center"/>
          </w:tcPr>
          <w:p w:rsidR="00A33CE1" w:rsidRPr="00A33CE1" w:rsidRDefault="00A33CE1" w:rsidP="00A33CE1">
            <w:pPr>
              <w:spacing w:after="0" w:line="240" w:lineRule="auto"/>
              <w:rPr>
                <w:rFonts w:eastAsia="MS ??" w:cs="Times New Roman"/>
                <w:sz w:val="18"/>
                <w:szCs w:val="18"/>
              </w:rPr>
            </w:pPr>
          </w:p>
        </w:tc>
        <w:tc>
          <w:tcPr>
            <w:tcW w:w="707" w:type="dxa"/>
            <w:vAlign w:val="center"/>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47, 53</w:t>
            </w: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of UN entities that have adopted harmonized cost recovery frameworks by end of 2013.</w:t>
            </w:r>
          </w:p>
        </w:tc>
        <w:tc>
          <w:tcPr>
            <w:tcW w:w="1275" w:type="dxa"/>
          </w:tcPr>
          <w:p w:rsidR="00A33CE1" w:rsidRPr="00A33CE1" w:rsidRDefault="00A33CE1" w:rsidP="00A33CE1">
            <w:pPr>
              <w:spacing w:after="0" w:line="240" w:lineRule="auto"/>
              <w:rPr>
                <w:rFonts w:eastAsia="MS ??" w:cs="Times New Roman"/>
                <w:b/>
                <w:color w:val="00B050"/>
                <w:sz w:val="18"/>
                <w:szCs w:val="18"/>
              </w:rPr>
            </w:pPr>
            <w:r w:rsidRPr="00A33CE1">
              <w:rPr>
                <w:rFonts w:eastAsia="MS ??" w:cs="Times New Roman"/>
                <w:b/>
                <w:color w:val="00B050"/>
                <w:sz w:val="18"/>
                <w:szCs w:val="18"/>
              </w:rPr>
              <w:t>Achieved</w:t>
            </w:r>
          </w:p>
          <w:p w:rsidR="00A33CE1" w:rsidRPr="00A33CE1" w:rsidRDefault="00A33CE1" w:rsidP="00A33CE1">
            <w:pPr>
              <w:spacing w:after="0" w:line="240" w:lineRule="auto"/>
              <w:rPr>
                <w:rFonts w:eastAsia="MS ??" w:cs="Times New Roman"/>
                <w:sz w:val="18"/>
                <w:szCs w:val="18"/>
              </w:rPr>
            </w:pPr>
          </w:p>
        </w:tc>
        <w:tc>
          <w:tcPr>
            <w:tcW w:w="5103"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UNDP, UNICEF, UNFPA and UNWOMEN have harmonized their cost recovery practices and methodology in order to achieve ‘full cost recovery’ as mandated by the General Assembly’s QCPR resolution. (See EB documents DP/FPA/2012-1 &amp; DP/FPA/2013-1 and related EB decisions, DP/2013/10.</w:t>
            </w:r>
          </w:p>
        </w:tc>
        <w:tc>
          <w:tcPr>
            <w:tcW w:w="1276"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Annual Report</w:t>
            </w:r>
          </w:p>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S-G report</w:t>
            </w:r>
          </w:p>
        </w:tc>
      </w:tr>
      <w:tr w:rsidR="00A33CE1" w:rsidRPr="00A33CE1" w:rsidTr="000B2F98">
        <w:trPr>
          <w:trHeight w:val="394"/>
        </w:trPr>
        <w:tc>
          <w:tcPr>
            <w:tcW w:w="655" w:type="dxa"/>
            <w:tcBorders>
              <w:right w:val="nil"/>
            </w:tcBorders>
            <w:vAlign w:val="center"/>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20a</w:t>
            </w:r>
          </w:p>
        </w:tc>
        <w:tc>
          <w:tcPr>
            <w:tcW w:w="78" w:type="dxa"/>
            <w:tcBorders>
              <w:left w:val="nil"/>
            </w:tcBorders>
            <w:vAlign w:val="center"/>
          </w:tcPr>
          <w:p w:rsidR="00A33CE1" w:rsidRPr="00A33CE1" w:rsidRDefault="00A33CE1" w:rsidP="00A33CE1">
            <w:pPr>
              <w:spacing w:after="0" w:line="240" w:lineRule="auto"/>
              <w:rPr>
                <w:rFonts w:eastAsia="MS ??" w:cs="Times New Roman"/>
                <w:sz w:val="18"/>
                <w:szCs w:val="18"/>
              </w:rPr>
            </w:pPr>
          </w:p>
        </w:tc>
        <w:tc>
          <w:tcPr>
            <w:tcW w:w="707" w:type="dxa"/>
            <w:vMerge w:val="restart"/>
            <w:vAlign w:val="center"/>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43, 48, 51, 53</w:t>
            </w: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Mincho" w:cs="Times New Roman"/>
                <w:sz w:val="18"/>
                <w:szCs w:val="18"/>
              </w:rPr>
              <w:t>% of total core expenditures on development-related activities by funds and programmes directed to programme activities</w:t>
            </w:r>
          </w:p>
        </w:tc>
        <w:tc>
          <w:tcPr>
            <w:tcW w:w="1275" w:type="dxa"/>
            <w:vMerge w:val="restart"/>
            <w:vAlign w:val="center"/>
          </w:tcPr>
          <w:p w:rsidR="00A33CE1" w:rsidRPr="00A33CE1" w:rsidRDefault="00A33CE1" w:rsidP="00A33CE1">
            <w:pPr>
              <w:spacing w:after="0" w:line="240" w:lineRule="auto"/>
              <w:rPr>
                <w:rFonts w:eastAsia="MS ??" w:cs="Times New Roman"/>
                <w:b/>
                <w:color w:val="00B050"/>
                <w:sz w:val="18"/>
                <w:szCs w:val="18"/>
              </w:rPr>
            </w:pPr>
            <w:r w:rsidRPr="00A33CE1">
              <w:rPr>
                <w:rFonts w:eastAsia="MS ??" w:cs="Times New Roman"/>
                <w:b/>
                <w:color w:val="00B050"/>
                <w:sz w:val="18"/>
                <w:szCs w:val="18"/>
              </w:rPr>
              <w:t>Ongoing</w:t>
            </w:r>
          </w:p>
          <w:p w:rsidR="00A33CE1" w:rsidRPr="00A33CE1" w:rsidRDefault="00A33CE1" w:rsidP="00A33CE1">
            <w:pPr>
              <w:spacing w:after="0" w:line="240" w:lineRule="auto"/>
              <w:rPr>
                <w:rFonts w:eastAsia="MS ??" w:cs="Times New Roman"/>
                <w:sz w:val="18"/>
                <w:szCs w:val="18"/>
              </w:rPr>
            </w:pPr>
          </w:p>
        </w:tc>
        <w:tc>
          <w:tcPr>
            <w:tcW w:w="5103" w:type="dxa"/>
            <w:vMerge w:val="restart"/>
            <w:vAlign w:val="center"/>
          </w:tcPr>
          <w:p w:rsidR="00A33CE1" w:rsidRPr="00A33CE1" w:rsidRDefault="00A33CE1" w:rsidP="00A33CE1">
            <w:pPr>
              <w:numPr>
                <w:ilvl w:val="0"/>
                <w:numId w:val="42"/>
              </w:numPr>
              <w:spacing w:after="0" w:line="240" w:lineRule="auto"/>
              <w:contextualSpacing/>
              <w:rPr>
                <w:rFonts w:eastAsia="MS Mincho" w:cs="Times New Roman"/>
                <w:sz w:val="18"/>
                <w:szCs w:val="18"/>
                <w:lang w:val="en-GB" w:eastAsia="en-GB"/>
              </w:rPr>
            </w:pPr>
            <w:r w:rsidRPr="00A33CE1">
              <w:rPr>
                <w:rFonts w:eastAsia="MS Mincho" w:cs="Times New Roman"/>
                <w:sz w:val="18"/>
                <w:szCs w:val="18"/>
                <w:lang w:val="en-GB" w:eastAsia="en-GB"/>
              </w:rPr>
              <w:t>54% (2013)</w:t>
            </w:r>
          </w:p>
          <w:p w:rsidR="00A33CE1" w:rsidRPr="00A33CE1" w:rsidRDefault="00A33CE1" w:rsidP="00A33CE1">
            <w:pPr>
              <w:spacing w:after="0"/>
              <w:rPr>
                <w:rFonts w:eastAsia="MS Mincho" w:cs="Times New Roman"/>
                <w:sz w:val="18"/>
                <w:szCs w:val="18"/>
                <w:lang w:val="en-GB"/>
              </w:rPr>
            </w:pPr>
          </w:p>
          <w:p w:rsidR="00A33CE1" w:rsidRPr="00A33CE1" w:rsidRDefault="00A33CE1" w:rsidP="00A33CE1">
            <w:pPr>
              <w:spacing w:after="0"/>
              <w:rPr>
                <w:rFonts w:eastAsia="MS Mincho" w:cs="Times New Roman"/>
                <w:sz w:val="18"/>
                <w:szCs w:val="18"/>
                <w:lang w:val="en-GB"/>
              </w:rPr>
            </w:pPr>
          </w:p>
          <w:p w:rsidR="00A33CE1" w:rsidRPr="00A33CE1" w:rsidRDefault="00A33CE1" w:rsidP="00A33CE1">
            <w:pPr>
              <w:numPr>
                <w:ilvl w:val="0"/>
                <w:numId w:val="42"/>
              </w:numPr>
              <w:spacing w:after="0" w:line="240" w:lineRule="auto"/>
              <w:contextualSpacing/>
              <w:rPr>
                <w:rFonts w:eastAsia="MS ??" w:cs="Times New Roman"/>
                <w:sz w:val="18"/>
                <w:szCs w:val="18"/>
                <w:lang w:eastAsia="en-GB"/>
              </w:rPr>
            </w:pPr>
            <w:r w:rsidRPr="00A33CE1">
              <w:rPr>
                <w:rFonts w:eastAsia="MS Mincho" w:cs="Times New Roman"/>
                <w:sz w:val="18"/>
                <w:szCs w:val="18"/>
                <w:lang w:val="en-GB" w:eastAsia="en-GB"/>
              </w:rPr>
              <w:t>88% (2013)</w:t>
            </w:r>
          </w:p>
        </w:tc>
        <w:tc>
          <w:tcPr>
            <w:tcW w:w="1276" w:type="dxa"/>
            <w:vMerge w:val="restart"/>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Annual Report</w:t>
            </w:r>
          </w:p>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S-G report</w:t>
            </w:r>
          </w:p>
        </w:tc>
      </w:tr>
      <w:tr w:rsidR="00A33CE1" w:rsidRPr="00A33CE1" w:rsidTr="000B2F98">
        <w:trPr>
          <w:trHeight w:val="393"/>
        </w:trPr>
        <w:tc>
          <w:tcPr>
            <w:tcW w:w="655" w:type="dxa"/>
            <w:tcBorders>
              <w:right w:val="nil"/>
            </w:tcBorders>
            <w:vAlign w:val="center"/>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20b</w:t>
            </w:r>
          </w:p>
        </w:tc>
        <w:tc>
          <w:tcPr>
            <w:tcW w:w="78" w:type="dxa"/>
            <w:tcBorders>
              <w:left w:val="nil"/>
            </w:tcBorders>
            <w:vAlign w:val="center"/>
          </w:tcPr>
          <w:p w:rsidR="00A33CE1" w:rsidRPr="00A33CE1" w:rsidRDefault="00A33CE1" w:rsidP="00A33CE1">
            <w:pPr>
              <w:spacing w:after="0" w:line="240" w:lineRule="auto"/>
              <w:rPr>
                <w:rFonts w:eastAsia="MS ??" w:cs="Times New Roman"/>
                <w:sz w:val="18"/>
                <w:szCs w:val="18"/>
              </w:rPr>
            </w:pPr>
          </w:p>
        </w:tc>
        <w:tc>
          <w:tcPr>
            <w:tcW w:w="707" w:type="dxa"/>
            <w:vMerge/>
            <w:vAlign w:val="center"/>
          </w:tcPr>
          <w:p w:rsidR="00A33CE1" w:rsidRPr="00A33CE1" w:rsidRDefault="00A33CE1" w:rsidP="00A33CE1">
            <w:pPr>
              <w:spacing w:after="0" w:line="240" w:lineRule="auto"/>
              <w:rPr>
                <w:rFonts w:eastAsia="MS ??" w:cs="Times New Roman"/>
                <w:sz w:val="18"/>
                <w:szCs w:val="18"/>
              </w:rPr>
            </w:pPr>
          </w:p>
        </w:tc>
        <w:tc>
          <w:tcPr>
            <w:tcW w:w="4359" w:type="dxa"/>
          </w:tcPr>
          <w:p w:rsidR="00A33CE1" w:rsidRPr="00A33CE1" w:rsidRDefault="00A33CE1" w:rsidP="00A33CE1">
            <w:pPr>
              <w:spacing w:after="0" w:line="240" w:lineRule="auto"/>
              <w:rPr>
                <w:rFonts w:eastAsia="MS Mincho" w:cs="Times New Roman"/>
                <w:sz w:val="18"/>
                <w:szCs w:val="18"/>
              </w:rPr>
            </w:pPr>
            <w:r w:rsidRPr="00A33CE1">
              <w:rPr>
                <w:rFonts w:eastAsia="MS Mincho" w:cs="Times New Roman"/>
                <w:sz w:val="18"/>
                <w:szCs w:val="18"/>
              </w:rPr>
              <w:t>% of total non-core expenditures on development-related activities by funds and programmes directed to programme activities</w:t>
            </w:r>
          </w:p>
        </w:tc>
        <w:tc>
          <w:tcPr>
            <w:tcW w:w="1275" w:type="dxa"/>
            <w:vMerge/>
            <w:vAlign w:val="center"/>
          </w:tcPr>
          <w:p w:rsidR="00A33CE1" w:rsidRPr="00A33CE1" w:rsidRDefault="00A33CE1" w:rsidP="00A33CE1">
            <w:pPr>
              <w:spacing w:after="0" w:line="240" w:lineRule="auto"/>
              <w:rPr>
                <w:rFonts w:eastAsia="MS ??" w:cs="Times New Roman"/>
                <w:sz w:val="18"/>
                <w:szCs w:val="18"/>
              </w:rPr>
            </w:pPr>
          </w:p>
        </w:tc>
        <w:tc>
          <w:tcPr>
            <w:tcW w:w="5103" w:type="dxa"/>
            <w:vMerge/>
            <w:vAlign w:val="center"/>
          </w:tcPr>
          <w:p w:rsidR="00A33CE1" w:rsidRPr="00A33CE1" w:rsidRDefault="00A33CE1" w:rsidP="00A33CE1">
            <w:pPr>
              <w:spacing w:after="0" w:line="240" w:lineRule="auto"/>
              <w:rPr>
                <w:rFonts w:eastAsia="MS ??" w:cs="Times New Roman"/>
                <w:sz w:val="18"/>
                <w:szCs w:val="18"/>
              </w:rPr>
            </w:pPr>
          </w:p>
        </w:tc>
        <w:tc>
          <w:tcPr>
            <w:tcW w:w="1276" w:type="dxa"/>
            <w:vMerge/>
          </w:tcPr>
          <w:p w:rsidR="00A33CE1" w:rsidRPr="00A33CE1" w:rsidRDefault="00A33CE1" w:rsidP="00A33CE1">
            <w:pPr>
              <w:spacing w:after="0" w:line="240" w:lineRule="auto"/>
              <w:rPr>
                <w:rFonts w:eastAsia="MS ??" w:cs="Times New Roman"/>
                <w:sz w:val="18"/>
                <w:szCs w:val="18"/>
              </w:rPr>
            </w:pPr>
          </w:p>
        </w:tc>
      </w:tr>
      <w:tr w:rsidR="00A33CE1" w:rsidRPr="00A33CE1" w:rsidTr="000B2F98">
        <w:tc>
          <w:tcPr>
            <w:tcW w:w="655" w:type="dxa"/>
            <w:tcBorders>
              <w:right w:val="nil"/>
            </w:tcBorders>
            <w:vAlign w:val="center"/>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22</w:t>
            </w:r>
          </w:p>
        </w:tc>
        <w:tc>
          <w:tcPr>
            <w:tcW w:w="78" w:type="dxa"/>
            <w:tcBorders>
              <w:left w:val="nil"/>
            </w:tcBorders>
            <w:vAlign w:val="center"/>
          </w:tcPr>
          <w:p w:rsidR="00A33CE1" w:rsidRPr="00A33CE1" w:rsidRDefault="00A33CE1" w:rsidP="00A33CE1">
            <w:pPr>
              <w:spacing w:after="0" w:line="240" w:lineRule="auto"/>
              <w:rPr>
                <w:rFonts w:eastAsia="MS ??" w:cs="Times New Roman"/>
                <w:sz w:val="18"/>
                <w:szCs w:val="18"/>
              </w:rPr>
            </w:pPr>
          </w:p>
        </w:tc>
        <w:tc>
          <w:tcPr>
            <w:tcW w:w="707" w:type="dxa"/>
            <w:vAlign w:val="center"/>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54</w:t>
            </w: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of UN entities reporting on cost recovery amounts within their regular financial reporting.</w:t>
            </w:r>
          </w:p>
        </w:tc>
        <w:tc>
          <w:tcPr>
            <w:tcW w:w="1275" w:type="dxa"/>
          </w:tcPr>
          <w:p w:rsidR="00A33CE1" w:rsidRPr="00A33CE1" w:rsidRDefault="00A33CE1" w:rsidP="00A33CE1">
            <w:pPr>
              <w:spacing w:after="0" w:line="240" w:lineRule="auto"/>
              <w:rPr>
                <w:rFonts w:eastAsia="MS ??" w:cs="Times New Roman"/>
                <w:b/>
                <w:color w:val="00B050"/>
                <w:sz w:val="18"/>
                <w:szCs w:val="18"/>
              </w:rPr>
            </w:pPr>
            <w:r w:rsidRPr="00A33CE1">
              <w:rPr>
                <w:rFonts w:eastAsia="MS ??" w:cs="Times New Roman"/>
                <w:b/>
                <w:color w:val="00B050"/>
                <w:sz w:val="18"/>
                <w:szCs w:val="18"/>
              </w:rPr>
              <w:t>Achieved</w:t>
            </w:r>
          </w:p>
          <w:p w:rsidR="00A33CE1" w:rsidRPr="00A33CE1" w:rsidRDefault="00A33CE1" w:rsidP="00A33CE1">
            <w:pPr>
              <w:spacing w:after="0" w:line="240" w:lineRule="auto"/>
              <w:rPr>
                <w:rFonts w:eastAsia="MS ??" w:cs="Times New Roman"/>
                <w:sz w:val="18"/>
                <w:szCs w:val="18"/>
              </w:rPr>
            </w:pPr>
          </w:p>
        </w:tc>
        <w:tc>
          <w:tcPr>
            <w:tcW w:w="5103"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UNDP reports the cost recovered amounts in the annual financial report.</w:t>
            </w:r>
          </w:p>
        </w:tc>
        <w:tc>
          <w:tcPr>
            <w:tcW w:w="1276"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Annual Report</w:t>
            </w:r>
          </w:p>
        </w:tc>
      </w:tr>
      <w:tr w:rsidR="00A33CE1" w:rsidRPr="00A33CE1" w:rsidTr="000B2F98">
        <w:tc>
          <w:tcPr>
            <w:tcW w:w="13453" w:type="dxa"/>
            <w:gridSpan w:val="7"/>
            <w:shd w:val="clear" w:color="auto" w:fill="BFBFBF"/>
          </w:tcPr>
          <w:p w:rsidR="00A33CE1" w:rsidRPr="00A33CE1" w:rsidRDefault="00A33CE1" w:rsidP="00A33CE1">
            <w:pPr>
              <w:spacing w:after="0" w:line="240" w:lineRule="auto"/>
              <w:rPr>
                <w:rFonts w:eastAsia="MS ??" w:cs="Times New Roman"/>
                <w:b/>
                <w:sz w:val="18"/>
                <w:szCs w:val="18"/>
              </w:rPr>
            </w:pPr>
            <w:r w:rsidRPr="00A33CE1">
              <w:rPr>
                <w:rFonts w:eastAsia="MS ??" w:cs="Times New Roman"/>
                <w:b/>
                <w:sz w:val="18"/>
                <w:szCs w:val="18"/>
              </w:rPr>
              <w:t>CAPACITY BUILDING AND DEVELOPMENT</w:t>
            </w:r>
          </w:p>
        </w:tc>
      </w:tr>
      <w:tr w:rsidR="00A33CE1" w:rsidRPr="00A33CE1" w:rsidTr="000B2F98">
        <w:tc>
          <w:tcPr>
            <w:tcW w:w="655" w:type="dxa"/>
            <w:tcBorders>
              <w:right w:val="nil"/>
            </w:tcBorders>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28</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63</w:t>
            </w: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Average % of agency country offices using the common UNDG capacity measurement approach (when fully developed)</w:t>
            </w:r>
          </w:p>
        </w:tc>
        <w:tc>
          <w:tcPr>
            <w:tcW w:w="1275" w:type="dxa"/>
          </w:tcPr>
          <w:p w:rsidR="00A33CE1" w:rsidRPr="00A33CE1" w:rsidRDefault="00A33CE1" w:rsidP="00A33CE1">
            <w:pPr>
              <w:spacing w:after="0" w:line="240" w:lineRule="auto"/>
              <w:rPr>
                <w:rFonts w:eastAsia="MS ??" w:cs="Times New Roman"/>
                <w:b/>
                <w:color w:val="FFC000"/>
                <w:sz w:val="18"/>
                <w:szCs w:val="18"/>
              </w:rPr>
            </w:pPr>
            <w:r w:rsidRPr="00A33CE1">
              <w:rPr>
                <w:rFonts w:eastAsia="MS ??" w:cs="Times New Roman"/>
                <w:b/>
                <w:color w:val="FFC000"/>
                <w:sz w:val="18"/>
                <w:szCs w:val="18"/>
              </w:rPr>
              <w:t>In progress</w:t>
            </w:r>
          </w:p>
        </w:tc>
        <w:tc>
          <w:tcPr>
            <w:tcW w:w="5103" w:type="dxa"/>
          </w:tcPr>
          <w:p w:rsidR="00A33CE1" w:rsidRPr="00A33CE1" w:rsidRDefault="00A33CE1" w:rsidP="00A33CE1">
            <w:pPr>
              <w:spacing w:after="0"/>
              <w:rPr>
                <w:rFonts w:eastAsia="Calibri" w:cs="Times New Roman"/>
                <w:sz w:val="18"/>
                <w:szCs w:val="18"/>
                <w:lang w:val="en-GB"/>
              </w:rPr>
            </w:pPr>
            <w:r w:rsidRPr="00A33CE1">
              <w:rPr>
                <w:rFonts w:eastAsia="MS Mincho" w:cs="Times New Roman"/>
                <w:sz w:val="18"/>
                <w:szCs w:val="18"/>
                <w:lang w:val="en-GB"/>
              </w:rPr>
              <w:t xml:space="preserve">UNDG will develop the common capacity measurement approach in 2014. Reporting on it is expected to begin in 2015.  </w:t>
            </w:r>
          </w:p>
        </w:tc>
        <w:tc>
          <w:tcPr>
            <w:tcW w:w="1276"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S-G Report</w:t>
            </w:r>
          </w:p>
        </w:tc>
      </w:tr>
      <w:tr w:rsidR="00A33CE1" w:rsidRPr="00A33CE1" w:rsidTr="000B2F98">
        <w:tc>
          <w:tcPr>
            <w:tcW w:w="655" w:type="dxa"/>
            <w:tcBorders>
              <w:right w:val="nil"/>
            </w:tcBorders>
            <w:shd w:val="clear" w:color="auto" w:fill="auto"/>
          </w:tcPr>
          <w:p w:rsidR="00A33CE1" w:rsidRPr="00A33CE1" w:rsidRDefault="00A33CE1" w:rsidP="00A33CE1">
            <w:pPr>
              <w:spacing w:after="0" w:line="240" w:lineRule="auto"/>
              <w:rPr>
                <w:rFonts w:eastAsia="MS ??" w:cs="Times New Roman"/>
                <w:sz w:val="18"/>
                <w:szCs w:val="18"/>
                <w:highlight w:val="yellow"/>
              </w:rPr>
            </w:pPr>
            <w:r w:rsidRPr="00A33CE1">
              <w:rPr>
                <w:rFonts w:eastAsia="MS ??" w:cs="Times New Roman"/>
                <w:sz w:val="18"/>
                <w:szCs w:val="18"/>
              </w:rPr>
              <w:t>29</w:t>
            </w:r>
          </w:p>
        </w:tc>
        <w:tc>
          <w:tcPr>
            <w:tcW w:w="78" w:type="dxa"/>
            <w:tcBorders>
              <w:left w:val="nil"/>
            </w:tcBorders>
            <w:shd w:val="clear" w:color="auto" w:fill="auto"/>
          </w:tcPr>
          <w:p w:rsidR="00A33CE1" w:rsidRPr="00A33CE1" w:rsidRDefault="00A33CE1" w:rsidP="00A33CE1">
            <w:pPr>
              <w:spacing w:after="0" w:line="240" w:lineRule="auto"/>
              <w:rPr>
                <w:rFonts w:eastAsia="MS ??" w:cs="Times New Roman"/>
                <w:sz w:val="18"/>
                <w:szCs w:val="18"/>
              </w:rPr>
            </w:pPr>
          </w:p>
        </w:tc>
        <w:tc>
          <w:tcPr>
            <w:tcW w:w="707" w:type="dxa"/>
            <w:shd w:val="clear" w:color="auto" w:fill="auto"/>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14, 15</w:t>
            </w:r>
          </w:p>
        </w:tc>
        <w:tc>
          <w:tcPr>
            <w:tcW w:w="4359" w:type="dxa"/>
            <w:shd w:val="clear" w:color="auto" w:fill="auto"/>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xml:space="preserve">Three dimensions of sustainable development reflected in strategic plans of UNDG members </w:t>
            </w:r>
          </w:p>
        </w:tc>
        <w:tc>
          <w:tcPr>
            <w:tcW w:w="1275" w:type="dxa"/>
            <w:shd w:val="clear" w:color="auto" w:fill="auto"/>
          </w:tcPr>
          <w:p w:rsidR="00A33CE1" w:rsidRPr="00A33CE1" w:rsidRDefault="00A33CE1" w:rsidP="00A33CE1">
            <w:pPr>
              <w:spacing w:after="0" w:line="240" w:lineRule="auto"/>
              <w:rPr>
                <w:rFonts w:eastAsia="MS ??" w:cs="Times New Roman"/>
                <w:b/>
                <w:color w:val="00B050"/>
                <w:sz w:val="18"/>
                <w:szCs w:val="18"/>
              </w:rPr>
            </w:pPr>
            <w:r w:rsidRPr="00A33CE1">
              <w:rPr>
                <w:rFonts w:eastAsia="MS ??" w:cs="Times New Roman"/>
                <w:b/>
                <w:color w:val="00B050"/>
                <w:sz w:val="18"/>
                <w:szCs w:val="18"/>
              </w:rPr>
              <w:t>Achieved</w:t>
            </w:r>
          </w:p>
          <w:p w:rsidR="00A33CE1" w:rsidRPr="00A33CE1" w:rsidRDefault="00A33CE1" w:rsidP="00A33CE1">
            <w:pPr>
              <w:spacing w:after="0" w:line="240" w:lineRule="auto"/>
              <w:rPr>
                <w:rFonts w:eastAsia="MS ??" w:cs="Times New Roman"/>
                <w:sz w:val="18"/>
                <w:szCs w:val="18"/>
              </w:rPr>
            </w:pPr>
          </w:p>
        </w:tc>
        <w:tc>
          <w:tcPr>
            <w:tcW w:w="5103" w:type="dxa"/>
            <w:shd w:val="clear" w:color="auto" w:fill="auto"/>
          </w:tcPr>
          <w:p w:rsidR="00A33CE1" w:rsidRPr="00A33CE1" w:rsidRDefault="003E67FE" w:rsidP="00A33CE1">
            <w:pPr>
              <w:spacing w:after="0" w:line="240" w:lineRule="auto"/>
              <w:rPr>
                <w:rFonts w:eastAsia="MS Mincho" w:cs="Times New Roman"/>
                <w:color w:val="0070C0"/>
                <w:sz w:val="18"/>
                <w:szCs w:val="18"/>
                <w:lang w:val="en-GB"/>
              </w:rPr>
            </w:pPr>
            <w:r>
              <w:rPr>
                <w:sz w:val="18"/>
                <w:szCs w:val="18"/>
              </w:rPr>
              <w:t>The vision of the Strategic Plan 2014 - 2017 is to help countries achieve the simultaneous eradication of poverty and significant reduction of inequalities and exclusion.  The outcomes and engagement principles of the new Strategic Plan are underpinned by the economic, social and environmental dimensions of sustainable development, and the construction of the plan reflects the multidimensional and inter-related nature of the development outcomes.  The integrated results and resource framework (IRRF) maps out the seven planned outcomes with indicators, baselines, milestone and targets to track the progresses and lessons learned for decision-making.  Outcome 1 aims to achieve inclusive and sustainable growth and development incorporating productive capacities that create employment and livelihoods for the poor and excluded).   Outcomes 2 and 4 stress the importance of equity, as key dimension of sustainable development.  Outcome 5 focuses on risk resilience, particularly with respect to climate change, whilst outcome 7 highlights the commitment for development debates and actions at all levels to prioritize poverty, inequality and exclusion, consistent with UNDP’s engagement principles.</w:t>
            </w:r>
          </w:p>
        </w:tc>
        <w:tc>
          <w:tcPr>
            <w:tcW w:w="1276" w:type="dxa"/>
            <w:shd w:val="clear" w:color="auto" w:fill="auto"/>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Annual Report</w:t>
            </w:r>
          </w:p>
        </w:tc>
      </w:tr>
      <w:tr w:rsidR="00A33CE1" w:rsidRPr="00A33CE1" w:rsidTr="000B2F98">
        <w:tc>
          <w:tcPr>
            <w:tcW w:w="655" w:type="dxa"/>
            <w:tcBorders>
              <w:right w:val="nil"/>
            </w:tcBorders>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xml:space="preserve">Not </w:t>
            </w:r>
            <w:r w:rsidRPr="00A33CE1">
              <w:rPr>
                <w:rFonts w:eastAsia="MS ??" w:cs="Times New Roman"/>
                <w:sz w:val="18"/>
                <w:szCs w:val="18"/>
              </w:rPr>
              <w:lastRenderedPageBreak/>
              <w:t>applicable</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xml:space="preserve"> Not </w:t>
            </w:r>
            <w:r w:rsidRPr="00A33CE1">
              <w:rPr>
                <w:rFonts w:eastAsia="MS ??" w:cs="Times New Roman"/>
                <w:sz w:val="18"/>
                <w:szCs w:val="18"/>
              </w:rPr>
              <w:lastRenderedPageBreak/>
              <w:t>applicable</w:t>
            </w: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lastRenderedPageBreak/>
              <w:t xml:space="preserve">UNDP efforts to enhance support to capacity development </w:t>
            </w:r>
          </w:p>
        </w:tc>
        <w:tc>
          <w:tcPr>
            <w:tcW w:w="1275" w:type="dxa"/>
          </w:tcPr>
          <w:p w:rsidR="00A33CE1" w:rsidRPr="00A33CE1" w:rsidRDefault="00A33CE1" w:rsidP="00A33CE1">
            <w:pPr>
              <w:spacing w:after="0" w:line="240" w:lineRule="auto"/>
              <w:rPr>
                <w:rFonts w:eastAsia="MS ??" w:cs="Times New Roman"/>
                <w:b/>
                <w:sz w:val="18"/>
                <w:szCs w:val="18"/>
              </w:rPr>
            </w:pPr>
            <w:r w:rsidRPr="00A33CE1">
              <w:rPr>
                <w:rFonts w:eastAsia="MS ??" w:cs="Times New Roman"/>
                <w:b/>
                <w:color w:val="00B050"/>
                <w:sz w:val="18"/>
                <w:szCs w:val="18"/>
              </w:rPr>
              <w:t>Ongoing</w:t>
            </w:r>
          </w:p>
        </w:tc>
        <w:tc>
          <w:tcPr>
            <w:tcW w:w="5103"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xml:space="preserve">A Capacity Development Tracker was launched in 2011 to assess the </w:t>
            </w:r>
            <w:r w:rsidRPr="00A33CE1">
              <w:rPr>
                <w:rFonts w:eastAsia="MS ??" w:cs="Times New Roman"/>
                <w:sz w:val="18"/>
                <w:szCs w:val="18"/>
              </w:rPr>
              <w:lastRenderedPageBreak/>
              <w:t xml:space="preserve">level of integration of capacity development in the design of UNDP projects.  It includes measures to determine how well projects have defined capacity development results and indicators.  Additional guidance material including measurement methodologies and tools have been developed and applied in countries across all five regions. </w:t>
            </w:r>
          </w:p>
          <w:p w:rsidR="00A33CE1" w:rsidRPr="00A33CE1" w:rsidRDefault="00A33CE1" w:rsidP="00A33CE1">
            <w:pPr>
              <w:spacing w:after="0" w:line="240" w:lineRule="auto"/>
              <w:rPr>
                <w:rFonts w:eastAsia="MS ??" w:cs="Times New Roman"/>
                <w:sz w:val="18"/>
                <w:szCs w:val="18"/>
              </w:rPr>
            </w:pPr>
          </w:p>
          <w:p w:rsidR="00A33CE1" w:rsidRPr="00A33CE1" w:rsidRDefault="00A33CE1" w:rsidP="003837D2">
            <w:pPr>
              <w:spacing w:after="0" w:line="240" w:lineRule="auto"/>
              <w:rPr>
                <w:rFonts w:eastAsia="MS ??" w:cs="Times New Roman"/>
                <w:sz w:val="18"/>
                <w:szCs w:val="18"/>
              </w:rPr>
            </w:pPr>
            <w:r w:rsidRPr="00A33CE1">
              <w:rPr>
                <w:rFonts w:eastAsia="MS ??" w:cs="Times New Roman"/>
                <w:sz w:val="18"/>
                <w:szCs w:val="18"/>
              </w:rPr>
              <w:t>The Strategic Plan emphasizes the importance of strengthening national ownership and capacity, and the use of national systems for monitoring and reporting on SP results.  UNDP has also developed an issues brief on</w:t>
            </w:r>
            <w:r w:rsidRPr="00A33CE1">
              <w:rPr>
                <w:rFonts w:eastAsia="MS Mincho" w:cs="Times New Roman"/>
                <w:color w:val="0070C0"/>
                <w:sz w:val="18"/>
                <w:szCs w:val="18"/>
                <w:lang w:val="en-GB"/>
              </w:rPr>
              <w:t xml:space="preserve"> </w:t>
            </w:r>
            <w:hyperlink r:id="rId18" w:history="1">
              <w:r w:rsidRPr="007003B2">
                <w:rPr>
                  <w:rFonts w:eastAsia="MS Mincho" w:cs="Times New Roman"/>
                  <w:color w:val="0000FF"/>
                  <w:sz w:val="18"/>
                  <w:szCs w:val="18"/>
                  <w:u w:val="single"/>
                  <w:lang w:val="en-GB"/>
                </w:rPr>
                <w:t>Strengthening National Capacities to Manage for Results</w:t>
              </w:r>
            </w:hyperlink>
            <w:r w:rsidRPr="00A33CE1">
              <w:rPr>
                <w:rFonts w:eastAsia="MS Mincho" w:cs="Times New Roman"/>
                <w:color w:val="0070C0"/>
                <w:sz w:val="18"/>
                <w:szCs w:val="18"/>
                <w:lang w:val="en-GB"/>
              </w:rPr>
              <w:t xml:space="preserve"> (</w:t>
            </w:r>
            <w:r w:rsidRPr="00A33CE1">
              <w:rPr>
                <w:rFonts w:eastAsia="MS ??" w:cs="Times New Roman"/>
                <w:sz w:val="18"/>
                <w:szCs w:val="18"/>
              </w:rPr>
              <w:t>2013)</w:t>
            </w:r>
            <w:r w:rsidRPr="00A33CE1">
              <w:rPr>
                <w:rFonts w:eastAsia="MS Mincho" w:cs="Times New Roman"/>
                <w:color w:val="0070C0"/>
                <w:sz w:val="18"/>
                <w:szCs w:val="18"/>
                <w:lang w:val="en-GB"/>
              </w:rPr>
              <w:t xml:space="preserve"> </w:t>
            </w:r>
            <w:r w:rsidRPr="00A33CE1">
              <w:rPr>
                <w:rFonts w:eastAsia="MS ??" w:cs="Times New Roman"/>
                <w:sz w:val="18"/>
                <w:szCs w:val="18"/>
              </w:rPr>
              <w:t xml:space="preserve">and supported the development of national evaluation capacities by working with the Evaluation Office to design and deliver the </w:t>
            </w:r>
            <w:hyperlink r:id="rId19" w:history="1">
              <w:r w:rsidRPr="007003B2">
                <w:rPr>
                  <w:rFonts w:eastAsia="MS Mincho" w:cs="Times New Roman"/>
                  <w:color w:val="0000FF"/>
                  <w:sz w:val="18"/>
                  <w:szCs w:val="18"/>
                  <w:u w:val="single"/>
                  <w:lang w:val="en-GB"/>
                </w:rPr>
                <w:t>Third International Conference on National Evaluation Capacities</w:t>
              </w:r>
            </w:hyperlink>
            <w:r w:rsidRPr="00A33CE1">
              <w:rPr>
                <w:rFonts w:eastAsia="MS Mincho" w:cs="Times New Roman"/>
                <w:color w:val="0070C0"/>
                <w:sz w:val="18"/>
                <w:szCs w:val="18"/>
                <w:lang w:val="en-GB"/>
              </w:rPr>
              <w:t xml:space="preserve">, </w:t>
            </w:r>
            <w:r w:rsidRPr="00A33CE1">
              <w:rPr>
                <w:rFonts w:eastAsia="MS ??" w:cs="Times New Roman"/>
                <w:sz w:val="18"/>
                <w:szCs w:val="18"/>
              </w:rPr>
              <w:t>held in Sao Paulo from 29 September – 2 October 2013.</w:t>
            </w:r>
            <w:r w:rsidR="00CF0554">
              <w:rPr>
                <w:rFonts w:eastAsia="MS ??" w:cs="Times New Roman"/>
                <w:sz w:val="18"/>
                <w:szCs w:val="18"/>
              </w:rPr>
              <w:t xml:space="preserve"> UNDP</w:t>
            </w:r>
            <w:r w:rsidR="003837D2">
              <w:rPr>
                <w:rFonts w:eastAsia="MS ??" w:cs="Times New Roman"/>
                <w:sz w:val="18"/>
                <w:szCs w:val="18"/>
              </w:rPr>
              <w:t>’s</w:t>
            </w:r>
            <w:r w:rsidR="00CF0554">
              <w:rPr>
                <w:rFonts w:eastAsia="MS ??" w:cs="Times New Roman"/>
                <w:sz w:val="18"/>
                <w:szCs w:val="18"/>
              </w:rPr>
              <w:t xml:space="preserve"> SP/IRRF 2014-2017 in</w:t>
            </w:r>
            <w:r w:rsidR="003837D2">
              <w:rPr>
                <w:rFonts w:eastAsia="MS ??" w:cs="Times New Roman"/>
                <w:sz w:val="18"/>
                <w:szCs w:val="18"/>
              </w:rPr>
              <w:t>cludes capacity development</w:t>
            </w:r>
            <w:r w:rsidR="00CF0554">
              <w:rPr>
                <w:rFonts w:eastAsia="MS ??" w:cs="Times New Roman"/>
                <w:sz w:val="18"/>
                <w:szCs w:val="18"/>
              </w:rPr>
              <w:t xml:space="preserve"> indicators, milestones and targets in relevant outputs to track progress and learn lessons </w:t>
            </w:r>
            <w:r w:rsidR="003837D2">
              <w:rPr>
                <w:rFonts w:eastAsia="MS ??" w:cs="Times New Roman"/>
                <w:sz w:val="18"/>
                <w:szCs w:val="18"/>
              </w:rPr>
              <w:t>about</w:t>
            </w:r>
            <w:r w:rsidR="00CF0554">
              <w:rPr>
                <w:rFonts w:eastAsia="MS ??" w:cs="Times New Roman"/>
                <w:sz w:val="18"/>
                <w:szCs w:val="18"/>
              </w:rPr>
              <w:t xml:space="preserve"> achieving durable results that can be sustained by national partners and institutions.</w:t>
            </w:r>
          </w:p>
        </w:tc>
        <w:tc>
          <w:tcPr>
            <w:tcW w:w="1276" w:type="dxa"/>
          </w:tcPr>
          <w:p w:rsidR="00A33CE1" w:rsidRPr="00A33CE1" w:rsidRDefault="00A33CE1" w:rsidP="00CF0554">
            <w:pPr>
              <w:spacing w:after="0" w:line="240" w:lineRule="auto"/>
              <w:rPr>
                <w:rFonts w:eastAsia="MS ??" w:cs="Times New Roman"/>
                <w:sz w:val="18"/>
                <w:szCs w:val="18"/>
              </w:rPr>
            </w:pPr>
            <w:r w:rsidRPr="00A33CE1">
              <w:rPr>
                <w:rFonts w:eastAsia="MS ??" w:cs="Times New Roman"/>
                <w:sz w:val="18"/>
                <w:szCs w:val="18"/>
              </w:rPr>
              <w:lastRenderedPageBreak/>
              <w:t>Annual Report</w:t>
            </w:r>
          </w:p>
        </w:tc>
      </w:tr>
      <w:tr w:rsidR="00A33CE1" w:rsidRPr="00A33CE1" w:rsidTr="000B2F98">
        <w:tc>
          <w:tcPr>
            <w:tcW w:w="13453" w:type="dxa"/>
            <w:gridSpan w:val="7"/>
            <w:shd w:val="clear" w:color="auto" w:fill="BFBFBF"/>
          </w:tcPr>
          <w:p w:rsidR="00A33CE1" w:rsidRPr="00A33CE1" w:rsidRDefault="00A33CE1" w:rsidP="00A33CE1">
            <w:pPr>
              <w:spacing w:after="0" w:line="240" w:lineRule="auto"/>
              <w:rPr>
                <w:rFonts w:eastAsia="MS ??" w:cs="Times New Roman"/>
                <w:b/>
                <w:sz w:val="18"/>
                <w:szCs w:val="18"/>
              </w:rPr>
            </w:pPr>
            <w:r w:rsidRPr="00A33CE1">
              <w:rPr>
                <w:rFonts w:eastAsia="MS ??" w:cs="Times New Roman"/>
                <w:b/>
                <w:sz w:val="18"/>
                <w:szCs w:val="18"/>
              </w:rPr>
              <w:lastRenderedPageBreak/>
              <w:t>POVERTY ERADICATION</w:t>
            </w:r>
          </w:p>
        </w:tc>
      </w:tr>
      <w:tr w:rsidR="00A33CE1" w:rsidRPr="00A33CE1" w:rsidTr="000B2F98">
        <w:tc>
          <w:tcPr>
            <w:tcW w:w="655" w:type="dxa"/>
            <w:tcBorders>
              <w:right w:val="nil"/>
            </w:tcBorders>
            <w:shd w:val="clear" w:color="auto" w:fill="auto"/>
          </w:tcPr>
          <w:p w:rsidR="00A33CE1" w:rsidRPr="00A33CE1" w:rsidRDefault="00A33CE1" w:rsidP="00A33CE1">
            <w:pPr>
              <w:spacing w:before="1" w:after="0" w:line="240" w:lineRule="auto"/>
              <w:rPr>
                <w:rFonts w:eastAsia="MS ??" w:cs="Times New Roman"/>
                <w:sz w:val="18"/>
                <w:szCs w:val="18"/>
              </w:rPr>
            </w:pPr>
            <w:r w:rsidRPr="00A33CE1">
              <w:rPr>
                <w:rFonts w:eastAsia="MS ??" w:cs="Times New Roman"/>
                <w:sz w:val="18"/>
                <w:szCs w:val="18"/>
              </w:rPr>
              <w:t>Other</w:t>
            </w:r>
          </w:p>
        </w:tc>
        <w:tc>
          <w:tcPr>
            <w:tcW w:w="78" w:type="dxa"/>
            <w:tcBorders>
              <w:left w:val="nil"/>
            </w:tcBorders>
            <w:shd w:val="clear" w:color="auto" w:fill="auto"/>
          </w:tcPr>
          <w:p w:rsidR="00A33CE1" w:rsidRPr="00A33CE1" w:rsidRDefault="00A33CE1" w:rsidP="00A33CE1">
            <w:pPr>
              <w:spacing w:after="0" w:line="240" w:lineRule="auto"/>
              <w:rPr>
                <w:rFonts w:eastAsia="MS ??" w:cs="Times New Roman"/>
                <w:sz w:val="18"/>
                <w:szCs w:val="18"/>
              </w:rPr>
            </w:pPr>
          </w:p>
        </w:tc>
        <w:tc>
          <w:tcPr>
            <w:tcW w:w="707" w:type="dxa"/>
            <w:shd w:val="clear" w:color="auto" w:fill="auto"/>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Other</w:t>
            </w:r>
          </w:p>
        </w:tc>
        <w:tc>
          <w:tcPr>
            <w:tcW w:w="4359" w:type="dxa"/>
            <w:shd w:val="clear" w:color="auto" w:fill="auto"/>
          </w:tcPr>
          <w:p w:rsidR="00A33CE1" w:rsidRPr="00A33CE1" w:rsidRDefault="00A33CE1" w:rsidP="00A33CE1">
            <w:pPr>
              <w:spacing w:after="0" w:line="240" w:lineRule="auto"/>
              <w:rPr>
                <w:rFonts w:eastAsia="MS ??" w:cs="Times New Roman"/>
                <w:sz w:val="18"/>
                <w:szCs w:val="18"/>
              </w:rPr>
            </w:pPr>
            <w:r w:rsidRPr="00A33CE1">
              <w:rPr>
                <w:rFonts w:eastAsia="MS Mincho" w:cs="Times New Roman"/>
                <w:sz w:val="18"/>
                <w:szCs w:val="18"/>
                <w:lang w:val="en-GB"/>
              </w:rPr>
              <w:t>UNDP’s contributions to the UN system’s efforts towards poverty eradication</w:t>
            </w:r>
          </w:p>
        </w:tc>
        <w:tc>
          <w:tcPr>
            <w:tcW w:w="1275" w:type="dxa"/>
            <w:shd w:val="clear" w:color="auto" w:fill="auto"/>
          </w:tcPr>
          <w:p w:rsidR="00A33CE1" w:rsidRPr="00A33CE1" w:rsidRDefault="00A33CE1" w:rsidP="00A33CE1">
            <w:pPr>
              <w:spacing w:after="0" w:line="240" w:lineRule="auto"/>
              <w:rPr>
                <w:rFonts w:eastAsia="MS ??" w:cs="Times New Roman"/>
                <w:b/>
                <w:color w:val="00B050"/>
                <w:sz w:val="18"/>
                <w:szCs w:val="18"/>
              </w:rPr>
            </w:pPr>
            <w:r w:rsidRPr="00A33CE1">
              <w:rPr>
                <w:rFonts w:eastAsia="MS ??" w:cs="Times New Roman"/>
                <w:b/>
                <w:color w:val="00B050"/>
                <w:sz w:val="18"/>
                <w:szCs w:val="18"/>
              </w:rPr>
              <w:t xml:space="preserve">Ongoing </w:t>
            </w:r>
          </w:p>
        </w:tc>
        <w:tc>
          <w:tcPr>
            <w:tcW w:w="5103" w:type="dxa"/>
            <w:shd w:val="clear" w:color="auto" w:fill="auto"/>
          </w:tcPr>
          <w:p w:rsidR="00A33CE1" w:rsidRPr="00A33CE1" w:rsidRDefault="00584624" w:rsidP="009D7DC3">
            <w:pPr>
              <w:spacing w:after="0" w:line="240" w:lineRule="auto"/>
              <w:rPr>
                <w:rFonts w:eastAsia="MS Mincho" w:cs="Times New Roman"/>
                <w:sz w:val="18"/>
                <w:szCs w:val="18"/>
                <w:lang w:val="en-GB"/>
              </w:rPr>
            </w:pPr>
            <w:r>
              <w:rPr>
                <w:rFonts w:eastAsia="MS Mincho" w:cs="Times New Roman"/>
                <w:sz w:val="18"/>
                <w:szCs w:val="18"/>
                <w:lang w:val="en-GB"/>
              </w:rPr>
              <w:t xml:space="preserve">UNDP’s SP 2014-2017 </w:t>
            </w:r>
            <w:r w:rsidR="00007132">
              <w:rPr>
                <w:rFonts w:eastAsia="MS Mincho" w:cs="Times New Roman"/>
                <w:sz w:val="18"/>
                <w:szCs w:val="18"/>
                <w:lang w:val="en-GB"/>
              </w:rPr>
              <w:t xml:space="preserve">has as its vision the “Eradication of poverty and significant reduction of inequalities and exclusion”.  </w:t>
            </w:r>
            <w:r w:rsidR="007B7D1D">
              <w:rPr>
                <w:rFonts w:eastAsia="MS Mincho" w:cs="Times New Roman"/>
                <w:sz w:val="18"/>
                <w:szCs w:val="18"/>
                <w:lang w:val="en-GB"/>
              </w:rPr>
              <w:t xml:space="preserve">It will contribute to this vision through supporting sustainable development pathways, inclusive and effective democratic governance, and </w:t>
            </w:r>
            <w:r w:rsidR="00DB72C3">
              <w:rPr>
                <w:rFonts w:eastAsia="MS Mincho" w:cs="Times New Roman"/>
                <w:sz w:val="18"/>
                <w:szCs w:val="18"/>
                <w:lang w:val="en-GB"/>
              </w:rPr>
              <w:t xml:space="preserve">building resilience, with a particular focus on voice and opportunities for excluded and vulnerable populations.  </w:t>
            </w:r>
            <w:r w:rsidR="00A33CE1" w:rsidRPr="00A33CE1">
              <w:rPr>
                <w:rFonts w:eastAsia="MS Mincho" w:cs="Times New Roman"/>
                <w:sz w:val="18"/>
                <w:szCs w:val="18"/>
                <w:lang w:val="en-GB"/>
              </w:rPr>
              <w:t xml:space="preserve">UNDP coordinates with the UN system through a number of fora and joint initiatives for poverty reduction. </w:t>
            </w:r>
            <w:r w:rsidR="009D7DC3">
              <w:rPr>
                <w:rFonts w:eastAsia="MS Mincho" w:cs="Times New Roman"/>
                <w:sz w:val="18"/>
                <w:szCs w:val="18"/>
                <w:lang w:val="en-GB"/>
              </w:rPr>
              <w:t>For example, t</w:t>
            </w:r>
            <w:r w:rsidR="00A33CE1" w:rsidRPr="00A33CE1">
              <w:rPr>
                <w:rFonts w:eastAsia="MS Mincho" w:cs="Times New Roman"/>
                <w:sz w:val="18"/>
                <w:szCs w:val="18"/>
                <w:lang w:val="en-GB"/>
              </w:rPr>
              <w:t>hrough the MDG Task Force – an UN wide platform to advance MDG achievement as related to poverty reduction issues – UNDP coordinates with the rest of the system on ways to enhance support to countries on MDG acceleration ef</w:t>
            </w:r>
            <w:r w:rsidR="00C65B58">
              <w:rPr>
                <w:rFonts w:eastAsia="MS Mincho" w:cs="Times New Roman"/>
                <w:sz w:val="18"/>
                <w:szCs w:val="18"/>
                <w:lang w:val="en-GB"/>
              </w:rPr>
              <w:t>forts. Since 2010, a total of 56</w:t>
            </w:r>
            <w:r w:rsidR="00A33CE1" w:rsidRPr="00A33CE1">
              <w:rPr>
                <w:rFonts w:eastAsia="MS Mincho" w:cs="Times New Roman"/>
                <w:sz w:val="18"/>
                <w:szCs w:val="18"/>
                <w:lang w:val="en-GB"/>
              </w:rPr>
              <w:t xml:space="preserve"> countries from all regions have used the MAF to develop and implement MDG action plans in the areas of maternal health, poverty, hunger, employment, water and sanitation, HIV/AIDS, at both national and sub-national levels. The MAF reflects a global determination towards MDG acceleration. UNDP continues to facilitate country reporting on the </w:t>
            </w:r>
            <w:r w:rsidR="009D7DC3">
              <w:rPr>
                <w:rFonts w:eastAsia="MS Mincho" w:cs="Times New Roman"/>
                <w:sz w:val="18"/>
                <w:szCs w:val="18"/>
                <w:lang w:val="en-GB"/>
              </w:rPr>
              <w:t>achievement</w:t>
            </w:r>
            <w:r w:rsidR="00A33CE1" w:rsidRPr="00A33CE1">
              <w:rPr>
                <w:rFonts w:eastAsia="MS Mincho" w:cs="Times New Roman"/>
                <w:sz w:val="18"/>
                <w:szCs w:val="18"/>
                <w:lang w:val="en-GB"/>
              </w:rPr>
              <w:t xml:space="preserve"> of the MDGs, while enabling the transition to the new global agenda.</w:t>
            </w:r>
          </w:p>
        </w:tc>
        <w:tc>
          <w:tcPr>
            <w:tcW w:w="1276" w:type="dxa"/>
            <w:shd w:val="clear" w:color="auto" w:fill="auto"/>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N/A</w:t>
            </w:r>
          </w:p>
        </w:tc>
      </w:tr>
      <w:tr w:rsidR="00A33CE1" w:rsidRPr="00A33CE1" w:rsidTr="000B2F98">
        <w:tc>
          <w:tcPr>
            <w:tcW w:w="13453" w:type="dxa"/>
            <w:gridSpan w:val="7"/>
            <w:shd w:val="clear" w:color="auto" w:fill="BFBFBF"/>
          </w:tcPr>
          <w:p w:rsidR="00A33CE1" w:rsidRPr="00A33CE1" w:rsidRDefault="00A33CE1" w:rsidP="00A33CE1">
            <w:pPr>
              <w:spacing w:after="0" w:line="240" w:lineRule="auto"/>
              <w:rPr>
                <w:rFonts w:eastAsia="MS ??" w:cs="Times New Roman"/>
                <w:b/>
                <w:sz w:val="18"/>
                <w:szCs w:val="18"/>
              </w:rPr>
            </w:pPr>
            <w:r w:rsidRPr="00A33CE1">
              <w:rPr>
                <w:rFonts w:eastAsia="MS ??" w:cs="Times New Roman"/>
                <w:b/>
                <w:sz w:val="18"/>
                <w:szCs w:val="18"/>
              </w:rPr>
              <w:t>SOUTH-SOUTH COOPERATION AND DEVELOPMENT OF NATIONAL CAPACITIES</w:t>
            </w:r>
          </w:p>
        </w:tc>
      </w:tr>
      <w:tr w:rsidR="00A33CE1" w:rsidRPr="00A33CE1" w:rsidTr="000B2F98">
        <w:tc>
          <w:tcPr>
            <w:tcW w:w="655" w:type="dxa"/>
            <w:tcBorders>
              <w:right w:val="nil"/>
            </w:tcBorders>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32</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74,77</w:t>
            </w: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of UN entities that integrate south-south cooperation into their strategic plan.</w:t>
            </w:r>
          </w:p>
        </w:tc>
        <w:tc>
          <w:tcPr>
            <w:tcW w:w="1275" w:type="dxa"/>
          </w:tcPr>
          <w:p w:rsidR="00A33CE1" w:rsidRPr="00A33CE1" w:rsidRDefault="00A33CE1" w:rsidP="00A33CE1">
            <w:pPr>
              <w:spacing w:after="0" w:line="240" w:lineRule="auto"/>
              <w:rPr>
                <w:rFonts w:eastAsia="MS ??" w:cs="Times New Roman"/>
                <w:b/>
                <w:color w:val="00B050"/>
                <w:sz w:val="18"/>
                <w:szCs w:val="18"/>
              </w:rPr>
            </w:pPr>
            <w:r w:rsidRPr="00A33CE1">
              <w:rPr>
                <w:rFonts w:eastAsia="MS ??" w:cs="Times New Roman"/>
                <w:b/>
                <w:color w:val="00B050"/>
                <w:sz w:val="18"/>
                <w:szCs w:val="18"/>
              </w:rPr>
              <w:t>Achieved</w:t>
            </w:r>
          </w:p>
          <w:p w:rsidR="00A33CE1" w:rsidRPr="00A33CE1" w:rsidRDefault="00A33CE1" w:rsidP="00A33CE1">
            <w:pPr>
              <w:spacing w:after="0" w:line="240" w:lineRule="auto"/>
              <w:rPr>
                <w:rFonts w:eastAsia="MS ??" w:cs="Times New Roman"/>
                <w:color w:val="00B050"/>
                <w:sz w:val="18"/>
                <w:szCs w:val="18"/>
              </w:rPr>
            </w:pPr>
          </w:p>
        </w:tc>
        <w:tc>
          <w:tcPr>
            <w:tcW w:w="5103" w:type="dxa"/>
          </w:tcPr>
          <w:p w:rsidR="00A33CE1" w:rsidRPr="00A33CE1" w:rsidRDefault="00A33CE1" w:rsidP="00A67120">
            <w:pPr>
              <w:spacing w:after="0" w:line="240" w:lineRule="auto"/>
              <w:rPr>
                <w:rFonts w:eastAsia="MS ??" w:cs="Times New Roman"/>
                <w:sz w:val="18"/>
                <w:szCs w:val="18"/>
              </w:rPr>
            </w:pPr>
            <w:r w:rsidRPr="00A33CE1">
              <w:rPr>
                <w:rFonts w:eastAsia="MS Mincho" w:cs="Times New Roman"/>
                <w:sz w:val="18"/>
                <w:szCs w:val="18"/>
                <w:lang w:val="en-GB"/>
              </w:rPr>
              <w:t xml:space="preserve">UNDP has prioritised SSC as a </w:t>
            </w:r>
            <w:r w:rsidR="00A67120">
              <w:rPr>
                <w:rFonts w:eastAsia="MS Mincho" w:cs="Times New Roman"/>
                <w:sz w:val="18"/>
                <w:szCs w:val="18"/>
                <w:lang w:val="en-GB"/>
              </w:rPr>
              <w:t>mainstreamed</w:t>
            </w:r>
            <w:r w:rsidRPr="00A33CE1">
              <w:rPr>
                <w:rFonts w:eastAsia="MS Mincho" w:cs="Times New Roman"/>
                <w:sz w:val="18"/>
                <w:szCs w:val="18"/>
                <w:lang w:val="en-GB"/>
              </w:rPr>
              <w:t xml:space="preserve"> way of working in its new Strategic Plan (2014-17). UNDP will serve as a knowledge broker, a capacity development supporter, and a partnership </w:t>
            </w:r>
            <w:r w:rsidRPr="00A33CE1">
              <w:rPr>
                <w:rFonts w:eastAsia="MS Mincho" w:cs="Times New Roman"/>
                <w:sz w:val="18"/>
                <w:szCs w:val="18"/>
                <w:lang w:val="en-GB"/>
              </w:rPr>
              <w:lastRenderedPageBreak/>
              <w:t>facilitator in supporting SSC, utilizing its global, regional and country programme reach and resources.</w:t>
            </w:r>
            <w:r w:rsidR="00A67120">
              <w:rPr>
                <w:rFonts w:eastAsia="MS Mincho" w:cs="Times New Roman"/>
                <w:sz w:val="18"/>
                <w:szCs w:val="18"/>
                <w:lang w:val="en-GB"/>
              </w:rPr>
              <w:t xml:space="preserve">  UNDP has committed to developing an organisational strategy for SS&amp;TC by the end of 2014, in support of the SP.</w:t>
            </w:r>
          </w:p>
        </w:tc>
        <w:tc>
          <w:tcPr>
            <w:tcW w:w="1276"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lastRenderedPageBreak/>
              <w:t>S-G report</w:t>
            </w:r>
          </w:p>
        </w:tc>
      </w:tr>
      <w:tr w:rsidR="00A33CE1" w:rsidRPr="00A33CE1" w:rsidTr="000B2F98">
        <w:tc>
          <w:tcPr>
            <w:tcW w:w="655" w:type="dxa"/>
            <w:tcBorders>
              <w:right w:val="nil"/>
            </w:tcBorders>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lastRenderedPageBreak/>
              <w:t>33</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74 ,77</w:t>
            </w: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of UN entities that actively report on south-south cooperation in their annual reports</w:t>
            </w:r>
          </w:p>
        </w:tc>
        <w:tc>
          <w:tcPr>
            <w:tcW w:w="1275" w:type="dxa"/>
          </w:tcPr>
          <w:p w:rsidR="00A33CE1" w:rsidRPr="00A33CE1" w:rsidRDefault="002B1805" w:rsidP="00A33CE1">
            <w:pPr>
              <w:spacing w:after="0" w:line="240" w:lineRule="auto"/>
              <w:rPr>
                <w:rFonts w:eastAsia="MS ??" w:cs="Times New Roman"/>
                <w:b/>
                <w:color w:val="00B050"/>
                <w:sz w:val="18"/>
                <w:szCs w:val="18"/>
              </w:rPr>
            </w:pPr>
            <w:r>
              <w:rPr>
                <w:rFonts w:eastAsia="MS ??" w:cs="Times New Roman"/>
                <w:b/>
                <w:color w:val="00B050"/>
                <w:sz w:val="18"/>
                <w:szCs w:val="18"/>
              </w:rPr>
              <w:t>Ongoing</w:t>
            </w:r>
          </w:p>
          <w:p w:rsidR="00A33CE1" w:rsidRPr="00A33CE1" w:rsidRDefault="00A33CE1" w:rsidP="00A33CE1">
            <w:pPr>
              <w:spacing w:after="0" w:line="240" w:lineRule="auto"/>
              <w:rPr>
                <w:rFonts w:eastAsia="MS ??" w:cs="Times New Roman"/>
                <w:color w:val="00B050"/>
                <w:sz w:val="18"/>
                <w:szCs w:val="18"/>
              </w:rPr>
            </w:pPr>
          </w:p>
        </w:tc>
        <w:tc>
          <w:tcPr>
            <w:tcW w:w="5103" w:type="dxa"/>
          </w:tcPr>
          <w:p w:rsidR="00A33CE1" w:rsidRPr="00A33CE1" w:rsidRDefault="00A33CE1" w:rsidP="00A33CE1">
            <w:pPr>
              <w:spacing w:after="0" w:line="240" w:lineRule="auto"/>
              <w:rPr>
                <w:rFonts w:eastAsia="MS Mincho" w:cs="Times New Roman"/>
                <w:sz w:val="18"/>
                <w:szCs w:val="18"/>
                <w:lang w:val="en-GB"/>
              </w:rPr>
            </w:pPr>
            <w:r w:rsidRPr="00A33CE1">
              <w:rPr>
                <w:rFonts w:eastAsia="MS Mincho" w:cs="Times New Roman"/>
                <w:sz w:val="18"/>
                <w:szCs w:val="18"/>
                <w:lang w:val="en-GB"/>
              </w:rPr>
              <w:t xml:space="preserve">UNDP has integrated SSC-related questions into its corporate Annual Result Oriented Reporting system, enabling country offices and all units in the organization to systematically report on SSC results. </w:t>
            </w:r>
            <w:r w:rsidR="001E7311">
              <w:rPr>
                <w:rFonts w:eastAsia="MS Mincho" w:cs="Times New Roman"/>
                <w:sz w:val="18"/>
                <w:szCs w:val="18"/>
                <w:lang w:val="en-GB"/>
              </w:rPr>
              <w:t xml:space="preserve">On this basis, UNDP has reported on SSC in its annual reports for the past three years.  </w:t>
            </w:r>
            <w:r w:rsidRPr="00A33CE1">
              <w:rPr>
                <w:rFonts w:eastAsia="MS Mincho" w:cs="Times New Roman"/>
                <w:sz w:val="18"/>
                <w:szCs w:val="18"/>
                <w:lang w:val="en-GB"/>
              </w:rPr>
              <w:t>As of 2013, UNDP had in total seven partnership agreements seeking to expand South-South cooperation with the following emerging economies: India, Indonesia, Brazil, China, Mexico, South Africa and Turkey. Operationalization of the seven partnership agreements continued in 2013.</w:t>
            </w:r>
          </w:p>
        </w:tc>
        <w:tc>
          <w:tcPr>
            <w:tcW w:w="1276"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Annual Report</w:t>
            </w:r>
          </w:p>
        </w:tc>
      </w:tr>
      <w:tr w:rsidR="00A33CE1" w:rsidRPr="00A33CE1" w:rsidTr="000B2F98">
        <w:tc>
          <w:tcPr>
            <w:tcW w:w="13453" w:type="dxa"/>
            <w:gridSpan w:val="7"/>
            <w:shd w:val="clear" w:color="auto" w:fill="BFBFBF"/>
          </w:tcPr>
          <w:p w:rsidR="00A33CE1" w:rsidRPr="00A33CE1" w:rsidRDefault="00A33CE1" w:rsidP="00A33CE1">
            <w:pPr>
              <w:spacing w:after="0" w:line="240" w:lineRule="auto"/>
              <w:rPr>
                <w:rFonts w:eastAsia="MS ??" w:cs="Times New Roman"/>
                <w:b/>
                <w:sz w:val="18"/>
                <w:szCs w:val="18"/>
              </w:rPr>
            </w:pPr>
            <w:r w:rsidRPr="00A33CE1">
              <w:rPr>
                <w:rFonts w:eastAsia="MS ??" w:cs="Times New Roman"/>
                <w:b/>
                <w:sz w:val="18"/>
                <w:szCs w:val="18"/>
              </w:rPr>
              <w:t>GENDER EQUALITY AND WOMEN’S EMPOWERMENT</w:t>
            </w:r>
          </w:p>
        </w:tc>
      </w:tr>
      <w:tr w:rsidR="00A33CE1" w:rsidRPr="00A33CE1" w:rsidTr="000B2F98">
        <w:trPr>
          <w:trHeight w:val="422"/>
        </w:trPr>
        <w:tc>
          <w:tcPr>
            <w:tcW w:w="655" w:type="dxa"/>
            <w:tcBorders>
              <w:right w:val="nil"/>
            </w:tcBorders>
            <w:shd w:val="clear" w:color="auto" w:fill="auto"/>
          </w:tcPr>
          <w:p w:rsidR="00A33CE1" w:rsidRPr="00A33CE1" w:rsidRDefault="00A33CE1" w:rsidP="00A33CE1">
            <w:pPr>
              <w:spacing w:before="1" w:after="0" w:line="240" w:lineRule="auto"/>
              <w:rPr>
                <w:rFonts w:eastAsia="MS ??" w:cs="Times New Roman"/>
                <w:sz w:val="18"/>
                <w:szCs w:val="18"/>
              </w:rPr>
            </w:pPr>
            <w:r w:rsidRPr="00A33CE1">
              <w:rPr>
                <w:rFonts w:eastAsia="MS ??" w:cs="Times New Roman"/>
                <w:sz w:val="18"/>
                <w:szCs w:val="18"/>
              </w:rPr>
              <w:t>37</w:t>
            </w:r>
          </w:p>
        </w:tc>
        <w:tc>
          <w:tcPr>
            <w:tcW w:w="78" w:type="dxa"/>
            <w:tcBorders>
              <w:left w:val="nil"/>
            </w:tcBorders>
            <w:shd w:val="clear" w:color="auto" w:fill="auto"/>
          </w:tcPr>
          <w:p w:rsidR="00A33CE1" w:rsidRPr="00A33CE1" w:rsidRDefault="00A33CE1" w:rsidP="00A33CE1">
            <w:pPr>
              <w:spacing w:after="0" w:line="240" w:lineRule="auto"/>
              <w:rPr>
                <w:rFonts w:eastAsia="MS ??" w:cs="Times New Roman"/>
                <w:sz w:val="18"/>
                <w:szCs w:val="18"/>
              </w:rPr>
            </w:pPr>
          </w:p>
        </w:tc>
        <w:tc>
          <w:tcPr>
            <w:tcW w:w="707" w:type="dxa"/>
            <w:shd w:val="clear" w:color="auto" w:fill="auto"/>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86</w:t>
            </w:r>
          </w:p>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89</w:t>
            </w:r>
          </w:p>
        </w:tc>
        <w:tc>
          <w:tcPr>
            <w:tcW w:w="4359" w:type="dxa"/>
            <w:shd w:val="clear" w:color="auto" w:fill="auto"/>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xml:space="preserve"># of UN entities that track and report on allocations and expenditures using gender markers </w:t>
            </w:r>
          </w:p>
        </w:tc>
        <w:tc>
          <w:tcPr>
            <w:tcW w:w="1275" w:type="dxa"/>
            <w:shd w:val="clear" w:color="auto" w:fill="auto"/>
          </w:tcPr>
          <w:p w:rsidR="00A33CE1" w:rsidRPr="00A33CE1" w:rsidRDefault="00A33CE1" w:rsidP="00A33CE1">
            <w:pPr>
              <w:spacing w:after="0" w:line="240" w:lineRule="auto"/>
              <w:rPr>
                <w:rFonts w:eastAsia="MS ??" w:cs="Times New Roman"/>
                <w:b/>
                <w:color w:val="00B050"/>
                <w:sz w:val="18"/>
                <w:szCs w:val="18"/>
              </w:rPr>
            </w:pPr>
            <w:r w:rsidRPr="00A33CE1">
              <w:rPr>
                <w:rFonts w:eastAsia="MS ??" w:cs="Times New Roman"/>
                <w:b/>
                <w:color w:val="00B050"/>
                <w:sz w:val="18"/>
                <w:szCs w:val="18"/>
              </w:rPr>
              <w:t>Ongoing</w:t>
            </w:r>
          </w:p>
          <w:p w:rsidR="00A33CE1" w:rsidRPr="00A33CE1" w:rsidRDefault="00A33CE1" w:rsidP="00A33CE1">
            <w:pPr>
              <w:spacing w:after="0" w:line="240" w:lineRule="auto"/>
              <w:rPr>
                <w:rFonts w:eastAsia="MS ??" w:cs="Times New Roman"/>
                <w:sz w:val="18"/>
                <w:szCs w:val="18"/>
              </w:rPr>
            </w:pPr>
          </w:p>
        </w:tc>
        <w:tc>
          <w:tcPr>
            <w:tcW w:w="5103" w:type="dxa"/>
            <w:shd w:val="clear" w:color="auto" w:fill="auto"/>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In 2010 UNDP rolled out a gender marker for tracking expenditures made to advance (or contribute to achieving) gender equality and the empowerment of women. The Gender Marker allows UNDP to track budget and expenditur</w:t>
            </w:r>
            <w:r w:rsidR="002B1805">
              <w:rPr>
                <w:rFonts w:eastAsia="MS ??" w:cs="Times New Roman"/>
                <w:sz w:val="18"/>
                <w:szCs w:val="18"/>
              </w:rPr>
              <w:t>e for gender equality results; m</w:t>
            </w:r>
            <w:r w:rsidRPr="00A33CE1">
              <w:rPr>
                <w:rFonts w:eastAsia="MS ??" w:cs="Times New Roman"/>
                <w:sz w:val="18"/>
                <w:szCs w:val="18"/>
              </w:rPr>
              <w:t>onitor and analyze trends b</w:t>
            </w:r>
            <w:r w:rsidR="002B1805">
              <w:rPr>
                <w:rFonts w:eastAsia="MS ??" w:cs="Times New Roman"/>
                <w:sz w:val="18"/>
                <w:szCs w:val="18"/>
              </w:rPr>
              <w:t>y region, country and outcome; h</w:t>
            </w:r>
            <w:r w:rsidRPr="00A33CE1">
              <w:rPr>
                <w:rFonts w:eastAsia="MS ??" w:cs="Times New Roman"/>
                <w:sz w:val="18"/>
                <w:szCs w:val="18"/>
              </w:rPr>
              <w:t>ave a more efficient planning and decision making and improve overall UNDP reporting and accountability on gender equality. UNDP reports every year on gender marker results to the Executive Board and UN-SWAP.</w:t>
            </w:r>
          </w:p>
        </w:tc>
        <w:tc>
          <w:tcPr>
            <w:tcW w:w="1276" w:type="dxa"/>
            <w:shd w:val="clear" w:color="auto" w:fill="auto"/>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S-G report</w:t>
            </w:r>
          </w:p>
        </w:tc>
      </w:tr>
      <w:tr w:rsidR="00A33CE1" w:rsidRPr="00A33CE1" w:rsidTr="000B2F98">
        <w:tc>
          <w:tcPr>
            <w:tcW w:w="655" w:type="dxa"/>
            <w:tcBorders>
              <w:right w:val="nil"/>
            </w:tcBorders>
            <w:shd w:val="clear" w:color="auto" w:fill="auto"/>
          </w:tcPr>
          <w:p w:rsidR="00A33CE1" w:rsidRPr="00A33CE1" w:rsidRDefault="00A33CE1" w:rsidP="00A33CE1">
            <w:pPr>
              <w:spacing w:before="8" w:after="0" w:line="240" w:lineRule="auto"/>
              <w:rPr>
                <w:rFonts w:eastAsia="MS ??" w:cs="Times New Roman"/>
                <w:sz w:val="18"/>
                <w:szCs w:val="18"/>
              </w:rPr>
            </w:pPr>
            <w:r w:rsidRPr="00A33CE1">
              <w:rPr>
                <w:rFonts w:eastAsia="MS ??" w:cs="Times New Roman"/>
                <w:sz w:val="18"/>
                <w:szCs w:val="18"/>
              </w:rPr>
              <w:t xml:space="preserve">39 </w:t>
            </w:r>
          </w:p>
        </w:tc>
        <w:tc>
          <w:tcPr>
            <w:tcW w:w="78" w:type="dxa"/>
            <w:tcBorders>
              <w:left w:val="nil"/>
            </w:tcBorders>
            <w:shd w:val="clear" w:color="auto" w:fill="auto"/>
          </w:tcPr>
          <w:p w:rsidR="00A33CE1" w:rsidRPr="00A33CE1" w:rsidRDefault="00A33CE1" w:rsidP="00A33CE1">
            <w:pPr>
              <w:spacing w:after="0" w:line="240" w:lineRule="auto"/>
              <w:rPr>
                <w:rFonts w:eastAsia="MS ??" w:cs="Times New Roman"/>
                <w:sz w:val="18"/>
                <w:szCs w:val="18"/>
              </w:rPr>
            </w:pPr>
          </w:p>
        </w:tc>
        <w:tc>
          <w:tcPr>
            <w:tcW w:w="707" w:type="dxa"/>
            <w:shd w:val="clear" w:color="auto" w:fill="auto"/>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86</w:t>
            </w:r>
          </w:p>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92</w:t>
            </w:r>
          </w:p>
        </w:tc>
        <w:tc>
          <w:tcPr>
            <w:tcW w:w="4359" w:type="dxa"/>
            <w:shd w:val="clear" w:color="auto" w:fill="auto"/>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of entities that have achieved gender balance among both General Service staff and high-level posts (P4 and above)</w:t>
            </w:r>
          </w:p>
        </w:tc>
        <w:tc>
          <w:tcPr>
            <w:tcW w:w="1275" w:type="dxa"/>
            <w:shd w:val="clear" w:color="auto" w:fill="auto"/>
          </w:tcPr>
          <w:p w:rsidR="00A33CE1" w:rsidRPr="00A33CE1" w:rsidRDefault="00A33CE1" w:rsidP="00A33CE1">
            <w:pPr>
              <w:spacing w:after="0" w:line="240" w:lineRule="auto"/>
              <w:rPr>
                <w:rFonts w:eastAsia="MS ??" w:cs="Times New Roman"/>
                <w:b/>
                <w:sz w:val="18"/>
                <w:szCs w:val="18"/>
              </w:rPr>
            </w:pPr>
            <w:r w:rsidRPr="00A33CE1">
              <w:rPr>
                <w:rFonts w:eastAsia="MS ??" w:cs="Times New Roman"/>
                <w:b/>
                <w:color w:val="FFC000"/>
                <w:sz w:val="18"/>
                <w:szCs w:val="18"/>
              </w:rPr>
              <w:t>In progress</w:t>
            </w:r>
          </w:p>
        </w:tc>
        <w:tc>
          <w:tcPr>
            <w:tcW w:w="5103" w:type="dxa"/>
            <w:shd w:val="clear" w:color="auto" w:fill="auto"/>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A Gender Parity Strategy was endorsed by UNDP senior management in July 2013. As of April 2014, close to 50% of UNDP staff are women. In the entire workforce (among staff and Service Contract holders) women account for a somewhat lower 42%. Among international professionals, 42% are women, with disparities between men and women still persisting, especially at the P4/P5 and D1/D2 level.</w:t>
            </w:r>
          </w:p>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xml:space="preserve">To improve gender balance among UNDP personnel, a number of important projects and processes were commenced in line with actions envisaged by the Strategy. Some of the most noteworthy ones include: </w:t>
            </w:r>
            <w:r w:rsidR="00E403DD">
              <w:rPr>
                <w:rFonts w:eastAsia="MS ??" w:cs="Times New Roman"/>
                <w:sz w:val="18"/>
                <w:szCs w:val="18"/>
              </w:rPr>
              <w:t xml:space="preserve">a review of selection processes to better understand gender biases in recruitment decisions; </w:t>
            </w:r>
            <w:r w:rsidRPr="00A33CE1">
              <w:rPr>
                <w:rFonts w:eastAsia="MS ??" w:cs="Times New Roman"/>
                <w:sz w:val="18"/>
                <w:szCs w:val="18"/>
              </w:rPr>
              <w:t>a Talent Management Programme for Female Professionals, a virtual Mentoring Programme for Mid-Level Women professionals, the development and inclusion of gender-related competencies in the new technical competencies framework as a step towards ensuring availability of relevant capacity in the organization.</w:t>
            </w:r>
          </w:p>
        </w:tc>
        <w:tc>
          <w:tcPr>
            <w:tcW w:w="1276" w:type="dxa"/>
            <w:shd w:val="clear" w:color="auto" w:fill="auto"/>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S-G report</w:t>
            </w:r>
          </w:p>
        </w:tc>
      </w:tr>
      <w:tr w:rsidR="00A33CE1" w:rsidRPr="00A33CE1" w:rsidTr="000B2F98">
        <w:tc>
          <w:tcPr>
            <w:tcW w:w="655" w:type="dxa"/>
            <w:tcBorders>
              <w:right w:val="nil"/>
            </w:tcBorders>
            <w:shd w:val="clear" w:color="auto" w:fill="auto"/>
          </w:tcPr>
          <w:p w:rsidR="00A33CE1" w:rsidRPr="00A33CE1" w:rsidRDefault="00A33CE1" w:rsidP="00A33CE1">
            <w:pPr>
              <w:spacing w:before="8" w:after="0" w:line="240" w:lineRule="auto"/>
              <w:rPr>
                <w:rFonts w:eastAsia="MS ??" w:cs="Times New Roman"/>
                <w:sz w:val="18"/>
                <w:szCs w:val="18"/>
              </w:rPr>
            </w:pPr>
            <w:r w:rsidRPr="00A33CE1">
              <w:rPr>
                <w:rFonts w:eastAsia="MS ??" w:cs="Times New Roman"/>
                <w:sz w:val="18"/>
                <w:szCs w:val="18"/>
              </w:rPr>
              <w:t>N/A</w:t>
            </w:r>
          </w:p>
        </w:tc>
        <w:tc>
          <w:tcPr>
            <w:tcW w:w="78" w:type="dxa"/>
            <w:tcBorders>
              <w:left w:val="nil"/>
            </w:tcBorders>
            <w:shd w:val="clear" w:color="auto" w:fill="auto"/>
          </w:tcPr>
          <w:p w:rsidR="00A33CE1" w:rsidRPr="00A33CE1" w:rsidRDefault="00A33CE1" w:rsidP="00A33CE1">
            <w:pPr>
              <w:spacing w:after="0" w:line="240" w:lineRule="auto"/>
              <w:rPr>
                <w:rFonts w:eastAsia="MS ??" w:cs="Times New Roman"/>
                <w:sz w:val="18"/>
                <w:szCs w:val="18"/>
              </w:rPr>
            </w:pPr>
          </w:p>
        </w:tc>
        <w:tc>
          <w:tcPr>
            <w:tcW w:w="707" w:type="dxa"/>
            <w:shd w:val="clear" w:color="auto" w:fill="auto"/>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xml:space="preserve"> Other</w:t>
            </w:r>
          </w:p>
        </w:tc>
        <w:tc>
          <w:tcPr>
            <w:tcW w:w="4359" w:type="dxa"/>
            <w:shd w:val="clear" w:color="auto" w:fill="auto"/>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Further UNDP contributions in the area of gender equality</w:t>
            </w:r>
          </w:p>
        </w:tc>
        <w:tc>
          <w:tcPr>
            <w:tcW w:w="1275" w:type="dxa"/>
            <w:shd w:val="clear" w:color="auto" w:fill="auto"/>
          </w:tcPr>
          <w:p w:rsidR="00A33CE1" w:rsidRPr="00A33CE1" w:rsidRDefault="00A33CE1" w:rsidP="00A33CE1">
            <w:pPr>
              <w:spacing w:after="0" w:line="240" w:lineRule="auto"/>
              <w:rPr>
                <w:rFonts w:eastAsia="MS ??" w:cs="Times New Roman"/>
                <w:b/>
                <w:sz w:val="18"/>
                <w:szCs w:val="18"/>
              </w:rPr>
            </w:pPr>
            <w:r w:rsidRPr="00A33CE1">
              <w:rPr>
                <w:rFonts w:eastAsia="MS ??" w:cs="Times New Roman"/>
                <w:b/>
                <w:color w:val="00B050"/>
                <w:sz w:val="18"/>
                <w:szCs w:val="18"/>
              </w:rPr>
              <w:t>Ongoing</w:t>
            </w:r>
          </w:p>
        </w:tc>
        <w:tc>
          <w:tcPr>
            <w:tcW w:w="5103" w:type="dxa"/>
            <w:shd w:val="clear" w:color="auto" w:fill="auto"/>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xml:space="preserve">UNDP is a lead agency of the UN system committed to support the promotion of accountability of gender investments. UNDP co-chaired the Subgroup that prepared the Guidance Note on common </w:t>
            </w:r>
            <w:r w:rsidRPr="00A33CE1">
              <w:rPr>
                <w:rFonts w:eastAsia="MS ??" w:cs="Times New Roman"/>
                <w:sz w:val="18"/>
                <w:szCs w:val="18"/>
              </w:rPr>
              <w:lastRenderedPageBreak/>
              <w:t>principles and standards for gender markers endorsed by the UNDG.</w:t>
            </w:r>
          </w:p>
        </w:tc>
        <w:tc>
          <w:tcPr>
            <w:tcW w:w="1276" w:type="dxa"/>
            <w:shd w:val="clear" w:color="auto" w:fill="auto"/>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lastRenderedPageBreak/>
              <w:t>N/A</w:t>
            </w:r>
          </w:p>
        </w:tc>
      </w:tr>
      <w:tr w:rsidR="00A33CE1" w:rsidRPr="00A33CE1" w:rsidTr="000B2F98">
        <w:tc>
          <w:tcPr>
            <w:tcW w:w="13453" w:type="dxa"/>
            <w:gridSpan w:val="7"/>
            <w:shd w:val="clear" w:color="auto" w:fill="BFBFBF"/>
          </w:tcPr>
          <w:p w:rsidR="00A33CE1" w:rsidRPr="00A33CE1" w:rsidRDefault="00A33CE1" w:rsidP="00A33CE1">
            <w:pPr>
              <w:spacing w:after="0" w:line="240" w:lineRule="auto"/>
              <w:rPr>
                <w:rFonts w:eastAsia="MS ??" w:cs="Times New Roman"/>
                <w:b/>
                <w:sz w:val="18"/>
                <w:szCs w:val="18"/>
              </w:rPr>
            </w:pPr>
            <w:r w:rsidRPr="00A33CE1">
              <w:rPr>
                <w:rFonts w:eastAsia="MS ??" w:cs="Times New Roman"/>
                <w:b/>
                <w:sz w:val="18"/>
                <w:szCs w:val="18"/>
              </w:rPr>
              <w:lastRenderedPageBreak/>
              <w:t>TRANSITION FROM RELIEF TO DEVELOPMENT</w:t>
            </w:r>
          </w:p>
        </w:tc>
      </w:tr>
      <w:tr w:rsidR="00A33CE1" w:rsidRPr="00A33CE1" w:rsidTr="000B2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5" w:type="dxa"/>
            <w:tcBorders>
              <w:top w:val="single" w:sz="4" w:space="0" w:color="auto"/>
              <w:left w:val="single" w:sz="4" w:space="0" w:color="auto"/>
              <w:bottom w:val="single" w:sz="4" w:space="0" w:color="auto"/>
            </w:tcBorders>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43</w:t>
            </w:r>
          </w:p>
        </w:tc>
        <w:tc>
          <w:tcPr>
            <w:tcW w:w="78" w:type="dxa"/>
            <w:tcBorders>
              <w:top w:val="single" w:sz="4" w:space="0" w:color="auto"/>
              <w:left w:val="nil"/>
              <w:bottom w:val="single" w:sz="4" w:space="0" w:color="auto"/>
              <w:right w:val="single" w:sz="4" w:space="0" w:color="auto"/>
            </w:tcBorders>
          </w:tcPr>
          <w:p w:rsidR="00A33CE1" w:rsidRPr="00A33CE1" w:rsidRDefault="00A33CE1" w:rsidP="00A33CE1">
            <w:pPr>
              <w:spacing w:after="0" w:line="240" w:lineRule="auto"/>
              <w:rPr>
                <w:rFonts w:eastAsia="MS ??" w:cs="Times New Roman"/>
                <w:sz w:val="18"/>
                <w:szCs w:val="18"/>
              </w:rPr>
            </w:pPr>
          </w:p>
        </w:tc>
        <w:tc>
          <w:tcPr>
            <w:tcW w:w="707" w:type="dxa"/>
            <w:tcBorders>
              <w:top w:val="single" w:sz="4" w:space="0" w:color="auto"/>
              <w:left w:val="single" w:sz="4" w:space="0" w:color="auto"/>
              <w:bottom w:val="single" w:sz="4" w:space="0" w:color="auto"/>
              <w:right w:val="single" w:sz="4" w:space="0" w:color="auto"/>
            </w:tcBorders>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104, 105</w:t>
            </w:r>
          </w:p>
        </w:tc>
        <w:tc>
          <w:tcPr>
            <w:tcW w:w="4359" w:type="dxa"/>
            <w:tcBorders>
              <w:top w:val="single" w:sz="4" w:space="0" w:color="auto"/>
              <w:left w:val="single" w:sz="4" w:space="0" w:color="auto"/>
              <w:bottom w:val="single" w:sz="4" w:space="0" w:color="auto"/>
              <w:right w:val="single" w:sz="4" w:space="0" w:color="auto"/>
            </w:tcBorders>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xml:space="preserve"># of countries in which agreements / arrangements/ initiatives exist with key  partners including the Bretton Woods institutions for response to crisis </w:t>
            </w:r>
          </w:p>
        </w:tc>
        <w:tc>
          <w:tcPr>
            <w:tcW w:w="1275" w:type="dxa"/>
            <w:tcBorders>
              <w:top w:val="single" w:sz="4" w:space="0" w:color="auto"/>
              <w:left w:val="single" w:sz="4" w:space="0" w:color="auto"/>
              <w:bottom w:val="single" w:sz="4" w:space="0" w:color="auto"/>
              <w:right w:val="single" w:sz="4" w:space="0" w:color="auto"/>
            </w:tcBorders>
          </w:tcPr>
          <w:p w:rsidR="00A33CE1" w:rsidRPr="00A33CE1" w:rsidRDefault="00A33CE1" w:rsidP="00A33CE1">
            <w:pPr>
              <w:spacing w:after="0" w:line="240" w:lineRule="auto"/>
              <w:rPr>
                <w:rFonts w:eastAsia="MS ??" w:cs="Times New Roman"/>
                <w:b/>
                <w:sz w:val="18"/>
                <w:szCs w:val="18"/>
              </w:rPr>
            </w:pPr>
            <w:r w:rsidRPr="00A33CE1">
              <w:rPr>
                <w:rFonts w:eastAsia="MS ??" w:cs="Times New Roman"/>
                <w:b/>
                <w:color w:val="00B050"/>
                <w:sz w:val="18"/>
                <w:szCs w:val="18"/>
              </w:rPr>
              <w:t>Ongoing</w:t>
            </w:r>
          </w:p>
        </w:tc>
        <w:tc>
          <w:tcPr>
            <w:tcW w:w="5103" w:type="dxa"/>
            <w:tcBorders>
              <w:top w:val="single" w:sz="4" w:space="0" w:color="auto"/>
              <w:left w:val="single" w:sz="4" w:space="0" w:color="auto"/>
              <w:bottom w:val="single" w:sz="4" w:space="0" w:color="auto"/>
              <w:right w:val="single" w:sz="4" w:space="0" w:color="auto"/>
            </w:tcBorders>
          </w:tcPr>
          <w:p w:rsidR="00A33CE1" w:rsidRPr="00A33CE1" w:rsidRDefault="00A33CE1" w:rsidP="00A33CE1">
            <w:pPr>
              <w:spacing w:after="0" w:line="240" w:lineRule="auto"/>
              <w:rPr>
                <w:rFonts w:eastAsia="MS Mincho" w:cs="Times New Roman"/>
                <w:sz w:val="18"/>
                <w:szCs w:val="18"/>
              </w:rPr>
            </w:pPr>
            <w:r w:rsidRPr="00A33CE1">
              <w:rPr>
                <w:rFonts w:eastAsia="MS Mincho" w:cs="Times New Roman"/>
                <w:sz w:val="18"/>
                <w:szCs w:val="18"/>
                <w:lang w:val="en-GB"/>
              </w:rPr>
              <w:t>Over the last 6-9 months, significant joint initiatives in conflict related contexts between the UN and the WB have been undertaken in at least CAR, Somalia, South Sudan, Yemen and Great Lakes in addition to the on-going close cooperation in DRC and Liberia, covering a range of initiatives at the strategic level, including joint assessments, planning and results frameworks and funding mechanisms, in addition to staff secondment.</w:t>
            </w:r>
          </w:p>
        </w:tc>
        <w:tc>
          <w:tcPr>
            <w:tcW w:w="1276" w:type="dxa"/>
            <w:tcBorders>
              <w:top w:val="single" w:sz="4" w:space="0" w:color="auto"/>
              <w:left w:val="single" w:sz="4" w:space="0" w:color="auto"/>
              <w:bottom w:val="single" w:sz="4" w:space="0" w:color="auto"/>
              <w:right w:val="single" w:sz="4" w:space="0" w:color="auto"/>
            </w:tcBorders>
          </w:tcPr>
          <w:p w:rsidR="00A33CE1" w:rsidRPr="00A33CE1" w:rsidRDefault="00A33CE1" w:rsidP="00A33CE1">
            <w:pPr>
              <w:spacing w:after="0" w:line="240" w:lineRule="auto"/>
              <w:rPr>
                <w:rFonts w:eastAsia="MS ??" w:cs="Times New Roman"/>
                <w:sz w:val="18"/>
                <w:szCs w:val="18"/>
              </w:rPr>
            </w:pPr>
          </w:p>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Annual Report</w:t>
            </w:r>
          </w:p>
        </w:tc>
      </w:tr>
      <w:tr w:rsidR="00A33CE1" w:rsidRPr="00A33CE1" w:rsidTr="000B2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5" w:type="dxa"/>
            <w:tcBorders>
              <w:top w:val="single" w:sz="4" w:space="0" w:color="auto"/>
              <w:left w:val="single" w:sz="4" w:space="0" w:color="auto"/>
              <w:bottom w:val="single" w:sz="4" w:space="0" w:color="auto"/>
            </w:tcBorders>
            <w:shd w:val="clear" w:color="auto" w:fill="auto"/>
          </w:tcPr>
          <w:p w:rsidR="00A33CE1" w:rsidRPr="00A33CE1" w:rsidRDefault="00A33CE1" w:rsidP="00A33CE1">
            <w:pPr>
              <w:spacing w:before="8" w:after="0" w:line="240" w:lineRule="auto"/>
              <w:rPr>
                <w:rFonts w:eastAsia="MS ??" w:cs="Times New Roman"/>
                <w:sz w:val="18"/>
                <w:szCs w:val="18"/>
              </w:rPr>
            </w:pPr>
            <w:r w:rsidRPr="00A33CE1">
              <w:rPr>
                <w:rFonts w:eastAsia="MS ??" w:cs="Times New Roman"/>
                <w:sz w:val="18"/>
                <w:szCs w:val="18"/>
              </w:rPr>
              <w:t>44</w:t>
            </w:r>
          </w:p>
        </w:tc>
        <w:tc>
          <w:tcPr>
            <w:tcW w:w="78" w:type="dxa"/>
            <w:tcBorders>
              <w:top w:val="single" w:sz="4" w:space="0" w:color="auto"/>
              <w:left w:val="nil"/>
              <w:bottom w:val="single" w:sz="4" w:space="0" w:color="auto"/>
              <w:right w:val="single" w:sz="4" w:space="0" w:color="auto"/>
            </w:tcBorders>
            <w:shd w:val="clear" w:color="auto" w:fill="auto"/>
          </w:tcPr>
          <w:p w:rsidR="00A33CE1" w:rsidRPr="00A33CE1" w:rsidRDefault="00A33CE1" w:rsidP="00A33CE1">
            <w:pPr>
              <w:spacing w:after="0" w:line="240" w:lineRule="auto"/>
              <w:rPr>
                <w:rFonts w:eastAsia="MS ??" w:cs="Times New Roman"/>
                <w:sz w:val="18"/>
                <w:szCs w:val="18"/>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107</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xml:space="preserve">Endorsement of standardized instruments by the Secretariat entities and the UN Development system to support joint programming and business operations in countries with a UN mission present </w:t>
            </w:r>
          </w:p>
          <w:p w:rsidR="00A33CE1" w:rsidRPr="00A33CE1" w:rsidRDefault="00A33CE1" w:rsidP="00A33CE1">
            <w:pPr>
              <w:spacing w:after="0" w:line="240" w:lineRule="auto"/>
              <w:rPr>
                <w:rFonts w:eastAsia="MS ??" w:cs="Times New Roman"/>
                <w:b/>
                <w:color w:val="FF66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33CE1" w:rsidRPr="00A33CE1" w:rsidRDefault="00A33CE1" w:rsidP="00A33CE1">
            <w:pPr>
              <w:spacing w:after="0" w:line="240" w:lineRule="auto"/>
              <w:rPr>
                <w:rFonts w:eastAsia="MS ??" w:cs="Times New Roman"/>
                <w:b/>
                <w:sz w:val="18"/>
                <w:szCs w:val="18"/>
              </w:rPr>
            </w:pPr>
            <w:r w:rsidRPr="00A33CE1">
              <w:rPr>
                <w:rFonts w:eastAsia="MS ??" w:cs="Times New Roman"/>
                <w:b/>
                <w:color w:val="00B050"/>
                <w:sz w:val="18"/>
                <w:szCs w:val="18"/>
              </w:rPr>
              <w:t>Ongoing</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A33CE1" w:rsidRPr="00A33CE1" w:rsidRDefault="00A33CE1" w:rsidP="00A33CE1">
            <w:pPr>
              <w:spacing w:after="0" w:line="240" w:lineRule="auto"/>
              <w:rPr>
                <w:rFonts w:eastAsia="MS Mincho" w:cs="Times New Roman"/>
                <w:sz w:val="18"/>
                <w:szCs w:val="18"/>
                <w:lang w:val="en-GB"/>
              </w:rPr>
            </w:pPr>
            <w:r w:rsidRPr="00A33CE1">
              <w:rPr>
                <w:rFonts w:eastAsia="MS Mincho" w:cs="Times New Roman"/>
                <w:sz w:val="18"/>
                <w:szCs w:val="18"/>
                <w:lang w:val="en-GB"/>
              </w:rPr>
              <w:t>The Secretariat and the UNDS developed, and the Secretary-General approved the Policy on Integrated Assessment and Planning and the Policy on UN Transitions in the Context of Mission Drawdown or Withdrawal. Both policies are key for guiding the UN’s support to peace consolidation in an integrated and sustainable manner. The Global Focal Point for Police, Justice and Corrections co-led by DPKO and UNDP is operational at headquarters and in 15 integrated mission settings.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Annual Report</w:t>
            </w:r>
          </w:p>
        </w:tc>
      </w:tr>
      <w:tr w:rsidR="00A33CE1" w:rsidRPr="00A33CE1" w:rsidTr="000B2F98">
        <w:tc>
          <w:tcPr>
            <w:tcW w:w="13453" w:type="dxa"/>
            <w:gridSpan w:val="7"/>
            <w:shd w:val="clear" w:color="auto" w:fill="BFBFBF"/>
          </w:tcPr>
          <w:p w:rsidR="00A33CE1" w:rsidRPr="00A33CE1" w:rsidRDefault="00A33CE1" w:rsidP="00A33CE1">
            <w:pPr>
              <w:spacing w:after="0" w:line="240" w:lineRule="auto"/>
              <w:rPr>
                <w:rFonts w:eastAsia="MS ??" w:cs="Times New Roman"/>
                <w:b/>
                <w:sz w:val="18"/>
                <w:szCs w:val="18"/>
              </w:rPr>
            </w:pPr>
            <w:r w:rsidRPr="00A33CE1">
              <w:rPr>
                <w:rFonts w:eastAsia="MS ??" w:cs="Times New Roman"/>
                <w:b/>
                <w:sz w:val="18"/>
                <w:szCs w:val="18"/>
              </w:rPr>
              <w:t>IMPROVED FUNCTIONING OF THE UN DEVELOPMENT SYSTEM</w:t>
            </w:r>
          </w:p>
        </w:tc>
      </w:tr>
      <w:tr w:rsidR="00A33CE1" w:rsidRPr="00A33CE1" w:rsidTr="000B2F98">
        <w:tc>
          <w:tcPr>
            <w:tcW w:w="655" w:type="dxa"/>
            <w:tcBorders>
              <w:right w:val="nil"/>
            </w:tcBorders>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56</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tcPr>
          <w:p w:rsidR="00A33CE1" w:rsidRPr="00A33CE1" w:rsidRDefault="00A33CE1" w:rsidP="00A33CE1">
            <w:pPr>
              <w:spacing w:after="0" w:line="240" w:lineRule="auto"/>
              <w:rPr>
                <w:rFonts w:eastAsia="MS ??" w:cs="Times New Roman"/>
                <w:sz w:val="18"/>
                <w:szCs w:val="18"/>
              </w:rPr>
            </w:pPr>
            <w:r w:rsidRPr="00A33CE1">
              <w:rPr>
                <w:rFonts w:eastAsia="MS ??" w:cs="Calibri"/>
                <w:sz w:val="18"/>
                <w:szCs w:val="18"/>
                <w:lang w:eastAsia="en-GB"/>
              </w:rPr>
              <w:t>119</w:t>
            </w: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of UN entities who have simplified and harmonized agency-specific programming instruments (specify type of instrument)</w:t>
            </w:r>
          </w:p>
        </w:tc>
        <w:tc>
          <w:tcPr>
            <w:tcW w:w="1275" w:type="dxa"/>
          </w:tcPr>
          <w:p w:rsidR="00A33CE1" w:rsidRPr="00A33CE1" w:rsidRDefault="00A33CE1" w:rsidP="00A33CE1">
            <w:pPr>
              <w:spacing w:after="0" w:line="240" w:lineRule="auto"/>
              <w:rPr>
                <w:rFonts w:eastAsia="MS ??" w:cs="Times New Roman"/>
                <w:b/>
                <w:color w:val="92D050"/>
                <w:sz w:val="18"/>
                <w:szCs w:val="18"/>
              </w:rPr>
            </w:pPr>
            <w:r w:rsidRPr="00A33CE1">
              <w:rPr>
                <w:rFonts w:eastAsia="MS ??" w:cs="Times New Roman"/>
                <w:b/>
                <w:color w:val="00B050"/>
                <w:sz w:val="18"/>
                <w:szCs w:val="18"/>
              </w:rPr>
              <w:t>Ongoing</w:t>
            </w:r>
          </w:p>
          <w:p w:rsidR="00A33CE1" w:rsidRPr="00A33CE1" w:rsidRDefault="00A33CE1" w:rsidP="00A33CE1">
            <w:pPr>
              <w:spacing w:after="0" w:line="240" w:lineRule="auto"/>
              <w:rPr>
                <w:rFonts w:eastAsia="MS ??" w:cs="Times New Roman"/>
                <w:sz w:val="18"/>
                <w:szCs w:val="18"/>
              </w:rPr>
            </w:pPr>
          </w:p>
        </w:tc>
        <w:tc>
          <w:tcPr>
            <w:tcW w:w="5103" w:type="dxa"/>
          </w:tcPr>
          <w:p w:rsidR="00A33CE1" w:rsidRPr="00A33CE1" w:rsidRDefault="00A33CE1" w:rsidP="00A33CE1">
            <w:pPr>
              <w:spacing w:after="0" w:line="240" w:lineRule="auto"/>
              <w:rPr>
                <w:rFonts w:eastAsia="MS Mincho" w:cs="Times New Roman"/>
                <w:sz w:val="18"/>
                <w:szCs w:val="18"/>
                <w:lang w:val="en-GB"/>
              </w:rPr>
            </w:pPr>
            <w:r w:rsidRPr="00A33CE1">
              <w:rPr>
                <w:rFonts w:eastAsia="MS Mincho" w:cs="Times New Roman"/>
                <w:sz w:val="18"/>
                <w:szCs w:val="18"/>
                <w:lang w:val="en-GB"/>
              </w:rPr>
              <w:t>The Executive Board approved a modified format and procedures for CPDs at its first regular session of 2014. UNDP is introducing the new format at the annual session to address, at the first opportunity, expectations of its Strategic Plan for 2014-2017. UNDP, UNFPA and UNICEF will introduce new procedures for the review and approval of CPDs at the second regular session.</w:t>
            </w:r>
          </w:p>
        </w:tc>
        <w:tc>
          <w:tcPr>
            <w:tcW w:w="1276"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Annual report</w:t>
            </w:r>
          </w:p>
        </w:tc>
      </w:tr>
      <w:tr w:rsidR="00A33CE1" w:rsidRPr="00A33CE1" w:rsidTr="000B2F98">
        <w:tc>
          <w:tcPr>
            <w:tcW w:w="655" w:type="dxa"/>
            <w:tcBorders>
              <w:right w:val="nil"/>
            </w:tcBorders>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60</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121</w:t>
            </w: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of UN agencies which have aligned planning and budgeting cycles to the QCPR timeframe</w:t>
            </w:r>
          </w:p>
        </w:tc>
        <w:tc>
          <w:tcPr>
            <w:tcW w:w="1275" w:type="dxa"/>
          </w:tcPr>
          <w:p w:rsidR="00A33CE1" w:rsidRPr="00A33CE1" w:rsidRDefault="00A33CE1" w:rsidP="00A33CE1">
            <w:pPr>
              <w:spacing w:after="0" w:line="240" w:lineRule="auto"/>
              <w:rPr>
                <w:rFonts w:eastAsia="MS ??" w:cs="Times New Roman"/>
                <w:b/>
                <w:color w:val="00B050"/>
                <w:sz w:val="18"/>
                <w:szCs w:val="18"/>
              </w:rPr>
            </w:pPr>
            <w:r w:rsidRPr="00A33CE1">
              <w:rPr>
                <w:rFonts w:eastAsia="MS ??" w:cs="Times New Roman"/>
                <w:b/>
                <w:color w:val="00B050"/>
                <w:sz w:val="18"/>
                <w:szCs w:val="18"/>
              </w:rPr>
              <w:t>Achieved</w:t>
            </w:r>
          </w:p>
          <w:p w:rsidR="00A33CE1" w:rsidRPr="00A33CE1" w:rsidRDefault="00A33CE1" w:rsidP="00A33CE1">
            <w:pPr>
              <w:spacing w:after="0" w:line="240" w:lineRule="auto"/>
              <w:rPr>
                <w:rFonts w:eastAsia="MS ??" w:cs="Times New Roman"/>
                <w:sz w:val="18"/>
                <w:szCs w:val="18"/>
              </w:rPr>
            </w:pPr>
          </w:p>
        </w:tc>
        <w:tc>
          <w:tcPr>
            <w:tcW w:w="5103" w:type="dxa"/>
          </w:tcPr>
          <w:p w:rsidR="00A33CE1" w:rsidRPr="00A33CE1" w:rsidRDefault="00A33CE1" w:rsidP="00A33CE1">
            <w:pPr>
              <w:spacing w:after="0" w:line="240" w:lineRule="auto"/>
              <w:rPr>
                <w:rFonts w:eastAsia="MS ??" w:cs="Times New Roman"/>
                <w:sz w:val="18"/>
                <w:szCs w:val="18"/>
              </w:rPr>
            </w:pPr>
            <w:r w:rsidRPr="00A33CE1">
              <w:rPr>
                <w:rFonts w:eastAsia="MS Mincho" w:cs="Times New Roman"/>
                <w:sz w:val="18"/>
                <w:szCs w:val="18"/>
                <w:lang w:val="en-GB"/>
              </w:rPr>
              <w:t xml:space="preserve">UNDP has already aligned its planning and budgeting cycles with the QCPR. The organization has been able to take full advantage of QCPR guidance in the design and implementation modalities of its Strategic Plan (2014-2017). </w:t>
            </w:r>
          </w:p>
        </w:tc>
        <w:tc>
          <w:tcPr>
            <w:tcW w:w="1276"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Annual Report</w:t>
            </w:r>
          </w:p>
        </w:tc>
      </w:tr>
      <w:tr w:rsidR="00A33CE1" w:rsidRPr="00A33CE1" w:rsidTr="000B2F98">
        <w:trPr>
          <w:trHeight w:val="206"/>
        </w:trPr>
        <w:tc>
          <w:tcPr>
            <w:tcW w:w="655" w:type="dxa"/>
            <w:tcBorders>
              <w:right w:val="nil"/>
            </w:tcBorders>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61</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vMerge w:val="restart"/>
            <w:vAlign w:val="center"/>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42, 124(h)</w:t>
            </w:r>
          </w:p>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130(a)</w:t>
            </w:r>
          </w:p>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130(c)</w:t>
            </w:r>
          </w:p>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131</w:t>
            </w:r>
          </w:p>
        </w:tc>
        <w:tc>
          <w:tcPr>
            <w:tcW w:w="4359" w:type="dxa"/>
            <w:tcBorders>
              <w:top w:val="dotted" w:sz="4" w:space="0" w:color="auto"/>
              <w:bottom w:val="dotted" w:sz="4" w:space="0" w:color="auto"/>
              <w:right w:val="dotted" w:sz="4" w:space="0" w:color="auto"/>
            </w:tcBorders>
          </w:tcPr>
          <w:p w:rsidR="00A33CE1" w:rsidRPr="00A33CE1" w:rsidRDefault="00A33CE1" w:rsidP="00A33CE1">
            <w:pPr>
              <w:spacing w:after="0" w:line="240" w:lineRule="auto"/>
              <w:rPr>
                <w:rFonts w:eastAsia="MS ??" w:cs="Times New Roman"/>
                <w:sz w:val="18"/>
                <w:szCs w:val="18"/>
              </w:rPr>
            </w:pPr>
            <w:r w:rsidRPr="00A33CE1">
              <w:rPr>
                <w:rFonts w:eastAsia="MS ??" w:cs="Calibri"/>
                <w:sz w:val="18"/>
                <w:szCs w:val="18"/>
                <w:lang w:val="en-GB"/>
              </w:rPr>
              <w:t>Full implementation of  the following elements of the M&amp;A system:</w:t>
            </w:r>
          </w:p>
        </w:tc>
        <w:tc>
          <w:tcPr>
            <w:tcW w:w="1275" w:type="dxa"/>
            <w:tcBorders>
              <w:top w:val="dotted" w:sz="4" w:space="0" w:color="auto"/>
              <w:left w:val="dotted" w:sz="4" w:space="0" w:color="auto"/>
              <w:bottom w:val="dotted" w:sz="4" w:space="0" w:color="auto"/>
              <w:right w:val="dotted" w:sz="4" w:space="0" w:color="auto"/>
            </w:tcBorders>
            <w:vAlign w:val="center"/>
          </w:tcPr>
          <w:p w:rsidR="00A33CE1" w:rsidRPr="00A33CE1" w:rsidRDefault="00A33CE1" w:rsidP="00A33CE1">
            <w:pPr>
              <w:spacing w:after="0" w:line="240" w:lineRule="auto"/>
              <w:rPr>
                <w:rFonts w:eastAsia="MS ??" w:cs="Times New Roman"/>
                <w:b/>
                <w:color w:val="00B050"/>
                <w:sz w:val="18"/>
                <w:szCs w:val="18"/>
              </w:rPr>
            </w:pPr>
            <w:r w:rsidRPr="00A33CE1">
              <w:rPr>
                <w:rFonts w:eastAsia="MS ??" w:cs="Times New Roman"/>
                <w:b/>
                <w:color w:val="00B050"/>
                <w:sz w:val="18"/>
                <w:szCs w:val="18"/>
              </w:rPr>
              <w:t>Achieved</w:t>
            </w:r>
          </w:p>
          <w:p w:rsidR="00A33CE1" w:rsidRPr="00A33CE1" w:rsidRDefault="00A33CE1" w:rsidP="00A33CE1">
            <w:pPr>
              <w:spacing w:after="0" w:line="240" w:lineRule="auto"/>
              <w:rPr>
                <w:rFonts w:eastAsia="MS ??" w:cs="Times New Roman"/>
                <w:sz w:val="18"/>
                <w:szCs w:val="18"/>
              </w:rPr>
            </w:pPr>
          </w:p>
        </w:tc>
        <w:tc>
          <w:tcPr>
            <w:tcW w:w="5103" w:type="dxa"/>
            <w:vMerge w:val="restart"/>
            <w:tcBorders>
              <w:left w:val="dotted" w:sz="4" w:space="0" w:color="auto"/>
            </w:tcBorders>
            <w:vAlign w:val="center"/>
          </w:tcPr>
          <w:p w:rsidR="00A33CE1" w:rsidRPr="00A33CE1" w:rsidRDefault="00A33CE1" w:rsidP="00A33CE1">
            <w:pPr>
              <w:spacing w:after="0" w:line="240" w:lineRule="auto"/>
              <w:rPr>
                <w:rFonts w:eastAsia="Times New Roman" w:cs="Times New Roman"/>
                <w:color w:val="000000"/>
                <w:sz w:val="18"/>
                <w:szCs w:val="18"/>
              </w:rPr>
            </w:pPr>
            <w:r w:rsidRPr="00A33CE1">
              <w:rPr>
                <w:rFonts w:eastAsia="Times New Roman" w:cs="Times New Roman"/>
                <w:sz w:val="18"/>
                <w:szCs w:val="18"/>
              </w:rPr>
              <w:t xml:space="preserve">UNDP has fulfilled its M&amp;A requirements since 2009. However, the rest of the system has been slower responding to this commitment. As of March 2014, 10 agencies have reported full implementation of the MAS mutual accountability criteria, 9 have reported partial </w:t>
            </w:r>
            <w:r w:rsidRPr="00A33CE1">
              <w:rPr>
                <w:rFonts w:eastAsia="Times New Roman" w:cs="Times New Roman"/>
                <w:color w:val="000000"/>
                <w:sz w:val="18"/>
                <w:szCs w:val="18"/>
              </w:rPr>
              <w:t xml:space="preserve">implementation, and 1 has not implemented any of the four criteria. UNDP views implementation of the MAS at the country level by the full spectrum of UNDG members as a core priority for ensuring a stronger, collectively owned and accountable RC system. </w:t>
            </w:r>
          </w:p>
          <w:p w:rsidR="00A33CE1" w:rsidRPr="00A33CE1" w:rsidRDefault="00A33CE1" w:rsidP="00A33CE1">
            <w:pPr>
              <w:spacing w:after="0" w:line="240" w:lineRule="auto"/>
              <w:rPr>
                <w:rFonts w:eastAsia="Times New Roman" w:cs="Times New Roman"/>
                <w:color w:val="000000"/>
                <w:sz w:val="18"/>
                <w:szCs w:val="18"/>
              </w:rPr>
            </w:pPr>
          </w:p>
          <w:p w:rsidR="00A33CE1" w:rsidRPr="00A33CE1" w:rsidRDefault="00A33CE1" w:rsidP="00A33CE1">
            <w:pPr>
              <w:spacing w:after="0" w:line="240" w:lineRule="auto"/>
              <w:rPr>
                <w:rFonts w:eastAsia="Times New Roman" w:cs="Times New Roman"/>
                <w:sz w:val="18"/>
                <w:szCs w:val="18"/>
              </w:rPr>
            </w:pPr>
            <w:r w:rsidRPr="00A33CE1">
              <w:rPr>
                <w:rFonts w:eastAsia="Times New Roman" w:cs="Times New Roman"/>
                <w:color w:val="000000"/>
                <w:sz w:val="18"/>
                <w:szCs w:val="18"/>
              </w:rPr>
              <w:t xml:space="preserve">Additionally, UNDP has recently committed to improve the functionality of the functional firewall by ensuring that RCs sign letters of delegation of authority with UNDP Country Directors for a series of RR duties, so that they are ultimately further available for their system-wide tasks. Data on this will be available through the next S-G report. </w:t>
            </w:r>
          </w:p>
        </w:tc>
        <w:tc>
          <w:tcPr>
            <w:tcW w:w="1276" w:type="dxa"/>
            <w:vMerge w:val="restart"/>
            <w:tcBorders>
              <w:left w:val="dotted" w:sz="4" w:space="0" w:color="auto"/>
            </w:tcBorders>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Annual Report</w:t>
            </w:r>
          </w:p>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S-G report</w:t>
            </w:r>
          </w:p>
        </w:tc>
      </w:tr>
      <w:tr w:rsidR="00A33CE1" w:rsidRPr="00A33CE1" w:rsidTr="000B2F98">
        <w:tc>
          <w:tcPr>
            <w:tcW w:w="655" w:type="dxa"/>
            <w:tcBorders>
              <w:right w:val="nil"/>
            </w:tcBorders>
          </w:tcPr>
          <w:p w:rsidR="00A33CE1" w:rsidRPr="00A33CE1" w:rsidRDefault="00A33CE1" w:rsidP="00A33CE1">
            <w:pPr>
              <w:spacing w:before="1" w:after="0" w:line="240" w:lineRule="auto"/>
              <w:rPr>
                <w:rFonts w:eastAsia="MS ??" w:cs="Times New Roman"/>
                <w:sz w:val="18"/>
                <w:szCs w:val="18"/>
              </w:rPr>
            </w:pPr>
            <w:r w:rsidRPr="00A33CE1">
              <w:rPr>
                <w:rFonts w:eastAsia="MS ??" w:cs="Times New Roman"/>
                <w:sz w:val="18"/>
                <w:szCs w:val="18"/>
              </w:rPr>
              <w:t>61a</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vMerge/>
          </w:tcPr>
          <w:p w:rsidR="00A33CE1" w:rsidRPr="00A33CE1" w:rsidRDefault="00A33CE1" w:rsidP="00A33CE1">
            <w:pPr>
              <w:spacing w:after="0" w:line="240" w:lineRule="auto"/>
              <w:rPr>
                <w:rFonts w:eastAsia="MS ??" w:cs="Times New Roman"/>
                <w:sz w:val="18"/>
                <w:szCs w:val="18"/>
              </w:rPr>
            </w:pPr>
          </w:p>
        </w:tc>
        <w:tc>
          <w:tcPr>
            <w:tcW w:w="4359" w:type="dxa"/>
            <w:tcBorders>
              <w:top w:val="dotted" w:sz="4" w:space="0" w:color="auto"/>
              <w:bottom w:val="dotted" w:sz="4" w:space="0" w:color="auto"/>
              <w:right w:val="dotted" w:sz="4" w:space="0" w:color="auto"/>
            </w:tcBorders>
          </w:tcPr>
          <w:p w:rsidR="00A33CE1" w:rsidRPr="00A33CE1" w:rsidRDefault="00A33CE1" w:rsidP="00A33CE1">
            <w:pPr>
              <w:numPr>
                <w:ilvl w:val="0"/>
                <w:numId w:val="40"/>
              </w:numPr>
              <w:spacing w:after="0" w:line="240" w:lineRule="auto"/>
              <w:contextualSpacing/>
              <w:rPr>
                <w:rFonts w:eastAsia="MS ??" w:cs="Times New Roman"/>
                <w:sz w:val="18"/>
                <w:szCs w:val="18"/>
              </w:rPr>
            </w:pPr>
            <w:r w:rsidRPr="00A33CE1">
              <w:rPr>
                <w:rFonts w:eastAsia="MS ??" w:cs="Calibri"/>
                <w:sz w:val="18"/>
                <w:szCs w:val="18"/>
                <w:lang w:val="en-GB"/>
              </w:rPr>
              <w:t>% of UN entities that have revised the Job description of their UNCT members to recognize the role of the RC</w:t>
            </w:r>
          </w:p>
        </w:tc>
        <w:tc>
          <w:tcPr>
            <w:tcW w:w="1275" w:type="dxa"/>
            <w:vMerge w:val="restart"/>
            <w:tcBorders>
              <w:top w:val="dotted" w:sz="4" w:space="0" w:color="auto"/>
              <w:left w:val="dotted" w:sz="4" w:space="0" w:color="auto"/>
              <w:right w:val="dotted" w:sz="4" w:space="0" w:color="auto"/>
            </w:tcBorders>
            <w:vAlign w:val="center"/>
          </w:tcPr>
          <w:p w:rsidR="00A33CE1" w:rsidRPr="00A33CE1" w:rsidRDefault="00A33CE1" w:rsidP="00A33CE1">
            <w:pPr>
              <w:spacing w:after="0" w:line="240" w:lineRule="auto"/>
              <w:rPr>
                <w:rFonts w:eastAsia="MS ??" w:cs="Times New Roman"/>
                <w:sz w:val="18"/>
                <w:szCs w:val="18"/>
              </w:rPr>
            </w:pPr>
          </w:p>
        </w:tc>
        <w:tc>
          <w:tcPr>
            <w:tcW w:w="5103" w:type="dxa"/>
            <w:vMerge/>
            <w:tcBorders>
              <w:left w:val="dotted" w:sz="4" w:space="0" w:color="auto"/>
            </w:tcBorders>
          </w:tcPr>
          <w:p w:rsidR="00A33CE1" w:rsidRPr="00A33CE1" w:rsidRDefault="00A33CE1" w:rsidP="00A33CE1">
            <w:pPr>
              <w:spacing w:after="0" w:line="240" w:lineRule="auto"/>
              <w:rPr>
                <w:rFonts w:eastAsia="MS ??" w:cs="Times New Roman"/>
                <w:sz w:val="18"/>
                <w:szCs w:val="18"/>
              </w:rPr>
            </w:pPr>
          </w:p>
        </w:tc>
        <w:tc>
          <w:tcPr>
            <w:tcW w:w="1276" w:type="dxa"/>
            <w:vMerge/>
            <w:tcBorders>
              <w:left w:val="dotted" w:sz="4" w:space="0" w:color="auto"/>
            </w:tcBorders>
          </w:tcPr>
          <w:p w:rsidR="00A33CE1" w:rsidRPr="00A33CE1" w:rsidRDefault="00A33CE1" w:rsidP="00A33CE1">
            <w:pPr>
              <w:spacing w:after="0" w:line="240" w:lineRule="auto"/>
              <w:rPr>
                <w:rFonts w:eastAsia="MS ??" w:cs="Times New Roman"/>
                <w:sz w:val="18"/>
                <w:szCs w:val="18"/>
              </w:rPr>
            </w:pPr>
          </w:p>
        </w:tc>
      </w:tr>
      <w:tr w:rsidR="00A33CE1" w:rsidRPr="00A33CE1" w:rsidTr="000B2F98">
        <w:tc>
          <w:tcPr>
            <w:tcW w:w="655" w:type="dxa"/>
            <w:tcBorders>
              <w:right w:val="nil"/>
            </w:tcBorders>
          </w:tcPr>
          <w:p w:rsidR="00A33CE1" w:rsidRPr="00A33CE1" w:rsidRDefault="00A33CE1" w:rsidP="00A33CE1">
            <w:pPr>
              <w:spacing w:before="1" w:after="0" w:line="240" w:lineRule="auto"/>
              <w:rPr>
                <w:rFonts w:eastAsia="MS ??" w:cs="Times New Roman"/>
                <w:sz w:val="18"/>
                <w:szCs w:val="18"/>
              </w:rPr>
            </w:pPr>
            <w:r w:rsidRPr="00A33CE1">
              <w:rPr>
                <w:rFonts w:eastAsia="MS ??" w:cs="Times New Roman"/>
                <w:sz w:val="18"/>
                <w:szCs w:val="18"/>
              </w:rPr>
              <w:t>61b</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vMerge/>
          </w:tcPr>
          <w:p w:rsidR="00A33CE1" w:rsidRPr="00A33CE1" w:rsidRDefault="00A33CE1" w:rsidP="00A33CE1">
            <w:pPr>
              <w:spacing w:after="0" w:line="240" w:lineRule="auto"/>
              <w:rPr>
                <w:rFonts w:eastAsia="MS ??" w:cs="Times New Roman"/>
                <w:sz w:val="18"/>
                <w:szCs w:val="18"/>
              </w:rPr>
            </w:pPr>
          </w:p>
        </w:tc>
        <w:tc>
          <w:tcPr>
            <w:tcW w:w="4359" w:type="dxa"/>
            <w:tcBorders>
              <w:top w:val="dotted" w:sz="4" w:space="0" w:color="auto"/>
              <w:bottom w:val="dotted" w:sz="4" w:space="0" w:color="auto"/>
              <w:right w:val="dotted" w:sz="4" w:space="0" w:color="auto"/>
            </w:tcBorders>
          </w:tcPr>
          <w:p w:rsidR="00A33CE1" w:rsidRPr="00A33CE1" w:rsidRDefault="00A33CE1" w:rsidP="00A33CE1">
            <w:pPr>
              <w:numPr>
                <w:ilvl w:val="0"/>
                <w:numId w:val="40"/>
              </w:numPr>
              <w:spacing w:after="0" w:line="240" w:lineRule="auto"/>
              <w:contextualSpacing/>
              <w:rPr>
                <w:rFonts w:eastAsia="MS ??" w:cs="Calibri"/>
                <w:sz w:val="18"/>
                <w:szCs w:val="18"/>
                <w:lang w:val="en-GB"/>
              </w:rPr>
            </w:pPr>
            <w:r w:rsidRPr="00A33CE1">
              <w:rPr>
                <w:rFonts w:eastAsia="MS ??" w:cs="Calibri"/>
                <w:sz w:val="18"/>
                <w:szCs w:val="18"/>
                <w:lang w:val="en-GB"/>
              </w:rPr>
              <w:t>% of UN entities recognizing reporting obligations to the RC on resource mobilization and programme implementation performance of any UNDAF/One Programme elements led by the agency</w:t>
            </w:r>
          </w:p>
        </w:tc>
        <w:tc>
          <w:tcPr>
            <w:tcW w:w="1275" w:type="dxa"/>
            <w:vMerge/>
            <w:tcBorders>
              <w:left w:val="dotted" w:sz="4" w:space="0" w:color="auto"/>
              <w:right w:val="dotted" w:sz="4" w:space="0" w:color="auto"/>
            </w:tcBorders>
          </w:tcPr>
          <w:p w:rsidR="00A33CE1" w:rsidRPr="00A33CE1" w:rsidRDefault="00A33CE1" w:rsidP="00A33CE1">
            <w:pPr>
              <w:spacing w:after="0" w:line="240" w:lineRule="auto"/>
              <w:rPr>
                <w:rFonts w:eastAsia="MS ??" w:cs="Times New Roman"/>
                <w:sz w:val="18"/>
                <w:szCs w:val="18"/>
              </w:rPr>
            </w:pPr>
          </w:p>
        </w:tc>
        <w:tc>
          <w:tcPr>
            <w:tcW w:w="5103" w:type="dxa"/>
            <w:vMerge/>
            <w:tcBorders>
              <w:left w:val="dotted" w:sz="4" w:space="0" w:color="auto"/>
            </w:tcBorders>
          </w:tcPr>
          <w:p w:rsidR="00A33CE1" w:rsidRPr="00A33CE1" w:rsidRDefault="00A33CE1" w:rsidP="00A33CE1">
            <w:pPr>
              <w:spacing w:after="0" w:line="240" w:lineRule="auto"/>
              <w:rPr>
                <w:rFonts w:eastAsia="MS ??" w:cs="Times New Roman"/>
                <w:sz w:val="18"/>
                <w:szCs w:val="18"/>
              </w:rPr>
            </w:pPr>
          </w:p>
        </w:tc>
        <w:tc>
          <w:tcPr>
            <w:tcW w:w="1276" w:type="dxa"/>
            <w:vMerge/>
            <w:tcBorders>
              <w:left w:val="dotted" w:sz="4" w:space="0" w:color="auto"/>
            </w:tcBorders>
          </w:tcPr>
          <w:p w:rsidR="00A33CE1" w:rsidRPr="00A33CE1" w:rsidRDefault="00A33CE1" w:rsidP="00A33CE1">
            <w:pPr>
              <w:spacing w:after="0" w:line="240" w:lineRule="auto"/>
              <w:rPr>
                <w:rFonts w:eastAsia="MS ??" w:cs="Times New Roman"/>
                <w:sz w:val="18"/>
                <w:szCs w:val="18"/>
              </w:rPr>
            </w:pPr>
          </w:p>
        </w:tc>
      </w:tr>
      <w:tr w:rsidR="00A33CE1" w:rsidRPr="00A33CE1" w:rsidTr="000B2F98">
        <w:tc>
          <w:tcPr>
            <w:tcW w:w="655" w:type="dxa"/>
            <w:tcBorders>
              <w:right w:val="nil"/>
            </w:tcBorders>
          </w:tcPr>
          <w:p w:rsidR="00A33CE1" w:rsidRPr="00A33CE1" w:rsidRDefault="00A33CE1" w:rsidP="00A33CE1">
            <w:pPr>
              <w:spacing w:before="1" w:after="0" w:line="240" w:lineRule="auto"/>
              <w:rPr>
                <w:rFonts w:eastAsia="MS ??" w:cs="Times New Roman"/>
                <w:sz w:val="18"/>
                <w:szCs w:val="18"/>
              </w:rPr>
            </w:pPr>
            <w:r w:rsidRPr="00A33CE1">
              <w:rPr>
                <w:rFonts w:eastAsia="MS ??" w:cs="Times New Roman"/>
                <w:sz w:val="18"/>
                <w:szCs w:val="18"/>
              </w:rPr>
              <w:t>61c</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vMerge/>
          </w:tcPr>
          <w:p w:rsidR="00A33CE1" w:rsidRPr="00A33CE1" w:rsidRDefault="00A33CE1" w:rsidP="00A33CE1">
            <w:pPr>
              <w:spacing w:after="0" w:line="240" w:lineRule="auto"/>
              <w:rPr>
                <w:rFonts w:eastAsia="MS ??" w:cs="Times New Roman"/>
                <w:sz w:val="18"/>
                <w:szCs w:val="18"/>
              </w:rPr>
            </w:pPr>
          </w:p>
        </w:tc>
        <w:tc>
          <w:tcPr>
            <w:tcW w:w="4359" w:type="dxa"/>
            <w:tcBorders>
              <w:top w:val="dotted" w:sz="4" w:space="0" w:color="auto"/>
              <w:bottom w:val="dotted" w:sz="4" w:space="0" w:color="auto"/>
              <w:right w:val="dotted" w:sz="4" w:space="0" w:color="auto"/>
            </w:tcBorders>
          </w:tcPr>
          <w:p w:rsidR="00A33CE1" w:rsidRPr="00A33CE1" w:rsidRDefault="00A33CE1" w:rsidP="00A33CE1">
            <w:pPr>
              <w:numPr>
                <w:ilvl w:val="0"/>
                <w:numId w:val="40"/>
              </w:numPr>
              <w:spacing w:after="0" w:line="240" w:lineRule="auto"/>
              <w:contextualSpacing/>
              <w:rPr>
                <w:rFonts w:eastAsia="MS ??" w:cs="Calibri"/>
                <w:sz w:val="18"/>
                <w:szCs w:val="18"/>
                <w:lang w:val="en-GB"/>
              </w:rPr>
            </w:pPr>
            <w:r w:rsidRPr="00A33CE1">
              <w:rPr>
                <w:rFonts w:eastAsia="MS ??" w:cs="Calibri"/>
                <w:sz w:val="18"/>
                <w:szCs w:val="18"/>
                <w:lang w:val="en-GB"/>
              </w:rPr>
              <w:t>% of UN entities that have included RC’s inputs in UNCT members performance appraisal system</w:t>
            </w:r>
          </w:p>
        </w:tc>
        <w:tc>
          <w:tcPr>
            <w:tcW w:w="1275" w:type="dxa"/>
            <w:vMerge/>
            <w:tcBorders>
              <w:left w:val="dotted" w:sz="4" w:space="0" w:color="auto"/>
              <w:right w:val="dotted" w:sz="4" w:space="0" w:color="auto"/>
            </w:tcBorders>
          </w:tcPr>
          <w:p w:rsidR="00A33CE1" w:rsidRPr="00A33CE1" w:rsidRDefault="00A33CE1" w:rsidP="00A33CE1">
            <w:pPr>
              <w:spacing w:after="0" w:line="240" w:lineRule="auto"/>
              <w:rPr>
                <w:rFonts w:eastAsia="MS ??" w:cs="Times New Roman"/>
                <w:sz w:val="18"/>
                <w:szCs w:val="18"/>
              </w:rPr>
            </w:pPr>
          </w:p>
        </w:tc>
        <w:tc>
          <w:tcPr>
            <w:tcW w:w="5103" w:type="dxa"/>
            <w:vMerge/>
            <w:tcBorders>
              <w:left w:val="dotted" w:sz="4" w:space="0" w:color="auto"/>
            </w:tcBorders>
          </w:tcPr>
          <w:p w:rsidR="00A33CE1" w:rsidRPr="00A33CE1" w:rsidRDefault="00A33CE1" w:rsidP="00A33CE1">
            <w:pPr>
              <w:spacing w:after="0" w:line="240" w:lineRule="auto"/>
              <w:rPr>
                <w:rFonts w:eastAsia="MS ??" w:cs="Times New Roman"/>
                <w:sz w:val="18"/>
                <w:szCs w:val="18"/>
              </w:rPr>
            </w:pPr>
          </w:p>
        </w:tc>
        <w:tc>
          <w:tcPr>
            <w:tcW w:w="1276" w:type="dxa"/>
            <w:vMerge/>
            <w:tcBorders>
              <w:left w:val="dotted" w:sz="4" w:space="0" w:color="auto"/>
            </w:tcBorders>
          </w:tcPr>
          <w:p w:rsidR="00A33CE1" w:rsidRPr="00A33CE1" w:rsidRDefault="00A33CE1" w:rsidP="00A33CE1">
            <w:pPr>
              <w:spacing w:after="0" w:line="240" w:lineRule="auto"/>
              <w:rPr>
                <w:rFonts w:eastAsia="MS ??" w:cs="Times New Roman"/>
                <w:sz w:val="18"/>
                <w:szCs w:val="18"/>
              </w:rPr>
            </w:pPr>
          </w:p>
        </w:tc>
      </w:tr>
      <w:tr w:rsidR="00A33CE1" w:rsidRPr="00A33CE1" w:rsidTr="000B2F98">
        <w:tc>
          <w:tcPr>
            <w:tcW w:w="655" w:type="dxa"/>
            <w:tcBorders>
              <w:right w:val="nil"/>
            </w:tcBorders>
          </w:tcPr>
          <w:p w:rsidR="00A33CE1" w:rsidRPr="00A33CE1" w:rsidRDefault="00A33CE1" w:rsidP="00A33CE1">
            <w:pPr>
              <w:spacing w:before="1" w:after="0" w:line="240" w:lineRule="auto"/>
              <w:rPr>
                <w:rFonts w:eastAsia="MS ??" w:cs="Times New Roman"/>
                <w:sz w:val="18"/>
                <w:szCs w:val="18"/>
              </w:rPr>
            </w:pPr>
            <w:r w:rsidRPr="00A33CE1">
              <w:rPr>
                <w:rFonts w:eastAsia="MS ??" w:cs="Times New Roman"/>
                <w:sz w:val="18"/>
                <w:szCs w:val="18"/>
              </w:rPr>
              <w:t>61d</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vMerge/>
          </w:tcPr>
          <w:p w:rsidR="00A33CE1" w:rsidRPr="00A33CE1" w:rsidRDefault="00A33CE1" w:rsidP="00A33CE1">
            <w:pPr>
              <w:spacing w:after="0" w:line="240" w:lineRule="auto"/>
              <w:rPr>
                <w:rFonts w:eastAsia="MS ??" w:cs="Times New Roman"/>
                <w:sz w:val="18"/>
                <w:szCs w:val="18"/>
              </w:rPr>
            </w:pPr>
          </w:p>
        </w:tc>
        <w:tc>
          <w:tcPr>
            <w:tcW w:w="4359" w:type="dxa"/>
            <w:tcBorders>
              <w:top w:val="dotted" w:sz="4" w:space="0" w:color="auto"/>
              <w:bottom w:val="dotted" w:sz="4" w:space="0" w:color="auto"/>
              <w:right w:val="dotted" w:sz="4" w:space="0" w:color="auto"/>
            </w:tcBorders>
          </w:tcPr>
          <w:p w:rsidR="00A33CE1" w:rsidRPr="00A33CE1" w:rsidRDefault="00A33CE1" w:rsidP="00A33CE1">
            <w:pPr>
              <w:numPr>
                <w:ilvl w:val="0"/>
                <w:numId w:val="40"/>
              </w:numPr>
              <w:spacing w:after="0" w:line="240" w:lineRule="auto"/>
              <w:contextualSpacing/>
              <w:rPr>
                <w:rFonts w:eastAsia="MS ??" w:cs="Calibri"/>
                <w:sz w:val="18"/>
                <w:szCs w:val="18"/>
                <w:lang w:val="en-GB"/>
              </w:rPr>
            </w:pPr>
            <w:r w:rsidRPr="00A33CE1">
              <w:rPr>
                <w:rFonts w:eastAsia="MS ??" w:cs="Calibri"/>
                <w:sz w:val="18"/>
                <w:szCs w:val="18"/>
                <w:lang w:val="en-GB"/>
              </w:rPr>
              <w:t>% of UN entities that have included UNCT results in agency representatives’ performance appraisal system</w:t>
            </w:r>
          </w:p>
        </w:tc>
        <w:tc>
          <w:tcPr>
            <w:tcW w:w="1275" w:type="dxa"/>
            <w:vMerge/>
            <w:tcBorders>
              <w:left w:val="dotted" w:sz="4" w:space="0" w:color="auto"/>
              <w:bottom w:val="dotted" w:sz="4" w:space="0" w:color="auto"/>
              <w:right w:val="dotted" w:sz="4" w:space="0" w:color="auto"/>
            </w:tcBorders>
          </w:tcPr>
          <w:p w:rsidR="00A33CE1" w:rsidRPr="00A33CE1" w:rsidRDefault="00A33CE1" w:rsidP="00A33CE1">
            <w:pPr>
              <w:spacing w:after="0" w:line="240" w:lineRule="auto"/>
              <w:rPr>
                <w:rFonts w:eastAsia="MS ??" w:cs="Times New Roman"/>
                <w:sz w:val="18"/>
                <w:szCs w:val="18"/>
              </w:rPr>
            </w:pPr>
          </w:p>
        </w:tc>
        <w:tc>
          <w:tcPr>
            <w:tcW w:w="5103" w:type="dxa"/>
            <w:vMerge/>
            <w:tcBorders>
              <w:left w:val="dotted" w:sz="4" w:space="0" w:color="auto"/>
            </w:tcBorders>
          </w:tcPr>
          <w:p w:rsidR="00A33CE1" w:rsidRPr="00A33CE1" w:rsidRDefault="00A33CE1" w:rsidP="00A33CE1">
            <w:pPr>
              <w:spacing w:after="0" w:line="240" w:lineRule="auto"/>
              <w:rPr>
                <w:rFonts w:eastAsia="MS ??" w:cs="Times New Roman"/>
                <w:sz w:val="18"/>
                <w:szCs w:val="18"/>
              </w:rPr>
            </w:pPr>
          </w:p>
        </w:tc>
        <w:tc>
          <w:tcPr>
            <w:tcW w:w="1276" w:type="dxa"/>
            <w:vMerge/>
            <w:tcBorders>
              <w:left w:val="dotted" w:sz="4" w:space="0" w:color="auto"/>
            </w:tcBorders>
          </w:tcPr>
          <w:p w:rsidR="00A33CE1" w:rsidRPr="00A33CE1" w:rsidRDefault="00A33CE1" w:rsidP="00A33CE1">
            <w:pPr>
              <w:spacing w:after="0" w:line="240" w:lineRule="auto"/>
              <w:rPr>
                <w:rFonts w:eastAsia="MS ??" w:cs="Times New Roman"/>
                <w:sz w:val="18"/>
                <w:szCs w:val="18"/>
              </w:rPr>
            </w:pPr>
          </w:p>
        </w:tc>
      </w:tr>
      <w:tr w:rsidR="00A33CE1" w:rsidRPr="00A33CE1" w:rsidTr="000B2F98">
        <w:tc>
          <w:tcPr>
            <w:tcW w:w="655" w:type="dxa"/>
            <w:tcBorders>
              <w:right w:val="nil"/>
            </w:tcBorders>
          </w:tcPr>
          <w:p w:rsidR="00A33CE1" w:rsidRPr="00A33CE1" w:rsidRDefault="00A33CE1" w:rsidP="00A33CE1">
            <w:pPr>
              <w:spacing w:before="1" w:after="0" w:line="240" w:lineRule="auto"/>
              <w:rPr>
                <w:rFonts w:eastAsia="MS ??" w:cs="Times New Roman"/>
                <w:sz w:val="18"/>
                <w:szCs w:val="18"/>
              </w:rPr>
            </w:pPr>
            <w:r w:rsidRPr="00A33CE1">
              <w:rPr>
                <w:rFonts w:eastAsia="MS ??" w:cs="Times New Roman"/>
                <w:sz w:val="18"/>
                <w:szCs w:val="18"/>
              </w:rPr>
              <w:t>61e</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vMerge/>
          </w:tcPr>
          <w:p w:rsidR="00A33CE1" w:rsidRPr="00A33CE1" w:rsidRDefault="00A33CE1" w:rsidP="00A33CE1">
            <w:pPr>
              <w:spacing w:after="0" w:line="240" w:lineRule="auto"/>
              <w:rPr>
                <w:rFonts w:eastAsia="MS ??" w:cs="Times New Roman"/>
                <w:sz w:val="18"/>
                <w:szCs w:val="18"/>
              </w:rPr>
            </w:pPr>
          </w:p>
        </w:tc>
        <w:tc>
          <w:tcPr>
            <w:tcW w:w="4359" w:type="dxa"/>
            <w:tcBorders>
              <w:top w:val="dotted" w:sz="4" w:space="0" w:color="auto"/>
              <w:right w:val="dotted" w:sz="4" w:space="0" w:color="auto"/>
            </w:tcBorders>
          </w:tcPr>
          <w:p w:rsidR="00A33CE1" w:rsidRPr="00A33CE1" w:rsidRDefault="00A33CE1" w:rsidP="00A33CE1">
            <w:pPr>
              <w:numPr>
                <w:ilvl w:val="0"/>
                <w:numId w:val="40"/>
              </w:numPr>
              <w:spacing w:after="0" w:line="240" w:lineRule="auto"/>
              <w:contextualSpacing/>
              <w:rPr>
                <w:rFonts w:eastAsia="MS ??" w:cs="Calibri"/>
                <w:sz w:val="18"/>
                <w:szCs w:val="18"/>
                <w:lang w:val="en-GB"/>
              </w:rPr>
            </w:pPr>
            <w:r w:rsidRPr="00A33CE1">
              <w:rPr>
                <w:rFonts w:eastAsia="MS ??" w:cs="Calibri"/>
                <w:sz w:val="18"/>
                <w:szCs w:val="18"/>
                <w:lang w:val="en-GB"/>
              </w:rPr>
              <w:t>% of UNDP country directors that have signed delegation of authority letters</w:t>
            </w:r>
            <w:r w:rsidRPr="00A33CE1">
              <w:rPr>
                <w:rFonts w:eastAsia="MS ??" w:cs="Calibri"/>
                <w:i/>
                <w:iCs/>
                <w:sz w:val="18"/>
                <w:szCs w:val="18"/>
                <w:lang w:val="en-GB"/>
              </w:rPr>
              <w:t xml:space="preserve">, </w:t>
            </w:r>
            <w:r w:rsidRPr="00A33CE1">
              <w:rPr>
                <w:rFonts w:eastAsia="MS ??" w:cs="Calibri"/>
                <w:sz w:val="18"/>
                <w:szCs w:val="18"/>
                <w:lang w:val="en-GB"/>
              </w:rPr>
              <w:t>including for resource mobilization, with RC/RRs</w:t>
            </w:r>
          </w:p>
        </w:tc>
        <w:tc>
          <w:tcPr>
            <w:tcW w:w="1275" w:type="dxa"/>
            <w:tcBorders>
              <w:top w:val="dotted" w:sz="4" w:space="0" w:color="auto"/>
              <w:left w:val="dotted" w:sz="4" w:space="0" w:color="auto"/>
              <w:bottom w:val="single" w:sz="4" w:space="0" w:color="auto"/>
              <w:right w:val="dotted" w:sz="4" w:space="0" w:color="auto"/>
            </w:tcBorders>
          </w:tcPr>
          <w:p w:rsidR="00A33CE1" w:rsidRPr="00A33CE1" w:rsidRDefault="00A33CE1" w:rsidP="00A33CE1">
            <w:pPr>
              <w:spacing w:after="0" w:line="240" w:lineRule="auto"/>
              <w:rPr>
                <w:rFonts w:eastAsia="MS ??" w:cs="Times New Roman"/>
                <w:b/>
                <w:sz w:val="18"/>
                <w:szCs w:val="18"/>
              </w:rPr>
            </w:pPr>
            <w:r w:rsidRPr="00A33CE1">
              <w:rPr>
                <w:rFonts w:eastAsia="MS ??" w:cs="Times New Roman"/>
                <w:b/>
                <w:color w:val="00B050"/>
                <w:sz w:val="18"/>
                <w:szCs w:val="18"/>
              </w:rPr>
              <w:t>Ongoing</w:t>
            </w:r>
          </w:p>
        </w:tc>
        <w:tc>
          <w:tcPr>
            <w:tcW w:w="5103" w:type="dxa"/>
            <w:vMerge/>
            <w:tcBorders>
              <w:left w:val="dotted" w:sz="4" w:space="0" w:color="auto"/>
            </w:tcBorders>
          </w:tcPr>
          <w:p w:rsidR="00A33CE1" w:rsidRPr="00A33CE1" w:rsidRDefault="00A33CE1" w:rsidP="00A33CE1">
            <w:pPr>
              <w:spacing w:after="0" w:line="240" w:lineRule="auto"/>
              <w:rPr>
                <w:rFonts w:eastAsia="MS ??" w:cs="Times New Roman"/>
                <w:sz w:val="18"/>
                <w:szCs w:val="18"/>
              </w:rPr>
            </w:pPr>
          </w:p>
        </w:tc>
        <w:tc>
          <w:tcPr>
            <w:tcW w:w="1276" w:type="dxa"/>
            <w:vMerge/>
            <w:tcBorders>
              <w:left w:val="dotted" w:sz="4" w:space="0" w:color="auto"/>
            </w:tcBorders>
          </w:tcPr>
          <w:p w:rsidR="00A33CE1" w:rsidRPr="00A33CE1" w:rsidRDefault="00A33CE1" w:rsidP="00A33CE1">
            <w:pPr>
              <w:spacing w:after="0" w:line="240" w:lineRule="auto"/>
              <w:rPr>
                <w:rFonts w:eastAsia="MS ??" w:cs="Times New Roman"/>
                <w:sz w:val="18"/>
                <w:szCs w:val="18"/>
              </w:rPr>
            </w:pPr>
          </w:p>
        </w:tc>
      </w:tr>
      <w:tr w:rsidR="00A33CE1" w:rsidRPr="00A33CE1" w:rsidTr="000B2F98">
        <w:tc>
          <w:tcPr>
            <w:tcW w:w="655" w:type="dxa"/>
            <w:tcBorders>
              <w:right w:val="nil"/>
            </w:tcBorders>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65</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128</w:t>
            </w: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of UN entities fully implementing the cost-sharing arrangement</w:t>
            </w:r>
          </w:p>
        </w:tc>
        <w:tc>
          <w:tcPr>
            <w:tcW w:w="1275" w:type="dxa"/>
            <w:vMerge w:val="restart"/>
          </w:tcPr>
          <w:p w:rsidR="00A33CE1" w:rsidRPr="00A33CE1" w:rsidRDefault="00A33CE1" w:rsidP="00A33CE1">
            <w:pPr>
              <w:spacing w:after="0" w:line="240" w:lineRule="auto"/>
              <w:rPr>
                <w:rFonts w:eastAsia="MS ??" w:cs="Times New Roman"/>
                <w:b/>
                <w:color w:val="92D050"/>
                <w:sz w:val="18"/>
                <w:szCs w:val="18"/>
              </w:rPr>
            </w:pPr>
            <w:r w:rsidRPr="00A33CE1">
              <w:rPr>
                <w:rFonts w:eastAsia="MS ??" w:cs="Times New Roman"/>
                <w:b/>
                <w:color w:val="00B050"/>
                <w:sz w:val="18"/>
                <w:szCs w:val="18"/>
              </w:rPr>
              <w:t>Achieved</w:t>
            </w:r>
          </w:p>
          <w:p w:rsidR="00A33CE1" w:rsidRPr="00A33CE1" w:rsidRDefault="00A33CE1" w:rsidP="00A33CE1">
            <w:pPr>
              <w:spacing w:after="0" w:line="240" w:lineRule="auto"/>
              <w:rPr>
                <w:rFonts w:eastAsia="MS ??" w:cs="Times New Roman"/>
                <w:sz w:val="18"/>
                <w:szCs w:val="18"/>
              </w:rPr>
            </w:pPr>
          </w:p>
        </w:tc>
        <w:tc>
          <w:tcPr>
            <w:tcW w:w="5103" w:type="dxa"/>
            <w:vMerge w:val="restart"/>
          </w:tcPr>
          <w:p w:rsidR="00B86429" w:rsidRPr="00B86429" w:rsidRDefault="00A33CE1" w:rsidP="00B86429">
            <w:pPr>
              <w:numPr>
                <w:ilvl w:val="0"/>
                <w:numId w:val="44"/>
              </w:numPr>
              <w:spacing w:after="0" w:line="240" w:lineRule="auto"/>
              <w:contextualSpacing/>
              <w:rPr>
                <w:rFonts w:eastAsia="MS ??" w:cs="Times New Roman"/>
                <w:sz w:val="18"/>
                <w:szCs w:val="18"/>
                <w:lang w:eastAsia="en-GB"/>
              </w:rPr>
            </w:pPr>
            <w:r w:rsidRPr="00A33CE1">
              <w:rPr>
                <w:rFonts w:eastAsia="MS ??" w:cs="Times New Roman"/>
                <w:color w:val="000000"/>
                <w:sz w:val="18"/>
                <w:szCs w:val="18"/>
                <w:lang w:eastAsia="en-GB"/>
              </w:rPr>
              <w:t xml:space="preserve">UNDP agreed to contribute in full and has already made its contribution to the RC system cost sharing for the 2014/2015 biennium. </w:t>
            </w:r>
          </w:p>
          <w:p w:rsidR="00A33CE1" w:rsidRPr="00A33CE1" w:rsidRDefault="00A33CE1" w:rsidP="00B86429">
            <w:pPr>
              <w:numPr>
                <w:ilvl w:val="0"/>
                <w:numId w:val="44"/>
              </w:numPr>
              <w:spacing w:after="0" w:line="240" w:lineRule="auto"/>
              <w:contextualSpacing/>
              <w:rPr>
                <w:rFonts w:eastAsia="MS ??" w:cs="Times New Roman"/>
                <w:sz w:val="18"/>
                <w:szCs w:val="18"/>
                <w:lang w:eastAsia="en-GB"/>
              </w:rPr>
            </w:pPr>
            <w:r w:rsidRPr="00A33CE1">
              <w:rPr>
                <w:rFonts w:eastAsia="MS ??" w:cs="Times New Roman"/>
                <w:sz w:val="18"/>
                <w:szCs w:val="18"/>
                <w:lang w:eastAsia="en-GB"/>
              </w:rPr>
              <w:t>The UNDG has committed to develop a common methodology for capturing in-kind contributions to the RC system in 2014.</w:t>
            </w:r>
          </w:p>
        </w:tc>
        <w:tc>
          <w:tcPr>
            <w:tcW w:w="1276" w:type="dxa"/>
            <w:vMerge w:val="restart"/>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Annual Report</w:t>
            </w:r>
          </w:p>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S-G Report</w:t>
            </w:r>
          </w:p>
        </w:tc>
      </w:tr>
      <w:tr w:rsidR="000B2F98" w:rsidRPr="00A33CE1" w:rsidTr="000B2F98">
        <w:tc>
          <w:tcPr>
            <w:tcW w:w="655" w:type="dxa"/>
            <w:tcBorders>
              <w:right w:val="nil"/>
            </w:tcBorders>
            <w:shd w:val="clear" w:color="auto" w:fill="FFFFFF"/>
          </w:tcPr>
          <w:p w:rsidR="00A33CE1" w:rsidRPr="00A33CE1" w:rsidRDefault="00A33CE1" w:rsidP="00A33CE1">
            <w:pPr>
              <w:spacing w:before="1" w:after="0" w:line="240" w:lineRule="auto"/>
              <w:rPr>
                <w:rFonts w:eastAsia="MS ??" w:cs="Times New Roman"/>
                <w:sz w:val="18"/>
                <w:szCs w:val="18"/>
              </w:rPr>
            </w:pPr>
            <w:r w:rsidRPr="00A33CE1">
              <w:rPr>
                <w:rFonts w:eastAsia="MS ??" w:cs="Times New Roman"/>
                <w:sz w:val="18"/>
                <w:szCs w:val="18"/>
              </w:rPr>
              <w:t>67a</w:t>
            </w:r>
          </w:p>
        </w:tc>
        <w:tc>
          <w:tcPr>
            <w:tcW w:w="78" w:type="dxa"/>
            <w:tcBorders>
              <w:left w:val="nil"/>
            </w:tcBorders>
            <w:shd w:val="clear" w:color="auto" w:fill="FFFFFF"/>
          </w:tcPr>
          <w:p w:rsidR="00A33CE1" w:rsidRPr="00A33CE1" w:rsidRDefault="00A33CE1" w:rsidP="00A33CE1">
            <w:pPr>
              <w:spacing w:after="0" w:line="240" w:lineRule="auto"/>
              <w:rPr>
                <w:rFonts w:eastAsia="MS ??" w:cs="Times New Roman"/>
                <w:sz w:val="18"/>
                <w:szCs w:val="18"/>
              </w:rPr>
            </w:pPr>
          </w:p>
        </w:tc>
        <w:tc>
          <w:tcPr>
            <w:tcW w:w="707" w:type="dxa"/>
            <w:vMerge w:val="restart"/>
            <w:shd w:val="clear" w:color="auto" w:fill="FFFFFF"/>
            <w:vAlign w:val="center"/>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128</w:t>
            </w:r>
          </w:p>
          <w:p w:rsidR="00A33CE1" w:rsidRPr="00A33CE1" w:rsidRDefault="00A33CE1" w:rsidP="00A33CE1">
            <w:pPr>
              <w:spacing w:after="0" w:line="240" w:lineRule="auto"/>
              <w:rPr>
                <w:rFonts w:eastAsia="MS ??" w:cs="Times New Roman"/>
                <w:sz w:val="18"/>
                <w:szCs w:val="18"/>
              </w:rPr>
            </w:pPr>
          </w:p>
        </w:tc>
        <w:tc>
          <w:tcPr>
            <w:tcW w:w="4359" w:type="dxa"/>
            <w:shd w:val="clear" w:color="auto" w:fill="FFFFFF"/>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Contributions in cash provided to the RC system</w:t>
            </w:r>
          </w:p>
        </w:tc>
        <w:tc>
          <w:tcPr>
            <w:tcW w:w="1275" w:type="dxa"/>
            <w:vMerge/>
            <w:shd w:val="clear" w:color="auto" w:fill="FFFFFF"/>
          </w:tcPr>
          <w:p w:rsidR="00A33CE1" w:rsidRPr="00A33CE1" w:rsidRDefault="00A33CE1" w:rsidP="00A33CE1">
            <w:pPr>
              <w:spacing w:after="0" w:line="240" w:lineRule="auto"/>
              <w:rPr>
                <w:rFonts w:eastAsia="MS ??" w:cs="Times New Roman"/>
                <w:sz w:val="18"/>
                <w:szCs w:val="18"/>
              </w:rPr>
            </w:pPr>
          </w:p>
        </w:tc>
        <w:tc>
          <w:tcPr>
            <w:tcW w:w="5103" w:type="dxa"/>
            <w:vMerge/>
            <w:shd w:val="clear" w:color="auto" w:fill="FFFFFF"/>
          </w:tcPr>
          <w:p w:rsidR="00A33CE1" w:rsidRPr="00A33CE1" w:rsidRDefault="00A33CE1" w:rsidP="00A33CE1">
            <w:pPr>
              <w:spacing w:after="0" w:line="240" w:lineRule="auto"/>
              <w:rPr>
                <w:rFonts w:eastAsia="MS ??" w:cs="Times New Roman"/>
                <w:sz w:val="18"/>
                <w:szCs w:val="18"/>
              </w:rPr>
            </w:pPr>
          </w:p>
        </w:tc>
        <w:tc>
          <w:tcPr>
            <w:tcW w:w="1276" w:type="dxa"/>
            <w:vMerge/>
            <w:shd w:val="clear" w:color="auto" w:fill="FFFFFF"/>
          </w:tcPr>
          <w:p w:rsidR="00A33CE1" w:rsidRPr="00A33CE1" w:rsidRDefault="00A33CE1" w:rsidP="00A33CE1">
            <w:pPr>
              <w:spacing w:after="0" w:line="240" w:lineRule="auto"/>
              <w:rPr>
                <w:rFonts w:eastAsia="MS ??" w:cs="Times New Roman"/>
                <w:sz w:val="18"/>
                <w:szCs w:val="18"/>
              </w:rPr>
            </w:pPr>
          </w:p>
        </w:tc>
      </w:tr>
      <w:tr w:rsidR="000B2F98" w:rsidRPr="00A33CE1" w:rsidTr="000B2F98">
        <w:tc>
          <w:tcPr>
            <w:tcW w:w="655" w:type="dxa"/>
            <w:tcBorders>
              <w:right w:val="nil"/>
            </w:tcBorders>
            <w:shd w:val="clear" w:color="auto" w:fill="FFFFFF"/>
          </w:tcPr>
          <w:p w:rsidR="00A33CE1" w:rsidRPr="00A33CE1" w:rsidRDefault="00A33CE1" w:rsidP="00A33CE1">
            <w:pPr>
              <w:spacing w:before="8" w:after="0" w:line="240" w:lineRule="auto"/>
              <w:rPr>
                <w:rFonts w:eastAsia="MS ??" w:cs="Times New Roman"/>
                <w:sz w:val="18"/>
                <w:szCs w:val="18"/>
              </w:rPr>
            </w:pPr>
            <w:r w:rsidRPr="00A33CE1">
              <w:rPr>
                <w:rFonts w:eastAsia="MS ??" w:cs="Times New Roman"/>
                <w:sz w:val="18"/>
                <w:szCs w:val="18"/>
              </w:rPr>
              <w:t>67b</w:t>
            </w:r>
          </w:p>
        </w:tc>
        <w:tc>
          <w:tcPr>
            <w:tcW w:w="78" w:type="dxa"/>
            <w:tcBorders>
              <w:left w:val="nil"/>
            </w:tcBorders>
            <w:shd w:val="clear" w:color="auto" w:fill="FFFFFF"/>
          </w:tcPr>
          <w:p w:rsidR="00A33CE1" w:rsidRPr="00A33CE1" w:rsidRDefault="00A33CE1" w:rsidP="00A33CE1">
            <w:pPr>
              <w:spacing w:after="0" w:line="240" w:lineRule="auto"/>
              <w:rPr>
                <w:rFonts w:eastAsia="MS ??" w:cs="Times New Roman"/>
                <w:sz w:val="18"/>
                <w:szCs w:val="18"/>
              </w:rPr>
            </w:pPr>
          </w:p>
        </w:tc>
        <w:tc>
          <w:tcPr>
            <w:tcW w:w="707" w:type="dxa"/>
            <w:vMerge/>
            <w:shd w:val="clear" w:color="auto" w:fill="FFFFFF"/>
          </w:tcPr>
          <w:p w:rsidR="00A33CE1" w:rsidRPr="00A33CE1" w:rsidRDefault="00A33CE1" w:rsidP="00A33CE1">
            <w:pPr>
              <w:spacing w:after="0" w:line="240" w:lineRule="auto"/>
              <w:rPr>
                <w:rFonts w:eastAsia="MS ??" w:cs="Times New Roman"/>
                <w:sz w:val="18"/>
                <w:szCs w:val="18"/>
              </w:rPr>
            </w:pPr>
          </w:p>
        </w:tc>
        <w:tc>
          <w:tcPr>
            <w:tcW w:w="4359" w:type="dxa"/>
            <w:shd w:val="clear" w:color="auto" w:fill="FFFFFF"/>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Contributions in kind provided to the RC system</w:t>
            </w:r>
          </w:p>
        </w:tc>
        <w:tc>
          <w:tcPr>
            <w:tcW w:w="1275" w:type="dxa"/>
            <w:vMerge/>
            <w:shd w:val="clear" w:color="auto" w:fill="FFFFFF"/>
          </w:tcPr>
          <w:p w:rsidR="00A33CE1" w:rsidRPr="00A33CE1" w:rsidRDefault="00A33CE1" w:rsidP="00A33CE1">
            <w:pPr>
              <w:spacing w:after="0" w:line="240" w:lineRule="auto"/>
              <w:rPr>
                <w:rFonts w:eastAsia="MS ??" w:cs="Times New Roman"/>
                <w:sz w:val="18"/>
                <w:szCs w:val="18"/>
              </w:rPr>
            </w:pPr>
          </w:p>
        </w:tc>
        <w:tc>
          <w:tcPr>
            <w:tcW w:w="5103" w:type="dxa"/>
            <w:vMerge/>
            <w:shd w:val="clear" w:color="auto" w:fill="FFFFFF"/>
          </w:tcPr>
          <w:p w:rsidR="00A33CE1" w:rsidRPr="00A33CE1" w:rsidRDefault="00A33CE1" w:rsidP="00A33CE1">
            <w:pPr>
              <w:spacing w:after="0" w:line="240" w:lineRule="auto"/>
              <w:rPr>
                <w:rFonts w:eastAsia="MS ??" w:cs="Times New Roman"/>
                <w:sz w:val="18"/>
                <w:szCs w:val="18"/>
              </w:rPr>
            </w:pPr>
          </w:p>
        </w:tc>
        <w:tc>
          <w:tcPr>
            <w:tcW w:w="1276" w:type="dxa"/>
            <w:vMerge/>
            <w:shd w:val="clear" w:color="auto" w:fill="FFFFFF"/>
          </w:tcPr>
          <w:p w:rsidR="00A33CE1" w:rsidRPr="00A33CE1" w:rsidRDefault="00A33CE1" w:rsidP="00A33CE1">
            <w:pPr>
              <w:spacing w:after="0" w:line="240" w:lineRule="auto"/>
              <w:rPr>
                <w:rFonts w:eastAsia="MS ??" w:cs="Times New Roman"/>
                <w:sz w:val="18"/>
                <w:szCs w:val="18"/>
              </w:rPr>
            </w:pPr>
          </w:p>
        </w:tc>
      </w:tr>
      <w:tr w:rsidR="00A33CE1" w:rsidRPr="00A33CE1" w:rsidTr="000B2F98">
        <w:tc>
          <w:tcPr>
            <w:tcW w:w="655" w:type="dxa"/>
            <w:tcBorders>
              <w:right w:val="nil"/>
            </w:tcBorders>
          </w:tcPr>
          <w:p w:rsidR="00A33CE1" w:rsidRPr="00A33CE1" w:rsidRDefault="00A33CE1" w:rsidP="00A33CE1">
            <w:pPr>
              <w:spacing w:before="1" w:after="0" w:line="240" w:lineRule="auto"/>
              <w:rPr>
                <w:rFonts w:eastAsia="MS ??" w:cs="Times New Roman"/>
                <w:sz w:val="18"/>
                <w:szCs w:val="18"/>
              </w:rPr>
            </w:pPr>
            <w:r w:rsidRPr="00A33CE1">
              <w:rPr>
                <w:rFonts w:eastAsia="MS ??" w:cs="Times New Roman"/>
                <w:sz w:val="18"/>
                <w:szCs w:val="18"/>
              </w:rPr>
              <w:t>68</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124(a), (b)</w:t>
            </w:r>
          </w:p>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127(c)</w:t>
            </w:r>
          </w:p>
        </w:tc>
        <w:tc>
          <w:tcPr>
            <w:tcW w:w="4359" w:type="dxa"/>
          </w:tcPr>
          <w:p w:rsidR="00A33CE1" w:rsidRPr="00A33CE1" w:rsidRDefault="00A33CE1" w:rsidP="0028301F">
            <w:pPr>
              <w:spacing w:after="0" w:line="240" w:lineRule="auto"/>
              <w:rPr>
                <w:rFonts w:eastAsia="MS ??" w:cs="Times New Roman"/>
                <w:sz w:val="18"/>
                <w:szCs w:val="18"/>
              </w:rPr>
            </w:pPr>
            <w:r w:rsidRPr="00A33CE1">
              <w:rPr>
                <w:rFonts w:eastAsia="MS ??" w:cs="Times New Roman"/>
                <w:sz w:val="18"/>
                <w:szCs w:val="18"/>
              </w:rPr>
              <w:t>RCAC reviewed and improved with the ultimate goal of bringing in high-caliber leaders</w:t>
            </w:r>
          </w:p>
        </w:tc>
        <w:tc>
          <w:tcPr>
            <w:tcW w:w="1275" w:type="dxa"/>
          </w:tcPr>
          <w:p w:rsidR="00A33CE1" w:rsidRPr="00A33CE1" w:rsidRDefault="00A33CE1" w:rsidP="00A33CE1">
            <w:pPr>
              <w:spacing w:after="0" w:line="240" w:lineRule="auto"/>
              <w:rPr>
                <w:rFonts w:eastAsia="MS ??" w:cs="Times New Roman"/>
                <w:b/>
                <w:color w:val="00B050"/>
                <w:sz w:val="18"/>
                <w:szCs w:val="18"/>
              </w:rPr>
            </w:pPr>
            <w:r w:rsidRPr="00A33CE1">
              <w:rPr>
                <w:rFonts w:eastAsia="MS ??" w:cs="Times New Roman"/>
                <w:b/>
                <w:color w:val="00B050"/>
                <w:sz w:val="18"/>
                <w:szCs w:val="18"/>
              </w:rPr>
              <w:t>Ongoing</w:t>
            </w:r>
          </w:p>
          <w:p w:rsidR="00A33CE1" w:rsidRPr="00A33CE1" w:rsidRDefault="00A33CE1" w:rsidP="00A33CE1">
            <w:pPr>
              <w:spacing w:after="0" w:line="240" w:lineRule="auto"/>
              <w:rPr>
                <w:rFonts w:eastAsia="MS ??" w:cs="Times New Roman"/>
                <w:sz w:val="18"/>
                <w:szCs w:val="18"/>
              </w:rPr>
            </w:pPr>
          </w:p>
        </w:tc>
        <w:tc>
          <w:tcPr>
            <w:tcW w:w="5103" w:type="dxa"/>
          </w:tcPr>
          <w:p w:rsidR="00A33CE1" w:rsidRPr="00A33CE1" w:rsidRDefault="00A33CE1" w:rsidP="00A33CE1">
            <w:pPr>
              <w:spacing w:after="0" w:line="240" w:lineRule="auto"/>
              <w:rPr>
                <w:rFonts w:eastAsia="MS Mincho" w:cs="Times New Roman"/>
                <w:sz w:val="18"/>
                <w:szCs w:val="18"/>
                <w:lang w:val="en-GB"/>
              </w:rPr>
            </w:pPr>
            <w:r w:rsidRPr="00A33CE1">
              <w:rPr>
                <w:rFonts w:eastAsia="MS Mincho" w:cs="Times New Roman"/>
                <w:sz w:val="18"/>
                <w:szCs w:val="18"/>
                <w:lang w:val="en-GB"/>
              </w:rPr>
              <w:t>With UNDOCO as Co-Chair, UNDP has convened an inter-agency Steering Committee to review the RCAC.  A completely new Assessment Centre is being designed, with the view to improving its relevance and rigor, in support of the goal of bringing in high-calibre leaders to the RCAC Pool.</w:t>
            </w:r>
          </w:p>
          <w:p w:rsidR="00A33CE1" w:rsidRPr="00A33CE1" w:rsidRDefault="00A33CE1" w:rsidP="00A33CE1">
            <w:pPr>
              <w:spacing w:after="0" w:line="240" w:lineRule="auto"/>
              <w:rPr>
                <w:rFonts w:eastAsia="MS ??" w:cs="Times New Roman"/>
                <w:sz w:val="18"/>
                <w:szCs w:val="18"/>
              </w:rPr>
            </w:pPr>
          </w:p>
        </w:tc>
        <w:tc>
          <w:tcPr>
            <w:tcW w:w="1276"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S-G report</w:t>
            </w:r>
          </w:p>
        </w:tc>
      </w:tr>
      <w:tr w:rsidR="00A33CE1" w:rsidRPr="00A33CE1" w:rsidTr="000B2F98">
        <w:tc>
          <w:tcPr>
            <w:tcW w:w="655" w:type="dxa"/>
            <w:tcBorders>
              <w:right w:val="nil"/>
            </w:tcBorders>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69</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124(J)</w:t>
            </w: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xml:space="preserve">% of UNCTs by agency with ‘very adequate’ delegated authority to make decisions on behalf of their agency. </w:t>
            </w:r>
          </w:p>
        </w:tc>
        <w:tc>
          <w:tcPr>
            <w:tcW w:w="1275" w:type="dxa"/>
          </w:tcPr>
          <w:p w:rsidR="00A33CE1" w:rsidRPr="00A33CE1" w:rsidRDefault="00A33CE1" w:rsidP="00A33CE1">
            <w:pPr>
              <w:spacing w:after="0" w:line="240" w:lineRule="auto"/>
              <w:rPr>
                <w:rFonts w:eastAsia="MS ??" w:cs="Times New Roman"/>
                <w:sz w:val="18"/>
                <w:szCs w:val="18"/>
              </w:rPr>
            </w:pPr>
            <w:r w:rsidRPr="00A33CE1">
              <w:rPr>
                <w:rFonts w:eastAsia="MS ??" w:cs="Times New Roman"/>
                <w:b/>
                <w:color w:val="FFC000"/>
                <w:sz w:val="18"/>
                <w:szCs w:val="18"/>
              </w:rPr>
              <w:t xml:space="preserve">In Progress </w:t>
            </w:r>
          </w:p>
        </w:tc>
        <w:tc>
          <w:tcPr>
            <w:tcW w:w="5103" w:type="dxa"/>
          </w:tcPr>
          <w:p w:rsidR="00A33CE1" w:rsidRPr="00A33CE1" w:rsidRDefault="00A33CE1" w:rsidP="00A33CE1">
            <w:pPr>
              <w:spacing w:after="0" w:line="240" w:lineRule="auto"/>
              <w:rPr>
                <w:rFonts w:eastAsia="MS Mincho" w:cs="Times New Roman"/>
                <w:sz w:val="18"/>
                <w:szCs w:val="18"/>
                <w:lang w:val="en-GB"/>
              </w:rPr>
            </w:pPr>
            <w:r w:rsidRPr="00A33CE1">
              <w:rPr>
                <w:rFonts w:eastAsia="MS Mincho" w:cs="Times New Roman"/>
                <w:sz w:val="18"/>
                <w:szCs w:val="18"/>
                <w:lang w:val="en-GB"/>
              </w:rPr>
              <w:t xml:space="preserve">UNDP CD and DRR job descriptions indicate delegation of authority from the RR with respect to decision making. The JDs of UNDP’s CDs lays out the delegated authority to represent UNDP in the UNDAF and One UN processes (where applicable), ensuring the effective utilization of the UNDP’s programme, operations, implementation, assessment and quality guidelines, standards and tools. </w:t>
            </w:r>
          </w:p>
        </w:tc>
        <w:tc>
          <w:tcPr>
            <w:tcW w:w="1276"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S-G report</w:t>
            </w:r>
          </w:p>
        </w:tc>
      </w:tr>
      <w:tr w:rsidR="00A33CE1" w:rsidRPr="00A33CE1" w:rsidTr="000B2F98">
        <w:tc>
          <w:tcPr>
            <w:tcW w:w="655" w:type="dxa"/>
            <w:tcBorders>
              <w:right w:val="nil"/>
            </w:tcBorders>
          </w:tcPr>
          <w:p w:rsidR="00A33CE1" w:rsidRPr="00A33CE1" w:rsidRDefault="00A33CE1" w:rsidP="00A33CE1">
            <w:pPr>
              <w:spacing w:before="8" w:after="0" w:line="240" w:lineRule="auto"/>
              <w:rPr>
                <w:rFonts w:eastAsia="MS ??" w:cs="Times New Roman"/>
                <w:sz w:val="18"/>
                <w:szCs w:val="18"/>
              </w:rPr>
            </w:pPr>
            <w:r w:rsidRPr="00A33CE1">
              <w:rPr>
                <w:rFonts w:eastAsia="MS ??" w:cs="Times New Roman"/>
                <w:sz w:val="18"/>
                <w:szCs w:val="18"/>
              </w:rPr>
              <w:t>76</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143 &amp; E/RES/2014/5</w:t>
            </w: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Options for the review and approval of the common country programme documents of the “Delivering as one” countries presented to ECOSOC in 2014</w:t>
            </w:r>
          </w:p>
        </w:tc>
        <w:tc>
          <w:tcPr>
            <w:tcW w:w="1275" w:type="dxa"/>
          </w:tcPr>
          <w:p w:rsidR="00A33CE1" w:rsidRPr="00A33CE1" w:rsidRDefault="00A33CE1" w:rsidP="00A33CE1">
            <w:pPr>
              <w:spacing w:after="0" w:line="240" w:lineRule="auto"/>
              <w:rPr>
                <w:rFonts w:eastAsia="MS ??" w:cs="Times New Roman"/>
                <w:sz w:val="18"/>
                <w:szCs w:val="18"/>
              </w:rPr>
            </w:pPr>
            <w:r w:rsidRPr="00A33CE1">
              <w:rPr>
                <w:rFonts w:eastAsia="MS ??" w:cs="Times New Roman"/>
                <w:b/>
                <w:color w:val="FFC000"/>
                <w:sz w:val="18"/>
                <w:szCs w:val="18"/>
              </w:rPr>
              <w:t>In progress</w:t>
            </w:r>
          </w:p>
        </w:tc>
        <w:tc>
          <w:tcPr>
            <w:tcW w:w="5103" w:type="dxa"/>
          </w:tcPr>
          <w:p w:rsidR="00A33CE1" w:rsidRPr="00A33CE1" w:rsidRDefault="00A33CE1" w:rsidP="00A33CE1">
            <w:pPr>
              <w:spacing w:after="0" w:line="240" w:lineRule="auto"/>
              <w:rPr>
                <w:rFonts w:eastAsia="MS ??" w:cs="Times New Roman"/>
                <w:sz w:val="18"/>
                <w:szCs w:val="18"/>
              </w:rPr>
            </w:pPr>
            <w:r w:rsidRPr="00A33CE1">
              <w:rPr>
                <w:rFonts w:eastAsia="MS Mincho" w:cs="Times New Roman"/>
                <w:sz w:val="18"/>
                <w:szCs w:val="18"/>
                <w:lang w:val="en-GB"/>
              </w:rPr>
              <w:t>UNDP is committed to improve the coherence and quality of its support to nationally-coordinated development. Inter alia, it is working closely with UNICEF and UNFPA to promote substantive coherence, process efficiency and results orientation through innovations in joint monitoring. Changes to several aspects of programme and project management are already under way, as is work on quality standards. To better inform discussion on the common CPD, UNDP, UNFPA and UNICEF are conducting a survey of the experiences of country offices that have adopted common CPDs to date. The survey will provide up-to-date information on experiences with the common CPD as an input into further discussion.</w:t>
            </w:r>
          </w:p>
        </w:tc>
        <w:tc>
          <w:tcPr>
            <w:tcW w:w="1276"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S-G report</w:t>
            </w:r>
          </w:p>
        </w:tc>
      </w:tr>
      <w:tr w:rsidR="00A33CE1" w:rsidRPr="00A33CE1" w:rsidTr="000B2F98">
        <w:tc>
          <w:tcPr>
            <w:tcW w:w="13453" w:type="dxa"/>
            <w:gridSpan w:val="7"/>
            <w:shd w:val="clear" w:color="auto" w:fill="BFBFBF"/>
          </w:tcPr>
          <w:p w:rsidR="00A33CE1" w:rsidRPr="00A33CE1" w:rsidRDefault="00A33CE1" w:rsidP="00A33CE1">
            <w:pPr>
              <w:spacing w:after="0" w:line="240" w:lineRule="auto"/>
              <w:rPr>
                <w:rFonts w:eastAsia="MS ??" w:cs="Times New Roman"/>
                <w:b/>
                <w:sz w:val="18"/>
                <w:szCs w:val="18"/>
              </w:rPr>
            </w:pPr>
            <w:r w:rsidRPr="00A33CE1">
              <w:rPr>
                <w:rFonts w:eastAsia="MS ??" w:cs="Times New Roman"/>
                <w:b/>
                <w:sz w:val="18"/>
                <w:szCs w:val="18"/>
              </w:rPr>
              <w:t>SIMPLIFICATION AND HARMONIZATION OF BUSINESS PRACTICES</w:t>
            </w:r>
          </w:p>
        </w:tc>
      </w:tr>
      <w:tr w:rsidR="00A33CE1" w:rsidRPr="00A33CE1" w:rsidTr="000B2F98">
        <w:tc>
          <w:tcPr>
            <w:tcW w:w="655" w:type="dxa"/>
            <w:tcBorders>
              <w:right w:val="nil"/>
            </w:tcBorders>
          </w:tcPr>
          <w:p w:rsidR="00A33CE1" w:rsidRPr="00A33CE1" w:rsidRDefault="00A33CE1" w:rsidP="00A33CE1">
            <w:pPr>
              <w:spacing w:before="8" w:after="0" w:line="240" w:lineRule="auto"/>
              <w:rPr>
                <w:rFonts w:eastAsia="MS ??" w:cs="Times New Roman"/>
                <w:sz w:val="18"/>
                <w:szCs w:val="18"/>
              </w:rPr>
            </w:pPr>
            <w:r w:rsidRPr="00A33CE1">
              <w:rPr>
                <w:rFonts w:eastAsia="MS ??" w:cs="Times New Roman"/>
                <w:sz w:val="18"/>
                <w:szCs w:val="18"/>
              </w:rPr>
              <w:t>83</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152</w:t>
            </w: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Plan for consolidated common support at country level submitted to governing bodies in 2014, including in the areas of financial management, human resources, procurement, ICT and other services</w:t>
            </w:r>
          </w:p>
        </w:tc>
        <w:tc>
          <w:tcPr>
            <w:tcW w:w="1275" w:type="dxa"/>
          </w:tcPr>
          <w:p w:rsidR="00A33CE1" w:rsidRPr="00A33CE1" w:rsidRDefault="00A33CE1" w:rsidP="00A33CE1">
            <w:pPr>
              <w:spacing w:after="0" w:line="240" w:lineRule="auto"/>
              <w:rPr>
                <w:rFonts w:eastAsia="MS ??" w:cs="Times New Roman"/>
                <w:sz w:val="18"/>
                <w:szCs w:val="18"/>
              </w:rPr>
            </w:pPr>
            <w:r w:rsidRPr="00A33CE1">
              <w:rPr>
                <w:rFonts w:eastAsia="MS ??" w:cs="Times New Roman"/>
                <w:b/>
                <w:color w:val="FFC000"/>
                <w:sz w:val="18"/>
                <w:szCs w:val="18"/>
              </w:rPr>
              <w:t>In progress</w:t>
            </w:r>
          </w:p>
        </w:tc>
        <w:tc>
          <w:tcPr>
            <w:tcW w:w="5103" w:type="dxa"/>
          </w:tcPr>
          <w:p w:rsidR="00A33CE1" w:rsidRPr="00A33CE1" w:rsidRDefault="00A33CE1" w:rsidP="00A33CE1">
            <w:pPr>
              <w:spacing w:after="0" w:line="240" w:lineRule="auto"/>
              <w:rPr>
                <w:rFonts w:eastAsia="MS Mincho" w:cs="Times New Roman"/>
                <w:color w:val="0070C0"/>
                <w:sz w:val="18"/>
                <w:szCs w:val="18"/>
                <w:lang w:val="en-GB"/>
              </w:rPr>
            </w:pPr>
            <w:r w:rsidRPr="00A33CE1">
              <w:rPr>
                <w:rFonts w:eastAsia="MS Mincho" w:cs="Times New Roman"/>
                <w:sz w:val="18"/>
                <w:szCs w:val="18"/>
                <w:lang w:val="en-GB"/>
              </w:rPr>
              <w:t>UNDP together with agencies, funds and programmes is piloting the Business Operations Strategy in 11 countries. At the end of 2014/early 2015 a cost-benefit analysis involving both the UNDG and the HLCM will be conducted to produce evidence that will inform plans for the establishment of consolidated support services.</w:t>
            </w:r>
          </w:p>
        </w:tc>
        <w:tc>
          <w:tcPr>
            <w:tcW w:w="1276"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S-G report</w:t>
            </w:r>
          </w:p>
        </w:tc>
      </w:tr>
      <w:tr w:rsidR="00A33CE1" w:rsidRPr="00A33CE1" w:rsidTr="000B2F98">
        <w:tc>
          <w:tcPr>
            <w:tcW w:w="655" w:type="dxa"/>
            <w:tcBorders>
              <w:right w:val="nil"/>
            </w:tcBorders>
          </w:tcPr>
          <w:p w:rsidR="00A33CE1" w:rsidRPr="00A33CE1" w:rsidRDefault="00A33CE1" w:rsidP="00A33CE1">
            <w:pPr>
              <w:spacing w:before="8" w:after="0" w:line="240" w:lineRule="auto"/>
              <w:rPr>
                <w:rFonts w:eastAsia="MS ??" w:cs="Times New Roman"/>
                <w:sz w:val="18"/>
                <w:szCs w:val="18"/>
              </w:rPr>
            </w:pPr>
            <w:r w:rsidRPr="00A33CE1">
              <w:rPr>
                <w:rFonts w:eastAsia="MS ??" w:cs="Times New Roman"/>
                <w:sz w:val="18"/>
                <w:szCs w:val="18"/>
              </w:rPr>
              <w:t>85</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159</w:t>
            </w: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Proposal on the common definition of operating costs and a common and (standardized) system of cost control presented in 2014</w:t>
            </w:r>
          </w:p>
        </w:tc>
        <w:tc>
          <w:tcPr>
            <w:tcW w:w="1275" w:type="dxa"/>
          </w:tcPr>
          <w:p w:rsidR="00A33CE1" w:rsidRPr="00A33CE1" w:rsidRDefault="00A33CE1" w:rsidP="00A33CE1">
            <w:pPr>
              <w:spacing w:after="0" w:line="240" w:lineRule="auto"/>
              <w:rPr>
                <w:rFonts w:eastAsia="MS ??" w:cs="Times New Roman"/>
                <w:b/>
                <w:color w:val="92D050"/>
                <w:sz w:val="18"/>
                <w:szCs w:val="18"/>
              </w:rPr>
            </w:pPr>
            <w:r w:rsidRPr="00A33CE1">
              <w:rPr>
                <w:rFonts w:eastAsia="MS ??" w:cs="Times New Roman"/>
                <w:b/>
                <w:color w:val="FFC000"/>
                <w:sz w:val="18"/>
                <w:szCs w:val="18"/>
              </w:rPr>
              <w:t>In progress</w:t>
            </w:r>
          </w:p>
        </w:tc>
        <w:tc>
          <w:tcPr>
            <w:tcW w:w="5103" w:type="dxa"/>
          </w:tcPr>
          <w:p w:rsidR="00A33CE1" w:rsidRPr="00A33CE1" w:rsidRDefault="00A33CE1" w:rsidP="00A33CE1">
            <w:pPr>
              <w:spacing w:after="0" w:line="240" w:lineRule="auto"/>
              <w:rPr>
                <w:rFonts w:eastAsia="MS Mincho" w:cs="Times New Roman"/>
                <w:color w:val="0070C0"/>
                <w:sz w:val="18"/>
                <w:szCs w:val="18"/>
                <w:lang w:val="en-GB"/>
              </w:rPr>
            </w:pPr>
            <w:r w:rsidRPr="00A33CE1">
              <w:rPr>
                <w:rFonts w:eastAsia="MS Mincho" w:cs="Times New Roman"/>
                <w:sz w:val="18"/>
                <w:szCs w:val="18"/>
                <w:lang w:val="en-GB"/>
              </w:rPr>
              <w:t>UNDP, UNFPA, UN Women and UNICEF are assessing the feasibility of expanding the common cost categories through a working group led by UNICEF. The objective is to agree on common cost classification and at a later stage a standardized system of cost controls.</w:t>
            </w:r>
          </w:p>
        </w:tc>
        <w:tc>
          <w:tcPr>
            <w:tcW w:w="1276"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S-G report</w:t>
            </w:r>
          </w:p>
        </w:tc>
      </w:tr>
      <w:tr w:rsidR="00A33CE1" w:rsidRPr="00A33CE1" w:rsidTr="000B2F98">
        <w:trPr>
          <w:trHeight w:val="305"/>
        </w:trPr>
        <w:tc>
          <w:tcPr>
            <w:tcW w:w="655" w:type="dxa"/>
            <w:tcBorders>
              <w:right w:val="nil"/>
            </w:tcBorders>
          </w:tcPr>
          <w:p w:rsidR="00A33CE1" w:rsidRPr="00A33CE1" w:rsidRDefault="00A33CE1" w:rsidP="00A33CE1">
            <w:pPr>
              <w:spacing w:before="8" w:after="0" w:line="240" w:lineRule="auto"/>
              <w:rPr>
                <w:rFonts w:eastAsia="MS ??" w:cs="Times New Roman"/>
                <w:sz w:val="18"/>
                <w:szCs w:val="18"/>
              </w:rPr>
            </w:pPr>
            <w:r w:rsidRPr="00A33CE1">
              <w:rPr>
                <w:rFonts w:eastAsia="MS ??" w:cs="Times New Roman"/>
                <w:sz w:val="18"/>
                <w:szCs w:val="18"/>
              </w:rPr>
              <w:t>88a</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vMerge w:val="restart"/>
            <w:vAlign w:val="center"/>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152, 154</w:t>
            </w: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of countries implementing common services</w:t>
            </w:r>
          </w:p>
        </w:tc>
        <w:tc>
          <w:tcPr>
            <w:tcW w:w="1275" w:type="dxa"/>
            <w:vMerge w:val="restart"/>
            <w:vAlign w:val="center"/>
          </w:tcPr>
          <w:p w:rsidR="00A33CE1" w:rsidRPr="00A33CE1" w:rsidRDefault="00A33CE1" w:rsidP="00A33CE1">
            <w:pPr>
              <w:spacing w:after="0" w:line="240" w:lineRule="auto"/>
              <w:rPr>
                <w:rFonts w:eastAsia="MS ??" w:cs="Times New Roman"/>
                <w:sz w:val="18"/>
                <w:szCs w:val="18"/>
              </w:rPr>
            </w:pPr>
            <w:r w:rsidRPr="00A33CE1">
              <w:rPr>
                <w:rFonts w:eastAsia="MS ??" w:cs="Times New Roman"/>
                <w:b/>
                <w:color w:val="FFC000"/>
                <w:sz w:val="18"/>
                <w:szCs w:val="18"/>
              </w:rPr>
              <w:t>In progress</w:t>
            </w:r>
          </w:p>
        </w:tc>
        <w:tc>
          <w:tcPr>
            <w:tcW w:w="5103" w:type="dxa"/>
            <w:vMerge w:val="restart"/>
            <w:vAlign w:val="center"/>
          </w:tcPr>
          <w:p w:rsidR="00A33CE1" w:rsidRPr="00A33CE1" w:rsidRDefault="00A33CE1" w:rsidP="00A33CE1">
            <w:pPr>
              <w:spacing w:after="0" w:line="240" w:lineRule="auto"/>
              <w:rPr>
                <w:rFonts w:eastAsia="MS ??" w:cs="Times New Roman"/>
                <w:color w:val="FF0000"/>
                <w:sz w:val="18"/>
                <w:szCs w:val="18"/>
                <w:lang w:val="en-GB"/>
              </w:rPr>
            </w:pPr>
            <w:r w:rsidRPr="00A33CE1">
              <w:rPr>
                <w:rFonts w:eastAsia="MS ??" w:cs="Times New Roman"/>
                <w:sz w:val="18"/>
                <w:szCs w:val="18"/>
                <w:lang w:val="en-GB"/>
              </w:rPr>
              <w:t xml:space="preserve">The new policy on LTAs offers increased flexibility and over 250 LTAs from other United Nations agencies are now available to UNDP offices. E-Tendering, now expanded to several regions, has improved transparency and shortened processing times, and is expected to generate recurring annual savings of $ 500,000. Going forward, transactional services will increasingly be provided through global shared service centres – already established in Kuala Lumpur (finance) and Copenhagen (human resources) – as well as regional hubs. </w:t>
            </w:r>
          </w:p>
          <w:p w:rsidR="00A33CE1" w:rsidRPr="00A33CE1" w:rsidRDefault="00A33CE1" w:rsidP="00A33CE1">
            <w:pPr>
              <w:spacing w:after="0" w:line="240" w:lineRule="auto"/>
              <w:rPr>
                <w:rFonts w:eastAsia="MS ??" w:cs="Times New Roman"/>
                <w:color w:val="FF0000"/>
                <w:sz w:val="18"/>
                <w:szCs w:val="18"/>
                <w:lang w:val="en-GB"/>
              </w:rPr>
            </w:pPr>
          </w:p>
        </w:tc>
        <w:tc>
          <w:tcPr>
            <w:tcW w:w="1276" w:type="dxa"/>
            <w:vMerge w:val="restart"/>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S-G report</w:t>
            </w:r>
          </w:p>
        </w:tc>
      </w:tr>
      <w:tr w:rsidR="00A33CE1" w:rsidRPr="00A33CE1" w:rsidTr="000B2F98">
        <w:trPr>
          <w:trHeight w:val="304"/>
        </w:trPr>
        <w:tc>
          <w:tcPr>
            <w:tcW w:w="655" w:type="dxa"/>
            <w:tcBorders>
              <w:right w:val="nil"/>
            </w:tcBorders>
          </w:tcPr>
          <w:p w:rsidR="00A33CE1" w:rsidRPr="00A33CE1" w:rsidRDefault="00A33CE1" w:rsidP="00A33CE1">
            <w:pPr>
              <w:spacing w:before="8" w:after="0" w:line="240" w:lineRule="auto"/>
              <w:rPr>
                <w:rFonts w:eastAsia="MS ??" w:cs="Times New Roman"/>
                <w:sz w:val="18"/>
                <w:szCs w:val="18"/>
              </w:rPr>
            </w:pPr>
            <w:r w:rsidRPr="00A33CE1">
              <w:rPr>
                <w:rFonts w:eastAsia="MS ??" w:cs="Times New Roman"/>
                <w:sz w:val="18"/>
                <w:szCs w:val="18"/>
              </w:rPr>
              <w:t>88b</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vMerge/>
          </w:tcPr>
          <w:p w:rsidR="00A33CE1" w:rsidRPr="00A33CE1" w:rsidRDefault="00A33CE1" w:rsidP="00A33CE1">
            <w:pPr>
              <w:spacing w:after="0" w:line="240" w:lineRule="auto"/>
              <w:rPr>
                <w:rFonts w:eastAsia="MS ??" w:cs="Times New Roman"/>
                <w:sz w:val="18"/>
                <w:szCs w:val="18"/>
              </w:rPr>
            </w:pP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of countries implementing common LTAs</w:t>
            </w:r>
          </w:p>
        </w:tc>
        <w:tc>
          <w:tcPr>
            <w:tcW w:w="1275" w:type="dxa"/>
            <w:vMerge/>
          </w:tcPr>
          <w:p w:rsidR="00A33CE1" w:rsidRPr="00A33CE1" w:rsidRDefault="00A33CE1" w:rsidP="00A33CE1">
            <w:pPr>
              <w:spacing w:after="0" w:line="240" w:lineRule="auto"/>
              <w:rPr>
                <w:rFonts w:eastAsia="MS ??" w:cs="Times New Roman"/>
                <w:sz w:val="18"/>
                <w:szCs w:val="18"/>
              </w:rPr>
            </w:pPr>
          </w:p>
        </w:tc>
        <w:tc>
          <w:tcPr>
            <w:tcW w:w="5103" w:type="dxa"/>
            <w:vMerge/>
          </w:tcPr>
          <w:p w:rsidR="00A33CE1" w:rsidRPr="00A33CE1" w:rsidRDefault="00A33CE1" w:rsidP="00A33CE1">
            <w:pPr>
              <w:spacing w:after="0" w:line="240" w:lineRule="auto"/>
              <w:rPr>
                <w:rFonts w:eastAsia="MS ??" w:cs="Times New Roman"/>
                <w:sz w:val="18"/>
                <w:szCs w:val="18"/>
              </w:rPr>
            </w:pPr>
          </w:p>
        </w:tc>
        <w:tc>
          <w:tcPr>
            <w:tcW w:w="1276" w:type="dxa"/>
            <w:vMerge/>
          </w:tcPr>
          <w:p w:rsidR="00A33CE1" w:rsidRPr="00A33CE1" w:rsidRDefault="00A33CE1" w:rsidP="00A33CE1">
            <w:pPr>
              <w:spacing w:after="0" w:line="240" w:lineRule="auto"/>
              <w:rPr>
                <w:rFonts w:eastAsia="MS ??" w:cs="Times New Roman"/>
                <w:sz w:val="18"/>
                <w:szCs w:val="18"/>
              </w:rPr>
            </w:pPr>
          </w:p>
        </w:tc>
      </w:tr>
      <w:tr w:rsidR="00A33CE1" w:rsidRPr="00A33CE1" w:rsidTr="000B2F98">
        <w:trPr>
          <w:trHeight w:val="304"/>
        </w:trPr>
        <w:tc>
          <w:tcPr>
            <w:tcW w:w="655" w:type="dxa"/>
            <w:tcBorders>
              <w:right w:val="nil"/>
            </w:tcBorders>
          </w:tcPr>
          <w:p w:rsidR="00A33CE1" w:rsidRPr="00A33CE1" w:rsidRDefault="00A33CE1" w:rsidP="00A33CE1">
            <w:pPr>
              <w:spacing w:before="8" w:after="0" w:line="240" w:lineRule="auto"/>
              <w:rPr>
                <w:rFonts w:eastAsia="MS ??" w:cs="Times New Roman"/>
                <w:sz w:val="18"/>
                <w:szCs w:val="18"/>
              </w:rPr>
            </w:pPr>
            <w:r w:rsidRPr="00A33CE1">
              <w:rPr>
                <w:rFonts w:eastAsia="MS ??" w:cs="Times New Roman"/>
                <w:sz w:val="18"/>
                <w:szCs w:val="18"/>
              </w:rPr>
              <w:t>88c</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vMerge/>
          </w:tcPr>
          <w:p w:rsidR="00A33CE1" w:rsidRPr="00A33CE1" w:rsidRDefault="00A33CE1" w:rsidP="00A33CE1">
            <w:pPr>
              <w:spacing w:after="0" w:line="240" w:lineRule="auto"/>
              <w:rPr>
                <w:rFonts w:eastAsia="MS ??" w:cs="Times New Roman"/>
                <w:sz w:val="18"/>
                <w:szCs w:val="18"/>
              </w:rPr>
            </w:pP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of countries implementing harmonized approach to procurement</w:t>
            </w:r>
          </w:p>
        </w:tc>
        <w:tc>
          <w:tcPr>
            <w:tcW w:w="1275" w:type="dxa"/>
            <w:vMerge/>
          </w:tcPr>
          <w:p w:rsidR="00A33CE1" w:rsidRPr="00A33CE1" w:rsidRDefault="00A33CE1" w:rsidP="00A33CE1">
            <w:pPr>
              <w:spacing w:after="0" w:line="240" w:lineRule="auto"/>
              <w:rPr>
                <w:rFonts w:eastAsia="MS ??" w:cs="Times New Roman"/>
                <w:sz w:val="18"/>
                <w:szCs w:val="18"/>
              </w:rPr>
            </w:pPr>
          </w:p>
        </w:tc>
        <w:tc>
          <w:tcPr>
            <w:tcW w:w="5103" w:type="dxa"/>
            <w:vMerge/>
          </w:tcPr>
          <w:p w:rsidR="00A33CE1" w:rsidRPr="00A33CE1" w:rsidRDefault="00A33CE1" w:rsidP="00A33CE1">
            <w:pPr>
              <w:spacing w:after="0" w:line="240" w:lineRule="auto"/>
              <w:rPr>
                <w:rFonts w:eastAsia="MS ??" w:cs="Times New Roman"/>
                <w:sz w:val="18"/>
                <w:szCs w:val="18"/>
              </w:rPr>
            </w:pPr>
          </w:p>
        </w:tc>
        <w:tc>
          <w:tcPr>
            <w:tcW w:w="1276" w:type="dxa"/>
            <w:vMerge/>
          </w:tcPr>
          <w:p w:rsidR="00A33CE1" w:rsidRPr="00A33CE1" w:rsidRDefault="00A33CE1" w:rsidP="00A33CE1">
            <w:pPr>
              <w:spacing w:after="0" w:line="240" w:lineRule="auto"/>
              <w:rPr>
                <w:rFonts w:eastAsia="MS ??" w:cs="Times New Roman"/>
                <w:sz w:val="18"/>
                <w:szCs w:val="18"/>
              </w:rPr>
            </w:pPr>
          </w:p>
        </w:tc>
      </w:tr>
      <w:tr w:rsidR="00A33CE1" w:rsidRPr="00A33CE1" w:rsidTr="000B2F98">
        <w:trPr>
          <w:trHeight w:val="304"/>
        </w:trPr>
        <w:tc>
          <w:tcPr>
            <w:tcW w:w="655" w:type="dxa"/>
            <w:tcBorders>
              <w:right w:val="nil"/>
            </w:tcBorders>
          </w:tcPr>
          <w:p w:rsidR="00A33CE1" w:rsidRPr="00A33CE1" w:rsidRDefault="00A33CE1" w:rsidP="00A33CE1">
            <w:pPr>
              <w:spacing w:before="8" w:after="0" w:line="240" w:lineRule="auto"/>
              <w:rPr>
                <w:rFonts w:eastAsia="MS ??" w:cs="Times New Roman"/>
                <w:sz w:val="18"/>
                <w:szCs w:val="18"/>
              </w:rPr>
            </w:pPr>
            <w:r w:rsidRPr="00A33CE1">
              <w:rPr>
                <w:rFonts w:eastAsia="MS ??" w:cs="Times New Roman"/>
                <w:sz w:val="18"/>
                <w:szCs w:val="18"/>
              </w:rPr>
              <w:t>88d</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vMerge/>
          </w:tcPr>
          <w:p w:rsidR="00A33CE1" w:rsidRPr="00A33CE1" w:rsidRDefault="00A33CE1" w:rsidP="00A33CE1">
            <w:pPr>
              <w:spacing w:after="0" w:line="240" w:lineRule="auto"/>
              <w:rPr>
                <w:rFonts w:eastAsia="MS ??" w:cs="Times New Roman"/>
                <w:sz w:val="18"/>
                <w:szCs w:val="18"/>
              </w:rPr>
            </w:pP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of countries implementing common HR management</w:t>
            </w:r>
          </w:p>
        </w:tc>
        <w:tc>
          <w:tcPr>
            <w:tcW w:w="1275" w:type="dxa"/>
            <w:vMerge/>
          </w:tcPr>
          <w:p w:rsidR="00A33CE1" w:rsidRPr="00A33CE1" w:rsidRDefault="00A33CE1" w:rsidP="00A33CE1">
            <w:pPr>
              <w:spacing w:after="0" w:line="240" w:lineRule="auto"/>
              <w:rPr>
                <w:rFonts w:eastAsia="MS ??" w:cs="Times New Roman"/>
                <w:sz w:val="18"/>
                <w:szCs w:val="18"/>
              </w:rPr>
            </w:pPr>
          </w:p>
        </w:tc>
        <w:tc>
          <w:tcPr>
            <w:tcW w:w="5103" w:type="dxa"/>
            <w:vMerge/>
          </w:tcPr>
          <w:p w:rsidR="00A33CE1" w:rsidRPr="00A33CE1" w:rsidRDefault="00A33CE1" w:rsidP="00A33CE1">
            <w:pPr>
              <w:spacing w:after="0" w:line="240" w:lineRule="auto"/>
              <w:rPr>
                <w:rFonts w:eastAsia="MS ??" w:cs="Times New Roman"/>
                <w:sz w:val="18"/>
                <w:szCs w:val="18"/>
              </w:rPr>
            </w:pPr>
          </w:p>
        </w:tc>
        <w:tc>
          <w:tcPr>
            <w:tcW w:w="1276" w:type="dxa"/>
            <w:vMerge/>
          </w:tcPr>
          <w:p w:rsidR="00A33CE1" w:rsidRPr="00A33CE1" w:rsidRDefault="00A33CE1" w:rsidP="00A33CE1">
            <w:pPr>
              <w:spacing w:after="0" w:line="240" w:lineRule="auto"/>
              <w:rPr>
                <w:rFonts w:eastAsia="MS ??" w:cs="Times New Roman"/>
                <w:sz w:val="18"/>
                <w:szCs w:val="18"/>
              </w:rPr>
            </w:pPr>
          </w:p>
        </w:tc>
      </w:tr>
      <w:tr w:rsidR="00A33CE1" w:rsidRPr="00A33CE1" w:rsidTr="000B2F98">
        <w:trPr>
          <w:trHeight w:val="304"/>
        </w:trPr>
        <w:tc>
          <w:tcPr>
            <w:tcW w:w="655" w:type="dxa"/>
            <w:tcBorders>
              <w:right w:val="nil"/>
            </w:tcBorders>
          </w:tcPr>
          <w:p w:rsidR="00A33CE1" w:rsidRPr="00A33CE1" w:rsidRDefault="00A33CE1" w:rsidP="00A33CE1">
            <w:pPr>
              <w:spacing w:before="8" w:after="0" w:line="240" w:lineRule="auto"/>
              <w:rPr>
                <w:rFonts w:eastAsia="MS ??" w:cs="Times New Roman"/>
                <w:sz w:val="18"/>
                <w:szCs w:val="18"/>
              </w:rPr>
            </w:pPr>
            <w:r w:rsidRPr="00A33CE1">
              <w:rPr>
                <w:rFonts w:eastAsia="MS ??" w:cs="Times New Roman"/>
                <w:sz w:val="18"/>
                <w:szCs w:val="18"/>
              </w:rPr>
              <w:t>88e</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vMerge/>
          </w:tcPr>
          <w:p w:rsidR="00A33CE1" w:rsidRPr="00A33CE1" w:rsidRDefault="00A33CE1" w:rsidP="00A33CE1">
            <w:pPr>
              <w:spacing w:after="0" w:line="240" w:lineRule="auto"/>
              <w:rPr>
                <w:rFonts w:eastAsia="MS ??" w:cs="Times New Roman"/>
                <w:sz w:val="18"/>
                <w:szCs w:val="18"/>
              </w:rPr>
            </w:pP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of countries implementing ICT services</w:t>
            </w:r>
          </w:p>
        </w:tc>
        <w:tc>
          <w:tcPr>
            <w:tcW w:w="1275" w:type="dxa"/>
            <w:vMerge/>
          </w:tcPr>
          <w:p w:rsidR="00A33CE1" w:rsidRPr="00A33CE1" w:rsidRDefault="00A33CE1" w:rsidP="00A33CE1">
            <w:pPr>
              <w:spacing w:after="0" w:line="240" w:lineRule="auto"/>
              <w:rPr>
                <w:rFonts w:eastAsia="MS ??" w:cs="Times New Roman"/>
                <w:sz w:val="18"/>
                <w:szCs w:val="18"/>
              </w:rPr>
            </w:pPr>
          </w:p>
        </w:tc>
        <w:tc>
          <w:tcPr>
            <w:tcW w:w="5103" w:type="dxa"/>
            <w:vMerge/>
          </w:tcPr>
          <w:p w:rsidR="00A33CE1" w:rsidRPr="00A33CE1" w:rsidRDefault="00A33CE1" w:rsidP="00A33CE1">
            <w:pPr>
              <w:spacing w:after="0" w:line="240" w:lineRule="auto"/>
              <w:rPr>
                <w:rFonts w:eastAsia="MS ??" w:cs="Times New Roman"/>
                <w:sz w:val="18"/>
                <w:szCs w:val="18"/>
              </w:rPr>
            </w:pPr>
          </w:p>
        </w:tc>
        <w:tc>
          <w:tcPr>
            <w:tcW w:w="1276" w:type="dxa"/>
            <w:vMerge/>
          </w:tcPr>
          <w:p w:rsidR="00A33CE1" w:rsidRPr="00A33CE1" w:rsidRDefault="00A33CE1" w:rsidP="00A33CE1">
            <w:pPr>
              <w:spacing w:after="0" w:line="240" w:lineRule="auto"/>
              <w:rPr>
                <w:rFonts w:eastAsia="MS ??" w:cs="Times New Roman"/>
                <w:sz w:val="18"/>
                <w:szCs w:val="18"/>
              </w:rPr>
            </w:pPr>
          </w:p>
        </w:tc>
      </w:tr>
      <w:tr w:rsidR="00A33CE1" w:rsidRPr="00A33CE1" w:rsidTr="000B2F98">
        <w:trPr>
          <w:trHeight w:val="304"/>
        </w:trPr>
        <w:tc>
          <w:tcPr>
            <w:tcW w:w="655" w:type="dxa"/>
            <w:tcBorders>
              <w:right w:val="nil"/>
            </w:tcBorders>
          </w:tcPr>
          <w:p w:rsidR="00A33CE1" w:rsidRPr="00A33CE1" w:rsidRDefault="00A33CE1" w:rsidP="00A33CE1">
            <w:pPr>
              <w:spacing w:before="8" w:after="0" w:line="240" w:lineRule="auto"/>
              <w:rPr>
                <w:rFonts w:eastAsia="MS ??" w:cs="Times New Roman"/>
                <w:sz w:val="18"/>
                <w:szCs w:val="18"/>
              </w:rPr>
            </w:pPr>
            <w:r w:rsidRPr="00A33CE1">
              <w:rPr>
                <w:rFonts w:eastAsia="MS ??" w:cs="Times New Roman"/>
                <w:sz w:val="18"/>
                <w:szCs w:val="18"/>
              </w:rPr>
              <w:t>88f</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vMerge/>
          </w:tcPr>
          <w:p w:rsidR="00A33CE1" w:rsidRPr="00A33CE1" w:rsidRDefault="00A33CE1" w:rsidP="00A33CE1">
            <w:pPr>
              <w:spacing w:after="0" w:line="240" w:lineRule="auto"/>
              <w:rPr>
                <w:rFonts w:eastAsia="MS ??" w:cs="Times New Roman"/>
                <w:sz w:val="18"/>
                <w:szCs w:val="18"/>
              </w:rPr>
            </w:pP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of countries implementing financial management services</w:t>
            </w:r>
          </w:p>
        </w:tc>
        <w:tc>
          <w:tcPr>
            <w:tcW w:w="1275" w:type="dxa"/>
            <w:vMerge/>
          </w:tcPr>
          <w:p w:rsidR="00A33CE1" w:rsidRPr="00A33CE1" w:rsidRDefault="00A33CE1" w:rsidP="00A33CE1">
            <w:pPr>
              <w:spacing w:after="0" w:line="240" w:lineRule="auto"/>
              <w:rPr>
                <w:rFonts w:eastAsia="MS ??" w:cs="Times New Roman"/>
                <w:sz w:val="18"/>
                <w:szCs w:val="18"/>
              </w:rPr>
            </w:pPr>
          </w:p>
        </w:tc>
        <w:tc>
          <w:tcPr>
            <w:tcW w:w="5103" w:type="dxa"/>
            <w:vMerge/>
          </w:tcPr>
          <w:p w:rsidR="00A33CE1" w:rsidRPr="00A33CE1" w:rsidRDefault="00A33CE1" w:rsidP="00A33CE1">
            <w:pPr>
              <w:spacing w:after="0" w:line="240" w:lineRule="auto"/>
              <w:rPr>
                <w:rFonts w:eastAsia="MS ??" w:cs="Times New Roman"/>
                <w:sz w:val="18"/>
                <w:szCs w:val="18"/>
              </w:rPr>
            </w:pPr>
          </w:p>
        </w:tc>
        <w:tc>
          <w:tcPr>
            <w:tcW w:w="1276" w:type="dxa"/>
            <w:vMerge/>
          </w:tcPr>
          <w:p w:rsidR="00A33CE1" w:rsidRPr="00A33CE1" w:rsidRDefault="00A33CE1" w:rsidP="00A33CE1">
            <w:pPr>
              <w:spacing w:after="0" w:line="240" w:lineRule="auto"/>
              <w:rPr>
                <w:rFonts w:eastAsia="MS ??" w:cs="Times New Roman"/>
                <w:sz w:val="18"/>
                <w:szCs w:val="18"/>
              </w:rPr>
            </w:pPr>
          </w:p>
        </w:tc>
      </w:tr>
      <w:tr w:rsidR="00A33CE1" w:rsidRPr="00A33CE1" w:rsidTr="000B2F98">
        <w:tc>
          <w:tcPr>
            <w:tcW w:w="655" w:type="dxa"/>
            <w:tcBorders>
              <w:right w:val="nil"/>
            </w:tcBorders>
          </w:tcPr>
          <w:p w:rsidR="00A33CE1" w:rsidRPr="00A33CE1" w:rsidRDefault="00A33CE1" w:rsidP="00A33CE1">
            <w:pPr>
              <w:spacing w:before="8" w:after="0" w:line="240" w:lineRule="auto"/>
              <w:rPr>
                <w:rFonts w:eastAsia="MS ??" w:cs="Times New Roman"/>
                <w:sz w:val="18"/>
                <w:szCs w:val="18"/>
              </w:rPr>
            </w:pPr>
            <w:r w:rsidRPr="00A33CE1">
              <w:rPr>
                <w:rFonts w:eastAsia="MS ??" w:cs="Times New Roman"/>
                <w:sz w:val="18"/>
                <w:szCs w:val="18"/>
              </w:rPr>
              <w:t>90</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153</w:t>
            </w: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xml:space="preserve"># of UN entities that presented plans to their governing bodies for intra agency rationalization of business operations by the end of 2013. </w:t>
            </w:r>
          </w:p>
        </w:tc>
        <w:tc>
          <w:tcPr>
            <w:tcW w:w="1275" w:type="dxa"/>
          </w:tcPr>
          <w:p w:rsidR="00A33CE1" w:rsidRPr="00A33CE1" w:rsidRDefault="00A33CE1" w:rsidP="00A33CE1">
            <w:pPr>
              <w:spacing w:after="0" w:line="240" w:lineRule="auto"/>
              <w:rPr>
                <w:rFonts w:eastAsia="MS ??" w:cs="Times New Roman"/>
                <w:sz w:val="18"/>
                <w:szCs w:val="18"/>
              </w:rPr>
            </w:pPr>
            <w:r w:rsidRPr="00A33CE1">
              <w:rPr>
                <w:rFonts w:eastAsia="MS ??" w:cs="Times New Roman"/>
                <w:b/>
                <w:color w:val="FFC000"/>
                <w:sz w:val="18"/>
                <w:szCs w:val="18"/>
              </w:rPr>
              <w:t>In Progress</w:t>
            </w:r>
          </w:p>
        </w:tc>
        <w:tc>
          <w:tcPr>
            <w:tcW w:w="5103" w:type="dxa"/>
          </w:tcPr>
          <w:p w:rsidR="00A33CE1" w:rsidRPr="00A33CE1" w:rsidRDefault="00A33CE1" w:rsidP="00A33CE1">
            <w:pPr>
              <w:spacing w:after="0" w:line="240" w:lineRule="auto"/>
              <w:rPr>
                <w:rFonts w:eastAsia="MS Mincho" w:cs="Times New Roman"/>
                <w:sz w:val="18"/>
                <w:szCs w:val="18"/>
              </w:rPr>
            </w:pPr>
            <w:r w:rsidRPr="00A33CE1">
              <w:rPr>
                <w:rFonts w:eastAsia="MS Mincho" w:cs="Times New Roman"/>
                <w:sz w:val="18"/>
                <w:szCs w:val="18"/>
                <w:lang w:val="en-GB"/>
              </w:rPr>
              <w:t>As part of the ongoing alignment in support of the new Strategic Plan, UNDP will strengthen its two existing global shared service centres in Copenhagen and Kuala Lumpur.</w:t>
            </w:r>
          </w:p>
        </w:tc>
        <w:tc>
          <w:tcPr>
            <w:tcW w:w="1276"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Annual Report</w:t>
            </w:r>
          </w:p>
        </w:tc>
      </w:tr>
      <w:tr w:rsidR="00A33CE1" w:rsidRPr="00A33CE1" w:rsidTr="000B2F98">
        <w:tc>
          <w:tcPr>
            <w:tcW w:w="13453" w:type="dxa"/>
            <w:gridSpan w:val="7"/>
            <w:shd w:val="clear" w:color="auto" w:fill="BFBFBF"/>
          </w:tcPr>
          <w:p w:rsidR="00A33CE1" w:rsidRPr="00A33CE1" w:rsidRDefault="00A33CE1" w:rsidP="00A33CE1">
            <w:pPr>
              <w:spacing w:after="0" w:line="240" w:lineRule="auto"/>
              <w:rPr>
                <w:rFonts w:eastAsia="MS ??" w:cs="Times New Roman"/>
                <w:b/>
                <w:sz w:val="18"/>
                <w:szCs w:val="18"/>
              </w:rPr>
            </w:pPr>
            <w:r w:rsidRPr="00A33CE1">
              <w:rPr>
                <w:rFonts w:eastAsia="MS ??" w:cs="Times New Roman"/>
                <w:b/>
                <w:sz w:val="18"/>
                <w:szCs w:val="18"/>
              </w:rPr>
              <w:t>RESULTS-BASED MANAGEMENT</w:t>
            </w:r>
          </w:p>
        </w:tc>
      </w:tr>
      <w:tr w:rsidR="00A33CE1" w:rsidRPr="00A33CE1" w:rsidTr="000B2F98">
        <w:tc>
          <w:tcPr>
            <w:tcW w:w="655" w:type="dxa"/>
            <w:tcBorders>
              <w:right w:val="nil"/>
            </w:tcBorders>
          </w:tcPr>
          <w:p w:rsidR="00A33CE1" w:rsidRPr="00A33CE1" w:rsidRDefault="00A33CE1" w:rsidP="00A33CE1">
            <w:pPr>
              <w:spacing w:before="8" w:after="0" w:line="240" w:lineRule="auto"/>
              <w:rPr>
                <w:rFonts w:eastAsia="MS ??" w:cs="Times New Roman"/>
                <w:sz w:val="18"/>
                <w:szCs w:val="18"/>
              </w:rPr>
            </w:pPr>
            <w:r w:rsidRPr="00A33CE1">
              <w:rPr>
                <w:rFonts w:eastAsia="MS ??" w:cs="Times New Roman"/>
                <w:sz w:val="18"/>
                <w:szCs w:val="18"/>
              </w:rPr>
              <w:t>92</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166</w:t>
            </w:r>
          </w:p>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168</w:t>
            </w: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xml:space="preserve"># of UN entities using common RBM tools and principles as identified in the UNDG RBM handbook </w:t>
            </w:r>
          </w:p>
        </w:tc>
        <w:tc>
          <w:tcPr>
            <w:tcW w:w="1275" w:type="dxa"/>
          </w:tcPr>
          <w:p w:rsidR="00A33CE1" w:rsidRPr="00A33CE1" w:rsidRDefault="00A33CE1" w:rsidP="00A33CE1">
            <w:pPr>
              <w:spacing w:after="0" w:line="240" w:lineRule="auto"/>
              <w:rPr>
                <w:rFonts w:eastAsia="MS ??" w:cs="Times New Roman"/>
                <w:b/>
                <w:color w:val="FFC000"/>
                <w:sz w:val="18"/>
                <w:szCs w:val="18"/>
              </w:rPr>
            </w:pPr>
            <w:r w:rsidRPr="00A33CE1">
              <w:rPr>
                <w:rFonts w:eastAsia="MS ??" w:cs="Times New Roman"/>
                <w:b/>
                <w:color w:val="FFC000"/>
                <w:sz w:val="18"/>
                <w:szCs w:val="18"/>
              </w:rPr>
              <w:t>In Progress</w:t>
            </w:r>
          </w:p>
          <w:p w:rsidR="00A33CE1" w:rsidRPr="00A33CE1" w:rsidRDefault="00A33CE1" w:rsidP="00A33CE1">
            <w:pPr>
              <w:spacing w:after="0" w:line="240" w:lineRule="auto"/>
              <w:rPr>
                <w:rFonts w:eastAsia="MS ??" w:cs="Times New Roman"/>
                <w:sz w:val="18"/>
                <w:szCs w:val="18"/>
              </w:rPr>
            </w:pPr>
          </w:p>
        </w:tc>
        <w:tc>
          <w:tcPr>
            <w:tcW w:w="5103" w:type="dxa"/>
          </w:tcPr>
          <w:p w:rsidR="00A33CE1" w:rsidRPr="00A33CE1" w:rsidRDefault="00A33CE1" w:rsidP="00A33CE1">
            <w:pPr>
              <w:spacing w:after="0" w:line="240" w:lineRule="auto"/>
              <w:rPr>
                <w:rFonts w:eastAsia="MS ??" w:cs="Times New Roman"/>
                <w:sz w:val="18"/>
                <w:szCs w:val="18"/>
              </w:rPr>
            </w:pPr>
            <w:r w:rsidRPr="00A33CE1">
              <w:rPr>
                <w:rFonts w:eastAsia="MS Mincho" w:cs="Times New Roman"/>
                <w:sz w:val="18"/>
                <w:szCs w:val="18"/>
                <w:lang w:val="en-GB"/>
              </w:rPr>
              <w:t>UNDP, UNFPA, UNWOMEN, WFP, UNOPS, and UNICEF are working to define an adequate methodology to measure data under this indicator. All agencies have committed to supplement this measurement tool to their own country programming quality assurance processes.</w:t>
            </w:r>
          </w:p>
        </w:tc>
        <w:tc>
          <w:tcPr>
            <w:tcW w:w="1276"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S-G report</w:t>
            </w:r>
          </w:p>
        </w:tc>
      </w:tr>
      <w:tr w:rsidR="00A33CE1" w:rsidRPr="00A33CE1" w:rsidTr="000B2F98">
        <w:tc>
          <w:tcPr>
            <w:tcW w:w="655" w:type="dxa"/>
            <w:tcBorders>
              <w:right w:val="nil"/>
            </w:tcBorders>
          </w:tcPr>
          <w:p w:rsidR="00A33CE1" w:rsidRPr="00A33CE1" w:rsidRDefault="00A33CE1" w:rsidP="00A33CE1">
            <w:pPr>
              <w:spacing w:before="8" w:after="0" w:line="240" w:lineRule="auto"/>
              <w:rPr>
                <w:rFonts w:eastAsia="MS ??" w:cs="Times New Roman"/>
                <w:sz w:val="18"/>
                <w:szCs w:val="18"/>
              </w:rPr>
            </w:pPr>
            <w:r w:rsidRPr="00A33CE1">
              <w:rPr>
                <w:rFonts w:eastAsia="MS ??" w:cs="Times New Roman"/>
                <w:sz w:val="18"/>
                <w:szCs w:val="18"/>
              </w:rPr>
              <w:t>93</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170</w:t>
            </w: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 of UN entities that have prepared clear and robust results frameworks for strategic plans for implementation in 2014</w:t>
            </w:r>
          </w:p>
        </w:tc>
        <w:tc>
          <w:tcPr>
            <w:tcW w:w="1275" w:type="dxa"/>
          </w:tcPr>
          <w:p w:rsidR="00A33CE1" w:rsidRPr="00A33CE1" w:rsidRDefault="00A33CE1" w:rsidP="00A33CE1">
            <w:pPr>
              <w:spacing w:after="0" w:line="240" w:lineRule="auto"/>
              <w:rPr>
                <w:rFonts w:eastAsia="MS ??" w:cs="Times New Roman"/>
                <w:b/>
                <w:color w:val="00B050"/>
                <w:sz w:val="18"/>
                <w:szCs w:val="18"/>
              </w:rPr>
            </w:pPr>
            <w:r w:rsidRPr="00A33CE1">
              <w:rPr>
                <w:rFonts w:eastAsia="MS ??" w:cs="Times New Roman"/>
                <w:b/>
                <w:color w:val="00B050"/>
                <w:sz w:val="18"/>
                <w:szCs w:val="18"/>
              </w:rPr>
              <w:t>Achieved</w:t>
            </w:r>
          </w:p>
          <w:p w:rsidR="00A33CE1" w:rsidRPr="00A33CE1" w:rsidRDefault="00A33CE1" w:rsidP="00A33CE1">
            <w:pPr>
              <w:spacing w:after="0" w:line="240" w:lineRule="auto"/>
              <w:rPr>
                <w:rFonts w:eastAsia="MS ??" w:cs="Times New Roman"/>
                <w:sz w:val="18"/>
                <w:szCs w:val="18"/>
              </w:rPr>
            </w:pPr>
          </w:p>
        </w:tc>
        <w:tc>
          <w:tcPr>
            <w:tcW w:w="5103" w:type="dxa"/>
          </w:tcPr>
          <w:p w:rsidR="00A33CE1" w:rsidRPr="00A33CE1" w:rsidRDefault="00A33CE1" w:rsidP="00A33CE1">
            <w:pPr>
              <w:spacing w:after="0" w:line="240" w:lineRule="auto"/>
              <w:rPr>
                <w:rFonts w:eastAsia="MS ??" w:cs="Times New Roman"/>
                <w:sz w:val="18"/>
                <w:szCs w:val="18"/>
              </w:rPr>
            </w:pPr>
            <w:r w:rsidRPr="00A33CE1">
              <w:rPr>
                <w:rFonts w:eastAsia="MS Mincho" w:cs="Times New Roman"/>
                <w:sz w:val="18"/>
                <w:szCs w:val="18"/>
                <w:lang w:val="en-GB"/>
              </w:rPr>
              <w:t>UNDP Strategic Plan 2014-2017  Integrated Results and Resources Framework (IRRF) - approved at the Second Regular Session in September 2013 - has been populated with baselines, annual milestones, and multi-year targets.</w:t>
            </w:r>
          </w:p>
        </w:tc>
        <w:tc>
          <w:tcPr>
            <w:tcW w:w="1276"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Annual Report</w:t>
            </w:r>
          </w:p>
        </w:tc>
      </w:tr>
      <w:tr w:rsidR="00A33CE1" w:rsidRPr="00A33CE1" w:rsidTr="000B2F98">
        <w:trPr>
          <w:trHeight w:val="277"/>
        </w:trPr>
        <w:tc>
          <w:tcPr>
            <w:tcW w:w="655" w:type="dxa"/>
            <w:tcBorders>
              <w:right w:val="nil"/>
            </w:tcBorders>
          </w:tcPr>
          <w:p w:rsidR="00A33CE1" w:rsidRPr="00A33CE1" w:rsidRDefault="00A33CE1" w:rsidP="00A33CE1">
            <w:pPr>
              <w:spacing w:before="8" w:after="0" w:line="240" w:lineRule="auto"/>
              <w:rPr>
                <w:rFonts w:eastAsia="MS ??" w:cs="Times New Roman"/>
                <w:sz w:val="18"/>
                <w:szCs w:val="18"/>
              </w:rPr>
            </w:pPr>
            <w:r w:rsidRPr="00A33CE1">
              <w:rPr>
                <w:rFonts w:eastAsia="MS ??" w:cs="Times New Roman"/>
                <w:sz w:val="18"/>
                <w:szCs w:val="18"/>
              </w:rPr>
              <w:t>95a</w:t>
            </w:r>
          </w:p>
        </w:tc>
        <w:tc>
          <w:tcPr>
            <w:tcW w:w="78" w:type="dxa"/>
            <w:tcBorders>
              <w:left w:val="nil"/>
            </w:tcBorders>
          </w:tcPr>
          <w:p w:rsidR="00A33CE1" w:rsidRPr="00A33CE1" w:rsidRDefault="00A33CE1" w:rsidP="00A33CE1">
            <w:pPr>
              <w:spacing w:after="0" w:line="240" w:lineRule="auto"/>
              <w:rPr>
                <w:rFonts w:eastAsia="MS ??" w:cs="Times New Roman"/>
                <w:sz w:val="18"/>
                <w:szCs w:val="18"/>
              </w:rPr>
            </w:pPr>
          </w:p>
        </w:tc>
        <w:tc>
          <w:tcPr>
            <w:tcW w:w="707" w:type="dxa"/>
            <w:vMerge w:val="restart"/>
            <w:vAlign w:val="center"/>
          </w:tcPr>
          <w:p w:rsidR="00A33CE1" w:rsidRPr="00A33CE1" w:rsidRDefault="00A33CE1" w:rsidP="00A33CE1">
            <w:pPr>
              <w:spacing w:after="0" w:line="240" w:lineRule="auto"/>
              <w:rPr>
                <w:rFonts w:eastAsia="MS ??" w:cs="Times New Roman"/>
                <w:strike/>
                <w:sz w:val="18"/>
                <w:szCs w:val="18"/>
              </w:rPr>
            </w:pPr>
            <w:r w:rsidRPr="00A33CE1">
              <w:rPr>
                <w:rFonts w:eastAsia="MS ??" w:cs="Times New Roman"/>
                <w:sz w:val="18"/>
                <w:szCs w:val="18"/>
              </w:rPr>
              <w:t>166</w:t>
            </w:r>
          </w:p>
        </w:tc>
        <w:tc>
          <w:tcPr>
            <w:tcW w:w="4359" w:type="dxa"/>
          </w:tcPr>
          <w:p w:rsidR="00A33CE1" w:rsidRPr="00A33CE1" w:rsidDel="00E817B3" w:rsidRDefault="00A33CE1" w:rsidP="00A33CE1">
            <w:pPr>
              <w:spacing w:after="0" w:line="240" w:lineRule="auto"/>
              <w:rPr>
                <w:rFonts w:eastAsia="MS ??" w:cs="Times New Roman"/>
                <w:sz w:val="18"/>
                <w:szCs w:val="18"/>
              </w:rPr>
            </w:pPr>
            <w:r w:rsidRPr="00A33CE1">
              <w:rPr>
                <w:rFonts w:eastAsia="MS ??" w:cs="Times New Roman"/>
                <w:sz w:val="18"/>
                <w:szCs w:val="18"/>
              </w:rPr>
              <w:t>Average % share of total personnel at country level dedicated to RBM and M&amp;E.</w:t>
            </w:r>
          </w:p>
        </w:tc>
        <w:tc>
          <w:tcPr>
            <w:tcW w:w="1275" w:type="dxa"/>
            <w:vMerge w:val="restart"/>
            <w:vAlign w:val="center"/>
          </w:tcPr>
          <w:p w:rsidR="00A33CE1" w:rsidRPr="00A33CE1" w:rsidRDefault="00A33CE1" w:rsidP="00A33CE1">
            <w:pPr>
              <w:spacing w:after="0" w:line="240" w:lineRule="auto"/>
              <w:rPr>
                <w:rFonts w:eastAsia="MS ??" w:cs="Times New Roman"/>
                <w:b/>
                <w:color w:val="FFC000"/>
                <w:sz w:val="18"/>
                <w:szCs w:val="18"/>
              </w:rPr>
            </w:pPr>
            <w:r w:rsidRPr="00A33CE1">
              <w:rPr>
                <w:rFonts w:eastAsia="MS ??" w:cs="Times New Roman"/>
                <w:b/>
                <w:color w:val="FFC000"/>
                <w:sz w:val="18"/>
                <w:szCs w:val="18"/>
              </w:rPr>
              <w:t>In Progress</w:t>
            </w:r>
          </w:p>
          <w:p w:rsidR="00A33CE1" w:rsidRPr="00A33CE1" w:rsidDel="007B088C" w:rsidRDefault="00A33CE1" w:rsidP="00A33CE1">
            <w:pPr>
              <w:spacing w:after="0" w:line="240" w:lineRule="auto"/>
              <w:rPr>
                <w:rFonts w:eastAsia="MS ??" w:cs="Times New Roman"/>
                <w:sz w:val="18"/>
                <w:szCs w:val="18"/>
              </w:rPr>
            </w:pPr>
          </w:p>
        </w:tc>
        <w:tc>
          <w:tcPr>
            <w:tcW w:w="5103" w:type="dxa"/>
            <w:vMerge w:val="restart"/>
          </w:tcPr>
          <w:p w:rsidR="00A33CE1" w:rsidRPr="00A33CE1" w:rsidRDefault="00A33CE1" w:rsidP="00AA7F6B">
            <w:pPr>
              <w:spacing w:after="0" w:line="240" w:lineRule="auto"/>
              <w:contextualSpacing/>
              <w:rPr>
                <w:rFonts w:eastAsia="MS Mincho" w:cs="Times New Roman"/>
                <w:color w:val="0070C0"/>
                <w:sz w:val="18"/>
                <w:szCs w:val="18"/>
                <w:lang w:val="en-GB" w:eastAsia="en-GB"/>
              </w:rPr>
            </w:pPr>
            <w:r w:rsidRPr="00A33CE1">
              <w:rPr>
                <w:rFonts w:eastAsia="MS Mincho" w:cs="Times New Roman"/>
                <w:sz w:val="18"/>
                <w:szCs w:val="18"/>
                <w:lang w:val="en-GB" w:eastAsia="en-GB"/>
              </w:rPr>
              <w:t xml:space="preserve">42 per cent of country offices had at least one monitoring and evaluation specialist, compared to 23 per cent in 2012.  To ensure that the organization is fit for purpose to deliver on the Strategic Plan, a major organizational change process is taking place to ensure that regional </w:t>
            </w:r>
            <w:r w:rsidR="00AA7F6B">
              <w:rPr>
                <w:rFonts w:eastAsia="MS Mincho" w:cs="Times New Roman"/>
                <w:sz w:val="18"/>
                <w:szCs w:val="18"/>
                <w:lang w:val="en-GB" w:eastAsia="en-GB"/>
              </w:rPr>
              <w:t xml:space="preserve">and </w:t>
            </w:r>
            <w:r w:rsidRPr="00A33CE1">
              <w:rPr>
                <w:rFonts w:eastAsia="MS Mincho" w:cs="Times New Roman"/>
                <w:sz w:val="18"/>
                <w:szCs w:val="18"/>
                <w:lang w:val="en-GB" w:eastAsia="en-GB"/>
              </w:rPr>
              <w:t>country offices are better supported for programme implementation to deliver results and this include</w:t>
            </w:r>
            <w:r w:rsidR="00AA7F6B">
              <w:rPr>
                <w:rFonts w:eastAsia="MS Mincho" w:cs="Times New Roman"/>
                <w:sz w:val="18"/>
                <w:szCs w:val="18"/>
                <w:lang w:val="en-GB" w:eastAsia="en-GB"/>
              </w:rPr>
              <w:t>s</w:t>
            </w:r>
            <w:r w:rsidRPr="00A33CE1">
              <w:rPr>
                <w:rFonts w:eastAsia="MS Mincho" w:cs="Times New Roman"/>
                <w:sz w:val="18"/>
                <w:szCs w:val="18"/>
                <w:lang w:val="en-GB" w:eastAsia="en-GB"/>
              </w:rPr>
              <w:t xml:space="preserve"> ensuring effective and strengthened RBM human and financial resource capacities</w:t>
            </w:r>
            <w:r w:rsidR="00AA7F6B">
              <w:rPr>
                <w:rFonts w:eastAsia="MS Mincho" w:cs="Times New Roman"/>
                <w:sz w:val="18"/>
                <w:szCs w:val="18"/>
                <w:lang w:val="en-GB" w:eastAsia="en-GB"/>
              </w:rPr>
              <w:t>.  Required HQ capacities are also being reviewed.</w:t>
            </w:r>
          </w:p>
        </w:tc>
        <w:tc>
          <w:tcPr>
            <w:tcW w:w="1276" w:type="dxa"/>
            <w:vMerge w:val="restart"/>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S-G report</w:t>
            </w:r>
          </w:p>
        </w:tc>
      </w:tr>
      <w:tr w:rsidR="00A33CE1" w:rsidRPr="00A33CE1" w:rsidTr="000B2F98">
        <w:trPr>
          <w:trHeight w:val="276"/>
        </w:trPr>
        <w:tc>
          <w:tcPr>
            <w:tcW w:w="655" w:type="dxa"/>
            <w:tcBorders>
              <w:right w:val="nil"/>
            </w:tcBorders>
          </w:tcPr>
          <w:p w:rsidR="00A33CE1" w:rsidRPr="00A33CE1" w:rsidRDefault="00A33CE1" w:rsidP="00A33CE1">
            <w:pPr>
              <w:spacing w:before="8" w:after="0" w:line="240" w:lineRule="auto"/>
              <w:rPr>
                <w:rFonts w:eastAsia="MS ??" w:cs="Times New Roman"/>
                <w:sz w:val="18"/>
                <w:szCs w:val="18"/>
                <w:highlight w:val="yellow"/>
              </w:rPr>
            </w:pPr>
            <w:r w:rsidRPr="00A33CE1">
              <w:rPr>
                <w:rFonts w:eastAsia="MS ??" w:cs="Times New Roman"/>
                <w:sz w:val="18"/>
                <w:szCs w:val="18"/>
              </w:rPr>
              <w:t>95b</w:t>
            </w:r>
          </w:p>
        </w:tc>
        <w:tc>
          <w:tcPr>
            <w:tcW w:w="78" w:type="dxa"/>
            <w:tcBorders>
              <w:left w:val="nil"/>
            </w:tcBorders>
          </w:tcPr>
          <w:p w:rsidR="00A33CE1" w:rsidRPr="00A33CE1" w:rsidRDefault="00A33CE1" w:rsidP="00A33CE1">
            <w:pPr>
              <w:spacing w:after="0" w:line="240" w:lineRule="auto"/>
              <w:rPr>
                <w:rFonts w:eastAsia="MS ??" w:cs="Times New Roman"/>
                <w:sz w:val="18"/>
                <w:szCs w:val="18"/>
                <w:highlight w:val="yellow"/>
              </w:rPr>
            </w:pPr>
          </w:p>
        </w:tc>
        <w:tc>
          <w:tcPr>
            <w:tcW w:w="707" w:type="dxa"/>
            <w:vMerge/>
          </w:tcPr>
          <w:p w:rsidR="00A33CE1" w:rsidRPr="00A33CE1" w:rsidRDefault="00A33CE1" w:rsidP="00A33CE1">
            <w:pPr>
              <w:spacing w:after="0" w:line="240" w:lineRule="auto"/>
              <w:rPr>
                <w:rFonts w:eastAsia="MS ??" w:cs="Times New Roman"/>
                <w:strike/>
                <w:sz w:val="18"/>
                <w:szCs w:val="18"/>
                <w:highlight w:val="yellow"/>
              </w:rPr>
            </w:pPr>
          </w:p>
        </w:tc>
        <w:tc>
          <w:tcPr>
            <w:tcW w:w="4359" w:type="dxa"/>
          </w:tcPr>
          <w:p w:rsidR="00A33CE1" w:rsidRPr="00A33CE1" w:rsidRDefault="00A33CE1" w:rsidP="00A33CE1">
            <w:pPr>
              <w:spacing w:after="0" w:line="240" w:lineRule="auto"/>
              <w:rPr>
                <w:rFonts w:eastAsia="MS ??" w:cs="Times New Roman"/>
                <w:sz w:val="18"/>
                <w:szCs w:val="18"/>
              </w:rPr>
            </w:pPr>
            <w:r w:rsidRPr="00A33CE1">
              <w:rPr>
                <w:rFonts w:eastAsia="MS ??" w:cs="Times New Roman"/>
                <w:sz w:val="18"/>
                <w:szCs w:val="18"/>
              </w:rPr>
              <w:t>Average % share of total personnel in the HQ-level office dedicated to RBM and M&amp;E</w:t>
            </w:r>
          </w:p>
        </w:tc>
        <w:tc>
          <w:tcPr>
            <w:tcW w:w="1275" w:type="dxa"/>
            <w:vMerge/>
          </w:tcPr>
          <w:p w:rsidR="00A33CE1" w:rsidRPr="00A33CE1" w:rsidRDefault="00A33CE1" w:rsidP="00A33CE1">
            <w:pPr>
              <w:spacing w:after="0" w:line="240" w:lineRule="auto"/>
              <w:rPr>
                <w:rFonts w:eastAsia="MS ??" w:cs="Times New Roman"/>
                <w:sz w:val="18"/>
                <w:szCs w:val="18"/>
              </w:rPr>
            </w:pPr>
          </w:p>
        </w:tc>
        <w:tc>
          <w:tcPr>
            <w:tcW w:w="5103" w:type="dxa"/>
            <w:vMerge/>
          </w:tcPr>
          <w:p w:rsidR="00A33CE1" w:rsidRPr="00A33CE1" w:rsidRDefault="00A33CE1" w:rsidP="00A33CE1">
            <w:pPr>
              <w:spacing w:after="0" w:line="240" w:lineRule="auto"/>
              <w:rPr>
                <w:rFonts w:eastAsia="MS ??" w:cs="Times New Roman"/>
                <w:sz w:val="18"/>
                <w:szCs w:val="18"/>
              </w:rPr>
            </w:pPr>
          </w:p>
        </w:tc>
        <w:tc>
          <w:tcPr>
            <w:tcW w:w="1276" w:type="dxa"/>
            <w:vMerge/>
          </w:tcPr>
          <w:p w:rsidR="00A33CE1" w:rsidRPr="00A33CE1" w:rsidRDefault="00A33CE1" w:rsidP="00A33CE1">
            <w:pPr>
              <w:spacing w:after="0" w:line="240" w:lineRule="auto"/>
              <w:rPr>
                <w:rFonts w:eastAsia="MS ??" w:cs="Times New Roman"/>
                <w:sz w:val="18"/>
                <w:szCs w:val="18"/>
              </w:rPr>
            </w:pPr>
          </w:p>
        </w:tc>
      </w:tr>
    </w:tbl>
    <w:p w:rsidR="00A33CE1" w:rsidRPr="00A33CE1" w:rsidRDefault="00A33CE1" w:rsidP="00A33CE1">
      <w:pPr>
        <w:spacing w:after="0" w:line="240" w:lineRule="auto"/>
        <w:rPr>
          <w:rFonts w:eastAsia="MS Mincho" w:cs="Times New Roman"/>
          <w:sz w:val="18"/>
          <w:szCs w:val="18"/>
        </w:rPr>
      </w:pPr>
    </w:p>
    <w:p w:rsidR="006D197F" w:rsidRPr="007003B2" w:rsidRDefault="006D197F" w:rsidP="000C250D">
      <w:pPr>
        <w:pStyle w:val="Default"/>
        <w:spacing w:before="120" w:after="120"/>
        <w:ind w:left="450"/>
        <w:jc w:val="both"/>
        <w:rPr>
          <w:rFonts w:asciiTheme="minorHAnsi" w:hAnsiTheme="minorHAnsi"/>
          <w:sz w:val="18"/>
          <w:szCs w:val="18"/>
        </w:rPr>
      </w:pPr>
    </w:p>
    <w:p w:rsidR="00392207" w:rsidRDefault="006D197F">
      <w:pPr>
        <w:rPr>
          <w:b/>
        </w:rPr>
      </w:pPr>
      <w:r w:rsidRPr="007003B2">
        <w:rPr>
          <w:b/>
          <w:sz w:val="18"/>
          <w:szCs w:val="18"/>
        </w:rPr>
        <w:br w:type="page"/>
      </w:r>
      <w:r w:rsidR="00A712BB">
        <w:rPr>
          <w:b/>
        </w:rPr>
        <w:t>Annex V</w:t>
      </w:r>
      <w:r>
        <w:rPr>
          <w:b/>
        </w:rPr>
        <w:t>I</w:t>
      </w:r>
      <w:r w:rsidR="00CC29B8">
        <w:rPr>
          <w:b/>
        </w:rPr>
        <w:t>I</w:t>
      </w:r>
      <w:r w:rsidR="00F06A98">
        <w:rPr>
          <w:b/>
        </w:rPr>
        <w:t>I</w:t>
      </w:r>
      <w:r w:rsidR="00CC29B8">
        <w:rPr>
          <w:b/>
        </w:rPr>
        <w:t>:</w:t>
      </w:r>
      <w:r w:rsidR="00CC29B8">
        <w:rPr>
          <w:b/>
        </w:rPr>
        <w:tab/>
      </w:r>
      <w:r w:rsidR="0012679A" w:rsidRPr="0012679A">
        <w:rPr>
          <w:b/>
          <w:szCs w:val="26"/>
        </w:rPr>
        <w:t xml:space="preserve">Sources </w:t>
      </w:r>
      <w:r w:rsidR="00F06A98">
        <w:rPr>
          <w:b/>
          <w:szCs w:val="26"/>
        </w:rPr>
        <w:t xml:space="preserve">of information appearing in the </w:t>
      </w:r>
      <w:r w:rsidR="00553D16">
        <w:rPr>
          <w:b/>
          <w:szCs w:val="26"/>
        </w:rPr>
        <w:t>Annual Report of the Administrator</w:t>
      </w:r>
      <w:r w:rsidR="00D92016">
        <w:rPr>
          <w:b/>
          <w:szCs w:val="26"/>
        </w:rPr>
        <w:t xml:space="preserve"> 2013</w:t>
      </w:r>
    </w:p>
    <w:p w:rsidR="000C34AB" w:rsidRDefault="000C34AB" w:rsidP="000C34AB">
      <w:pPr>
        <w:spacing w:before="60" w:after="60" w:line="240" w:lineRule="auto"/>
        <w:rPr>
          <w:rFonts w:ascii="Calibri" w:eastAsia="Times New Roman" w:hAnsi="Calibri" w:cs="Times New Roman"/>
          <w:i/>
          <w:sz w:val="20"/>
          <w:szCs w:val="20"/>
        </w:rPr>
      </w:pPr>
      <w:r w:rsidRPr="000C34AB">
        <w:rPr>
          <w:rFonts w:ascii="Calibri" w:eastAsia="Times New Roman" w:hAnsi="Calibri" w:cs="Times New Roman"/>
          <w:sz w:val="20"/>
          <w:szCs w:val="20"/>
        </w:rPr>
        <w:t xml:space="preserve">Paragraph 1: </w:t>
      </w:r>
      <w:r w:rsidRPr="000C34AB">
        <w:rPr>
          <w:rFonts w:ascii="Calibri" w:eastAsia="Times New Roman" w:hAnsi="Calibri" w:cs="Times New Roman"/>
          <w:i/>
          <w:sz w:val="20"/>
          <w:szCs w:val="20"/>
        </w:rPr>
        <w:t>Cumulative review and annual report of the Administrator on the strategic plan: performance and results for 2008-2012</w:t>
      </w:r>
    </w:p>
    <w:p w:rsidR="000C34AB" w:rsidRPr="000C34AB" w:rsidRDefault="000C34AB" w:rsidP="000C34AB">
      <w:pPr>
        <w:spacing w:before="60" w:after="60" w:line="240" w:lineRule="auto"/>
        <w:rPr>
          <w:rFonts w:ascii="Calibri" w:eastAsia="Times New Roman" w:hAnsi="Calibri" w:cs="Times New Roman"/>
          <w:i/>
          <w:sz w:val="20"/>
          <w:szCs w:val="20"/>
        </w:rPr>
      </w:pPr>
      <w:r>
        <w:rPr>
          <w:rFonts w:ascii="Calibri" w:eastAsia="Times New Roman" w:hAnsi="Calibri" w:cs="Times New Roman"/>
          <w:sz w:val="20"/>
          <w:szCs w:val="20"/>
        </w:rPr>
        <w:t xml:space="preserve">Paragraph 5: </w:t>
      </w:r>
      <w:r w:rsidR="002F7877">
        <w:rPr>
          <w:rFonts w:ascii="Calibri" w:eastAsia="Times New Roman" w:hAnsi="Calibri" w:cs="Times New Roman"/>
          <w:i/>
          <w:sz w:val="20"/>
          <w:szCs w:val="20"/>
        </w:rPr>
        <w:t>MyWorld data and analytics,</w:t>
      </w:r>
      <w:r w:rsidRPr="00411DDF">
        <w:rPr>
          <w:rFonts w:ascii="Calibri" w:eastAsia="Times New Roman" w:hAnsi="Calibri" w:cs="Times New Roman"/>
          <w:i/>
          <w:sz w:val="20"/>
          <w:szCs w:val="20"/>
        </w:rPr>
        <w:t xml:space="preserve"> </w:t>
      </w:r>
      <w:hyperlink r:id="rId20" w:history="1">
        <w:r w:rsidR="00411DDF" w:rsidRPr="00411DDF">
          <w:rPr>
            <w:rStyle w:val="Hyperlink"/>
            <w:rFonts w:ascii="Calibri" w:eastAsia="Times New Roman" w:hAnsi="Calibri" w:cs="Times New Roman"/>
            <w:i/>
            <w:sz w:val="20"/>
            <w:szCs w:val="20"/>
          </w:rPr>
          <w:t>http://data.myworld2015.org/</w:t>
        </w:r>
      </w:hyperlink>
      <w:r w:rsidR="00411DDF">
        <w:rPr>
          <w:rFonts w:ascii="Calibri" w:eastAsia="Times New Roman" w:hAnsi="Calibri" w:cs="Times New Roman"/>
          <w:sz w:val="20"/>
          <w:szCs w:val="20"/>
        </w:rPr>
        <w:t xml:space="preserve"> </w:t>
      </w:r>
      <w:r w:rsidRPr="000C34AB">
        <w:rPr>
          <w:rFonts w:ascii="Calibri" w:eastAsia="Times New Roman" w:hAnsi="Calibri" w:cs="Times New Roman"/>
          <w:i/>
          <w:sz w:val="20"/>
          <w:szCs w:val="20"/>
        </w:rPr>
        <w:t xml:space="preserve"> </w:t>
      </w:r>
    </w:p>
    <w:p w:rsidR="000C34AB" w:rsidRDefault="000C34AB" w:rsidP="000C34AB">
      <w:p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rPr>
        <w:t>Par</w:t>
      </w:r>
      <w:r w:rsidR="00783FE9">
        <w:rPr>
          <w:rFonts w:ascii="Calibri" w:eastAsia="Times New Roman" w:hAnsi="Calibri" w:cs="Times New Roman"/>
          <w:sz w:val="20"/>
          <w:szCs w:val="20"/>
        </w:rPr>
        <w:t>agraph 10, Table 1</w:t>
      </w:r>
      <w:r>
        <w:rPr>
          <w:rFonts w:ascii="Calibri" w:eastAsia="Times New Roman" w:hAnsi="Calibri" w:cs="Times New Roman"/>
          <w:sz w:val="20"/>
          <w:szCs w:val="20"/>
        </w:rPr>
        <w:t>:</w:t>
      </w:r>
      <w:r w:rsidR="00783FE9">
        <w:rPr>
          <w:rFonts w:ascii="Calibri" w:eastAsia="Times New Roman" w:hAnsi="Calibri" w:cs="Times New Roman"/>
          <w:sz w:val="20"/>
          <w:szCs w:val="20"/>
        </w:rPr>
        <w:t xml:space="preserve"> </w:t>
      </w:r>
      <w:r w:rsidR="00783FE9" w:rsidRPr="00783FE9">
        <w:rPr>
          <w:rFonts w:ascii="Calibri" w:eastAsia="Times New Roman" w:hAnsi="Calibri" w:cs="Times New Roman"/>
          <w:i/>
          <w:sz w:val="20"/>
          <w:szCs w:val="20"/>
        </w:rPr>
        <w:t xml:space="preserve">Results Oriented Annual Report (ROAR) Analysis Tool – UNDP </w:t>
      </w:r>
      <w:r w:rsidR="00783FE9">
        <w:rPr>
          <w:rFonts w:ascii="Calibri" w:eastAsia="Times New Roman" w:hAnsi="Calibri" w:cs="Times New Roman"/>
          <w:i/>
          <w:sz w:val="20"/>
          <w:szCs w:val="20"/>
        </w:rPr>
        <w:t>2</w:t>
      </w:r>
      <w:r w:rsidR="00783FE9" w:rsidRPr="00783FE9">
        <w:rPr>
          <w:rFonts w:ascii="Calibri" w:eastAsia="Times New Roman" w:hAnsi="Calibri" w:cs="Times New Roman"/>
          <w:i/>
          <w:sz w:val="20"/>
          <w:szCs w:val="20"/>
        </w:rPr>
        <w:t>01</w:t>
      </w:r>
      <w:r w:rsidR="00783FE9">
        <w:rPr>
          <w:rFonts w:ascii="Calibri" w:eastAsia="Times New Roman" w:hAnsi="Calibri" w:cs="Times New Roman"/>
          <w:i/>
          <w:sz w:val="20"/>
          <w:szCs w:val="20"/>
        </w:rPr>
        <w:t>3</w:t>
      </w:r>
    </w:p>
    <w:p w:rsidR="000C34AB" w:rsidRDefault="00783FE9" w:rsidP="00783FE9">
      <w:p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rPr>
        <w:t>Paragraph 10</w:t>
      </w:r>
      <w:r w:rsidR="000C34AB">
        <w:rPr>
          <w:rFonts w:ascii="Calibri" w:eastAsia="Times New Roman" w:hAnsi="Calibri" w:cs="Times New Roman"/>
          <w:sz w:val="20"/>
          <w:szCs w:val="20"/>
        </w:rPr>
        <w:t>:</w:t>
      </w:r>
      <w:r>
        <w:rPr>
          <w:rFonts w:ascii="Calibri" w:eastAsia="Times New Roman" w:hAnsi="Calibri" w:cs="Times New Roman"/>
          <w:sz w:val="20"/>
          <w:szCs w:val="20"/>
        </w:rPr>
        <w:t xml:space="preserve"> </w:t>
      </w:r>
      <w:r w:rsidRPr="00783FE9">
        <w:rPr>
          <w:rFonts w:ascii="Calibri" w:eastAsia="Times New Roman" w:hAnsi="Calibri" w:cs="Times New Roman"/>
          <w:i/>
          <w:sz w:val="20"/>
          <w:szCs w:val="20"/>
        </w:rPr>
        <w:t>UNDP Strategic Plan, 2014-2017: Changing with the World</w:t>
      </w:r>
    </w:p>
    <w:p w:rsidR="000C34AB" w:rsidRDefault="00783FE9" w:rsidP="000C34AB">
      <w:p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rPr>
        <w:t>Paragraph 10</w:t>
      </w:r>
      <w:r w:rsidR="000C34AB">
        <w:rPr>
          <w:rFonts w:ascii="Calibri" w:eastAsia="Times New Roman" w:hAnsi="Calibri" w:cs="Times New Roman"/>
          <w:sz w:val="20"/>
          <w:szCs w:val="20"/>
        </w:rPr>
        <w:t>:</w:t>
      </w:r>
      <w:r>
        <w:rPr>
          <w:rFonts w:ascii="Calibri" w:eastAsia="Times New Roman" w:hAnsi="Calibri" w:cs="Times New Roman"/>
          <w:sz w:val="20"/>
          <w:szCs w:val="20"/>
        </w:rPr>
        <w:t xml:space="preserve"> </w:t>
      </w:r>
      <w:r w:rsidRPr="00783FE9">
        <w:rPr>
          <w:rFonts w:ascii="Calibri" w:eastAsia="Times New Roman" w:hAnsi="Calibri" w:cs="Times New Roman"/>
          <w:i/>
          <w:sz w:val="20"/>
          <w:szCs w:val="20"/>
        </w:rPr>
        <w:t>UNDP Strategic Plan 2014-2017: Integrated Results and Resources Framework</w:t>
      </w:r>
      <w:r w:rsidRPr="00783FE9">
        <w:rPr>
          <w:rFonts w:ascii="Calibri" w:eastAsia="Times New Roman" w:hAnsi="Calibri" w:cs="Times New Roman"/>
          <w:sz w:val="20"/>
          <w:szCs w:val="20"/>
        </w:rPr>
        <w:t xml:space="preserve"> </w:t>
      </w:r>
    </w:p>
    <w:p w:rsidR="00A1060D" w:rsidRDefault="00A1060D" w:rsidP="00A1060D">
      <w:p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rPr>
        <w:t>Par</w:t>
      </w:r>
      <w:r w:rsidR="00161941">
        <w:rPr>
          <w:rFonts w:ascii="Calibri" w:eastAsia="Times New Roman" w:hAnsi="Calibri" w:cs="Times New Roman"/>
          <w:sz w:val="20"/>
          <w:szCs w:val="20"/>
        </w:rPr>
        <w:t>agraph 11-14</w:t>
      </w:r>
      <w:r>
        <w:rPr>
          <w:rFonts w:ascii="Calibri" w:eastAsia="Times New Roman" w:hAnsi="Calibri" w:cs="Times New Roman"/>
          <w:sz w:val="20"/>
          <w:szCs w:val="20"/>
        </w:rPr>
        <w:t xml:space="preserve">: </w:t>
      </w:r>
      <w:r w:rsidRPr="00783FE9">
        <w:rPr>
          <w:rFonts w:ascii="Calibri" w:eastAsia="Times New Roman" w:hAnsi="Calibri" w:cs="Times New Roman"/>
          <w:i/>
          <w:sz w:val="20"/>
          <w:szCs w:val="20"/>
        </w:rPr>
        <w:t xml:space="preserve">Results Oriented Annual Report (ROAR) Analysis Tool – UNDP </w:t>
      </w:r>
      <w:r>
        <w:rPr>
          <w:rFonts w:ascii="Calibri" w:eastAsia="Times New Roman" w:hAnsi="Calibri" w:cs="Times New Roman"/>
          <w:i/>
          <w:sz w:val="20"/>
          <w:szCs w:val="20"/>
        </w:rPr>
        <w:t>2</w:t>
      </w:r>
      <w:r w:rsidRPr="00783FE9">
        <w:rPr>
          <w:rFonts w:ascii="Calibri" w:eastAsia="Times New Roman" w:hAnsi="Calibri" w:cs="Times New Roman"/>
          <w:i/>
          <w:sz w:val="20"/>
          <w:szCs w:val="20"/>
        </w:rPr>
        <w:t>01</w:t>
      </w:r>
      <w:r>
        <w:rPr>
          <w:rFonts w:ascii="Calibri" w:eastAsia="Times New Roman" w:hAnsi="Calibri" w:cs="Times New Roman"/>
          <w:i/>
          <w:sz w:val="20"/>
          <w:szCs w:val="20"/>
        </w:rPr>
        <w:t>3</w:t>
      </w:r>
    </w:p>
    <w:p w:rsidR="000C34AB" w:rsidRPr="00A1060D" w:rsidRDefault="00A1060D" w:rsidP="00A1060D">
      <w:pPr>
        <w:spacing w:before="100" w:after="100" w:line="240" w:lineRule="auto"/>
        <w:rPr>
          <w:rFonts w:ascii="Calibri" w:eastAsia="Times New Roman" w:hAnsi="Calibri" w:cs="Times New Roman"/>
          <w:i/>
          <w:sz w:val="20"/>
          <w:szCs w:val="20"/>
        </w:rPr>
      </w:pPr>
      <w:r w:rsidRPr="00A1060D">
        <w:rPr>
          <w:rFonts w:ascii="Calibri" w:eastAsia="Times New Roman" w:hAnsi="Calibri" w:cs="Times New Roman"/>
          <w:sz w:val="20"/>
          <w:szCs w:val="20"/>
        </w:rPr>
        <w:t>Paragraph 15</w:t>
      </w:r>
      <w:r w:rsidR="000C34AB" w:rsidRPr="00A1060D">
        <w:rPr>
          <w:rFonts w:ascii="Calibri" w:eastAsia="Times New Roman" w:hAnsi="Calibri" w:cs="Times New Roman"/>
          <w:sz w:val="20"/>
          <w:szCs w:val="20"/>
        </w:rPr>
        <w:t>:</w:t>
      </w:r>
      <w:r w:rsidRPr="00A1060D">
        <w:rPr>
          <w:rFonts w:ascii="Calibri" w:eastAsia="Times New Roman" w:hAnsi="Calibri" w:cs="Times New Roman"/>
          <w:sz w:val="20"/>
          <w:szCs w:val="20"/>
        </w:rPr>
        <w:t xml:space="preserve"> </w:t>
      </w:r>
      <w:r w:rsidR="004F113D">
        <w:rPr>
          <w:rFonts w:ascii="Calibri" w:eastAsia="Times New Roman" w:hAnsi="Calibri" w:cs="Times New Roman"/>
          <w:i/>
          <w:sz w:val="20"/>
          <w:szCs w:val="20"/>
        </w:rPr>
        <w:t>UNDP Contribution to Poverty R</w:t>
      </w:r>
      <w:r w:rsidRPr="00A1060D">
        <w:rPr>
          <w:rFonts w:ascii="Calibri" w:eastAsia="Times New Roman" w:hAnsi="Calibri" w:cs="Times New Roman"/>
          <w:i/>
          <w:sz w:val="20"/>
          <w:szCs w:val="20"/>
        </w:rPr>
        <w:t>eduction – January 2013</w:t>
      </w:r>
    </w:p>
    <w:p w:rsidR="00161941" w:rsidRDefault="00161941" w:rsidP="00161941">
      <w:p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Paragraph 16: </w:t>
      </w:r>
      <w:r w:rsidRPr="00783FE9">
        <w:rPr>
          <w:rFonts w:ascii="Calibri" w:eastAsia="Times New Roman" w:hAnsi="Calibri" w:cs="Times New Roman"/>
          <w:i/>
          <w:sz w:val="20"/>
          <w:szCs w:val="20"/>
        </w:rPr>
        <w:t xml:space="preserve">Results Oriented Annual Report (ROAR) Analysis Tool – UNDP </w:t>
      </w:r>
      <w:r>
        <w:rPr>
          <w:rFonts w:ascii="Calibri" w:eastAsia="Times New Roman" w:hAnsi="Calibri" w:cs="Times New Roman"/>
          <w:i/>
          <w:sz w:val="20"/>
          <w:szCs w:val="20"/>
        </w:rPr>
        <w:t>2</w:t>
      </w:r>
      <w:r w:rsidRPr="00783FE9">
        <w:rPr>
          <w:rFonts w:ascii="Calibri" w:eastAsia="Times New Roman" w:hAnsi="Calibri" w:cs="Times New Roman"/>
          <w:i/>
          <w:sz w:val="20"/>
          <w:szCs w:val="20"/>
        </w:rPr>
        <w:t>01</w:t>
      </w:r>
      <w:r>
        <w:rPr>
          <w:rFonts w:ascii="Calibri" w:eastAsia="Times New Roman" w:hAnsi="Calibri" w:cs="Times New Roman"/>
          <w:i/>
          <w:sz w:val="20"/>
          <w:szCs w:val="20"/>
        </w:rPr>
        <w:t>3</w:t>
      </w:r>
    </w:p>
    <w:p w:rsidR="00161941" w:rsidRDefault="00161941" w:rsidP="00161941">
      <w:p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Paragraph 18-29: </w:t>
      </w:r>
      <w:r w:rsidRPr="00783FE9">
        <w:rPr>
          <w:rFonts w:ascii="Calibri" w:eastAsia="Times New Roman" w:hAnsi="Calibri" w:cs="Times New Roman"/>
          <w:i/>
          <w:sz w:val="20"/>
          <w:szCs w:val="20"/>
        </w:rPr>
        <w:t xml:space="preserve">Results Oriented Annual Report (ROAR) Analysis Tool – UNDP </w:t>
      </w:r>
      <w:r>
        <w:rPr>
          <w:rFonts w:ascii="Calibri" w:eastAsia="Times New Roman" w:hAnsi="Calibri" w:cs="Times New Roman"/>
          <w:i/>
          <w:sz w:val="20"/>
          <w:szCs w:val="20"/>
        </w:rPr>
        <w:t>2</w:t>
      </w:r>
      <w:r w:rsidRPr="00783FE9">
        <w:rPr>
          <w:rFonts w:ascii="Calibri" w:eastAsia="Times New Roman" w:hAnsi="Calibri" w:cs="Times New Roman"/>
          <w:i/>
          <w:sz w:val="20"/>
          <w:szCs w:val="20"/>
        </w:rPr>
        <w:t>01</w:t>
      </w:r>
      <w:r>
        <w:rPr>
          <w:rFonts w:ascii="Calibri" w:eastAsia="Times New Roman" w:hAnsi="Calibri" w:cs="Times New Roman"/>
          <w:i/>
          <w:sz w:val="20"/>
          <w:szCs w:val="20"/>
        </w:rPr>
        <w:t>3</w:t>
      </w:r>
    </w:p>
    <w:p w:rsidR="000C34AB" w:rsidRDefault="00456308" w:rsidP="000C34AB">
      <w:pPr>
        <w:spacing w:before="60" w:after="60" w:line="240" w:lineRule="auto"/>
        <w:rPr>
          <w:rFonts w:ascii="Calibri" w:eastAsia="Times New Roman" w:hAnsi="Calibri" w:cs="Times New Roman"/>
          <w:sz w:val="20"/>
          <w:szCs w:val="20"/>
        </w:rPr>
      </w:pPr>
      <w:r w:rsidRPr="00456308">
        <w:rPr>
          <w:rFonts w:ascii="Calibri" w:eastAsia="Times New Roman" w:hAnsi="Calibri" w:cs="Times New Roman"/>
          <w:sz w:val="20"/>
          <w:szCs w:val="20"/>
        </w:rPr>
        <w:t>Paragraph 30</w:t>
      </w:r>
      <w:r w:rsidR="000C34AB" w:rsidRPr="00456308">
        <w:rPr>
          <w:rFonts w:ascii="Calibri" w:eastAsia="Times New Roman" w:hAnsi="Calibri" w:cs="Times New Roman"/>
          <w:sz w:val="20"/>
          <w:szCs w:val="20"/>
        </w:rPr>
        <w:t>:</w:t>
      </w:r>
      <w:r w:rsidRPr="00456308">
        <w:rPr>
          <w:rFonts w:ascii="Calibri" w:eastAsia="Times New Roman" w:hAnsi="Calibri" w:cs="Times New Roman"/>
          <w:sz w:val="20"/>
          <w:szCs w:val="20"/>
        </w:rPr>
        <w:t xml:space="preserve"> </w:t>
      </w:r>
      <w:r w:rsidR="004F113D">
        <w:rPr>
          <w:rFonts w:ascii="Calibri" w:eastAsia="Times New Roman" w:hAnsi="Calibri" w:cs="Times New Roman"/>
          <w:i/>
          <w:sz w:val="20"/>
          <w:szCs w:val="20"/>
        </w:rPr>
        <w:t>Evaluation of UNDP C</w:t>
      </w:r>
      <w:r w:rsidRPr="00456308">
        <w:rPr>
          <w:rFonts w:ascii="Calibri" w:eastAsia="Times New Roman" w:hAnsi="Calibri" w:cs="Times New Roman"/>
          <w:i/>
          <w:sz w:val="20"/>
          <w:szCs w:val="20"/>
        </w:rPr>
        <w:t>ontribution to Strengthening Electoral Systems and Processes – August, 2012</w:t>
      </w:r>
    </w:p>
    <w:p w:rsidR="00524D1D" w:rsidRDefault="00524D1D" w:rsidP="00524D1D">
      <w:p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Paragraph 31-40: </w:t>
      </w:r>
      <w:r w:rsidRPr="00783FE9">
        <w:rPr>
          <w:rFonts w:ascii="Calibri" w:eastAsia="Times New Roman" w:hAnsi="Calibri" w:cs="Times New Roman"/>
          <w:i/>
          <w:sz w:val="20"/>
          <w:szCs w:val="20"/>
        </w:rPr>
        <w:t xml:space="preserve">Results Oriented Annual Report (ROAR) Analysis Tool – UNDP </w:t>
      </w:r>
      <w:r>
        <w:rPr>
          <w:rFonts w:ascii="Calibri" w:eastAsia="Times New Roman" w:hAnsi="Calibri" w:cs="Times New Roman"/>
          <w:i/>
          <w:sz w:val="20"/>
          <w:szCs w:val="20"/>
        </w:rPr>
        <w:t>2</w:t>
      </w:r>
      <w:r w:rsidRPr="00783FE9">
        <w:rPr>
          <w:rFonts w:ascii="Calibri" w:eastAsia="Times New Roman" w:hAnsi="Calibri" w:cs="Times New Roman"/>
          <w:i/>
          <w:sz w:val="20"/>
          <w:szCs w:val="20"/>
        </w:rPr>
        <w:t>01</w:t>
      </w:r>
      <w:r>
        <w:rPr>
          <w:rFonts w:ascii="Calibri" w:eastAsia="Times New Roman" w:hAnsi="Calibri" w:cs="Times New Roman"/>
          <w:i/>
          <w:sz w:val="20"/>
          <w:szCs w:val="20"/>
        </w:rPr>
        <w:t>3</w:t>
      </w:r>
    </w:p>
    <w:p w:rsidR="000C34AB" w:rsidRPr="004F113D" w:rsidRDefault="00524D1D" w:rsidP="000C34AB">
      <w:pPr>
        <w:spacing w:before="60" w:after="60" w:line="240" w:lineRule="auto"/>
        <w:rPr>
          <w:rFonts w:ascii="Calibri" w:eastAsia="Times New Roman" w:hAnsi="Calibri" w:cs="Times New Roman"/>
          <w:i/>
          <w:sz w:val="20"/>
          <w:szCs w:val="20"/>
        </w:rPr>
      </w:pPr>
      <w:r>
        <w:rPr>
          <w:rFonts w:ascii="Calibri" w:eastAsia="Times New Roman" w:hAnsi="Calibri" w:cs="Times New Roman"/>
          <w:sz w:val="20"/>
          <w:szCs w:val="20"/>
        </w:rPr>
        <w:t>Paragraph 40</w:t>
      </w:r>
      <w:r w:rsidR="000C34AB">
        <w:rPr>
          <w:rFonts w:ascii="Calibri" w:eastAsia="Times New Roman" w:hAnsi="Calibri" w:cs="Times New Roman"/>
          <w:sz w:val="20"/>
          <w:szCs w:val="20"/>
        </w:rPr>
        <w:t>:</w:t>
      </w:r>
      <w:r>
        <w:rPr>
          <w:rFonts w:ascii="Calibri" w:eastAsia="Times New Roman" w:hAnsi="Calibri" w:cs="Times New Roman"/>
          <w:sz w:val="20"/>
          <w:szCs w:val="20"/>
        </w:rPr>
        <w:t xml:space="preserve"> </w:t>
      </w:r>
      <w:r w:rsidR="004F113D">
        <w:rPr>
          <w:rFonts w:ascii="Calibri" w:eastAsia="Times New Roman" w:hAnsi="Calibri" w:cs="Times New Roman"/>
          <w:i/>
          <w:sz w:val="20"/>
          <w:szCs w:val="20"/>
        </w:rPr>
        <w:t>Evaluation of UNDP Support to Conflict-Affected Countries in the Context of UN Peace Operations – January 2013</w:t>
      </w:r>
    </w:p>
    <w:p w:rsidR="000C34AB" w:rsidRPr="003D1BC0" w:rsidRDefault="003D1BC0" w:rsidP="000C34AB">
      <w:pPr>
        <w:spacing w:before="60" w:after="60" w:line="240" w:lineRule="auto"/>
        <w:rPr>
          <w:rFonts w:ascii="Calibri" w:eastAsia="Times New Roman" w:hAnsi="Calibri" w:cs="Times New Roman"/>
          <w:i/>
          <w:sz w:val="20"/>
          <w:szCs w:val="20"/>
        </w:rPr>
      </w:pPr>
      <w:r>
        <w:rPr>
          <w:rFonts w:ascii="Calibri" w:eastAsia="Times New Roman" w:hAnsi="Calibri" w:cs="Times New Roman"/>
          <w:sz w:val="20"/>
          <w:szCs w:val="20"/>
        </w:rPr>
        <w:t>Paragraph 40</w:t>
      </w:r>
      <w:r w:rsidR="000C34AB">
        <w:rPr>
          <w:rFonts w:ascii="Calibri" w:eastAsia="Times New Roman" w:hAnsi="Calibri" w:cs="Times New Roman"/>
          <w:sz w:val="20"/>
          <w:szCs w:val="20"/>
        </w:rPr>
        <w:t>:</w:t>
      </w:r>
      <w:r>
        <w:rPr>
          <w:rFonts w:ascii="Calibri" w:eastAsia="Times New Roman" w:hAnsi="Calibri" w:cs="Times New Roman"/>
          <w:sz w:val="20"/>
          <w:szCs w:val="20"/>
        </w:rPr>
        <w:t xml:space="preserve"> </w:t>
      </w:r>
      <w:r>
        <w:rPr>
          <w:rFonts w:ascii="Calibri" w:eastAsia="Times New Roman" w:hAnsi="Calibri" w:cs="Times New Roman"/>
          <w:i/>
          <w:sz w:val="20"/>
          <w:szCs w:val="20"/>
        </w:rPr>
        <w:t>Evaluation of UNDP Contribution to Disaster Prevention and Recovery  - December 2010</w:t>
      </w:r>
    </w:p>
    <w:p w:rsidR="00A964BC" w:rsidRDefault="00A964BC" w:rsidP="00A964BC">
      <w:p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rPr>
        <w:t>Par</w:t>
      </w:r>
      <w:r w:rsidR="004D1239">
        <w:rPr>
          <w:rFonts w:ascii="Calibri" w:eastAsia="Times New Roman" w:hAnsi="Calibri" w:cs="Times New Roman"/>
          <w:sz w:val="20"/>
          <w:szCs w:val="20"/>
        </w:rPr>
        <w:t>agraph 41-54</w:t>
      </w:r>
      <w:r>
        <w:rPr>
          <w:rFonts w:ascii="Calibri" w:eastAsia="Times New Roman" w:hAnsi="Calibri" w:cs="Times New Roman"/>
          <w:sz w:val="20"/>
          <w:szCs w:val="20"/>
        </w:rPr>
        <w:t xml:space="preserve">: </w:t>
      </w:r>
      <w:r w:rsidRPr="00783FE9">
        <w:rPr>
          <w:rFonts w:ascii="Calibri" w:eastAsia="Times New Roman" w:hAnsi="Calibri" w:cs="Times New Roman"/>
          <w:i/>
          <w:sz w:val="20"/>
          <w:szCs w:val="20"/>
        </w:rPr>
        <w:t xml:space="preserve">Results Oriented Annual Report (ROAR) Analysis Tool – UNDP </w:t>
      </w:r>
      <w:r>
        <w:rPr>
          <w:rFonts w:ascii="Calibri" w:eastAsia="Times New Roman" w:hAnsi="Calibri" w:cs="Times New Roman"/>
          <w:i/>
          <w:sz w:val="20"/>
          <w:szCs w:val="20"/>
        </w:rPr>
        <w:t>2</w:t>
      </w:r>
      <w:r w:rsidRPr="00783FE9">
        <w:rPr>
          <w:rFonts w:ascii="Calibri" w:eastAsia="Times New Roman" w:hAnsi="Calibri" w:cs="Times New Roman"/>
          <w:i/>
          <w:sz w:val="20"/>
          <w:szCs w:val="20"/>
        </w:rPr>
        <w:t>01</w:t>
      </w:r>
      <w:r>
        <w:rPr>
          <w:rFonts w:ascii="Calibri" w:eastAsia="Times New Roman" w:hAnsi="Calibri" w:cs="Times New Roman"/>
          <w:i/>
          <w:sz w:val="20"/>
          <w:szCs w:val="20"/>
        </w:rPr>
        <w:t>3</w:t>
      </w:r>
    </w:p>
    <w:p w:rsidR="00A964BC" w:rsidRDefault="00A964BC" w:rsidP="00A964BC">
      <w:p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rPr>
        <w:t>Paragraph 58</w:t>
      </w:r>
      <w:r w:rsidR="00690BC8">
        <w:rPr>
          <w:rFonts w:ascii="Calibri" w:eastAsia="Times New Roman" w:hAnsi="Calibri" w:cs="Times New Roman"/>
          <w:sz w:val="20"/>
          <w:szCs w:val="20"/>
        </w:rPr>
        <w:t>-60</w:t>
      </w:r>
      <w:r>
        <w:rPr>
          <w:rFonts w:ascii="Calibri" w:eastAsia="Times New Roman" w:hAnsi="Calibri" w:cs="Times New Roman"/>
          <w:sz w:val="20"/>
          <w:szCs w:val="20"/>
        </w:rPr>
        <w:t xml:space="preserve">: </w:t>
      </w:r>
      <w:r w:rsidRPr="00783FE9">
        <w:rPr>
          <w:rFonts w:ascii="Calibri" w:eastAsia="Times New Roman" w:hAnsi="Calibri" w:cs="Times New Roman"/>
          <w:i/>
          <w:sz w:val="20"/>
          <w:szCs w:val="20"/>
        </w:rPr>
        <w:t xml:space="preserve">Results Oriented Annual Report (ROAR) Analysis Tool – UNDP </w:t>
      </w:r>
      <w:r>
        <w:rPr>
          <w:rFonts w:ascii="Calibri" w:eastAsia="Times New Roman" w:hAnsi="Calibri" w:cs="Times New Roman"/>
          <w:i/>
          <w:sz w:val="20"/>
          <w:szCs w:val="20"/>
        </w:rPr>
        <w:t>2</w:t>
      </w:r>
      <w:r w:rsidRPr="00783FE9">
        <w:rPr>
          <w:rFonts w:ascii="Calibri" w:eastAsia="Times New Roman" w:hAnsi="Calibri" w:cs="Times New Roman"/>
          <w:i/>
          <w:sz w:val="20"/>
          <w:szCs w:val="20"/>
        </w:rPr>
        <w:t>01</w:t>
      </w:r>
      <w:r>
        <w:rPr>
          <w:rFonts w:ascii="Calibri" w:eastAsia="Times New Roman" w:hAnsi="Calibri" w:cs="Times New Roman"/>
          <w:i/>
          <w:sz w:val="20"/>
          <w:szCs w:val="20"/>
        </w:rPr>
        <w:t>3</w:t>
      </w:r>
    </w:p>
    <w:p w:rsidR="000C34AB" w:rsidRDefault="00690BC8" w:rsidP="00690BC8">
      <w:pPr>
        <w:spacing w:before="60" w:after="60" w:line="240" w:lineRule="auto"/>
        <w:jc w:val="both"/>
        <w:rPr>
          <w:rFonts w:ascii="Calibri" w:eastAsia="Times New Roman" w:hAnsi="Calibri" w:cs="Times New Roman"/>
          <w:sz w:val="20"/>
          <w:szCs w:val="20"/>
        </w:rPr>
      </w:pPr>
      <w:r>
        <w:rPr>
          <w:rFonts w:ascii="Calibri" w:eastAsia="Times New Roman" w:hAnsi="Calibri" w:cs="Times New Roman"/>
          <w:sz w:val="20"/>
          <w:szCs w:val="20"/>
        </w:rPr>
        <w:t>Paragraph 72</w:t>
      </w:r>
      <w:r w:rsidR="000C34AB">
        <w:rPr>
          <w:rFonts w:ascii="Calibri" w:eastAsia="Times New Roman" w:hAnsi="Calibri" w:cs="Times New Roman"/>
          <w:sz w:val="20"/>
          <w:szCs w:val="20"/>
        </w:rPr>
        <w:t>:</w:t>
      </w:r>
      <w:r>
        <w:rPr>
          <w:rFonts w:ascii="Calibri" w:eastAsia="Times New Roman" w:hAnsi="Calibri" w:cs="Times New Roman"/>
          <w:sz w:val="20"/>
          <w:szCs w:val="20"/>
        </w:rPr>
        <w:t xml:space="preserve"> 2013 Aid Transparency Index results, </w:t>
      </w:r>
      <w:hyperlink r:id="rId21" w:history="1">
        <w:r w:rsidRPr="00690BC8">
          <w:rPr>
            <w:rStyle w:val="Hyperlink"/>
            <w:rFonts w:ascii="Calibri" w:eastAsia="Times New Roman" w:hAnsi="Calibri" w:cs="Times New Roman"/>
            <w:i/>
            <w:sz w:val="20"/>
            <w:szCs w:val="20"/>
          </w:rPr>
          <w:t>http://ati.publishwhatyoufund.org/index-2013/results/</w:t>
        </w:r>
      </w:hyperlink>
      <w:r>
        <w:rPr>
          <w:rFonts w:ascii="Calibri" w:eastAsia="Times New Roman" w:hAnsi="Calibri" w:cs="Times New Roman"/>
          <w:sz w:val="20"/>
          <w:szCs w:val="20"/>
        </w:rPr>
        <w:t xml:space="preserve"> </w:t>
      </w:r>
    </w:p>
    <w:p w:rsidR="00CC29B8" w:rsidRPr="00A736E7" w:rsidRDefault="00CC29B8" w:rsidP="00CC29B8">
      <w:pPr>
        <w:pStyle w:val="EndnoteText"/>
        <w:spacing w:before="100" w:after="100"/>
        <w:ind w:left="270" w:hanging="270"/>
        <w:rPr>
          <w:rFonts w:asciiTheme="minorHAnsi" w:hAnsiTheme="minorHAnsi"/>
        </w:rPr>
      </w:pPr>
    </w:p>
    <w:p w:rsidR="00C57672" w:rsidRPr="00730D6C" w:rsidRDefault="00C57672" w:rsidP="00BA40DA">
      <w:pPr>
        <w:tabs>
          <w:tab w:val="left" w:pos="1080"/>
          <w:tab w:val="right" w:pos="12960"/>
        </w:tabs>
        <w:spacing w:before="120" w:after="120" w:line="240" w:lineRule="auto"/>
        <w:rPr>
          <w:b/>
        </w:rPr>
      </w:pPr>
    </w:p>
    <w:sectPr w:rsidR="00C57672" w:rsidRPr="00730D6C" w:rsidSect="00713F6C">
      <w:headerReference w:type="default" r:id="rId22"/>
      <w:footerReference w:type="default" r:id="rId23"/>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77F" w:rsidRDefault="0099777F" w:rsidP="002751EF">
      <w:pPr>
        <w:spacing w:after="0" w:line="240" w:lineRule="auto"/>
      </w:pPr>
      <w:r>
        <w:separator/>
      </w:r>
    </w:p>
  </w:endnote>
  <w:endnote w:type="continuationSeparator" w:id="0">
    <w:p w:rsidR="0099777F" w:rsidRDefault="0099777F" w:rsidP="0027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6FE" w:rsidRPr="004F2FBD" w:rsidRDefault="00D006FE" w:rsidP="00185C59">
    <w:pPr>
      <w:pStyle w:val="Header"/>
      <w:tabs>
        <w:tab w:val="clear" w:pos="9360"/>
        <w:tab w:val="right" w:pos="13500"/>
      </w:tabs>
    </w:pPr>
    <w:r>
      <w:rPr>
        <w:b/>
        <w:sz w:val="17"/>
        <w:szCs w:val="17"/>
      </w:rPr>
      <w:t xml:space="preserve">  </w:t>
    </w:r>
    <w:r w:rsidRPr="004F2FBD">
      <w:rPr>
        <w:sz w:val="18"/>
        <w:szCs w:val="18"/>
      </w:rPr>
      <w:tab/>
    </w:r>
    <w:r>
      <w:fldChar w:fldCharType="begin"/>
    </w:r>
    <w:r>
      <w:instrText xml:space="preserve"> PAGE   \* MERGEFORMAT </w:instrText>
    </w:r>
    <w:r>
      <w:fldChar w:fldCharType="separate"/>
    </w:r>
    <w:r w:rsidR="00592F9E" w:rsidRPr="00592F9E">
      <w:rPr>
        <w:noProof/>
        <w:sz w:val="18"/>
        <w:szCs w:val="18"/>
      </w:rPr>
      <w:t>2</w:t>
    </w:r>
    <w:r>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77F" w:rsidRDefault="0099777F" w:rsidP="002751EF">
      <w:pPr>
        <w:spacing w:after="0" w:line="240" w:lineRule="auto"/>
      </w:pPr>
      <w:r>
        <w:separator/>
      </w:r>
    </w:p>
  </w:footnote>
  <w:footnote w:type="continuationSeparator" w:id="0">
    <w:p w:rsidR="0099777F" w:rsidRDefault="0099777F" w:rsidP="002751EF">
      <w:pPr>
        <w:spacing w:after="0" w:line="240" w:lineRule="auto"/>
      </w:pPr>
      <w:r>
        <w:continuationSeparator/>
      </w:r>
    </w:p>
  </w:footnote>
  <w:footnote w:id="1">
    <w:p w:rsidR="00D006FE" w:rsidRPr="008B4624" w:rsidRDefault="00D006FE" w:rsidP="00494466">
      <w:pPr>
        <w:widowControl w:val="0"/>
        <w:autoSpaceDE w:val="0"/>
        <w:autoSpaceDN w:val="0"/>
        <w:adjustRightInd w:val="0"/>
        <w:spacing w:before="60" w:after="60" w:line="240" w:lineRule="auto"/>
        <w:ind w:left="270" w:hanging="270"/>
        <w:jc w:val="both"/>
        <w:rPr>
          <w:rFonts w:cs="Times New Roman"/>
          <w:sz w:val="16"/>
          <w:szCs w:val="16"/>
        </w:rPr>
      </w:pPr>
      <w:r w:rsidRPr="008B4624">
        <w:rPr>
          <w:rStyle w:val="FootnoteReference"/>
        </w:rPr>
        <w:footnoteRef/>
      </w:r>
      <w:r w:rsidRPr="008B4624">
        <w:tab/>
      </w:r>
      <w:r w:rsidRPr="008B4624">
        <w:rPr>
          <w:rFonts w:cs="Times New Roman"/>
          <w:sz w:val="16"/>
          <w:szCs w:val="16"/>
        </w:rPr>
        <w:t>This table reflects demand and support for strategic plan outcomes as reported through UNDP’s results-based management platform. Any differences between the figures in this table and those provided elsewhere are due to two main factors: (a) this table only includes results reported at country level, whereas other sections in this report may also include activity in global and regional programmes; and (b) cross-reporting of programme activities wherein the tables show only those countries reporting against one outcome area whereas analysis in the body of the report may include results cutting across focus areas.</w:t>
      </w:r>
    </w:p>
  </w:footnote>
  <w:footnote w:id="2">
    <w:p w:rsidR="00D006FE" w:rsidRPr="008B4624" w:rsidRDefault="00D006FE" w:rsidP="00494466">
      <w:pPr>
        <w:pStyle w:val="FootnoteText"/>
        <w:spacing w:before="60" w:after="60"/>
        <w:ind w:left="270" w:hanging="270"/>
        <w:jc w:val="both"/>
      </w:pPr>
      <w:r w:rsidRPr="00893449">
        <w:rPr>
          <w:rStyle w:val="FootnoteReference"/>
          <w:sz w:val="22"/>
        </w:rPr>
        <w:footnoteRef/>
      </w:r>
      <w:r w:rsidRPr="008B4624">
        <w:t xml:space="preserve"> </w:t>
      </w:r>
      <w:r w:rsidRPr="008B4624">
        <w:tab/>
      </w:r>
      <w:r w:rsidRPr="008B4624">
        <w:rPr>
          <w:rFonts w:cs="Times New Roman"/>
          <w:sz w:val="16"/>
          <w:szCs w:val="16"/>
        </w:rPr>
        <w:t>Sub-totals and totals for number of programme countries supporting outcomes are adjusted to avoid double counting of programme countries supporting more than one outcome.</w:t>
      </w:r>
    </w:p>
  </w:footnote>
  <w:footnote w:id="3">
    <w:p w:rsidR="00D006FE" w:rsidRPr="008B4624" w:rsidRDefault="00D006FE" w:rsidP="00494466">
      <w:pPr>
        <w:pStyle w:val="FootnoteText"/>
        <w:spacing w:before="60" w:after="60"/>
        <w:ind w:left="270" w:hanging="270"/>
        <w:jc w:val="both"/>
      </w:pPr>
      <w:r w:rsidRPr="00893449">
        <w:rPr>
          <w:rStyle w:val="FootnoteReference"/>
          <w:sz w:val="22"/>
        </w:rPr>
        <w:footnoteRef/>
      </w:r>
      <w:r w:rsidRPr="008B4624">
        <w:t xml:space="preserve"> </w:t>
      </w:r>
      <w:r w:rsidRPr="008B4624">
        <w:tab/>
      </w:r>
      <w:r w:rsidRPr="008B4624">
        <w:rPr>
          <w:rFonts w:cs="Times New Roman"/>
          <w:sz w:val="16"/>
          <w:szCs w:val="16"/>
        </w:rPr>
        <w:t xml:space="preserve">Total number of programme countries </w:t>
      </w:r>
      <w:r>
        <w:rPr>
          <w:rFonts w:cs="Times New Roman"/>
          <w:sz w:val="16"/>
          <w:szCs w:val="16"/>
        </w:rPr>
        <w:t xml:space="preserve">for 2013 </w:t>
      </w:r>
      <w:r w:rsidRPr="008B4624">
        <w:rPr>
          <w:rFonts w:cs="Times New Roman"/>
          <w:sz w:val="16"/>
          <w:szCs w:val="16"/>
        </w:rPr>
        <w:t xml:space="preserve">plus Programme for Assistance to the </w:t>
      </w:r>
      <w:r>
        <w:rPr>
          <w:rFonts w:cs="Times New Roman"/>
          <w:sz w:val="16"/>
          <w:szCs w:val="16"/>
        </w:rPr>
        <w:t xml:space="preserve">Palestinian People (PAPP) is 157. </w:t>
      </w:r>
    </w:p>
  </w:footnote>
  <w:footnote w:id="4">
    <w:p w:rsidR="00D006FE" w:rsidRDefault="00D006FE" w:rsidP="00494466">
      <w:pPr>
        <w:pStyle w:val="FootnoteText"/>
        <w:spacing w:before="60" w:after="60"/>
        <w:ind w:left="270" w:hanging="270"/>
        <w:jc w:val="both"/>
        <w:rPr>
          <w:rFonts w:cs="Times New Roman"/>
          <w:sz w:val="16"/>
          <w:szCs w:val="16"/>
        </w:rPr>
      </w:pPr>
      <w:r w:rsidRPr="00893449">
        <w:rPr>
          <w:rStyle w:val="FootnoteReference"/>
          <w:sz w:val="22"/>
        </w:rPr>
        <w:footnoteRef/>
      </w:r>
      <w:r w:rsidRPr="008B4624">
        <w:t xml:space="preserve"> </w:t>
      </w:r>
      <w:r w:rsidRPr="008B4624">
        <w:tab/>
      </w:r>
      <w:r w:rsidRPr="008B4624">
        <w:rPr>
          <w:rFonts w:cs="Times New Roman"/>
          <w:sz w:val="16"/>
          <w:szCs w:val="16"/>
        </w:rPr>
        <w:t>To</w:t>
      </w:r>
      <w:r>
        <w:rPr>
          <w:rFonts w:cs="Times New Roman"/>
          <w:sz w:val="16"/>
          <w:szCs w:val="16"/>
        </w:rPr>
        <w:t xml:space="preserve">tal number of </w:t>
      </w:r>
      <w:r w:rsidRPr="001078F9">
        <w:rPr>
          <w:rFonts w:cs="Times New Roman"/>
          <w:sz w:val="16"/>
          <w:szCs w:val="16"/>
        </w:rPr>
        <w:t>LDCs in 2013 is 48, as defined</w:t>
      </w:r>
      <w:r w:rsidRPr="008B4624">
        <w:rPr>
          <w:rFonts w:cs="Times New Roman"/>
          <w:sz w:val="16"/>
          <w:szCs w:val="16"/>
        </w:rPr>
        <w:t xml:space="preserve"> by the UN Office of the High Representative for LDCs, Landlocked Developing Countries, and Small Island Developing States.</w:t>
      </w:r>
    </w:p>
    <w:p w:rsidR="00D006FE" w:rsidRPr="008B4624" w:rsidRDefault="00D006FE" w:rsidP="00494466">
      <w:pPr>
        <w:pStyle w:val="FootnoteText"/>
        <w:spacing w:before="60" w:after="60"/>
        <w:ind w:left="270" w:hanging="270"/>
        <w:jc w:val="both"/>
      </w:pPr>
    </w:p>
  </w:footnote>
  <w:footnote w:id="5">
    <w:p w:rsidR="00D006FE" w:rsidRDefault="00D006FE" w:rsidP="002E0DDC">
      <w:pPr>
        <w:pStyle w:val="FootnoteText"/>
        <w:spacing w:before="60" w:after="60"/>
        <w:ind w:left="180" w:hanging="180"/>
      </w:pPr>
      <w:r>
        <w:rPr>
          <w:rStyle w:val="FootnoteReference"/>
        </w:rPr>
        <w:footnoteRef/>
      </w:r>
      <w:r>
        <w:tab/>
      </w:r>
      <w:r w:rsidRPr="00AB5764">
        <w:rPr>
          <w:sz w:val="16"/>
        </w:rPr>
        <w:t xml:space="preserve">This assessment is based on a preliminary analytical review of the </w:t>
      </w:r>
      <w:bookmarkStart w:id="3" w:name="OLE_LINK7"/>
      <w:bookmarkStart w:id="4" w:name="OLE_LINK8"/>
      <w:r w:rsidRPr="00AB5764">
        <w:rPr>
          <w:sz w:val="16"/>
        </w:rPr>
        <w:t>annual progress report of the Strategic Plan Institutional Result Framework</w:t>
      </w:r>
      <w:bookmarkEnd w:id="3"/>
      <w:bookmarkEnd w:id="4"/>
      <w:r w:rsidRPr="00AB5764">
        <w:rPr>
          <w:sz w:val="16"/>
        </w:rPr>
        <w:t>. Several results are not yet available.</w:t>
      </w:r>
    </w:p>
  </w:footnote>
  <w:footnote w:id="6">
    <w:p w:rsidR="00D006FE" w:rsidRDefault="00D006FE" w:rsidP="009F713A">
      <w:pPr>
        <w:pStyle w:val="FootnoteText"/>
        <w:ind w:left="270" w:hanging="270"/>
      </w:pPr>
      <w:r w:rsidRPr="009F713A">
        <w:rPr>
          <w:rStyle w:val="FootnoteReference"/>
        </w:rPr>
        <w:footnoteRef/>
      </w:r>
      <w:r>
        <w:tab/>
      </w:r>
      <w:r w:rsidRPr="008B4624">
        <w:rPr>
          <w:rFonts w:cs="Times New Roman"/>
          <w:sz w:val="16"/>
          <w:szCs w:val="16"/>
        </w:rPr>
        <w:t>This table reflects</w:t>
      </w:r>
      <w:r>
        <w:rPr>
          <w:rFonts w:cs="Times New Roman"/>
          <w:sz w:val="16"/>
          <w:szCs w:val="16"/>
        </w:rPr>
        <w:t xml:space="preserve"> total UNDP programme expenditures for 2013 at global, regional, and country programme levels, while elsewhere in this report expenditures solely reflect country-level programming. </w:t>
      </w:r>
      <w:r w:rsidRPr="009F713A">
        <w:t xml:space="preserve"> </w:t>
      </w:r>
    </w:p>
    <w:p w:rsidR="00D006FE" w:rsidRPr="009F713A" w:rsidRDefault="00D006FE" w:rsidP="009F713A">
      <w:pPr>
        <w:pStyle w:val="FootnoteText"/>
        <w:ind w:left="270" w:hanging="270"/>
      </w:pPr>
    </w:p>
  </w:footnote>
  <w:footnote w:id="7">
    <w:p w:rsidR="00D006FE" w:rsidRDefault="00D006FE" w:rsidP="00B65B9F">
      <w:pPr>
        <w:pStyle w:val="FootnoteText"/>
        <w:ind w:left="360" w:hanging="360"/>
        <w:jc w:val="both"/>
        <w:rPr>
          <w:sz w:val="16"/>
        </w:rPr>
      </w:pPr>
      <w:r>
        <w:rPr>
          <w:rStyle w:val="FootnoteReference"/>
        </w:rPr>
        <w:footnoteRef/>
      </w:r>
      <w:r>
        <w:t xml:space="preserve"> </w:t>
      </w:r>
      <w:r>
        <w:tab/>
      </w:r>
      <w:r w:rsidRPr="0006241C">
        <w:rPr>
          <w:sz w:val="16"/>
        </w:rPr>
        <w:t>Note that the ERC management response dashboard provides the option to enter actions as “ongoing”.  Such actions are of a continuous nature and have no set deadline for completion, but the responsible units are implementing them. Therefore, they are considered as “completed” for reporting purposes.  Note also that the figures in the last column show the number of initiated, not initiated and/no longer applicable key actions that are “overdue”.</w:t>
      </w:r>
    </w:p>
    <w:p w:rsidR="00D006FE" w:rsidRDefault="00D006FE" w:rsidP="00B65B9F">
      <w:pPr>
        <w:pStyle w:val="FootnoteText"/>
        <w:ind w:left="360" w:hanging="36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6FE" w:rsidRPr="00026328" w:rsidRDefault="00D006FE" w:rsidP="001A6FDA">
    <w:pPr>
      <w:spacing w:after="0" w:line="240" w:lineRule="auto"/>
      <w:ind w:left="-720"/>
      <w:rPr>
        <w:b/>
        <w:sz w:val="18"/>
        <w:szCs w:val="18"/>
      </w:rPr>
    </w:pPr>
    <w:r>
      <w:rPr>
        <w:b/>
        <w:sz w:val="18"/>
        <w:szCs w:val="18"/>
      </w:rPr>
      <w:t>Annexes to the Annual R</w:t>
    </w:r>
    <w:r w:rsidRPr="00026328">
      <w:rPr>
        <w:b/>
        <w:sz w:val="18"/>
        <w:szCs w:val="18"/>
      </w:rPr>
      <w:t>epo</w:t>
    </w:r>
    <w:r>
      <w:rPr>
        <w:b/>
        <w:sz w:val="18"/>
        <w:szCs w:val="18"/>
      </w:rPr>
      <w:t>rt of the Administrator on the Strategic P</w:t>
    </w:r>
    <w:r w:rsidRPr="00026328">
      <w:rPr>
        <w:b/>
        <w:sz w:val="18"/>
        <w:szCs w:val="18"/>
      </w:rPr>
      <w:t>lan</w:t>
    </w:r>
    <w:r>
      <w:rPr>
        <w:b/>
        <w:sz w:val="18"/>
        <w:szCs w:val="18"/>
      </w:rPr>
      <w:t xml:space="preserve"> 2008-2013: Performance and R</w:t>
    </w:r>
    <w:r w:rsidRPr="00026328">
      <w:rPr>
        <w:b/>
        <w:sz w:val="18"/>
        <w:szCs w:val="18"/>
      </w:rPr>
      <w:t xml:space="preserve">esults for </w:t>
    </w:r>
    <w:r>
      <w:rPr>
        <w:b/>
        <w:sz w:val="18"/>
        <w:szCs w:val="18"/>
      </w:rPr>
      <w:t>2013</w:t>
    </w:r>
  </w:p>
  <w:p w:rsidR="00D006FE" w:rsidRPr="001A6FDA" w:rsidRDefault="00D006FE" w:rsidP="001A6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6441"/>
    <w:multiLevelType w:val="hybridMultilevel"/>
    <w:tmpl w:val="98965EFE"/>
    <w:lvl w:ilvl="0" w:tplc="539CEE50">
      <w:start w:val="1"/>
      <w:numFmt w:val="decimal"/>
      <w:lvlText w:val="%1."/>
      <w:lvlJc w:val="left"/>
      <w:pPr>
        <w:ind w:left="417"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14ABA"/>
    <w:multiLevelType w:val="hybridMultilevel"/>
    <w:tmpl w:val="11EE2C7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334B3"/>
    <w:multiLevelType w:val="hybridMultilevel"/>
    <w:tmpl w:val="DCBCD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77742"/>
    <w:multiLevelType w:val="hybridMultilevel"/>
    <w:tmpl w:val="EC60D67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11A92594"/>
    <w:multiLevelType w:val="hybridMultilevel"/>
    <w:tmpl w:val="A74200EE"/>
    <w:lvl w:ilvl="0" w:tplc="65421F56">
      <w:start w:val="1"/>
      <w:numFmt w:val="lowerLetter"/>
      <w:lvlText w:val="(%1)"/>
      <w:lvlJc w:val="left"/>
      <w:pPr>
        <w:ind w:left="1440" w:hanging="360"/>
      </w:pPr>
      <w:rPr>
        <w:rFonts w:hint="default"/>
      </w:rPr>
    </w:lvl>
    <w:lvl w:ilvl="1" w:tplc="D6586F2A">
      <w:start w:val="1"/>
      <w:numFmt w:val="lowerRoman"/>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A65B11"/>
    <w:multiLevelType w:val="hybridMultilevel"/>
    <w:tmpl w:val="E702D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05312"/>
    <w:multiLevelType w:val="hybridMultilevel"/>
    <w:tmpl w:val="4EB01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2103CF"/>
    <w:multiLevelType w:val="hybridMultilevel"/>
    <w:tmpl w:val="7262B58A"/>
    <w:lvl w:ilvl="0" w:tplc="0409001B">
      <w:start w:val="1"/>
      <w:numFmt w:val="lowerRoman"/>
      <w:lvlText w:val="%1."/>
      <w:lvlJc w:val="right"/>
      <w:pPr>
        <w:ind w:left="1599" w:hanging="360"/>
      </w:p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8">
    <w:nsid w:val="1F8320B5"/>
    <w:multiLevelType w:val="hybridMultilevel"/>
    <w:tmpl w:val="336AE584"/>
    <w:lvl w:ilvl="0" w:tplc="65421F5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8EE0BA32">
      <w:start w:val="1"/>
      <w:numFmt w:val="lowerLetter"/>
      <w:lvlText w:val="%3."/>
      <w:lvlJc w:val="righ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F74FF8"/>
    <w:multiLevelType w:val="hybridMultilevel"/>
    <w:tmpl w:val="663EF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E113E"/>
    <w:multiLevelType w:val="hybridMultilevel"/>
    <w:tmpl w:val="6D5AA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B149A"/>
    <w:multiLevelType w:val="hybridMultilevel"/>
    <w:tmpl w:val="FCF8505C"/>
    <w:lvl w:ilvl="0" w:tplc="65421F5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5045D8"/>
    <w:multiLevelType w:val="hybridMultilevel"/>
    <w:tmpl w:val="44DC26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0962F3D"/>
    <w:multiLevelType w:val="hybridMultilevel"/>
    <w:tmpl w:val="0C6E2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63DF3"/>
    <w:multiLevelType w:val="hybridMultilevel"/>
    <w:tmpl w:val="C0389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6E5541"/>
    <w:multiLevelType w:val="hybridMultilevel"/>
    <w:tmpl w:val="8B9C4120"/>
    <w:lvl w:ilvl="0" w:tplc="65421F5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94101E"/>
    <w:multiLevelType w:val="hybridMultilevel"/>
    <w:tmpl w:val="0C044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BB0700"/>
    <w:multiLevelType w:val="hybridMultilevel"/>
    <w:tmpl w:val="9236B076"/>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074109"/>
    <w:multiLevelType w:val="hybridMultilevel"/>
    <w:tmpl w:val="18E2F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8D76E2"/>
    <w:multiLevelType w:val="hybridMultilevel"/>
    <w:tmpl w:val="A11C399A"/>
    <w:lvl w:ilvl="0" w:tplc="34761758">
      <w:start w:val="1"/>
      <w:numFmt w:val="decimal"/>
      <w:lvlText w:val="%1."/>
      <w:lvlJc w:val="left"/>
      <w:pPr>
        <w:ind w:left="810" w:hanging="360"/>
      </w:pPr>
      <w:rPr>
        <w:rFonts w:hint="default"/>
        <w:b w:val="0"/>
        <w:i w:val="0"/>
      </w:rPr>
    </w:lvl>
    <w:lvl w:ilvl="1" w:tplc="04090019">
      <w:start w:val="1"/>
      <w:numFmt w:val="lowerLetter"/>
      <w:lvlText w:val="%2."/>
      <w:lvlJc w:val="left"/>
      <w:pPr>
        <w:ind w:left="720" w:hanging="360"/>
      </w:pPr>
    </w:lvl>
    <w:lvl w:ilvl="2" w:tplc="C5084374">
      <w:start w:val="1"/>
      <w:numFmt w:val="decimal"/>
      <w:lvlText w:val="%3."/>
      <w:lvlJc w:val="left"/>
      <w:pPr>
        <w:ind w:left="1620" w:hanging="360"/>
      </w:pPr>
      <w:rPr>
        <w:rFonts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48F34F67"/>
    <w:multiLevelType w:val="hybridMultilevel"/>
    <w:tmpl w:val="DEB21092"/>
    <w:lvl w:ilvl="0" w:tplc="E8CA55D0">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EA322F"/>
    <w:multiLevelType w:val="hybridMultilevel"/>
    <w:tmpl w:val="F8100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507F73"/>
    <w:multiLevelType w:val="hybridMultilevel"/>
    <w:tmpl w:val="8ACAE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nsola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nsola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nsolas"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290285"/>
    <w:multiLevelType w:val="hybridMultilevel"/>
    <w:tmpl w:val="A74200EE"/>
    <w:lvl w:ilvl="0" w:tplc="65421F56">
      <w:start w:val="1"/>
      <w:numFmt w:val="lowerLetter"/>
      <w:lvlText w:val="(%1)"/>
      <w:lvlJc w:val="left"/>
      <w:pPr>
        <w:ind w:left="1440" w:hanging="360"/>
      </w:pPr>
      <w:rPr>
        <w:rFonts w:hint="default"/>
      </w:rPr>
    </w:lvl>
    <w:lvl w:ilvl="1" w:tplc="D6586F2A">
      <w:start w:val="1"/>
      <w:numFmt w:val="lowerRoman"/>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5556492"/>
    <w:multiLevelType w:val="hybridMultilevel"/>
    <w:tmpl w:val="E89648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5F26D43"/>
    <w:multiLevelType w:val="multilevel"/>
    <w:tmpl w:val="A74200EE"/>
    <w:lvl w:ilvl="0">
      <w:start w:val="1"/>
      <w:numFmt w:val="lowerLetter"/>
      <w:lvlText w:val="(%1)"/>
      <w:lvlJc w:val="left"/>
      <w:pPr>
        <w:ind w:left="1440" w:hanging="360"/>
      </w:pPr>
      <w:rPr>
        <w:rFonts w:hint="default"/>
      </w:rPr>
    </w:lvl>
    <w:lvl w:ilvl="1">
      <w:start w:val="1"/>
      <w:numFmt w:val="lowerRoman"/>
      <w:lvlText w:val="%2."/>
      <w:lvlJc w:val="left"/>
      <w:pPr>
        <w:ind w:left="216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563B5A3C"/>
    <w:multiLevelType w:val="hybridMultilevel"/>
    <w:tmpl w:val="F516E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B569A8"/>
    <w:multiLevelType w:val="hybridMultilevel"/>
    <w:tmpl w:val="57D84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577473"/>
    <w:multiLevelType w:val="hybridMultilevel"/>
    <w:tmpl w:val="522A9DA2"/>
    <w:lvl w:ilvl="0" w:tplc="E8CA55D0">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6A32A0"/>
    <w:multiLevelType w:val="hybridMultilevel"/>
    <w:tmpl w:val="C91CB8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CE75F41"/>
    <w:multiLevelType w:val="hybridMultilevel"/>
    <w:tmpl w:val="07A82984"/>
    <w:lvl w:ilvl="0" w:tplc="04090001">
      <w:start w:val="1"/>
      <w:numFmt w:val="bullet"/>
      <w:lvlText w:val=""/>
      <w:lvlJc w:val="left"/>
      <w:pPr>
        <w:ind w:left="1440" w:hanging="360"/>
      </w:pPr>
      <w:rPr>
        <w:rFonts w:ascii="Symbol" w:hAnsi="Symbol" w:hint="default"/>
      </w:rPr>
    </w:lvl>
    <w:lvl w:ilvl="1" w:tplc="053882C2">
      <w:start w:val="863"/>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B45ED3"/>
    <w:multiLevelType w:val="hybridMultilevel"/>
    <w:tmpl w:val="91642C66"/>
    <w:lvl w:ilvl="0" w:tplc="D77C4620">
      <w:numFmt w:val="bullet"/>
      <w:lvlText w:val="-"/>
      <w:lvlJc w:val="left"/>
      <w:pPr>
        <w:ind w:left="720" w:hanging="360"/>
      </w:pPr>
      <w:rPr>
        <w:rFonts w:ascii="Cambria" w:eastAsia="MS ??" w:hAnsi="Cambri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3710EA"/>
    <w:multiLevelType w:val="hybridMultilevel"/>
    <w:tmpl w:val="4D007FF0"/>
    <w:lvl w:ilvl="0" w:tplc="E8CA55D0">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1676A9"/>
    <w:multiLevelType w:val="hybridMultilevel"/>
    <w:tmpl w:val="05BAE918"/>
    <w:lvl w:ilvl="0" w:tplc="74DA33E4">
      <w:start w:val="1"/>
      <w:numFmt w:val="lowerLetter"/>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FB4CF9"/>
    <w:multiLevelType w:val="hybridMultilevel"/>
    <w:tmpl w:val="8B9C4120"/>
    <w:lvl w:ilvl="0" w:tplc="65421F5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2A926B5"/>
    <w:multiLevelType w:val="hybridMultilevel"/>
    <w:tmpl w:val="8B9C4120"/>
    <w:lvl w:ilvl="0" w:tplc="65421F5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40C6BD8"/>
    <w:multiLevelType w:val="hybridMultilevel"/>
    <w:tmpl w:val="0BD66BD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4137205"/>
    <w:multiLevelType w:val="hybridMultilevel"/>
    <w:tmpl w:val="F3C2D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E73C0B"/>
    <w:multiLevelType w:val="hybridMultilevel"/>
    <w:tmpl w:val="40545248"/>
    <w:lvl w:ilvl="0" w:tplc="74DA33E4">
      <w:start w:val="1"/>
      <w:numFmt w:val="lowerLetter"/>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6834B8"/>
    <w:multiLevelType w:val="hybridMultilevel"/>
    <w:tmpl w:val="76A4FF1E"/>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0">
    <w:nsid w:val="68B53EB4"/>
    <w:multiLevelType w:val="hybridMultilevel"/>
    <w:tmpl w:val="7A6C0E82"/>
    <w:lvl w:ilvl="0" w:tplc="0409001B">
      <w:start w:val="1"/>
      <w:numFmt w:val="lowerRoman"/>
      <w:lvlText w:val="%1."/>
      <w:lvlJc w:val="right"/>
      <w:pPr>
        <w:ind w:left="198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79F163F2"/>
    <w:multiLevelType w:val="hybridMultilevel"/>
    <w:tmpl w:val="282C7E14"/>
    <w:lvl w:ilvl="0" w:tplc="65421F5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596396"/>
    <w:multiLevelType w:val="hybridMultilevel"/>
    <w:tmpl w:val="A74200EE"/>
    <w:lvl w:ilvl="0" w:tplc="65421F56">
      <w:start w:val="1"/>
      <w:numFmt w:val="lowerLetter"/>
      <w:lvlText w:val="(%1)"/>
      <w:lvlJc w:val="left"/>
      <w:pPr>
        <w:ind w:left="1440" w:hanging="360"/>
      </w:pPr>
      <w:rPr>
        <w:rFonts w:hint="default"/>
      </w:rPr>
    </w:lvl>
    <w:lvl w:ilvl="1" w:tplc="D6586F2A">
      <w:start w:val="1"/>
      <w:numFmt w:val="lowerRoman"/>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D2A027C"/>
    <w:multiLevelType w:val="hybridMultilevel"/>
    <w:tmpl w:val="6B309890"/>
    <w:lvl w:ilvl="0" w:tplc="44F60BD2">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34"/>
  </w:num>
  <w:num w:numId="3">
    <w:abstractNumId w:val="42"/>
  </w:num>
  <w:num w:numId="4">
    <w:abstractNumId w:val="19"/>
  </w:num>
  <w:num w:numId="5">
    <w:abstractNumId w:val="8"/>
  </w:num>
  <w:num w:numId="6">
    <w:abstractNumId w:val="36"/>
  </w:num>
  <w:num w:numId="7">
    <w:abstractNumId w:val="11"/>
  </w:num>
  <w:num w:numId="8">
    <w:abstractNumId w:val="7"/>
  </w:num>
  <w:num w:numId="9">
    <w:abstractNumId w:val="33"/>
  </w:num>
  <w:num w:numId="10">
    <w:abstractNumId w:val="38"/>
  </w:num>
  <w:num w:numId="11">
    <w:abstractNumId w:val="18"/>
  </w:num>
  <w:num w:numId="12">
    <w:abstractNumId w:val="39"/>
  </w:num>
  <w:num w:numId="13">
    <w:abstractNumId w:val="5"/>
  </w:num>
  <w:num w:numId="14">
    <w:abstractNumId w:val="30"/>
  </w:num>
  <w:num w:numId="15">
    <w:abstractNumId w:val="23"/>
  </w:num>
  <w:num w:numId="16">
    <w:abstractNumId w:val="4"/>
  </w:num>
  <w:num w:numId="17">
    <w:abstractNumId w:val="15"/>
  </w:num>
  <w:num w:numId="18">
    <w:abstractNumId w:val="37"/>
  </w:num>
  <w:num w:numId="19">
    <w:abstractNumId w:val="40"/>
  </w:num>
  <w:num w:numId="20">
    <w:abstractNumId w:val="10"/>
  </w:num>
  <w:num w:numId="21">
    <w:abstractNumId w:val="3"/>
  </w:num>
  <w:num w:numId="22">
    <w:abstractNumId w:val="17"/>
  </w:num>
  <w:num w:numId="23">
    <w:abstractNumId w:val="27"/>
  </w:num>
  <w:num w:numId="24">
    <w:abstractNumId w:val="9"/>
  </w:num>
  <w:num w:numId="25">
    <w:abstractNumId w:val="26"/>
  </w:num>
  <w:num w:numId="26">
    <w:abstractNumId w:val="6"/>
  </w:num>
  <w:num w:numId="27">
    <w:abstractNumId w:val="14"/>
  </w:num>
  <w:num w:numId="28">
    <w:abstractNumId w:val="13"/>
  </w:num>
  <w:num w:numId="29">
    <w:abstractNumId w:val="16"/>
  </w:num>
  <w:num w:numId="30">
    <w:abstractNumId w:val="2"/>
  </w:num>
  <w:num w:numId="31">
    <w:abstractNumId w:val="21"/>
  </w:num>
  <w:num w:numId="32">
    <w:abstractNumId w:val="0"/>
  </w:num>
  <w:num w:numId="33">
    <w:abstractNumId w:val="32"/>
  </w:num>
  <w:num w:numId="34">
    <w:abstractNumId w:val="20"/>
  </w:num>
  <w:num w:numId="35">
    <w:abstractNumId w:val="28"/>
  </w:num>
  <w:num w:numId="36">
    <w:abstractNumId w:val="24"/>
  </w:num>
  <w:num w:numId="37">
    <w:abstractNumId w:val="35"/>
  </w:num>
  <w:num w:numId="38">
    <w:abstractNumId w:val="25"/>
  </w:num>
  <w:num w:numId="39">
    <w:abstractNumId w:val="41"/>
  </w:num>
  <w:num w:numId="40">
    <w:abstractNumId w:val="31"/>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43"/>
  </w:num>
  <w:num w:numId="44">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8B"/>
    <w:rsid w:val="0000024F"/>
    <w:rsid w:val="000006B9"/>
    <w:rsid w:val="000008E3"/>
    <w:rsid w:val="00000E90"/>
    <w:rsid w:val="00000F8B"/>
    <w:rsid w:val="0000102D"/>
    <w:rsid w:val="0000165B"/>
    <w:rsid w:val="00001E9B"/>
    <w:rsid w:val="00001EC7"/>
    <w:rsid w:val="00003A12"/>
    <w:rsid w:val="00005E8F"/>
    <w:rsid w:val="00006823"/>
    <w:rsid w:val="00006E71"/>
    <w:rsid w:val="00007132"/>
    <w:rsid w:val="00007471"/>
    <w:rsid w:val="00007568"/>
    <w:rsid w:val="0000796E"/>
    <w:rsid w:val="0001058A"/>
    <w:rsid w:val="00011772"/>
    <w:rsid w:val="00012768"/>
    <w:rsid w:val="00014351"/>
    <w:rsid w:val="00014AD8"/>
    <w:rsid w:val="00014F86"/>
    <w:rsid w:val="00015450"/>
    <w:rsid w:val="00016A97"/>
    <w:rsid w:val="0001772D"/>
    <w:rsid w:val="00020E29"/>
    <w:rsid w:val="00021C6A"/>
    <w:rsid w:val="000225A8"/>
    <w:rsid w:val="00022659"/>
    <w:rsid w:val="000227A5"/>
    <w:rsid w:val="00022E68"/>
    <w:rsid w:val="000239AE"/>
    <w:rsid w:val="00023FFA"/>
    <w:rsid w:val="00024956"/>
    <w:rsid w:val="00024AD3"/>
    <w:rsid w:val="00025918"/>
    <w:rsid w:val="00026328"/>
    <w:rsid w:val="00026407"/>
    <w:rsid w:val="000267C4"/>
    <w:rsid w:val="00026DA3"/>
    <w:rsid w:val="00026DEB"/>
    <w:rsid w:val="00027479"/>
    <w:rsid w:val="00027825"/>
    <w:rsid w:val="0003041F"/>
    <w:rsid w:val="000307FA"/>
    <w:rsid w:val="00030DDA"/>
    <w:rsid w:val="00032A33"/>
    <w:rsid w:val="00032E2C"/>
    <w:rsid w:val="00033592"/>
    <w:rsid w:val="00033E00"/>
    <w:rsid w:val="000356A3"/>
    <w:rsid w:val="00035A10"/>
    <w:rsid w:val="00035AD7"/>
    <w:rsid w:val="0003635E"/>
    <w:rsid w:val="0003662F"/>
    <w:rsid w:val="00037019"/>
    <w:rsid w:val="00037357"/>
    <w:rsid w:val="00037642"/>
    <w:rsid w:val="00040D39"/>
    <w:rsid w:val="000411BF"/>
    <w:rsid w:val="000417C3"/>
    <w:rsid w:val="0004204C"/>
    <w:rsid w:val="000425F7"/>
    <w:rsid w:val="00042D3F"/>
    <w:rsid w:val="00042EA6"/>
    <w:rsid w:val="0004377C"/>
    <w:rsid w:val="00043AC5"/>
    <w:rsid w:val="00043F7A"/>
    <w:rsid w:val="00046C56"/>
    <w:rsid w:val="00046DEF"/>
    <w:rsid w:val="00046DF2"/>
    <w:rsid w:val="0004705E"/>
    <w:rsid w:val="000507DB"/>
    <w:rsid w:val="00050B8D"/>
    <w:rsid w:val="00050C23"/>
    <w:rsid w:val="00050D28"/>
    <w:rsid w:val="000510F0"/>
    <w:rsid w:val="00051E21"/>
    <w:rsid w:val="000524DB"/>
    <w:rsid w:val="00052586"/>
    <w:rsid w:val="00052D73"/>
    <w:rsid w:val="000533D5"/>
    <w:rsid w:val="0005398B"/>
    <w:rsid w:val="0005401E"/>
    <w:rsid w:val="00054303"/>
    <w:rsid w:val="00054BCE"/>
    <w:rsid w:val="00054C77"/>
    <w:rsid w:val="00055179"/>
    <w:rsid w:val="00055266"/>
    <w:rsid w:val="00055439"/>
    <w:rsid w:val="00056018"/>
    <w:rsid w:val="000565D2"/>
    <w:rsid w:val="0005688E"/>
    <w:rsid w:val="000568CE"/>
    <w:rsid w:val="00056F6B"/>
    <w:rsid w:val="000577AF"/>
    <w:rsid w:val="0006041B"/>
    <w:rsid w:val="0006091B"/>
    <w:rsid w:val="0006119B"/>
    <w:rsid w:val="0006154D"/>
    <w:rsid w:val="000617DA"/>
    <w:rsid w:val="0006188A"/>
    <w:rsid w:val="00061AD1"/>
    <w:rsid w:val="0006235B"/>
    <w:rsid w:val="0006241C"/>
    <w:rsid w:val="0006262F"/>
    <w:rsid w:val="00062D99"/>
    <w:rsid w:val="00063274"/>
    <w:rsid w:val="00063F81"/>
    <w:rsid w:val="00064433"/>
    <w:rsid w:val="00064A95"/>
    <w:rsid w:val="00066189"/>
    <w:rsid w:val="00066399"/>
    <w:rsid w:val="00066BE6"/>
    <w:rsid w:val="0006741B"/>
    <w:rsid w:val="000675FB"/>
    <w:rsid w:val="00067C13"/>
    <w:rsid w:val="00067E97"/>
    <w:rsid w:val="000709FA"/>
    <w:rsid w:val="00070D50"/>
    <w:rsid w:val="00070F61"/>
    <w:rsid w:val="0007194B"/>
    <w:rsid w:val="0007327F"/>
    <w:rsid w:val="00073440"/>
    <w:rsid w:val="000735CB"/>
    <w:rsid w:val="0007449D"/>
    <w:rsid w:val="00074F13"/>
    <w:rsid w:val="00075583"/>
    <w:rsid w:val="00075940"/>
    <w:rsid w:val="00075C4F"/>
    <w:rsid w:val="00076A1A"/>
    <w:rsid w:val="00076B45"/>
    <w:rsid w:val="00076BF3"/>
    <w:rsid w:val="00076FB2"/>
    <w:rsid w:val="0007718A"/>
    <w:rsid w:val="000773BB"/>
    <w:rsid w:val="00077EA3"/>
    <w:rsid w:val="00077EB9"/>
    <w:rsid w:val="000808C1"/>
    <w:rsid w:val="00080F1D"/>
    <w:rsid w:val="0008243D"/>
    <w:rsid w:val="0008246D"/>
    <w:rsid w:val="00082620"/>
    <w:rsid w:val="00082DFC"/>
    <w:rsid w:val="00083877"/>
    <w:rsid w:val="000839EE"/>
    <w:rsid w:val="00083C2A"/>
    <w:rsid w:val="000840B6"/>
    <w:rsid w:val="00084AD8"/>
    <w:rsid w:val="0008552A"/>
    <w:rsid w:val="000858CD"/>
    <w:rsid w:val="00086154"/>
    <w:rsid w:val="000861EC"/>
    <w:rsid w:val="000863B5"/>
    <w:rsid w:val="0008656E"/>
    <w:rsid w:val="00086630"/>
    <w:rsid w:val="0008731D"/>
    <w:rsid w:val="00090E5A"/>
    <w:rsid w:val="000910CB"/>
    <w:rsid w:val="00091BA1"/>
    <w:rsid w:val="00094BC8"/>
    <w:rsid w:val="00095476"/>
    <w:rsid w:val="000956CA"/>
    <w:rsid w:val="000959B6"/>
    <w:rsid w:val="00095C3D"/>
    <w:rsid w:val="00095E74"/>
    <w:rsid w:val="00095FD6"/>
    <w:rsid w:val="00096451"/>
    <w:rsid w:val="00096C38"/>
    <w:rsid w:val="00096DF9"/>
    <w:rsid w:val="00097263"/>
    <w:rsid w:val="000976F1"/>
    <w:rsid w:val="00097A86"/>
    <w:rsid w:val="00097DF0"/>
    <w:rsid w:val="000A00BB"/>
    <w:rsid w:val="000A0245"/>
    <w:rsid w:val="000A17AB"/>
    <w:rsid w:val="000A189B"/>
    <w:rsid w:val="000A2C77"/>
    <w:rsid w:val="000A342B"/>
    <w:rsid w:val="000A3529"/>
    <w:rsid w:val="000A396A"/>
    <w:rsid w:val="000A3D46"/>
    <w:rsid w:val="000A3FEE"/>
    <w:rsid w:val="000A4C17"/>
    <w:rsid w:val="000A60E6"/>
    <w:rsid w:val="000B044A"/>
    <w:rsid w:val="000B0695"/>
    <w:rsid w:val="000B08DD"/>
    <w:rsid w:val="000B2F98"/>
    <w:rsid w:val="000B330F"/>
    <w:rsid w:val="000B378C"/>
    <w:rsid w:val="000B3C38"/>
    <w:rsid w:val="000B50D9"/>
    <w:rsid w:val="000B5A16"/>
    <w:rsid w:val="000B5F0C"/>
    <w:rsid w:val="000B645D"/>
    <w:rsid w:val="000B6597"/>
    <w:rsid w:val="000B75EE"/>
    <w:rsid w:val="000C00FF"/>
    <w:rsid w:val="000C250D"/>
    <w:rsid w:val="000C2AF3"/>
    <w:rsid w:val="000C3130"/>
    <w:rsid w:val="000C34AB"/>
    <w:rsid w:val="000C3BC8"/>
    <w:rsid w:val="000C3D9B"/>
    <w:rsid w:val="000C3E28"/>
    <w:rsid w:val="000C4971"/>
    <w:rsid w:val="000C4EA0"/>
    <w:rsid w:val="000C5367"/>
    <w:rsid w:val="000C5E09"/>
    <w:rsid w:val="000C7187"/>
    <w:rsid w:val="000C75D3"/>
    <w:rsid w:val="000C7E24"/>
    <w:rsid w:val="000D0196"/>
    <w:rsid w:val="000D0843"/>
    <w:rsid w:val="000D13E1"/>
    <w:rsid w:val="000D1723"/>
    <w:rsid w:val="000D1744"/>
    <w:rsid w:val="000D1AEA"/>
    <w:rsid w:val="000D1C2D"/>
    <w:rsid w:val="000D242C"/>
    <w:rsid w:val="000D26BE"/>
    <w:rsid w:val="000D27F2"/>
    <w:rsid w:val="000D3970"/>
    <w:rsid w:val="000D415F"/>
    <w:rsid w:val="000D472C"/>
    <w:rsid w:val="000D4CB1"/>
    <w:rsid w:val="000D5018"/>
    <w:rsid w:val="000D5300"/>
    <w:rsid w:val="000D5D2D"/>
    <w:rsid w:val="000D5DFB"/>
    <w:rsid w:val="000D61C9"/>
    <w:rsid w:val="000D68C8"/>
    <w:rsid w:val="000D744D"/>
    <w:rsid w:val="000D7953"/>
    <w:rsid w:val="000E1156"/>
    <w:rsid w:val="000E14EB"/>
    <w:rsid w:val="000E1625"/>
    <w:rsid w:val="000E16A4"/>
    <w:rsid w:val="000E48C1"/>
    <w:rsid w:val="000E53B7"/>
    <w:rsid w:val="000E5D7E"/>
    <w:rsid w:val="000E6EA0"/>
    <w:rsid w:val="000E7B0A"/>
    <w:rsid w:val="000E7BC8"/>
    <w:rsid w:val="000E7FBB"/>
    <w:rsid w:val="000F0345"/>
    <w:rsid w:val="000F07EC"/>
    <w:rsid w:val="000F2CC0"/>
    <w:rsid w:val="000F2FD8"/>
    <w:rsid w:val="000F3B27"/>
    <w:rsid w:val="000F417C"/>
    <w:rsid w:val="000F5725"/>
    <w:rsid w:val="000F588E"/>
    <w:rsid w:val="000F65C9"/>
    <w:rsid w:val="000F65DB"/>
    <w:rsid w:val="000F661A"/>
    <w:rsid w:val="000F6FA0"/>
    <w:rsid w:val="000F7D01"/>
    <w:rsid w:val="000F7FBD"/>
    <w:rsid w:val="001007CD"/>
    <w:rsid w:val="0010121B"/>
    <w:rsid w:val="00101278"/>
    <w:rsid w:val="001012B2"/>
    <w:rsid w:val="00101725"/>
    <w:rsid w:val="00102917"/>
    <w:rsid w:val="00102CCE"/>
    <w:rsid w:val="001033BC"/>
    <w:rsid w:val="00103CE7"/>
    <w:rsid w:val="001043DE"/>
    <w:rsid w:val="001046E0"/>
    <w:rsid w:val="001049F0"/>
    <w:rsid w:val="00104D34"/>
    <w:rsid w:val="001056E2"/>
    <w:rsid w:val="001059FB"/>
    <w:rsid w:val="00106217"/>
    <w:rsid w:val="00106316"/>
    <w:rsid w:val="0010701B"/>
    <w:rsid w:val="00107603"/>
    <w:rsid w:val="001078F9"/>
    <w:rsid w:val="00107A71"/>
    <w:rsid w:val="00107F72"/>
    <w:rsid w:val="0011056B"/>
    <w:rsid w:val="001116F3"/>
    <w:rsid w:val="0011186A"/>
    <w:rsid w:val="00112259"/>
    <w:rsid w:val="00112E97"/>
    <w:rsid w:val="0011306A"/>
    <w:rsid w:val="001132F3"/>
    <w:rsid w:val="00114476"/>
    <w:rsid w:val="00114B07"/>
    <w:rsid w:val="00115728"/>
    <w:rsid w:val="001158DB"/>
    <w:rsid w:val="00117191"/>
    <w:rsid w:val="001173E4"/>
    <w:rsid w:val="00121772"/>
    <w:rsid w:val="00122986"/>
    <w:rsid w:val="00123391"/>
    <w:rsid w:val="001235B8"/>
    <w:rsid w:val="00124520"/>
    <w:rsid w:val="00124545"/>
    <w:rsid w:val="001255B6"/>
    <w:rsid w:val="0012580E"/>
    <w:rsid w:val="00125F0F"/>
    <w:rsid w:val="00126334"/>
    <w:rsid w:val="0012679A"/>
    <w:rsid w:val="0012717B"/>
    <w:rsid w:val="00127D3A"/>
    <w:rsid w:val="00127EA6"/>
    <w:rsid w:val="00130000"/>
    <w:rsid w:val="001303D5"/>
    <w:rsid w:val="00131C62"/>
    <w:rsid w:val="0013242E"/>
    <w:rsid w:val="00132749"/>
    <w:rsid w:val="00132C02"/>
    <w:rsid w:val="0013301C"/>
    <w:rsid w:val="00133341"/>
    <w:rsid w:val="00134598"/>
    <w:rsid w:val="001349E7"/>
    <w:rsid w:val="00135080"/>
    <w:rsid w:val="00135787"/>
    <w:rsid w:val="00135E77"/>
    <w:rsid w:val="00136032"/>
    <w:rsid w:val="00136CC5"/>
    <w:rsid w:val="00140633"/>
    <w:rsid w:val="001410C5"/>
    <w:rsid w:val="001413DA"/>
    <w:rsid w:val="001422AE"/>
    <w:rsid w:val="001431A3"/>
    <w:rsid w:val="00143D84"/>
    <w:rsid w:val="001443EA"/>
    <w:rsid w:val="001445D8"/>
    <w:rsid w:val="00145E94"/>
    <w:rsid w:val="00147381"/>
    <w:rsid w:val="00147EAB"/>
    <w:rsid w:val="001500D7"/>
    <w:rsid w:val="00150B2B"/>
    <w:rsid w:val="001510A2"/>
    <w:rsid w:val="00151800"/>
    <w:rsid w:val="00151B77"/>
    <w:rsid w:val="00151F27"/>
    <w:rsid w:val="001524AC"/>
    <w:rsid w:val="0015282B"/>
    <w:rsid w:val="00152C00"/>
    <w:rsid w:val="00152C65"/>
    <w:rsid w:val="00152F81"/>
    <w:rsid w:val="00152FE1"/>
    <w:rsid w:val="0015315D"/>
    <w:rsid w:val="00153246"/>
    <w:rsid w:val="00153443"/>
    <w:rsid w:val="0015370D"/>
    <w:rsid w:val="001539F2"/>
    <w:rsid w:val="001542AD"/>
    <w:rsid w:val="00155476"/>
    <w:rsid w:val="001556B7"/>
    <w:rsid w:val="00155B6D"/>
    <w:rsid w:val="001560A7"/>
    <w:rsid w:val="0015693D"/>
    <w:rsid w:val="0015712A"/>
    <w:rsid w:val="001610C6"/>
    <w:rsid w:val="0016157C"/>
    <w:rsid w:val="00161941"/>
    <w:rsid w:val="00161D28"/>
    <w:rsid w:val="00162233"/>
    <w:rsid w:val="0016369C"/>
    <w:rsid w:val="001652F8"/>
    <w:rsid w:val="00165C29"/>
    <w:rsid w:val="0016615B"/>
    <w:rsid w:val="0016797D"/>
    <w:rsid w:val="00167DCB"/>
    <w:rsid w:val="00170112"/>
    <w:rsid w:val="00170185"/>
    <w:rsid w:val="001706D8"/>
    <w:rsid w:val="00171B03"/>
    <w:rsid w:val="00171B45"/>
    <w:rsid w:val="00171DAC"/>
    <w:rsid w:val="001727B8"/>
    <w:rsid w:val="00172B07"/>
    <w:rsid w:val="00173E03"/>
    <w:rsid w:val="00173EF0"/>
    <w:rsid w:val="00174AD3"/>
    <w:rsid w:val="00174D1C"/>
    <w:rsid w:val="001767CC"/>
    <w:rsid w:val="00177291"/>
    <w:rsid w:val="00177297"/>
    <w:rsid w:val="00177ABD"/>
    <w:rsid w:val="0018079D"/>
    <w:rsid w:val="00181CBC"/>
    <w:rsid w:val="00181E72"/>
    <w:rsid w:val="00182074"/>
    <w:rsid w:val="00182235"/>
    <w:rsid w:val="001822B5"/>
    <w:rsid w:val="00183E1B"/>
    <w:rsid w:val="00185C59"/>
    <w:rsid w:val="001860E0"/>
    <w:rsid w:val="001864E6"/>
    <w:rsid w:val="00187227"/>
    <w:rsid w:val="00187AE6"/>
    <w:rsid w:val="00190486"/>
    <w:rsid w:val="00190BD6"/>
    <w:rsid w:val="00190C60"/>
    <w:rsid w:val="00191B75"/>
    <w:rsid w:val="00191F23"/>
    <w:rsid w:val="001921D8"/>
    <w:rsid w:val="0019230A"/>
    <w:rsid w:val="001923F5"/>
    <w:rsid w:val="00192AC6"/>
    <w:rsid w:val="00192C38"/>
    <w:rsid w:val="00192ECC"/>
    <w:rsid w:val="00192F93"/>
    <w:rsid w:val="00193F00"/>
    <w:rsid w:val="00193F0E"/>
    <w:rsid w:val="00194585"/>
    <w:rsid w:val="0019478D"/>
    <w:rsid w:val="00195CAE"/>
    <w:rsid w:val="001966C3"/>
    <w:rsid w:val="00196719"/>
    <w:rsid w:val="00196D37"/>
    <w:rsid w:val="001974CD"/>
    <w:rsid w:val="001A0370"/>
    <w:rsid w:val="001A0551"/>
    <w:rsid w:val="001A0A4E"/>
    <w:rsid w:val="001A1B4C"/>
    <w:rsid w:val="001A1BAB"/>
    <w:rsid w:val="001A1ED0"/>
    <w:rsid w:val="001A2F91"/>
    <w:rsid w:val="001A4C9D"/>
    <w:rsid w:val="001A4FD9"/>
    <w:rsid w:val="001A5009"/>
    <w:rsid w:val="001A510F"/>
    <w:rsid w:val="001A52B4"/>
    <w:rsid w:val="001A581A"/>
    <w:rsid w:val="001A5CC7"/>
    <w:rsid w:val="001A67EC"/>
    <w:rsid w:val="001A6FDA"/>
    <w:rsid w:val="001A7241"/>
    <w:rsid w:val="001A75E0"/>
    <w:rsid w:val="001B0AD8"/>
    <w:rsid w:val="001B1DC1"/>
    <w:rsid w:val="001B276D"/>
    <w:rsid w:val="001B2E21"/>
    <w:rsid w:val="001B2EC9"/>
    <w:rsid w:val="001B393F"/>
    <w:rsid w:val="001B3C39"/>
    <w:rsid w:val="001B45A2"/>
    <w:rsid w:val="001B4CA8"/>
    <w:rsid w:val="001B5405"/>
    <w:rsid w:val="001B5F1C"/>
    <w:rsid w:val="001B607D"/>
    <w:rsid w:val="001B619D"/>
    <w:rsid w:val="001B696B"/>
    <w:rsid w:val="001B6D98"/>
    <w:rsid w:val="001C219E"/>
    <w:rsid w:val="001C2D9D"/>
    <w:rsid w:val="001C2DA6"/>
    <w:rsid w:val="001C325A"/>
    <w:rsid w:val="001C32CE"/>
    <w:rsid w:val="001C419C"/>
    <w:rsid w:val="001C4F29"/>
    <w:rsid w:val="001C51FC"/>
    <w:rsid w:val="001C5747"/>
    <w:rsid w:val="001C576E"/>
    <w:rsid w:val="001C5DB2"/>
    <w:rsid w:val="001C67DE"/>
    <w:rsid w:val="001C6FE8"/>
    <w:rsid w:val="001C768B"/>
    <w:rsid w:val="001D0626"/>
    <w:rsid w:val="001D0ACA"/>
    <w:rsid w:val="001D0B03"/>
    <w:rsid w:val="001D0F00"/>
    <w:rsid w:val="001D137C"/>
    <w:rsid w:val="001D199E"/>
    <w:rsid w:val="001D1F1A"/>
    <w:rsid w:val="001D2882"/>
    <w:rsid w:val="001D331F"/>
    <w:rsid w:val="001D343A"/>
    <w:rsid w:val="001D34F9"/>
    <w:rsid w:val="001D4A3E"/>
    <w:rsid w:val="001D4BF4"/>
    <w:rsid w:val="001D5405"/>
    <w:rsid w:val="001D5BAC"/>
    <w:rsid w:val="001D7302"/>
    <w:rsid w:val="001D77AB"/>
    <w:rsid w:val="001D7B9C"/>
    <w:rsid w:val="001D7F6D"/>
    <w:rsid w:val="001E03B8"/>
    <w:rsid w:val="001E0423"/>
    <w:rsid w:val="001E0CF5"/>
    <w:rsid w:val="001E0EBA"/>
    <w:rsid w:val="001E22B1"/>
    <w:rsid w:val="001E23F0"/>
    <w:rsid w:val="001E352F"/>
    <w:rsid w:val="001E35F7"/>
    <w:rsid w:val="001E388F"/>
    <w:rsid w:val="001E403E"/>
    <w:rsid w:val="001E4A1B"/>
    <w:rsid w:val="001E4A8B"/>
    <w:rsid w:val="001E4B75"/>
    <w:rsid w:val="001E51DC"/>
    <w:rsid w:val="001E581F"/>
    <w:rsid w:val="001E5D7A"/>
    <w:rsid w:val="001E5E1B"/>
    <w:rsid w:val="001E60E5"/>
    <w:rsid w:val="001E624D"/>
    <w:rsid w:val="001E62EC"/>
    <w:rsid w:val="001E655B"/>
    <w:rsid w:val="001E6A21"/>
    <w:rsid w:val="001E6C79"/>
    <w:rsid w:val="001E7311"/>
    <w:rsid w:val="001E767A"/>
    <w:rsid w:val="001E79A2"/>
    <w:rsid w:val="001F031C"/>
    <w:rsid w:val="001F0FB9"/>
    <w:rsid w:val="001F18A6"/>
    <w:rsid w:val="001F1AB6"/>
    <w:rsid w:val="001F1F0C"/>
    <w:rsid w:val="001F28B8"/>
    <w:rsid w:val="001F2EF1"/>
    <w:rsid w:val="001F38F3"/>
    <w:rsid w:val="001F3CAB"/>
    <w:rsid w:val="001F3F15"/>
    <w:rsid w:val="00200491"/>
    <w:rsid w:val="00200A4F"/>
    <w:rsid w:val="00200D36"/>
    <w:rsid w:val="00200FC7"/>
    <w:rsid w:val="002013D2"/>
    <w:rsid w:val="002021DD"/>
    <w:rsid w:val="0020390F"/>
    <w:rsid w:val="00203B2E"/>
    <w:rsid w:val="00203D21"/>
    <w:rsid w:val="00205593"/>
    <w:rsid w:val="00205FA8"/>
    <w:rsid w:val="00206159"/>
    <w:rsid w:val="00210D21"/>
    <w:rsid w:val="00211FBB"/>
    <w:rsid w:val="00212A97"/>
    <w:rsid w:val="00212E49"/>
    <w:rsid w:val="002131C9"/>
    <w:rsid w:val="00213816"/>
    <w:rsid w:val="00213EC0"/>
    <w:rsid w:val="002148DF"/>
    <w:rsid w:val="00214958"/>
    <w:rsid w:val="00215780"/>
    <w:rsid w:val="002166B8"/>
    <w:rsid w:val="00216E2A"/>
    <w:rsid w:val="0021702F"/>
    <w:rsid w:val="00220BAF"/>
    <w:rsid w:val="00221C98"/>
    <w:rsid w:val="002223E1"/>
    <w:rsid w:val="00223309"/>
    <w:rsid w:val="00223D27"/>
    <w:rsid w:val="00223D92"/>
    <w:rsid w:val="00223DED"/>
    <w:rsid w:val="00224784"/>
    <w:rsid w:val="00224796"/>
    <w:rsid w:val="00224FEE"/>
    <w:rsid w:val="002255F5"/>
    <w:rsid w:val="00225669"/>
    <w:rsid w:val="002259AB"/>
    <w:rsid w:val="00226C19"/>
    <w:rsid w:val="00226C58"/>
    <w:rsid w:val="0022720C"/>
    <w:rsid w:val="00232073"/>
    <w:rsid w:val="00232196"/>
    <w:rsid w:val="002322B2"/>
    <w:rsid w:val="002326B9"/>
    <w:rsid w:val="00232C25"/>
    <w:rsid w:val="00233702"/>
    <w:rsid w:val="00233B91"/>
    <w:rsid w:val="002345F1"/>
    <w:rsid w:val="002352DA"/>
    <w:rsid w:val="00235705"/>
    <w:rsid w:val="00236FFC"/>
    <w:rsid w:val="002370B3"/>
    <w:rsid w:val="002375A5"/>
    <w:rsid w:val="00237EBD"/>
    <w:rsid w:val="00237F8B"/>
    <w:rsid w:val="002404BE"/>
    <w:rsid w:val="002408D7"/>
    <w:rsid w:val="00241348"/>
    <w:rsid w:val="0024154C"/>
    <w:rsid w:val="0024240B"/>
    <w:rsid w:val="0024264E"/>
    <w:rsid w:val="00242A21"/>
    <w:rsid w:val="00242C7C"/>
    <w:rsid w:val="002432CE"/>
    <w:rsid w:val="002467DA"/>
    <w:rsid w:val="00246EF5"/>
    <w:rsid w:val="00246F77"/>
    <w:rsid w:val="00247869"/>
    <w:rsid w:val="0025003E"/>
    <w:rsid w:val="00250930"/>
    <w:rsid w:val="002509E1"/>
    <w:rsid w:val="00250DDC"/>
    <w:rsid w:val="00251F37"/>
    <w:rsid w:val="00252665"/>
    <w:rsid w:val="002541ED"/>
    <w:rsid w:val="00254369"/>
    <w:rsid w:val="002552AF"/>
    <w:rsid w:val="00255BCE"/>
    <w:rsid w:val="002563DE"/>
    <w:rsid w:val="00256665"/>
    <w:rsid w:val="0025679C"/>
    <w:rsid w:val="00256812"/>
    <w:rsid w:val="00257C25"/>
    <w:rsid w:val="00257D1E"/>
    <w:rsid w:val="00260478"/>
    <w:rsid w:val="002604E6"/>
    <w:rsid w:val="00260704"/>
    <w:rsid w:val="00260CD8"/>
    <w:rsid w:val="00260D39"/>
    <w:rsid w:val="00262238"/>
    <w:rsid w:val="00262E46"/>
    <w:rsid w:val="00263883"/>
    <w:rsid w:val="00263AC3"/>
    <w:rsid w:val="00263E57"/>
    <w:rsid w:val="00264091"/>
    <w:rsid w:val="002643D4"/>
    <w:rsid w:val="00265ADB"/>
    <w:rsid w:val="00267F5A"/>
    <w:rsid w:val="00270497"/>
    <w:rsid w:val="00271384"/>
    <w:rsid w:val="002726BD"/>
    <w:rsid w:val="00273118"/>
    <w:rsid w:val="002731E8"/>
    <w:rsid w:val="00273458"/>
    <w:rsid w:val="002737DE"/>
    <w:rsid w:val="00273B6E"/>
    <w:rsid w:val="00274507"/>
    <w:rsid w:val="002749CA"/>
    <w:rsid w:val="00274DF4"/>
    <w:rsid w:val="002751EF"/>
    <w:rsid w:val="002764AA"/>
    <w:rsid w:val="00276634"/>
    <w:rsid w:val="00276C8F"/>
    <w:rsid w:val="00276F70"/>
    <w:rsid w:val="002778F5"/>
    <w:rsid w:val="00277D7D"/>
    <w:rsid w:val="00280986"/>
    <w:rsid w:val="002814AD"/>
    <w:rsid w:val="00281AAF"/>
    <w:rsid w:val="00282462"/>
    <w:rsid w:val="0028301F"/>
    <w:rsid w:val="0028325C"/>
    <w:rsid w:val="00283314"/>
    <w:rsid w:val="0028375C"/>
    <w:rsid w:val="00283B0D"/>
    <w:rsid w:val="00284A0A"/>
    <w:rsid w:val="002851EC"/>
    <w:rsid w:val="002866CB"/>
    <w:rsid w:val="00287395"/>
    <w:rsid w:val="00287582"/>
    <w:rsid w:val="00287BAC"/>
    <w:rsid w:val="002900BE"/>
    <w:rsid w:val="0029073D"/>
    <w:rsid w:val="00290A1D"/>
    <w:rsid w:val="002923FA"/>
    <w:rsid w:val="00293C26"/>
    <w:rsid w:val="00294551"/>
    <w:rsid w:val="00294A37"/>
    <w:rsid w:val="00294F10"/>
    <w:rsid w:val="00295100"/>
    <w:rsid w:val="00295634"/>
    <w:rsid w:val="00295B2C"/>
    <w:rsid w:val="00295D0C"/>
    <w:rsid w:val="0029667E"/>
    <w:rsid w:val="00297521"/>
    <w:rsid w:val="002978F2"/>
    <w:rsid w:val="002A12AC"/>
    <w:rsid w:val="002A1B4E"/>
    <w:rsid w:val="002A1D7A"/>
    <w:rsid w:val="002A262D"/>
    <w:rsid w:val="002A272D"/>
    <w:rsid w:val="002A29DD"/>
    <w:rsid w:val="002A3E6A"/>
    <w:rsid w:val="002A4268"/>
    <w:rsid w:val="002A4556"/>
    <w:rsid w:val="002A64B4"/>
    <w:rsid w:val="002A6AA2"/>
    <w:rsid w:val="002A6E1A"/>
    <w:rsid w:val="002A790D"/>
    <w:rsid w:val="002A7F6A"/>
    <w:rsid w:val="002B0EA4"/>
    <w:rsid w:val="002B0FFF"/>
    <w:rsid w:val="002B1805"/>
    <w:rsid w:val="002B205B"/>
    <w:rsid w:val="002B2344"/>
    <w:rsid w:val="002B2E63"/>
    <w:rsid w:val="002B3320"/>
    <w:rsid w:val="002B3E40"/>
    <w:rsid w:val="002B4399"/>
    <w:rsid w:val="002B44A1"/>
    <w:rsid w:val="002B7AC8"/>
    <w:rsid w:val="002C0142"/>
    <w:rsid w:val="002C0C0B"/>
    <w:rsid w:val="002C1433"/>
    <w:rsid w:val="002C22BB"/>
    <w:rsid w:val="002C22F5"/>
    <w:rsid w:val="002C24A3"/>
    <w:rsid w:val="002C33EF"/>
    <w:rsid w:val="002C41ED"/>
    <w:rsid w:val="002C465B"/>
    <w:rsid w:val="002C4AEF"/>
    <w:rsid w:val="002C4C0E"/>
    <w:rsid w:val="002C54E1"/>
    <w:rsid w:val="002C551E"/>
    <w:rsid w:val="002C617A"/>
    <w:rsid w:val="002C63E3"/>
    <w:rsid w:val="002C75B1"/>
    <w:rsid w:val="002C7D8C"/>
    <w:rsid w:val="002C7FA1"/>
    <w:rsid w:val="002D1718"/>
    <w:rsid w:val="002D1C06"/>
    <w:rsid w:val="002D23E1"/>
    <w:rsid w:val="002D24F5"/>
    <w:rsid w:val="002D278E"/>
    <w:rsid w:val="002D2AFC"/>
    <w:rsid w:val="002D2D5F"/>
    <w:rsid w:val="002D2F68"/>
    <w:rsid w:val="002D313A"/>
    <w:rsid w:val="002D33B2"/>
    <w:rsid w:val="002D3482"/>
    <w:rsid w:val="002D3724"/>
    <w:rsid w:val="002D3CEB"/>
    <w:rsid w:val="002D5E00"/>
    <w:rsid w:val="002D604D"/>
    <w:rsid w:val="002D61BA"/>
    <w:rsid w:val="002D6FB3"/>
    <w:rsid w:val="002D70EB"/>
    <w:rsid w:val="002D76BD"/>
    <w:rsid w:val="002E02E7"/>
    <w:rsid w:val="002E04A8"/>
    <w:rsid w:val="002E0DDC"/>
    <w:rsid w:val="002E0FC7"/>
    <w:rsid w:val="002E13ED"/>
    <w:rsid w:val="002E2055"/>
    <w:rsid w:val="002E3177"/>
    <w:rsid w:val="002E325E"/>
    <w:rsid w:val="002E3901"/>
    <w:rsid w:val="002E3994"/>
    <w:rsid w:val="002E3C4E"/>
    <w:rsid w:val="002E3EAF"/>
    <w:rsid w:val="002E4185"/>
    <w:rsid w:val="002E447F"/>
    <w:rsid w:val="002E494A"/>
    <w:rsid w:val="002E4CF1"/>
    <w:rsid w:val="002E5259"/>
    <w:rsid w:val="002E5DD3"/>
    <w:rsid w:val="002E67E8"/>
    <w:rsid w:val="002E6E0E"/>
    <w:rsid w:val="002E6ECC"/>
    <w:rsid w:val="002E743F"/>
    <w:rsid w:val="002F0D3E"/>
    <w:rsid w:val="002F0EBF"/>
    <w:rsid w:val="002F0F65"/>
    <w:rsid w:val="002F23B3"/>
    <w:rsid w:val="002F26BA"/>
    <w:rsid w:val="002F2847"/>
    <w:rsid w:val="002F2AB0"/>
    <w:rsid w:val="002F2C00"/>
    <w:rsid w:val="002F2C8B"/>
    <w:rsid w:val="002F412E"/>
    <w:rsid w:val="002F4DBB"/>
    <w:rsid w:val="002F5245"/>
    <w:rsid w:val="002F5F2A"/>
    <w:rsid w:val="002F7877"/>
    <w:rsid w:val="002F7F89"/>
    <w:rsid w:val="003009C7"/>
    <w:rsid w:val="00301B04"/>
    <w:rsid w:val="00301DFF"/>
    <w:rsid w:val="00301E48"/>
    <w:rsid w:val="00301EE1"/>
    <w:rsid w:val="00302627"/>
    <w:rsid w:val="00302ACB"/>
    <w:rsid w:val="0030333D"/>
    <w:rsid w:val="0030355C"/>
    <w:rsid w:val="00303BD6"/>
    <w:rsid w:val="00304D0B"/>
    <w:rsid w:val="00306221"/>
    <w:rsid w:val="00306B0F"/>
    <w:rsid w:val="00307F2F"/>
    <w:rsid w:val="0031055B"/>
    <w:rsid w:val="00310A90"/>
    <w:rsid w:val="003111B4"/>
    <w:rsid w:val="0031178E"/>
    <w:rsid w:val="00311A39"/>
    <w:rsid w:val="00311CFF"/>
    <w:rsid w:val="00312363"/>
    <w:rsid w:val="0031290C"/>
    <w:rsid w:val="00313AC7"/>
    <w:rsid w:val="00313F26"/>
    <w:rsid w:val="003141B6"/>
    <w:rsid w:val="00315187"/>
    <w:rsid w:val="00315229"/>
    <w:rsid w:val="00315C90"/>
    <w:rsid w:val="00315DE6"/>
    <w:rsid w:val="00316753"/>
    <w:rsid w:val="00316903"/>
    <w:rsid w:val="0031797D"/>
    <w:rsid w:val="00320333"/>
    <w:rsid w:val="00320584"/>
    <w:rsid w:val="003207DC"/>
    <w:rsid w:val="00320855"/>
    <w:rsid w:val="0032219D"/>
    <w:rsid w:val="00322B91"/>
    <w:rsid w:val="00323090"/>
    <w:rsid w:val="00323D20"/>
    <w:rsid w:val="0032539B"/>
    <w:rsid w:val="003258AB"/>
    <w:rsid w:val="00325B07"/>
    <w:rsid w:val="003263B1"/>
    <w:rsid w:val="00330036"/>
    <w:rsid w:val="003303FB"/>
    <w:rsid w:val="0033085C"/>
    <w:rsid w:val="0033120C"/>
    <w:rsid w:val="00331677"/>
    <w:rsid w:val="003329F4"/>
    <w:rsid w:val="0033444A"/>
    <w:rsid w:val="00334797"/>
    <w:rsid w:val="00334987"/>
    <w:rsid w:val="00336930"/>
    <w:rsid w:val="00337283"/>
    <w:rsid w:val="00337DF4"/>
    <w:rsid w:val="003406C8"/>
    <w:rsid w:val="00340858"/>
    <w:rsid w:val="00341633"/>
    <w:rsid w:val="00341677"/>
    <w:rsid w:val="003420EC"/>
    <w:rsid w:val="0034261A"/>
    <w:rsid w:val="00342646"/>
    <w:rsid w:val="00342FD8"/>
    <w:rsid w:val="00343A44"/>
    <w:rsid w:val="00343F4A"/>
    <w:rsid w:val="0034453D"/>
    <w:rsid w:val="003447AC"/>
    <w:rsid w:val="00344A13"/>
    <w:rsid w:val="00345B62"/>
    <w:rsid w:val="00345D5D"/>
    <w:rsid w:val="003462F1"/>
    <w:rsid w:val="003463AB"/>
    <w:rsid w:val="0034666E"/>
    <w:rsid w:val="003501D7"/>
    <w:rsid w:val="0035102C"/>
    <w:rsid w:val="00351F33"/>
    <w:rsid w:val="00352333"/>
    <w:rsid w:val="00352750"/>
    <w:rsid w:val="00352D77"/>
    <w:rsid w:val="00354BF1"/>
    <w:rsid w:val="00355AAA"/>
    <w:rsid w:val="00355C6F"/>
    <w:rsid w:val="00355C7E"/>
    <w:rsid w:val="00355DD0"/>
    <w:rsid w:val="0035664A"/>
    <w:rsid w:val="00356E71"/>
    <w:rsid w:val="003600C2"/>
    <w:rsid w:val="00360B1A"/>
    <w:rsid w:val="00360DFA"/>
    <w:rsid w:val="00361380"/>
    <w:rsid w:val="00361410"/>
    <w:rsid w:val="0036163D"/>
    <w:rsid w:val="00362999"/>
    <w:rsid w:val="00362B66"/>
    <w:rsid w:val="00362D75"/>
    <w:rsid w:val="00364B3E"/>
    <w:rsid w:val="00365797"/>
    <w:rsid w:val="00365908"/>
    <w:rsid w:val="003661DB"/>
    <w:rsid w:val="0036680F"/>
    <w:rsid w:val="00367122"/>
    <w:rsid w:val="0036798F"/>
    <w:rsid w:val="00367AB2"/>
    <w:rsid w:val="00370730"/>
    <w:rsid w:val="00370CF8"/>
    <w:rsid w:val="00371739"/>
    <w:rsid w:val="003717A4"/>
    <w:rsid w:val="00371C7D"/>
    <w:rsid w:val="00371E56"/>
    <w:rsid w:val="003728E5"/>
    <w:rsid w:val="00373DDE"/>
    <w:rsid w:val="00373E6F"/>
    <w:rsid w:val="003740A6"/>
    <w:rsid w:val="00374699"/>
    <w:rsid w:val="003757DD"/>
    <w:rsid w:val="00375BBB"/>
    <w:rsid w:val="00376EA2"/>
    <w:rsid w:val="0037752D"/>
    <w:rsid w:val="00380E9B"/>
    <w:rsid w:val="00381746"/>
    <w:rsid w:val="00381D64"/>
    <w:rsid w:val="00382154"/>
    <w:rsid w:val="00382A54"/>
    <w:rsid w:val="00382EA0"/>
    <w:rsid w:val="003837D2"/>
    <w:rsid w:val="00383BB1"/>
    <w:rsid w:val="00383D75"/>
    <w:rsid w:val="003848CE"/>
    <w:rsid w:val="00385232"/>
    <w:rsid w:val="003855D6"/>
    <w:rsid w:val="003861FC"/>
    <w:rsid w:val="003865E8"/>
    <w:rsid w:val="00386920"/>
    <w:rsid w:val="00386BC4"/>
    <w:rsid w:val="00387577"/>
    <w:rsid w:val="0038777A"/>
    <w:rsid w:val="00387C56"/>
    <w:rsid w:val="00391270"/>
    <w:rsid w:val="00391AB5"/>
    <w:rsid w:val="00391DFB"/>
    <w:rsid w:val="00392106"/>
    <w:rsid w:val="00392207"/>
    <w:rsid w:val="00392426"/>
    <w:rsid w:val="00392535"/>
    <w:rsid w:val="00392E33"/>
    <w:rsid w:val="00393762"/>
    <w:rsid w:val="00393F6B"/>
    <w:rsid w:val="00394B56"/>
    <w:rsid w:val="00394D23"/>
    <w:rsid w:val="003950DD"/>
    <w:rsid w:val="00395347"/>
    <w:rsid w:val="00395649"/>
    <w:rsid w:val="003957D0"/>
    <w:rsid w:val="00395C69"/>
    <w:rsid w:val="003960F0"/>
    <w:rsid w:val="00396E4D"/>
    <w:rsid w:val="003979FE"/>
    <w:rsid w:val="00397AB2"/>
    <w:rsid w:val="003A030F"/>
    <w:rsid w:val="003A034F"/>
    <w:rsid w:val="003A0391"/>
    <w:rsid w:val="003A0886"/>
    <w:rsid w:val="003A0C46"/>
    <w:rsid w:val="003A0FD6"/>
    <w:rsid w:val="003A1A61"/>
    <w:rsid w:val="003A36C8"/>
    <w:rsid w:val="003A4790"/>
    <w:rsid w:val="003A4A0C"/>
    <w:rsid w:val="003A5C42"/>
    <w:rsid w:val="003A60C8"/>
    <w:rsid w:val="003A7267"/>
    <w:rsid w:val="003B0B0B"/>
    <w:rsid w:val="003B0CDF"/>
    <w:rsid w:val="003B18AC"/>
    <w:rsid w:val="003B1F30"/>
    <w:rsid w:val="003B271F"/>
    <w:rsid w:val="003B2959"/>
    <w:rsid w:val="003B2F3F"/>
    <w:rsid w:val="003B30B0"/>
    <w:rsid w:val="003B3392"/>
    <w:rsid w:val="003B34FA"/>
    <w:rsid w:val="003B40AD"/>
    <w:rsid w:val="003B4323"/>
    <w:rsid w:val="003B43D6"/>
    <w:rsid w:val="003B61B4"/>
    <w:rsid w:val="003B6600"/>
    <w:rsid w:val="003B6A8B"/>
    <w:rsid w:val="003B6BB9"/>
    <w:rsid w:val="003B7053"/>
    <w:rsid w:val="003B70AE"/>
    <w:rsid w:val="003B71F5"/>
    <w:rsid w:val="003B769E"/>
    <w:rsid w:val="003C09A9"/>
    <w:rsid w:val="003C0B21"/>
    <w:rsid w:val="003C0F8C"/>
    <w:rsid w:val="003C1EBE"/>
    <w:rsid w:val="003C202F"/>
    <w:rsid w:val="003C265E"/>
    <w:rsid w:val="003C27D0"/>
    <w:rsid w:val="003C2815"/>
    <w:rsid w:val="003C2B2C"/>
    <w:rsid w:val="003C2BFB"/>
    <w:rsid w:val="003C32D3"/>
    <w:rsid w:val="003C3A59"/>
    <w:rsid w:val="003C5C91"/>
    <w:rsid w:val="003C6996"/>
    <w:rsid w:val="003C78ED"/>
    <w:rsid w:val="003C7FEB"/>
    <w:rsid w:val="003D0196"/>
    <w:rsid w:val="003D088D"/>
    <w:rsid w:val="003D0D29"/>
    <w:rsid w:val="003D0D44"/>
    <w:rsid w:val="003D1BC0"/>
    <w:rsid w:val="003D1BD7"/>
    <w:rsid w:val="003D2D0D"/>
    <w:rsid w:val="003D30A2"/>
    <w:rsid w:val="003D39CB"/>
    <w:rsid w:val="003D3FC6"/>
    <w:rsid w:val="003D4053"/>
    <w:rsid w:val="003D416D"/>
    <w:rsid w:val="003D47D4"/>
    <w:rsid w:val="003D4A7E"/>
    <w:rsid w:val="003D66AE"/>
    <w:rsid w:val="003D673B"/>
    <w:rsid w:val="003D7266"/>
    <w:rsid w:val="003D7333"/>
    <w:rsid w:val="003D7488"/>
    <w:rsid w:val="003D7CCD"/>
    <w:rsid w:val="003E10F0"/>
    <w:rsid w:val="003E16D6"/>
    <w:rsid w:val="003E29DA"/>
    <w:rsid w:val="003E2C76"/>
    <w:rsid w:val="003E33A4"/>
    <w:rsid w:val="003E33D1"/>
    <w:rsid w:val="003E39C0"/>
    <w:rsid w:val="003E39C9"/>
    <w:rsid w:val="003E42FF"/>
    <w:rsid w:val="003E4A40"/>
    <w:rsid w:val="003E4CEB"/>
    <w:rsid w:val="003E5132"/>
    <w:rsid w:val="003E5147"/>
    <w:rsid w:val="003E5153"/>
    <w:rsid w:val="003E63FD"/>
    <w:rsid w:val="003E67FE"/>
    <w:rsid w:val="003E7A5A"/>
    <w:rsid w:val="003E7EBC"/>
    <w:rsid w:val="003F0B04"/>
    <w:rsid w:val="003F0EC1"/>
    <w:rsid w:val="003F1360"/>
    <w:rsid w:val="003F1B7B"/>
    <w:rsid w:val="003F203F"/>
    <w:rsid w:val="003F23DC"/>
    <w:rsid w:val="003F2781"/>
    <w:rsid w:val="003F2D18"/>
    <w:rsid w:val="003F3520"/>
    <w:rsid w:val="003F372A"/>
    <w:rsid w:val="003F397E"/>
    <w:rsid w:val="003F438D"/>
    <w:rsid w:val="003F6A6B"/>
    <w:rsid w:val="00400D0B"/>
    <w:rsid w:val="0040162A"/>
    <w:rsid w:val="00402A45"/>
    <w:rsid w:val="00402AE1"/>
    <w:rsid w:val="0040336B"/>
    <w:rsid w:val="00403D43"/>
    <w:rsid w:val="00403DEF"/>
    <w:rsid w:val="004041E8"/>
    <w:rsid w:val="00404849"/>
    <w:rsid w:val="00405906"/>
    <w:rsid w:val="00405951"/>
    <w:rsid w:val="00405AF8"/>
    <w:rsid w:val="0040617F"/>
    <w:rsid w:val="00406A37"/>
    <w:rsid w:val="00407609"/>
    <w:rsid w:val="0040771F"/>
    <w:rsid w:val="00407C87"/>
    <w:rsid w:val="00407C8B"/>
    <w:rsid w:val="00410866"/>
    <w:rsid w:val="00410CED"/>
    <w:rsid w:val="00411DDF"/>
    <w:rsid w:val="00412F40"/>
    <w:rsid w:val="00414B6E"/>
    <w:rsid w:val="00414F8D"/>
    <w:rsid w:val="00415661"/>
    <w:rsid w:val="00415C14"/>
    <w:rsid w:val="00420502"/>
    <w:rsid w:val="00420573"/>
    <w:rsid w:val="0042095B"/>
    <w:rsid w:val="00420A8A"/>
    <w:rsid w:val="00421A39"/>
    <w:rsid w:val="00421AA6"/>
    <w:rsid w:val="00422024"/>
    <w:rsid w:val="0042209C"/>
    <w:rsid w:val="00423582"/>
    <w:rsid w:val="00423A44"/>
    <w:rsid w:val="004241BA"/>
    <w:rsid w:val="00424928"/>
    <w:rsid w:val="004250BA"/>
    <w:rsid w:val="004251DB"/>
    <w:rsid w:val="004254B0"/>
    <w:rsid w:val="00426BE3"/>
    <w:rsid w:val="00427AEF"/>
    <w:rsid w:val="004307E4"/>
    <w:rsid w:val="004330D5"/>
    <w:rsid w:val="004335E0"/>
    <w:rsid w:val="004347A3"/>
    <w:rsid w:val="0043549B"/>
    <w:rsid w:val="00435D0E"/>
    <w:rsid w:val="004363ED"/>
    <w:rsid w:val="00440029"/>
    <w:rsid w:val="0044031D"/>
    <w:rsid w:val="00441731"/>
    <w:rsid w:val="004419C6"/>
    <w:rsid w:val="00441B12"/>
    <w:rsid w:val="00442BF5"/>
    <w:rsid w:val="004438DE"/>
    <w:rsid w:val="00443BD8"/>
    <w:rsid w:val="00444019"/>
    <w:rsid w:val="004443A0"/>
    <w:rsid w:val="00445638"/>
    <w:rsid w:val="004456F0"/>
    <w:rsid w:val="004457CF"/>
    <w:rsid w:val="00445F59"/>
    <w:rsid w:val="00446107"/>
    <w:rsid w:val="00447389"/>
    <w:rsid w:val="00447479"/>
    <w:rsid w:val="004505D5"/>
    <w:rsid w:val="004512DF"/>
    <w:rsid w:val="00451D43"/>
    <w:rsid w:val="004525AC"/>
    <w:rsid w:val="004526BF"/>
    <w:rsid w:val="00452E69"/>
    <w:rsid w:val="00453C22"/>
    <w:rsid w:val="00454806"/>
    <w:rsid w:val="00455210"/>
    <w:rsid w:val="004558F1"/>
    <w:rsid w:val="0045612E"/>
    <w:rsid w:val="00456308"/>
    <w:rsid w:val="00456A1D"/>
    <w:rsid w:val="004572FB"/>
    <w:rsid w:val="004573C9"/>
    <w:rsid w:val="004575DD"/>
    <w:rsid w:val="00461AFC"/>
    <w:rsid w:val="004637C9"/>
    <w:rsid w:val="00463B48"/>
    <w:rsid w:val="0046402A"/>
    <w:rsid w:val="0046405B"/>
    <w:rsid w:val="004645D4"/>
    <w:rsid w:val="00464F17"/>
    <w:rsid w:val="00465443"/>
    <w:rsid w:val="004656A3"/>
    <w:rsid w:val="00465B8D"/>
    <w:rsid w:val="00466520"/>
    <w:rsid w:val="0046658D"/>
    <w:rsid w:val="004674BA"/>
    <w:rsid w:val="00467A63"/>
    <w:rsid w:val="00467E2F"/>
    <w:rsid w:val="004700DF"/>
    <w:rsid w:val="0047028C"/>
    <w:rsid w:val="004703D6"/>
    <w:rsid w:val="00470F67"/>
    <w:rsid w:val="00471EEF"/>
    <w:rsid w:val="0047295D"/>
    <w:rsid w:val="00473B09"/>
    <w:rsid w:val="00473B36"/>
    <w:rsid w:val="00473FFC"/>
    <w:rsid w:val="00474CD8"/>
    <w:rsid w:val="00474ED6"/>
    <w:rsid w:val="00474F4E"/>
    <w:rsid w:val="004762B7"/>
    <w:rsid w:val="00476790"/>
    <w:rsid w:val="00477B7D"/>
    <w:rsid w:val="00480181"/>
    <w:rsid w:val="004808B1"/>
    <w:rsid w:val="00480920"/>
    <w:rsid w:val="004811DB"/>
    <w:rsid w:val="00481EEB"/>
    <w:rsid w:val="004822E8"/>
    <w:rsid w:val="00482B8D"/>
    <w:rsid w:val="00482BD7"/>
    <w:rsid w:val="00483170"/>
    <w:rsid w:val="00483403"/>
    <w:rsid w:val="004837CE"/>
    <w:rsid w:val="0048396B"/>
    <w:rsid w:val="00483CF5"/>
    <w:rsid w:val="004840E2"/>
    <w:rsid w:val="0048511E"/>
    <w:rsid w:val="004853FB"/>
    <w:rsid w:val="00485BF5"/>
    <w:rsid w:val="004864F1"/>
    <w:rsid w:val="00487818"/>
    <w:rsid w:val="00487E81"/>
    <w:rsid w:val="00491135"/>
    <w:rsid w:val="00491544"/>
    <w:rsid w:val="004918D8"/>
    <w:rsid w:val="00492035"/>
    <w:rsid w:val="00492166"/>
    <w:rsid w:val="0049227E"/>
    <w:rsid w:val="00492626"/>
    <w:rsid w:val="004926CD"/>
    <w:rsid w:val="004928F4"/>
    <w:rsid w:val="00492B04"/>
    <w:rsid w:val="00492C12"/>
    <w:rsid w:val="00492DBA"/>
    <w:rsid w:val="00493859"/>
    <w:rsid w:val="004938EA"/>
    <w:rsid w:val="00494036"/>
    <w:rsid w:val="0049437A"/>
    <w:rsid w:val="00494466"/>
    <w:rsid w:val="00495257"/>
    <w:rsid w:val="00495AE8"/>
    <w:rsid w:val="00495CE9"/>
    <w:rsid w:val="0049614D"/>
    <w:rsid w:val="00496A85"/>
    <w:rsid w:val="00496E27"/>
    <w:rsid w:val="004976F3"/>
    <w:rsid w:val="00497949"/>
    <w:rsid w:val="004A04AB"/>
    <w:rsid w:val="004A0C6C"/>
    <w:rsid w:val="004A145F"/>
    <w:rsid w:val="004A1A82"/>
    <w:rsid w:val="004A2C1A"/>
    <w:rsid w:val="004A3076"/>
    <w:rsid w:val="004A33A4"/>
    <w:rsid w:val="004A38C1"/>
    <w:rsid w:val="004A43F2"/>
    <w:rsid w:val="004A50DE"/>
    <w:rsid w:val="004A66D2"/>
    <w:rsid w:val="004A78B8"/>
    <w:rsid w:val="004B05E7"/>
    <w:rsid w:val="004B0726"/>
    <w:rsid w:val="004B102E"/>
    <w:rsid w:val="004B110E"/>
    <w:rsid w:val="004B11A0"/>
    <w:rsid w:val="004B1201"/>
    <w:rsid w:val="004B2054"/>
    <w:rsid w:val="004B2A2A"/>
    <w:rsid w:val="004B2CFA"/>
    <w:rsid w:val="004B34DD"/>
    <w:rsid w:val="004B3C0A"/>
    <w:rsid w:val="004B47AE"/>
    <w:rsid w:val="004B4D5B"/>
    <w:rsid w:val="004B4F1A"/>
    <w:rsid w:val="004B54F7"/>
    <w:rsid w:val="004B5DB7"/>
    <w:rsid w:val="004B62B2"/>
    <w:rsid w:val="004B66B6"/>
    <w:rsid w:val="004B6DD0"/>
    <w:rsid w:val="004B71A2"/>
    <w:rsid w:val="004B7BF1"/>
    <w:rsid w:val="004C0116"/>
    <w:rsid w:val="004C1797"/>
    <w:rsid w:val="004C301A"/>
    <w:rsid w:val="004C3249"/>
    <w:rsid w:val="004C3A1C"/>
    <w:rsid w:val="004C3EA4"/>
    <w:rsid w:val="004C4031"/>
    <w:rsid w:val="004C6A89"/>
    <w:rsid w:val="004C6AFD"/>
    <w:rsid w:val="004C6CA2"/>
    <w:rsid w:val="004C70B6"/>
    <w:rsid w:val="004D02F1"/>
    <w:rsid w:val="004D066E"/>
    <w:rsid w:val="004D0A60"/>
    <w:rsid w:val="004D0AF0"/>
    <w:rsid w:val="004D1239"/>
    <w:rsid w:val="004D1440"/>
    <w:rsid w:val="004D273E"/>
    <w:rsid w:val="004D2B8A"/>
    <w:rsid w:val="004D2D6A"/>
    <w:rsid w:val="004D31BA"/>
    <w:rsid w:val="004D36F6"/>
    <w:rsid w:val="004D3851"/>
    <w:rsid w:val="004D3D2E"/>
    <w:rsid w:val="004D4E84"/>
    <w:rsid w:val="004D5A30"/>
    <w:rsid w:val="004D5F89"/>
    <w:rsid w:val="004D7171"/>
    <w:rsid w:val="004D7D61"/>
    <w:rsid w:val="004D7F20"/>
    <w:rsid w:val="004E024F"/>
    <w:rsid w:val="004E1438"/>
    <w:rsid w:val="004E28DC"/>
    <w:rsid w:val="004E2B45"/>
    <w:rsid w:val="004E2B92"/>
    <w:rsid w:val="004E3141"/>
    <w:rsid w:val="004E422E"/>
    <w:rsid w:val="004E46B4"/>
    <w:rsid w:val="004E46C3"/>
    <w:rsid w:val="004E625D"/>
    <w:rsid w:val="004E7FF4"/>
    <w:rsid w:val="004F05FC"/>
    <w:rsid w:val="004F09EB"/>
    <w:rsid w:val="004F0D93"/>
    <w:rsid w:val="004F113D"/>
    <w:rsid w:val="004F2210"/>
    <w:rsid w:val="004F2FBD"/>
    <w:rsid w:val="004F4EFF"/>
    <w:rsid w:val="004F55AB"/>
    <w:rsid w:val="004F6501"/>
    <w:rsid w:val="004F65D4"/>
    <w:rsid w:val="004F763E"/>
    <w:rsid w:val="004F7F21"/>
    <w:rsid w:val="005001C6"/>
    <w:rsid w:val="005012B9"/>
    <w:rsid w:val="0050155F"/>
    <w:rsid w:val="00501A7D"/>
    <w:rsid w:val="005023BB"/>
    <w:rsid w:val="00502790"/>
    <w:rsid w:val="005028D5"/>
    <w:rsid w:val="00503CAE"/>
    <w:rsid w:val="00504191"/>
    <w:rsid w:val="00504A24"/>
    <w:rsid w:val="00505123"/>
    <w:rsid w:val="005054F7"/>
    <w:rsid w:val="005059AB"/>
    <w:rsid w:val="00505C03"/>
    <w:rsid w:val="00505D99"/>
    <w:rsid w:val="00505F50"/>
    <w:rsid w:val="00506945"/>
    <w:rsid w:val="00507BD9"/>
    <w:rsid w:val="00510772"/>
    <w:rsid w:val="0051159F"/>
    <w:rsid w:val="00511C55"/>
    <w:rsid w:val="00512348"/>
    <w:rsid w:val="0051279F"/>
    <w:rsid w:val="00512D9C"/>
    <w:rsid w:val="00513157"/>
    <w:rsid w:val="00513717"/>
    <w:rsid w:val="005141CF"/>
    <w:rsid w:val="00514B8E"/>
    <w:rsid w:val="00515058"/>
    <w:rsid w:val="005171B2"/>
    <w:rsid w:val="005172BC"/>
    <w:rsid w:val="0052140C"/>
    <w:rsid w:val="005218DD"/>
    <w:rsid w:val="00521997"/>
    <w:rsid w:val="00521C9A"/>
    <w:rsid w:val="0052216C"/>
    <w:rsid w:val="00522558"/>
    <w:rsid w:val="0052282F"/>
    <w:rsid w:val="00522FC8"/>
    <w:rsid w:val="005233DF"/>
    <w:rsid w:val="005237C0"/>
    <w:rsid w:val="00523C1F"/>
    <w:rsid w:val="00523F92"/>
    <w:rsid w:val="005244F9"/>
    <w:rsid w:val="00524D1D"/>
    <w:rsid w:val="00524DA0"/>
    <w:rsid w:val="005250BB"/>
    <w:rsid w:val="005250E5"/>
    <w:rsid w:val="00525841"/>
    <w:rsid w:val="00526189"/>
    <w:rsid w:val="00526237"/>
    <w:rsid w:val="00526780"/>
    <w:rsid w:val="00526BD7"/>
    <w:rsid w:val="0052780F"/>
    <w:rsid w:val="00527AF1"/>
    <w:rsid w:val="00530325"/>
    <w:rsid w:val="00530A08"/>
    <w:rsid w:val="00530D18"/>
    <w:rsid w:val="005313D7"/>
    <w:rsid w:val="00531408"/>
    <w:rsid w:val="00531981"/>
    <w:rsid w:val="005319E4"/>
    <w:rsid w:val="00531B01"/>
    <w:rsid w:val="005326AD"/>
    <w:rsid w:val="00532F12"/>
    <w:rsid w:val="00533F4B"/>
    <w:rsid w:val="00534612"/>
    <w:rsid w:val="00534D4F"/>
    <w:rsid w:val="005353B4"/>
    <w:rsid w:val="00536C34"/>
    <w:rsid w:val="00536D6F"/>
    <w:rsid w:val="0053741D"/>
    <w:rsid w:val="00537EED"/>
    <w:rsid w:val="005400A0"/>
    <w:rsid w:val="005404AA"/>
    <w:rsid w:val="00540C98"/>
    <w:rsid w:val="00541110"/>
    <w:rsid w:val="0054126A"/>
    <w:rsid w:val="00541FDE"/>
    <w:rsid w:val="00542C57"/>
    <w:rsid w:val="00542E45"/>
    <w:rsid w:val="00543373"/>
    <w:rsid w:val="00543644"/>
    <w:rsid w:val="00544095"/>
    <w:rsid w:val="00544693"/>
    <w:rsid w:val="00544979"/>
    <w:rsid w:val="00545F4F"/>
    <w:rsid w:val="0054632E"/>
    <w:rsid w:val="0054699F"/>
    <w:rsid w:val="005501EE"/>
    <w:rsid w:val="0055028A"/>
    <w:rsid w:val="00550363"/>
    <w:rsid w:val="005508AF"/>
    <w:rsid w:val="00552127"/>
    <w:rsid w:val="0055256E"/>
    <w:rsid w:val="00552E31"/>
    <w:rsid w:val="00552E56"/>
    <w:rsid w:val="00553D16"/>
    <w:rsid w:val="00553E19"/>
    <w:rsid w:val="005547B1"/>
    <w:rsid w:val="0055552B"/>
    <w:rsid w:val="00555E9D"/>
    <w:rsid w:val="0056028B"/>
    <w:rsid w:val="0056105B"/>
    <w:rsid w:val="00561BF2"/>
    <w:rsid w:val="00561C21"/>
    <w:rsid w:val="00561ED8"/>
    <w:rsid w:val="00562493"/>
    <w:rsid w:val="00562CFB"/>
    <w:rsid w:val="00562E80"/>
    <w:rsid w:val="005632DD"/>
    <w:rsid w:val="00563E55"/>
    <w:rsid w:val="00564B89"/>
    <w:rsid w:val="00564DA2"/>
    <w:rsid w:val="0056551A"/>
    <w:rsid w:val="00567AA3"/>
    <w:rsid w:val="00567C5F"/>
    <w:rsid w:val="00567C9B"/>
    <w:rsid w:val="0057024A"/>
    <w:rsid w:val="00571398"/>
    <w:rsid w:val="00571C4F"/>
    <w:rsid w:val="00572E59"/>
    <w:rsid w:val="00572E6C"/>
    <w:rsid w:val="00572EF1"/>
    <w:rsid w:val="0057313B"/>
    <w:rsid w:val="00573348"/>
    <w:rsid w:val="00573736"/>
    <w:rsid w:val="00573E70"/>
    <w:rsid w:val="005742C6"/>
    <w:rsid w:val="00574785"/>
    <w:rsid w:val="00575561"/>
    <w:rsid w:val="0057584C"/>
    <w:rsid w:val="00575E0A"/>
    <w:rsid w:val="005776B1"/>
    <w:rsid w:val="005802E3"/>
    <w:rsid w:val="005805D4"/>
    <w:rsid w:val="00580BCE"/>
    <w:rsid w:val="00580DA6"/>
    <w:rsid w:val="00582B46"/>
    <w:rsid w:val="00582B5C"/>
    <w:rsid w:val="005840A8"/>
    <w:rsid w:val="005844CB"/>
    <w:rsid w:val="00584624"/>
    <w:rsid w:val="0058472A"/>
    <w:rsid w:val="00587219"/>
    <w:rsid w:val="005875F2"/>
    <w:rsid w:val="00587797"/>
    <w:rsid w:val="0058789A"/>
    <w:rsid w:val="005878CA"/>
    <w:rsid w:val="00587E58"/>
    <w:rsid w:val="005902A5"/>
    <w:rsid w:val="005905A7"/>
    <w:rsid w:val="00590C00"/>
    <w:rsid w:val="005910B8"/>
    <w:rsid w:val="0059165C"/>
    <w:rsid w:val="00591819"/>
    <w:rsid w:val="00591CB3"/>
    <w:rsid w:val="005926B2"/>
    <w:rsid w:val="00592879"/>
    <w:rsid w:val="00592F9E"/>
    <w:rsid w:val="0059339C"/>
    <w:rsid w:val="005933F8"/>
    <w:rsid w:val="00593CC7"/>
    <w:rsid w:val="00593D5A"/>
    <w:rsid w:val="00593E36"/>
    <w:rsid w:val="005940DF"/>
    <w:rsid w:val="00595027"/>
    <w:rsid w:val="00595E76"/>
    <w:rsid w:val="0059613D"/>
    <w:rsid w:val="0059617B"/>
    <w:rsid w:val="005976CB"/>
    <w:rsid w:val="005979E7"/>
    <w:rsid w:val="00597B13"/>
    <w:rsid w:val="005A0348"/>
    <w:rsid w:val="005A0393"/>
    <w:rsid w:val="005A05BF"/>
    <w:rsid w:val="005A0831"/>
    <w:rsid w:val="005A0DAF"/>
    <w:rsid w:val="005A158D"/>
    <w:rsid w:val="005A1AD4"/>
    <w:rsid w:val="005A1EF2"/>
    <w:rsid w:val="005A2464"/>
    <w:rsid w:val="005A42C0"/>
    <w:rsid w:val="005A42F5"/>
    <w:rsid w:val="005A4328"/>
    <w:rsid w:val="005A4559"/>
    <w:rsid w:val="005A4BAC"/>
    <w:rsid w:val="005A4F91"/>
    <w:rsid w:val="005A5380"/>
    <w:rsid w:val="005A557E"/>
    <w:rsid w:val="005A62A4"/>
    <w:rsid w:val="005A65EF"/>
    <w:rsid w:val="005A6DEC"/>
    <w:rsid w:val="005A6EBF"/>
    <w:rsid w:val="005A7B12"/>
    <w:rsid w:val="005A7F11"/>
    <w:rsid w:val="005A7FFD"/>
    <w:rsid w:val="005B028B"/>
    <w:rsid w:val="005B06E0"/>
    <w:rsid w:val="005B07FB"/>
    <w:rsid w:val="005B16BD"/>
    <w:rsid w:val="005B22C3"/>
    <w:rsid w:val="005B2A37"/>
    <w:rsid w:val="005B338C"/>
    <w:rsid w:val="005B37A3"/>
    <w:rsid w:val="005B3883"/>
    <w:rsid w:val="005B3F41"/>
    <w:rsid w:val="005B3F52"/>
    <w:rsid w:val="005B485D"/>
    <w:rsid w:val="005B4E1A"/>
    <w:rsid w:val="005B51B2"/>
    <w:rsid w:val="005B5B54"/>
    <w:rsid w:val="005B5E92"/>
    <w:rsid w:val="005B602B"/>
    <w:rsid w:val="005B718B"/>
    <w:rsid w:val="005B7690"/>
    <w:rsid w:val="005B7D1B"/>
    <w:rsid w:val="005B7E76"/>
    <w:rsid w:val="005C0EB4"/>
    <w:rsid w:val="005C1705"/>
    <w:rsid w:val="005C1E49"/>
    <w:rsid w:val="005C1FD0"/>
    <w:rsid w:val="005C2DF4"/>
    <w:rsid w:val="005C3866"/>
    <w:rsid w:val="005C3BC4"/>
    <w:rsid w:val="005C4617"/>
    <w:rsid w:val="005C481A"/>
    <w:rsid w:val="005C4886"/>
    <w:rsid w:val="005C4B96"/>
    <w:rsid w:val="005C521C"/>
    <w:rsid w:val="005C73EB"/>
    <w:rsid w:val="005D029A"/>
    <w:rsid w:val="005D0C40"/>
    <w:rsid w:val="005D12E8"/>
    <w:rsid w:val="005D15AD"/>
    <w:rsid w:val="005D2308"/>
    <w:rsid w:val="005D2496"/>
    <w:rsid w:val="005D4319"/>
    <w:rsid w:val="005D49D4"/>
    <w:rsid w:val="005D4FF9"/>
    <w:rsid w:val="005D54BF"/>
    <w:rsid w:val="005D54EB"/>
    <w:rsid w:val="005D577F"/>
    <w:rsid w:val="005D6798"/>
    <w:rsid w:val="005D6D2E"/>
    <w:rsid w:val="005D732E"/>
    <w:rsid w:val="005D7620"/>
    <w:rsid w:val="005D783E"/>
    <w:rsid w:val="005E016A"/>
    <w:rsid w:val="005E0CAD"/>
    <w:rsid w:val="005E12E5"/>
    <w:rsid w:val="005E177A"/>
    <w:rsid w:val="005E1D90"/>
    <w:rsid w:val="005E2C7E"/>
    <w:rsid w:val="005E39CB"/>
    <w:rsid w:val="005E4558"/>
    <w:rsid w:val="005E525A"/>
    <w:rsid w:val="005E5517"/>
    <w:rsid w:val="005E5E00"/>
    <w:rsid w:val="005E5F0A"/>
    <w:rsid w:val="005E6933"/>
    <w:rsid w:val="005E7109"/>
    <w:rsid w:val="005F0CBF"/>
    <w:rsid w:val="005F1CCB"/>
    <w:rsid w:val="005F1F7C"/>
    <w:rsid w:val="005F2E23"/>
    <w:rsid w:val="005F38D8"/>
    <w:rsid w:val="005F3D3A"/>
    <w:rsid w:val="005F44C3"/>
    <w:rsid w:val="005F4E26"/>
    <w:rsid w:val="005F50AD"/>
    <w:rsid w:val="005F6611"/>
    <w:rsid w:val="005F6D9F"/>
    <w:rsid w:val="005F739C"/>
    <w:rsid w:val="005F7E40"/>
    <w:rsid w:val="00600FE6"/>
    <w:rsid w:val="0060197B"/>
    <w:rsid w:val="00602F7E"/>
    <w:rsid w:val="00603FA2"/>
    <w:rsid w:val="0060481B"/>
    <w:rsid w:val="00605204"/>
    <w:rsid w:val="00606677"/>
    <w:rsid w:val="00607D2B"/>
    <w:rsid w:val="00607FD0"/>
    <w:rsid w:val="006106B3"/>
    <w:rsid w:val="00610893"/>
    <w:rsid w:val="00611021"/>
    <w:rsid w:val="00611C7A"/>
    <w:rsid w:val="00611EFB"/>
    <w:rsid w:val="0061205C"/>
    <w:rsid w:val="0061213B"/>
    <w:rsid w:val="00612C9A"/>
    <w:rsid w:val="00612F9A"/>
    <w:rsid w:val="00613100"/>
    <w:rsid w:val="00613C09"/>
    <w:rsid w:val="006146F3"/>
    <w:rsid w:val="00614C28"/>
    <w:rsid w:val="00614FFD"/>
    <w:rsid w:val="0061502E"/>
    <w:rsid w:val="006153EF"/>
    <w:rsid w:val="006162F0"/>
    <w:rsid w:val="006174E5"/>
    <w:rsid w:val="0061784E"/>
    <w:rsid w:val="00617943"/>
    <w:rsid w:val="00621E09"/>
    <w:rsid w:val="00621F9C"/>
    <w:rsid w:val="0062221A"/>
    <w:rsid w:val="00622904"/>
    <w:rsid w:val="0062357A"/>
    <w:rsid w:val="00623F0C"/>
    <w:rsid w:val="00623FEE"/>
    <w:rsid w:val="0062483D"/>
    <w:rsid w:val="00624919"/>
    <w:rsid w:val="00624DB2"/>
    <w:rsid w:val="00625BC7"/>
    <w:rsid w:val="00625E5E"/>
    <w:rsid w:val="006300EE"/>
    <w:rsid w:val="00630A78"/>
    <w:rsid w:val="00630C90"/>
    <w:rsid w:val="00631747"/>
    <w:rsid w:val="00631821"/>
    <w:rsid w:val="00632075"/>
    <w:rsid w:val="00633451"/>
    <w:rsid w:val="00633663"/>
    <w:rsid w:val="00633D05"/>
    <w:rsid w:val="006341C7"/>
    <w:rsid w:val="00635858"/>
    <w:rsid w:val="00635877"/>
    <w:rsid w:val="00635A2A"/>
    <w:rsid w:val="00636083"/>
    <w:rsid w:val="0063623D"/>
    <w:rsid w:val="0063634E"/>
    <w:rsid w:val="00636AE3"/>
    <w:rsid w:val="00636CC9"/>
    <w:rsid w:val="00636D22"/>
    <w:rsid w:val="00640034"/>
    <w:rsid w:val="00640319"/>
    <w:rsid w:val="006417FF"/>
    <w:rsid w:val="00641C4E"/>
    <w:rsid w:val="00641EA6"/>
    <w:rsid w:val="006421CF"/>
    <w:rsid w:val="006429F0"/>
    <w:rsid w:val="00643CDA"/>
    <w:rsid w:val="0064464F"/>
    <w:rsid w:val="00644668"/>
    <w:rsid w:val="006450B7"/>
    <w:rsid w:val="00645413"/>
    <w:rsid w:val="006467DA"/>
    <w:rsid w:val="00646C09"/>
    <w:rsid w:val="006471FC"/>
    <w:rsid w:val="0064755A"/>
    <w:rsid w:val="0064762E"/>
    <w:rsid w:val="00650A6A"/>
    <w:rsid w:val="00651479"/>
    <w:rsid w:val="0065211F"/>
    <w:rsid w:val="006524B5"/>
    <w:rsid w:val="00652C42"/>
    <w:rsid w:val="00652E7E"/>
    <w:rsid w:val="00653489"/>
    <w:rsid w:val="0065355E"/>
    <w:rsid w:val="00653AB0"/>
    <w:rsid w:val="00654484"/>
    <w:rsid w:val="00654CE7"/>
    <w:rsid w:val="00655506"/>
    <w:rsid w:val="0065598D"/>
    <w:rsid w:val="00655A0D"/>
    <w:rsid w:val="006568D8"/>
    <w:rsid w:val="006568EA"/>
    <w:rsid w:val="00657A32"/>
    <w:rsid w:val="00660147"/>
    <w:rsid w:val="00660495"/>
    <w:rsid w:val="00660F55"/>
    <w:rsid w:val="006610A9"/>
    <w:rsid w:val="00661BEF"/>
    <w:rsid w:val="00661DEC"/>
    <w:rsid w:val="00662055"/>
    <w:rsid w:val="00662A28"/>
    <w:rsid w:val="00662D8C"/>
    <w:rsid w:val="00662E39"/>
    <w:rsid w:val="00662F61"/>
    <w:rsid w:val="00663CFB"/>
    <w:rsid w:val="00663FB3"/>
    <w:rsid w:val="006648A2"/>
    <w:rsid w:val="006661EF"/>
    <w:rsid w:val="00666513"/>
    <w:rsid w:val="00666994"/>
    <w:rsid w:val="00667270"/>
    <w:rsid w:val="00667581"/>
    <w:rsid w:val="00667D31"/>
    <w:rsid w:val="006702BF"/>
    <w:rsid w:val="00670F0A"/>
    <w:rsid w:val="00671114"/>
    <w:rsid w:val="00671F98"/>
    <w:rsid w:val="00671F9D"/>
    <w:rsid w:val="0067275A"/>
    <w:rsid w:val="00673AD2"/>
    <w:rsid w:val="00674102"/>
    <w:rsid w:val="00674DB6"/>
    <w:rsid w:val="00676943"/>
    <w:rsid w:val="00677459"/>
    <w:rsid w:val="00677726"/>
    <w:rsid w:val="00680CE6"/>
    <w:rsid w:val="00680FCB"/>
    <w:rsid w:val="006814F8"/>
    <w:rsid w:val="00681D94"/>
    <w:rsid w:val="00682112"/>
    <w:rsid w:val="00683A1F"/>
    <w:rsid w:val="00683DB8"/>
    <w:rsid w:val="00683DC7"/>
    <w:rsid w:val="0068556B"/>
    <w:rsid w:val="00686C27"/>
    <w:rsid w:val="00690BC8"/>
    <w:rsid w:val="0069135E"/>
    <w:rsid w:val="00691F7F"/>
    <w:rsid w:val="00691FB3"/>
    <w:rsid w:val="006928E5"/>
    <w:rsid w:val="00692BD4"/>
    <w:rsid w:val="00692BF2"/>
    <w:rsid w:val="006935AA"/>
    <w:rsid w:val="006935CB"/>
    <w:rsid w:val="0069401D"/>
    <w:rsid w:val="0069455D"/>
    <w:rsid w:val="00694E19"/>
    <w:rsid w:val="00695221"/>
    <w:rsid w:val="00695373"/>
    <w:rsid w:val="00695379"/>
    <w:rsid w:val="00695542"/>
    <w:rsid w:val="00695562"/>
    <w:rsid w:val="00695AA5"/>
    <w:rsid w:val="00695CB3"/>
    <w:rsid w:val="00696349"/>
    <w:rsid w:val="00696575"/>
    <w:rsid w:val="00696FCD"/>
    <w:rsid w:val="0069710C"/>
    <w:rsid w:val="00697714"/>
    <w:rsid w:val="00697E1A"/>
    <w:rsid w:val="006A04DA"/>
    <w:rsid w:val="006A0C7D"/>
    <w:rsid w:val="006A0E9D"/>
    <w:rsid w:val="006A1654"/>
    <w:rsid w:val="006A2373"/>
    <w:rsid w:val="006A3142"/>
    <w:rsid w:val="006A3642"/>
    <w:rsid w:val="006A44A6"/>
    <w:rsid w:val="006A5D6C"/>
    <w:rsid w:val="006A6CD5"/>
    <w:rsid w:val="006A706C"/>
    <w:rsid w:val="006A7342"/>
    <w:rsid w:val="006A7378"/>
    <w:rsid w:val="006A73E8"/>
    <w:rsid w:val="006A7F3E"/>
    <w:rsid w:val="006B04A0"/>
    <w:rsid w:val="006B057B"/>
    <w:rsid w:val="006B05C6"/>
    <w:rsid w:val="006B1563"/>
    <w:rsid w:val="006B23B9"/>
    <w:rsid w:val="006B27C3"/>
    <w:rsid w:val="006B3A6E"/>
    <w:rsid w:val="006B69CF"/>
    <w:rsid w:val="006B6AE1"/>
    <w:rsid w:val="006B734F"/>
    <w:rsid w:val="006B76C2"/>
    <w:rsid w:val="006B7BC5"/>
    <w:rsid w:val="006C069E"/>
    <w:rsid w:val="006C1109"/>
    <w:rsid w:val="006C1944"/>
    <w:rsid w:val="006C2508"/>
    <w:rsid w:val="006C2E01"/>
    <w:rsid w:val="006C33F2"/>
    <w:rsid w:val="006C3B0C"/>
    <w:rsid w:val="006C3D76"/>
    <w:rsid w:val="006C4ED5"/>
    <w:rsid w:val="006C5A03"/>
    <w:rsid w:val="006C72CC"/>
    <w:rsid w:val="006C7C66"/>
    <w:rsid w:val="006D0047"/>
    <w:rsid w:val="006D03DD"/>
    <w:rsid w:val="006D08B4"/>
    <w:rsid w:val="006D0930"/>
    <w:rsid w:val="006D0F83"/>
    <w:rsid w:val="006D197F"/>
    <w:rsid w:val="006D1AB3"/>
    <w:rsid w:val="006D1D1D"/>
    <w:rsid w:val="006D226D"/>
    <w:rsid w:val="006D22A8"/>
    <w:rsid w:val="006D2698"/>
    <w:rsid w:val="006D33B1"/>
    <w:rsid w:val="006D379B"/>
    <w:rsid w:val="006D385C"/>
    <w:rsid w:val="006D3AEA"/>
    <w:rsid w:val="006D3C0C"/>
    <w:rsid w:val="006D3D6D"/>
    <w:rsid w:val="006D3F7B"/>
    <w:rsid w:val="006D5179"/>
    <w:rsid w:val="006D5359"/>
    <w:rsid w:val="006D56FD"/>
    <w:rsid w:val="006D6A63"/>
    <w:rsid w:val="006D6BE2"/>
    <w:rsid w:val="006D6BF3"/>
    <w:rsid w:val="006D7AEA"/>
    <w:rsid w:val="006D7BDE"/>
    <w:rsid w:val="006E0026"/>
    <w:rsid w:val="006E006F"/>
    <w:rsid w:val="006E0ACD"/>
    <w:rsid w:val="006E0FED"/>
    <w:rsid w:val="006E126D"/>
    <w:rsid w:val="006E2AD5"/>
    <w:rsid w:val="006E2E77"/>
    <w:rsid w:val="006E3331"/>
    <w:rsid w:val="006E3BD1"/>
    <w:rsid w:val="006E5810"/>
    <w:rsid w:val="006E5C7B"/>
    <w:rsid w:val="006E5F28"/>
    <w:rsid w:val="006E60D4"/>
    <w:rsid w:val="006E6890"/>
    <w:rsid w:val="006F00CB"/>
    <w:rsid w:val="006F10CD"/>
    <w:rsid w:val="006F1FED"/>
    <w:rsid w:val="006F2F2A"/>
    <w:rsid w:val="006F376C"/>
    <w:rsid w:val="006F3A3B"/>
    <w:rsid w:val="006F3B0A"/>
    <w:rsid w:val="006F3CB5"/>
    <w:rsid w:val="006F3FB5"/>
    <w:rsid w:val="006F4490"/>
    <w:rsid w:val="006F4CBC"/>
    <w:rsid w:val="006F5056"/>
    <w:rsid w:val="006F58D0"/>
    <w:rsid w:val="006F5D9C"/>
    <w:rsid w:val="006F6AA5"/>
    <w:rsid w:val="006F7A8D"/>
    <w:rsid w:val="007002A7"/>
    <w:rsid w:val="007003B2"/>
    <w:rsid w:val="0070053B"/>
    <w:rsid w:val="00700CDA"/>
    <w:rsid w:val="00702171"/>
    <w:rsid w:val="00702865"/>
    <w:rsid w:val="0070362A"/>
    <w:rsid w:val="007038BA"/>
    <w:rsid w:val="007038F5"/>
    <w:rsid w:val="00704565"/>
    <w:rsid w:val="00704F1D"/>
    <w:rsid w:val="00705280"/>
    <w:rsid w:val="00705AB6"/>
    <w:rsid w:val="00705C52"/>
    <w:rsid w:val="0070664A"/>
    <w:rsid w:val="007066BF"/>
    <w:rsid w:val="007066DF"/>
    <w:rsid w:val="00706812"/>
    <w:rsid w:val="00707098"/>
    <w:rsid w:val="00707552"/>
    <w:rsid w:val="00707A51"/>
    <w:rsid w:val="007100F7"/>
    <w:rsid w:val="0071055E"/>
    <w:rsid w:val="007105E4"/>
    <w:rsid w:val="00710B6A"/>
    <w:rsid w:val="00711884"/>
    <w:rsid w:val="00711A04"/>
    <w:rsid w:val="00712229"/>
    <w:rsid w:val="007123E4"/>
    <w:rsid w:val="00712605"/>
    <w:rsid w:val="00712C87"/>
    <w:rsid w:val="00713F6C"/>
    <w:rsid w:val="007144CC"/>
    <w:rsid w:val="00714BD5"/>
    <w:rsid w:val="00714FF9"/>
    <w:rsid w:val="00715690"/>
    <w:rsid w:val="00715978"/>
    <w:rsid w:val="007159BF"/>
    <w:rsid w:val="00717906"/>
    <w:rsid w:val="00717FCC"/>
    <w:rsid w:val="0072000D"/>
    <w:rsid w:val="007200F1"/>
    <w:rsid w:val="00720A57"/>
    <w:rsid w:val="00720EA9"/>
    <w:rsid w:val="00721567"/>
    <w:rsid w:val="00721ECA"/>
    <w:rsid w:val="00721F5C"/>
    <w:rsid w:val="007234E0"/>
    <w:rsid w:val="007237B8"/>
    <w:rsid w:val="0072555E"/>
    <w:rsid w:val="00725BE0"/>
    <w:rsid w:val="00725FF5"/>
    <w:rsid w:val="007265C9"/>
    <w:rsid w:val="0072750A"/>
    <w:rsid w:val="007277D3"/>
    <w:rsid w:val="00727BE9"/>
    <w:rsid w:val="00727F59"/>
    <w:rsid w:val="00730CD6"/>
    <w:rsid w:val="00730D6C"/>
    <w:rsid w:val="00731BA4"/>
    <w:rsid w:val="00731BF0"/>
    <w:rsid w:val="00731E88"/>
    <w:rsid w:val="007324BF"/>
    <w:rsid w:val="00732B76"/>
    <w:rsid w:val="0073308C"/>
    <w:rsid w:val="007331F1"/>
    <w:rsid w:val="0073376B"/>
    <w:rsid w:val="00734A15"/>
    <w:rsid w:val="00734B85"/>
    <w:rsid w:val="0073550B"/>
    <w:rsid w:val="00735571"/>
    <w:rsid w:val="00735F7D"/>
    <w:rsid w:val="00736431"/>
    <w:rsid w:val="007367CC"/>
    <w:rsid w:val="00736C3A"/>
    <w:rsid w:val="00737150"/>
    <w:rsid w:val="0074041F"/>
    <w:rsid w:val="00740966"/>
    <w:rsid w:val="00741D82"/>
    <w:rsid w:val="0074243C"/>
    <w:rsid w:val="007428FD"/>
    <w:rsid w:val="00742C6C"/>
    <w:rsid w:val="00743012"/>
    <w:rsid w:val="0074430A"/>
    <w:rsid w:val="0074434D"/>
    <w:rsid w:val="00746006"/>
    <w:rsid w:val="007464A8"/>
    <w:rsid w:val="0074684E"/>
    <w:rsid w:val="007468C1"/>
    <w:rsid w:val="00746C0E"/>
    <w:rsid w:val="0074740B"/>
    <w:rsid w:val="00747E2C"/>
    <w:rsid w:val="00747EB5"/>
    <w:rsid w:val="00750C91"/>
    <w:rsid w:val="007510C8"/>
    <w:rsid w:val="00751A10"/>
    <w:rsid w:val="00751DB3"/>
    <w:rsid w:val="00751F0D"/>
    <w:rsid w:val="00753AEB"/>
    <w:rsid w:val="00753EF9"/>
    <w:rsid w:val="00754DA5"/>
    <w:rsid w:val="00754F12"/>
    <w:rsid w:val="0075535C"/>
    <w:rsid w:val="00755401"/>
    <w:rsid w:val="00755560"/>
    <w:rsid w:val="00755C8B"/>
    <w:rsid w:val="007563DE"/>
    <w:rsid w:val="00756DA5"/>
    <w:rsid w:val="00757644"/>
    <w:rsid w:val="00757975"/>
    <w:rsid w:val="00760827"/>
    <w:rsid w:val="00760C8E"/>
    <w:rsid w:val="00761420"/>
    <w:rsid w:val="00762EB5"/>
    <w:rsid w:val="007630AA"/>
    <w:rsid w:val="007632E8"/>
    <w:rsid w:val="007634DB"/>
    <w:rsid w:val="0076391C"/>
    <w:rsid w:val="00763F80"/>
    <w:rsid w:val="00764E04"/>
    <w:rsid w:val="00765549"/>
    <w:rsid w:val="0076680F"/>
    <w:rsid w:val="0076778F"/>
    <w:rsid w:val="00767AAA"/>
    <w:rsid w:val="0077007E"/>
    <w:rsid w:val="00770154"/>
    <w:rsid w:val="007711A3"/>
    <w:rsid w:val="0077135A"/>
    <w:rsid w:val="0077154D"/>
    <w:rsid w:val="00771557"/>
    <w:rsid w:val="00771853"/>
    <w:rsid w:val="00771C2B"/>
    <w:rsid w:val="00772022"/>
    <w:rsid w:val="00773A93"/>
    <w:rsid w:val="00773FF9"/>
    <w:rsid w:val="00774361"/>
    <w:rsid w:val="00774644"/>
    <w:rsid w:val="00774DB9"/>
    <w:rsid w:val="0077588C"/>
    <w:rsid w:val="0078016D"/>
    <w:rsid w:val="007801B0"/>
    <w:rsid w:val="007807A3"/>
    <w:rsid w:val="00780903"/>
    <w:rsid w:val="00781228"/>
    <w:rsid w:val="007826C4"/>
    <w:rsid w:val="00782C58"/>
    <w:rsid w:val="00782CBA"/>
    <w:rsid w:val="00783AFA"/>
    <w:rsid w:val="00783FE9"/>
    <w:rsid w:val="00784407"/>
    <w:rsid w:val="00784925"/>
    <w:rsid w:val="0078530F"/>
    <w:rsid w:val="00785D6C"/>
    <w:rsid w:val="00785E53"/>
    <w:rsid w:val="00786021"/>
    <w:rsid w:val="00786218"/>
    <w:rsid w:val="00786730"/>
    <w:rsid w:val="00786759"/>
    <w:rsid w:val="00786D43"/>
    <w:rsid w:val="00787A58"/>
    <w:rsid w:val="00790142"/>
    <w:rsid w:val="007907CB"/>
    <w:rsid w:val="00790803"/>
    <w:rsid w:val="00790A0C"/>
    <w:rsid w:val="00790E1C"/>
    <w:rsid w:val="00790E8E"/>
    <w:rsid w:val="0079114C"/>
    <w:rsid w:val="00791759"/>
    <w:rsid w:val="007920B3"/>
    <w:rsid w:val="007934C1"/>
    <w:rsid w:val="00793CF0"/>
    <w:rsid w:val="007940AE"/>
    <w:rsid w:val="007950C9"/>
    <w:rsid w:val="00795344"/>
    <w:rsid w:val="007968BF"/>
    <w:rsid w:val="007969CA"/>
    <w:rsid w:val="00797023"/>
    <w:rsid w:val="00797086"/>
    <w:rsid w:val="00797C5C"/>
    <w:rsid w:val="00797D92"/>
    <w:rsid w:val="00797E24"/>
    <w:rsid w:val="007A069E"/>
    <w:rsid w:val="007A171C"/>
    <w:rsid w:val="007A2E6D"/>
    <w:rsid w:val="007A3AF4"/>
    <w:rsid w:val="007A3B0E"/>
    <w:rsid w:val="007A3DBF"/>
    <w:rsid w:val="007A3F4C"/>
    <w:rsid w:val="007A3F76"/>
    <w:rsid w:val="007A4DC0"/>
    <w:rsid w:val="007A59B3"/>
    <w:rsid w:val="007A6311"/>
    <w:rsid w:val="007A6348"/>
    <w:rsid w:val="007A66FD"/>
    <w:rsid w:val="007A68C6"/>
    <w:rsid w:val="007A7DAF"/>
    <w:rsid w:val="007B0259"/>
    <w:rsid w:val="007B09E4"/>
    <w:rsid w:val="007B0B61"/>
    <w:rsid w:val="007B0F9C"/>
    <w:rsid w:val="007B200E"/>
    <w:rsid w:val="007B24E6"/>
    <w:rsid w:val="007B24EF"/>
    <w:rsid w:val="007B2880"/>
    <w:rsid w:val="007B2A92"/>
    <w:rsid w:val="007B316A"/>
    <w:rsid w:val="007B40E2"/>
    <w:rsid w:val="007B42A5"/>
    <w:rsid w:val="007B48C6"/>
    <w:rsid w:val="007B514B"/>
    <w:rsid w:val="007B524F"/>
    <w:rsid w:val="007B5776"/>
    <w:rsid w:val="007B5ED4"/>
    <w:rsid w:val="007B6ED9"/>
    <w:rsid w:val="007B6F89"/>
    <w:rsid w:val="007B7121"/>
    <w:rsid w:val="007B7D1D"/>
    <w:rsid w:val="007B7EF0"/>
    <w:rsid w:val="007B7F82"/>
    <w:rsid w:val="007C008B"/>
    <w:rsid w:val="007C0B66"/>
    <w:rsid w:val="007C1C97"/>
    <w:rsid w:val="007C1F0E"/>
    <w:rsid w:val="007C2094"/>
    <w:rsid w:val="007C2318"/>
    <w:rsid w:val="007C3B98"/>
    <w:rsid w:val="007C44C7"/>
    <w:rsid w:val="007C5227"/>
    <w:rsid w:val="007C571D"/>
    <w:rsid w:val="007C575E"/>
    <w:rsid w:val="007C5A74"/>
    <w:rsid w:val="007C5B5A"/>
    <w:rsid w:val="007C750F"/>
    <w:rsid w:val="007C79BF"/>
    <w:rsid w:val="007C7DAC"/>
    <w:rsid w:val="007D0643"/>
    <w:rsid w:val="007D11ED"/>
    <w:rsid w:val="007D2F30"/>
    <w:rsid w:val="007D314C"/>
    <w:rsid w:val="007D31A5"/>
    <w:rsid w:val="007D37C8"/>
    <w:rsid w:val="007D41C2"/>
    <w:rsid w:val="007D4764"/>
    <w:rsid w:val="007D4DB3"/>
    <w:rsid w:val="007D5554"/>
    <w:rsid w:val="007D5A31"/>
    <w:rsid w:val="007D62D6"/>
    <w:rsid w:val="007D65C4"/>
    <w:rsid w:val="007D6C46"/>
    <w:rsid w:val="007D6D37"/>
    <w:rsid w:val="007D6D7A"/>
    <w:rsid w:val="007D6EF4"/>
    <w:rsid w:val="007E0B49"/>
    <w:rsid w:val="007E0C03"/>
    <w:rsid w:val="007E0DEB"/>
    <w:rsid w:val="007E16E6"/>
    <w:rsid w:val="007E1E19"/>
    <w:rsid w:val="007E1EED"/>
    <w:rsid w:val="007E200A"/>
    <w:rsid w:val="007E2095"/>
    <w:rsid w:val="007E2797"/>
    <w:rsid w:val="007E2BD1"/>
    <w:rsid w:val="007E2DE9"/>
    <w:rsid w:val="007E2EDA"/>
    <w:rsid w:val="007E33AA"/>
    <w:rsid w:val="007E358C"/>
    <w:rsid w:val="007E3BC8"/>
    <w:rsid w:val="007E4C2A"/>
    <w:rsid w:val="007E4EF1"/>
    <w:rsid w:val="007E5656"/>
    <w:rsid w:val="007E5873"/>
    <w:rsid w:val="007E5E6A"/>
    <w:rsid w:val="007E74A5"/>
    <w:rsid w:val="007E7EAF"/>
    <w:rsid w:val="007F0652"/>
    <w:rsid w:val="007F1090"/>
    <w:rsid w:val="007F293A"/>
    <w:rsid w:val="007F2B6A"/>
    <w:rsid w:val="007F2C41"/>
    <w:rsid w:val="007F468B"/>
    <w:rsid w:val="007F4F51"/>
    <w:rsid w:val="007F5877"/>
    <w:rsid w:val="007F6383"/>
    <w:rsid w:val="007F6886"/>
    <w:rsid w:val="007F6A99"/>
    <w:rsid w:val="007F6E15"/>
    <w:rsid w:val="007F792A"/>
    <w:rsid w:val="007F7ED7"/>
    <w:rsid w:val="00800BB3"/>
    <w:rsid w:val="00800F38"/>
    <w:rsid w:val="0080119A"/>
    <w:rsid w:val="0080161C"/>
    <w:rsid w:val="00801C8C"/>
    <w:rsid w:val="00803247"/>
    <w:rsid w:val="008042FE"/>
    <w:rsid w:val="00804E5C"/>
    <w:rsid w:val="00806B4F"/>
    <w:rsid w:val="008070E9"/>
    <w:rsid w:val="00807520"/>
    <w:rsid w:val="0081047F"/>
    <w:rsid w:val="00810EE3"/>
    <w:rsid w:val="00811034"/>
    <w:rsid w:val="008134BC"/>
    <w:rsid w:val="0081378E"/>
    <w:rsid w:val="008138D2"/>
    <w:rsid w:val="00814574"/>
    <w:rsid w:val="0081473A"/>
    <w:rsid w:val="0081587A"/>
    <w:rsid w:val="0081770E"/>
    <w:rsid w:val="00820359"/>
    <w:rsid w:val="00820EF3"/>
    <w:rsid w:val="00821129"/>
    <w:rsid w:val="00822798"/>
    <w:rsid w:val="008232D8"/>
    <w:rsid w:val="0082478C"/>
    <w:rsid w:val="008248ED"/>
    <w:rsid w:val="008257EB"/>
    <w:rsid w:val="00825E18"/>
    <w:rsid w:val="00825F58"/>
    <w:rsid w:val="0082621A"/>
    <w:rsid w:val="0082691F"/>
    <w:rsid w:val="00826DC5"/>
    <w:rsid w:val="00826DE3"/>
    <w:rsid w:val="0083038D"/>
    <w:rsid w:val="00830574"/>
    <w:rsid w:val="008305EC"/>
    <w:rsid w:val="008307C3"/>
    <w:rsid w:val="0083177E"/>
    <w:rsid w:val="0083223E"/>
    <w:rsid w:val="00832B0E"/>
    <w:rsid w:val="00833A1C"/>
    <w:rsid w:val="00835A7A"/>
    <w:rsid w:val="00835DF5"/>
    <w:rsid w:val="008367AC"/>
    <w:rsid w:val="00836C2F"/>
    <w:rsid w:val="00836D87"/>
    <w:rsid w:val="0083779E"/>
    <w:rsid w:val="00837D17"/>
    <w:rsid w:val="00837E04"/>
    <w:rsid w:val="00840BA6"/>
    <w:rsid w:val="008412F8"/>
    <w:rsid w:val="0084150C"/>
    <w:rsid w:val="00841A81"/>
    <w:rsid w:val="00841C07"/>
    <w:rsid w:val="00842061"/>
    <w:rsid w:val="00842511"/>
    <w:rsid w:val="00842CBE"/>
    <w:rsid w:val="00842E13"/>
    <w:rsid w:val="0084427A"/>
    <w:rsid w:val="00844B86"/>
    <w:rsid w:val="00844BBD"/>
    <w:rsid w:val="008454F4"/>
    <w:rsid w:val="00845754"/>
    <w:rsid w:val="0084635F"/>
    <w:rsid w:val="00846698"/>
    <w:rsid w:val="00846FB2"/>
    <w:rsid w:val="008470EF"/>
    <w:rsid w:val="0084755B"/>
    <w:rsid w:val="0085034E"/>
    <w:rsid w:val="00850359"/>
    <w:rsid w:val="0085079D"/>
    <w:rsid w:val="0085093D"/>
    <w:rsid w:val="00850E5F"/>
    <w:rsid w:val="0085177F"/>
    <w:rsid w:val="00851B50"/>
    <w:rsid w:val="008527C0"/>
    <w:rsid w:val="00852F04"/>
    <w:rsid w:val="008533D7"/>
    <w:rsid w:val="00853D6E"/>
    <w:rsid w:val="00856635"/>
    <w:rsid w:val="00857045"/>
    <w:rsid w:val="00857C21"/>
    <w:rsid w:val="008604DB"/>
    <w:rsid w:val="00860A88"/>
    <w:rsid w:val="0086110C"/>
    <w:rsid w:val="00861193"/>
    <w:rsid w:val="008612FE"/>
    <w:rsid w:val="008617AD"/>
    <w:rsid w:val="00861D51"/>
    <w:rsid w:val="0086228D"/>
    <w:rsid w:val="0086244E"/>
    <w:rsid w:val="00863126"/>
    <w:rsid w:val="00863E5B"/>
    <w:rsid w:val="0086491A"/>
    <w:rsid w:val="008649A8"/>
    <w:rsid w:val="0086521F"/>
    <w:rsid w:val="0086545F"/>
    <w:rsid w:val="0086618E"/>
    <w:rsid w:val="008661DE"/>
    <w:rsid w:val="0086729B"/>
    <w:rsid w:val="0086740E"/>
    <w:rsid w:val="00870155"/>
    <w:rsid w:val="00871385"/>
    <w:rsid w:val="00872E2E"/>
    <w:rsid w:val="0087473E"/>
    <w:rsid w:val="00874AB1"/>
    <w:rsid w:val="00875071"/>
    <w:rsid w:val="00875140"/>
    <w:rsid w:val="00875346"/>
    <w:rsid w:val="008755E9"/>
    <w:rsid w:val="00875947"/>
    <w:rsid w:val="0087669C"/>
    <w:rsid w:val="00876DC2"/>
    <w:rsid w:val="00876F8F"/>
    <w:rsid w:val="00877AF0"/>
    <w:rsid w:val="00880625"/>
    <w:rsid w:val="00880EEE"/>
    <w:rsid w:val="008810AD"/>
    <w:rsid w:val="008823CC"/>
    <w:rsid w:val="00882638"/>
    <w:rsid w:val="00882D77"/>
    <w:rsid w:val="00884C12"/>
    <w:rsid w:val="00884DBA"/>
    <w:rsid w:val="00885737"/>
    <w:rsid w:val="00885D7A"/>
    <w:rsid w:val="00885E6F"/>
    <w:rsid w:val="008864CF"/>
    <w:rsid w:val="0088695F"/>
    <w:rsid w:val="00886F05"/>
    <w:rsid w:val="008873E5"/>
    <w:rsid w:val="0088742B"/>
    <w:rsid w:val="008875E4"/>
    <w:rsid w:val="008876E8"/>
    <w:rsid w:val="00887741"/>
    <w:rsid w:val="00887C79"/>
    <w:rsid w:val="00887E84"/>
    <w:rsid w:val="008901D4"/>
    <w:rsid w:val="008904A6"/>
    <w:rsid w:val="00890709"/>
    <w:rsid w:val="008908D2"/>
    <w:rsid w:val="00890CED"/>
    <w:rsid w:val="00890E1F"/>
    <w:rsid w:val="00890E90"/>
    <w:rsid w:val="00891028"/>
    <w:rsid w:val="00891757"/>
    <w:rsid w:val="008918A3"/>
    <w:rsid w:val="00891974"/>
    <w:rsid w:val="00891C30"/>
    <w:rsid w:val="00891E64"/>
    <w:rsid w:val="00891F97"/>
    <w:rsid w:val="00892CE8"/>
    <w:rsid w:val="00893278"/>
    <w:rsid w:val="00893449"/>
    <w:rsid w:val="00895381"/>
    <w:rsid w:val="0089565C"/>
    <w:rsid w:val="008959E6"/>
    <w:rsid w:val="00895D29"/>
    <w:rsid w:val="00896232"/>
    <w:rsid w:val="008978A3"/>
    <w:rsid w:val="008A0051"/>
    <w:rsid w:val="008A017E"/>
    <w:rsid w:val="008A0204"/>
    <w:rsid w:val="008A035D"/>
    <w:rsid w:val="008A0B68"/>
    <w:rsid w:val="008A1BFB"/>
    <w:rsid w:val="008A1EA3"/>
    <w:rsid w:val="008A3524"/>
    <w:rsid w:val="008A3ECD"/>
    <w:rsid w:val="008A4496"/>
    <w:rsid w:val="008A5396"/>
    <w:rsid w:val="008A56D2"/>
    <w:rsid w:val="008A5EAB"/>
    <w:rsid w:val="008A6602"/>
    <w:rsid w:val="008A662F"/>
    <w:rsid w:val="008A6777"/>
    <w:rsid w:val="008A7283"/>
    <w:rsid w:val="008B06AE"/>
    <w:rsid w:val="008B08C2"/>
    <w:rsid w:val="008B27D7"/>
    <w:rsid w:val="008B2A9B"/>
    <w:rsid w:val="008B2D13"/>
    <w:rsid w:val="008B30A2"/>
    <w:rsid w:val="008B33CE"/>
    <w:rsid w:val="008B36DB"/>
    <w:rsid w:val="008B3A09"/>
    <w:rsid w:val="008B3A63"/>
    <w:rsid w:val="008B4624"/>
    <w:rsid w:val="008B4EEE"/>
    <w:rsid w:val="008B7653"/>
    <w:rsid w:val="008B7946"/>
    <w:rsid w:val="008B7EA4"/>
    <w:rsid w:val="008C006F"/>
    <w:rsid w:val="008C1037"/>
    <w:rsid w:val="008C1B7E"/>
    <w:rsid w:val="008C1FEB"/>
    <w:rsid w:val="008C2569"/>
    <w:rsid w:val="008C3252"/>
    <w:rsid w:val="008C3DCE"/>
    <w:rsid w:val="008C3F11"/>
    <w:rsid w:val="008C4AFD"/>
    <w:rsid w:val="008C578C"/>
    <w:rsid w:val="008C5CD1"/>
    <w:rsid w:val="008C5D9C"/>
    <w:rsid w:val="008C65B7"/>
    <w:rsid w:val="008C6665"/>
    <w:rsid w:val="008C673D"/>
    <w:rsid w:val="008C7FC4"/>
    <w:rsid w:val="008D00D8"/>
    <w:rsid w:val="008D07EF"/>
    <w:rsid w:val="008D0F66"/>
    <w:rsid w:val="008D116A"/>
    <w:rsid w:val="008D123D"/>
    <w:rsid w:val="008D1298"/>
    <w:rsid w:val="008D2969"/>
    <w:rsid w:val="008D2E1A"/>
    <w:rsid w:val="008D3444"/>
    <w:rsid w:val="008D3AC9"/>
    <w:rsid w:val="008D70DB"/>
    <w:rsid w:val="008D74BC"/>
    <w:rsid w:val="008D752C"/>
    <w:rsid w:val="008D7AC4"/>
    <w:rsid w:val="008D7FEF"/>
    <w:rsid w:val="008E05CA"/>
    <w:rsid w:val="008E0A06"/>
    <w:rsid w:val="008E1410"/>
    <w:rsid w:val="008E1A3B"/>
    <w:rsid w:val="008E2007"/>
    <w:rsid w:val="008E31C0"/>
    <w:rsid w:val="008E3C15"/>
    <w:rsid w:val="008E3C3E"/>
    <w:rsid w:val="008E4743"/>
    <w:rsid w:val="008E4DEE"/>
    <w:rsid w:val="008E55D2"/>
    <w:rsid w:val="008E662E"/>
    <w:rsid w:val="008E6ACC"/>
    <w:rsid w:val="008E7551"/>
    <w:rsid w:val="008E75B8"/>
    <w:rsid w:val="008E7A41"/>
    <w:rsid w:val="008F06B7"/>
    <w:rsid w:val="008F0A62"/>
    <w:rsid w:val="008F0D88"/>
    <w:rsid w:val="008F1426"/>
    <w:rsid w:val="008F16F2"/>
    <w:rsid w:val="008F1936"/>
    <w:rsid w:val="008F1F06"/>
    <w:rsid w:val="008F2190"/>
    <w:rsid w:val="008F2604"/>
    <w:rsid w:val="008F264B"/>
    <w:rsid w:val="008F2A1A"/>
    <w:rsid w:val="008F5272"/>
    <w:rsid w:val="008F5943"/>
    <w:rsid w:val="008F69D7"/>
    <w:rsid w:val="009004A8"/>
    <w:rsid w:val="00900CE7"/>
    <w:rsid w:val="00901972"/>
    <w:rsid w:val="00901A93"/>
    <w:rsid w:val="00901F99"/>
    <w:rsid w:val="00902253"/>
    <w:rsid w:val="00903143"/>
    <w:rsid w:val="00904F74"/>
    <w:rsid w:val="00905331"/>
    <w:rsid w:val="009054AB"/>
    <w:rsid w:val="00905BDA"/>
    <w:rsid w:val="00905CA3"/>
    <w:rsid w:val="00905D10"/>
    <w:rsid w:val="009060C4"/>
    <w:rsid w:val="00906828"/>
    <w:rsid w:val="00907165"/>
    <w:rsid w:val="00910929"/>
    <w:rsid w:val="00910D68"/>
    <w:rsid w:val="00911748"/>
    <w:rsid w:val="0091180C"/>
    <w:rsid w:val="00911C65"/>
    <w:rsid w:val="00911DCC"/>
    <w:rsid w:val="00911EF1"/>
    <w:rsid w:val="009121B5"/>
    <w:rsid w:val="0091310B"/>
    <w:rsid w:val="00913334"/>
    <w:rsid w:val="00913817"/>
    <w:rsid w:val="00914CD2"/>
    <w:rsid w:val="00914DA5"/>
    <w:rsid w:val="00915416"/>
    <w:rsid w:val="009161BA"/>
    <w:rsid w:val="00916212"/>
    <w:rsid w:val="00916357"/>
    <w:rsid w:val="00917C0B"/>
    <w:rsid w:val="00917F4F"/>
    <w:rsid w:val="00920689"/>
    <w:rsid w:val="00920B44"/>
    <w:rsid w:val="00920DBC"/>
    <w:rsid w:val="00920DDC"/>
    <w:rsid w:val="00920F26"/>
    <w:rsid w:val="00920F87"/>
    <w:rsid w:val="00921097"/>
    <w:rsid w:val="0092142A"/>
    <w:rsid w:val="009217AF"/>
    <w:rsid w:val="00922BDC"/>
    <w:rsid w:val="00922D67"/>
    <w:rsid w:val="00922EEA"/>
    <w:rsid w:val="0092335A"/>
    <w:rsid w:val="00924039"/>
    <w:rsid w:val="0092496B"/>
    <w:rsid w:val="00924EF9"/>
    <w:rsid w:val="00925128"/>
    <w:rsid w:val="009259A5"/>
    <w:rsid w:val="0092644E"/>
    <w:rsid w:val="00927725"/>
    <w:rsid w:val="00927C3C"/>
    <w:rsid w:val="009308B8"/>
    <w:rsid w:val="00930ABE"/>
    <w:rsid w:val="00931BC5"/>
    <w:rsid w:val="00931F61"/>
    <w:rsid w:val="009327BF"/>
    <w:rsid w:val="009330EB"/>
    <w:rsid w:val="0093339D"/>
    <w:rsid w:val="00933B75"/>
    <w:rsid w:val="009348B0"/>
    <w:rsid w:val="00934F70"/>
    <w:rsid w:val="009359BB"/>
    <w:rsid w:val="00935C3D"/>
    <w:rsid w:val="0093661A"/>
    <w:rsid w:val="00936852"/>
    <w:rsid w:val="00940FC8"/>
    <w:rsid w:val="0094105C"/>
    <w:rsid w:val="00941806"/>
    <w:rsid w:val="009419C5"/>
    <w:rsid w:val="009423F3"/>
    <w:rsid w:val="00942D69"/>
    <w:rsid w:val="00943576"/>
    <w:rsid w:val="00943786"/>
    <w:rsid w:val="00943AF0"/>
    <w:rsid w:val="00943E93"/>
    <w:rsid w:val="0094560D"/>
    <w:rsid w:val="00947092"/>
    <w:rsid w:val="0094727A"/>
    <w:rsid w:val="0095050C"/>
    <w:rsid w:val="0095079D"/>
    <w:rsid w:val="009518FB"/>
    <w:rsid w:val="009527EC"/>
    <w:rsid w:val="00952A53"/>
    <w:rsid w:val="00953165"/>
    <w:rsid w:val="009535C0"/>
    <w:rsid w:val="00953F50"/>
    <w:rsid w:val="0095407A"/>
    <w:rsid w:val="00955F58"/>
    <w:rsid w:val="009562BD"/>
    <w:rsid w:val="00957151"/>
    <w:rsid w:val="00957930"/>
    <w:rsid w:val="009601FF"/>
    <w:rsid w:val="009604CE"/>
    <w:rsid w:val="00960C78"/>
    <w:rsid w:val="00961074"/>
    <w:rsid w:val="009610E3"/>
    <w:rsid w:val="00961CBB"/>
    <w:rsid w:val="009623D1"/>
    <w:rsid w:val="00962CB2"/>
    <w:rsid w:val="009633D5"/>
    <w:rsid w:val="00964484"/>
    <w:rsid w:val="00965062"/>
    <w:rsid w:val="00965063"/>
    <w:rsid w:val="00965394"/>
    <w:rsid w:val="00965469"/>
    <w:rsid w:val="0096584D"/>
    <w:rsid w:val="00966426"/>
    <w:rsid w:val="00966BF0"/>
    <w:rsid w:val="009672E3"/>
    <w:rsid w:val="0097012A"/>
    <w:rsid w:val="0097042E"/>
    <w:rsid w:val="00970B73"/>
    <w:rsid w:val="00970DBA"/>
    <w:rsid w:val="00971045"/>
    <w:rsid w:val="00971866"/>
    <w:rsid w:val="00971C51"/>
    <w:rsid w:val="00972A2F"/>
    <w:rsid w:val="00972BE7"/>
    <w:rsid w:val="0097334D"/>
    <w:rsid w:val="0097393C"/>
    <w:rsid w:val="00974159"/>
    <w:rsid w:val="009748B1"/>
    <w:rsid w:val="009755A0"/>
    <w:rsid w:val="00975A65"/>
    <w:rsid w:val="00975BCE"/>
    <w:rsid w:val="00976FD6"/>
    <w:rsid w:val="00977AA4"/>
    <w:rsid w:val="00977FFC"/>
    <w:rsid w:val="00980008"/>
    <w:rsid w:val="00980652"/>
    <w:rsid w:val="00980D8B"/>
    <w:rsid w:val="0098246E"/>
    <w:rsid w:val="009828D5"/>
    <w:rsid w:val="0098290A"/>
    <w:rsid w:val="00983057"/>
    <w:rsid w:val="00983206"/>
    <w:rsid w:val="009841E7"/>
    <w:rsid w:val="00984A3F"/>
    <w:rsid w:val="00985727"/>
    <w:rsid w:val="009867A1"/>
    <w:rsid w:val="00986D33"/>
    <w:rsid w:val="00987198"/>
    <w:rsid w:val="009876FC"/>
    <w:rsid w:val="009902E5"/>
    <w:rsid w:val="009905D3"/>
    <w:rsid w:val="00991303"/>
    <w:rsid w:val="009917CB"/>
    <w:rsid w:val="00992304"/>
    <w:rsid w:val="009923A9"/>
    <w:rsid w:val="009932F1"/>
    <w:rsid w:val="009940FB"/>
    <w:rsid w:val="009946A0"/>
    <w:rsid w:val="00994D66"/>
    <w:rsid w:val="0099539D"/>
    <w:rsid w:val="00995498"/>
    <w:rsid w:val="00996487"/>
    <w:rsid w:val="009967DB"/>
    <w:rsid w:val="00996AE5"/>
    <w:rsid w:val="009974A0"/>
    <w:rsid w:val="00997552"/>
    <w:rsid w:val="0099758F"/>
    <w:rsid w:val="0099777F"/>
    <w:rsid w:val="009979F4"/>
    <w:rsid w:val="009A03A6"/>
    <w:rsid w:val="009A0CE9"/>
    <w:rsid w:val="009A1010"/>
    <w:rsid w:val="009A133B"/>
    <w:rsid w:val="009A16EB"/>
    <w:rsid w:val="009A1A01"/>
    <w:rsid w:val="009A388F"/>
    <w:rsid w:val="009A4608"/>
    <w:rsid w:val="009A4CB2"/>
    <w:rsid w:val="009A52BD"/>
    <w:rsid w:val="009A60D9"/>
    <w:rsid w:val="009A6576"/>
    <w:rsid w:val="009A67FA"/>
    <w:rsid w:val="009A763D"/>
    <w:rsid w:val="009A7DDD"/>
    <w:rsid w:val="009B095E"/>
    <w:rsid w:val="009B1127"/>
    <w:rsid w:val="009B14A8"/>
    <w:rsid w:val="009B1ADE"/>
    <w:rsid w:val="009B20BA"/>
    <w:rsid w:val="009B2D69"/>
    <w:rsid w:val="009B303F"/>
    <w:rsid w:val="009B3822"/>
    <w:rsid w:val="009B4049"/>
    <w:rsid w:val="009B4C21"/>
    <w:rsid w:val="009B6138"/>
    <w:rsid w:val="009B647F"/>
    <w:rsid w:val="009B69B6"/>
    <w:rsid w:val="009C019D"/>
    <w:rsid w:val="009C050A"/>
    <w:rsid w:val="009C07EC"/>
    <w:rsid w:val="009C1013"/>
    <w:rsid w:val="009C19CE"/>
    <w:rsid w:val="009C2EA3"/>
    <w:rsid w:val="009C2F3F"/>
    <w:rsid w:val="009C3CB3"/>
    <w:rsid w:val="009C3EBB"/>
    <w:rsid w:val="009C520D"/>
    <w:rsid w:val="009C677B"/>
    <w:rsid w:val="009C6B70"/>
    <w:rsid w:val="009C73D0"/>
    <w:rsid w:val="009C7545"/>
    <w:rsid w:val="009C7640"/>
    <w:rsid w:val="009C7BF0"/>
    <w:rsid w:val="009D085A"/>
    <w:rsid w:val="009D0A95"/>
    <w:rsid w:val="009D1213"/>
    <w:rsid w:val="009D1CDF"/>
    <w:rsid w:val="009D3198"/>
    <w:rsid w:val="009D3801"/>
    <w:rsid w:val="009D5D68"/>
    <w:rsid w:val="009D5E65"/>
    <w:rsid w:val="009D5F15"/>
    <w:rsid w:val="009D6261"/>
    <w:rsid w:val="009D79DA"/>
    <w:rsid w:val="009D7DC3"/>
    <w:rsid w:val="009E0742"/>
    <w:rsid w:val="009E0CA1"/>
    <w:rsid w:val="009E0EB0"/>
    <w:rsid w:val="009E160F"/>
    <w:rsid w:val="009E1756"/>
    <w:rsid w:val="009E218C"/>
    <w:rsid w:val="009E26AB"/>
    <w:rsid w:val="009E2F78"/>
    <w:rsid w:val="009E364D"/>
    <w:rsid w:val="009E5D30"/>
    <w:rsid w:val="009E5E6F"/>
    <w:rsid w:val="009E696F"/>
    <w:rsid w:val="009E75B0"/>
    <w:rsid w:val="009E7FB7"/>
    <w:rsid w:val="009F0060"/>
    <w:rsid w:val="009F0822"/>
    <w:rsid w:val="009F1097"/>
    <w:rsid w:val="009F2075"/>
    <w:rsid w:val="009F2C42"/>
    <w:rsid w:val="009F5113"/>
    <w:rsid w:val="009F5796"/>
    <w:rsid w:val="009F626E"/>
    <w:rsid w:val="009F713A"/>
    <w:rsid w:val="009F74D5"/>
    <w:rsid w:val="00A000C7"/>
    <w:rsid w:val="00A0025F"/>
    <w:rsid w:val="00A00357"/>
    <w:rsid w:val="00A00756"/>
    <w:rsid w:val="00A00991"/>
    <w:rsid w:val="00A00FF0"/>
    <w:rsid w:val="00A0135B"/>
    <w:rsid w:val="00A018C6"/>
    <w:rsid w:val="00A025B6"/>
    <w:rsid w:val="00A025B7"/>
    <w:rsid w:val="00A02775"/>
    <w:rsid w:val="00A02E82"/>
    <w:rsid w:val="00A05DD1"/>
    <w:rsid w:val="00A064A7"/>
    <w:rsid w:val="00A06B3A"/>
    <w:rsid w:val="00A0725B"/>
    <w:rsid w:val="00A10263"/>
    <w:rsid w:val="00A1060D"/>
    <w:rsid w:val="00A10653"/>
    <w:rsid w:val="00A10BBE"/>
    <w:rsid w:val="00A10C19"/>
    <w:rsid w:val="00A10D04"/>
    <w:rsid w:val="00A1169A"/>
    <w:rsid w:val="00A12509"/>
    <w:rsid w:val="00A138A0"/>
    <w:rsid w:val="00A13A74"/>
    <w:rsid w:val="00A146EF"/>
    <w:rsid w:val="00A14743"/>
    <w:rsid w:val="00A15078"/>
    <w:rsid w:val="00A15348"/>
    <w:rsid w:val="00A15C7A"/>
    <w:rsid w:val="00A15E64"/>
    <w:rsid w:val="00A1666D"/>
    <w:rsid w:val="00A1686E"/>
    <w:rsid w:val="00A17035"/>
    <w:rsid w:val="00A20909"/>
    <w:rsid w:val="00A228E4"/>
    <w:rsid w:val="00A23B8C"/>
    <w:rsid w:val="00A246CA"/>
    <w:rsid w:val="00A24C31"/>
    <w:rsid w:val="00A24D8C"/>
    <w:rsid w:val="00A24E92"/>
    <w:rsid w:val="00A252A7"/>
    <w:rsid w:val="00A252CE"/>
    <w:rsid w:val="00A25B3E"/>
    <w:rsid w:val="00A25DC1"/>
    <w:rsid w:val="00A25FAA"/>
    <w:rsid w:val="00A26090"/>
    <w:rsid w:val="00A26AA4"/>
    <w:rsid w:val="00A26C20"/>
    <w:rsid w:val="00A26CF7"/>
    <w:rsid w:val="00A26F26"/>
    <w:rsid w:val="00A2747B"/>
    <w:rsid w:val="00A3029A"/>
    <w:rsid w:val="00A30670"/>
    <w:rsid w:val="00A30B62"/>
    <w:rsid w:val="00A312EB"/>
    <w:rsid w:val="00A33004"/>
    <w:rsid w:val="00A33B5F"/>
    <w:rsid w:val="00A33CE1"/>
    <w:rsid w:val="00A3412E"/>
    <w:rsid w:val="00A341AC"/>
    <w:rsid w:val="00A3440E"/>
    <w:rsid w:val="00A35948"/>
    <w:rsid w:val="00A35E78"/>
    <w:rsid w:val="00A35E9D"/>
    <w:rsid w:val="00A3606A"/>
    <w:rsid w:val="00A36235"/>
    <w:rsid w:val="00A3647E"/>
    <w:rsid w:val="00A36586"/>
    <w:rsid w:val="00A37078"/>
    <w:rsid w:val="00A402C1"/>
    <w:rsid w:val="00A410E8"/>
    <w:rsid w:val="00A411C3"/>
    <w:rsid w:val="00A411DD"/>
    <w:rsid w:val="00A41335"/>
    <w:rsid w:val="00A4147B"/>
    <w:rsid w:val="00A41E46"/>
    <w:rsid w:val="00A4283F"/>
    <w:rsid w:val="00A42D3D"/>
    <w:rsid w:val="00A4381F"/>
    <w:rsid w:val="00A4420E"/>
    <w:rsid w:val="00A45A23"/>
    <w:rsid w:val="00A504C8"/>
    <w:rsid w:val="00A51A8E"/>
    <w:rsid w:val="00A51F47"/>
    <w:rsid w:val="00A51FAB"/>
    <w:rsid w:val="00A54CEC"/>
    <w:rsid w:val="00A54F1D"/>
    <w:rsid w:val="00A55235"/>
    <w:rsid w:val="00A555F1"/>
    <w:rsid w:val="00A560E8"/>
    <w:rsid w:val="00A56416"/>
    <w:rsid w:val="00A566DE"/>
    <w:rsid w:val="00A578AC"/>
    <w:rsid w:val="00A57B4A"/>
    <w:rsid w:val="00A60419"/>
    <w:rsid w:val="00A60F85"/>
    <w:rsid w:val="00A61247"/>
    <w:rsid w:val="00A61953"/>
    <w:rsid w:val="00A61D67"/>
    <w:rsid w:val="00A61E1C"/>
    <w:rsid w:val="00A62023"/>
    <w:rsid w:val="00A6253B"/>
    <w:rsid w:val="00A62D62"/>
    <w:rsid w:val="00A630DE"/>
    <w:rsid w:val="00A63285"/>
    <w:rsid w:val="00A63369"/>
    <w:rsid w:val="00A636CA"/>
    <w:rsid w:val="00A64B1E"/>
    <w:rsid w:val="00A64CA9"/>
    <w:rsid w:val="00A64E47"/>
    <w:rsid w:val="00A653CD"/>
    <w:rsid w:val="00A6577A"/>
    <w:rsid w:val="00A65C3C"/>
    <w:rsid w:val="00A66465"/>
    <w:rsid w:val="00A66AC4"/>
    <w:rsid w:val="00A67120"/>
    <w:rsid w:val="00A674C3"/>
    <w:rsid w:val="00A67944"/>
    <w:rsid w:val="00A70F34"/>
    <w:rsid w:val="00A712BB"/>
    <w:rsid w:val="00A7213A"/>
    <w:rsid w:val="00A725B7"/>
    <w:rsid w:val="00A72BCA"/>
    <w:rsid w:val="00A7329F"/>
    <w:rsid w:val="00A734A8"/>
    <w:rsid w:val="00A736E7"/>
    <w:rsid w:val="00A73C5C"/>
    <w:rsid w:val="00A73DD4"/>
    <w:rsid w:val="00A742F4"/>
    <w:rsid w:val="00A74CC3"/>
    <w:rsid w:val="00A7518B"/>
    <w:rsid w:val="00A75762"/>
    <w:rsid w:val="00A75CDD"/>
    <w:rsid w:val="00A75FEA"/>
    <w:rsid w:val="00A76EF7"/>
    <w:rsid w:val="00A76F49"/>
    <w:rsid w:val="00A7786E"/>
    <w:rsid w:val="00A81061"/>
    <w:rsid w:val="00A81BF0"/>
    <w:rsid w:val="00A8254C"/>
    <w:rsid w:val="00A826BC"/>
    <w:rsid w:val="00A827E8"/>
    <w:rsid w:val="00A82886"/>
    <w:rsid w:val="00A82932"/>
    <w:rsid w:val="00A82964"/>
    <w:rsid w:val="00A82CD3"/>
    <w:rsid w:val="00A8370C"/>
    <w:rsid w:val="00A83E10"/>
    <w:rsid w:val="00A842B7"/>
    <w:rsid w:val="00A8467C"/>
    <w:rsid w:val="00A8537D"/>
    <w:rsid w:val="00A85C0A"/>
    <w:rsid w:val="00A85C19"/>
    <w:rsid w:val="00A85CA3"/>
    <w:rsid w:val="00A85D7A"/>
    <w:rsid w:val="00A871CA"/>
    <w:rsid w:val="00A87B90"/>
    <w:rsid w:val="00A87F69"/>
    <w:rsid w:val="00A910E3"/>
    <w:rsid w:val="00A91121"/>
    <w:rsid w:val="00A912C9"/>
    <w:rsid w:val="00A915BE"/>
    <w:rsid w:val="00A91BF2"/>
    <w:rsid w:val="00A932D2"/>
    <w:rsid w:val="00A93414"/>
    <w:rsid w:val="00A9395D"/>
    <w:rsid w:val="00A948E4"/>
    <w:rsid w:val="00A94E62"/>
    <w:rsid w:val="00A95682"/>
    <w:rsid w:val="00A95D99"/>
    <w:rsid w:val="00A95F35"/>
    <w:rsid w:val="00A96088"/>
    <w:rsid w:val="00A964BC"/>
    <w:rsid w:val="00A965D4"/>
    <w:rsid w:val="00A966AF"/>
    <w:rsid w:val="00A96D2F"/>
    <w:rsid w:val="00A97B7C"/>
    <w:rsid w:val="00A97F68"/>
    <w:rsid w:val="00AA0816"/>
    <w:rsid w:val="00AA0D29"/>
    <w:rsid w:val="00AA0F18"/>
    <w:rsid w:val="00AA1767"/>
    <w:rsid w:val="00AA208A"/>
    <w:rsid w:val="00AA2578"/>
    <w:rsid w:val="00AA3487"/>
    <w:rsid w:val="00AA34E0"/>
    <w:rsid w:val="00AA3BBF"/>
    <w:rsid w:val="00AA443B"/>
    <w:rsid w:val="00AA4DB2"/>
    <w:rsid w:val="00AA544E"/>
    <w:rsid w:val="00AA6378"/>
    <w:rsid w:val="00AA6E57"/>
    <w:rsid w:val="00AA7F6B"/>
    <w:rsid w:val="00AB0E50"/>
    <w:rsid w:val="00AB1851"/>
    <w:rsid w:val="00AB1860"/>
    <w:rsid w:val="00AB2408"/>
    <w:rsid w:val="00AB2718"/>
    <w:rsid w:val="00AB27DF"/>
    <w:rsid w:val="00AB2971"/>
    <w:rsid w:val="00AB31A7"/>
    <w:rsid w:val="00AB3B9E"/>
    <w:rsid w:val="00AB4884"/>
    <w:rsid w:val="00AB4CCB"/>
    <w:rsid w:val="00AB4E63"/>
    <w:rsid w:val="00AB5080"/>
    <w:rsid w:val="00AB5764"/>
    <w:rsid w:val="00AB5B7C"/>
    <w:rsid w:val="00AB624C"/>
    <w:rsid w:val="00AB68BC"/>
    <w:rsid w:val="00AB6A6D"/>
    <w:rsid w:val="00AB6EEF"/>
    <w:rsid w:val="00AB7083"/>
    <w:rsid w:val="00AB74E6"/>
    <w:rsid w:val="00AB7EDA"/>
    <w:rsid w:val="00AC033F"/>
    <w:rsid w:val="00AC0464"/>
    <w:rsid w:val="00AC1121"/>
    <w:rsid w:val="00AC150B"/>
    <w:rsid w:val="00AC1ADB"/>
    <w:rsid w:val="00AC20EA"/>
    <w:rsid w:val="00AC232E"/>
    <w:rsid w:val="00AC2A91"/>
    <w:rsid w:val="00AC4057"/>
    <w:rsid w:val="00AC4726"/>
    <w:rsid w:val="00AC484E"/>
    <w:rsid w:val="00AC552E"/>
    <w:rsid w:val="00AC6657"/>
    <w:rsid w:val="00AC7017"/>
    <w:rsid w:val="00AC79A4"/>
    <w:rsid w:val="00AC7AEE"/>
    <w:rsid w:val="00AC7C1E"/>
    <w:rsid w:val="00AD06BC"/>
    <w:rsid w:val="00AD0D2C"/>
    <w:rsid w:val="00AD1D43"/>
    <w:rsid w:val="00AD2A0B"/>
    <w:rsid w:val="00AD326E"/>
    <w:rsid w:val="00AD3712"/>
    <w:rsid w:val="00AD4EBE"/>
    <w:rsid w:val="00AD5415"/>
    <w:rsid w:val="00AD56D4"/>
    <w:rsid w:val="00AD5FE7"/>
    <w:rsid w:val="00AD609D"/>
    <w:rsid w:val="00AD615B"/>
    <w:rsid w:val="00AD6C3B"/>
    <w:rsid w:val="00AE00F0"/>
    <w:rsid w:val="00AE01D6"/>
    <w:rsid w:val="00AE117A"/>
    <w:rsid w:val="00AE16BE"/>
    <w:rsid w:val="00AE19E3"/>
    <w:rsid w:val="00AE22BC"/>
    <w:rsid w:val="00AE2302"/>
    <w:rsid w:val="00AE2EFA"/>
    <w:rsid w:val="00AE387D"/>
    <w:rsid w:val="00AE4B34"/>
    <w:rsid w:val="00AF04BA"/>
    <w:rsid w:val="00AF0628"/>
    <w:rsid w:val="00AF0A9A"/>
    <w:rsid w:val="00AF103B"/>
    <w:rsid w:val="00AF1888"/>
    <w:rsid w:val="00AF2145"/>
    <w:rsid w:val="00AF292A"/>
    <w:rsid w:val="00AF2988"/>
    <w:rsid w:val="00AF2CEE"/>
    <w:rsid w:val="00AF330F"/>
    <w:rsid w:val="00AF3D71"/>
    <w:rsid w:val="00AF3F9D"/>
    <w:rsid w:val="00AF5495"/>
    <w:rsid w:val="00AF5796"/>
    <w:rsid w:val="00AF60DE"/>
    <w:rsid w:val="00AF63E0"/>
    <w:rsid w:val="00AF6BE5"/>
    <w:rsid w:val="00AF6CCC"/>
    <w:rsid w:val="00AF71F0"/>
    <w:rsid w:val="00AF7AF2"/>
    <w:rsid w:val="00B004C0"/>
    <w:rsid w:val="00B00C3A"/>
    <w:rsid w:val="00B013B7"/>
    <w:rsid w:val="00B02D75"/>
    <w:rsid w:val="00B02FB2"/>
    <w:rsid w:val="00B03C4D"/>
    <w:rsid w:val="00B04461"/>
    <w:rsid w:val="00B0471C"/>
    <w:rsid w:val="00B06256"/>
    <w:rsid w:val="00B06505"/>
    <w:rsid w:val="00B072AA"/>
    <w:rsid w:val="00B0757C"/>
    <w:rsid w:val="00B07C68"/>
    <w:rsid w:val="00B107B6"/>
    <w:rsid w:val="00B1084B"/>
    <w:rsid w:val="00B10DA1"/>
    <w:rsid w:val="00B129BD"/>
    <w:rsid w:val="00B12ADA"/>
    <w:rsid w:val="00B13CE1"/>
    <w:rsid w:val="00B14554"/>
    <w:rsid w:val="00B15B2B"/>
    <w:rsid w:val="00B15E1F"/>
    <w:rsid w:val="00B15E20"/>
    <w:rsid w:val="00B16380"/>
    <w:rsid w:val="00B16506"/>
    <w:rsid w:val="00B16EF7"/>
    <w:rsid w:val="00B20152"/>
    <w:rsid w:val="00B202D4"/>
    <w:rsid w:val="00B21DB4"/>
    <w:rsid w:val="00B223EE"/>
    <w:rsid w:val="00B2263D"/>
    <w:rsid w:val="00B23BB6"/>
    <w:rsid w:val="00B2445E"/>
    <w:rsid w:val="00B246E7"/>
    <w:rsid w:val="00B249D2"/>
    <w:rsid w:val="00B24A03"/>
    <w:rsid w:val="00B250BA"/>
    <w:rsid w:val="00B25A0B"/>
    <w:rsid w:val="00B25EEA"/>
    <w:rsid w:val="00B2697E"/>
    <w:rsid w:val="00B27030"/>
    <w:rsid w:val="00B301FE"/>
    <w:rsid w:val="00B309FF"/>
    <w:rsid w:val="00B30AE6"/>
    <w:rsid w:val="00B30F8E"/>
    <w:rsid w:val="00B3158F"/>
    <w:rsid w:val="00B31FB4"/>
    <w:rsid w:val="00B32811"/>
    <w:rsid w:val="00B32A5A"/>
    <w:rsid w:val="00B32AA9"/>
    <w:rsid w:val="00B336D0"/>
    <w:rsid w:val="00B338E4"/>
    <w:rsid w:val="00B3393B"/>
    <w:rsid w:val="00B33F8F"/>
    <w:rsid w:val="00B341F9"/>
    <w:rsid w:val="00B35C67"/>
    <w:rsid w:val="00B35DD8"/>
    <w:rsid w:val="00B365BA"/>
    <w:rsid w:val="00B36BA2"/>
    <w:rsid w:val="00B374CE"/>
    <w:rsid w:val="00B379A7"/>
    <w:rsid w:val="00B37A26"/>
    <w:rsid w:val="00B37D06"/>
    <w:rsid w:val="00B41C9C"/>
    <w:rsid w:val="00B4291D"/>
    <w:rsid w:val="00B43163"/>
    <w:rsid w:val="00B43687"/>
    <w:rsid w:val="00B43AD9"/>
    <w:rsid w:val="00B444C8"/>
    <w:rsid w:val="00B4456A"/>
    <w:rsid w:val="00B45184"/>
    <w:rsid w:val="00B456F4"/>
    <w:rsid w:val="00B45BE9"/>
    <w:rsid w:val="00B46C14"/>
    <w:rsid w:val="00B47377"/>
    <w:rsid w:val="00B47AD2"/>
    <w:rsid w:val="00B501D1"/>
    <w:rsid w:val="00B51114"/>
    <w:rsid w:val="00B5119F"/>
    <w:rsid w:val="00B52CFD"/>
    <w:rsid w:val="00B53231"/>
    <w:rsid w:val="00B548BF"/>
    <w:rsid w:val="00B54DD7"/>
    <w:rsid w:val="00B55B83"/>
    <w:rsid w:val="00B55CA1"/>
    <w:rsid w:val="00B55F82"/>
    <w:rsid w:val="00B56156"/>
    <w:rsid w:val="00B56235"/>
    <w:rsid w:val="00B56C1D"/>
    <w:rsid w:val="00B56D47"/>
    <w:rsid w:val="00B579D8"/>
    <w:rsid w:val="00B6026D"/>
    <w:rsid w:val="00B60599"/>
    <w:rsid w:val="00B6063A"/>
    <w:rsid w:val="00B60671"/>
    <w:rsid w:val="00B61120"/>
    <w:rsid w:val="00B619D6"/>
    <w:rsid w:val="00B61D71"/>
    <w:rsid w:val="00B62D57"/>
    <w:rsid w:val="00B63AA9"/>
    <w:rsid w:val="00B63EFA"/>
    <w:rsid w:val="00B642A2"/>
    <w:rsid w:val="00B6498A"/>
    <w:rsid w:val="00B652BD"/>
    <w:rsid w:val="00B6555E"/>
    <w:rsid w:val="00B65B9F"/>
    <w:rsid w:val="00B65DC5"/>
    <w:rsid w:val="00B66065"/>
    <w:rsid w:val="00B6640D"/>
    <w:rsid w:val="00B70710"/>
    <w:rsid w:val="00B715EA"/>
    <w:rsid w:val="00B7235A"/>
    <w:rsid w:val="00B72FB5"/>
    <w:rsid w:val="00B733DA"/>
    <w:rsid w:val="00B735BC"/>
    <w:rsid w:val="00B73FDC"/>
    <w:rsid w:val="00B74BB8"/>
    <w:rsid w:val="00B77407"/>
    <w:rsid w:val="00B776B9"/>
    <w:rsid w:val="00B7774D"/>
    <w:rsid w:val="00B778BD"/>
    <w:rsid w:val="00B77F7D"/>
    <w:rsid w:val="00B80FB1"/>
    <w:rsid w:val="00B82645"/>
    <w:rsid w:val="00B82E3F"/>
    <w:rsid w:val="00B83113"/>
    <w:rsid w:val="00B833B0"/>
    <w:rsid w:val="00B834B8"/>
    <w:rsid w:val="00B83AE5"/>
    <w:rsid w:val="00B849A1"/>
    <w:rsid w:val="00B84A86"/>
    <w:rsid w:val="00B84CDB"/>
    <w:rsid w:val="00B84DA3"/>
    <w:rsid w:val="00B84E5D"/>
    <w:rsid w:val="00B854B0"/>
    <w:rsid w:val="00B860CE"/>
    <w:rsid w:val="00B86429"/>
    <w:rsid w:val="00B8715B"/>
    <w:rsid w:val="00B90598"/>
    <w:rsid w:val="00B90A8A"/>
    <w:rsid w:val="00B9244D"/>
    <w:rsid w:val="00B930A9"/>
    <w:rsid w:val="00B95314"/>
    <w:rsid w:val="00B9653B"/>
    <w:rsid w:val="00B968E7"/>
    <w:rsid w:val="00B971FD"/>
    <w:rsid w:val="00B9724B"/>
    <w:rsid w:val="00B97A2A"/>
    <w:rsid w:val="00BA0196"/>
    <w:rsid w:val="00BA01E2"/>
    <w:rsid w:val="00BA0335"/>
    <w:rsid w:val="00BA0602"/>
    <w:rsid w:val="00BA0E0D"/>
    <w:rsid w:val="00BA1321"/>
    <w:rsid w:val="00BA15DE"/>
    <w:rsid w:val="00BA16A3"/>
    <w:rsid w:val="00BA1827"/>
    <w:rsid w:val="00BA1F21"/>
    <w:rsid w:val="00BA2D0F"/>
    <w:rsid w:val="00BA3564"/>
    <w:rsid w:val="00BA35DC"/>
    <w:rsid w:val="00BA40DA"/>
    <w:rsid w:val="00BA51DC"/>
    <w:rsid w:val="00BA547E"/>
    <w:rsid w:val="00BA55E4"/>
    <w:rsid w:val="00BA5848"/>
    <w:rsid w:val="00BA60BD"/>
    <w:rsid w:val="00BA6B9F"/>
    <w:rsid w:val="00BA6C08"/>
    <w:rsid w:val="00BA7368"/>
    <w:rsid w:val="00BB0354"/>
    <w:rsid w:val="00BB0F06"/>
    <w:rsid w:val="00BB107C"/>
    <w:rsid w:val="00BB10E5"/>
    <w:rsid w:val="00BB1C79"/>
    <w:rsid w:val="00BB2473"/>
    <w:rsid w:val="00BB2592"/>
    <w:rsid w:val="00BB365F"/>
    <w:rsid w:val="00BB49AB"/>
    <w:rsid w:val="00BB4E94"/>
    <w:rsid w:val="00BB54D6"/>
    <w:rsid w:val="00BB5EEC"/>
    <w:rsid w:val="00BB70AE"/>
    <w:rsid w:val="00BB730D"/>
    <w:rsid w:val="00BB75CB"/>
    <w:rsid w:val="00BC0035"/>
    <w:rsid w:val="00BC0905"/>
    <w:rsid w:val="00BC163C"/>
    <w:rsid w:val="00BC191C"/>
    <w:rsid w:val="00BC1F2B"/>
    <w:rsid w:val="00BC2D75"/>
    <w:rsid w:val="00BC2F56"/>
    <w:rsid w:val="00BC32F4"/>
    <w:rsid w:val="00BC3B20"/>
    <w:rsid w:val="00BC3C72"/>
    <w:rsid w:val="00BC423E"/>
    <w:rsid w:val="00BC44A4"/>
    <w:rsid w:val="00BC4EA3"/>
    <w:rsid w:val="00BC568E"/>
    <w:rsid w:val="00BC607E"/>
    <w:rsid w:val="00BC6479"/>
    <w:rsid w:val="00BC7015"/>
    <w:rsid w:val="00BC7F30"/>
    <w:rsid w:val="00BD02E9"/>
    <w:rsid w:val="00BD17CF"/>
    <w:rsid w:val="00BD1BB7"/>
    <w:rsid w:val="00BD1C2E"/>
    <w:rsid w:val="00BD233B"/>
    <w:rsid w:val="00BD2513"/>
    <w:rsid w:val="00BD2861"/>
    <w:rsid w:val="00BD2978"/>
    <w:rsid w:val="00BD2F8C"/>
    <w:rsid w:val="00BD3052"/>
    <w:rsid w:val="00BD57DD"/>
    <w:rsid w:val="00BD68E4"/>
    <w:rsid w:val="00BD6A7A"/>
    <w:rsid w:val="00BD6DE3"/>
    <w:rsid w:val="00BD6FEF"/>
    <w:rsid w:val="00BD747B"/>
    <w:rsid w:val="00BD75E8"/>
    <w:rsid w:val="00BD7884"/>
    <w:rsid w:val="00BD7E72"/>
    <w:rsid w:val="00BE0059"/>
    <w:rsid w:val="00BE035F"/>
    <w:rsid w:val="00BE0900"/>
    <w:rsid w:val="00BE0F77"/>
    <w:rsid w:val="00BE159F"/>
    <w:rsid w:val="00BE1C81"/>
    <w:rsid w:val="00BE1D50"/>
    <w:rsid w:val="00BE1E65"/>
    <w:rsid w:val="00BE2990"/>
    <w:rsid w:val="00BE3045"/>
    <w:rsid w:val="00BE3100"/>
    <w:rsid w:val="00BE3101"/>
    <w:rsid w:val="00BE4AEF"/>
    <w:rsid w:val="00BE4BF4"/>
    <w:rsid w:val="00BE56F7"/>
    <w:rsid w:val="00BE5C05"/>
    <w:rsid w:val="00BE5C29"/>
    <w:rsid w:val="00BE5E66"/>
    <w:rsid w:val="00BE69B6"/>
    <w:rsid w:val="00BE6CD5"/>
    <w:rsid w:val="00BE7910"/>
    <w:rsid w:val="00BF0516"/>
    <w:rsid w:val="00BF06D8"/>
    <w:rsid w:val="00BF0D92"/>
    <w:rsid w:val="00BF1382"/>
    <w:rsid w:val="00BF1A5D"/>
    <w:rsid w:val="00BF4106"/>
    <w:rsid w:val="00BF4785"/>
    <w:rsid w:val="00BF4DB5"/>
    <w:rsid w:val="00BF514E"/>
    <w:rsid w:val="00BF5904"/>
    <w:rsid w:val="00BF5A47"/>
    <w:rsid w:val="00BF67F1"/>
    <w:rsid w:val="00BF6BEB"/>
    <w:rsid w:val="00BF7C31"/>
    <w:rsid w:val="00BF7C38"/>
    <w:rsid w:val="00BF7E2B"/>
    <w:rsid w:val="00C0022B"/>
    <w:rsid w:val="00C003E8"/>
    <w:rsid w:val="00C01655"/>
    <w:rsid w:val="00C01725"/>
    <w:rsid w:val="00C01D87"/>
    <w:rsid w:val="00C02989"/>
    <w:rsid w:val="00C02E15"/>
    <w:rsid w:val="00C02E4C"/>
    <w:rsid w:val="00C03053"/>
    <w:rsid w:val="00C034A2"/>
    <w:rsid w:val="00C0382F"/>
    <w:rsid w:val="00C03A91"/>
    <w:rsid w:val="00C03B09"/>
    <w:rsid w:val="00C03DFE"/>
    <w:rsid w:val="00C048B6"/>
    <w:rsid w:val="00C049B0"/>
    <w:rsid w:val="00C05455"/>
    <w:rsid w:val="00C05700"/>
    <w:rsid w:val="00C0694D"/>
    <w:rsid w:val="00C0758C"/>
    <w:rsid w:val="00C10ED0"/>
    <w:rsid w:val="00C1107F"/>
    <w:rsid w:val="00C11561"/>
    <w:rsid w:val="00C11609"/>
    <w:rsid w:val="00C13521"/>
    <w:rsid w:val="00C135FE"/>
    <w:rsid w:val="00C13721"/>
    <w:rsid w:val="00C138C7"/>
    <w:rsid w:val="00C14213"/>
    <w:rsid w:val="00C14494"/>
    <w:rsid w:val="00C145BA"/>
    <w:rsid w:val="00C150AD"/>
    <w:rsid w:val="00C153D8"/>
    <w:rsid w:val="00C15721"/>
    <w:rsid w:val="00C16856"/>
    <w:rsid w:val="00C17BA7"/>
    <w:rsid w:val="00C20270"/>
    <w:rsid w:val="00C20B30"/>
    <w:rsid w:val="00C21AB6"/>
    <w:rsid w:val="00C21AE8"/>
    <w:rsid w:val="00C22D92"/>
    <w:rsid w:val="00C22EDC"/>
    <w:rsid w:val="00C2356E"/>
    <w:rsid w:val="00C23CD4"/>
    <w:rsid w:val="00C24F27"/>
    <w:rsid w:val="00C25BE3"/>
    <w:rsid w:val="00C25E28"/>
    <w:rsid w:val="00C27ED5"/>
    <w:rsid w:val="00C302CC"/>
    <w:rsid w:val="00C305CC"/>
    <w:rsid w:val="00C30D4F"/>
    <w:rsid w:val="00C312BC"/>
    <w:rsid w:val="00C313A4"/>
    <w:rsid w:val="00C31F58"/>
    <w:rsid w:val="00C324DF"/>
    <w:rsid w:val="00C32A5F"/>
    <w:rsid w:val="00C33849"/>
    <w:rsid w:val="00C33C25"/>
    <w:rsid w:val="00C344FD"/>
    <w:rsid w:val="00C346CF"/>
    <w:rsid w:val="00C34B9E"/>
    <w:rsid w:val="00C35977"/>
    <w:rsid w:val="00C35DEE"/>
    <w:rsid w:val="00C3603E"/>
    <w:rsid w:val="00C362AB"/>
    <w:rsid w:val="00C363ED"/>
    <w:rsid w:val="00C41C1D"/>
    <w:rsid w:val="00C4279F"/>
    <w:rsid w:val="00C4438A"/>
    <w:rsid w:val="00C448A6"/>
    <w:rsid w:val="00C4547D"/>
    <w:rsid w:val="00C45584"/>
    <w:rsid w:val="00C45595"/>
    <w:rsid w:val="00C461FC"/>
    <w:rsid w:val="00C46382"/>
    <w:rsid w:val="00C46CDB"/>
    <w:rsid w:val="00C47A36"/>
    <w:rsid w:val="00C5017F"/>
    <w:rsid w:val="00C50B12"/>
    <w:rsid w:val="00C51916"/>
    <w:rsid w:val="00C51B27"/>
    <w:rsid w:val="00C51B31"/>
    <w:rsid w:val="00C51D29"/>
    <w:rsid w:val="00C51FDA"/>
    <w:rsid w:val="00C52085"/>
    <w:rsid w:val="00C5216D"/>
    <w:rsid w:val="00C52308"/>
    <w:rsid w:val="00C53023"/>
    <w:rsid w:val="00C54209"/>
    <w:rsid w:val="00C54437"/>
    <w:rsid w:val="00C54C66"/>
    <w:rsid w:val="00C54CB5"/>
    <w:rsid w:val="00C557E7"/>
    <w:rsid w:val="00C5657F"/>
    <w:rsid w:val="00C569F8"/>
    <w:rsid w:val="00C56EA8"/>
    <w:rsid w:val="00C57672"/>
    <w:rsid w:val="00C57A24"/>
    <w:rsid w:val="00C57AE7"/>
    <w:rsid w:val="00C57C70"/>
    <w:rsid w:val="00C57F9E"/>
    <w:rsid w:val="00C6058C"/>
    <w:rsid w:val="00C6102E"/>
    <w:rsid w:val="00C611AB"/>
    <w:rsid w:val="00C6197A"/>
    <w:rsid w:val="00C61B84"/>
    <w:rsid w:val="00C62819"/>
    <w:rsid w:val="00C62A6F"/>
    <w:rsid w:val="00C63AC0"/>
    <w:rsid w:val="00C63C23"/>
    <w:rsid w:val="00C63EAE"/>
    <w:rsid w:val="00C64225"/>
    <w:rsid w:val="00C647D9"/>
    <w:rsid w:val="00C64A3C"/>
    <w:rsid w:val="00C65781"/>
    <w:rsid w:val="00C65825"/>
    <w:rsid w:val="00C65870"/>
    <w:rsid w:val="00C65B58"/>
    <w:rsid w:val="00C65E2F"/>
    <w:rsid w:val="00C65F4F"/>
    <w:rsid w:val="00C664A7"/>
    <w:rsid w:val="00C6697B"/>
    <w:rsid w:val="00C66E3A"/>
    <w:rsid w:val="00C670E6"/>
    <w:rsid w:val="00C67141"/>
    <w:rsid w:val="00C67F6F"/>
    <w:rsid w:val="00C703FB"/>
    <w:rsid w:val="00C70FA1"/>
    <w:rsid w:val="00C71498"/>
    <w:rsid w:val="00C719A7"/>
    <w:rsid w:val="00C71D06"/>
    <w:rsid w:val="00C7259E"/>
    <w:rsid w:val="00C72BA1"/>
    <w:rsid w:val="00C72BFA"/>
    <w:rsid w:val="00C73910"/>
    <w:rsid w:val="00C73CB4"/>
    <w:rsid w:val="00C73F43"/>
    <w:rsid w:val="00C744CF"/>
    <w:rsid w:val="00C74D70"/>
    <w:rsid w:val="00C75E19"/>
    <w:rsid w:val="00C7603A"/>
    <w:rsid w:val="00C76177"/>
    <w:rsid w:val="00C76842"/>
    <w:rsid w:val="00C76FD5"/>
    <w:rsid w:val="00C771EA"/>
    <w:rsid w:val="00C777D6"/>
    <w:rsid w:val="00C7784E"/>
    <w:rsid w:val="00C7786A"/>
    <w:rsid w:val="00C80838"/>
    <w:rsid w:val="00C80BF3"/>
    <w:rsid w:val="00C812F8"/>
    <w:rsid w:val="00C818C3"/>
    <w:rsid w:val="00C82937"/>
    <w:rsid w:val="00C835F8"/>
    <w:rsid w:val="00C83E58"/>
    <w:rsid w:val="00C8400F"/>
    <w:rsid w:val="00C849CD"/>
    <w:rsid w:val="00C8508B"/>
    <w:rsid w:val="00C85698"/>
    <w:rsid w:val="00C85887"/>
    <w:rsid w:val="00C86F52"/>
    <w:rsid w:val="00C872E0"/>
    <w:rsid w:val="00C87708"/>
    <w:rsid w:val="00C8777F"/>
    <w:rsid w:val="00C878D2"/>
    <w:rsid w:val="00C9032E"/>
    <w:rsid w:val="00C914C5"/>
    <w:rsid w:val="00C91668"/>
    <w:rsid w:val="00C91C3E"/>
    <w:rsid w:val="00C92623"/>
    <w:rsid w:val="00C92F6A"/>
    <w:rsid w:val="00C930B8"/>
    <w:rsid w:val="00C939F3"/>
    <w:rsid w:val="00C93FC3"/>
    <w:rsid w:val="00C9442E"/>
    <w:rsid w:val="00C946EE"/>
    <w:rsid w:val="00C9504B"/>
    <w:rsid w:val="00C9568B"/>
    <w:rsid w:val="00C95EA3"/>
    <w:rsid w:val="00C9637F"/>
    <w:rsid w:val="00CA11C0"/>
    <w:rsid w:val="00CA17DF"/>
    <w:rsid w:val="00CA3754"/>
    <w:rsid w:val="00CA4A5B"/>
    <w:rsid w:val="00CA6F11"/>
    <w:rsid w:val="00CA712C"/>
    <w:rsid w:val="00CA75D5"/>
    <w:rsid w:val="00CA7EBC"/>
    <w:rsid w:val="00CB0517"/>
    <w:rsid w:val="00CB0825"/>
    <w:rsid w:val="00CB1027"/>
    <w:rsid w:val="00CB141A"/>
    <w:rsid w:val="00CB153E"/>
    <w:rsid w:val="00CB18A9"/>
    <w:rsid w:val="00CB1B2B"/>
    <w:rsid w:val="00CB22AA"/>
    <w:rsid w:val="00CB281F"/>
    <w:rsid w:val="00CB2E40"/>
    <w:rsid w:val="00CB2EBE"/>
    <w:rsid w:val="00CB37D3"/>
    <w:rsid w:val="00CB386B"/>
    <w:rsid w:val="00CB3C38"/>
    <w:rsid w:val="00CB4D9E"/>
    <w:rsid w:val="00CB50BB"/>
    <w:rsid w:val="00CB50FD"/>
    <w:rsid w:val="00CB65D8"/>
    <w:rsid w:val="00CB69B8"/>
    <w:rsid w:val="00CB74C1"/>
    <w:rsid w:val="00CB7B33"/>
    <w:rsid w:val="00CC01E5"/>
    <w:rsid w:val="00CC054D"/>
    <w:rsid w:val="00CC13AF"/>
    <w:rsid w:val="00CC1D9B"/>
    <w:rsid w:val="00CC29B8"/>
    <w:rsid w:val="00CC304C"/>
    <w:rsid w:val="00CC36B0"/>
    <w:rsid w:val="00CC3C60"/>
    <w:rsid w:val="00CC3C71"/>
    <w:rsid w:val="00CC6665"/>
    <w:rsid w:val="00CC6980"/>
    <w:rsid w:val="00CC6A87"/>
    <w:rsid w:val="00CC7AD8"/>
    <w:rsid w:val="00CD0A16"/>
    <w:rsid w:val="00CD0A7E"/>
    <w:rsid w:val="00CD198D"/>
    <w:rsid w:val="00CD1B2A"/>
    <w:rsid w:val="00CD2B8E"/>
    <w:rsid w:val="00CD2E0F"/>
    <w:rsid w:val="00CD2E95"/>
    <w:rsid w:val="00CD2ECF"/>
    <w:rsid w:val="00CD5F0D"/>
    <w:rsid w:val="00CD6A1A"/>
    <w:rsid w:val="00CD6DD4"/>
    <w:rsid w:val="00CD7407"/>
    <w:rsid w:val="00CE01D2"/>
    <w:rsid w:val="00CE051A"/>
    <w:rsid w:val="00CE0D63"/>
    <w:rsid w:val="00CE0F14"/>
    <w:rsid w:val="00CE1880"/>
    <w:rsid w:val="00CE2B6E"/>
    <w:rsid w:val="00CE2D6B"/>
    <w:rsid w:val="00CE30D5"/>
    <w:rsid w:val="00CE3E19"/>
    <w:rsid w:val="00CE40B8"/>
    <w:rsid w:val="00CE48DF"/>
    <w:rsid w:val="00CE50CA"/>
    <w:rsid w:val="00CE51D5"/>
    <w:rsid w:val="00CE5A79"/>
    <w:rsid w:val="00CE5D99"/>
    <w:rsid w:val="00CE6E35"/>
    <w:rsid w:val="00CE6F98"/>
    <w:rsid w:val="00CE744B"/>
    <w:rsid w:val="00CE7773"/>
    <w:rsid w:val="00CE7C62"/>
    <w:rsid w:val="00CF017A"/>
    <w:rsid w:val="00CF0554"/>
    <w:rsid w:val="00CF1C54"/>
    <w:rsid w:val="00CF202C"/>
    <w:rsid w:val="00CF25DF"/>
    <w:rsid w:val="00CF2A7A"/>
    <w:rsid w:val="00CF3843"/>
    <w:rsid w:val="00CF40E6"/>
    <w:rsid w:val="00CF4C2A"/>
    <w:rsid w:val="00CF7619"/>
    <w:rsid w:val="00CF7AA8"/>
    <w:rsid w:val="00CF7F41"/>
    <w:rsid w:val="00D006FE"/>
    <w:rsid w:val="00D0098E"/>
    <w:rsid w:val="00D00DA0"/>
    <w:rsid w:val="00D00EDC"/>
    <w:rsid w:val="00D01391"/>
    <w:rsid w:val="00D01D16"/>
    <w:rsid w:val="00D025DE"/>
    <w:rsid w:val="00D02F72"/>
    <w:rsid w:val="00D031B1"/>
    <w:rsid w:val="00D03251"/>
    <w:rsid w:val="00D049FA"/>
    <w:rsid w:val="00D04AE2"/>
    <w:rsid w:val="00D05055"/>
    <w:rsid w:val="00D050EF"/>
    <w:rsid w:val="00D05B9D"/>
    <w:rsid w:val="00D074D8"/>
    <w:rsid w:val="00D104E5"/>
    <w:rsid w:val="00D110D0"/>
    <w:rsid w:val="00D1243D"/>
    <w:rsid w:val="00D13819"/>
    <w:rsid w:val="00D14E97"/>
    <w:rsid w:val="00D15060"/>
    <w:rsid w:val="00D15202"/>
    <w:rsid w:val="00D1557A"/>
    <w:rsid w:val="00D16335"/>
    <w:rsid w:val="00D1728B"/>
    <w:rsid w:val="00D17E36"/>
    <w:rsid w:val="00D202FB"/>
    <w:rsid w:val="00D21B2B"/>
    <w:rsid w:val="00D22908"/>
    <w:rsid w:val="00D2314E"/>
    <w:rsid w:val="00D24069"/>
    <w:rsid w:val="00D24241"/>
    <w:rsid w:val="00D24599"/>
    <w:rsid w:val="00D246B9"/>
    <w:rsid w:val="00D24928"/>
    <w:rsid w:val="00D24A78"/>
    <w:rsid w:val="00D2659B"/>
    <w:rsid w:val="00D26D1B"/>
    <w:rsid w:val="00D2740B"/>
    <w:rsid w:val="00D275A6"/>
    <w:rsid w:val="00D2774B"/>
    <w:rsid w:val="00D306BA"/>
    <w:rsid w:val="00D30C4F"/>
    <w:rsid w:val="00D31312"/>
    <w:rsid w:val="00D31BB3"/>
    <w:rsid w:val="00D32021"/>
    <w:rsid w:val="00D3205C"/>
    <w:rsid w:val="00D32275"/>
    <w:rsid w:val="00D323B6"/>
    <w:rsid w:val="00D34B50"/>
    <w:rsid w:val="00D357FC"/>
    <w:rsid w:val="00D3680C"/>
    <w:rsid w:val="00D4017C"/>
    <w:rsid w:val="00D40597"/>
    <w:rsid w:val="00D4093E"/>
    <w:rsid w:val="00D410AA"/>
    <w:rsid w:val="00D41130"/>
    <w:rsid w:val="00D42D49"/>
    <w:rsid w:val="00D43A78"/>
    <w:rsid w:val="00D43ADB"/>
    <w:rsid w:val="00D43C2A"/>
    <w:rsid w:val="00D43C9B"/>
    <w:rsid w:val="00D43D5D"/>
    <w:rsid w:val="00D4488F"/>
    <w:rsid w:val="00D45322"/>
    <w:rsid w:val="00D4592B"/>
    <w:rsid w:val="00D464DC"/>
    <w:rsid w:val="00D4751A"/>
    <w:rsid w:val="00D47B78"/>
    <w:rsid w:val="00D47DBC"/>
    <w:rsid w:val="00D51415"/>
    <w:rsid w:val="00D5171F"/>
    <w:rsid w:val="00D51B55"/>
    <w:rsid w:val="00D51B68"/>
    <w:rsid w:val="00D52F32"/>
    <w:rsid w:val="00D5362A"/>
    <w:rsid w:val="00D5412E"/>
    <w:rsid w:val="00D54A36"/>
    <w:rsid w:val="00D54C1C"/>
    <w:rsid w:val="00D554A6"/>
    <w:rsid w:val="00D55623"/>
    <w:rsid w:val="00D55BC0"/>
    <w:rsid w:val="00D56AA3"/>
    <w:rsid w:val="00D5706F"/>
    <w:rsid w:val="00D5739F"/>
    <w:rsid w:val="00D6049C"/>
    <w:rsid w:val="00D61E9D"/>
    <w:rsid w:val="00D61FD6"/>
    <w:rsid w:val="00D62254"/>
    <w:rsid w:val="00D637CD"/>
    <w:rsid w:val="00D6384F"/>
    <w:rsid w:val="00D64755"/>
    <w:rsid w:val="00D64A7B"/>
    <w:rsid w:val="00D654C3"/>
    <w:rsid w:val="00D6580A"/>
    <w:rsid w:val="00D65A21"/>
    <w:rsid w:val="00D65C4E"/>
    <w:rsid w:val="00D66811"/>
    <w:rsid w:val="00D668D2"/>
    <w:rsid w:val="00D66ABD"/>
    <w:rsid w:val="00D670AA"/>
    <w:rsid w:val="00D670C6"/>
    <w:rsid w:val="00D67439"/>
    <w:rsid w:val="00D67C76"/>
    <w:rsid w:val="00D70DC7"/>
    <w:rsid w:val="00D70E15"/>
    <w:rsid w:val="00D71029"/>
    <w:rsid w:val="00D714E4"/>
    <w:rsid w:val="00D71B1E"/>
    <w:rsid w:val="00D7240A"/>
    <w:rsid w:val="00D724EB"/>
    <w:rsid w:val="00D72DEC"/>
    <w:rsid w:val="00D72F42"/>
    <w:rsid w:val="00D73323"/>
    <w:rsid w:val="00D73CC3"/>
    <w:rsid w:val="00D73E8A"/>
    <w:rsid w:val="00D740D5"/>
    <w:rsid w:val="00D75C27"/>
    <w:rsid w:val="00D75DB8"/>
    <w:rsid w:val="00D761AE"/>
    <w:rsid w:val="00D779D0"/>
    <w:rsid w:val="00D77FD8"/>
    <w:rsid w:val="00D81208"/>
    <w:rsid w:val="00D817CE"/>
    <w:rsid w:val="00D8187B"/>
    <w:rsid w:val="00D820E1"/>
    <w:rsid w:val="00D8322B"/>
    <w:rsid w:val="00D834D9"/>
    <w:rsid w:val="00D83CA1"/>
    <w:rsid w:val="00D840FA"/>
    <w:rsid w:val="00D85113"/>
    <w:rsid w:val="00D85DF7"/>
    <w:rsid w:val="00D860B7"/>
    <w:rsid w:val="00D8679C"/>
    <w:rsid w:val="00D86872"/>
    <w:rsid w:val="00D86EDF"/>
    <w:rsid w:val="00D8703D"/>
    <w:rsid w:val="00D8716B"/>
    <w:rsid w:val="00D871F7"/>
    <w:rsid w:val="00D873B6"/>
    <w:rsid w:val="00D87842"/>
    <w:rsid w:val="00D87C06"/>
    <w:rsid w:val="00D87FD7"/>
    <w:rsid w:val="00D904BF"/>
    <w:rsid w:val="00D91072"/>
    <w:rsid w:val="00D91076"/>
    <w:rsid w:val="00D91095"/>
    <w:rsid w:val="00D910BB"/>
    <w:rsid w:val="00D92016"/>
    <w:rsid w:val="00D92813"/>
    <w:rsid w:val="00D92965"/>
    <w:rsid w:val="00D92E0B"/>
    <w:rsid w:val="00D93A15"/>
    <w:rsid w:val="00D94391"/>
    <w:rsid w:val="00D94BE8"/>
    <w:rsid w:val="00D94E34"/>
    <w:rsid w:val="00D94F31"/>
    <w:rsid w:val="00D9539F"/>
    <w:rsid w:val="00D958DF"/>
    <w:rsid w:val="00D95E64"/>
    <w:rsid w:val="00D964DC"/>
    <w:rsid w:val="00D96C25"/>
    <w:rsid w:val="00D96DA5"/>
    <w:rsid w:val="00D974E2"/>
    <w:rsid w:val="00DA02D8"/>
    <w:rsid w:val="00DA0910"/>
    <w:rsid w:val="00DA14A5"/>
    <w:rsid w:val="00DA20D6"/>
    <w:rsid w:val="00DA2609"/>
    <w:rsid w:val="00DA2987"/>
    <w:rsid w:val="00DA2DFE"/>
    <w:rsid w:val="00DA2FB2"/>
    <w:rsid w:val="00DA3878"/>
    <w:rsid w:val="00DA3AE9"/>
    <w:rsid w:val="00DA3B98"/>
    <w:rsid w:val="00DA4323"/>
    <w:rsid w:val="00DA4A13"/>
    <w:rsid w:val="00DA6B4A"/>
    <w:rsid w:val="00DA7795"/>
    <w:rsid w:val="00DA7C04"/>
    <w:rsid w:val="00DB0131"/>
    <w:rsid w:val="00DB08E8"/>
    <w:rsid w:val="00DB0D8A"/>
    <w:rsid w:val="00DB169A"/>
    <w:rsid w:val="00DB18EE"/>
    <w:rsid w:val="00DB1A32"/>
    <w:rsid w:val="00DB1B5A"/>
    <w:rsid w:val="00DB1CD9"/>
    <w:rsid w:val="00DB23E4"/>
    <w:rsid w:val="00DB2DA8"/>
    <w:rsid w:val="00DB37A6"/>
    <w:rsid w:val="00DB3CA6"/>
    <w:rsid w:val="00DB409F"/>
    <w:rsid w:val="00DB4389"/>
    <w:rsid w:val="00DB4469"/>
    <w:rsid w:val="00DB4633"/>
    <w:rsid w:val="00DB540E"/>
    <w:rsid w:val="00DB5712"/>
    <w:rsid w:val="00DB72C3"/>
    <w:rsid w:val="00DB72E0"/>
    <w:rsid w:val="00DB7B7C"/>
    <w:rsid w:val="00DC0FA6"/>
    <w:rsid w:val="00DC14C0"/>
    <w:rsid w:val="00DC17C0"/>
    <w:rsid w:val="00DC222A"/>
    <w:rsid w:val="00DC2775"/>
    <w:rsid w:val="00DC27C0"/>
    <w:rsid w:val="00DC2DD9"/>
    <w:rsid w:val="00DC3E7D"/>
    <w:rsid w:val="00DC4018"/>
    <w:rsid w:val="00DC463D"/>
    <w:rsid w:val="00DC4CC2"/>
    <w:rsid w:val="00DC5357"/>
    <w:rsid w:val="00DC640E"/>
    <w:rsid w:val="00DC689E"/>
    <w:rsid w:val="00DC6C44"/>
    <w:rsid w:val="00DC7DCD"/>
    <w:rsid w:val="00DD04C6"/>
    <w:rsid w:val="00DD0584"/>
    <w:rsid w:val="00DD1050"/>
    <w:rsid w:val="00DD143E"/>
    <w:rsid w:val="00DD1B51"/>
    <w:rsid w:val="00DD1D03"/>
    <w:rsid w:val="00DD1F61"/>
    <w:rsid w:val="00DD2287"/>
    <w:rsid w:val="00DD2313"/>
    <w:rsid w:val="00DD252B"/>
    <w:rsid w:val="00DD4517"/>
    <w:rsid w:val="00DD5474"/>
    <w:rsid w:val="00DD612A"/>
    <w:rsid w:val="00DD69C9"/>
    <w:rsid w:val="00DD6AA1"/>
    <w:rsid w:val="00DD7879"/>
    <w:rsid w:val="00DD7C21"/>
    <w:rsid w:val="00DE0485"/>
    <w:rsid w:val="00DE0D81"/>
    <w:rsid w:val="00DE0EAA"/>
    <w:rsid w:val="00DE127D"/>
    <w:rsid w:val="00DE13F1"/>
    <w:rsid w:val="00DE1927"/>
    <w:rsid w:val="00DE1C2C"/>
    <w:rsid w:val="00DE1DD1"/>
    <w:rsid w:val="00DE204F"/>
    <w:rsid w:val="00DE2401"/>
    <w:rsid w:val="00DE2A41"/>
    <w:rsid w:val="00DE2D59"/>
    <w:rsid w:val="00DE306D"/>
    <w:rsid w:val="00DE4CA2"/>
    <w:rsid w:val="00DE4E24"/>
    <w:rsid w:val="00DE6123"/>
    <w:rsid w:val="00DE69ED"/>
    <w:rsid w:val="00DE722D"/>
    <w:rsid w:val="00DF0662"/>
    <w:rsid w:val="00DF0B36"/>
    <w:rsid w:val="00DF0C11"/>
    <w:rsid w:val="00DF1B60"/>
    <w:rsid w:val="00DF26A1"/>
    <w:rsid w:val="00DF28C5"/>
    <w:rsid w:val="00DF2DE8"/>
    <w:rsid w:val="00DF31B6"/>
    <w:rsid w:val="00DF32B1"/>
    <w:rsid w:val="00DF3D59"/>
    <w:rsid w:val="00DF43DF"/>
    <w:rsid w:val="00DF4A43"/>
    <w:rsid w:val="00DF5C1A"/>
    <w:rsid w:val="00DF667C"/>
    <w:rsid w:val="00DF68CB"/>
    <w:rsid w:val="00DF6FFD"/>
    <w:rsid w:val="00DF79AF"/>
    <w:rsid w:val="00E00391"/>
    <w:rsid w:val="00E00AB6"/>
    <w:rsid w:val="00E00D27"/>
    <w:rsid w:val="00E00E00"/>
    <w:rsid w:val="00E01ADE"/>
    <w:rsid w:val="00E01E65"/>
    <w:rsid w:val="00E026CC"/>
    <w:rsid w:val="00E02C00"/>
    <w:rsid w:val="00E02F4B"/>
    <w:rsid w:val="00E02F91"/>
    <w:rsid w:val="00E05E1E"/>
    <w:rsid w:val="00E06321"/>
    <w:rsid w:val="00E0637D"/>
    <w:rsid w:val="00E06AA5"/>
    <w:rsid w:val="00E07CCA"/>
    <w:rsid w:val="00E10BA5"/>
    <w:rsid w:val="00E11424"/>
    <w:rsid w:val="00E118AB"/>
    <w:rsid w:val="00E11BE9"/>
    <w:rsid w:val="00E12219"/>
    <w:rsid w:val="00E12EC6"/>
    <w:rsid w:val="00E13161"/>
    <w:rsid w:val="00E13217"/>
    <w:rsid w:val="00E149D0"/>
    <w:rsid w:val="00E14E6B"/>
    <w:rsid w:val="00E156F7"/>
    <w:rsid w:val="00E15D00"/>
    <w:rsid w:val="00E16073"/>
    <w:rsid w:val="00E2051C"/>
    <w:rsid w:val="00E209BE"/>
    <w:rsid w:val="00E20CA0"/>
    <w:rsid w:val="00E20EEC"/>
    <w:rsid w:val="00E21473"/>
    <w:rsid w:val="00E2216E"/>
    <w:rsid w:val="00E2225E"/>
    <w:rsid w:val="00E22369"/>
    <w:rsid w:val="00E22F3B"/>
    <w:rsid w:val="00E237F5"/>
    <w:rsid w:val="00E24028"/>
    <w:rsid w:val="00E24306"/>
    <w:rsid w:val="00E24F2C"/>
    <w:rsid w:val="00E2592E"/>
    <w:rsid w:val="00E25936"/>
    <w:rsid w:val="00E26469"/>
    <w:rsid w:val="00E26A2B"/>
    <w:rsid w:val="00E2792A"/>
    <w:rsid w:val="00E27CA1"/>
    <w:rsid w:val="00E27CD2"/>
    <w:rsid w:val="00E312AD"/>
    <w:rsid w:val="00E314CC"/>
    <w:rsid w:val="00E318FA"/>
    <w:rsid w:val="00E31CF4"/>
    <w:rsid w:val="00E33378"/>
    <w:rsid w:val="00E33A0D"/>
    <w:rsid w:val="00E34440"/>
    <w:rsid w:val="00E34BEB"/>
    <w:rsid w:val="00E375BB"/>
    <w:rsid w:val="00E37799"/>
    <w:rsid w:val="00E3780C"/>
    <w:rsid w:val="00E400EB"/>
    <w:rsid w:val="00E403DD"/>
    <w:rsid w:val="00E40761"/>
    <w:rsid w:val="00E40FE4"/>
    <w:rsid w:val="00E41CE3"/>
    <w:rsid w:val="00E421F0"/>
    <w:rsid w:val="00E42291"/>
    <w:rsid w:val="00E42361"/>
    <w:rsid w:val="00E425E0"/>
    <w:rsid w:val="00E44837"/>
    <w:rsid w:val="00E45146"/>
    <w:rsid w:val="00E45EFA"/>
    <w:rsid w:val="00E46B11"/>
    <w:rsid w:val="00E46CAB"/>
    <w:rsid w:val="00E46D5F"/>
    <w:rsid w:val="00E47576"/>
    <w:rsid w:val="00E47C0C"/>
    <w:rsid w:val="00E47EDD"/>
    <w:rsid w:val="00E509CE"/>
    <w:rsid w:val="00E515BD"/>
    <w:rsid w:val="00E518D9"/>
    <w:rsid w:val="00E52A96"/>
    <w:rsid w:val="00E52EB5"/>
    <w:rsid w:val="00E53978"/>
    <w:rsid w:val="00E53B27"/>
    <w:rsid w:val="00E53F40"/>
    <w:rsid w:val="00E55E6F"/>
    <w:rsid w:val="00E5668B"/>
    <w:rsid w:val="00E5722C"/>
    <w:rsid w:val="00E57B3C"/>
    <w:rsid w:val="00E606CE"/>
    <w:rsid w:val="00E61181"/>
    <w:rsid w:val="00E611DF"/>
    <w:rsid w:val="00E61848"/>
    <w:rsid w:val="00E61A19"/>
    <w:rsid w:val="00E62D94"/>
    <w:rsid w:val="00E630E7"/>
    <w:rsid w:val="00E63336"/>
    <w:rsid w:val="00E637E2"/>
    <w:rsid w:val="00E63D9F"/>
    <w:rsid w:val="00E640CC"/>
    <w:rsid w:val="00E644ED"/>
    <w:rsid w:val="00E6458B"/>
    <w:rsid w:val="00E65A9C"/>
    <w:rsid w:val="00E66031"/>
    <w:rsid w:val="00E6649F"/>
    <w:rsid w:val="00E67031"/>
    <w:rsid w:val="00E70084"/>
    <w:rsid w:val="00E708C1"/>
    <w:rsid w:val="00E70ED4"/>
    <w:rsid w:val="00E711D7"/>
    <w:rsid w:val="00E718C2"/>
    <w:rsid w:val="00E71F5B"/>
    <w:rsid w:val="00E72A62"/>
    <w:rsid w:val="00E7368B"/>
    <w:rsid w:val="00E73EA7"/>
    <w:rsid w:val="00E7441B"/>
    <w:rsid w:val="00E74915"/>
    <w:rsid w:val="00E74C62"/>
    <w:rsid w:val="00E7553F"/>
    <w:rsid w:val="00E75775"/>
    <w:rsid w:val="00E757CD"/>
    <w:rsid w:val="00E763D5"/>
    <w:rsid w:val="00E769D1"/>
    <w:rsid w:val="00E76A5F"/>
    <w:rsid w:val="00E76B05"/>
    <w:rsid w:val="00E7764F"/>
    <w:rsid w:val="00E77C7F"/>
    <w:rsid w:val="00E8048F"/>
    <w:rsid w:val="00E818D4"/>
    <w:rsid w:val="00E82E37"/>
    <w:rsid w:val="00E831C2"/>
    <w:rsid w:val="00E83823"/>
    <w:rsid w:val="00E84299"/>
    <w:rsid w:val="00E8447C"/>
    <w:rsid w:val="00E84515"/>
    <w:rsid w:val="00E84F11"/>
    <w:rsid w:val="00E856C3"/>
    <w:rsid w:val="00E85811"/>
    <w:rsid w:val="00E85AC7"/>
    <w:rsid w:val="00E85E57"/>
    <w:rsid w:val="00E86AB9"/>
    <w:rsid w:val="00E870BE"/>
    <w:rsid w:val="00E876C9"/>
    <w:rsid w:val="00E878BC"/>
    <w:rsid w:val="00E879CC"/>
    <w:rsid w:val="00E902F0"/>
    <w:rsid w:val="00E90328"/>
    <w:rsid w:val="00E90682"/>
    <w:rsid w:val="00E92341"/>
    <w:rsid w:val="00E92853"/>
    <w:rsid w:val="00E939CD"/>
    <w:rsid w:val="00E94379"/>
    <w:rsid w:val="00E951CC"/>
    <w:rsid w:val="00E95F9C"/>
    <w:rsid w:val="00E9662D"/>
    <w:rsid w:val="00E96E09"/>
    <w:rsid w:val="00E97098"/>
    <w:rsid w:val="00E97785"/>
    <w:rsid w:val="00E97EA3"/>
    <w:rsid w:val="00EA095E"/>
    <w:rsid w:val="00EA1CE9"/>
    <w:rsid w:val="00EA2567"/>
    <w:rsid w:val="00EA37AD"/>
    <w:rsid w:val="00EA38AD"/>
    <w:rsid w:val="00EA3C82"/>
    <w:rsid w:val="00EA3F45"/>
    <w:rsid w:val="00EA400E"/>
    <w:rsid w:val="00EA4A40"/>
    <w:rsid w:val="00EA4A78"/>
    <w:rsid w:val="00EA4CA6"/>
    <w:rsid w:val="00EA4FA1"/>
    <w:rsid w:val="00EA51BC"/>
    <w:rsid w:val="00EA62BD"/>
    <w:rsid w:val="00EA69F6"/>
    <w:rsid w:val="00EA6CB2"/>
    <w:rsid w:val="00EA6FD0"/>
    <w:rsid w:val="00EA7546"/>
    <w:rsid w:val="00EB0162"/>
    <w:rsid w:val="00EB035C"/>
    <w:rsid w:val="00EB05B8"/>
    <w:rsid w:val="00EB092E"/>
    <w:rsid w:val="00EB114A"/>
    <w:rsid w:val="00EB1E51"/>
    <w:rsid w:val="00EB206F"/>
    <w:rsid w:val="00EB24DE"/>
    <w:rsid w:val="00EB273F"/>
    <w:rsid w:val="00EB2CE1"/>
    <w:rsid w:val="00EB3071"/>
    <w:rsid w:val="00EB316A"/>
    <w:rsid w:val="00EB45D7"/>
    <w:rsid w:val="00EB479C"/>
    <w:rsid w:val="00EB4A57"/>
    <w:rsid w:val="00EB4CDD"/>
    <w:rsid w:val="00EB4EFF"/>
    <w:rsid w:val="00EB53CD"/>
    <w:rsid w:val="00EB57B3"/>
    <w:rsid w:val="00EB7692"/>
    <w:rsid w:val="00EC09AD"/>
    <w:rsid w:val="00EC1007"/>
    <w:rsid w:val="00EC1A3A"/>
    <w:rsid w:val="00EC2679"/>
    <w:rsid w:val="00EC2E1E"/>
    <w:rsid w:val="00EC3A35"/>
    <w:rsid w:val="00EC5352"/>
    <w:rsid w:val="00EC584D"/>
    <w:rsid w:val="00EC5D5A"/>
    <w:rsid w:val="00EC5E14"/>
    <w:rsid w:val="00EC5EA3"/>
    <w:rsid w:val="00EC636D"/>
    <w:rsid w:val="00EC67B8"/>
    <w:rsid w:val="00EC6A00"/>
    <w:rsid w:val="00EC778C"/>
    <w:rsid w:val="00EC7802"/>
    <w:rsid w:val="00EC7FC1"/>
    <w:rsid w:val="00ED091F"/>
    <w:rsid w:val="00ED15F1"/>
    <w:rsid w:val="00ED1D6B"/>
    <w:rsid w:val="00ED2D34"/>
    <w:rsid w:val="00ED3622"/>
    <w:rsid w:val="00ED378E"/>
    <w:rsid w:val="00ED4988"/>
    <w:rsid w:val="00ED52F8"/>
    <w:rsid w:val="00ED55F8"/>
    <w:rsid w:val="00ED5760"/>
    <w:rsid w:val="00ED6560"/>
    <w:rsid w:val="00ED68FC"/>
    <w:rsid w:val="00ED6C29"/>
    <w:rsid w:val="00ED6C69"/>
    <w:rsid w:val="00ED732C"/>
    <w:rsid w:val="00ED7F8C"/>
    <w:rsid w:val="00EE0ECD"/>
    <w:rsid w:val="00EE14D0"/>
    <w:rsid w:val="00EE1983"/>
    <w:rsid w:val="00EE22B2"/>
    <w:rsid w:val="00EE3178"/>
    <w:rsid w:val="00EE392C"/>
    <w:rsid w:val="00EE431F"/>
    <w:rsid w:val="00EE4C34"/>
    <w:rsid w:val="00EE5F6A"/>
    <w:rsid w:val="00EE61A7"/>
    <w:rsid w:val="00EE6767"/>
    <w:rsid w:val="00EE685F"/>
    <w:rsid w:val="00EE68BE"/>
    <w:rsid w:val="00EF0515"/>
    <w:rsid w:val="00EF0BEE"/>
    <w:rsid w:val="00EF0CDD"/>
    <w:rsid w:val="00EF0D70"/>
    <w:rsid w:val="00EF10EF"/>
    <w:rsid w:val="00EF115B"/>
    <w:rsid w:val="00EF18AE"/>
    <w:rsid w:val="00EF1B0B"/>
    <w:rsid w:val="00EF30A9"/>
    <w:rsid w:val="00EF4884"/>
    <w:rsid w:val="00EF49FA"/>
    <w:rsid w:val="00EF524C"/>
    <w:rsid w:val="00EF5635"/>
    <w:rsid w:val="00EF5EFC"/>
    <w:rsid w:val="00EF62CB"/>
    <w:rsid w:val="00EF7E38"/>
    <w:rsid w:val="00F00508"/>
    <w:rsid w:val="00F014C1"/>
    <w:rsid w:val="00F04200"/>
    <w:rsid w:val="00F05802"/>
    <w:rsid w:val="00F05DEE"/>
    <w:rsid w:val="00F0622F"/>
    <w:rsid w:val="00F06A98"/>
    <w:rsid w:val="00F071AF"/>
    <w:rsid w:val="00F078E0"/>
    <w:rsid w:val="00F10296"/>
    <w:rsid w:val="00F10945"/>
    <w:rsid w:val="00F10AFA"/>
    <w:rsid w:val="00F10C41"/>
    <w:rsid w:val="00F13616"/>
    <w:rsid w:val="00F1373D"/>
    <w:rsid w:val="00F138C4"/>
    <w:rsid w:val="00F15AE3"/>
    <w:rsid w:val="00F16871"/>
    <w:rsid w:val="00F16DED"/>
    <w:rsid w:val="00F176B1"/>
    <w:rsid w:val="00F17921"/>
    <w:rsid w:val="00F20356"/>
    <w:rsid w:val="00F209B1"/>
    <w:rsid w:val="00F20F12"/>
    <w:rsid w:val="00F2106C"/>
    <w:rsid w:val="00F21127"/>
    <w:rsid w:val="00F217E3"/>
    <w:rsid w:val="00F22E95"/>
    <w:rsid w:val="00F23B70"/>
    <w:rsid w:val="00F23E8D"/>
    <w:rsid w:val="00F24E57"/>
    <w:rsid w:val="00F25CA1"/>
    <w:rsid w:val="00F2635D"/>
    <w:rsid w:val="00F26A8C"/>
    <w:rsid w:val="00F26AD3"/>
    <w:rsid w:val="00F26D82"/>
    <w:rsid w:val="00F26E0E"/>
    <w:rsid w:val="00F27A90"/>
    <w:rsid w:val="00F305B7"/>
    <w:rsid w:val="00F30A1D"/>
    <w:rsid w:val="00F30FAC"/>
    <w:rsid w:val="00F315DB"/>
    <w:rsid w:val="00F31C0C"/>
    <w:rsid w:val="00F337E2"/>
    <w:rsid w:val="00F33A38"/>
    <w:rsid w:val="00F33E76"/>
    <w:rsid w:val="00F341D3"/>
    <w:rsid w:val="00F34C3F"/>
    <w:rsid w:val="00F35B96"/>
    <w:rsid w:val="00F372CA"/>
    <w:rsid w:val="00F37EC4"/>
    <w:rsid w:val="00F37F5F"/>
    <w:rsid w:val="00F403EC"/>
    <w:rsid w:val="00F41662"/>
    <w:rsid w:val="00F42616"/>
    <w:rsid w:val="00F42AB6"/>
    <w:rsid w:val="00F430A6"/>
    <w:rsid w:val="00F434E5"/>
    <w:rsid w:val="00F44000"/>
    <w:rsid w:val="00F44B97"/>
    <w:rsid w:val="00F44FF1"/>
    <w:rsid w:val="00F45B35"/>
    <w:rsid w:val="00F45B87"/>
    <w:rsid w:val="00F46583"/>
    <w:rsid w:val="00F5095A"/>
    <w:rsid w:val="00F518A5"/>
    <w:rsid w:val="00F52A34"/>
    <w:rsid w:val="00F54D71"/>
    <w:rsid w:val="00F5507B"/>
    <w:rsid w:val="00F55A2F"/>
    <w:rsid w:val="00F56FFB"/>
    <w:rsid w:val="00F579BD"/>
    <w:rsid w:val="00F60909"/>
    <w:rsid w:val="00F611E3"/>
    <w:rsid w:val="00F611F1"/>
    <w:rsid w:val="00F61AFC"/>
    <w:rsid w:val="00F62383"/>
    <w:rsid w:val="00F62456"/>
    <w:rsid w:val="00F628BA"/>
    <w:rsid w:val="00F62A9C"/>
    <w:rsid w:val="00F63ACF"/>
    <w:rsid w:val="00F63C57"/>
    <w:rsid w:val="00F642F0"/>
    <w:rsid w:val="00F648FF"/>
    <w:rsid w:val="00F64E87"/>
    <w:rsid w:val="00F657E4"/>
    <w:rsid w:val="00F65D1B"/>
    <w:rsid w:val="00F6702A"/>
    <w:rsid w:val="00F6763E"/>
    <w:rsid w:val="00F70C96"/>
    <w:rsid w:val="00F71371"/>
    <w:rsid w:val="00F71914"/>
    <w:rsid w:val="00F71FBC"/>
    <w:rsid w:val="00F7279B"/>
    <w:rsid w:val="00F72936"/>
    <w:rsid w:val="00F73B32"/>
    <w:rsid w:val="00F74424"/>
    <w:rsid w:val="00F745DC"/>
    <w:rsid w:val="00F74747"/>
    <w:rsid w:val="00F75590"/>
    <w:rsid w:val="00F76373"/>
    <w:rsid w:val="00F76478"/>
    <w:rsid w:val="00F77D53"/>
    <w:rsid w:val="00F80EF3"/>
    <w:rsid w:val="00F81813"/>
    <w:rsid w:val="00F8191E"/>
    <w:rsid w:val="00F837CC"/>
    <w:rsid w:val="00F83885"/>
    <w:rsid w:val="00F83F52"/>
    <w:rsid w:val="00F8500A"/>
    <w:rsid w:val="00F8596C"/>
    <w:rsid w:val="00F86CB1"/>
    <w:rsid w:val="00F8781C"/>
    <w:rsid w:val="00F91265"/>
    <w:rsid w:val="00F92B54"/>
    <w:rsid w:val="00F93297"/>
    <w:rsid w:val="00F93BB4"/>
    <w:rsid w:val="00F940D7"/>
    <w:rsid w:val="00F9431A"/>
    <w:rsid w:val="00F94AEE"/>
    <w:rsid w:val="00F95C2F"/>
    <w:rsid w:val="00F95F89"/>
    <w:rsid w:val="00F965D0"/>
    <w:rsid w:val="00F967F5"/>
    <w:rsid w:val="00F96D1F"/>
    <w:rsid w:val="00FA0CFA"/>
    <w:rsid w:val="00FA1E06"/>
    <w:rsid w:val="00FA3245"/>
    <w:rsid w:val="00FA3598"/>
    <w:rsid w:val="00FA408D"/>
    <w:rsid w:val="00FA4883"/>
    <w:rsid w:val="00FA50BC"/>
    <w:rsid w:val="00FA6010"/>
    <w:rsid w:val="00FA64A6"/>
    <w:rsid w:val="00FA6C70"/>
    <w:rsid w:val="00FA6DEA"/>
    <w:rsid w:val="00FA74B5"/>
    <w:rsid w:val="00FA78A6"/>
    <w:rsid w:val="00FA796A"/>
    <w:rsid w:val="00FA7FFE"/>
    <w:rsid w:val="00FB047F"/>
    <w:rsid w:val="00FB0CE5"/>
    <w:rsid w:val="00FB14BC"/>
    <w:rsid w:val="00FB17B3"/>
    <w:rsid w:val="00FB1AD4"/>
    <w:rsid w:val="00FB1C42"/>
    <w:rsid w:val="00FB1FF7"/>
    <w:rsid w:val="00FB30F5"/>
    <w:rsid w:val="00FB3238"/>
    <w:rsid w:val="00FB3612"/>
    <w:rsid w:val="00FB37B1"/>
    <w:rsid w:val="00FB3CCB"/>
    <w:rsid w:val="00FB51CB"/>
    <w:rsid w:val="00FB5BFD"/>
    <w:rsid w:val="00FB5C13"/>
    <w:rsid w:val="00FB5D62"/>
    <w:rsid w:val="00FB5F61"/>
    <w:rsid w:val="00FB64C8"/>
    <w:rsid w:val="00FB6C96"/>
    <w:rsid w:val="00FB7189"/>
    <w:rsid w:val="00FC16B3"/>
    <w:rsid w:val="00FC1E48"/>
    <w:rsid w:val="00FC2E24"/>
    <w:rsid w:val="00FC3111"/>
    <w:rsid w:val="00FC3237"/>
    <w:rsid w:val="00FC35AD"/>
    <w:rsid w:val="00FC4E34"/>
    <w:rsid w:val="00FC537A"/>
    <w:rsid w:val="00FC5875"/>
    <w:rsid w:val="00FC5C7E"/>
    <w:rsid w:val="00FC6308"/>
    <w:rsid w:val="00FC667C"/>
    <w:rsid w:val="00FC6E2D"/>
    <w:rsid w:val="00FC715A"/>
    <w:rsid w:val="00FC765C"/>
    <w:rsid w:val="00FC7694"/>
    <w:rsid w:val="00FC7C5E"/>
    <w:rsid w:val="00FC7F49"/>
    <w:rsid w:val="00FD025A"/>
    <w:rsid w:val="00FD050B"/>
    <w:rsid w:val="00FD07D5"/>
    <w:rsid w:val="00FD0CAC"/>
    <w:rsid w:val="00FD1137"/>
    <w:rsid w:val="00FD1C7D"/>
    <w:rsid w:val="00FD2347"/>
    <w:rsid w:val="00FD245D"/>
    <w:rsid w:val="00FD2E6D"/>
    <w:rsid w:val="00FD3251"/>
    <w:rsid w:val="00FD333F"/>
    <w:rsid w:val="00FD3869"/>
    <w:rsid w:val="00FD3970"/>
    <w:rsid w:val="00FD39BA"/>
    <w:rsid w:val="00FD3D52"/>
    <w:rsid w:val="00FD3FA9"/>
    <w:rsid w:val="00FD40A0"/>
    <w:rsid w:val="00FD45EF"/>
    <w:rsid w:val="00FD46CF"/>
    <w:rsid w:val="00FD487E"/>
    <w:rsid w:val="00FD4B4F"/>
    <w:rsid w:val="00FD51FD"/>
    <w:rsid w:val="00FD5A2E"/>
    <w:rsid w:val="00FD66A7"/>
    <w:rsid w:val="00FD6CBE"/>
    <w:rsid w:val="00FD7077"/>
    <w:rsid w:val="00FD78E2"/>
    <w:rsid w:val="00FD7A7E"/>
    <w:rsid w:val="00FD7EA4"/>
    <w:rsid w:val="00FE006E"/>
    <w:rsid w:val="00FE0652"/>
    <w:rsid w:val="00FE1A12"/>
    <w:rsid w:val="00FE201A"/>
    <w:rsid w:val="00FE2AC1"/>
    <w:rsid w:val="00FE39C5"/>
    <w:rsid w:val="00FE3AD4"/>
    <w:rsid w:val="00FE461A"/>
    <w:rsid w:val="00FE6185"/>
    <w:rsid w:val="00FE63DA"/>
    <w:rsid w:val="00FE79BF"/>
    <w:rsid w:val="00FE7A10"/>
    <w:rsid w:val="00FF05DA"/>
    <w:rsid w:val="00FF1128"/>
    <w:rsid w:val="00FF3005"/>
    <w:rsid w:val="00FF3419"/>
    <w:rsid w:val="00FF4110"/>
    <w:rsid w:val="00FF52D4"/>
    <w:rsid w:val="00FF6991"/>
    <w:rsid w:val="00FF6B66"/>
    <w:rsid w:val="00FF7768"/>
    <w:rsid w:val="00FF7A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037FAF-FFFE-4470-A6A9-DC3D4E49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7C3"/>
  </w:style>
  <w:style w:type="paragraph" w:styleId="Heading1">
    <w:name w:val="heading 1"/>
    <w:basedOn w:val="Normal"/>
    <w:next w:val="Normal"/>
    <w:link w:val="Heading1Char"/>
    <w:uiPriority w:val="9"/>
    <w:qFormat/>
    <w:rsid w:val="00280986"/>
    <w:pPr>
      <w:keepNext/>
      <w:spacing w:after="0" w:line="240" w:lineRule="auto"/>
      <w:jc w:val="center"/>
      <w:outlineLvl w:val="0"/>
    </w:pPr>
    <w:rPr>
      <w:rFonts w:ascii="Times New Roman" w:eastAsia="MS Mincho" w:hAnsi="Times New Roman" w:cs="Times New Roman"/>
      <w:b/>
      <w:sz w:val="28"/>
      <w:szCs w:val="20"/>
    </w:rPr>
  </w:style>
  <w:style w:type="paragraph" w:styleId="Heading2">
    <w:name w:val="heading 2"/>
    <w:basedOn w:val="Normal"/>
    <w:next w:val="Normal"/>
    <w:link w:val="Heading2Char"/>
    <w:uiPriority w:val="9"/>
    <w:unhideWhenUsed/>
    <w:qFormat/>
    <w:rsid w:val="002751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02F0"/>
    <w:pPr>
      <w:keepNext/>
      <w:keepLines/>
      <w:spacing w:before="200" w:after="0" w:line="240" w:lineRule="auto"/>
      <w:outlineLvl w:val="2"/>
    </w:pPr>
    <w:rPr>
      <w:rFonts w:asciiTheme="majorHAnsi" w:eastAsiaTheme="majorEastAsia" w:hAnsiTheme="majorHAnsi" w:cstheme="majorBidi"/>
      <w:b/>
      <w:bCs/>
      <w:color w:val="4F81BD" w:themeColor="accent1"/>
      <w:lang w:val="en-GB" w:eastAsia="en-GB"/>
    </w:rPr>
  </w:style>
  <w:style w:type="paragraph" w:styleId="Heading4">
    <w:name w:val="heading 4"/>
    <w:basedOn w:val="Normal"/>
    <w:next w:val="Normal"/>
    <w:link w:val="Heading4Char"/>
    <w:uiPriority w:val="99"/>
    <w:qFormat/>
    <w:rsid w:val="009923A9"/>
    <w:pPr>
      <w:keepNext/>
      <w:widowControl w:val="0"/>
      <w:overflowPunct w:val="0"/>
      <w:autoSpaceDE w:val="0"/>
      <w:autoSpaceDN w:val="0"/>
      <w:adjustRightInd w:val="0"/>
      <w:spacing w:before="240" w:after="60" w:line="240" w:lineRule="auto"/>
      <w:outlineLvl w:val="3"/>
    </w:pPr>
    <w:rPr>
      <w:rFonts w:ascii="Times New Roman" w:eastAsia="Times New Roman" w:hAnsi="Times New Roman" w:cs="Times New Roman"/>
      <w:b/>
      <w:bCs/>
      <w:kern w:val="28"/>
      <w:sz w:val="28"/>
      <w:szCs w:val="28"/>
    </w:rPr>
  </w:style>
  <w:style w:type="paragraph" w:styleId="Heading6">
    <w:name w:val="heading 6"/>
    <w:basedOn w:val="Normal"/>
    <w:next w:val="Normal"/>
    <w:link w:val="Heading6Char"/>
    <w:uiPriority w:val="99"/>
    <w:qFormat/>
    <w:rsid w:val="009923A9"/>
    <w:pPr>
      <w:widowControl w:val="0"/>
      <w:overflowPunct w:val="0"/>
      <w:autoSpaceDE w:val="0"/>
      <w:autoSpaceDN w:val="0"/>
      <w:adjustRightInd w:val="0"/>
      <w:spacing w:before="240" w:after="60" w:line="240" w:lineRule="auto"/>
      <w:outlineLvl w:val="5"/>
    </w:pPr>
    <w:rPr>
      <w:rFonts w:ascii="Times New Roman" w:eastAsia="Times New Roman" w:hAnsi="Times New Roman" w:cs="Times New Roman"/>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2751EF"/>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F3B66"/>
    <w:rPr>
      <w:rFonts w:ascii="Lucida Grande" w:hAnsi="Lucida Grande" w:cs="Lucida Grande"/>
      <w:sz w:val="18"/>
      <w:szCs w:val="18"/>
    </w:rPr>
  </w:style>
  <w:style w:type="character" w:customStyle="1" w:styleId="BalloonTextChar0">
    <w:name w:val="Balloon Text Char"/>
    <w:basedOn w:val="DefaultParagraphFont"/>
    <w:uiPriority w:val="99"/>
    <w:semiHidden/>
    <w:rsid w:val="006042E2"/>
    <w:rPr>
      <w:rFonts w:ascii="Lucida Grande" w:hAnsi="Lucida Grande" w:cs="Lucida Grande"/>
      <w:sz w:val="18"/>
      <w:szCs w:val="18"/>
    </w:rPr>
  </w:style>
  <w:style w:type="character" w:customStyle="1" w:styleId="BalloonTextChar2">
    <w:name w:val="Balloon Text Char"/>
    <w:basedOn w:val="DefaultParagraphFont"/>
    <w:uiPriority w:val="99"/>
    <w:semiHidden/>
    <w:rsid w:val="00A6390C"/>
    <w:rPr>
      <w:rFonts w:ascii="Lucida Grande" w:hAnsi="Lucida Grande"/>
      <w:sz w:val="18"/>
      <w:szCs w:val="18"/>
    </w:rPr>
  </w:style>
  <w:style w:type="character" w:customStyle="1" w:styleId="BalloonTextChar3">
    <w:name w:val="Balloon Text Char"/>
    <w:basedOn w:val="DefaultParagraphFont"/>
    <w:uiPriority w:val="99"/>
    <w:semiHidden/>
    <w:rsid w:val="00B64C6A"/>
    <w:rPr>
      <w:rFonts w:ascii="Lucida Grande" w:hAnsi="Lucida Grande"/>
      <w:sz w:val="18"/>
      <w:szCs w:val="18"/>
    </w:rPr>
  </w:style>
  <w:style w:type="character" w:customStyle="1" w:styleId="BalloonTextChar4">
    <w:name w:val="Balloon Text Char"/>
    <w:basedOn w:val="DefaultParagraphFont"/>
    <w:uiPriority w:val="99"/>
    <w:semiHidden/>
    <w:rsid w:val="00613926"/>
    <w:rPr>
      <w:rFonts w:ascii="Lucida Grande" w:hAnsi="Lucida Grande" w:cs="Lucida Grande"/>
      <w:sz w:val="18"/>
      <w:szCs w:val="18"/>
    </w:rPr>
  </w:style>
  <w:style w:type="character" w:customStyle="1" w:styleId="BalloonTextChar5">
    <w:name w:val="Balloon Text Char"/>
    <w:basedOn w:val="DefaultParagraphFont"/>
    <w:uiPriority w:val="99"/>
    <w:semiHidden/>
    <w:rsid w:val="002565F1"/>
    <w:rPr>
      <w:rFonts w:ascii="Lucida Grande" w:hAnsi="Lucida Grande" w:cs="Lucida Grande"/>
      <w:sz w:val="18"/>
      <w:szCs w:val="18"/>
    </w:rPr>
  </w:style>
  <w:style w:type="character" w:customStyle="1" w:styleId="BalloonTextChar6">
    <w:name w:val="Balloon Text Char"/>
    <w:basedOn w:val="DefaultParagraphFont"/>
    <w:uiPriority w:val="99"/>
    <w:semiHidden/>
    <w:rsid w:val="00F95BD3"/>
    <w:rPr>
      <w:rFonts w:ascii="Lucida Grande" w:hAnsi="Lucida Grande"/>
      <w:sz w:val="18"/>
      <w:szCs w:val="18"/>
    </w:rPr>
  </w:style>
  <w:style w:type="character" w:customStyle="1" w:styleId="BalloonTextChar7">
    <w:name w:val="Balloon Text Char"/>
    <w:basedOn w:val="DefaultParagraphFont"/>
    <w:uiPriority w:val="99"/>
    <w:semiHidden/>
    <w:rsid w:val="008F5F15"/>
    <w:rPr>
      <w:rFonts w:ascii="Lucida Grande" w:hAnsi="Lucida Grande"/>
      <w:sz w:val="18"/>
      <w:szCs w:val="18"/>
    </w:rPr>
  </w:style>
  <w:style w:type="character" w:customStyle="1" w:styleId="BalloonTextChar8">
    <w:name w:val="Balloon Text Char"/>
    <w:basedOn w:val="DefaultParagraphFont"/>
    <w:uiPriority w:val="99"/>
    <w:semiHidden/>
    <w:rsid w:val="00244E13"/>
    <w:rPr>
      <w:rFonts w:ascii="Lucida Grande" w:hAnsi="Lucida Grande"/>
      <w:sz w:val="18"/>
      <w:szCs w:val="18"/>
    </w:rPr>
  </w:style>
  <w:style w:type="character" w:customStyle="1" w:styleId="BalloonTextChar9">
    <w:name w:val="Balloon Text Char"/>
    <w:basedOn w:val="DefaultParagraphFont"/>
    <w:uiPriority w:val="99"/>
    <w:semiHidden/>
    <w:rsid w:val="00E23A6B"/>
    <w:rPr>
      <w:rFonts w:ascii="Lucida Grande" w:hAnsi="Lucida Grande"/>
      <w:sz w:val="18"/>
      <w:szCs w:val="18"/>
    </w:rPr>
  </w:style>
  <w:style w:type="character" w:customStyle="1" w:styleId="BalloonTextChara">
    <w:name w:val="Balloon Text Char"/>
    <w:basedOn w:val="DefaultParagraphFont"/>
    <w:uiPriority w:val="99"/>
    <w:semiHidden/>
    <w:rsid w:val="00E23A6B"/>
    <w:rPr>
      <w:rFonts w:ascii="Lucida Grande" w:hAnsi="Lucida Grande"/>
      <w:sz w:val="18"/>
      <w:szCs w:val="18"/>
    </w:rPr>
  </w:style>
  <w:style w:type="character" w:customStyle="1" w:styleId="BalloonTextCharb">
    <w:name w:val="Balloon Text Char"/>
    <w:basedOn w:val="DefaultParagraphFont"/>
    <w:uiPriority w:val="99"/>
    <w:semiHidden/>
    <w:rsid w:val="00E23A6B"/>
    <w:rPr>
      <w:rFonts w:ascii="Lucida Grande" w:hAnsi="Lucida Grande"/>
      <w:sz w:val="18"/>
      <w:szCs w:val="18"/>
    </w:rPr>
  </w:style>
  <w:style w:type="character" w:customStyle="1" w:styleId="BalloonTextCharc">
    <w:name w:val="Balloon Text Char"/>
    <w:basedOn w:val="DefaultParagraphFont"/>
    <w:uiPriority w:val="99"/>
    <w:semiHidden/>
    <w:rsid w:val="00BD3D5F"/>
    <w:rPr>
      <w:rFonts w:ascii="Lucida Grande" w:hAnsi="Lucida Grande"/>
      <w:sz w:val="18"/>
      <w:szCs w:val="18"/>
    </w:rPr>
  </w:style>
  <w:style w:type="character" w:customStyle="1" w:styleId="BalloonTextChard">
    <w:name w:val="Balloon Text Char"/>
    <w:basedOn w:val="DefaultParagraphFont"/>
    <w:uiPriority w:val="99"/>
    <w:semiHidden/>
    <w:rsid w:val="001E2A96"/>
    <w:rPr>
      <w:rFonts w:ascii="Lucida Grande" w:hAnsi="Lucida Grande"/>
      <w:sz w:val="18"/>
      <w:szCs w:val="18"/>
    </w:rPr>
  </w:style>
  <w:style w:type="character" w:customStyle="1" w:styleId="BalloonTextChare">
    <w:name w:val="Balloon Text Char"/>
    <w:basedOn w:val="DefaultParagraphFont"/>
    <w:uiPriority w:val="99"/>
    <w:semiHidden/>
    <w:rsid w:val="005B18F3"/>
    <w:rPr>
      <w:rFonts w:ascii="Lucida Grande" w:hAnsi="Lucida Grande"/>
      <w:sz w:val="18"/>
      <w:szCs w:val="18"/>
    </w:rPr>
  </w:style>
  <w:style w:type="character" w:customStyle="1" w:styleId="BalloonTextChar60">
    <w:name w:val="Balloon Text Char6"/>
    <w:basedOn w:val="DefaultParagraphFont"/>
    <w:uiPriority w:val="99"/>
    <w:semiHidden/>
    <w:rsid w:val="005B18F3"/>
    <w:rPr>
      <w:rFonts w:ascii="Lucida Grande" w:hAnsi="Lucida Grande"/>
      <w:sz w:val="18"/>
      <w:szCs w:val="18"/>
    </w:rPr>
  </w:style>
  <w:style w:type="character" w:customStyle="1" w:styleId="BalloonTextChar50">
    <w:name w:val="Balloon Text Char5"/>
    <w:basedOn w:val="DefaultParagraphFont"/>
    <w:uiPriority w:val="99"/>
    <w:semiHidden/>
    <w:rsid w:val="005B18F3"/>
    <w:rPr>
      <w:rFonts w:ascii="Lucida Grande" w:hAnsi="Lucida Grande"/>
      <w:sz w:val="18"/>
      <w:szCs w:val="18"/>
    </w:rPr>
  </w:style>
  <w:style w:type="character" w:customStyle="1" w:styleId="Heading2Char">
    <w:name w:val="Heading 2 Char"/>
    <w:basedOn w:val="DefaultParagraphFont"/>
    <w:link w:val="Heading2"/>
    <w:uiPriority w:val="9"/>
    <w:rsid w:val="002751E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9"/>
    <w:rsid w:val="009923A9"/>
    <w:rPr>
      <w:rFonts w:ascii="Times New Roman" w:eastAsia="Times New Roman" w:hAnsi="Times New Roman" w:cs="Times New Roman"/>
      <w:b/>
      <w:bCs/>
      <w:kern w:val="28"/>
      <w:sz w:val="28"/>
      <w:szCs w:val="28"/>
    </w:rPr>
  </w:style>
  <w:style w:type="character" w:customStyle="1" w:styleId="Heading6Char">
    <w:name w:val="Heading 6 Char"/>
    <w:basedOn w:val="DefaultParagraphFont"/>
    <w:link w:val="Heading6"/>
    <w:uiPriority w:val="99"/>
    <w:rsid w:val="009923A9"/>
    <w:rPr>
      <w:rFonts w:ascii="Times New Roman" w:eastAsia="Times New Roman" w:hAnsi="Times New Roman" w:cs="Times New Roman"/>
      <w:b/>
      <w:bCs/>
      <w:kern w:val="28"/>
    </w:rPr>
  </w:style>
  <w:style w:type="character" w:customStyle="1" w:styleId="BalloonTextChar1">
    <w:name w:val="Balloon Text Char1"/>
    <w:basedOn w:val="DefaultParagraphFont"/>
    <w:link w:val="BalloonText"/>
    <w:uiPriority w:val="99"/>
    <w:rsid w:val="002751EF"/>
    <w:rPr>
      <w:rFonts w:ascii="Tahoma" w:hAnsi="Tahoma" w:cs="Tahoma"/>
      <w:sz w:val="16"/>
      <w:szCs w:val="16"/>
    </w:rPr>
  </w:style>
  <w:style w:type="character" w:customStyle="1" w:styleId="BalloonTextChar40">
    <w:name w:val="Balloon Text Char4"/>
    <w:basedOn w:val="DefaultParagraphFont"/>
    <w:uiPriority w:val="99"/>
    <w:semiHidden/>
    <w:rsid w:val="003359D2"/>
    <w:rPr>
      <w:rFonts w:ascii="Lucida Grande" w:hAnsi="Lucida Grande"/>
      <w:sz w:val="18"/>
      <w:szCs w:val="18"/>
    </w:rPr>
  </w:style>
  <w:style w:type="character" w:customStyle="1" w:styleId="BalloonTextChar30">
    <w:name w:val="Balloon Text Char3"/>
    <w:basedOn w:val="DefaultParagraphFont"/>
    <w:uiPriority w:val="99"/>
    <w:semiHidden/>
    <w:rsid w:val="003359D2"/>
    <w:rPr>
      <w:rFonts w:ascii="Lucida Grande" w:hAnsi="Lucida Grande"/>
      <w:sz w:val="18"/>
      <w:szCs w:val="18"/>
    </w:rPr>
  </w:style>
  <w:style w:type="character" w:customStyle="1" w:styleId="BalloonTextChar20">
    <w:name w:val="Balloon Text Char2"/>
    <w:basedOn w:val="DefaultParagraphFont"/>
    <w:uiPriority w:val="99"/>
    <w:semiHidden/>
    <w:rsid w:val="002751EF"/>
    <w:rPr>
      <w:rFonts w:ascii="Tahoma" w:hAnsi="Tahoma" w:cs="Tahoma"/>
      <w:sz w:val="16"/>
      <w:szCs w:val="16"/>
    </w:rPr>
  </w:style>
  <w:style w:type="paragraph" w:styleId="ListParagraph">
    <w:name w:val="List Paragraph"/>
    <w:basedOn w:val="Normal"/>
    <w:link w:val="ListParagraphChar"/>
    <w:uiPriority w:val="34"/>
    <w:qFormat/>
    <w:rsid w:val="002751EF"/>
    <w:pPr>
      <w:ind w:left="720"/>
      <w:contextualSpacing/>
    </w:pPr>
  </w:style>
  <w:style w:type="paragraph" w:styleId="NoSpacing">
    <w:name w:val="No Spacing"/>
    <w:link w:val="NoSpacingChar"/>
    <w:uiPriority w:val="1"/>
    <w:qFormat/>
    <w:rsid w:val="002751E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751EF"/>
    <w:rPr>
      <w:rFonts w:ascii="Calibri" w:eastAsia="Calibri" w:hAnsi="Calibri" w:cs="Times New Roman"/>
    </w:rPr>
  </w:style>
  <w:style w:type="paragraph" w:styleId="BodyText">
    <w:name w:val="Body Text"/>
    <w:basedOn w:val="Normal"/>
    <w:link w:val="BodyTextChar"/>
    <w:rsid w:val="002751EF"/>
    <w:pPr>
      <w:spacing w:after="0" w:line="240" w:lineRule="auto"/>
    </w:pPr>
    <w:rPr>
      <w:rFonts w:ascii="Arial" w:eastAsia="Times New Roman" w:hAnsi="Arial" w:cs="Arial"/>
      <w:b/>
      <w:bCs/>
      <w:sz w:val="20"/>
      <w:szCs w:val="20"/>
      <w:lang w:val="en-GB"/>
    </w:rPr>
  </w:style>
  <w:style w:type="character" w:customStyle="1" w:styleId="BodyTextChar">
    <w:name w:val="Body Text Char"/>
    <w:basedOn w:val="DefaultParagraphFont"/>
    <w:link w:val="BodyText"/>
    <w:rsid w:val="002751EF"/>
    <w:rPr>
      <w:rFonts w:ascii="Arial" w:eastAsia="Times New Roman" w:hAnsi="Arial" w:cs="Arial"/>
      <w:b/>
      <w:bCs/>
      <w:sz w:val="20"/>
      <w:szCs w:val="20"/>
      <w:lang w:val="en-GB"/>
    </w:rPr>
  </w:style>
  <w:style w:type="character" w:customStyle="1" w:styleId="Normal1">
    <w:name w:val="Normal1"/>
    <w:basedOn w:val="DefaultParagraphFont"/>
    <w:rsid w:val="002751EF"/>
  </w:style>
  <w:style w:type="paragraph" w:customStyle="1" w:styleId="Default">
    <w:name w:val="Default"/>
    <w:rsid w:val="002751EF"/>
    <w:pPr>
      <w:autoSpaceDE w:val="0"/>
      <w:autoSpaceDN w:val="0"/>
      <w:adjustRightInd w:val="0"/>
      <w:spacing w:after="0" w:line="240" w:lineRule="auto"/>
    </w:pPr>
    <w:rPr>
      <w:rFonts w:ascii="Calibri" w:eastAsia="Calibri" w:hAnsi="Calibri" w:cs="Calibri"/>
      <w:color w:val="000000"/>
      <w:sz w:val="24"/>
      <w:szCs w:val="24"/>
    </w:rPr>
  </w:style>
  <w:style w:type="paragraph" w:styleId="FootnoteText">
    <w:name w:val="footnote text"/>
    <w:aliases w:val="Footnote Text Char1,Footnote Text Char2,Footnote Text Char1 Char1,Footnote Text Char Char Char1,Footnote Text Char1 Char Char,Footnote Text Char Char Char Char,Footnote Text Char Char1 Char,Footnote Text Char Char2,ft,single space"/>
    <w:basedOn w:val="Normal"/>
    <w:link w:val="FootnoteTextChar"/>
    <w:uiPriority w:val="99"/>
    <w:unhideWhenUsed/>
    <w:rsid w:val="002751EF"/>
    <w:pPr>
      <w:spacing w:after="0" w:line="240" w:lineRule="auto"/>
    </w:pPr>
    <w:rPr>
      <w:sz w:val="20"/>
      <w:szCs w:val="20"/>
    </w:rPr>
  </w:style>
  <w:style w:type="character" w:customStyle="1" w:styleId="FootnoteTextChar">
    <w:name w:val="Footnote Text Char"/>
    <w:aliases w:val="Footnote Text Char1 Char,Footnote Text Char2 Char,Footnote Text Char1 Char1 Char,Footnote Text Char Char Char1 Char,Footnote Text Char1 Char Char Char,Footnote Text Char Char Char Char Char,Footnote Text Char Char1 Char Char,ft Char"/>
    <w:basedOn w:val="DefaultParagraphFont"/>
    <w:link w:val="FootnoteText"/>
    <w:uiPriority w:val="99"/>
    <w:rsid w:val="002751EF"/>
    <w:rPr>
      <w:sz w:val="20"/>
      <w:szCs w:val="20"/>
    </w:rPr>
  </w:style>
  <w:style w:type="character" w:styleId="FootnoteReference">
    <w:name w:val="footnote reference"/>
    <w:aliases w:val="ftref, Carattere Char1, Carattere Char Char Carattere Carattere Char Char,Fußnotenzeichen_Raxen,note bp,16 Point,Superscript 6 Point,Footnotes refss, BVI fnr Char,BVI fnr Char, BVI fnr Car Car Char,BVI fnr Car Char,BVI fnr,4_G"/>
    <w:basedOn w:val="DefaultParagraphFont"/>
    <w:link w:val="BVIfnrCarCar"/>
    <w:unhideWhenUsed/>
    <w:rsid w:val="002751EF"/>
    <w:rPr>
      <w:vertAlign w:val="superscript"/>
    </w:rPr>
  </w:style>
  <w:style w:type="paragraph" w:styleId="Header">
    <w:name w:val="header"/>
    <w:basedOn w:val="Normal"/>
    <w:link w:val="HeaderChar"/>
    <w:unhideWhenUsed/>
    <w:rsid w:val="002751EF"/>
    <w:pPr>
      <w:tabs>
        <w:tab w:val="center" w:pos="4680"/>
        <w:tab w:val="right" w:pos="9360"/>
      </w:tabs>
      <w:spacing w:after="0" w:line="240" w:lineRule="auto"/>
    </w:pPr>
  </w:style>
  <w:style w:type="character" w:customStyle="1" w:styleId="HeaderChar">
    <w:name w:val="Header Char"/>
    <w:basedOn w:val="DefaultParagraphFont"/>
    <w:link w:val="Header"/>
    <w:rsid w:val="002751EF"/>
  </w:style>
  <w:style w:type="paragraph" w:styleId="Footer">
    <w:name w:val="footer"/>
    <w:basedOn w:val="Normal"/>
    <w:link w:val="FooterChar"/>
    <w:uiPriority w:val="99"/>
    <w:unhideWhenUsed/>
    <w:rsid w:val="00275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1EF"/>
  </w:style>
  <w:style w:type="character" w:styleId="Strong">
    <w:name w:val="Strong"/>
    <w:basedOn w:val="DefaultParagraphFont"/>
    <w:uiPriority w:val="22"/>
    <w:qFormat/>
    <w:rsid w:val="00965063"/>
    <w:rPr>
      <w:b/>
      <w:bCs/>
    </w:rPr>
  </w:style>
  <w:style w:type="character" w:styleId="Hyperlink">
    <w:name w:val="Hyperlink"/>
    <w:basedOn w:val="DefaultParagraphFont"/>
    <w:uiPriority w:val="99"/>
    <w:rsid w:val="00FB7189"/>
    <w:rPr>
      <w:color w:val="0000D4"/>
      <w:u w:val="single"/>
    </w:rPr>
  </w:style>
  <w:style w:type="character" w:styleId="FollowedHyperlink">
    <w:name w:val="FollowedHyperlink"/>
    <w:basedOn w:val="DefaultParagraphFont"/>
    <w:uiPriority w:val="99"/>
    <w:rsid w:val="00FB7189"/>
    <w:rPr>
      <w:color w:val="993366"/>
      <w:u w:val="single"/>
    </w:rPr>
  </w:style>
  <w:style w:type="paragraph" w:customStyle="1" w:styleId="font5">
    <w:name w:val="font5"/>
    <w:basedOn w:val="Normal"/>
    <w:rsid w:val="00FB7189"/>
    <w:pPr>
      <w:spacing w:beforeLines="1" w:afterLines="1" w:line="240" w:lineRule="auto"/>
    </w:pPr>
    <w:rPr>
      <w:rFonts w:ascii="Calibri" w:hAnsi="Calibri"/>
      <w:sz w:val="16"/>
      <w:szCs w:val="16"/>
    </w:rPr>
  </w:style>
  <w:style w:type="paragraph" w:customStyle="1" w:styleId="xl319">
    <w:name w:val="xl319"/>
    <w:basedOn w:val="Normal"/>
    <w:rsid w:val="00FB7189"/>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Arial" w:hAnsi="Arial"/>
      <w:sz w:val="18"/>
      <w:szCs w:val="18"/>
    </w:rPr>
  </w:style>
  <w:style w:type="paragraph" w:customStyle="1" w:styleId="xl320">
    <w:name w:val="xl320"/>
    <w:basedOn w:val="Normal"/>
    <w:rsid w:val="00FB7189"/>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textAlignment w:val="top"/>
    </w:pPr>
    <w:rPr>
      <w:rFonts w:ascii="Arial" w:hAnsi="Arial"/>
      <w:b/>
      <w:bCs/>
      <w:sz w:val="18"/>
      <w:szCs w:val="18"/>
    </w:rPr>
  </w:style>
  <w:style w:type="paragraph" w:customStyle="1" w:styleId="xl321">
    <w:name w:val="xl321"/>
    <w:basedOn w:val="Normal"/>
    <w:rsid w:val="00FB7189"/>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Arial" w:hAnsi="Arial"/>
      <w:b/>
      <w:bCs/>
      <w:sz w:val="18"/>
      <w:szCs w:val="18"/>
    </w:rPr>
  </w:style>
  <w:style w:type="paragraph" w:customStyle="1" w:styleId="xl322">
    <w:name w:val="xl322"/>
    <w:basedOn w:val="Normal"/>
    <w:rsid w:val="00FB7189"/>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Arial" w:hAnsi="Arial"/>
      <w:b/>
      <w:bCs/>
      <w:sz w:val="18"/>
      <w:szCs w:val="18"/>
    </w:rPr>
  </w:style>
  <w:style w:type="paragraph" w:customStyle="1" w:styleId="xl323">
    <w:name w:val="xl323"/>
    <w:basedOn w:val="Normal"/>
    <w:rsid w:val="00FB7189"/>
    <w:pPr>
      <w:spacing w:beforeLines="1" w:afterLines="1" w:line="240" w:lineRule="auto"/>
      <w:textAlignment w:val="top"/>
    </w:pPr>
    <w:rPr>
      <w:rFonts w:ascii="Arial" w:hAnsi="Arial"/>
      <w:b/>
      <w:bCs/>
      <w:sz w:val="20"/>
      <w:szCs w:val="20"/>
    </w:rPr>
  </w:style>
  <w:style w:type="paragraph" w:customStyle="1" w:styleId="xl324">
    <w:name w:val="xl324"/>
    <w:basedOn w:val="Normal"/>
    <w:rsid w:val="00FB7189"/>
    <w:pPr>
      <w:spacing w:beforeLines="1" w:afterLines="1" w:line="240" w:lineRule="auto"/>
      <w:textAlignment w:val="top"/>
    </w:pPr>
    <w:rPr>
      <w:rFonts w:ascii="Times" w:hAnsi="Times"/>
      <w:sz w:val="20"/>
      <w:szCs w:val="20"/>
    </w:rPr>
  </w:style>
  <w:style w:type="paragraph" w:customStyle="1" w:styleId="xl325">
    <w:name w:val="xl325"/>
    <w:basedOn w:val="Normal"/>
    <w:rsid w:val="00FB7189"/>
    <w:pPr>
      <w:spacing w:beforeLines="1" w:afterLines="1" w:line="240" w:lineRule="auto"/>
      <w:textAlignment w:val="top"/>
    </w:pPr>
    <w:rPr>
      <w:rFonts w:ascii="Times" w:hAnsi="Times"/>
      <w:sz w:val="20"/>
      <w:szCs w:val="20"/>
    </w:rPr>
  </w:style>
  <w:style w:type="paragraph" w:customStyle="1" w:styleId="xl326">
    <w:name w:val="xl326"/>
    <w:basedOn w:val="Normal"/>
    <w:rsid w:val="00FB7189"/>
    <w:pPr>
      <w:spacing w:beforeLines="1" w:afterLines="1" w:line="240" w:lineRule="auto"/>
      <w:textAlignment w:val="top"/>
    </w:pPr>
    <w:rPr>
      <w:rFonts w:ascii="Times" w:hAnsi="Times"/>
      <w:sz w:val="20"/>
      <w:szCs w:val="20"/>
    </w:rPr>
  </w:style>
  <w:style w:type="paragraph" w:customStyle="1" w:styleId="xl327">
    <w:name w:val="xl327"/>
    <w:basedOn w:val="Normal"/>
    <w:rsid w:val="00FB7189"/>
    <w:pPr>
      <w:pBdr>
        <w:right w:val="single" w:sz="4" w:space="0" w:color="auto"/>
      </w:pBdr>
      <w:spacing w:beforeLines="1" w:afterLines="1" w:line="240" w:lineRule="auto"/>
      <w:textAlignment w:val="top"/>
    </w:pPr>
    <w:rPr>
      <w:rFonts w:ascii="Times" w:hAnsi="Times"/>
      <w:sz w:val="20"/>
      <w:szCs w:val="20"/>
    </w:rPr>
  </w:style>
  <w:style w:type="paragraph" w:customStyle="1" w:styleId="xl328">
    <w:name w:val="xl328"/>
    <w:basedOn w:val="Normal"/>
    <w:rsid w:val="00FB7189"/>
    <w:pPr>
      <w:spacing w:beforeLines="1" w:afterLines="1" w:line="240" w:lineRule="auto"/>
      <w:textAlignment w:val="top"/>
    </w:pPr>
    <w:rPr>
      <w:rFonts w:ascii="Times" w:hAnsi="Times"/>
      <w:sz w:val="20"/>
      <w:szCs w:val="20"/>
    </w:rPr>
  </w:style>
  <w:style w:type="paragraph" w:customStyle="1" w:styleId="xl329">
    <w:name w:val="xl329"/>
    <w:basedOn w:val="Normal"/>
    <w:rsid w:val="00FB7189"/>
    <w:pPr>
      <w:pBdr>
        <w:top w:val="single" w:sz="4" w:space="0" w:color="auto"/>
        <w:left w:val="single" w:sz="4" w:space="0" w:color="auto"/>
        <w:bottom w:val="single" w:sz="4" w:space="0" w:color="auto"/>
        <w:right w:val="single" w:sz="4" w:space="0" w:color="auto"/>
      </w:pBdr>
      <w:spacing w:beforeLines="1" w:afterLines="1" w:line="240" w:lineRule="auto"/>
      <w:jc w:val="center"/>
      <w:textAlignment w:val="top"/>
    </w:pPr>
    <w:rPr>
      <w:rFonts w:ascii="Times" w:hAnsi="Times"/>
      <w:b/>
      <w:bCs/>
      <w:sz w:val="20"/>
      <w:szCs w:val="20"/>
    </w:rPr>
  </w:style>
  <w:style w:type="paragraph" w:customStyle="1" w:styleId="xl330">
    <w:name w:val="xl330"/>
    <w:basedOn w:val="Normal"/>
    <w:rsid w:val="00FB7189"/>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hAnsi="Times"/>
      <w:sz w:val="20"/>
      <w:szCs w:val="20"/>
    </w:rPr>
  </w:style>
  <w:style w:type="paragraph" w:customStyle="1" w:styleId="xl331">
    <w:name w:val="xl331"/>
    <w:basedOn w:val="Normal"/>
    <w:rsid w:val="00FB7189"/>
    <w:pPr>
      <w:pBdr>
        <w:top w:val="single" w:sz="4" w:space="0" w:color="auto"/>
        <w:left w:val="single" w:sz="4" w:space="0" w:color="auto"/>
        <w:bottom w:val="single" w:sz="4" w:space="0" w:color="auto"/>
        <w:right w:val="single" w:sz="4" w:space="0" w:color="auto"/>
      </w:pBdr>
      <w:spacing w:beforeLines="1" w:afterLines="1" w:line="240" w:lineRule="auto"/>
      <w:jc w:val="center"/>
      <w:textAlignment w:val="top"/>
    </w:pPr>
    <w:rPr>
      <w:rFonts w:ascii="Times" w:hAnsi="Times"/>
      <w:sz w:val="20"/>
      <w:szCs w:val="20"/>
    </w:rPr>
  </w:style>
  <w:style w:type="paragraph" w:customStyle="1" w:styleId="xl332">
    <w:name w:val="xl332"/>
    <w:basedOn w:val="Normal"/>
    <w:rsid w:val="00FB7189"/>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hAnsi="Times"/>
      <w:b/>
      <w:bCs/>
      <w:sz w:val="20"/>
      <w:szCs w:val="20"/>
    </w:rPr>
  </w:style>
  <w:style w:type="paragraph" w:customStyle="1" w:styleId="xl333">
    <w:name w:val="xl333"/>
    <w:basedOn w:val="Normal"/>
    <w:rsid w:val="00FB7189"/>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hAnsi="Times"/>
      <w:sz w:val="20"/>
      <w:szCs w:val="20"/>
    </w:rPr>
  </w:style>
  <w:style w:type="paragraph" w:customStyle="1" w:styleId="xl334">
    <w:name w:val="xl334"/>
    <w:basedOn w:val="Normal"/>
    <w:rsid w:val="00FB7189"/>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hAnsi="Times"/>
      <w:sz w:val="20"/>
      <w:szCs w:val="20"/>
    </w:rPr>
  </w:style>
  <w:style w:type="paragraph" w:customStyle="1" w:styleId="xl335">
    <w:name w:val="xl335"/>
    <w:basedOn w:val="Normal"/>
    <w:rsid w:val="00FB7189"/>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hAnsi="Times"/>
      <w:b/>
      <w:bCs/>
      <w:sz w:val="20"/>
      <w:szCs w:val="20"/>
    </w:rPr>
  </w:style>
  <w:style w:type="paragraph" w:customStyle="1" w:styleId="xl336">
    <w:name w:val="xl336"/>
    <w:basedOn w:val="Normal"/>
    <w:rsid w:val="00FB7189"/>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hAnsi="Times"/>
      <w:b/>
      <w:bCs/>
      <w:sz w:val="20"/>
      <w:szCs w:val="20"/>
    </w:rPr>
  </w:style>
  <w:style w:type="paragraph" w:customStyle="1" w:styleId="xl337">
    <w:name w:val="xl337"/>
    <w:basedOn w:val="Normal"/>
    <w:rsid w:val="00FB7189"/>
    <w:pPr>
      <w:spacing w:beforeLines="1" w:afterLines="1" w:line="240" w:lineRule="auto"/>
      <w:textAlignment w:val="top"/>
    </w:pPr>
    <w:rPr>
      <w:rFonts w:ascii="Times" w:hAnsi="Times"/>
      <w:sz w:val="20"/>
      <w:szCs w:val="20"/>
    </w:rPr>
  </w:style>
  <w:style w:type="paragraph" w:customStyle="1" w:styleId="xl338">
    <w:name w:val="xl338"/>
    <w:basedOn w:val="Normal"/>
    <w:rsid w:val="00FB7189"/>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hAnsi="Times"/>
      <w:b/>
      <w:bCs/>
      <w:sz w:val="20"/>
      <w:szCs w:val="20"/>
    </w:rPr>
  </w:style>
  <w:style w:type="paragraph" w:customStyle="1" w:styleId="xl339">
    <w:name w:val="xl339"/>
    <w:basedOn w:val="Normal"/>
    <w:rsid w:val="00FB7189"/>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jc w:val="center"/>
      <w:textAlignment w:val="center"/>
    </w:pPr>
    <w:rPr>
      <w:rFonts w:ascii="Arial" w:hAnsi="Arial"/>
      <w:b/>
      <w:bCs/>
      <w:sz w:val="18"/>
      <w:szCs w:val="18"/>
    </w:rPr>
  </w:style>
  <w:style w:type="paragraph" w:customStyle="1" w:styleId="xl340">
    <w:name w:val="xl340"/>
    <w:basedOn w:val="Normal"/>
    <w:rsid w:val="00FB7189"/>
    <w:pPr>
      <w:pBdr>
        <w:top w:val="single" w:sz="4" w:space="0" w:color="auto"/>
        <w:left w:val="single" w:sz="4" w:space="0" w:color="auto"/>
        <w:bottom w:val="single" w:sz="4" w:space="0" w:color="auto"/>
        <w:right w:val="single" w:sz="4" w:space="0" w:color="auto"/>
      </w:pBdr>
      <w:spacing w:beforeLines="1" w:afterLines="1" w:line="240" w:lineRule="auto"/>
      <w:textAlignment w:val="center"/>
    </w:pPr>
    <w:rPr>
      <w:rFonts w:ascii="Times" w:hAnsi="Times"/>
      <w:sz w:val="20"/>
      <w:szCs w:val="20"/>
    </w:rPr>
  </w:style>
  <w:style w:type="paragraph" w:customStyle="1" w:styleId="xl341">
    <w:name w:val="xl341"/>
    <w:basedOn w:val="Normal"/>
    <w:rsid w:val="00FB7189"/>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Arial" w:hAnsi="Arial"/>
      <w:b/>
      <w:bCs/>
      <w:sz w:val="20"/>
      <w:szCs w:val="20"/>
    </w:rPr>
  </w:style>
  <w:style w:type="paragraph" w:customStyle="1" w:styleId="xl342">
    <w:name w:val="xl342"/>
    <w:basedOn w:val="Normal"/>
    <w:rsid w:val="00FB7189"/>
    <w:pPr>
      <w:pBdr>
        <w:top w:val="single" w:sz="4" w:space="0" w:color="auto"/>
        <w:left w:val="single" w:sz="4" w:space="0" w:color="auto"/>
        <w:bottom w:val="single" w:sz="4" w:space="0" w:color="auto"/>
        <w:right w:val="single" w:sz="4" w:space="0" w:color="auto"/>
      </w:pBdr>
      <w:spacing w:beforeLines="1" w:afterLines="1" w:line="240" w:lineRule="auto"/>
      <w:jc w:val="center"/>
      <w:textAlignment w:val="top"/>
    </w:pPr>
    <w:rPr>
      <w:rFonts w:ascii="Times" w:hAnsi="Times"/>
      <w:b/>
      <w:bCs/>
      <w:sz w:val="20"/>
      <w:szCs w:val="20"/>
    </w:rPr>
  </w:style>
  <w:style w:type="paragraph" w:customStyle="1" w:styleId="xl343">
    <w:name w:val="xl343"/>
    <w:basedOn w:val="Normal"/>
    <w:rsid w:val="00FB7189"/>
    <w:pPr>
      <w:pBdr>
        <w:top w:val="single" w:sz="4" w:space="0" w:color="auto"/>
        <w:left w:val="single" w:sz="4" w:space="0" w:color="auto"/>
        <w:bottom w:val="single" w:sz="4" w:space="0" w:color="auto"/>
        <w:right w:val="single" w:sz="4" w:space="0" w:color="auto"/>
      </w:pBdr>
      <w:spacing w:beforeLines="1" w:afterLines="1" w:line="240" w:lineRule="auto"/>
      <w:jc w:val="center"/>
      <w:textAlignment w:val="top"/>
    </w:pPr>
    <w:rPr>
      <w:rFonts w:ascii="Times" w:hAnsi="Times"/>
      <w:b/>
      <w:bCs/>
      <w:sz w:val="20"/>
      <w:szCs w:val="20"/>
    </w:rPr>
  </w:style>
  <w:style w:type="paragraph" w:customStyle="1" w:styleId="font6">
    <w:name w:val="font6"/>
    <w:basedOn w:val="Normal"/>
    <w:rsid w:val="00FB7189"/>
    <w:pPr>
      <w:spacing w:beforeLines="1" w:afterLines="1" w:line="240" w:lineRule="auto"/>
    </w:pPr>
    <w:rPr>
      <w:rFonts w:ascii="Arial" w:hAnsi="Arial"/>
      <w:color w:val="000000"/>
      <w:sz w:val="18"/>
      <w:szCs w:val="18"/>
    </w:rPr>
  </w:style>
  <w:style w:type="paragraph" w:customStyle="1" w:styleId="font7">
    <w:name w:val="font7"/>
    <w:basedOn w:val="Normal"/>
    <w:rsid w:val="00FB7189"/>
    <w:pPr>
      <w:spacing w:beforeLines="1" w:afterLines="1" w:line="240" w:lineRule="auto"/>
    </w:pPr>
    <w:rPr>
      <w:rFonts w:ascii="Arial" w:hAnsi="Arial"/>
      <w:i/>
      <w:iCs/>
      <w:color w:val="000000"/>
      <w:sz w:val="18"/>
      <w:szCs w:val="18"/>
    </w:rPr>
  </w:style>
  <w:style w:type="paragraph" w:customStyle="1" w:styleId="xl344">
    <w:name w:val="xl344"/>
    <w:basedOn w:val="Normal"/>
    <w:rsid w:val="00FB7189"/>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jc w:val="center"/>
      <w:textAlignment w:val="center"/>
    </w:pPr>
    <w:rPr>
      <w:rFonts w:ascii="Arial" w:hAnsi="Arial"/>
      <w:b/>
      <w:bCs/>
      <w:sz w:val="18"/>
      <w:szCs w:val="18"/>
    </w:rPr>
  </w:style>
  <w:style w:type="paragraph" w:customStyle="1" w:styleId="xl345">
    <w:name w:val="xl345"/>
    <w:basedOn w:val="Normal"/>
    <w:rsid w:val="00FB7189"/>
    <w:pPr>
      <w:pBdr>
        <w:top w:val="single" w:sz="4" w:space="0" w:color="auto"/>
        <w:left w:val="single" w:sz="4" w:space="0" w:color="auto"/>
        <w:bottom w:val="single" w:sz="4" w:space="0" w:color="auto"/>
        <w:right w:val="single" w:sz="4" w:space="0" w:color="auto"/>
      </w:pBdr>
      <w:spacing w:beforeLines="1" w:afterLines="1" w:line="240" w:lineRule="auto"/>
      <w:textAlignment w:val="center"/>
    </w:pPr>
    <w:rPr>
      <w:rFonts w:ascii="Times" w:hAnsi="Times"/>
      <w:sz w:val="20"/>
      <w:szCs w:val="20"/>
    </w:rPr>
  </w:style>
  <w:style w:type="paragraph" w:customStyle="1" w:styleId="xl346">
    <w:name w:val="xl346"/>
    <w:basedOn w:val="Normal"/>
    <w:rsid w:val="00FB7189"/>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Arial" w:hAnsi="Arial"/>
      <w:b/>
      <w:bCs/>
      <w:sz w:val="20"/>
      <w:szCs w:val="20"/>
    </w:rPr>
  </w:style>
  <w:style w:type="paragraph" w:customStyle="1" w:styleId="xl347">
    <w:name w:val="xl347"/>
    <w:basedOn w:val="Normal"/>
    <w:rsid w:val="00FB7189"/>
    <w:pPr>
      <w:pBdr>
        <w:top w:val="single" w:sz="4" w:space="0" w:color="auto"/>
        <w:left w:val="single" w:sz="4" w:space="0" w:color="auto"/>
        <w:bottom w:val="single" w:sz="4" w:space="0" w:color="auto"/>
      </w:pBdr>
      <w:shd w:val="clear" w:color="auto" w:fill="C0C0C0"/>
      <w:spacing w:beforeLines="1" w:afterLines="1" w:line="240" w:lineRule="auto"/>
      <w:jc w:val="center"/>
      <w:textAlignment w:val="center"/>
    </w:pPr>
    <w:rPr>
      <w:rFonts w:ascii="Arial" w:hAnsi="Arial"/>
      <w:b/>
      <w:bCs/>
      <w:sz w:val="18"/>
      <w:szCs w:val="18"/>
    </w:rPr>
  </w:style>
  <w:style w:type="paragraph" w:customStyle="1" w:styleId="xl348">
    <w:name w:val="xl348"/>
    <w:basedOn w:val="Normal"/>
    <w:rsid w:val="00FB7189"/>
    <w:pPr>
      <w:pBdr>
        <w:top w:val="single" w:sz="4" w:space="0" w:color="auto"/>
        <w:bottom w:val="single" w:sz="4" w:space="0" w:color="auto"/>
      </w:pBdr>
      <w:shd w:val="clear" w:color="auto" w:fill="C0C0C0"/>
      <w:spacing w:beforeLines="1" w:afterLines="1" w:line="240" w:lineRule="auto"/>
      <w:jc w:val="center"/>
      <w:textAlignment w:val="center"/>
    </w:pPr>
    <w:rPr>
      <w:rFonts w:ascii="Arial" w:hAnsi="Arial"/>
      <w:b/>
      <w:bCs/>
      <w:sz w:val="18"/>
      <w:szCs w:val="18"/>
    </w:rPr>
  </w:style>
  <w:style w:type="paragraph" w:customStyle="1" w:styleId="xl349">
    <w:name w:val="xl349"/>
    <w:basedOn w:val="Normal"/>
    <w:rsid w:val="00FB7189"/>
    <w:pPr>
      <w:pBdr>
        <w:top w:val="single" w:sz="4" w:space="0" w:color="auto"/>
        <w:bottom w:val="single" w:sz="4" w:space="0" w:color="auto"/>
        <w:right w:val="single" w:sz="4" w:space="0" w:color="auto"/>
      </w:pBdr>
      <w:shd w:val="clear" w:color="auto" w:fill="C0C0C0"/>
      <w:spacing w:beforeLines="1" w:afterLines="1" w:line="240" w:lineRule="auto"/>
      <w:jc w:val="center"/>
      <w:textAlignment w:val="center"/>
    </w:pPr>
    <w:rPr>
      <w:rFonts w:ascii="Arial" w:hAnsi="Arial"/>
      <w:b/>
      <w:bCs/>
      <w:sz w:val="18"/>
      <w:szCs w:val="18"/>
    </w:rPr>
  </w:style>
  <w:style w:type="paragraph" w:customStyle="1" w:styleId="xl350">
    <w:name w:val="xl350"/>
    <w:basedOn w:val="Normal"/>
    <w:rsid w:val="00FB7189"/>
    <w:pPr>
      <w:pBdr>
        <w:top w:val="single" w:sz="4" w:space="0" w:color="auto"/>
        <w:left w:val="single" w:sz="4" w:space="0" w:color="auto"/>
        <w:bottom w:val="single" w:sz="4" w:space="0" w:color="auto"/>
      </w:pBdr>
      <w:shd w:val="clear" w:color="auto" w:fill="969696"/>
      <w:spacing w:beforeLines="1" w:afterLines="1" w:line="240" w:lineRule="auto"/>
      <w:jc w:val="center"/>
      <w:textAlignment w:val="center"/>
    </w:pPr>
    <w:rPr>
      <w:rFonts w:ascii="Arial" w:hAnsi="Arial"/>
      <w:b/>
      <w:bCs/>
      <w:sz w:val="20"/>
      <w:szCs w:val="20"/>
    </w:rPr>
  </w:style>
  <w:style w:type="paragraph" w:customStyle="1" w:styleId="xl351">
    <w:name w:val="xl351"/>
    <w:basedOn w:val="Normal"/>
    <w:rsid w:val="00FB7189"/>
    <w:pPr>
      <w:pBdr>
        <w:top w:val="single" w:sz="4" w:space="0" w:color="auto"/>
        <w:bottom w:val="single" w:sz="4" w:space="0" w:color="auto"/>
      </w:pBdr>
      <w:shd w:val="clear" w:color="auto" w:fill="969696"/>
      <w:spacing w:beforeLines="1" w:afterLines="1" w:line="240" w:lineRule="auto"/>
      <w:jc w:val="center"/>
      <w:textAlignment w:val="center"/>
    </w:pPr>
    <w:rPr>
      <w:rFonts w:ascii="Arial" w:hAnsi="Arial"/>
      <w:b/>
      <w:bCs/>
      <w:sz w:val="20"/>
      <w:szCs w:val="20"/>
    </w:rPr>
  </w:style>
  <w:style w:type="paragraph" w:customStyle="1" w:styleId="xl352">
    <w:name w:val="xl352"/>
    <w:basedOn w:val="Normal"/>
    <w:rsid w:val="00FB7189"/>
    <w:pPr>
      <w:pBdr>
        <w:top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Arial" w:hAnsi="Arial"/>
      <w:b/>
      <w:bCs/>
      <w:sz w:val="20"/>
      <w:szCs w:val="20"/>
    </w:rPr>
  </w:style>
  <w:style w:type="paragraph" w:customStyle="1" w:styleId="xl353">
    <w:name w:val="xl353"/>
    <w:basedOn w:val="Normal"/>
    <w:rsid w:val="00FB7189"/>
    <w:pPr>
      <w:pBdr>
        <w:top w:val="single" w:sz="4" w:space="0" w:color="auto"/>
        <w:left w:val="single" w:sz="4" w:space="0" w:color="auto"/>
        <w:bottom w:val="single" w:sz="4" w:space="0" w:color="auto"/>
        <w:right w:val="single" w:sz="4" w:space="0" w:color="auto"/>
      </w:pBdr>
      <w:spacing w:beforeLines="1" w:afterLines="1" w:line="240" w:lineRule="auto"/>
      <w:jc w:val="center"/>
      <w:textAlignment w:val="top"/>
    </w:pPr>
    <w:rPr>
      <w:rFonts w:ascii="Times" w:hAnsi="Times"/>
      <w:b/>
      <w:bCs/>
      <w:sz w:val="20"/>
      <w:szCs w:val="20"/>
    </w:rPr>
  </w:style>
  <w:style w:type="paragraph" w:customStyle="1" w:styleId="xl354">
    <w:name w:val="xl354"/>
    <w:basedOn w:val="Normal"/>
    <w:rsid w:val="00FB7189"/>
    <w:pPr>
      <w:pBdr>
        <w:top w:val="single" w:sz="4" w:space="0" w:color="auto"/>
        <w:left w:val="single" w:sz="4" w:space="0" w:color="auto"/>
        <w:bottom w:val="single" w:sz="4" w:space="0" w:color="auto"/>
        <w:right w:val="single" w:sz="4" w:space="0" w:color="auto"/>
      </w:pBdr>
      <w:spacing w:beforeLines="1" w:afterLines="1" w:line="240" w:lineRule="auto"/>
      <w:jc w:val="center"/>
      <w:textAlignment w:val="top"/>
    </w:pPr>
    <w:rPr>
      <w:rFonts w:ascii="Times" w:hAnsi="Times"/>
      <w:b/>
      <w:bCs/>
      <w:sz w:val="20"/>
      <w:szCs w:val="20"/>
    </w:rPr>
  </w:style>
  <w:style w:type="character" w:styleId="CommentReference">
    <w:name w:val="annotation reference"/>
    <w:basedOn w:val="DefaultParagraphFont"/>
    <w:uiPriority w:val="99"/>
    <w:rsid w:val="007E5656"/>
    <w:rPr>
      <w:sz w:val="18"/>
      <w:szCs w:val="18"/>
    </w:rPr>
  </w:style>
  <w:style w:type="paragraph" w:styleId="CommentText">
    <w:name w:val="annotation text"/>
    <w:aliases w:val="Char1"/>
    <w:basedOn w:val="Normal"/>
    <w:link w:val="CommentTextChar"/>
    <w:uiPriority w:val="99"/>
    <w:rsid w:val="007E5656"/>
    <w:pPr>
      <w:spacing w:line="240" w:lineRule="auto"/>
    </w:pPr>
    <w:rPr>
      <w:sz w:val="24"/>
      <w:szCs w:val="24"/>
    </w:rPr>
  </w:style>
  <w:style w:type="character" w:customStyle="1" w:styleId="CommentTextChar">
    <w:name w:val="Comment Text Char"/>
    <w:aliases w:val="Char1 Char"/>
    <w:basedOn w:val="DefaultParagraphFont"/>
    <w:link w:val="CommentText"/>
    <w:uiPriority w:val="99"/>
    <w:rsid w:val="007E5656"/>
    <w:rPr>
      <w:sz w:val="24"/>
      <w:szCs w:val="24"/>
    </w:rPr>
  </w:style>
  <w:style w:type="paragraph" w:styleId="CommentSubject">
    <w:name w:val="annotation subject"/>
    <w:basedOn w:val="CommentText"/>
    <w:next w:val="CommentText"/>
    <w:link w:val="CommentSubjectChar"/>
    <w:uiPriority w:val="99"/>
    <w:rsid w:val="007E5656"/>
    <w:rPr>
      <w:b/>
      <w:bCs/>
      <w:sz w:val="20"/>
      <w:szCs w:val="20"/>
    </w:rPr>
  </w:style>
  <w:style w:type="character" w:customStyle="1" w:styleId="CommentSubjectChar">
    <w:name w:val="Comment Subject Char"/>
    <w:basedOn w:val="CommentTextChar"/>
    <w:link w:val="CommentSubject"/>
    <w:uiPriority w:val="99"/>
    <w:rsid w:val="007E5656"/>
    <w:rPr>
      <w:b/>
      <w:bCs/>
      <w:sz w:val="20"/>
      <w:szCs w:val="20"/>
    </w:rPr>
  </w:style>
  <w:style w:type="table" w:styleId="TableGrid">
    <w:name w:val="Table Grid"/>
    <w:basedOn w:val="TableNormal"/>
    <w:uiPriority w:val="59"/>
    <w:rsid w:val="00B72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80986"/>
    <w:rPr>
      <w:rFonts w:ascii="Times New Roman" w:eastAsia="MS Mincho" w:hAnsi="Times New Roman" w:cs="Times New Roman"/>
      <w:b/>
      <w:sz w:val="28"/>
      <w:szCs w:val="20"/>
    </w:rPr>
  </w:style>
  <w:style w:type="paragraph" w:customStyle="1" w:styleId="Coverpagetitle">
    <w:name w:val="Cover page title"/>
    <w:basedOn w:val="Normal"/>
    <w:rsid w:val="00280986"/>
    <w:pPr>
      <w:spacing w:after="0" w:line="240" w:lineRule="auto"/>
    </w:pPr>
    <w:rPr>
      <w:rFonts w:ascii="Arial" w:eastAsia="Times New Roman" w:hAnsi="Arial" w:cs="Times New Roman"/>
      <w:color w:val="091C5A"/>
      <w:sz w:val="36"/>
      <w:szCs w:val="20"/>
      <w:lang w:val="en-GB"/>
    </w:rPr>
  </w:style>
  <w:style w:type="paragraph" w:customStyle="1" w:styleId="Coverpageclientname">
    <w:name w:val="Cover page client name"/>
    <w:basedOn w:val="Coverpagetitle"/>
    <w:rsid w:val="00280986"/>
    <w:rPr>
      <w:color w:val="B3DC1F"/>
      <w:sz w:val="28"/>
    </w:rPr>
  </w:style>
  <w:style w:type="paragraph" w:customStyle="1" w:styleId="CharCharCharCharCharCharChar">
    <w:name w:val="Char Char Char Char Char Char Char"/>
    <w:basedOn w:val="Normal"/>
    <w:rsid w:val="00280986"/>
    <w:pPr>
      <w:spacing w:after="160" w:line="240" w:lineRule="exact"/>
    </w:pPr>
    <w:rPr>
      <w:rFonts w:ascii="Arial" w:eastAsia="Times New Roman" w:hAnsi="Arial" w:cs="Arial"/>
      <w:sz w:val="20"/>
      <w:szCs w:val="20"/>
    </w:rPr>
  </w:style>
  <w:style w:type="paragraph" w:customStyle="1" w:styleId="xmsolistparagraph">
    <w:name w:val="x_msolistparagraph"/>
    <w:basedOn w:val="Normal"/>
    <w:rsid w:val="00E25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style-span">
    <w:name w:val="x_apple-style-span"/>
    <w:basedOn w:val="DefaultParagraphFont"/>
    <w:rsid w:val="00E25936"/>
  </w:style>
  <w:style w:type="paragraph" w:styleId="EndnoteText">
    <w:name w:val="endnote text"/>
    <w:basedOn w:val="Normal"/>
    <w:link w:val="EndnoteTextChar"/>
    <w:uiPriority w:val="99"/>
    <w:rsid w:val="00C049B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C049B0"/>
    <w:rPr>
      <w:rFonts w:ascii="Times New Roman" w:eastAsia="Times New Roman" w:hAnsi="Times New Roman" w:cs="Times New Roman"/>
      <w:sz w:val="20"/>
      <w:szCs w:val="20"/>
    </w:rPr>
  </w:style>
  <w:style w:type="paragraph" w:styleId="PlainText">
    <w:name w:val="Plain Text"/>
    <w:basedOn w:val="Normal"/>
    <w:link w:val="PlainTextChar"/>
    <w:uiPriority w:val="99"/>
    <w:rsid w:val="001173E4"/>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1173E4"/>
    <w:rPr>
      <w:rFonts w:ascii="Consolas" w:eastAsia="Calibri" w:hAnsi="Consolas" w:cs="Consolas"/>
      <w:sz w:val="21"/>
      <w:szCs w:val="21"/>
    </w:rPr>
  </w:style>
  <w:style w:type="paragraph" w:styleId="TOC4">
    <w:name w:val="toc 4"/>
    <w:basedOn w:val="Normal"/>
    <w:autoRedefine/>
    <w:uiPriority w:val="39"/>
    <w:unhideWhenUsed/>
    <w:rsid w:val="002C22BB"/>
    <w:pPr>
      <w:spacing w:after="0" w:line="240" w:lineRule="auto"/>
      <w:ind w:left="360" w:hanging="360"/>
      <w:jc w:val="both"/>
    </w:pPr>
    <w:rPr>
      <w:rFonts w:ascii="Calibri" w:eastAsia="Calibri" w:hAnsi="Calibri" w:cs="Times New Roman"/>
    </w:rPr>
  </w:style>
  <w:style w:type="character" w:customStyle="1" w:styleId="style31">
    <w:name w:val="style31"/>
    <w:basedOn w:val="DefaultParagraphFont"/>
    <w:rsid w:val="002C22BB"/>
    <w:rPr>
      <w:sz w:val="24"/>
      <w:szCs w:val="24"/>
    </w:rPr>
  </w:style>
  <w:style w:type="paragraph" w:customStyle="1" w:styleId="ColorfulList-Accent11">
    <w:name w:val="Colorful List - Accent 11"/>
    <w:basedOn w:val="Normal"/>
    <w:uiPriority w:val="99"/>
    <w:qFormat/>
    <w:rsid w:val="00786730"/>
    <w:pPr>
      <w:ind w:left="720"/>
      <w:contextualSpacing/>
    </w:pPr>
    <w:rPr>
      <w:rFonts w:ascii="Calibri" w:eastAsia="Calibri" w:hAnsi="Calibri" w:cs="Times New Roman"/>
    </w:rPr>
  </w:style>
  <w:style w:type="character" w:customStyle="1" w:styleId="ListParagraphChar">
    <w:name w:val="List Paragraph Char"/>
    <w:link w:val="ListParagraph"/>
    <w:uiPriority w:val="34"/>
    <w:rsid w:val="00786730"/>
  </w:style>
  <w:style w:type="character" w:customStyle="1" w:styleId="apple-style-span">
    <w:name w:val="apple-style-span"/>
    <w:basedOn w:val="DefaultParagraphFont"/>
    <w:rsid w:val="00786730"/>
  </w:style>
  <w:style w:type="character" w:customStyle="1" w:styleId="CommentTextChar1">
    <w:name w:val="Comment Text Char1"/>
    <w:aliases w:val="Char1 Char1"/>
    <w:uiPriority w:val="99"/>
    <w:locked/>
    <w:rsid w:val="00C914C5"/>
    <w:rPr>
      <w:rFonts w:ascii="Calibri" w:eastAsia="Calibri" w:hAnsi="Calibri" w:cs="Times New Roman"/>
      <w:sz w:val="20"/>
      <w:szCs w:val="20"/>
    </w:rPr>
  </w:style>
  <w:style w:type="character" w:customStyle="1" w:styleId="Normal2">
    <w:name w:val="Normal2"/>
    <w:basedOn w:val="DefaultParagraphFont"/>
    <w:rsid w:val="008C7FC4"/>
  </w:style>
  <w:style w:type="paragraph" w:styleId="NormalWeb">
    <w:name w:val="Normal (Web)"/>
    <w:basedOn w:val="Normal"/>
    <w:uiPriority w:val="99"/>
    <w:unhideWhenUsed/>
    <w:rsid w:val="00BA40DA"/>
    <w:pPr>
      <w:spacing w:before="100" w:beforeAutospacing="1" w:after="100" w:afterAutospacing="1" w:line="312" w:lineRule="auto"/>
    </w:pPr>
    <w:rPr>
      <w:rFonts w:ascii="Times New Roman" w:eastAsiaTheme="minorHAnsi" w:hAnsi="Times New Roman" w:cs="Times New Roman"/>
      <w:sz w:val="24"/>
      <w:szCs w:val="24"/>
    </w:rPr>
  </w:style>
  <w:style w:type="paragraph" w:styleId="TOC1">
    <w:name w:val="toc 1"/>
    <w:basedOn w:val="Normal"/>
    <w:next w:val="Normal"/>
    <w:autoRedefine/>
    <w:rsid w:val="00410CED"/>
  </w:style>
  <w:style w:type="paragraph" w:styleId="TOC2">
    <w:name w:val="toc 2"/>
    <w:basedOn w:val="Normal"/>
    <w:next w:val="Normal"/>
    <w:autoRedefine/>
    <w:rsid w:val="00410CED"/>
    <w:pPr>
      <w:ind w:left="220"/>
    </w:pPr>
  </w:style>
  <w:style w:type="paragraph" w:styleId="TOC3">
    <w:name w:val="toc 3"/>
    <w:basedOn w:val="Normal"/>
    <w:next w:val="Normal"/>
    <w:autoRedefine/>
    <w:rsid w:val="00410CED"/>
    <w:pPr>
      <w:ind w:left="440"/>
    </w:pPr>
  </w:style>
  <w:style w:type="paragraph" w:styleId="TOC5">
    <w:name w:val="toc 5"/>
    <w:basedOn w:val="Normal"/>
    <w:next w:val="Normal"/>
    <w:autoRedefine/>
    <w:rsid w:val="00410CED"/>
    <w:pPr>
      <w:ind w:left="880"/>
    </w:pPr>
  </w:style>
  <w:style w:type="paragraph" w:styleId="TOC6">
    <w:name w:val="toc 6"/>
    <w:basedOn w:val="Normal"/>
    <w:next w:val="Normal"/>
    <w:autoRedefine/>
    <w:rsid w:val="00410CED"/>
    <w:pPr>
      <w:ind w:left="1100"/>
    </w:pPr>
  </w:style>
  <w:style w:type="paragraph" w:styleId="TOC7">
    <w:name w:val="toc 7"/>
    <w:basedOn w:val="Normal"/>
    <w:next w:val="Normal"/>
    <w:autoRedefine/>
    <w:rsid w:val="00410CED"/>
    <w:pPr>
      <w:ind w:left="1320"/>
    </w:pPr>
  </w:style>
  <w:style w:type="paragraph" w:styleId="TOC8">
    <w:name w:val="toc 8"/>
    <w:basedOn w:val="Normal"/>
    <w:next w:val="Normal"/>
    <w:autoRedefine/>
    <w:rsid w:val="00410CED"/>
    <w:pPr>
      <w:ind w:left="1540"/>
    </w:pPr>
  </w:style>
  <w:style w:type="paragraph" w:styleId="TOC9">
    <w:name w:val="toc 9"/>
    <w:basedOn w:val="Normal"/>
    <w:next w:val="Normal"/>
    <w:autoRedefine/>
    <w:rsid w:val="00410CED"/>
    <w:pPr>
      <w:ind w:left="1760"/>
    </w:pPr>
  </w:style>
  <w:style w:type="character" w:customStyle="1" w:styleId="Heading3Char">
    <w:name w:val="Heading 3 Char"/>
    <w:basedOn w:val="DefaultParagraphFont"/>
    <w:link w:val="Heading3"/>
    <w:uiPriority w:val="9"/>
    <w:rsid w:val="00E902F0"/>
    <w:rPr>
      <w:rFonts w:asciiTheme="majorHAnsi" w:eastAsiaTheme="majorEastAsia" w:hAnsiTheme="majorHAnsi" w:cstheme="majorBidi"/>
      <w:b/>
      <w:bCs/>
      <w:color w:val="4F81BD" w:themeColor="accent1"/>
      <w:lang w:val="en-GB" w:eastAsia="en-GB"/>
    </w:rPr>
  </w:style>
  <w:style w:type="character" w:customStyle="1" w:styleId="Normal20">
    <w:name w:val="Normal2"/>
    <w:basedOn w:val="DefaultParagraphFont"/>
    <w:rsid w:val="00545F4F"/>
  </w:style>
  <w:style w:type="character" w:styleId="EndnoteReference">
    <w:name w:val="endnote reference"/>
    <w:basedOn w:val="DefaultParagraphFont"/>
    <w:uiPriority w:val="99"/>
    <w:unhideWhenUsed/>
    <w:rsid w:val="00763F80"/>
    <w:rPr>
      <w:vertAlign w:val="superscript"/>
    </w:rPr>
  </w:style>
  <w:style w:type="paragraph" w:styleId="z-TopofForm">
    <w:name w:val="HTML Top of Form"/>
    <w:basedOn w:val="Normal"/>
    <w:next w:val="Normal"/>
    <w:link w:val="z-TopofFormChar"/>
    <w:hidden/>
    <w:uiPriority w:val="99"/>
    <w:unhideWhenUsed/>
    <w:rsid w:val="005B51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5B51B2"/>
    <w:rPr>
      <w:rFonts w:ascii="Arial" w:eastAsia="Times New Roman" w:hAnsi="Arial" w:cs="Arial"/>
      <w:vanish/>
      <w:sz w:val="16"/>
      <w:szCs w:val="16"/>
    </w:rPr>
  </w:style>
  <w:style w:type="character" w:customStyle="1" w:styleId="ms-cui-qatrowcenter">
    <w:name w:val="ms-cui-qatrowcenter"/>
    <w:basedOn w:val="DefaultParagraphFont"/>
    <w:rsid w:val="005B51B2"/>
  </w:style>
  <w:style w:type="character" w:customStyle="1" w:styleId="ms-cui-qatrowright">
    <w:name w:val="ms-cui-qatrowright"/>
    <w:basedOn w:val="DefaultParagraphFont"/>
    <w:rsid w:val="005B51B2"/>
  </w:style>
  <w:style w:type="character" w:customStyle="1" w:styleId="ms-cui-jewel-jewelmenulauncher">
    <w:name w:val="ms-cui-jewel-jewelmenulauncher"/>
    <w:basedOn w:val="DefaultParagraphFont"/>
    <w:rsid w:val="005B51B2"/>
  </w:style>
  <w:style w:type="character" w:customStyle="1" w:styleId="ms-cui-jewel-label">
    <w:name w:val="ms-cui-jewel-label"/>
    <w:basedOn w:val="DefaultParagraphFont"/>
    <w:rsid w:val="005B51B2"/>
  </w:style>
  <w:style w:type="character" w:customStyle="1" w:styleId="ms-cui-toolbar-buttondock">
    <w:name w:val="ms-cui-toolbar-buttondock"/>
    <w:basedOn w:val="DefaultParagraphFont"/>
    <w:rsid w:val="005B51B2"/>
  </w:style>
  <w:style w:type="character" w:customStyle="1" w:styleId="ms-cui-ctl-mediumlabel">
    <w:name w:val="ms-cui-ctl-mediumlabel"/>
    <w:basedOn w:val="DefaultParagraphFont"/>
    <w:rsid w:val="005B51B2"/>
  </w:style>
  <w:style w:type="character" w:customStyle="1" w:styleId="ms-cui-cb">
    <w:name w:val="ms-cui-cb"/>
    <w:basedOn w:val="DefaultParagraphFont"/>
    <w:rsid w:val="005B51B2"/>
  </w:style>
  <w:style w:type="character" w:customStyle="1" w:styleId="ms-cui-ctl-small">
    <w:name w:val="ms-cui-ctl-small"/>
    <w:basedOn w:val="DefaultParagraphFont"/>
    <w:rsid w:val="005B51B2"/>
  </w:style>
  <w:style w:type="paragraph" w:styleId="z-BottomofForm">
    <w:name w:val="HTML Bottom of Form"/>
    <w:basedOn w:val="Normal"/>
    <w:next w:val="Normal"/>
    <w:link w:val="z-BottomofFormChar"/>
    <w:hidden/>
    <w:uiPriority w:val="99"/>
    <w:unhideWhenUsed/>
    <w:rsid w:val="005B51B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B51B2"/>
    <w:rPr>
      <w:rFonts w:ascii="Arial" w:eastAsia="Times New Roman" w:hAnsi="Arial" w:cs="Arial"/>
      <w:vanish/>
      <w:sz w:val="16"/>
      <w:szCs w:val="16"/>
    </w:rPr>
  </w:style>
  <w:style w:type="paragraph" w:customStyle="1" w:styleId="BVIfnrCarCar">
    <w:name w:val="BVI fnr Car Car"/>
    <w:aliases w:val="BVI fnr Car,BVI fnr Car Car Car Car"/>
    <w:basedOn w:val="Normal"/>
    <w:link w:val="FootnoteReference"/>
    <w:rsid w:val="00AE01D6"/>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5735">
      <w:bodyDiv w:val="1"/>
      <w:marLeft w:val="0"/>
      <w:marRight w:val="0"/>
      <w:marTop w:val="0"/>
      <w:marBottom w:val="0"/>
      <w:divBdr>
        <w:top w:val="none" w:sz="0" w:space="0" w:color="auto"/>
        <w:left w:val="none" w:sz="0" w:space="0" w:color="auto"/>
        <w:bottom w:val="none" w:sz="0" w:space="0" w:color="auto"/>
        <w:right w:val="none" w:sz="0" w:space="0" w:color="auto"/>
      </w:divBdr>
      <w:divsChild>
        <w:div w:id="43214865">
          <w:marLeft w:val="0"/>
          <w:marRight w:val="0"/>
          <w:marTop w:val="0"/>
          <w:marBottom w:val="0"/>
          <w:divBdr>
            <w:top w:val="none" w:sz="0" w:space="0" w:color="auto"/>
            <w:left w:val="none" w:sz="0" w:space="0" w:color="auto"/>
            <w:bottom w:val="none" w:sz="0" w:space="0" w:color="auto"/>
            <w:right w:val="none" w:sz="0" w:space="0" w:color="auto"/>
          </w:divBdr>
          <w:divsChild>
            <w:div w:id="1459256494">
              <w:marLeft w:val="0"/>
              <w:marRight w:val="0"/>
              <w:marTop w:val="0"/>
              <w:marBottom w:val="0"/>
              <w:divBdr>
                <w:top w:val="none" w:sz="0" w:space="0" w:color="auto"/>
                <w:left w:val="none" w:sz="0" w:space="0" w:color="auto"/>
                <w:bottom w:val="none" w:sz="0" w:space="0" w:color="auto"/>
                <w:right w:val="none" w:sz="0" w:space="0" w:color="auto"/>
              </w:divBdr>
              <w:divsChild>
                <w:div w:id="1141266123">
                  <w:marLeft w:val="0"/>
                  <w:marRight w:val="0"/>
                  <w:marTop w:val="0"/>
                  <w:marBottom w:val="0"/>
                  <w:divBdr>
                    <w:top w:val="none" w:sz="0" w:space="0" w:color="auto"/>
                    <w:left w:val="none" w:sz="0" w:space="0" w:color="auto"/>
                    <w:bottom w:val="none" w:sz="0" w:space="0" w:color="auto"/>
                    <w:right w:val="none" w:sz="0" w:space="0" w:color="auto"/>
                  </w:divBdr>
                </w:div>
              </w:divsChild>
            </w:div>
            <w:div w:id="265699456">
              <w:marLeft w:val="0"/>
              <w:marRight w:val="0"/>
              <w:marTop w:val="0"/>
              <w:marBottom w:val="0"/>
              <w:divBdr>
                <w:top w:val="none" w:sz="0" w:space="0" w:color="auto"/>
                <w:left w:val="none" w:sz="0" w:space="0" w:color="auto"/>
                <w:bottom w:val="none" w:sz="0" w:space="0" w:color="auto"/>
                <w:right w:val="none" w:sz="0" w:space="0" w:color="auto"/>
              </w:divBdr>
              <w:divsChild>
                <w:div w:id="1019114147">
                  <w:marLeft w:val="0"/>
                  <w:marRight w:val="0"/>
                  <w:marTop w:val="0"/>
                  <w:marBottom w:val="0"/>
                  <w:divBdr>
                    <w:top w:val="none" w:sz="0" w:space="0" w:color="auto"/>
                    <w:left w:val="none" w:sz="0" w:space="0" w:color="auto"/>
                    <w:bottom w:val="none" w:sz="0" w:space="0" w:color="auto"/>
                    <w:right w:val="none" w:sz="0" w:space="0" w:color="auto"/>
                  </w:divBdr>
                </w:div>
              </w:divsChild>
            </w:div>
            <w:div w:id="83034117">
              <w:marLeft w:val="0"/>
              <w:marRight w:val="0"/>
              <w:marTop w:val="0"/>
              <w:marBottom w:val="0"/>
              <w:divBdr>
                <w:top w:val="none" w:sz="0" w:space="0" w:color="auto"/>
                <w:left w:val="none" w:sz="0" w:space="0" w:color="auto"/>
                <w:bottom w:val="none" w:sz="0" w:space="0" w:color="auto"/>
                <w:right w:val="none" w:sz="0" w:space="0" w:color="auto"/>
              </w:divBdr>
              <w:divsChild>
                <w:div w:id="470638839">
                  <w:marLeft w:val="0"/>
                  <w:marRight w:val="0"/>
                  <w:marTop w:val="0"/>
                  <w:marBottom w:val="0"/>
                  <w:divBdr>
                    <w:top w:val="none" w:sz="0" w:space="0" w:color="auto"/>
                    <w:left w:val="none" w:sz="0" w:space="0" w:color="auto"/>
                    <w:bottom w:val="none" w:sz="0" w:space="0" w:color="auto"/>
                    <w:right w:val="none" w:sz="0" w:space="0" w:color="auto"/>
                  </w:divBdr>
                </w:div>
              </w:divsChild>
            </w:div>
            <w:div w:id="185796095">
              <w:marLeft w:val="0"/>
              <w:marRight w:val="0"/>
              <w:marTop w:val="0"/>
              <w:marBottom w:val="0"/>
              <w:divBdr>
                <w:top w:val="none" w:sz="0" w:space="0" w:color="auto"/>
                <w:left w:val="none" w:sz="0" w:space="0" w:color="auto"/>
                <w:bottom w:val="none" w:sz="0" w:space="0" w:color="auto"/>
                <w:right w:val="none" w:sz="0" w:space="0" w:color="auto"/>
              </w:divBdr>
              <w:divsChild>
                <w:div w:id="1099906519">
                  <w:marLeft w:val="0"/>
                  <w:marRight w:val="0"/>
                  <w:marTop w:val="0"/>
                  <w:marBottom w:val="0"/>
                  <w:divBdr>
                    <w:top w:val="none" w:sz="0" w:space="0" w:color="auto"/>
                    <w:left w:val="none" w:sz="0" w:space="0" w:color="auto"/>
                    <w:bottom w:val="none" w:sz="0" w:space="0" w:color="auto"/>
                    <w:right w:val="none" w:sz="0" w:space="0" w:color="auto"/>
                  </w:divBdr>
                </w:div>
              </w:divsChild>
            </w:div>
            <w:div w:id="1319067217">
              <w:marLeft w:val="0"/>
              <w:marRight w:val="0"/>
              <w:marTop w:val="0"/>
              <w:marBottom w:val="0"/>
              <w:divBdr>
                <w:top w:val="none" w:sz="0" w:space="0" w:color="auto"/>
                <w:left w:val="none" w:sz="0" w:space="0" w:color="auto"/>
                <w:bottom w:val="none" w:sz="0" w:space="0" w:color="auto"/>
                <w:right w:val="none" w:sz="0" w:space="0" w:color="auto"/>
              </w:divBdr>
              <w:divsChild>
                <w:div w:id="536894686">
                  <w:marLeft w:val="0"/>
                  <w:marRight w:val="0"/>
                  <w:marTop w:val="0"/>
                  <w:marBottom w:val="0"/>
                  <w:divBdr>
                    <w:top w:val="none" w:sz="0" w:space="0" w:color="auto"/>
                    <w:left w:val="none" w:sz="0" w:space="0" w:color="auto"/>
                    <w:bottom w:val="none" w:sz="0" w:space="0" w:color="auto"/>
                    <w:right w:val="none" w:sz="0" w:space="0" w:color="auto"/>
                  </w:divBdr>
                </w:div>
              </w:divsChild>
            </w:div>
            <w:div w:id="330528427">
              <w:marLeft w:val="0"/>
              <w:marRight w:val="0"/>
              <w:marTop w:val="0"/>
              <w:marBottom w:val="0"/>
              <w:divBdr>
                <w:top w:val="none" w:sz="0" w:space="0" w:color="auto"/>
                <w:left w:val="none" w:sz="0" w:space="0" w:color="auto"/>
                <w:bottom w:val="none" w:sz="0" w:space="0" w:color="auto"/>
                <w:right w:val="none" w:sz="0" w:space="0" w:color="auto"/>
              </w:divBdr>
              <w:divsChild>
                <w:div w:id="2117403759">
                  <w:marLeft w:val="0"/>
                  <w:marRight w:val="0"/>
                  <w:marTop w:val="0"/>
                  <w:marBottom w:val="0"/>
                  <w:divBdr>
                    <w:top w:val="none" w:sz="0" w:space="0" w:color="auto"/>
                    <w:left w:val="none" w:sz="0" w:space="0" w:color="auto"/>
                    <w:bottom w:val="none" w:sz="0" w:space="0" w:color="auto"/>
                    <w:right w:val="none" w:sz="0" w:space="0" w:color="auto"/>
                  </w:divBdr>
                </w:div>
              </w:divsChild>
            </w:div>
            <w:div w:id="511340342">
              <w:marLeft w:val="0"/>
              <w:marRight w:val="0"/>
              <w:marTop w:val="0"/>
              <w:marBottom w:val="0"/>
              <w:divBdr>
                <w:top w:val="none" w:sz="0" w:space="0" w:color="auto"/>
                <w:left w:val="none" w:sz="0" w:space="0" w:color="auto"/>
                <w:bottom w:val="none" w:sz="0" w:space="0" w:color="auto"/>
                <w:right w:val="none" w:sz="0" w:space="0" w:color="auto"/>
              </w:divBdr>
              <w:divsChild>
                <w:div w:id="414596261">
                  <w:marLeft w:val="0"/>
                  <w:marRight w:val="0"/>
                  <w:marTop w:val="0"/>
                  <w:marBottom w:val="0"/>
                  <w:divBdr>
                    <w:top w:val="none" w:sz="0" w:space="0" w:color="auto"/>
                    <w:left w:val="none" w:sz="0" w:space="0" w:color="auto"/>
                    <w:bottom w:val="none" w:sz="0" w:space="0" w:color="auto"/>
                    <w:right w:val="none" w:sz="0" w:space="0" w:color="auto"/>
                  </w:divBdr>
                </w:div>
              </w:divsChild>
            </w:div>
            <w:div w:id="398328111">
              <w:marLeft w:val="0"/>
              <w:marRight w:val="0"/>
              <w:marTop w:val="0"/>
              <w:marBottom w:val="0"/>
              <w:divBdr>
                <w:top w:val="none" w:sz="0" w:space="0" w:color="auto"/>
                <w:left w:val="none" w:sz="0" w:space="0" w:color="auto"/>
                <w:bottom w:val="none" w:sz="0" w:space="0" w:color="auto"/>
                <w:right w:val="none" w:sz="0" w:space="0" w:color="auto"/>
              </w:divBdr>
              <w:divsChild>
                <w:div w:id="626860302">
                  <w:marLeft w:val="0"/>
                  <w:marRight w:val="0"/>
                  <w:marTop w:val="0"/>
                  <w:marBottom w:val="0"/>
                  <w:divBdr>
                    <w:top w:val="none" w:sz="0" w:space="0" w:color="auto"/>
                    <w:left w:val="none" w:sz="0" w:space="0" w:color="auto"/>
                    <w:bottom w:val="none" w:sz="0" w:space="0" w:color="auto"/>
                    <w:right w:val="none" w:sz="0" w:space="0" w:color="auto"/>
                  </w:divBdr>
                </w:div>
              </w:divsChild>
            </w:div>
            <w:div w:id="1044451559">
              <w:marLeft w:val="0"/>
              <w:marRight w:val="0"/>
              <w:marTop w:val="0"/>
              <w:marBottom w:val="0"/>
              <w:divBdr>
                <w:top w:val="none" w:sz="0" w:space="0" w:color="auto"/>
                <w:left w:val="none" w:sz="0" w:space="0" w:color="auto"/>
                <w:bottom w:val="none" w:sz="0" w:space="0" w:color="auto"/>
                <w:right w:val="none" w:sz="0" w:space="0" w:color="auto"/>
              </w:divBdr>
              <w:divsChild>
                <w:div w:id="1632708696">
                  <w:marLeft w:val="0"/>
                  <w:marRight w:val="0"/>
                  <w:marTop w:val="0"/>
                  <w:marBottom w:val="0"/>
                  <w:divBdr>
                    <w:top w:val="none" w:sz="0" w:space="0" w:color="auto"/>
                    <w:left w:val="none" w:sz="0" w:space="0" w:color="auto"/>
                    <w:bottom w:val="none" w:sz="0" w:space="0" w:color="auto"/>
                    <w:right w:val="none" w:sz="0" w:space="0" w:color="auto"/>
                  </w:divBdr>
                </w:div>
              </w:divsChild>
            </w:div>
            <w:div w:id="374472793">
              <w:marLeft w:val="0"/>
              <w:marRight w:val="0"/>
              <w:marTop w:val="0"/>
              <w:marBottom w:val="0"/>
              <w:divBdr>
                <w:top w:val="none" w:sz="0" w:space="0" w:color="auto"/>
                <w:left w:val="none" w:sz="0" w:space="0" w:color="auto"/>
                <w:bottom w:val="none" w:sz="0" w:space="0" w:color="auto"/>
                <w:right w:val="none" w:sz="0" w:space="0" w:color="auto"/>
              </w:divBdr>
              <w:divsChild>
                <w:div w:id="2132940255">
                  <w:marLeft w:val="0"/>
                  <w:marRight w:val="0"/>
                  <w:marTop w:val="0"/>
                  <w:marBottom w:val="0"/>
                  <w:divBdr>
                    <w:top w:val="none" w:sz="0" w:space="0" w:color="auto"/>
                    <w:left w:val="none" w:sz="0" w:space="0" w:color="auto"/>
                    <w:bottom w:val="none" w:sz="0" w:space="0" w:color="auto"/>
                    <w:right w:val="none" w:sz="0" w:space="0" w:color="auto"/>
                  </w:divBdr>
                </w:div>
              </w:divsChild>
            </w:div>
            <w:div w:id="1768966293">
              <w:marLeft w:val="0"/>
              <w:marRight w:val="0"/>
              <w:marTop w:val="0"/>
              <w:marBottom w:val="0"/>
              <w:divBdr>
                <w:top w:val="none" w:sz="0" w:space="0" w:color="auto"/>
                <w:left w:val="none" w:sz="0" w:space="0" w:color="auto"/>
                <w:bottom w:val="none" w:sz="0" w:space="0" w:color="auto"/>
                <w:right w:val="none" w:sz="0" w:space="0" w:color="auto"/>
              </w:divBdr>
              <w:divsChild>
                <w:div w:id="1516848813">
                  <w:marLeft w:val="0"/>
                  <w:marRight w:val="0"/>
                  <w:marTop w:val="0"/>
                  <w:marBottom w:val="0"/>
                  <w:divBdr>
                    <w:top w:val="none" w:sz="0" w:space="0" w:color="auto"/>
                    <w:left w:val="none" w:sz="0" w:space="0" w:color="auto"/>
                    <w:bottom w:val="none" w:sz="0" w:space="0" w:color="auto"/>
                    <w:right w:val="none" w:sz="0" w:space="0" w:color="auto"/>
                  </w:divBdr>
                </w:div>
              </w:divsChild>
            </w:div>
            <w:div w:id="510874024">
              <w:marLeft w:val="0"/>
              <w:marRight w:val="0"/>
              <w:marTop w:val="0"/>
              <w:marBottom w:val="0"/>
              <w:divBdr>
                <w:top w:val="none" w:sz="0" w:space="0" w:color="auto"/>
                <w:left w:val="none" w:sz="0" w:space="0" w:color="auto"/>
                <w:bottom w:val="none" w:sz="0" w:space="0" w:color="auto"/>
                <w:right w:val="none" w:sz="0" w:space="0" w:color="auto"/>
              </w:divBdr>
              <w:divsChild>
                <w:div w:id="173686632">
                  <w:marLeft w:val="0"/>
                  <w:marRight w:val="0"/>
                  <w:marTop w:val="0"/>
                  <w:marBottom w:val="0"/>
                  <w:divBdr>
                    <w:top w:val="none" w:sz="0" w:space="0" w:color="auto"/>
                    <w:left w:val="none" w:sz="0" w:space="0" w:color="auto"/>
                    <w:bottom w:val="none" w:sz="0" w:space="0" w:color="auto"/>
                    <w:right w:val="none" w:sz="0" w:space="0" w:color="auto"/>
                  </w:divBdr>
                </w:div>
              </w:divsChild>
            </w:div>
            <w:div w:id="2076081017">
              <w:marLeft w:val="0"/>
              <w:marRight w:val="0"/>
              <w:marTop w:val="0"/>
              <w:marBottom w:val="0"/>
              <w:divBdr>
                <w:top w:val="none" w:sz="0" w:space="0" w:color="auto"/>
                <w:left w:val="none" w:sz="0" w:space="0" w:color="auto"/>
                <w:bottom w:val="none" w:sz="0" w:space="0" w:color="auto"/>
                <w:right w:val="none" w:sz="0" w:space="0" w:color="auto"/>
              </w:divBdr>
              <w:divsChild>
                <w:div w:id="8393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3895">
      <w:bodyDiv w:val="1"/>
      <w:marLeft w:val="0"/>
      <w:marRight w:val="0"/>
      <w:marTop w:val="0"/>
      <w:marBottom w:val="0"/>
      <w:divBdr>
        <w:top w:val="none" w:sz="0" w:space="0" w:color="auto"/>
        <w:left w:val="none" w:sz="0" w:space="0" w:color="auto"/>
        <w:bottom w:val="none" w:sz="0" w:space="0" w:color="auto"/>
        <w:right w:val="none" w:sz="0" w:space="0" w:color="auto"/>
      </w:divBdr>
    </w:div>
    <w:div w:id="104426787">
      <w:bodyDiv w:val="1"/>
      <w:marLeft w:val="0"/>
      <w:marRight w:val="0"/>
      <w:marTop w:val="0"/>
      <w:marBottom w:val="0"/>
      <w:divBdr>
        <w:top w:val="none" w:sz="0" w:space="0" w:color="auto"/>
        <w:left w:val="none" w:sz="0" w:space="0" w:color="auto"/>
        <w:bottom w:val="none" w:sz="0" w:space="0" w:color="auto"/>
        <w:right w:val="none" w:sz="0" w:space="0" w:color="auto"/>
      </w:divBdr>
    </w:div>
    <w:div w:id="163787904">
      <w:bodyDiv w:val="1"/>
      <w:marLeft w:val="0"/>
      <w:marRight w:val="0"/>
      <w:marTop w:val="0"/>
      <w:marBottom w:val="0"/>
      <w:divBdr>
        <w:top w:val="none" w:sz="0" w:space="0" w:color="auto"/>
        <w:left w:val="none" w:sz="0" w:space="0" w:color="auto"/>
        <w:bottom w:val="none" w:sz="0" w:space="0" w:color="auto"/>
        <w:right w:val="none" w:sz="0" w:space="0" w:color="auto"/>
      </w:divBdr>
    </w:div>
    <w:div w:id="197352537">
      <w:bodyDiv w:val="1"/>
      <w:marLeft w:val="0"/>
      <w:marRight w:val="0"/>
      <w:marTop w:val="0"/>
      <w:marBottom w:val="0"/>
      <w:divBdr>
        <w:top w:val="none" w:sz="0" w:space="0" w:color="auto"/>
        <w:left w:val="none" w:sz="0" w:space="0" w:color="auto"/>
        <w:bottom w:val="none" w:sz="0" w:space="0" w:color="auto"/>
        <w:right w:val="none" w:sz="0" w:space="0" w:color="auto"/>
      </w:divBdr>
    </w:div>
    <w:div w:id="223372510">
      <w:bodyDiv w:val="1"/>
      <w:marLeft w:val="0"/>
      <w:marRight w:val="0"/>
      <w:marTop w:val="0"/>
      <w:marBottom w:val="0"/>
      <w:divBdr>
        <w:top w:val="none" w:sz="0" w:space="0" w:color="auto"/>
        <w:left w:val="none" w:sz="0" w:space="0" w:color="auto"/>
        <w:bottom w:val="none" w:sz="0" w:space="0" w:color="auto"/>
        <w:right w:val="none" w:sz="0" w:space="0" w:color="auto"/>
      </w:divBdr>
    </w:div>
    <w:div w:id="371734738">
      <w:bodyDiv w:val="1"/>
      <w:marLeft w:val="0"/>
      <w:marRight w:val="0"/>
      <w:marTop w:val="0"/>
      <w:marBottom w:val="0"/>
      <w:divBdr>
        <w:top w:val="none" w:sz="0" w:space="0" w:color="auto"/>
        <w:left w:val="none" w:sz="0" w:space="0" w:color="auto"/>
        <w:bottom w:val="none" w:sz="0" w:space="0" w:color="auto"/>
        <w:right w:val="none" w:sz="0" w:space="0" w:color="auto"/>
      </w:divBdr>
    </w:div>
    <w:div w:id="453642624">
      <w:bodyDiv w:val="1"/>
      <w:marLeft w:val="0"/>
      <w:marRight w:val="0"/>
      <w:marTop w:val="0"/>
      <w:marBottom w:val="0"/>
      <w:divBdr>
        <w:top w:val="none" w:sz="0" w:space="0" w:color="auto"/>
        <w:left w:val="none" w:sz="0" w:space="0" w:color="auto"/>
        <w:bottom w:val="none" w:sz="0" w:space="0" w:color="auto"/>
        <w:right w:val="none" w:sz="0" w:space="0" w:color="auto"/>
      </w:divBdr>
    </w:div>
    <w:div w:id="537549061">
      <w:bodyDiv w:val="1"/>
      <w:marLeft w:val="0"/>
      <w:marRight w:val="0"/>
      <w:marTop w:val="0"/>
      <w:marBottom w:val="0"/>
      <w:divBdr>
        <w:top w:val="none" w:sz="0" w:space="0" w:color="auto"/>
        <w:left w:val="none" w:sz="0" w:space="0" w:color="auto"/>
        <w:bottom w:val="none" w:sz="0" w:space="0" w:color="auto"/>
        <w:right w:val="none" w:sz="0" w:space="0" w:color="auto"/>
      </w:divBdr>
    </w:div>
    <w:div w:id="610892173">
      <w:bodyDiv w:val="1"/>
      <w:marLeft w:val="0"/>
      <w:marRight w:val="0"/>
      <w:marTop w:val="0"/>
      <w:marBottom w:val="0"/>
      <w:divBdr>
        <w:top w:val="none" w:sz="0" w:space="0" w:color="auto"/>
        <w:left w:val="none" w:sz="0" w:space="0" w:color="auto"/>
        <w:bottom w:val="none" w:sz="0" w:space="0" w:color="auto"/>
        <w:right w:val="none" w:sz="0" w:space="0" w:color="auto"/>
      </w:divBdr>
    </w:div>
    <w:div w:id="655231867">
      <w:bodyDiv w:val="1"/>
      <w:marLeft w:val="0"/>
      <w:marRight w:val="0"/>
      <w:marTop w:val="0"/>
      <w:marBottom w:val="0"/>
      <w:divBdr>
        <w:top w:val="none" w:sz="0" w:space="0" w:color="auto"/>
        <w:left w:val="none" w:sz="0" w:space="0" w:color="auto"/>
        <w:bottom w:val="none" w:sz="0" w:space="0" w:color="auto"/>
        <w:right w:val="none" w:sz="0" w:space="0" w:color="auto"/>
      </w:divBdr>
    </w:div>
    <w:div w:id="659817636">
      <w:bodyDiv w:val="1"/>
      <w:marLeft w:val="0"/>
      <w:marRight w:val="0"/>
      <w:marTop w:val="0"/>
      <w:marBottom w:val="0"/>
      <w:divBdr>
        <w:top w:val="none" w:sz="0" w:space="0" w:color="auto"/>
        <w:left w:val="none" w:sz="0" w:space="0" w:color="auto"/>
        <w:bottom w:val="none" w:sz="0" w:space="0" w:color="auto"/>
        <w:right w:val="none" w:sz="0" w:space="0" w:color="auto"/>
      </w:divBdr>
    </w:div>
    <w:div w:id="680736674">
      <w:bodyDiv w:val="1"/>
      <w:marLeft w:val="0"/>
      <w:marRight w:val="0"/>
      <w:marTop w:val="0"/>
      <w:marBottom w:val="0"/>
      <w:divBdr>
        <w:top w:val="none" w:sz="0" w:space="0" w:color="auto"/>
        <w:left w:val="none" w:sz="0" w:space="0" w:color="auto"/>
        <w:bottom w:val="none" w:sz="0" w:space="0" w:color="auto"/>
        <w:right w:val="none" w:sz="0" w:space="0" w:color="auto"/>
      </w:divBdr>
      <w:divsChild>
        <w:div w:id="1560164934">
          <w:marLeft w:val="0"/>
          <w:marRight w:val="0"/>
          <w:marTop w:val="0"/>
          <w:marBottom w:val="0"/>
          <w:divBdr>
            <w:top w:val="none" w:sz="0" w:space="0" w:color="auto"/>
            <w:left w:val="none" w:sz="0" w:space="0" w:color="auto"/>
            <w:bottom w:val="none" w:sz="0" w:space="0" w:color="auto"/>
            <w:right w:val="none" w:sz="0" w:space="0" w:color="auto"/>
          </w:divBdr>
          <w:divsChild>
            <w:div w:id="1989702266">
              <w:marLeft w:val="0"/>
              <w:marRight w:val="0"/>
              <w:marTop w:val="0"/>
              <w:marBottom w:val="0"/>
              <w:divBdr>
                <w:top w:val="none" w:sz="0" w:space="0" w:color="auto"/>
                <w:left w:val="none" w:sz="0" w:space="0" w:color="auto"/>
                <w:bottom w:val="none" w:sz="0" w:space="0" w:color="auto"/>
                <w:right w:val="none" w:sz="0" w:space="0" w:color="auto"/>
              </w:divBdr>
              <w:divsChild>
                <w:div w:id="1826162678">
                  <w:marLeft w:val="0"/>
                  <w:marRight w:val="0"/>
                  <w:marTop w:val="0"/>
                  <w:marBottom w:val="0"/>
                  <w:divBdr>
                    <w:top w:val="none" w:sz="0" w:space="0" w:color="auto"/>
                    <w:left w:val="none" w:sz="0" w:space="0" w:color="auto"/>
                    <w:bottom w:val="none" w:sz="0" w:space="0" w:color="auto"/>
                    <w:right w:val="none" w:sz="0" w:space="0" w:color="auto"/>
                  </w:divBdr>
                </w:div>
              </w:divsChild>
            </w:div>
            <w:div w:id="1243368859">
              <w:marLeft w:val="0"/>
              <w:marRight w:val="0"/>
              <w:marTop w:val="0"/>
              <w:marBottom w:val="0"/>
              <w:divBdr>
                <w:top w:val="none" w:sz="0" w:space="0" w:color="auto"/>
                <w:left w:val="none" w:sz="0" w:space="0" w:color="auto"/>
                <w:bottom w:val="none" w:sz="0" w:space="0" w:color="auto"/>
                <w:right w:val="none" w:sz="0" w:space="0" w:color="auto"/>
              </w:divBdr>
              <w:divsChild>
                <w:div w:id="1649817602">
                  <w:marLeft w:val="0"/>
                  <w:marRight w:val="0"/>
                  <w:marTop w:val="0"/>
                  <w:marBottom w:val="0"/>
                  <w:divBdr>
                    <w:top w:val="none" w:sz="0" w:space="0" w:color="auto"/>
                    <w:left w:val="none" w:sz="0" w:space="0" w:color="auto"/>
                    <w:bottom w:val="none" w:sz="0" w:space="0" w:color="auto"/>
                    <w:right w:val="none" w:sz="0" w:space="0" w:color="auto"/>
                  </w:divBdr>
                </w:div>
              </w:divsChild>
            </w:div>
            <w:div w:id="215630011">
              <w:marLeft w:val="0"/>
              <w:marRight w:val="0"/>
              <w:marTop w:val="0"/>
              <w:marBottom w:val="0"/>
              <w:divBdr>
                <w:top w:val="none" w:sz="0" w:space="0" w:color="auto"/>
                <w:left w:val="none" w:sz="0" w:space="0" w:color="auto"/>
                <w:bottom w:val="none" w:sz="0" w:space="0" w:color="auto"/>
                <w:right w:val="none" w:sz="0" w:space="0" w:color="auto"/>
              </w:divBdr>
              <w:divsChild>
                <w:div w:id="1065763391">
                  <w:marLeft w:val="0"/>
                  <w:marRight w:val="0"/>
                  <w:marTop w:val="0"/>
                  <w:marBottom w:val="0"/>
                  <w:divBdr>
                    <w:top w:val="none" w:sz="0" w:space="0" w:color="auto"/>
                    <w:left w:val="none" w:sz="0" w:space="0" w:color="auto"/>
                    <w:bottom w:val="none" w:sz="0" w:space="0" w:color="auto"/>
                    <w:right w:val="none" w:sz="0" w:space="0" w:color="auto"/>
                  </w:divBdr>
                </w:div>
              </w:divsChild>
            </w:div>
            <w:div w:id="192423268">
              <w:marLeft w:val="0"/>
              <w:marRight w:val="0"/>
              <w:marTop w:val="0"/>
              <w:marBottom w:val="0"/>
              <w:divBdr>
                <w:top w:val="none" w:sz="0" w:space="0" w:color="auto"/>
                <w:left w:val="none" w:sz="0" w:space="0" w:color="auto"/>
                <w:bottom w:val="none" w:sz="0" w:space="0" w:color="auto"/>
                <w:right w:val="none" w:sz="0" w:space="0" w:color="auto"/>
              </w:divBdr>
              <w:divsChild>
                <w:div w:id="1855267309">
                  <w:marLeft w:val="0"/>
                  <w:marRight w:val="0"/>
                  <w:marTop w:val="0"/>
                  <w:marBottom w:val="0"/>
                  <w:divBdr>
                    <w:top w:val="none" w:sz="0" w:space="0" w:color="auto"/>
                    <w:left w:val="none" w:sz="0" w:space="0" w:color="auto"/>
                    <w:bottom w:val="none" w:sz="0" w:space="0" w:color="auto"/>
                    <w:right w:val="none" w:sz="0" w:space="0" w:color="auto"/>
                  </w:divBdr>
                </w:div>
              </w:divsChild>
            </w:div>
            <w:div w:id="33896154">
              <w:marLeft w:val="0"/>
              <w:marRight w:val="0"/>
              <w:marTop w:val="0"/>
              <w:marBottom w:val="0"/>
              <w:divBdr>
                <w:top w:val="none" w:sz="0" w:space="0" w:color="auto"/>
                <w:left w:val="none" w:sz="0" w:space="0" w:color="auto"/>
                <w:bottom w:val="none" w:sz="0" w:space="0" w:color="auto"/>
                <w:right w:val="none" w:sz="0" w:space="0" w:color="auto"/>
              </w:divBdr>
              <w:divsChild>
                <w:div w:id="1904753281">
                  <w:marLeft w:val="0"/>
                  <w:marRight w:val="0"/>
                  <w:marTop w:val="0"/>
                  <w:marBottom w:val="0"/>
                  <w:divBdr>
                    <w:top w:val="none" w:sz="0" w:space="0" w:color="auto"/>
                    <w:left w:val="none" w:sz="0" w:space="0" w:color="auto"/>
                    <w:bottom w:val="none" w:sz="0" w:space="0" w:color="auto"/>
                    <w:right w:val="none" w:sz="0" w:space="0" w:color="auto"/>
                  </w:divBdr>
                </w:div>
              </w:divsChild>
            </w:div>
            <w:div w:id="477919777">
              <w:marLeft w:val="0"/>
              <w:marRight w:val="0"/>
              <w:marTop w:val="0"/>
              <w:marBottom w:val="0"/>
              <w:divBdr>
                <w:top w:val="none" w:sz="0" w:space="0" w:color="auto"/>
                <w:left w:val="none" w:sz="0" w:space="0" w:color="auto"/>
                <w:bottom w:val="none" w:sz="0" w:space="0" w:color="auto"/>
                <w:right w:val="none" w:sz="0" w:space="0" w:color="auto"/>
              </w:divBdr>
              <w:divsChild>
                <w:div w:id="1348481852">
                  <w:marLeft w:val="0"/>
                  <w:marRight w:val="0"/>
                  <w:marTop w:val="0"/>
                  <w:marBottom w:val="0"/>
                  <w:divBdr>
                    <w:top w:val="none" w:sz="0" w:space="0" w:color="auto"/>
                    <w:left w:val="none" w:sz="0" w:space="0" w:color="auto"/>
                    <w:bottom w:val="none" w:sz="0" w:space="0" w:color="auto"/>
                    <w:right w:val="none" w:sz="0" w:space="0" w:color="auto"/>
                  </w:divBdr>
                </w:div>
              </w:divsChild>
            </w:div>
            <w:div w:id="260531222">
              <w:marLeft w:val="0"/>
              <w:marRight w:val="0"/>
              <w:marTop w:val="0"/>
              <w:marBottom w:val="0"/>
              <w:divBdr>
                <w:top w:val="none" w:sz="0" w:space="0" w:color="auto"/>
                <w:left w:val="none" w:sz="0" w:space="0" w:color="auto"/>
                <w:bottom w:val="none" w:sz="0" w:space="0" w:color="auto"/>
                <w:right w:val="none" w:sz="0" w:space="0" w:color="auto"/>
              </w:divBdr>
              <w:divsChild>
                <w:div w:id="1574312655">
                  <w:marLeft w:val="0"/>
                  <w:marRight w:val="0"/>
                  <w:marTop w:val="0"/>
                  <w:marBottom w:val="0"/>
                  <w:divBdr>
                    <w:top w:val="none" w:sz="0" w:space="0" w:color="auto"/>
                    <w:left w:val="none" w:sz="0" w:space="0" w:color="auto"/>
                    <w:bottom w:val="none" w:sz="0" w:space="0" w:color="auto"/>
                    <w:right w:val="none" w:sz="0" w:space="0" w:color="auto"/>
                  </w:divBdr>
                </w:div>
              </w:divsChild>
            </w:div>
            <w:div w:id="530151149">
              <w:marLeft w:val="0"/>
              <w:marRight w:val="0"/>
              <w:marTop w:val="0"/>
              <w:marBottom w:val="0"/>
              <w:divBdr>
                <w:top w:val="none" w:sz="0" w:space="0" w:color="auto"/>
                <w:left w:val="none" w:sz="0" w:space="0" w:color="auto"/>
                <w:bottom w:val="none" w:sz="0" w:space="0" w:color="auto"/>
                <w:right w:val="none" w:sz="0" w:space="0" w:color="auto"/>
              </w:divBdr>
              <w:divsChild>
                <w:div w:id="1339429286">
                  <w:marLeft w:val="0"/>
                  <w:marRight w:val="0"/>
                  <w:marTop w:val="0"/>
                  <w:marBottom w:val="0"/>
                  <w:divBdr>
                    <w:top w:val="none" w:sz="0" w:space="0" w:color="auto"/>
                    <w:left w:val="none" w:sz="0" w:space="0" w:color="auto"/>
                    <w:bottom w:val="none" w:sz="0" w:space="0" w:color="auto"/>
                    <w:right w:val="none" w:sz="0" w:space="0" w:color="auto"/>
                  </w:divBdr>
                </w:div>
              </w:divsChild>
            </w:div>
            <w:div w:id="987393434">
              <w:marLeft w:val="0"/>
              <w:marRight w:val="0"/>
              <w:marTop w:val="0"/>
              <w:marBottom w:val="0"/>
              <w:divBdr>
                <w:top w:val="none" w:sz="0" w:space="0" w:color="auto"/>
                <w:left w:val="none" w:sz="0" w:space="0" w:color="auto"/>
                <w:bottom w:val="none" w:sz="0" w:space="0" w:color="auto"/>
                <w:right w:val="none" w:sz="0" w:space="0" w:color="auto"/>
              </w:divBdr>
              <w:divsChild>
                <w:div w:id="2081320549">
                  <w:marLeft w:val="0"/>
                  <w:marRight w:val="0"/>
                  <w:marTop w:val="0"/>
                  <w:marBottom w:val="0"/>
                  <w:divBdr>
                    <w:top w:val="none" w:sz="0" w:space="0" w:color="auto"/>
                    <w:left w:val="none" w:sz="0" w:space="0" w:color="auto"/>
                    <w:bottom w:val="none" w:sz="0" w:space="0" w:color="auto"/>
                    <w:right w:val="none" w:sz="0" w:space="0" w:color="auto"/>
                  </w:divBdr>
                </w:div>
              </w:divsChild>
            </w:div>
            <w:div w:id="1599097597">
              <w:marLeft w:val="0"/>
              <w:marRight w:val="0"/>
              <w:marTop w:val="0"/>
              <w:marBottom w:val="0"/>
              <w:divBdr>
                <w:top w:val="none" w:sz="0" w:space="0" w:color="auto"/>
                <w:left w:val="none" w:sz="0" w:space="0" w:color="auto"/>
                <w:bottom w:val="none" w:sz="0" w:space="0" w:color="auto"/>
                <w:right w:val="none" w:sz="0" w:space="0" w:color="auto"/>
              </w:divBdr>
              <w:divsChild>
                <w:div w:id="1427194390">
                  <w:marLeft w:val="0"/>
                  <w:marRight w:val="0"/>
                  <w:marTop w:val="0"/>
                  <w:marBottom w:val="0"/>
                  <w:divBdr>
                    <w:top w:val="none" w:sz="0" w:space="0" w:color="auto"/>
                    <w:left w:val="none" w:sz="0" w:space="0" w:color="auto"/>
                    <w:bottom w:val="none" w:sz="0" w:space="0" w:color="auto"/>
                    <w:right w:val="none" w:sz="0" w:space="0" w:color="auto"/>
                  </w:divBdr>
                </w:div>
              </w:divsChild>
            </w:div>
            <w:div w:id="231892032">
              <w:marLeft w:val="0"/>
              <w:marRight w:val="0"/>
              <w:marTop w:val="0"/>
              <w:marBottom w:val="0"/>
              <w:divBdr>
                <w:top w:val="none" w:sz="0" w:space="0" w:color="auto"/>
                <w:left w:val="none" w:sz="0" w:space="0" w:color="auto"/>
                <w:bottom w:val="none" w:sz="0" w:space="0" w:color="auto"/>
                <w:right w:val="none" w:sz="0" w:space="0" w:color="auto"/>
              </w:divBdr>
              <w:divsChild>
                <w:div w:id="1534224635">
                  <w:marLeft w:val="0"/>
                  <w:marRight w:val="0"/>
                  <w:marTop w:val="0"/>
                  <w:marBottom w:val="0"/>
                  <w:divBdr>
                    <w:top w:val="none" w:sz="0" w:space="0" w:color="auto"/>
                    <w:left w:val="none" w:sz="0" w:space="0" w:color="auto"/>
                    <w:bottom w:val="none" w:sz="0" w:space="0" w:color="auto"/>
                    <w:right w:val="none" w:sz="0" w:space="0" w:color="auto"/>
                  </w:divBdr>
                </w:div>
              </w:divsChild>
            </w:div>
            <w:div w:id="1976252617">
              <w:marLeft w:val="0"/>
              <w:marRight w:val="0"/>
              <w:marTop w:val="0"/>
              <w:marBottom w:val="0"/>
              <w:divBdr>
                <w:top w:val="none" w:sz="0" w:space="0" w:color="auto"/>
                <w:left w:val="none" w:sz="0" w:space="0" w:color="auto"/>
                <w:bottom w:val="none" w:sz="0" w:space="0" w:color="auto"/>
                <w:right w:val="none" w:sz="0" w:space="0" w:color="auto"/>
              </w:divBdr>
              <w:divsChild>
                <w:div w:id="524251737">
                  <w:marLeft w:val="0"/>
                  <w:marRight w:val="0"/>
                  <w:marTop w:val="0"/>
                  <w:marBottom w:val="0"/>
                  <w:divBdr>
                    <w:top w:val="none" w:sz="0" w:space="0" w:color="auto"/>
                    <w:left w:val="none" w:sz="0" w:space="0" w:color="auto"/>
                    <w:bottom w:val="none" w:sz="0" w:space="0" w:color="auto"/>
                    <w:right w:val="none" w:sz="0" w:space="0" w:color="auto"/>
                  </w:divBdr>
                </w:div>
              </w:divsChild>
            </w:div>
            <w:div w:id="1403063366">
              <w:marLeft w:val="0"/>
              <w:marRight w:val="0"/>
              <w:marTop w:val="0"/>
              <w:marBottom w:val="0"/>
              <w:divBdr>
                <w:top w:val="none" w:sz="0" w:space="0" w:color="auto"/>
                <w:left w:val="none" w:sz="0" w:space="0" w:color="auto"/>
                <w:bottom w:val="none" w:sz="0" w:space="0" w:color="auto"/>
                <w:right w:val="none" w:sz="0" w:space="0" w:color="auto"/>
              </w:divBdr>
              <w:divsChild>
                <w:div w:id="329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83178">
      <w:bodyDiv w:val="1"/>
      <w:marLeft w:val="0"/>
      <w:marRight w:val="0"/>
      <w:marTop w:val="0"/>
      <w:marBottom w:val="0"/>
      <w:divBdr>
        <w:top w:val="none" w:sz="0" w:space="0" w:color="auto"/>
        <w:left w:val="none" w:sz="0" w:space="0" w:color="auto"/>
        <w:bottom w:val="none" w:sz="0" w:space="0" w:color="auto"/>
        <w:right w:val="none" w:sz="0" w:space="0" w:color="auto"/>
      </w:divBdr>
    </w:div>
    <w:div w:id="893733712">
      <w:bodyDiv w:val="1"/>
      <w:marLeft w:val="0"/>
      <w:marRight w:val="0"/>
      <w:marTop w:val="0"/>
      <w:marBottom w:val="0"/>
      <w:divBdr>
        <w:top w:val="none" w:sz="0" w:space="0" w:color="auto"/>
        <w:left w:val="none" w:sz="0" w:space="0" w:color="auto"/>
        <w:bottom w:val="none" w:sz="0" w:space="0" w:color="auto"/>
        <w:right w:val="none" w:sz="0" w:space="0" w:color="auto"/>
      </w:divBdr>
    </w:div>
    <w:div w:id="925262432">
      <w:bodyDiv w:val="1"/>
      <w:marLeft w:val="0"/>
      <w:marRight w:val="0"/>
      <w:marTop w:val="0"/>
      <w:marBottom w:val="0"/>
      <w:divBdr>
        <w:top w:val="none" w:sz="0" w:space="0" w:color="auto"/>
        <w:left w:val="none" w:sz="0" w:space="0" w:color="auto"/>
        <w:bottom w:val="none" w:sz="0" w:space="0" w:color="auto"/>
        <w:right w:val="none" w:sz="0" w:space="0" w:color="auto"/>
      </w:divBdr>
    </w:div>
    <w:div w:id="1027176255">
      <w:bodyDiv w:val="1"/>
      <w:marLeft w:val="0"/>
      <w:marRight w:val="0"/>
      <w:marTop w:val="0"/>
      <w:marBottom w:val="0"/>
      <w:divBdr>
        <w:top w:val="none" w:sz="0" w:space="0" w:color="auto"/>
        <w:left w:val="none" w:sz="0" w:space="0" w:color="auto"/>
        <w:bottom w:val="none" w:sz="0" w:space="0" w:color="auto"/>
        <w:right w:val="none" w:sz="0" w:space="0" w:color="auto"/>
      </w:divBdr>
    </w:div>
    <w:div w:id="1113939966">
      <w:bodyDiv w:val="1"/>
      <w:marLeft w:val="0"/>
      <w:marRight w:val="0"/>
      <w:marTop w:val="0"/>
      <w:marBottom w:val="0"/>
      <w:divBdr>
        <w:top w:val="none" w:sz="0" w:space="0" w:color="auto"/>
        <w:left w:val="none" w:sz="0" w:space="0" w:color="auto"/>
        <w:bottom w:val="none" w:sz="0" w:space="0" w:color="auto"/>
        <w:right w:val="none" w:sz="0" w:space="0" w:color="auto"/>
      </w:divBdr>
    </w:div>
    <w:div w:id="1145704062">
      <w:bodyDiv w:val="1"/>
      <w:marLeft w:val="0"/>
      <w:marRight w:val="0"/>
      <w:marTop w:val="0"/>
      <w:marBottom w:val="0"/>
      <w:divBdr>
        <w:top w:val="none" w:sz="0" w:space="0" w:color="auto"/>
        <w:left w:val="none" w:sz="0" w:space="0" w:color="auto"/>
        <w:bottom w:val="none" w:sz="0" w:space="0" w:color="auto"/>
        <w:right w:val="none" w:sz="0" w:space="0" w:color="auto"/>
      </w:divBdr>
    </w:div>
    <w:div w:id="1313294521">
      <w:bodyDiv w:val="1"/>
      <w:marLeft w:val="0"/>
      <w:marRight w:val="0"/>
      <w:marTop w:val="0"/>
      <w:marBottom w:val="0"/>
      <w:divBdr>
        <w:top w:val="none" w:sz="0" w:space="0" w:color="auto"/>
        <w:left w:val="none" w:sz="0" w:space="0" w:color="auto"/>
        <w:bottom w:val="none" w:sz="0" w:space="0" w:color="auto"/>
        <w:right w:val="none" w:sz="0" w:space="0" w:color="auto"/>
      </w:divBdr>
    </w:div>
    <w:div w:id="1314482352">
      <w:bodyDiv w:val="1"/>
      <w:marLeft w:val="0"/>
      <w:marRight w:val="0"/>
      <w:marTop w:val="0"/>
      <w:marBottom w:val="0"/>
      <w:divBdr>
        <w:top w:val="none" w:sz="0" w:space="0" w:color="auto"/>
        <w:left w:val="none" w:sz="0" w:space="0" w:color="auto"/>
        <w:bottom w:val="none" w:sz="0" w:space="0" w:color="auto"/>
        <w:right w:val="none" w:sz="0" w:space="0" w:color="auto"/>
      </w:divBdr>
    </w:div>
    <w:div w:id="1360547851">
      <w:bodyDiv w:val="1"/>
      <w:marLeft w:val="0"/>
      <w:marRight w:val="0"/>
      <w:marTop w:val="0"/>
      <w:marBottom w:val="0"/>
      <w:divBdr>
        <w:top w:val="none" w:sz="0" w:space="0" w:color="auto"/>
        <w:left w:val="none" w:sz="0" w:space="0" w:color="auto"/>
        <w:bottom w:val="none" w:sz="0" w:space="0" w:color="auto"/>
        <w:right w:val="none" w:sz="0" w:space="0" w:color="auto"/>
      </w:divBdr>
    </w:div>
    <w:div w:id="1402143270">
      <w:bodyDiv w:val="1"/>
      <w:marLeft w:val="0"/>
      <w:marRight w:val="0"/>
      <w:marTop w:val="0"/>
      <w:marBottom w:val="0"/>
      <w:divBdr>
        <w:top w:val="none" w:sz="0" w:space="0" w:color="auto"/>
        <w:left w:val="none" w:sz="0" w:space="0" w:color="auto"/>
        <w:bottom w:val="none" w:sz="0" w:space="0" w:color="auto"/>
        <w:right w:val="none" w:sz="0" w:space="0" w:color="auto"/>
      </w:divBdr>
    </w:div>
    <w:div w:id="1480926372">
      <w:bodyDiv w:val="1"/>
      <w:marLeft w:val="0"/>
      <w:marRight w:val="0"/>
      <w:marTop w:val="0"/>
      <w:marBottom w:val="0"/>
      <w:divBdr>
        <w:top w:val="none" w:sz="0" w:space="0" w:color="auto"/>
        <w:left w:val="none" w:sz="0" w:space="0" w:color="auto"/>
        <w:bottom w:val="none" w:sz="0" w:space="0" w:color="auto"/>
        <w:right w:val="none" w:sz="0" w:space="0" w:color="auto"/>
      </w:divBdr>
    </w:div>
    <w:div w:id="1546864542">
      <w:bodyDiv w:val="1"/>
      <w:marLeft w:val="0"/>
      <w:marRight w:val="0"/>
      <w:marTop w:val="0"/>
      <w:marBottom w:val="0"/>
      <w:divBdr>
        <w:top w:val="none" w:sz="0" w:space="0" w:color="auto"/>
        <w:left w:val="none" w:sz="0" w:space="0" w:color="auto"/>
        <w:bottom w:val="none" w:sz="0" w:space="0" w:color="auto"/>
        <w:right w:val="none" w:sz="0" w:space="0" w:color="auto"/>
      </w:divBdr>
    </w:div>
    <w:div w:id="1611667234">
      <w:bodyDiv w:val="1"/>
      <w:marLeft w:val="0"/>
      <w:marRight w:val="0"/>
      <w:marTop w:val="0"/>
      <w:marBottom w:val="0"/>
      <w:divBdr>
        <w:top w:val="none" w:sz="0" w:space="0" w:color="auto"/>
        <w:left w:val="none" w:sz="0" w:space="0" w:color="auto"/>
        <w:bottom w:val="none" w:sz="0" w:space="0" w:color="auto"/>
        <w:right w:val="none" w:sz="0" w:space="0" w:color="auto"/>
      </w:divBdr>
    </w:div>
    <w:div w:id="1651202964">
      <w:bodyDiv w:val="1"/>
      <w:marLeft w:val="0"/>
      <w:marRight w:val="0"/>
      <w:marTop w:val="0"/>
      <w:marBottom w:val="0"/>
      <w:divBdr>
        <w:top w:val="none" w:sz="0" w:space="0" w:color="auto"/>
        <w:left w:val="none" w:sz="0" w:space="0" w:color="auto"/>
        <w:bottom w:val="none" w:sz="0" w:space="0" w:color="auto"/>
        <w:right w:val="none" w:sz="0" w:space="0" w:color="auto"/>
      </w:divBdr>
    </w:div>
    <w:div w:id="1764957690">
      <w:bodyDiv w:val="1"/>
      <w:marLeft w:val="0"/>
      <w:marRight w:val="0"/>
      <w:marTop w:val="0"/>
      <w:marBottom w:val="0"/>
      <w:divBdr>
        <w:top w:val="none" w:sz="0" w:space="0" w:color="auto"/>
        <w:left w:val="none" w:sz="0" w:space="0" w:color="auto"/>
        <w:bottom w:val="none" w:sz="0" w:space="0" w:color="auto"/>
        <w:right w:val="none" w:sz="0" w:space="0" w:color="auto"/>
      </w:divBdr>
    </w:div>
    <w:div w:id="1818837800">
      <w:bodyDiv w:val="1"/>
      <w:marLeft w:val="0"/>
      <w:marRight w:val="0"/>
      <w:marTop w:val="0"/>
      <w:marBottom w:val="0"/>
      <w:divBdr>
        <w:top w:val="none" w:sz="0" w:space="0" w:color="auto"/>
        <w:left w:val="none" w:sz="0" w:space="0" w:color="auto"/>
        <w:bottom w:val="none" w:sz="0" w:space="0" w:color="auto"/>
        <w:right w:val="none" w:sz="0" w:space="0" w:color="auto"/>
      </w:divBdr>
    </w:div>
    <w:div w:id="1843810279">
      <w:bodyDiv w:val="1"/>
      <w:marLeft w:val="0"/>
      <w:marRight w:val="0"/>
      <w:marTop w:val="0"/>
      <w:marBottom w:val="0"/>
      <w:divBdr>
        <w:top w:val="none" w:sz="0" w:space="0" w:color="auto"/>
        <w:left w:val="none" w:sz="0" w:space="0" w:color="auto"/>
        <w:bottom w:val="none" w:sz="0" w:space="0" w:color="auto"/>
        <w:right w:val="none" w:sz="0" w:space="0" w:color="auto"/>
      </w:divBdr>
    </w:div>
    <w:div w:id="1889683790">
      <w:bodyDiv w:val="1"/>
      <w:marLeft w:val="0"/>
      <w:marRight w:val="0"/>
      <w:marTop w:val="0"/>
      <w:marBottom w:val="0"/>
      <w:divBdr>
        <w:top w:val="none" w:sz="0" w:space="0" w:color="auto"/>
        <w:left w:val="none" w:sz="0" w:space="0" w:color="auto"/>
        <w:bottom w:val="none" w:sz="0" w:space="0" w:color="auto"/>
        <w:right w:val="none" w:sz="0" w:space="0" w:color="auto"/>
      </w:divBdr>
    </w:div>
    <w:div w:id="1902474822">
      <w:bodyDiv w:val="1"/>
      <w:marLeft w:val="0"/>
      <w:marRight w:val="0"/>
      <w:marTop w:val="0"/>
      <w:marBottom w:val="0"/>
      <w:divBdr>
        <w:top w:val="none" w:sz="0" w:space="0" w:color="auto"/>
        <w:left w:val="none" w:sz="0" w:space="0" w:color="auto"/>
        <w:bottom w:val="none" w:sz="0" w:space="0" w:color="auto"/>
        <w:right w:val="none" w:sz="0" w:space="0" w:color="auto"/>
      </w:divBdr>
    </w:div>
    <w:div w:id="1999653602">
      <w:bodyDiv w:val="1"/>
      <w:marLeft w:val="0"/>
      <w:marRight w:val="0"/>
      <w:marTop w:val="0"/>
      <w:marBottom w:val="0"/>
      <w:divBdr>
        <w:top w:val="none" w:sz="0" w:space="0" w:color="auto"/>
        <w:left w:val="none" w:sz="0" w:space="0" w:color="auto"/>
        <w:bottom w:val="none" w:sz="0" w:space="0" w:color="auto"/>
        <w:right w:val="none" w:sz="0" w:space="0" w:color="auto"/>
      </w:divBdr>
    </w:div>
    <w:div w:id="2023359568">
      <w:bodyDiv w:val="1"/>
      <w:marLeft w:val="0"/>
      <w:marRight w:val="0"/>
      <w:marTop w:val="0"/>
      <w:marBottom w:val="0"/>
      <w:divBdr>
        <w:top w:val="none" w:sz="0" w:space="0" w:color="auto"/>
        <w:left w:val="none" w:sz="0" w:space="0" w:color="auto"/>
        <w:bottom w:val="none" w:sz="0" w:space="0" w:color="auto"/>
        <w:right w:val="none" w:sz="0" w:space="0" w:color="auto"/>
      </w:divBdr>
      <w:divsChild>
        <w:div w:id="1336610830">
          <w:marLeft w:val="0"/>
          <w:marRight w:val="0"/>
          <w:marTop w:val="0"/>
          <w:marBottom w:val="0"/>
          <w:divBdr>
            <w:top w:val="none" w:sz="0" w:space="0" w:color="auto"/>
            <w:left w:val="none" w:sz="0" w:space="0" w:color="auto"/>
            <w:bottom w:val="none" w:sz="0" w:space="0" w:color="auto"/>
            <w:right w:val="none" w:sz="0" w:space="0" w:color="auto"/>
          </w:divBdr>
          <w:divsChild>
            <w:div w:id="1268856260">
              <w:marLeft w:val="0"/>
              <w:marRight w:val="0"/>
              <w:marTop w:val="0"/>
              <w:marBottom w:val="0"/>
              <w:divBdr>
                <w:top w:val="none" w:sz="0" w:space="0" w:color="auto"/>
                <w:left w:val="none" w:sz="0" w:space="0" w:color="auto"/>
                <w:bottom w:val="none" w:sz="0" w:space="0" w:color="auto"/>
                <w:right w:val="none" w:sz="0" w:space="0" w:color="auto"/>
              </w:divBdr>
              <w:divsChild>
                <w:div w:id="1692338168">
                  <w:marLeft w:val="0"/>
                  <w:marRight w:val="0"/>
                  <w:marTop w:val="0"/>
                  <w:marBottom w:val="0"/>
                  <w:divBdr>
                    <w:top w:val="none" w:sz="0" w:space="0" w:color="auto"/>
                    <w:left w:val="none" w:sz="0" w:space="0" w:color="auto"/>
                    <w:bottom w:val="none" w:sz="0" w:space="0" w:color="auto"/>
                    <w:right w:val="none" w:sz="0" w:space="0" w:color="auto"/>
                  </w:divBdr>
                </w:div>
              </w:divsChild>
            </w:div>
            <w:div w:id="759528474">
              <w:marLeft w:val="0"/>
              <w:marRight w:val="0"/>
              <w:marTop w:val="0"/>
              <w:marBottom w:val="0"/>
              <w:divBdr>
                <w:top w:val="none" w:sz="0" w:space="0" w:color="auto"/>
                <w:left w:val="none" w:sz="0" w:space="0" w:color="auto"/>
                <w:bottom w:val="none" w:sz="0" w:space="0" w:color="auto"/>
                <w:right w:val="none" w:sz="0" w:space="0" w:color="auto"/>
              </w:divBdr>
              <w:divsChild>
                <w:div w:id="961182583">
                  <w:marLeft w:val="0"/>
                  <w:marRight w:val="0"/>
                  <w:marTop w:val="0"/>
                  <w:marBottom w:val="0"/>
                  <w:divBdr>
                    <w:top w:val="none" w:sz="0" w:space="0" w:color="auto"/>
                    <w:left w:val="none" w:sz="0" w:space="0" w:color="auto"/>
                    <w:bottom w:val="none" w:sz="0" w:space="0" w:color="auto"/>
                    <w:right w:val="none" w:sz="0" w:space="0" w:color="auto"/>
                  </w:divBdr>
                </w:div>
              </w:divsChild>
            </w:div>
            <w:div w:id="118693612">
              <w:marLeft w:val="0"/>
              <w:marRight w:val="0"/>
              <w:marTop w:val="0"/>
              <w:marBottom w:val="0"/>
              <w:divBdr>
                <w:top w:val="none" w:sz="0" w:space="0" w:color="auto"/>
                <w:left w:val="none" w:sz="0" w:space="0" w:color="auto"/>
                <w:bottom w:val="none" w:sz="0" w:space="0" w:color="auto"/>
                <w:right w:val="none" w:sz="0" w:space="0" w:color="auto"/>
              </w:divBdr>
              <w:divsChild>
                <w:div w:id="769546870">
                  <w:marLeft w:val="0"/>
                  <w:marRight w:val="0"/>
                  <w:marTop w:val="0"/>
                  <w:marBottom w:val="0"/>
                  <w:divBdr>
                    <w:top w:val="none" w:sz="0" w:space="0" w:color="auto"/>
                    <w:left w:val="none" w:sz="0" w:space="0" w:color="auto"/>
                    <w:bottom w:val="none" w:sz="0" w:space="0" w:color="auto"/>
                    <w:right w:val="none" w:sz="0" w:space="0" w:color="auto"/>
                  </w:divBdr>
                </w:div>
              </w:divsChild>
            </w:div>
            <w:div w:id="944314663">
              <w:marLeft w:val="0"/>
              <w:marRight w:val="0"/>
              <w:marTop w:val="0"/>
              <w:marBottom w:val="0"/>
              <w:divBdr>
                <w:top w:val="none" w:sz="0" w:space="0" w:color="auto"/>
                <w:left w:val="none" w:sz="0" w:space="0" w:color="auto"/>
                <w:bottom w:val="none" w:sz="0" w:space="0" w:color="auto"/>
                <w:right w:val="none" w:sz="0" w:space="0" w:color="auto"/>
              </w:divBdr>
              <w:divsChild>
                <w:div w:id="1498114380">
                  <w:marLeft w:val="0"/>
                  <w:marRight w:val="0"/>
                  <w:marTop w:val="0"/>
                  <w:marBottom w:val="0"/>
                  <w:divBdr>
                    <w:top w:val="none" w:sz="0" w:space="0" w:color="auto"/>
                    <w:left w:val="none" w:sz="0" w:space="0" w:color="auto"/>
                    <w:bottom w:val="none" w:sz="0" w:space="0" w:color="auto"/>
                    <w:right w:val="none" w:sz="0" w:space="0" w:color="auto"/>
                  </w:divBdr>
                </w:div>
              </w:divsChild>
            </w:div>
            <w:div w:id="865560388">
              <w:marLeft w:val="0"/>
              <w:marRight w:val="0"/>
              <w:marTop w:val="0"/>
              <w:marBottom w:val="0"/>
              <w:divBdr>
                <w:top w:val="none" w:sz="0" w:space="0" w:color="auto"/>
                <w:left w:val="none" w:sz="0" w:space="0" w:color="auto"/>
                <w:bottom w:val="none" w:sz="0" w:space="0" w:color="auto"/>
                <w:right w:val="none" w:sz="0" w:space="0" w:color="auto"/>
              </w:divBdr>
              <w:divsChild>
                <w:div w:id="2009792536">
                  <w:marLeft w:val="0"/>
                  <w:marRight w:val="0"/>
                  <w:marTop w:val="0"/>
                  <w:marBottom w:val="0"/>
                  <w:divBdr>
                    <w:top w:val="none" w:sz="0" w:space="0" w:color="auto"/>
                    <w:left w:val="none" w:sz="0" w:space="0" w:color="auto"/>
                    <w:bottom w:val="none" w:sz="0" w:space="0" w:color="auto"/>
                    <w:right w:val="none" w:sz="0" w:space="0" w:color="auto"/>
                  </w:divBdr>
                </w:div>
              </w:divsChild>
            </w:div>
            <w:div w:id="385103527">
              <w:marLeft w:val="0"/>
              <w:marRight w:val="0"/>
              <w:marTop w:val="0"/>
              <w:marBottom w:val="0"/>
              <w:divBdr>
                <w:top w:val="none" w:sz="0" w:space="0" w:color="auto"/>
                <w:left w:val="none" w:sz="0" w:space="0" w:color="auto"/>
                <w:bottom w:val="none" w:sz="0" w:space="0" w:color="auto"/>
                <w:right w:val="none" w:sz="0" w:space="0" w:color="auto"/>
              </w:divBdr>
              <w:divsChild>
                <w:div w:id="1158498390">
                  <w:marLeft w:val="0"/>
                  <w:marRight w:val="0"/>
                  <w:marTop w:val="0"/>
                  <w:marBottom w:val="0"/>
                  <w:divBdr>
                    <w:top w:val="none" w:sz="0" w:space="0" w:color="auto"/>
                    <w:left w:val="none" w:sz="0" w:space="0" w:color="auto"/>
                    <w:bottom w:val="none" w:sz="0" w:space="0" w:color="auto"/>
                    <w:right w:val="none" w:sz="0" w:space="0" w:color="auto"/>
                  </w:divBdr>
                </w:div>
              </w:divsChild>
            </w:div>
            <w:div w:id="575827700">
              <w:marLeft w:val="0"/>
              <w:marRight w:val="0"/>
              <w:marTop w:val="0"/>
              <w:marBottom w:val="0"/>
              <w:divBdr>
                <w:top w:val="none" w:sz="0" w:space="0" w:color="auto"/>
                <w:left w:val="none" w:sz="0" w:space="0" w:color="auto"/>
                <w:bottom w:val="none" w:sz="0" w:space="0" w:color="auto"/>
                <w:right w:val="none" w:sz="0" w:space="0" w:color="auto"/>
              </w:divBdr>
              <w:divsChild>
                <w:div w:id="916742525">
                  <w:marLeft w:val="0"/>
                  <w:marRight w:val="0"/>
                  <w:marTop w:val="0"/>
                  <w:marBottom w:val="0"/>
                  <w:divBdr>
                    <w:top w:val="none" w:sz="0" w:space="0" w:color="auto"/>
                    <w:left w:val="none" w:sz="0" w:space="0" w:color="auto"/>
                    <w:bottom w:val="none" w:sz="0" w:space="0" w:color="auto"/>
                    <w:right w:val="none" w:sz="0" w:space="0" w:color="auto"/>
                  </w:divBdr>
                </w:div>
              </w:divsChild>
            </w:div>
            <w:div w:id="1390811689">
              <w:marLeft w:val="0"/>
              <w:marRight w:val="0"/>
              <w:marTop w:val="0"/>
              <w:marBottom w:val="0"/>
              <w:divBdr>
                <w:top w:val="none" w:sz="0" w:space="0" w:color="auto"/>
                <w:left w:val="none" w:sz="0" w:space="0" w:color="auto"/>
                <w:bottom w:val="none" w:sz="0" w:space="0" w:color="auto"/>
                <w:right w:val="none" w:sz="0" w:space="0" w:color="auto"/>
              </w:divBdr>
              <w:divsChild>
                <w:div w:id="573004775">
                  <w:marLeft w:val="0"/>
                  <w:marRight w:val="0"/>
                  <w:marTop w:val="0"/>
                  <w:marBottom w:val="0"/>
                  <w:divBdr>
                    <w:top w:val="none" w:sz="0" w:space="0" w:color="auto"/>
                    <w:left w:val="none" w:sz="0" w:space="0" w:color="auto"/>
                    <w:bottom w:val="none" w:sz="0" w:space="0" w:color="auto"/>
                    <w:right w:val="none" w:sz="0" w:space="0" w:color="auto"/>
                  </w:divBdr>
                </w:div>
              </w:divsChild>
            </w:div>
            <w:div w:id="2052535266">
              <w:marLeft w:val="0"/>
              <w:marRight w:val="0"/>
              <w:marTop w:val="0"/>
              <w:marBottom w:val="0"/>
              <w:divBdr>
                <w:top w:val="none" w:sz="0" w:space="0" w:color="auto"/>
                <w:left w:val="none" w:sz="0" w:space="0" w:color="auto"/>
                <w:bottom w:val="none" w:sz="0" w:space="0" w:color="auto"/>
                <w:right w:val="none" w:sz="0" w:space="0" w:color="auto"/>
              </w:divBdr>
              <w:divsChild>
                <w:div w:id="602080997">
                  <w:marLeft w:val="0"/>
                  <w:marRight w:val="0"/>
                  <w:marTop w:val="0"/>
                  <w:marBottom w:val="0"/>
                  <w:divBdr>
                    <w:top w:val="none" w:sz="0" w:space="0" w:color="auto"/>
                    <w:left w:val="none" w:sz="0" w:space="0" w:color="auto"/>
                    <w:bottom w:val="none" w:sz="0" w:space="0" w:color="auto"/>
                    <w:right w:val="none" w:sz="0" w:space="0" w:color="auto"/>
                  </w:divBdr>
                </w:div>
              </w:divsChild>
            </w:div>
            <w:div w:id="76555969">
              <w:marLeft w:val="0"/>
              <w:marRight w:val="0"/>
              <w:marTop w:val="0"/>
              <w:marBottom w:val="0"/>
              <w:divBdr>
                <w:top w:val="none" w:sz="0" w:space="0" w:color="auto"/>
                <w:left w:val="none" w:sz="0" w:space="0" w:color="auto"/>
                <w:bottom w:val="none" w:sz="0" w:space="0" w:color="auto"/>
                <w:right w:val="none" w:sz="0" w:space="0" w:color="auto"/>
              </w:divBdr>
              <w:divsChild>
                <w:div w:id="1948541832">
                  <w:marLeft w:val="0"/>
                  <w:marRight w:val="0"/>
                  <w:marTop w:val="0"/>
                  <w:marBottom w:val="0"/>
                  <w:divBdr>
                    <w:top w:val="none" w:sz="0" w:space="0" w:color="auto"/>
                    <w:left w:val="none" w:sz="0" w:space="0" w:color="auto"/>
                    <w:bottom w:val="none" w:sz="0" w:space="0" w:color="auto"/>
                    <w:right w:val="none" w:sz="0" w:space="0" w:color="auto"/>
                  </w:divBdr>
                </w:div>
              </w:divsChild>
            </w:div>
            <w:div w:id="692263409">
              <w:marLeft w:val="0"/>
              <w:marRight w:val="0"/>
              <w:marTop w:val="0"/>
              <w:marBottom w:val="0"/>
              <w:divBdr>
                <w:top w:val="none" w:sz="0" w:space="0" w:color="auto"/>
                <w:left w:val="none" w:sz="0" w:space="0" w:color="auto"/>
                <w:bottom w:val="none" w:sz="0" w:space="0" w:color="auto"/>
                <w:right w:val="none" w:sz="0" w:space="0" w:color="auto"/>
              </w:divBdr>
              <w:divsChild>
                <w:div w:id="995574543">
                  <w:marLeft w:val="0"/>
                  <w:marRight w:val="0"/>
                  <w:marTop w:val="0"/>
                  <w:marBottom w:val="0"/>
                  <w:divBdr>
                    <w:top w:val="none" w:sz="0" w:space="0" w:color="auto"/>
                    <w:left w:val="none" w:sz="0" w:space="0" w:color="auto"/>
                    <w:bottom w:val="none" w:sz="0" w:space="0" w:color="auto"/>
                    <w:right w:val="none" w:sz="0" w:space="0" w:color="auto"/>
                  </w:divBdr>
                </w:div>
              </w:divsChild>
            </w:div>
            <w:div w:id="81726178">
              <w:marLeft w:val="0"/>
              <w:marRight w:val="0"/>
              <w:marTop w:val="0"/>
              <w:marBottom w:val="0"/>
              <w:divBdr>
                <w:top w:val="none" w:sz="0" w:space="0" w:color="auto"/>
                <w:left w:val="none" w:sz="0" w:space="0" w:color="auto"/>
                <w:bottom w:val="none" w:sz="0" w:space="0" w:color="auto"/>
                <w:right w:val="none" w:sz="0" w:space="0" w:color="auto"/>
              </w:divBdr>
              <w:divsChild>
                <w:div w:id="1004169470">
                  <w:marLeft w:val="0"/>
                  <w:marRight w:val="0"/>
                  <w:marTop w:val="0"/>
                  <w:marBottom w:val="0"/>
                  <w:divBdr>
                    <w:top w:val="none" w:sz="0" w:space="0" w:color="auto"/>
                    <w:left w:val="none" w:sz="0" w:space="0" w:color="auto"/>
                    <w:bottom w:val="none" w:sz="0" w:space="0" w:color="auto"/>
                    <w:right w:val="none" w:sz="0" w:space="0" w:color="auto"/>
                  </w:divBdr>
                </w:div>
              </w:divsChild>
            </w:div>
            <w:div w:id="86969734">
              <w:marLeft w:val="0"/>
              <w:marRight w:val="0"/>
              <w:marTop w:val="0"/>
              <w:marBottom w:val="0"/>
              <w:divBdr>
                <w:top w:val="none" w:sz="0" w:space="0" w:color="auto"/>
                <w:left w:val="none" w:sz="0" w:space="0" w:color="auto"/>
                <w:bottom w:val="none" w:sz="0" w:space="0" w:color="auto"/>
                <w:right w:val="none" w:sz="0" w:space="0" w:color="auto"/>
              </w:divBdr>
              <w:divsChild>
                <w:div w:id="2529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undp.unteamworks.org/node/355934" TargetMode="External"/><Relationship Id="rId3" Type="http://schemas.openxmlformats.org/officeDocument/2006/relationships/settings" Target="settings.xml"/><Relationship Id="rId21" Type="http://schemas.openxmlformats.org/officeDocument/2006/relationships/hyperlink" Target="http://ati.publishwhatyoufund.org/index-2013/results/"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open.undp.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data.myworld2015.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nec2013.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13126</Words>
  <Characters>74822</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87773</CharactersWithSpaces>
  <SharedDoc>false</SharedDoc>
  <HLinks>
    <vt:vector size="18" baseType="variant">
      <vt:variant>
        <vt:i4>3997727</vt:i4>
      </vt:variant>
      <vt:variant>
        <vt:i4>12</vt:i4>
      </vt:variant>
      <vt:variant>
        <vt:i4>0</vt:i4>
      </vt:variant>
      <vt:variant>
        <vt:i4>5</vt:i4>
      </vt:variant>
      <vt:variant>
        <vt:lpwstr>http://hdr.undp.org/en/</vt:lpwstr>
      </vt:variant>
      <vt:variant>
        <vt:lpwstr/>
      </vt:variant>
      <vt:variant>
        <vt:i4>6029346</vt:i4>
      </vt:variant>
      <vt:variant>
        <vt:i4>9</vt:i4>
      </vt:variant>
      <vt:variant>
        <vt:i4>0</vt:i4>
      </vt:variant>
      <vt:variant>
        <vt:i4>5</vt:i4>
      </vt:variant>
      <vt:variant>
        <vt:lpwstr>http://www.undp.org/content/undp/en/home/librarypage/mdg/mdg-reports/</vt:lpwstr>
      </vt:variant>
      <vt:variant>
        <vt:lpwstr/>
      </vt:variant>
      <vt:variant>
        <vt:i4>65588</vt:i4>
      </vt:variant>
      <vt:variant>
        <vt:i4>6</vt:i4>
      </vt:variant>
      <vt:variant>
        <vt:i4>0</vt:i4>
      </vt:variant>
      <vt:variant>
        <vt:i4>5</vt:i4>
      </vt:variant>
      <vt:variant>
        <vt:lpwstr>http://www.BetterThanCash.org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Tiefenbacher</dc:creator>
  <cp:lastModifiedBy>Svetlana Iazykova</cp:lastModifiedBy>
  <cp:revision>3</cp:revision>
  <cp:lastPrinted>2014-06-09T20:14:00Z</cp:lastPrinted>
  <dcterms:created xsi:type="dcterms:W3CDTF">2014-06-09T22:21:00Z</dcterms:created>
  <dcterms:modified xsi:type="dcterms:W3CDTF">2014-06-09T22:21:00Z</dcterms:modified>
</cp:coreProperties>
</file>