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CCC4" w14:textId="77777777" w:rsidR="00A13E26" w:rsidRDefault="00A13E26" w:rsidP="00A13E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8D4"/>
          <w:sz w:val="20"/>
          <w:szCs w:val="20"/>
          <w:u w:val="single"/>
          <w:lang w:val="en-US"/>
        </w:rPr>
      </w:pPr>
    </w:p>
    <w:p w14:paraId="34695784" w14:textId="14EADB92" w:rsidR="00A13E26" w:rsidRPr="002116D1" w:rsidRDefault="00A13E26" w:rsidP="00A13E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8D4"/>
          <w:sz w:val="20"/>
          <w:szCs w:val="20"/>
        </w:rPr>
      </w:pPr>
      <w:r w:rsidRPr="002116D1">
        <w:rPr>
          <w:rFonts w:ascii="Times New Roman" w:eastAsia="Times New Roman" w:hAnsi="Times New Roman" w:cs="Times New Roman"/>
          <w:b/>
          <w:bCs/>
          <w:color w:val="0078D4"/>
          <w:sz w:val="20"/>
          <w:szCs w:val="20"/>
          <w:u w:val="single"/>
          <w:lang w:val="en-US"/>
        </w:rPr>
        <w:t>ANNEX</w:t>
      </w:r>
      <w:r w:rsidRPr="002116D1">
        <w:rPr>
          <w:rFonts w:ascii="Times New Roman" w:eastAsia="Times New Roman" w:hAnsi="Times New Roman" w:cs="Times New Roman"/>
          <w:color w:val="0078D4"/>
          <w:sz w:val="20"/>
          <w:szCs w:val="20"/>
          <w:u w:val="single"/>
          <w:lang w:val="en-US"/>
        </w:rPr>
        <w:t>. </w:t>
      </w:r>
      <w:r w:rsidRPr="002116D1">
        <w:rPr>
          <w:rFonts w:ascii="Times New Roman" w:eastAsia="Times New Roman" w:hAnsi="Times New Roman" w:cs="Times New Roman"/>
          <w:b/>
          <w:bCs/>
          <w:color w:val="0078D4"/>
          <w:sz w:val="20"/>
          <w:szCs w:val="20"/>
          <w:u w:val="single"/>
          <w:lang w:val="en-US"/>
        </w:rPr>
        <w:t>FULLY-COSTED EVALUATION PLAN – Barbados and OECS 2022-2026</w:t>
      </w:r>
      <w:r w:rsidRPr="002116D1">
        <w:rPr>
          <w:rFonts w:ascii="Times New Roman" w:eastAsia="Times New Roman" w:hAnsi="Times New Roman" w:cs="Times New Roman"/>
          <w:color w:val="0078D4"/>
          <w:sz w:val="20"/>
          <w:szCs w:val="20"/>
        </w:rPr>
        <w:t> </w:t>
      </w:r>
    </w:p>
    <w:p w14:paraId="5219BEBC" w14:textId="77777777" w:rsidR="00A13E26" w:rsidRPr="002116D1" w:rsidRDefault="00A13E26" w:rsidP="00A13E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2EA1B44" w14:textId="7D39D162" w:rsidR="0028757F" w:rsidRPr="002116D1" w:rsidRDefault="00DA4A07" w:rsidP="00A10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The evaluation plan is intended to serve as the basis for supporting </w:t>
      </w:r>
      <w:r w:rsidR="00FF55A4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results-based</w:t>
      </w:r>
      <w:r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management and </w:t>
      </w:r>
      <w:r w:rsidR="00D02BE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contributing to the efficiency and effectiveness of the Programme</w:t>
      </w:r>
      <w:r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by capturing lessons learned and strengthening </w:t>
      </w:r>
      <w:r w:rsidR="00FF55A4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implementation across all </w:t>
      </w:r>
      <w:r w:rsidR="00D02BE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its </w:t>
      </w:r>
      <w:r w:rsidR="00FF55A4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Outcome</w:t>
      </w:r>
      <w:r w:rsidR="00D02BE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r w:rsidR="00FF55A4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r w:rsidR="007E1E22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2116D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Various evaluations</w:t>
      </w:r>
      <w:r w:rsidR="00FF55A4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D02BE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are </w:t>
      </w:r>
      <w:r w:rsidR="00FF55A4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included in the Plan</w:t>
      </w:r>
      <w:r w:rsidR="0028757F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to cover, project,  programme and outcome</w:t>
      </w:r>
      <w:r w:rsidR="00662507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="00D609E3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044ECA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The </w:t>
      </w:r>
      <w:r w:rsidR="00FB3365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number and type of evaluations included in the plan</w:t>
      </w:r>
      <w:r w:rsidR="00D02BE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are</w:t>
      </w:r>
      <w:r w:rsidR="00FB3365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based on balancing the need for robust analysis of </w:t>
      </w:r>
      <w:r w:rsidR="0093567C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as many substantive</w:t>
      </w:r>
      <w:r w:rsidR="008A0B9F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elements </w:t>
      </w:r>
      <w:r w:rsidR="004B7C8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of </w:t>
      </w:r>
      <w:r w:rsidR="00FB3365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the Programme </w:t>
      </w:r>
      <w:r w:rsidR="0093567C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as possible and</w:t>
      </w:r>
      <w:r w:rsidR="00417534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effectively managing the project and office budgets available for decentralized evaluations. </w:t>
      </w:r>
      <w:r w:rsidR="008C7A77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The Plan therefore proposes </w:t>
      </w:r>
      <w:r w:rsidR="00535E6D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to undertake</w:t>
      </w:r>
      <w:r w:rsidR="008C7A77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all mandatory evaluations, including </w:t>
      </w:r>
      <w:r w:rsidR="00E26F1A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mid-cycle and terminal evaluations in line with </w:t>
      </w:r>
      <w:r w:rsidR="008C7A77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GEF </w:t>
      </w:r>
      <w:r w:rsidR="00E26F1A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requirements</w:t>
      </w:r>
      <w:r w:rsidR="0028757F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, conducting mid-cycle and terminal evaluations for all projects with budgets above $5 million</w:t>
      </w:r>
      <w:r w:rsidR="00E26F1A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and </w:t>
      </w:r>
      <w:r w:rsidR="0028757F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to support, as required, mid-cycle and terminal evaluations of the MSDCF and Country Investment Plans (CIP). Once final decisions on the structure, scope and process for MSDCF and CIP evaluations are made, a budget allocation 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for these evaluations </w:t>
      </w:r>
      <w:r w:rsidR="0028757F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from the Country Office 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budget </w:t>
      </w:r>
      <w:r w:rsidR="0028757F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will be made based on resource availability</w:t>
      </w:r>
    </w:p>
    <w:p w14:paraId="650200EA" w14:textId="77777777" w:rsidR="0028757F" w:rsidRPr="002116D1" w:rsidRDefault="0028757F" w:rsidP="00A10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7AF455C2" w14:textId="79E411CA" w:rsidR="00DA4A07" w:rsidRPr="002116D1" w:rsidRDefault="0028757F" w:rsidP="009E7B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An</w:t>
      </w:r>
      <w:r w:rsidR="00F841E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Outcome Evaluation is proposed related to MSDCF Outcome </w:t>
      </w:r>
      <w:r w:rsidR="004D2F9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2. </w:t>
      </w:r>
      <w:r w:rsidR="00535E6D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Th</w:t>
      </w:r>
      <w:r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is outcome represents </w:t>
      </w:r>
      <w:r w:rsidR="00DE7AC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a key strategic area for the UNDP MCO as it encompasses much of the work related to COVID19 recover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y, building </w:t>
      </w:r>
      <w:r w:rsidR="00DE7AC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resilient livelihoods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and supporting sustainable economic development</w:t>
      </w:r>
      <w:r w:rsidR="00DE7AC1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="009E7B6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The Outcome Evaluation will therefore assess progress towards the </w:t>
      </w:r>
      <w:r w:rsidR="001A068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transition to more diversified economies,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1A068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assess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1A068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the key fa</w:t>
      </w:r>
      <w:r w:rsidR="7912A32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="4B5D0524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tors</w:t>
      </w:r>
      <w:r w:rsidR="009E7B6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affecting the outcome</w:t>
      </w:r>
      <w:r w:rsidR="001A068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analyse</w:t>
      </w:r>
      <w:proofErr w:type="spellEnd"/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9E7B6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UNDP</w:t>
      </w:r>
      <w:r w:rsidR="001A068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’s main</w:t>
      </w:r>
      <w:r w:rsidR="009E7B6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contributions to</w:t>
      </w:r>
      <w:r w:rsidR="001A068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the</w:t>
      </w:r>
      <w:r w:rsidR="009E7B6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outcomes</w:t>
      </w:r>
      <w:r w:rsidR="001A068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and a</w:t>
      </w:r>
      <w:r w:rsidR="009E7B6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ssess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es</w:t>
      </w:r>
      <w:r w:rsidR="009E7B6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the 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relevant </w:t>
      </w:r>
      <w:r w:rsidR="009E7B6E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>partnership strateg</w:t>
      </w:r>
      <w:r w:rsidR="00805CA8" w:rsidRPr="002116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y employed in pursuit of the outcome. </w:t>
      </w:r>
    </w:p>
    <w:p w14:paraId="5915AC84" w14:textId="77777777" w:rsidR="00A10C0F" w:rsidRPr="002116D1" w:rsidRDefault="00A10C0F" w:rsidP="00A10C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820A3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4364C4A3" w14:textId="77777777" w:rsidR="00A10C0F" w:rsidRPr="00A10C0F" w:rsidRDefault="00A10C0F" w:rsidP="00A10C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10C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CD879FC" w14:textId="760E5DC1" w:rsidR="00A10C0F" w:rsidRPr="00A10C0F" w:rsidRDefault="00A10C0F" w:rsidP="48493B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8493B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845"/>
        <w:gridCol w:w="1695"/>
        <w:gridCol w:w="2265"/>
        <w:gridCol w:w="1980"/>
        <w:gridCol w:w="1425"/>
        <w:gridCol w:w="1695"/>
        <w:gridCol w:w="1140"/>
        <w:gridCol w:w="825"/>
        <w:gridCol w:w="930"/>
      </w:tblGrid>
      <w:tr w:rsidR="48493B8F" w14:paraId="52DCC4D0" w14:textId="77777777" w:rsidTr="48493B8F">
        <w:trPr>
          <w:trHeight w:val="84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66A0" w14:textId="0A91AC3A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UNDAF (or equivalent)</w:t>
            </w:r>
          </w:p>
          <w:p w14:paraId="5143F904" w14:textId="03ECCC34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A20E1" w14:textId="6CBEAED0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UNDP Strategic Plan Outcome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17D7B" w14:textId="4DBEF38B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Evaluation Title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56531" w14:textId="5EE529DD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Partners</w:t>
            </w:r>
          </w:p>
          <w:p w14:paraId="511B84C0" w14:textId="412973DF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(joint evaluation)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33147" w14:textId="49A87E75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Evaluation commissioned by</w:t>
            </w:r>
          </w:p>
          <w:p w14:paraId="1D682A0F" w14:textId="2F5721D3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(if not UNDP)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641FA" w14:textId="2DF2D0FA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 of evaluation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0CAB8" w14:textId="10985384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Planned Evaluation Completion Date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A2EB9" w14:textId="70151D9E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Estimated Cost</w:t>
            </w:r>
          </w:p>
          <w:p w14:paraId="28083B02" w14:textId="4E9C5641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(USD)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77340" w14:textId="50E59279" w:rsidR="48493B8F" w:rsidRDefault="48493B8F" w:rsidP="48493B8F">
            <w:pPr>
              <w:jc w:val="center"/>
            </w:pPr>
            <w:r w:rsidRPr="48493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Provisional Source of Funding</w:t>
            </w:r>
          </w:p>
        </w:tc>
      </w:tr>
      <w:tr w:rsidR="48493B8F" w14:paraId="2BB4251F" w14:textId="77777777" w:rsidTr="48493B8F">
        <w:trPr>
          <w:trHeight w:val="49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FA3C4" w14:textId="2F7668D1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Outcome 5:</w:t>
            </w:r>
          </w:p>
          <w:p w14:paraId="5F118D86" w14:textId="07141C8A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Caribbean people, communities, and institutions enhance their adaptive capacity for inclusive, gender responsive DRM and climate change adaptation and mitigation.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A3779" w14:textId="3A23772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Outcome 1: Advance Poverty Eradication in all its forms and dimensions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1842F" w14:textId="7D4CCACB" w:rsidR="48493B8F" w:rsidRDefault="48493B8F" w:rsidP="48493B8F">
            <w:pPr>
              <w:pStyle w:val="ListParagraph"/>
              <w:numPr>
                <w:ilvl w:val="0"/>
                <w:numId w:val="3"/>
              </w:numPr>
            </w:pP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Climate Resilient Agriculture (Grenada)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FD19CA3" w14:textId="67E827DA" w:rsidR="48493B8F" w:rsidRDefault="48493B8F" w:rsidP="48493B8F">
            <w:pPr>
              <w:pStyle w:val="ListParagraph"/>
              <w:numPr>
                <w:ilvl w:val="0"/>
                <w:numId w:val="3"/>
              </w:numPr>
            </w:pP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Ridge to Reef –St. Vincent and the Grenadines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952723C" w14:textId="7575E96A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90B8F" w14:textId="0A8441CC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Ministries of Climate;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Physical Planning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Communication, Works, Social Development, Housing, and Community Development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Gender Affairs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;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Economic Planning; Emergency Management Agencies; Health and Wellbeing; Sustainable Development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Tourism; Energy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50C845F" w14:textId="5EF1E25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A846" w14:textId="66E6A760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GEF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D7E23" w14:textId="6FB30626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GEF Mid Term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Evaluation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E8031" w14:textId="2722AD57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January 2022 and February 2022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74C5B" w14:textId="314280CF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$40,000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FAC29" w14:textId="60E73498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Project budget</w:t>
            </w:r>
          </w:p>
        </w:tc>
      </w:tr>
      <w:tr w:rsidR="48493B8F" w14:paraId="6CF9162B" w14:textId="77777777" w:rsidTr="48493B8F">
        <w:trPr>
          <w:trHeight w:val="49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7947" w14:textId="25D33771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Outcome 5:</w:t>
            </w:r>
          </w:p>
          <w:p w14:paraId="3ED9926A" w14:textId="2E859D2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Caribbean people, communities, and institutions enhance their adaptive capacity for inclusive, gender responsive DRM and climate change adaptation and mitigation.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5F87" w14:textId="6378D5D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Outcome 1: Advance Poverty Eradication in all its forms and dimensions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5D4EF" w14:textId="550AC842" w:rsidR="48493B8F" w:rsidRDefault="48493B8F" w:rsidP="48493B8F">
            <w:pPr>
              <w:pStyle w:val="ListParagraph"/>
              <w:numPr>
                <w:ilvl w:val="0"/>
                <w:numId w:val="2"/>
              </w:numPr>
            </w:pP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Climate Resilient Agriculture (Grenada)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EA3D02" w14:textId="20B46B41" w:rsidR="48493B8F" w:rsidRDefault="48493B8F" w:rsidP="48493B8F">
            <w:pPr>
              <w:pStyle w:val="ListParagraph"/>
              <w:numPr>
                <w:ilvl w:val="0"/>
                <w:numId w:val="2"/>
              </w:numPr>
            </w:pP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Ridge to Reef –St. Vincent and the Grenadines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D77B315" w14:textId="3C2BD6E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4AD49" w14:textId="2DBE0A0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Ministries of Climate;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Physical Planning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Communication, Works, Social Development, Housing, and Community Development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Gender Affairs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;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Economic Planning; Emergency Management Agencies; Health and Wellbeing; Sustainable Development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Tourism; Energy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74CC01" w14:textId="72A5C6C6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FE926" w14:textId="3A37842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GEF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AC23" w14:textId="6D0AD7AA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GEF Terminal Evaluation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A090" w14:textId="6D6AA63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August and December 2023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AAD47" w14:textId="618CB05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$40,000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4F47D" w14:textId="76B201A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Project budget</w:t>
            </w:r>
          </w:p>
        </w:tc>
      </w:tr>
      <w:tr w:rsidR="48493B8F" w14:paraId="7E225572" w14:textId="77777777" w:rsidTr="48493B8F">
        <w:trPr>
          <w:trHeight w:val="49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417A" w14:textId="2F04DA7C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Outcome 2 </w:t>
            </w:r>
          </w:p>
          <w:p w14:paraId="523ACC54" w14:textId="4C0D784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Caribbean has fully transitioned to a more diversified and sustainable economy that supports inclusive and resilient economic growth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20775" w14:textId="14C658E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Outcome 2 – Accelerate structural transformations for sustainable development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6A344" w14:textId="06DA722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Final Project evaluations </w:t>
            </w:r>
            <w:proofErr w:type="spellStart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FUTtourism</w:t>
            </w:r>
            <w:proofErr w:type="spellEnd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475A" w14:textId="5CB71798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Partnerships: Ministries of Tourism, UWI, Frankfurt School, Small business Associations, Gender Groups, UN Women, UNWTO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2258" w14:textId="4E79C2F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N/A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59154" w14:textId="2211A94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Project Evaluation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EA805" w14:textId="58D8772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June 2022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9D7F6" w14:textId="3723421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$25,000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758A" w14:textId="4F48B2C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Project budget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48493B8F" w14:paraId="7AF224D0" w14:textId="77777777" w:rsidTr="48493B8F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5FEDA" w14:textId="3AFC5B22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Outcome 5:</w:t>
            </w:r>
          </w:p>
          <w:p w14:paraId="51EDA6AC" w14:textId="0946CF87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Caribbean people, communities, and institutions enhance their adaptive capacity for inclusive, gender responsive DRM and climate change adaptation and mitigation.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258FC" w14:textId="6B9F79D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Outcome 2 – Accelerate structural transformations for sustainable development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4D195E5" w14:textId="361D6501" w:rsidR="48493B8F" w:rsidRDefault="48493B8F">
            <w:r w:rsidRPr="48493B8F"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F7F77" w14:textId="7CE8F866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Final Evaluation Strengthened Disaster Management Capacity of Women in the Cooperative Republic of Guyana and Commonwealth of Dominica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B6405" w14:textId="2E9A9D02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Partnerships: Ministry of Agriculture, National Disaster Office, National MET Office, National Organization of Women, Embassy of Japan, CIMH, IICA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2F19" w14:textId="55D96B4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N/A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65D69" w14:textId="374D960F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Project Evaluation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25C6" w14:textId="483DA96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December 2022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6D70" w14:textId="1372904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$30,000 USD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AD282" w14:textId="2EE62116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Project budget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48493B8F" w14:paraId="2275694E" w14:textId="77777777" w:rsidTr="48493B8F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445A" w14:textId="5D0628D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Outcome 2 </w:t>
            </w:r>
          </w:p>
          <w:p w14:paraId="12A33E70" w14:textId="0DAB474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Caribbean has fully transitioned to a more diversified and sustainable economy that supports inclusive and resilient economic growth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4553" w14:textId="3A98F40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Outcome 2 – Accelerate structural transformations for sustainable development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B3512" w14:textId="5016E934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Shared Resilience (support to business, job retention, economic recovery)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</w:p>
          <w:p w14:paraId="50A33775" w14:textId="5F8DB36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Outcome 2 Evaluation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9CE13" w14:textId="28ECD2D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FAO, UNWOMEN, Small Business Associations; Ministries of Planning; </w:t>
            </w:r>
            <w:proofErr w:type="spellStart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Ministeries</w:t>
            </w:r>
            <w:proofErr w:type="spellEnd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of Finance; </w:t>
            </w:r>
            <w:proofErr w:type="spellStart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Ministeries</w:t>
            </w:r>
            <w:proofErr w:type="spellEnd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of Agriculture; </w:t>
            </w:r>
            <w:proofErr w:type="spellStart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Womens</w:t>
            </w:r>
            <w:proofErr w:type="spellEnd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groups; Private Sector </w:t>
            </w:r>
            <w:proofErr w:type="spellStart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organisations</w:t>
            </w:r>
            <w:proofErr w:type="spellEnd"/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including MSMEs;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0E0E0" w14:textId="620E6BB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N/A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15A25" w14:textId="75AF8CB7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Outcome Evaluation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97E80" w14:textId="71C28BD0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December 2023 &amp;December 2026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18473" w14:textId="6051B4D5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$50,000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B6E5" w14:textId="0DB1A1B1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Project budget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48493B8F" w14:paraId="5082ED10" w14:textId="77777777" w:rsidTr="48493B8F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33AC" w14:textId="3ACCD1FF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Outcome 5:</w:t>
            </w:r>
          </w:p>
          <w:p w14:paraId="65FB4413" w14:textId="250985B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Caribbean people, communities, and institutions enhance their adaptive capacity for inclusive, gender responsive DRM and climate change adaptation and mitigation.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FD6D" w14:textId="56EAA7F7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Outcome 3 – Strengthen resilience to shocks and crises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2275" w14:textId="384A5898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SMARTER project (pending approval)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Mid Term Evaluation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D598" w14:textId="3A9DE5C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Ministries of Climate;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Physical Planning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Communication, Works, Social Development, Housing, and Community Development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Gender Affairs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;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Economic Planning; Emergency Management Agencies; Health and Wellbeing; Sustainable Development</w:t>
            </w:r>
            <w:r w:rsidRPr="48493B8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 xml:space="preserve">;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Tourism; Energy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3BA705C" w14:textId="11E50CE9" w:rsidR="48493B8F" w:rsidRDefault="48493B8F">
            <w:r w:rsidRPr="48493B8F"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</w:p>
          <w:p w14:paraId="6DD4A8AE" w14:textId="2C02EDAB" w:rsidR="48493B8F" w:rsidRDefault="48493B8F">
            <w:r w:rsidRPr="48493B8F"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BF998" w14:textId="58FBB31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GEF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657A4" w14:textId="48A1767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Global Environment Facility Evaluation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69166" w14:textId="2733E0D8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February 2022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F364" w14:textId="6669EC5C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$20,000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A1088" w14:textId="15E944CA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Project budget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48493B8F" w14:paraId="42F7FA60" w14:textId="77777777" w:rsidTr="48493B8F">
        <w:trPr>
          <w:trHeight w:val="216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8059" w14:textId="42663CB2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Outcome 5:</w:t>
            </w:r>
          </w:p>
          <w:p w14:paraId="01BFC90C" w14:textId="3163EA93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Caribbean people, communities, and institutions enhance their adaptive capacity for inclusive, gender responsive DRM and climate change adaptation and mitigation.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9486" w14:textId="7FC42753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Outcome 3 – Strengthen resilience to shocks and crises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FCF99" w14:textId="52DBEC2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Four (2) Terminal Evaluations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58FED0F" w14:textId="7C9F36DE" w:rsidR="48493B8F" w:rsidRDefault="48493B8F" w:rsidP="48493B8F">
            <w:pPr>
              <w:pStyle w:val="ListParagraph"/>
              <w:numPr>
                <w:ilvl w:val="0"/>
                <w:numId w:val="1"/>
              </w:numPr>
            </w:pP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Monitoring and Assessment of MEA- Antigua and Barbuda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312D388" w14:textId="666263E3" w:rsidR="48493B8F" w:rsidRDefault="48493B8F" w:rsidP="48493B8F">
            <w:pPr>
              <w:pStyle w:val="ListParagraph"/>
              <w:numPr>
                <w:ilvl w:val="0"/>
                <w:numId w:val="1"/>
              </w:numPr>
            </w:pP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SMARTER project (pending approval)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6616EC" w14:textId="38AAA20B" w:rsidR="48493B8F" w:rsidRDefault="48493B8F" w:rsidP="48493B8F">
            <w:pPr>
              <w:ind w:left="142" w:hanging="142"/>
            </w:pPr>
            <w:r w:rsidRPr="48493B8F"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132AB" w14:textId="77777777" w:rsidR="00684AF1" w:rsidRDefault="00684AF1"/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E80" w14:textId="2D74FCC2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GEF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E2E84" w14:textId="687F372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Global Environment Facility Evaluation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AA9B3" w14:textId="2E290E24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August and December 2023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45ADF" w14:textId="5AB814F6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$40,000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B8FBE" w14:textId="7DBF51A8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Project Budget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48493B8F" w14:paraId="1401DC0D" w14:textId="77777777" w:rsidTr="48493B8F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1950A" w14:textId="65D00EE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Regional and national laws, policies, systems, and institutions improve access to justice and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promote peace, social cohesion and security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5C39B" w14:textId="2C342C0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Outcome 2 – Accelerate structural transformations for 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sustainable development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04E7" w14:textId="6D62AEE4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EU Justice Sector Programme  mid-term and terminal Evaluations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18748" w14:textId="5B8C6A3F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Delegation of the European Union to Barbados, the Eastern Caribbean States (EU)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3655912" w14:textId="30AE1CC2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Ministries of Justice and National Security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5ABB5" w14:textId="1CCA754F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N/A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575D" w14:textId="4DF3607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Project Evaluation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C423" w14:textId="339A29C3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September 2024</w:t>
            </w:r>
          </w:p>
          <w:p w14:paraId="7EAB1962" w14:textId="35E79890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September 2026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589CB" w14:textId="395DB3E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$90,000</w:t>
            </w:r>
          </w:p>
          <w:p w14:paraId="425693C4" w14:textId="27CA6D59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BC11D" w14:textId="4B704293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Project Budget</w:t>
            </w:r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48493B8F" w14:paraId="4086572D" w14:textId="77777777" w:rsidTr="48493B8F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ED545" w14:textId="0377218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Multi-Country Sustainable Development Cooperation Framework Evaluation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ACED2" w14:textId="6A0FFC8A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All Outcomes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0A8CF" w14:textId="19B1219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MSDCF mid-cycle evaluation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7E5D2" w14:textId="41092674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01224" w14:textId="4DA946C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C45B8" w14:textId="2499E25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MSDCF Evaluation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1A22" w14:textId="50D2FE9C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January 2025</w:t>
            </w:r>
          </w:p>
          <w:p w14:paraId="63BCF978" w14:textId="5A6BC940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B742B" w14:textId="247707F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TBD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CA4BC" w14:textId="538CAB8C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Office Budget</w:t>
            </w:r>
          </w:p>
        </w:tc>
      </w:tr>
      <w:tr w:rsidR="48493B8F" w14:paraId="54D9EF01" w14:textId="77777777" w:rsidTr="48493B8F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D36F" w14:textId="49D747DA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</w:rPr>
              <w:t>Multi-Country Sustainable Development Cooperation Framework Evaluation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45A07" w14:textId="1EA54B2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All Outcomes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1C389" w14:textId="2311777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MSDCF Terminal evaluation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1174F" w14:textId="2A8F004D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EF8A" w14:textId="6FBFCA4C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0FA38" w14:textId="056D1FEB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MSDCF Evaluation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C8342" w14:textId="4133549E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June 2026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DCA82" w14:textId="6E98FA35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TBD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7E1F5" w14:textId="2A54D9EA" w:rsidR="48493B8F" w:rsidRDefault="48493B8F">
            <w:r w:rsidRPr="48493B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UNDP Office Budget</w:t>
            </w:r>
          </w:p>
        </w:tc>
      </w:tr>
    </w:tbl>
    <w:p w14:paraId="5101E105" w14:textId="344F931E" w:rsidR="00A10C0F" w:rsidRPr="00A10C0F" w:rsidRDefault="00A10C0F" w:rsidP="00A10C0F">
      <w:pPr>
        <w:spacing w:after="0" w:line="240" w:lineRule="auto"/>
        <w:textAlignment w:val="baseline"/>
      </w:pPr>
      <w:r>
        <w:br/>
      </w:r>
    </w:p>
    <w:p w14:paraId="0BD86780" w14:textId="5A171F24" w:rsidR="00A10C0F" w:rsidRPr="00A10C0F" w:rsidRDefault="00A10C0F" w:rsidP="48493B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075B84" w14:textId="77777777" w:rsidR="00A10C0F" w:rsidRPr="00A10C0F" w:rsidRDefault="00A10C0F" w:rsidP="00A10C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10C0F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C176C72" w14:textId="77777777" w:rsidR="00805CA8" w:rsidRDefault="00805CA8"/>
    <w:sectPr w:rsidR="00805CA8" w:rsidSect="00A10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112"/>
    <w:multiLevelType w:val="hybridMultilevel"/>
    <w:tmpl w:val="8368C916"/>
    <w:lvl w:ilvl="0" w:tplc="E1D432F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365" w:hanging="360"/>
      </w:pPr>
    </w:lvl>
    <w:lvl w:ilvl="2" w:tplc="2000001B" w:tentative="1">
      <w:start w:val="1"/>
      <w:numFmt w:val="lowerRoman"/>
      <w:lvlText w:val="%3."/>
      <w:lvlJc w:val="right"/>
      <w:pPr>
        <w:ind w:left="2085" w:hanging="180"/>
      </w:pPr>
    </w:lvl>
    <w:lvl w:ilvl="3" w:tplc="2000000F" w:tentative="1">
      <w:start w:val="1"/>
      <w:numFmt w:val="decimal"/>
      <w:lvlText w:val="%4."/>
      <w:lvlJc w:val="left"/>
      <w:pPr>
        <w:ind w:left="2805" w:hanging="360"/>
      </w:pPr>
    </w:lvl>
    <w:lvl w:ilvl="4" w:tplc="20000019" w:tentative="1">
      <w:start w:val="1"/>
      <w:numFmt w:val="lowerLetter"/>
      <w:lvlText w:val="%5."/>
      <w:lvlJc w:val="left"/>
      <w:pPr>
        <w:ind w:left="3525" w:hanging="360"/>
      </w:pPr>
    </w:lvl>
    <w:lvl w:ilvl="5" w:tplc="2000001B" w:tentative="1">
      <w:start w:val="1"/>
      <w:numFmt w:val="lowerRoman"/>
      <w:lvlText w:val="%6."/>
      <w:lvlJc w:val="right"/>
      <w:pPr>
        <w:ind w:left="4245" w:hanging="180"/>
      </w:pPr>
    </w:lvl>
    <w:lvl w:ilvl="6" w:tplc="2000000F" w:tentative="1">
      <w:start w:val="1"/>
      <w:numFmt w:val="decimal"/>
      <w:lvlText w:val="%7."/>
      <w:lvlJc w:val="left"/>
      <w:pPr>
        <w:ind w:left="4965" w:hanging="360"/>
      </w:pPr>
    </w:lvl>
    <w:lvl w:ilvl="7" w:tplc="20000019" w:tentative="1">
      <w:start w:val="1"/>
      <w:numFmt w:val="lowerLetter"/>
      <w:lvlText w:val="%8."/>
      <w:lvlJc w:val="left"/>
      <w:pPr>
        <w:ind w:left="5685" w:hanging="360"/>
      </w:pPr>
    </w:lvl>
    <w:lvl w:ilvl="8" w:tplc="200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B8473C6"/>
    <w:multiLevelType w:val="hybridMultilevel"/>
    <w:tmpl w:val="8E62E9BC"/>
    <w:lvl w:ilvl="0" w:tplc="51140520">
      <w:start w:val="1"/>
      <w:numFmt w:val="decimal"/>
      <w:lvlText w:val="%1."/>
      <w:lvlJc w:val="left"/>
      <w:pPr>
        <w:ind w:left="720" w:hanging="360"/>
      </w:pPr>
    </w:lvl>
    <w:lvl w:ilvl="1" w:tplc="F1BEB780">
      <w:start w:val="1"/>
      <w:numFmt w:val="lowerLetter"/>
      <w:lvlText w:val="%2."/>
      <w:lvlJc w:val="left"/>
      <w:pPr>
        <w:ind w:left="1440" w:hanging="360"/>
      </w:pPr>
    </w:lvl>
    <w:lvl w:ilvl="2" w:tplc="4058C190">
      <w:start w:val="1"/>
      <w:numFmt w:val="lowerRoman"/>
      <w:lvlText w:val="%3."/>
      <w:lvlJc w:val="right"/>
      <w:pPr>
        <w:ind w:left="2160" w:hanging="180"/>
      </w:pPr>
    </w:lvl>
    <w:lvl w:ilvl="3" w:tplc="33B2A2DC">
      <w:start w:val="1"/>
      <w:numFmt w:val="decimal"/>
      <w:lvlText w:val="%4."/>
      <w:lvlJc w:val="left"/>
      <w:pPr>
        <w:ind w:left="2880" w:hanging="360"/>
      </w:pPr>
    </w:lvl>
    <w:lvl w:ilvl="4" w:tplc="780A9254">
      <w:start w:val="1"/>
      <w:numFmt w:val="lowerLetter"/>
      <w:lvlText w:val="%5."/>
      <w:lvlJc w:val="left"/>
      <w:pPr>
        <w:ind w:left="3600" w:hanging="360"/>
      </w:pPr>
    </w:lvl>
    <w:lvl w:ilvl="5" w:tplc="366E6A6C">
      <w:start w:val="1"/>
      <w:numFmt w:val="lowerRoman"/>
      <w:lvlText w:val="%6."/>
      <w:lvlJc w:val="right"/>
      <w:pPr>
        <w:ind w:left="4320" w:hanging="180"/>
      </w:pPr>
    </w:lvl>
    <w:lvl w:ilvl="6" w:tplc="1A384C80">
      <w:start w:val="1"/>
      <w:numFmt w:val="decimal"/>
      <w:lvlText w:val="%7."/>
      <w:lvlJc w:val="left"/>
      <w:pPr>
        <w:ind w:left="5040" w:hanging="360"/>
      </w:pPr>
    </w:lvl>
    <w:lvl w:ilvl="7" w:tplc="3B3E14B0">
      <w:start w:val="1"/>
      <w:numFmt w:val="lowerLetter"/>
      <w:lvlText w:val="%8."/>
      <w:lvlJc w:val="left"/>
      <w:pPr>
        <w:ind w:left="5760" w:hanging="360"/>
      </w:pPr>
    </w:lvl>
    <w:lvl w:ilvl="8" w:tplc="EA02F8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7A38"/>
    <w:multiLevelType w:val="hybridMultilevel"/>
    <w:tmpl w:val="0576D184"/>
    <w:lvl w:ilvl="0" w:tplc="74FA02D8">
      <w:start w:val="1"/>
      <w:numFmt w:val="decimal"/>
      <w:lvlText w:val="%1."/>
      <w:lvlJc w:val="left"/>
      <w:pPr>
        <w:ind w:left="720" w:hanging="360"/>
      </w:pPr>
    </w:lvl>
    <w:lvl w:ilvl="1" w:tplc="73A62D78">
      <w:start w:val="1"/>
      <w:numFmt w:val="lowerLetter"/>
      <w:lvlText w:val="%2."/>
      <w:lvlJc w:val="left"/>
      <w:pPr>
        <w:ind w:left="1440" w:hanging="360"/>
      </w:pPr>
    </w:lvl>
    <w:lvl w:ilvl="2" w:tplc="C34E3136">
      <w:start w:val="1"/>
      <w:numFmt w:val="lowerRoman"/>
      <w:lvlText w:val="%3."/>
      <w:lvlJc w:val="right"/>
      <w:pPr>
        <w:ind w:left="2160" w:hanging="180"/>
      </w:pPr>
    </w:lvl>
    <w:lvl w:ilvl="3" w:tplc="468E06B4">
      <w:start w:val="1"/>
      <w:numFmt w:val="decimal"/>
      <w:lvlText w:val="%4."/>
      <w:lvlJc w:val="left"/>
      <w:pPr>
        <w:ind w:left="2880" w:hanging="360"/>
      </w:pPr>
    </w:lvl>
    <w:lvl w:ilvl="4" w:tplc="7612F238">
      <w:start w:val="1"/>
      <w:numFmt w:val="lowerLetter"/>
      <w:lvlText w:val="%5."/>
      <w:lvlJc w:val="left"/>
      <w:pPr>
        <w:ind w:left="3600" w:hanging="360"/>
      </w:pPr>
    </w:lvl>
    <w:lvl w:ilvl="5" w:tplc="E6586BA4">
      <w:start w:val="1"/>
      <w:numFmt w:val="lowerRoman"/>
      <w:lvlText w:val="%6."/>
      <w:lvlJc w:val="right"/>
      <w:pPr>
        <w:ind w:left="4320" w:hanging="180"/>
      </w:pPr>
    </w:lvl>
    <w:lvl w:ilvl="6" w:tplc="E9F03500">
      <w:start w:val="1"/>
      <w:numFmt w:val="decimal"/>
      <w:lvlText w:val="%7."/>
      <w:lvlJc w:val="left"/>
      <w:pPr>
        <w:ind w:left="5040" w:hanging="360"/>
      </w:pPr>
    </w:lvl>
    <w:lvl w:ilvl="7" w:tplc="CF94FA60">
      <w:start w:val="1"/>
      <w:numFmt w:val="lowerLetter"/>
      <w:lvlText w:val="%8."/>
      <w:lvlJc w:val="left"/>
      <w:pPr>
        <w:ind w:left="5760" w:hanging="360"/>
      </w:pPr>
    </w:lvl>
    <w:lvl w:ilvl="8" w:tplc="02ACCF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24A86"/>
    <w:multiLevelType w:val="multilevel"/>
    <w:tmpl w:val="568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B4DC5"/>
    <w:multiLevelType w:val="hybridMultilevel"/>
    <w:tmpl w:val="67DA6D3E"/>
    <w:lvl w:ilvl="0" w:tplc="567AFD5E">
      <w:start w:val="1"/>
      <w:numFmt w:val="decimal"/>
      <w:lvlText w:val="%1."/>
      <w:lvlJc w:val="left"/>
      <w:pPr>
        <w:ind w:left="720" w:hanging="360"/>
      </w:pPr>
    </w:lvl>
    <w:lvl w:ilvl="1" w:tplc="B1DAA046">
      <w:start w:val="1"/>
      <w:numFmt w:val="lowerLetter"/>
      <w:lvlText w:val="%2."/>
      <w:lvlJc w:val="left"/>
      <w:pPr>
        <w:ind w:left="1440" w:hanging="360"/>
      </w:pPr>
    </w:lvl>
    <w:lvl w:ilvl="2" w:tplc="2BBE7AD6">
      <w:start w:val="1"/>
      <w:numFmt w:val="lowerRoman"/>
      <w:lvlText w:val="%3."/>
      <w:lvlJc w:val="right"/>
      <w:pPr>
        <w:ind w:left="2160" w:hanging="180"/>
      </w:pPr>
    </w:lvl>
    <w:lvl w:ilvl="3" w:tplc="C1A68780">
      <w:start w:val="1"/>
      <w:numFmt w:val="decimal"/>
      <w:lvlText w:val="%4."/>
      <w:lvlJc w:val="left"/>
      <w:pPr>
        <w:ind w:left="2880" w:hanging="360"/>
      </w:pPr>
    </w:lvl>
    <w:lvl w:ilvl="4" w:tplc="A176A54A">
      <w:start w:val="1"/>
      <w:numFmt w:val="lowerLetter"/>
      <w:lvlText w:val="%5."/>
      <w:lvlJc w:val="left"/>
      <w:pPr>
        <w:ind w:left="3600" w:hanging="360"/>
      </w:pPr>
    </w:lvl>
    <w:lvl w:ilvl="5" w:tplc="AB043BEC">
      <w:start w:val="1"/>
      <w:numFmt w:val="lowerRoman"/>
      <w:lvlText w:val="%6."/>
      <w:lvlJc w:val="right"/>
      <w:pPr>
        <w:ind w:left="4320" w:hanging="180"/>
      </w:pPr>
    </w:lvl>
    <w:lvl w:ilvl="6" w:tplc="168AECD0">
      <w:start w:val="1"/>
      <w:numFmt w:val="decimal"/>
      <w:lvlText w:val="%7."/>
      <w:lvlJc w:val="left"/>
      <w:pPr>
        <w:ind w:left="5040" w:hanging="360"/>
      </w:pPr>
    </w:lvl>
    <w:lvl w:ilvl="7" w:tplc="93C6A5B8">
      <w:start w:val="1"/>
      <w:numFmt w:val="lowerLetter"/>
      <w:lvlText w:val="%8."/>
      <w:lvlJc w:val="left"/>
      <w:pPr>
        <w:ind w:left="5760" w:hanging="360"/>
      </w:pPr>
    </w:lvl>
    <w:lvl w:ilvl="8" w:tplc="F7BEB7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01071"/>
    <w:multiLevelType w:val="multilevel"/>
    <w:tmpl w:val="EF2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MDUwMjY3NzI0MTFX0lEKTi0uzszPAykwrAUAxHoLuSwAAAA="/>
  </w:docVars>
  <w:rsids>
    <w:rsidRoot w:val="00A10C0F"/>
    <w:rsid w:val="000007FE"/>
    <w:rsid w:val="00044ECA"/>
    <w:rsid w:val="00082560"/>
    <w:rsid w:val="000B3E02"/>
    <w:rsid w:val="000D6515"/>
    <w:rsid w:val="00146B1F"/>
    <w:rsid w:val="001A068E"/>
    <w:rsid w:val="001A4166"/>
    <w:rsid w:val="002116D1"/>
    <w:rsid w:val="0022619E"/>
    <w:rsid w:val="0027049F"/>
    <w:rsid w:val="00276E2F"/>
    <w:rsid w:val="0028757F"/>
    <w:rsid w:val="002C3FAC"/>
    <w:rsid w:val="00371893"/>
    <w:rsid w:val="00417534"/>
    <w:rsid w:val="00446126"/>
    <w:rsid w:val="004B7C81"/>
    <w:rsid w:val="004D2F9E"/>
    <w:rsid w:val="004F1CBF"/>
    <w:rsid w:val="00535E6D"/>
    <w:rsid w:val="005876E2"/>
    <w:rsid w:val="00643D1E"/>
    <w:rsid w:val="00662507"/>
    <w:rsid w:val="00684AF1"/>
    <w:rsid w:val="00707290"/>
    <w:rsid w:val="007A4D36"/>
    <w:rsid w:val="007D1E74"/>
    <w:rsid w:val="007E012C"/>
    <w:rsid w:val="007E1E22"/>
    <w:rsid w:val="007F7B43"/>
    <w:rsid w:val="00803782"/>
    <w:rsid w:val="00805CA8"/>
    <w:rsid w:val="00844321"/>
    <w:rsid w:val="00886261"/>
    <w:rsid w:val="008A0B9F"/>
    <w:rsid w:val="008A5D15"/>
    <w:rsid w:val="008C7A77"/>
    <w:rsid w:val="0091259A"/>
    <w:rsid w:val="0093567C"/>
    <w:rsid w:val="00975297"/>
    <w:rsid w:val="009E7B6E"/>
    <w:rsid w:val="00A10C0F"/>
    <w:rsid w:val="00A13E26"/>
    <w:rsid w:val="00A34616"/>
    <w:rsid w:val="00A76B97"/>
    <w:rsid w:val="00AF328C"/>
    <w:rsid w:val="00C72ED8"/>
    <w:rsid w:val="00C91263"/>
    <w:rsid w:val="00D00457"/>
    <w:rsid w:val="00D02BE1"/>
    <w:rsid w:val="00D25CB5"/>
    <w:rsid w:val="00D3330A"/>
    <w:rsid w:val="00D609E3"/>
    <w:rsid w:val="00DA4A07"/>
    <w:rsid w:val="00DB71B5"/>
    <w:rsid w:val="00DD3768"/>
    <w:rsid w:val="00DE35EA"/>
    <w:rsid w:val="00DE7AC1"/>
    <w:rsid w:val="00E26F1A"/>
    <w:rsid w:val="00ED2840"/>
    <w:rsid w:val="00F66D48"/>
    <w:rsid w:val="00F841E8"/>
    <w:rsid w:val="00FB3365"/>
    <w:rsid w:val="00FF541E"/>
    <w:rsid w:val="00FF55A4"/>
    <w:rsid w:val="0DD1AC23"/>
    <w:rsid w:val="1C68B82E"/>
    <w:rsid w:val="2BCDEB0D"/>
    <w:rsid w:val="48299A69"/>
    <w:rsid w:val="48493B8F"/>
    <w:rsid w:val="4B5D0524"/>
    <w:rsid w:val="626BECC5"/>
    <w:rsid w:val="634A6150"/>
    <w:rsid w:val="7820A355"/>
    <w:rsid w:val="7912A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F87D"/>
  <w15:chartTrackingRefBased/>
  <w15:docId w15:val="{22CC69C1-97E5-4214-BF95-9C5A5C9F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0C0F"/>
  </w:style>
  <w:style w:type="character" w:customStyle="1" w:styleId="eop">
    <w:name w:val="eop"/>
    <w:basedOn w:val="DefaultParagraphFont"/>
    <w:rsid w:val="00A10C0F"/>
  </w:style>
  <w:style w:type="character" w:styleId="CommentReference">
    <w:name w:val="annotation reference"/>
    <w:basedOn w:val="DefaultParagraphFont"/>
    <w:uiPriority w:val="99"/>
    <w:semiHidden/>
    <w:unhideWhenUsed/>
    <w:rsid w:val="00DE3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5E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5EA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FF55A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F55A4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E0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4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UNITOFFICE-440-2144</_dlc_DocId>
    <_dlc_DocIdUrl xmlns="5ebeba3d-fd60-4dcb-8548-a9fd3c51d9ff">
      <Url>https://intranet.undp.org/unit/office/exo/sp2014/SP201417/_layouts/15/DocIdRedir.aspx?ID=UNITOFFICE-440-2144</Url>
      <Description>UNITOFFICE-440-2144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F07C46-9F1C-4081-990A-995E5B4B8C7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ebeba3d-fd60-4dcb-8548-a9fd3c51d9f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EB3286-0477-44FC-B6E4-40F955CBF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5128B-0401-4B81-BA2A-629B38959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74C25-1460-4A5C-95B7-EAFAAD5E3D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5963</Characters>
  <Application>Microsoft Office Word</Application>
  <DocSecurity>4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LaCorbiniere</dc:creator>
  <cp:keywords/>
  <dc:description/>
  <cp:lastModifiedBy>Svetlana Iazykova</cp:lastModifiedBy>
  <cp:revision>2</cp:revision>
  <dcterms:created xsi:type="dcterms:W3CDTF">2021-10-25T22:36:00Z</dcterms:created>
  <dcterms:modified xsi:type="dcterms:W3CDTF">2021-10-25T22:36:00Z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b58eb7db-8e35-472c-8891-d6602ebbf1b7</vt:lpwstr>
  </property>
</Properties>
</file>