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7C18" w14:textId="7C2C9E2F" w:rsidR="00C10832" w:rsidRPr="00972B61" w:rsidRDefault="00C10832" w:rsidP="00C029B2">
      <w:pPr>
        <w:tabs>
          <w:tab w:val="left" w:pos="875"/>
        </w:tabs>
        <w:rPr>
          <w:color w:val="000000"/>
          <w:sz w:val="6"/>
          <w:lang w:val="en-GB"/>
        </w:rPr>
        <w:sectPr w:rsidR="00C10832" w:rsidRPr="00972B61">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765D3C3D" w14:textId="77777777" w:rsidR="00F10E78" w:rsidRPr="00972B61" w:rsidRDefault="00F10E78" w:rsidP="00C029B2">
      <w:pPr>
        <w:tabs>
          <w:tab w:val="left" w:pos="8789"/>
        </w:tabs>
        <w:ind w:right="288"/>
        <w:rPr>
          <w:b/>
          <w:color w:val="000000"/>
          <w:lang w:val="en-GB"/>
        </w:rPr>
      </w:pPr>
      <w:r w:rsidRPr="00972B61">
        <w:rPr>
          <w:b/>
          <w:color w:val="000000"/>
          <w:lang w:val="en-GB"/>
        </w:rPr>
        <w:t>First regular session 2022</w:t>
      </w:r>
    </w:p>
    <w:p w14:paraId="71DCE738" w14:textId="6AAE30A2" w:rsidR="00F10E78" w:rsidRPr="00972B61" w:rsidRDefault="00F10E78" w:rsidP="00F10E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972B61">
        <w:rPr>
          <w:color w:val="000000"/>
          <w:lang w:val="en-GB"/>
        </w:rPr>
        <w:t xml:space="preserve">31 January </w:t>
      </w:r>
      <w:r w:rsidR="00972B61">
        <w:rPr>
          <w:color w:val="000000"/>
          <w:lang w:val="en-GB"/>
        </w:rPr>
        <w:t xml:space="preserve">to </w:t>
      </w:r>
      <w:r w:rsidRPr="00972B61">
        <w:rPr>
          <w:color w:val="000000"/>
          <w:lang w:val="en-GB"/>
        </w:rPr>
        <w:t>4 February 2022, New York</w:t>
      </w:r>
    </w:p>
    <w:p w14:paraId="429F414F" w14:textId="77777777" w:rsidR="00F10E78" w:rsidRPr="00972B61" w:rsidRDefault="00F10E78" w:rsidP="00F10E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972B61">
        <w:rPr>
          <w:color w:val="000000"/>
          <w:lang w:val="en-GB"/>
        </w:rPr>
        <w:t>Item 6 of the provisional agenda</w:t>
      </w:r>
    </w:p>
    <w:p w14:paraId="7299582D" w14:textId="77777777" w:rsidR="00F10E78" w:rsidRPr="00972B61" w:rsidRDefault="00F10E78" w:rsidP="00F10E78">
      <w:pPr>
        <w:ind w:right="1260"/>
        <w:rPr>
          <w:b/>
          <w:color w:val="000000"/>
          <w:lang w:val="en-GB"/>
        </w:rPr>
      </w:pPr>
      <w:r w:rsidRPr="00972B61">
        <w:rPr>
          <w:b/>
          <w:color w:val="000000"/>
          <w:lang w:val="en-GB"/>
        </w:rPr>
        <w:t>Country programmes and related matters</w:t>
      </w:r>
    </w:p>
    <w:p w14:paraId="7FD8A670" w14:textId="77777777" w:rsidR="00F10E78" w:rsidRPr="00972B61" w:rsidRDefault="00F10E78" w:rsidP="00F10E78">
      <w:pPr>
        <w:jc w:val="both"/>
        <w:rPr>
          <w:b/>
          <w:lang w:val="en-GB"/>
        </w:rPr>
      </w:pPr>
    </w:p>
    <w:p w14:paraId="35760CB3" w14:textId="77777777" w:rsidR="00F10E78" w:rsidRPr="00972B61" w:rsidRDefault="00F10E78" w:rsidP="00F10E78">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CD20C2B" w14:textId="5FA4BC7B" w:rsidR="00F10E78" w:rsidRPr="00972B61" w:rsidRDefault="00F10E78" w:rsidP="00C029B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r w:rsidRPr="00972B61">
        <w:rPr>
          <w:b/>
          <w:sz w:val="28"/>
          <w:szCs w:val="28"/>
          <w:lang w:val="en-GB"/>
        </w:rPr>
        <w:t>Draft country programme document for Mozambique (2022-2026)</w:t>
      </w:r>
      <w:r w:rsidRPr="00972B61">
        <w:rPr>
          <w:b/>
          <w:sz w:val="28"/>
          <w:szCs w:val="28"/>
          <w:lang w:val="en-GB"/>
        </w:rPr>
        <w:br/>
      </w:r>
    </w:p>
    <w:p w14:paraId="712978A1" w14:textId="77777777" w:rsidR="00F10E78" w:rsidRPr="00972B61" w:rsidRDefault="00F10E78" w:rsidP="00F10E7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972B61">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F10E78" w:rsidRPr="00972B61" w14:paraId="3F0F1C4D" w14:textId="77777777" w:rsidTr="008742EA">
        <w:tc>
          <w:tcPr>
            <w:tcW w:w="1260" w:type="dxa"/>
            <w:shd w:val="clear" w:color="auto" w:fill="auto"/>
          </w:tcPr>
          <w:p w14:paraId="5F059C5E" w14:textId="77777777" w:rsidR="00F10E78" w:rsidRPr="00972B61" w:rsidRDefault="00F10E78" w:rsidP="008742EA">
            <w:pPr>
              <w:tabs>
                <w:tab w:val="left" w:pos="1620"/>
              </w:tabs>
              <w:suppressAutoHyphens/>
              <w:spacing w:after="120"/>
              <w:jc w:val="right"/>
              <w:rPr>
                <w:i/>
                <w:color w:val="000000"/>
                <w:spacing w:val="4"/>
                <w:w w:val="103"/>
                <w:kern w:val="14"/>
                <w:sz w:val="14"/>
                <w:lang w:val="en-GB" w:eastAsia="fr-FR"/>
              </w:rPr>
            </w:pPr>
            <w:r w:rsidRPr="00972B61">
              <w:rPr>
                <w:i/>
                <w:color w:val="000000"/>
                <w:spacing w:val="4"/>
                <w:w w:val="103"/>
                <w:kern w:val="14"/>
                <w:sz w:val="14"/>
                <w:lang w:val="en-GB" w:eastAsia="fr-FR"/>
              </w:rPr>
              <w:t>Chapter</w:t>
            </w:r>
          </w:p>
        </w:tc>
        <w:tc>
          <w:tcPr>
            <w:tcW w:w="8280" w:type="dxa"/>
            <w:gridSpan w:val="2"/>
            <w:shd w:val="clear" w:color="auto" w:fill="auto"/>
          </w:tcPr>
          <w:p w14:paraId="754CA0EE" w14:textId="77777777" w:rsidR="00F10E78" w:rsidRPr="00972B61" w:rsidRDefault="00F10E78" w:rsidP="008742E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17C6C20D" w14:textId="77777777" w:rsidR="00F10E78" w:rsidRPr="00972B61" w:rsidRDefault="00F10E78" w:rsidP="008742EA">
            <w:pPr>
              <w:tabs>
                <w:tab w:val="left" w:pos="1620"/>
              </w:tabs>
              <w:suppressAutoHyphens/>
              <w:spacing w:after="120"/>
              <w:jc w:val="right"/>
              <w:rPr>
                <w:i/>
                <w:color w:val="000000"/>
                <w:spacing w:val="4"/>
                <w:w w:val="103"/>
                <w:kern w:val="14"/>
                <w:sz w:val="14"/>
                <w:lang w:val="en-GB" w:eastAsia="fr-FR"/>
              </w:rPr>
            </w:pPr>
            <w:r w:rsidRPr="00972B61">
              <w:rPr>
                <w:i/>
                <w:iCs/>
                <w:color w:val="000000"/>
                <w:kern w:val="14"/>
                <w:sz w:val="14"/>
                <w:lang w:val="en-GB" w:eastAsia="fr-FR"/>
              </w:rPr>
              <w:t>Page</w:t>
            </w:r>
          </w:p>
        </w:tc>
      </w:tr>
      <w:tr w:rsidR="00F10E78" w:rsidRPr="00972B61" w14:paraId="40D65E26" w14:textId="77777777" w:rsidTr="008742EA">
        <w:tc>
          <w:tcPr>
            <w:tcW w:w="9540" w:type="dxa"/>
            <w:gridSpan w:val="3"/>
            <w:shd w:val="clear" w:color="auto" w:fill="auto"/>
          </w:tcPr>
          <w:p w14:paraId="41BD9CED" w14:textId="77777777" w:rsidR="00F10E78" w:rsidRPr="00972B61" w:rsidRDefault="00F10E78" w:rsidP="00F10E78">
            <w:pPr>
              <w:numPr>
                <w:ilvl w:val="0"/>
                <w:numId w:val="4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972B61">
              <w:rPr>
                <w:color w:val="000000"/>
                <w:kern w:val="14"/>
                <w:lang w:val="en-GB" w:eastAsia="fr-FR"/>
              </w:rPr>
              <w:tab/>
              <w:t>UNDP within the United Nations Sustainable Development Cooperation Framework</w:t>
            </w:r>
            <w:r w:rsidRPr="00972B61">
              <w:rPr>
                <w:color w:val="000000"/>
                <w:sz w:val="24"/>
                <w:szCs w:val="24"/>
                <w:lang w:val="en-GB" w:eastAsia="fr-FR"/>
              </w:rPr>
              <w:tab/>
            </w:r>
          </w:p>
        </w:tc>
        <w:tc>
          <w:tcPr>
            <w:tcW w:w="362" w:type="dxa"/>
            <w:vMerge w:val="restart"/>
            <w:shd w:val="clear" w:color="auto" w:fill="auto"/>
            <w:vAlign w:val="bottom"/>
          </w:tcPr>
          <w:p w14:paraId="2239F99B" w14:textId="77777777" w:rsidR="00F10E78" w:rsidRPr="00972B61" w:rsidRDefault="00F10E78" w:rsidP="008742EA">
            <w:pPr>
              <w:tabs>
                <w:tab w:val="left" w:pos="1620"/>
              </w:tabs>
              <w:suppressAutoHyphens/>
              <w:spacing w:after="120" w:line="240" w:lineRule="exact"/>
              <w:jc w:val="right"/>
              <w:rPr>
                <w:color w:val="000000"/>
                <w:spacing w:val="4"/>
                <w:w w:val="103"/>
                <w:kern w:val="14"/>
                <w:lang w:val="en-GB" w:eastAsia="fr-FR"/>
              </w:rPr>
            </w:pPr>
            <w:r w:rsidRPr="00972B61">
              <w:rPr>
                <w:color w:val="000000"/>
                <w:kern w:val="14"/>
                <w:lang w:val="en-GB" w:eastAsia="fr-FR"/>
              </w:rPr>
              <w:t>2</w:t>
            </w:r>
          </w:p>
          <w:p w14:paraId="25296A0E" w14:textId="211E3B32" w:rsidR="00F10E78" w:rsidRPr="00972B61" w:rsidRDefault="004F6570" w:rsidP="008742E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F10E78" w:rsidRPr="00972B61" w14:paraId="366E6EAA" w14:textId="77777777" w:rsidTr="008742EA">
        <w:tc>
          <w:tcPr>
            <w:tcW w:w="9540" w:type="dxa"/>
            <w:gridSpan w:val="3"/>
            <w:shd w:val="clear" w:color="auto" w:fill="auto"/>
          </w:tcPr>
          <w:p w14:paraId="7AE6A115" w14:textId="77777777" w:rsidR="00F10E78" w:rsidRPr="00972B61" w:rsidRDefault="00F10E78" w:rsidP="00F10E78">
            <w:pPr>
              <w:numPr>
                <w:ilvl w:val="0"/>
                <w:numId w:val="4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972B61">
              <w:rPr>
                <w:color w:val="000000"/>
                <w:kern w:val="14"/>
                <w:lang w:val="en-GB" w:eastAsia="fr-FR"/>
              </w:rPr>
              <w:tab/>
              <w:t>Programme priorities and partnerships</w:t>
            </w:r>
            <w:r w:rsidRPr="00972B61">
              <w:rPr>
                <w:color w:val="000000"/>
                <w:lang w:val="en-GB" w:eastAsia="fr-FR"/>
              </w:rPr>
              <w:t>………………………………………………….</w:t>
            </w:r>
            <w:r w:rsidRPr="00972B61">
              <w:rPr>
                <w:color w:val="000000"/>
                <w:lang w:val="en-GB" w:eastAsia="fr-FR"/>
              </w:rPr>
              <w:tab/>
              <w:t>……….…</w:t>
            </w:r>
          </w:p>
        </w:tc>
        <w:tc>
          <w:tcPr>
            <w:tcW w:w="362" w:type="dxa"/>
            <w:vMerge/>
            <w:shd w:val="clear" w:color="auto" w:fill="auto"/>
            <w:vAlign w:val="bottom"/>
          </w:tcPr>
          <w:p w14:paraId="7CBE9531" w14:textId="77777777" w:rsidR="00F10E78" w:rsidRPr="00972B61" w:rsidRDefault="00F10E78" w:rsidP="008742EA">
            <w:pPr>
              <w:tabs>
                <w:tab w:val="left" w:pos="1620"/>
              </w:tabs>
              <w:suppressAutoHyphens/>
              <w:spacing w:after="120" w:line="240" w:lineRule="exact"/>
              <w:jc w:val="right"/>
              <w:rPr>
                <w:color w:val="000000"/>
                <w:spacing w:val="4"/>
                <w:w w:val="103"/>
                <w:kern w:val="14"/>
                <w:lang w:val="en-GB" w:eastAsia="fr-FR"/>
              </w:rPr>
            </w:pPr>
          </w:p>
        </w:tc>
      </w:tr>
      <w:tr w:rsidR="00F10E78" w:rsidRPr="00972B61" w14:paraId="2C6CB6DF" w14:textId="77777777" w:rsidTr="008742EA">
        <w:tc>
          <w:tcPr>
            <w:tcW w:w="9540" w:type="dxa"/>
            <w:gridSpan w:val="3"/>
            <w:shd w:val="clear" w:color="auto" w:fill="auto"/>
          </w:tcPr>
          <w:p w14:paraId="45983EF5" w14:textId="77777777" w:rsidR="00F10E78" w:rsidRPr="00972B61" w:rsidRDefault="00F10E78" w:rsidP="00F10E78">
            <w:pPr>
              <w:numPr>
                <w:ilvl w:val="0"/>
                <w:numId w:val="4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972B61">
              <w:rPr>
                <w:color w:val="000000"/>
                <w:kern w:val="14"/>
                <w:lang w:val="en-GB" w:eastAsia="fr-FR"/>
              </w:rPr>
              <w:tab/>
              <w:t xml:space="preserve">Programme and risk management </w:t>
            </w:r>
            <w:r w:rsidRPr="00972B61">
              <w:rPr>
                <w:color w:val="000000"/>
                <w:lang w:val="en-GB" w:eastAsia="fr-FR"/>
              </w:rPr>
              <w:t>……………………………………………….…………………</w:t>
            </w:r>
          </w:p>
        </w:tc>
        <w:tc>
          <w:tcPr>
            <w:tcW w:w="362" w:type="dxa"/>
            <w:vMerge w:val="restart"/>
            <w:shd w:val="clear" w:color="auto" w:fill="auto"/>
            <w:vAlign w:val="bottom"/>
          </w:tcPr>
          <w:p w14:paraId="7CB4169D" w14:textId="4CAFAFD7" w:rsidR="00F10E78" w:rsidRPr="00972B61" w:rsidRDefault="004F6570" w:rsidP="008742E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23D48E88" w14:textId="4AA1EE9F" w:rsidR="00F10E78" w:rsidRPr="00972B61" w:rsidRDefault="004F6570" w:rsidP="008742E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F10E78" w:rsidRPr="00972B61" w14:paraId="19C54276" w14:textId="77777777" w:rsidTr="008742EA">
        <w:tc>
          <w:tcPr>
            <w:tcW w:w="9540" w:type="dxa"/>
            <w:gridSpan w:val="3"/>
            <w:shd w:val="clear" w:color="auto" w:fill="auto"/>
          </w:tcPr>
          <w:p w14:paraId="61B05D14" w14:textId="77777777" w:rsidR="00F10E78" w:rsidRPr="00972B61" w:rsidRDefault="00F10E78" w:rsidP="00F10E78">
            <w:pPr>
              <w:numPr>
                <w:ilvl w:val="0"/>
                <w:numId w:val="4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972B61">
              <w:rPr>
                <w:color w:val="000000"/>
                <w:kern w:val="14"/>
                <w:lang w:val="en-GB" w:eastAsia="fr-FR"/>
              </w:rPr>
              <w:tab/>
              <w:t>Monitoring and evaluation</w:t>
            </w:r>
            <w:r w:rsidRPr="00972B61">
              <w:rPr>
                <w:color w:val="000000"/>
                <w:sz w:val="24"/>
                <w:szCs w:val="24"/>
                <w:lang w:val="en-GB" w:eastAsia="fr-FR"/>
              </w:rPr>
              <w:tab/>
            </w:r>
            <w:r w:rsidRPr="00972B61">
              <w:rPr>
                <w:color w:val="000000"/>
                <w:lang w:val="en-GB" w:eastAsia="fr-FR"/>
              </w:rPr>
              <w:t>…………………………………………………….……………………</w:t>
            </w:r>
          </w:p>
        </w:tc>
        <w:tc>
          <w:tcPr>
            <w:tcW w:w="362" w:type="dxa"/>
            <w:vMerge/>
            <w:shd w:val="clear" w:color="auto" w:fill="auto"/>
            <w:vAlign w:val="bottom"/>
          </w:tcPr>
          <w:p w14:paraId="45EFC0D3" w14:textId="77777777" w:rsidR="00F10E78" w:rsidRPr="00972B61" w:rsidRDefault="00F10E78" w:rsidP="008742EA">
            <w:pPr>
              <w:tabs>
                <w:tab w:val="left" w:pos="1620"/>
              </w:tabs>
              <w:suppressAutoHyphens/>
              <w:spacing w:after="120" w:line="240" w:lineRule="exact"/>
              <w:jc w:val="right"/>
              <w:rPr>
                <w:color w:val="000000"/>
                <w:spacing w:val="4"/>
                <w:w w:val="103"/>
                <w:kern w:val="14"/>
                <w:lang w:val="en-GB" w:eastAsia="fr-FR"/>
              </w:rPr>
            </w:pPr>
          </w:p>
        </w:tc>
      </w:tr>
      <w:tr w:rsidR="00F10E78" w:rsidRPr="00972B61" w14:paraId="19A97108" w14:textId="77777777" w:rsidTr="008742EA">
        <w:tc>
          <w:tcPr>
            <w:tcW w:w="9369" w:type="dxa"/>
            <w:gridSpan w:val="2"/>
            <w:shd w:val="clear" w:color="auto" w:fill="auto"/>
          </w:tcPr>
          <w:p w14:paraId="3F935A3F" w14:textId="77777777" w:rsidR="00F10E78" w:rsidRPr="00972B61" w:rsidRDefault="00F10E78" w:rsidP="008742E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972B61">
              <w:rPr>
                <w:color w:val="000000"/>
                <w:kern w:val="14"/>
                <w:lang w:val="en-GB" w:eastAsia="fr-FR"/>
              </w:rPr>
              <w:t>Annex</w:t>
            </w:r>
          </w:p>
        </w:tc>
        <w:tc>
          <w:tcPr>
            <w:tcW w:w="533" w:type="dxa"/>
            <w:gridSpan w:val="2"/>
            <w:shd w:val="clear" w:color="auto" w:fill="auto"/>
            <w:vAlign w:val="bottom"/>
          </w:tcPr>
          <w:p w14:paraId="12F9F144" w14:textId="77777777" w:rsidR="00F10E78" w:rsidRPr="00972B61" w:rsidRDefault="00F10E78" w:rsidP="008742EA">
            <w:pPr>
              <w:tabs>
                <w:tab w:val="left" w:pos="1620"/>
              </w:tabs>
              <w:suppressAutoHyphens/>
              <w:spacing w:after="120" w:line="240" w:lineRule="exact"/>
              <w:jc w:val="right"/>
              <w:rPr>
                <w:color w:val="000000"/>
                <w:spacing w:val="4"/>
                <w:w w:val="103"/>
                <w:kern w:val="14"/>
                <w:lang w:val="en-GB" w:eastAsia="fr-FR"/>
              </w:rPr>
            </w:pPr>
          </w:p>
        </w:tc>
      </w:tr>
      <w:tr w:rsidR="00F10E78" w:rsidRPr="00972B61" w14:paraId="2139C118" w14:textId="77777777" w:rsidTr="008742EA">
        <w:tc>
          <w:tcPr>
            <w:tcW w:w="9369" w:type="dxa"/>
            <w:gridSpan w:val="2"/>
            <w:shd w:val="clear" w:color="auto" w:fill="auto"/>
          </w:tcPr>
          <w:p w14:paraId="146203A5" w14:textId="440011EE" w:rsidR="00F10E78" w:rsidRPr="00972B61" w:rsidRDefault="00F10E78" w:rsidP="008742E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972B61">
              <w:rPr>
                <w:color w:val="000000"/>
                <w:kern w:val="14"/>
                <w:lang w:val="en-GB" w:eastAsia="fr-FR"/>
              </w:rPr>
              <w:t xml:space="preserve">Results and resources framework for </w:t>
            </w:r>
            <w:r w:rsidR="00064DE7" w:rsidRPr="00972B61">
              <w:rPr>
                <w:color w:val="000000"/>
                <w:kern w:val="14"/>
                <w:lang w:val="en-GB" w:eastAsia="fr-FR"/>
              </w:rPr>
              <w:t>Mozambique</w:t>
            </w:r>
            <w:r w:rsidRPr="00972B61">
              <w:rPr>
                <w:color w:val="000000"/>
                <w:kern w:val="14"/>
                <w:lang w:val="en-GB" w:eastAsia="fr-FR"/>
              </w:rPr>
              <w:t xml:space="preserve"> (2022-2026)</w:t>
            </w:r>
            <w:r w:rsidRPr="00972B61">
              <w:rPr>
                <w:color w:val="000000"/>
                <w:sz w:val="24"/>
                <w:szCs w:val="24"/>
                <w:lang w:val="en-GB" w:eastAsia="fr-FR"/>
              </w:rPr>
              <w:tab/>
            </w:r>
          </w:p>
        </w:tc>
        <w:tc>
          <w:tcPr>
            <w:tcW w:w="533" w:type="dxa"/>
            <w:gridSpan w:val="2"/>
            <w:shd w:val="clear" w:color="auto" w:fill="auto"/>
            <w:vAlign w:val="bottom"/>
          </w:tcPr>
          <w:p w14:paraId="0F328C37" w14:textId="77777777" w:rsidR="00F10E78" w:rsidRPr="00972B61" w:rsidRDefault="00F10E78" w:rsidP="008742EA">
            <w:pPr>
              <w:tabs>
                <w:tab w:val="left" w:pos="1620"/>
              </w:tabs>
              <w:suppressAutoHyphens/>
              <w:spacing w:after="120" w:line="240" w:lineRule="exact"/>
              <w:jc w:val="right"/>
              <w:rPr>
                <w:color w:val="000000"/>
                <w:spacing w:val="4"/>
                <w:w w:val="103"/>
                <w:kern w:val="14"/>
                <w:lang w:val="en-GB" w:eastAsia="fr-FR"/>
              </w:rPr>
            </w:pPr>
            <w:r w:rsidRPr="00972B61">
              <w:rPr>
                <w:color w:val="000000"/>
                <w:spacing w:val="4"/>
                <w:w w:val="103"/>
                <w:kern w:val="14"/>
                <w:lang w:val="en-GB" w:eastAsia="fr-FR"/>
              </w:rPr>
              <w:t>10</w:t>
            </w:r>
          </w:p>
        </w:tc>
      </w:tr>
    </w:tbl>
    <w:p w14:paraId="1DD5E648" w14:textId="791B2099" w:rsidR="00BF7D41" w:rsidRPr="00972B61" w:rsidRDefault="00BF7D41" w:rsidP="0036081D">
      <w:pPr>
        <w:pStyle w:val="Heading2"/>
        <w:numPr>
          <w:ilvl w:val="0"/>
          <w:numId w:val="35"/>
        </w:numPr>
        <w:spacing w:before="60" w:after="200" w:line="240" w:lineRule="exact"/>
        <w:ind w:right="1210" w:hanging="360"/>
        <w:jc w:val="both"/>
        <w:rPr>
          <w:rFonts w:ascii="Times New Roman" w:hAnsi="Times New Roman"/>
          <w:bCs/>
          <w:sz w:val="24"/>
          <w:szCs w:val="24"/>
          <w:lang w:val="en-GB"/>
        </w:rPr>
      </w:pPr>
      <w:r w:rsidRPr="00972B61">
        <w:rPr>
          <w:rFonts w:ascii="Times New Roman" w:hAnsi="Times New Roman"/>
          <w:sz w:val="20"/>
          <w:lang w:val="en-GB"/>
        </w:rPr>
        <w:br w:type="page"/>
      </w:r>
      <w:bookmarkStart w:id="0" w:name="_Hlk66783028"/>
      <w:r w:rsidR="00C422B1" w:rsidRPr="00972B61">
        <w:rPr>
          <w:rFonts w:ascii="Times New Roman" w:hAnsi="Times New Roman"/>
          <w:bCs/>
          <w:sz w:val="24"/>
          <w:szCs w:val="24"/>
          <w:lang w:val="en-GB"/>
        </w:rPr>
        <w:lastRenderedPageBreak/>
        <w:t xml:space="preserve">UNDP within the </w:t>
      </w:r>
      <w:r w:rsidR="00972B61">
        <w:rPr>
          <w:rFonts w:ascii="Times New Roman" w:hAnsi="Times New Roman"/>
          <w:bCs/>
          <w:sz w:val="24"/>
          <w:szCs w:val="24"/>
          <w:lang w:val="en-GB"/>
        </w:rPr>
        <w:t xml:space="preserve">United Nations Sustainable Development </w:t>
      </w:r>
      <w:r w:rsidR="00F10E78" w:rsidRPr="00972B61">
        <w:rPr>
          <w:rFonts w:ascii="Times New Roman" w:hAnsi="Times New Roman"/>
          <w:bCs/>
          <w:sz w:val="24"/>
          <w:szCs w:val="24"/>
          <w:lang w:val="en-GB"/>
        </w:rPr>
        <w:t>C</w:t>
      </w:r>
      <w:r w:rsidR="00C422B1" w:rsidRPr="00972B61">
        <w:rPr>
          <w:rFonts w:ascii="Times New Roman" w:hAnsi="Times New Roman"/>
          <w:bCs/>
          <w:sz w:val="24"/>
          <w:szCs w:val="24"/>
          <w:lang w:val="en-GB"/>
        </w:rPr>
        <w:t>ooperation Framework</w:t>
      </w:r>
    </w:p>
    <w:bookmarkEnd w:id="0"/>
    <w:p w14:paraId="2BFB4E78" w14:textId="7094FEB3" w:rsidR="00795D49" w:rsidRPr="00972B61" w:rsidRDefault="00795D49" w:rsidP="0083339E">
      <w:pPr>
        <w:pStyle w:val="ListParagraph"/>
        <w:numPr>
          <w:ilvl w:val="0"/>
          <w:numId w:val="3"/>
        </w:numPr>
        <w:spacing w:after="120" w:line="240" w:lineRule="exact"/>
        <w:ind w:left="1080" w:right="1210" w:firstLine="0"/>
        <w:jc w:val="both"/>
        <w:rPr>
          <w:lang w:val="en-GB"/>
        </w:rPr>
      </w:pPr>
      <w:r w:rsidRPr="00972B61">
        <w:rPr>
          <w:lang w:val="en-GB"/>
        </w:rPr>
        <w:t>Mozambique faces the compounded effects of complex economic, climatic and security</w:t>
      </w:r>
      <w:r w:rsidR="00F50583">
        <w:rPr>
          <w:lang w:val="en-GB"/>
        </w:rPr>
        <w:t>-</w:t>
      </w:r>
      <w:r w:rsidRPr="00972B61">
        <w:rPr>
          <w:lang w:val="en-GB"/>
        </w:rPr>
        <w:t>related crises in its path towards the Sustainable Development Goals</w:t>
      </w:r>
      <w:r w:rsidR="004C765C">
        <w:rPr>
          <w:lang w:val="en-GB"/>
        </w:rPr>
        <w:t xml:space="preserve"> </w:t>
      </w:r>
      <w:r w:rsidRPr="00972B61">
        <w:rPr>
          <w:lang w:val="en-GB"/>
        </w:rPr>
        <w:t>and the vision set in its National Development Strategy. More frequent and severe weather events are already impacting on the poorest and most vulnerable populations, with currently over 90,000 people internally displaced due to climate</w:t>
      </w:r>
      <w:r w:rsidR="00972B61">
        <w:rPr>
          <w:lang w:val="en-GB"/>
        </w:rPr>
        <w:t>-</w:t>
      </w:r>
      <w:r w:rsidRPr="00972B61">
        <w:rPr>
          <w:lang w:val="en-GB"/>
        </w:rPr>
        <w:t xml:space="preserve">related disasters. Economic growth declined sharply from an average of 8 </w:t>
      </w:r>
      <w:r w:rsidR="00F50583">
        <w:rPr>
          <w:lang w:val="en-GB"/>
        </w:rPr>
        <w:t xml:space="preserve">per cent </w:t>
      </w:r>
      <w:r w:rsidRPr="00972B61">
        <w:rPr>
          <w:lang w:val="en-GB"/>
        </w:rPr>
        <w:t xml:space="preserve">between 2001 and 2016 to 3 </w:t>
      </w:r>
      <w:r w:rsidR="00F50583">
        <w:rPr>
          <w:lang w:val="en-GB"/>
        </w:rPr>
        <w:t xml:space="preserve">per cent </w:t>
      </w:r>
      <w:r w:rsidRPr="00972B61">
        <w:rPr>
          <w:lang w:val="en-GB"/>
        </w:rPr>
        <w:t>between 2016 and 2019. Whil</w:t>
      </w:r>
      <w:r w:rsidR="00F50583">
        <w:rPr>
          <w:lang w:val="en-GB"/>
        </w:rPr>
        <w:t>e</w:t>
      </w:r>
      <w:r w:rsidRPr="00972B61">
        <w:rPr>
          <w:lang w:val="en-GB"/>
        </w:rPr>
        <w:t xml:space="preserve"> attempting to recover from this downturn, and the devastating impact of two tropical cyclones in 2019, the impact of the COVID-19 pandemic led to a real decline in </w:t>
      </w:r>
      <w:r w:rsidR="00F50583">
        <w:rPr>
          <w:lang w:val="en-GB"/>
        </w:rPr>
        <w:t>gross domestic product (</w:t>
      </w:r>
      <w:r w:rsidRPr="00972B61">
        <w:rPr>
          <w:lang w:val="en-GB"/>
        </w:rPr>
        <w:t>GDP</w:t>
      </w:r>
      <w:r w:rsidR="00F50583">
        <w:rPr>
          <w:lang w:val="en-GB"/>
        </w:rPr>
        <w:t>)</w:t>
      </w:r>
      <w:r w:rsidRPr="00972B61">
        <w:rPr>
          <w:lang w:val="en-GB"/>
        </w:rPr>
        <w:t xml:space="preserve"> by 1.2 </w:t>
      </w:r>
      <w:r w:rsidR="00F50583">
        <w:rPr>
          <w:lang w:val="en-GB"/>
        </w:rPr>
        <w:t xml:space="preserve">per cent </w:t>
      </w:r>
      <w:r w:rsidRPr="00972B61">
        <w:rPr>
          <w:lang w:val="en-GB"/>
        </w:rPr>
        <w:t>in 2020, the first economic contraction in 30 years. Economic growth, notably driven by the extractive sector, has not translated into sufficient employment opportunities for a rapidly growing population</w:t>
      </w:r>
      <w:r w:rsidR="00750F54" w:rsidRPr="00972B61">
        <w:rPr>
          <w:lang w:val="en-GB"/>
        </w:rPr>
        <w:t xml:space="preserve">, while </w:t>
      </w:r>
      <w:r w:rsidRPr="00972B61">
        <w:rPr>
          <w:lang w:val="en-GB"/>
        </w:rPr>
        <w:t xml:space="preserve">a significant share of the population continues to live in extreme poverty, with the most recent </w:t>
      </w:r>
      <w:r w:rsidR="00F50583">
        <w:rPr>
          <w:lang w:val="en-GB"/>
        </w:rPr>
        <w:t xml:space="preserve">government </w:t>
      </w:r>
      <w:r w:rsidRPr="00972B61">
        <w:rPr>
          <w:lang w:val="en-GB"/>
        </w:rPr>
        <w:t>estimate putting this proportion at 46.1 per</w:t>
      </w:r>
      <w:r w:rsidR="00F50583">
        <w:rPr>
          <w:lang w:val="en-GB"/>
        </w:rPr>
        <w:t xml:space="preserve"> </w:t>
      </w:r>
      <w:r w:rsidRPr="00972B61">
        <w:rPr>
          <w:lang w:val="en-GB"/>
        </w:rPr>
        <w:t>cent in 2014</w:t>
      </w:r>
      <w:r w:rsidR="00F50583">
        <w:rPr>
          <w:lang w:val="en-GB"/>
        </w:rPr>
        <w:t>-20</w:t>
      </w:r>
      <w:r w:rsidRPr="00972B61">
        <w:rPr>
          <w:lang w:val="en-GB"/>
        </w:rPr>
        <w:t xml:space="preserve">15. Inequality has also risen, with the Gini coefficient increasing from 47 to 54 </w:t>
      </w:r>
      <w:r w:rsidR="00F50583">
        <w:rPr>
          <w:lang w:val="en-GB"/>
        </w:rPr>
        <w:t xml:space="preserve">per cent </w:t>
      </w:r>
      <w:r w:rsidRPr="00972B61">
        <w:rPr>
          <w:lang w:val="en-GB"/>
        </w:rPr>
        <w:t xml:space="preserve">between 2009 and 2015, according to the National Institute of Statistics, </w:t>
      </w:r>
      <w:r w:rsidR="00F50583">
        <w:rPr>
          <w:lang w:val="en-GB"/>
        </w:rPr>
        <w:t xml:space="preserve">a </w:t>
      </w:r>
      <w:r w:rsidRPr="00972B61">
        <w:rPr>
          <w:lang w:val="en-GB"/>
        </w:rPr>
        <w:t>coefficient which is among the highest in Sub-Saharan Africa.</w:t>
      </w:r>
    </w:p>
    <w:p w14:paraId="5F8B82AA" w14:textId="317D6E50" w:rsidR="0048675C" w:rsidRPr="00972B61" w:rsidRDefault="0073669C" w:rsidP="0083339E">
      <w:pPr>
        <w:pStyle w:val="ListParagraph"/>
        <w:numPr>
          <w:ilvl w:val="0"/>
          <w:numId w:val="3"/>
        </w:numPr>
        <w:spacing w:after="120" w:line="240" w:lineRule="exact"/>
        <w:ind w:left="1080" w:right="1210" w:firstLine="0"/>
        <w:jc w:val="both"/>
        <w:rPr>
          <w:lang w:val="en-GB"/>
        </w:rPr>
      </w:pPr>
      <w:bookmarkStart w:id="1" w:name="_Hlk84348748"/>
      <w:r w:rsidRPr="00972B61">
        <w:rPr>
          <w:lang w:val="en-GB"/>
        </w:rPr>
        <w:t>The preceding programme cycle witnessed escalating insecurity and violence by non-</w:t>
      </w:r>
      <w:r w:rsidR="00F50583">
        <w:rPr>
          <w:lang w:val="en-GB"/>
        </w:rPr>
        <w:t>s</w:t>
      </w:r>
      <w:r w:rsidRPr="00972B61">
        <w:rPr>
          <w:lang w:val="en-GB"/>
        </w:rPr>
        <w:t xml:space="preserve">tate armed groups in Cabo Delgado Province </w:t>
      </w:r>
      <w:r w:rsidR="004F25CB" w:rsidRPr="00972B61">
        <w:rPr>
          <w:lang w:val="en-GB"/>
        </w:rPr>
        <w:t>and</w:t>
      </w:r>
      <w:r w:rsidRPr="00972B61">
        <w:rPr>
          <w:lang w:val="en-GB"/>
        </w:rPr>
        <w:t xml:space="preserve"> ongoing attacks in the central region. By March 2021, approximately 3.5 million people were affected by conflict, with 3,900 fatalities and over 750,000 people internally displaced, of which over 500,000 were recorded in 2020 alone</w:t>
      </w:r>
      <w:r w:rsidR="00F50583">
        <w:rPr>
          <w:lang w:val="en-GB"/>
        </w:rPr>
        <w:t>.</w:t>
      </w:r>
      <w:r w:rsidRPr="00972B61">
        <w:rPr>
          <w:vertAlign w:val="superscript"/>
          <w:lang w:val="en-GB"/>
        </w:rPr>
        <w:footnoteReference w:id="2"/>
      </w:r>
      <w:r w:rsidR="00F50583">
        <w:rPr>
          <w:lang w:val="en-GB"/>
        </w:rPr>
        <w:t xml:space="preserve"> </w:t>
      </w:r>
      <w:r w:rsidRPr="00972B61">
        <w:rPr>
          <w:lang w:val="en-GB"/>
        </w:rPr>
        <w:t xml:space="preserve">Women and girls </w:t>
      </w:r>
      <w:r w:rsidR="00750F54" w:rsidRPr="00972B61">
        <w:rPr>
          <w:lang w:val="en-GB"/>
        </w:rPr>
        <w:t>are</w:t>
      </w:r>
      <w:r w:rsidR="00CB792B" w:rsidRPr="00972B61">
        <w:rPr>
          <w:lang w:val="en-GB"/>
        </w:rPr>
        <w:t xml:space="preserve"> </w:t>
      </w:r>
      <w:r w:rsidRPr="00972B61">
        <w:rPr>
          <w:lang w:val="en-GB"/>
        </w:rPr>
        <w:t xml:space="preserve">the </w:t>
      </w:r>
      <w:r w:rsidR="00CB792B" w:rsidRPr="00972B61">
        <w:rPr>
          <w:lang w:val="en-GB"/>
        </w:rPr>
        <w:t>primary</w:t>
      </w:r>
      <w:r w:rsidRPr="00972B61">
        <w:rPr>
          <w:lang w:val="en-GB"/>
        </w:rPr>
        <w:t xml:space="preserve"> victims of the compounded effects of displacement, violence</w:t>
      </w:r>
      <w:r w:rsidR="005C3550" w:rsidRPr="00972B61">
        <w:rPr>
          <w:lang w:val="en-GB"/>
        </w:rPr>
        <w:t>, natural disasters</w:t>
      </w:r>
      <w:r w:rsidRPr="00972B61">
        <w:rPr>
          <w:lang w:val="en-GB"/>
        </w:rPr>
        <w:t xml:space="preserve"> and economic difficulties </w:t>
      </w:r>
      <w:r w:rsidR="00CB792B" w:rsidRPr="00972B61">
        <w:rPr>
          <w:lang w:val="en-GB"/>
        </w:rPr>
        <w:t xml:space="preserve">that </w:t>
      </w:r>
      <w:r w:rsidR="008742EA" w:rsidRPr="00972B61">
        <w:rPr>
          <w:lang w:val="en-GB"/>
        </w:rPr>
        <w:t>COVID</w:t>
      </w:r>
      <w:r w:rsidR="008742EA">
        <w:rPr>
          <w:lang w:val="en-GB"/>
        </w:rPr>
        <w:t>-</w:t>
      </w:r>
      <w:r w:rsidR="008742EA" w:rsidRPr="00972B61">
        <w:rPr>
          <w:lang w:val="en-GB"/>
        </w:rPr>
        <w:t>19</w:t>
      </w:r>
      <w:r w:rsidR="008742EA">
        <w:rPr>
          <w:lang w:val="en-GB"/>
        </w:rPr>
        <w:t xml:space="preserve"> </w:t>
      </w:r>
      <w:r w:rsidR="00CB792B" w:rsidRPr="00972B61">
        <w:rPr>
          <w:lang w:val="en-GB"/>
        </w:rPr>
        <w:t>ha</w:t>
      </w:r>
      <w:r w:rsidR="008742EA">
        <w:rPr>
          <w:lang w:val="en-GB"/>
        </w:rPr>
        <w:t>s</w:t>
      </w:r>
      <w:r w:rsidR="00CB792B" w:rsidRPr="00972B61">
        <w:rPr>
          <w:lang w:val="en-GB"/>
        </w:rPr>
        <w:t xml:space="preserve"> </w:t>
      </w:r>
      <w:r w:rsidRPr="00972B61">
        <w:rPr>
          <w:lang w:val="en-GB"/>
        </w:rPr>
        <w:t xml:space="preserve">exacerbated. </w:t>
      </w:r>
      <w:r w:rsidR="00750F54" w:rsidRPr="00972B61">
        <w:rPr>
          <w:lang w:val="en-GB"/>
        </w:rPr>
        <w:t>With r</w:t>
      </w:r>
      <w:r w:rsidR="004C1BC7" w:rsidRPr="00972B61">
        <w:rPr>
          <w:lang w:val="en-GB"/>
        </w:rPr>
        <w:t xml:space="preserve">egional asymmetries widening, women, girls </w:t>
      </w:r>
      <w:r w:rsidR="00750F54" w:rsidRPr="00972B61">
        <w:rPr>
          <w:lang w:val="en-GB"/>
        </w:rPr>
        <w:t xml:space="preserve">and </w:t>
      </w:r>
      <w:r w:rsidR="004C1BC7" w:rsidRPr="00972B61">
        <w:rPr>
          <w:lang w:val="en-GB"/>
        </w:rPr>
        <w:t>youth in rural areas in the centre and north</w:t>
      </w:r>
      <w:r w:rsidR="00CD555A" w:rsidRPr="00972B61">
        <w:rPr>
          <w:lang w:val="en-GB"/>
        </w:rPr>
        <w:t xml:space="preserve"> </w:t>
      </w:r>
      <w:r w:rsidR="00750F54" w:rsidRPr="00972B61">
        <w:rPr>
          <w:lang w:val="en-GB"/>
        </w:rPr>
        <w:t>of the country are particularly hit</w:t>
      </w:r>
      <w:r w:rsidR="004C1BC7" w:rsidRPr="00972B61">
        <w:rPr>
          <w:lang w:val="en-GB"/>
        </w:rPr>
        <w:t xml:space="preserve">. </w:t>
      </w:r>
      <w:r w:rsidRPr="00972B61">
        <w:rPr>
          <w:lang w:val="en-GB"/>
        </w:rPr>
        <w:t>The</w:t>
      </w:r>
      <w:r w:rsidR="004C765C">
        <w:rPr>
          <w:lang w:val="en-GB"/>
        </w:rPr>
        <w:t xml:space="preserve"> </w:t>
      </w:r>
      <w:r w:rsidRPr="00972B61">
        <w:rPr>
          <w:lang w:val="en-GB"/>
        </w:rPr>
        <w:t>demographic and health survey of 2011 showed that 37</w:t>
      </w:r>
      <w:r w:rsidR="008742EA">
        <w:rPr>
          <w:lang w:val="en-GB"/>
        </w:rPr>
        <w:t> per cent</w:t>
      </w:r>
      <w:r w:rsidRPr="00972B61">
        <w:rPr>
          <w:lang w:val="en-GB"/>
        </w:rPr>
        <w:t xml:space="preserve"> of women in Mozambique had experienced sexual or physical violence</w:t>
      </w:r>
      <w:r w:rsidR="008742EA">
        <w:rPr>
          <w:lang w:val="en-GB"/>
        </w:rPr>
        <w:t>;</w:t>
      </w:r>
      <w:r w:rsidR="00750F54" w:rsidRPr="00972B61">
        <w:rPr>
          <w:lang w:val="en-GB"/>
        </w:rPr>
        <w:t xml:space="preserve"> </w:t>
      </w:r>
      <w:r w:rsidRPr="00972B61">
        <w:rPr>
          <w:lang w:val="en-GB"/>
        </w:rPr>
        <w:t xml:space="preserve">Mozambique ranked 138 out of 160 countries in the 2017 </w:t>
      </w:r>
      <w:r w:rsidR="008742EA">
        <w:rPr>
          <w:lang w:val="en-GB"/>
        </w:rPr>
        <w:t>g</w:t>
      </w:r>
      <w:r w:rsidRPr="00972B61">
        <w:rPr>
          <w:lang w:val="en-GB"/>
        </w:rPr>
        <w:t xml:space="preserve">ender </w:t>
      </w:r>
      <w:r w:rsidR="008742EA">
        <w:rPr>
          <w:lang w:val="en-GB"/>
        </w:rPr>
        <w:t>i</w:t>
      </w:r>
      <w:r w:rsidRPr="00972B61">
        <w:rPr>
          <w:lang w:val="en-GB"/>
        </w:rPr>
        <w:t xml:space="preserve">nequality </w:t>
      </w:r>
      <w:r w:rsidR="008742EA">
        <w:rPr>
          <w:lang w:val="en-GB"/>
        </w:rPr>
        <w:t>i</w:t>
      </w:r>
      <w:r w:rsidRPr="00972B61">
        <w:rPr>
          <w:lang w:val="en-GB"/>
        </w:rPr>
        <w:t>ndex.</w:t>
      </w:r>
      <w:bookmarkEnd w:id="1"/>
      <w:r w:rsidRPr="00972B61">
        <w:rPr>
          <w:lang w:val="en-GB"/>
        </w:rPr>
        <w:t xml:space="preserve"> </w:t>
      </w:r>
      <w:r w:rsidR="00750F54" w:rsidRPr="00972B61">
        <w:rPr>
          <w:lang w:val="en-GB"/>
        </w:rPr>
        <w:t>Women</w:t>
      </w:r>
      <w:r w:rsidRPr="00972B61">
        <w:rPr>
          <w:lang w:val="en-GB"/>
        </w:rPr>
        <w:t xml:space="preserve"> comprise most of the unskilled workforce, especially in subsistence agriculture, and they represent more than 59 </w:t>
      </w:r>
      <w:r w:rsidR="008742EA">
        <w:rPr>
          <w:lang w:val="en-GB"/>
        </w:rPr>
        <w:t xml:space="preserve">per cent </w:t>
      </w:r>
      <w:r w:rsidRPr="00972B61">
        <w:rPr>
          <w:lang w:val="en-GB"/>
        </w:rPr>
        <w:t>of informal workers</w:t>
      </w:r>
      <w:r w:rsidR="008742EA">
        <w:rPr>
          <w:lang w:val="en-GB"/>
        </w:rPr>
        <w:t>.</w:t>
      </w:r>
      <w:r w:rsidRPr="00972B61">
        <w:rPr>
          <w:rStyle w:val="FootnoteReference"/>
          <w:lang w:val="en-GB"/>
        </w:rPr>
        <w:footnoteReference w:id="3"/>
      </w:r>
      <w:r w:rsidRPr="00972B61">
        <w:rPr>
          <w:lang w:val="en-GB"/>
        </w:rPr>
        <w:t xml:space="preserve"> The heightened risks placed on women and girls </w:t>
      </w:r>
      <w:r w:rsidR="008742EA">
        <w:rPr>
          <w:lang w:val="en-GB"/>
        </w:rPr>
        <w:t xml:space="preserve">through </w:t>
      </w:r>
      <w:r w:rsidRPr="00972B61">
        <w:rPr>
          <w:lang w:val="en-GB"/>
        </w:rPr>
        <w:t>large</w:t>
      </w:r>
      <w:r w:rsidR="008742EA">
        <w:rPr>
          <w:lang w:val="en-GB"/>
        </w:rPr>
        <w:t>-</w:t>
      </w:r>
      <w:r w:rsidRPr="00972B61">
        <w:rPr>
          <w:lang w:val="en-GB"/>
        </w:rPr>
        <w:t>scale displacement, insecurity and climate shocks will require additional engagement</w:t>
      </w:r>
      <w:r w:rsidR="00AE2866">
        <w:rPr>
          <w:lang w:val="en-GB"/>
        </w:rPr>
        <w:t xml:space="preserve"> at</w:t>
      </w:r>
      <w:r w:rsidR="004C765C">
        <w:rPr>
          <w:lang w:val="en-GB"/>
        </w:rPr>
        <w:t xml:space="preserve"> </w:t>
      </w:r>
      <w:r w:rsidRPr="00972B61">
        <w:rPr>
          <w:lang w:val="en-GB"/>
        </w:rPr>
        <w:t xml:space="preserve">the policy and community </w:t>
      </w:r>
      <w:r w:rsidR="00AE2866">
        <w:rPr>
          <w:lang w:val="en-GB"/>
        </w:rPr>
        <w:t>level</w:t>
      </w:r>
      <w:r w:rsidRPr="00972B61">
        <w:rPr>
          <w:lang w:val="en-GB"/>
        </w:rPr>
        <w:t xml:space="preserve">. </w:t>
      </w:r>
    </w:p>
    <w:p w14:paraId="7C2006E4" w14:textId="289F6321" w:rsidR="00A829C7" w:rsidRPr="00972B61" w:rsidRDefault="008742EA" w:rsidP="00C91E4C">
      <w:pPr>
        <w:pStyle w:val="ListParagraph"/>
        <w:numPr>
          <w:ilvl w:val="0"/>
          <w:numId w:val="3"/>
        </w:numPr>
        <w:spacing w:after="120" w:line="240" w:lineRule="exact"/>
        <w:ind w:left="1080" w:right="1210" w:firstLine="0"/>
        <w:jc w:val="both"/>
        <w:rPr>
          <w:lang w:val="en-GB"/>
        </w:rPr>
      </w:pPr>
      <w:r>
        <w:rPr>
          <w:lang w:val="en-GB"/>
        </w:rPr>
        <w:t xml:space="preserve">The </w:t>
      </w:r>
      <w:r w:rsidR="007A7FB3" w:rsidRPr="00972B61">
        <w:rPr>
          <w:lang w:val="en-GB"/>
        </w:rPr>
        <w:t>National Development Strategy</w:t>
      </w:r>
      <w:r>
        <w:rPr>
          <w:lang w:val="en-GB"/>
        </w:rPr>
        <w:t xml:space="preserve">, </w:t>
      </w:r>
      <w:r w:rsidR="007A7FB3" w:rsidRPr="00972B61">
        <w:rPr>
          <w:lang w:val="en-GB"/>
        </w:rPr>
        <w:t>2015-2035</w:t>
      </w:r>
      <w:r>
        <w:rPr>
          <w:lang w:val="en-GB"/>
        </w:rPr>
        <w:t>,</w:t>
      </w:r>
      <w:r w:rsidR="007A7FB3" w:rsidRPr="00972B61">
        <w:rPr>
          <w:lang w:val="en-GB"/>
        </w:rPr>
        <w:t xml:space="preserve"> envisages a “prosperous, competitive, sustainable, secure and inclusive” </w:t>
      </w:r>
      <w:r>
        <w:rPr>
          <w:lang w:val="en-GB"/>
        </w:rPr>
        <w:t xml:space="preserve">Mozambique </w:t>
      </w:r>
      <w:r w:rsidR="008C1919" w:rsidRPr="00972B61">
        <w:rPr>
          <w:lang w:val="en-GB"/>
        </w:rPr>
        <w:t xml:space="preserve">with a policy mix that is </w:t>
      </w:r>
      <w:r w:rsidR="007A7FB3" w:rsidRPr="00972B61">
        <w:rPr>
          <w:lang w:val="en-GB"/>
        </w:rPr>
        <w:t xml:space="preserve">expected to create improved “living conditions and a fair distribution of national income” through </w:t>
      </w:r>
      <w:r w:rsidR="00CB792B" w:rsidRPr="00972B61">
        <w:rPr>
          <w:lang w:val="en-GB"/>
        </w:rPr>
        <w:t>“</w:t>
      </w:r>
      <w:r w:rsidR="007A7FB3" w:rsidRPr="00972B61">
        <w:rPr>
          <w:lang w:val="en-GB"/>
        </w:rPr>
        <w:t xml:space="preserve">structural transformation, expansion and diversification of the economic base”. The </w:t>
      </w:r>
      <w:bookmarkStart w:id="2" w:name="_Hlk84523222"/>
      <w:r>
        <w:rPr>
          <w:lang w:val="en-GB"/>
        </w:rPr>
        <w:t>Five</w:t>
      </w:r>
      <w:r w:rsidR="007A7FB3" w:rsidRPr="00972B61">
        <w:rPr>
          <w:lang w:val="en-GB"/>
        </w:rPr>
        <w:t>-Year Programme, 2020-2024,</w:t>
      </w:r>
      <w:bookmarkEnd w:id="2"/>
      <w:r w:rsidR="007A7FB3" w:rsidRPr="00972B61">
        <w:rPr>
          <w:lang w:val="en-GB"/>
        </w:rPr>
        <w:t xml:space="preserve"> </w:t>
      </w:r>
      <w:r>
        <w:rPr>
          <w:lang w:val="en-GB"/>
        </w:rPr>
        <w:t xml:space="preserve">of the Government </w:t>
      </w:r>
      <w:r w:rsidR="007A7FB3" w:rsidRPr="00972B61">
        <w:rPr>
          <w:lang w:val="en-GB"/>
        </w:rPr>
        <w:t xml:space="preserve">focuses on the maintenance of peace, inclusive and sustainable growth, economic and social stability, </w:t>
      </w:r>
      <w:r w:rsidR="00E66A26" w:rsidRPr="00972B61">
        <w:rPr>
          <w:lang w:val="en-GB"/>
        </w:rPr>
        <w:t xml:space="preserve">greater productivity and </w:t>
      </w:r>
      <w:r w:rsidR="007A7FB3" w:rsidRPr="00972B61">
        <w:rPr>
          <w:lang w:val="en-GB"/>
        </w:rPr>
        <w:t>competitiveness</w:t>
      </w:r>
      <w:r w:rsidR="00C60A05" w:rsidRPr="00972B61">
        <w:rPr>
          <w:lang w:val="en-GB"/>
        </w:rPr>
        <w:t>.</w:t>
      </w:r>
      <w:r w:rsidR="007A7FB3" w:rsidRPr="00972B61">
        <w:rPr>
          <w:lang w:val="en-GB"/>
        </w:rPr>
        <w:t xml:space="preserve"> </w:t>
      </w:r>
      <w:r w:rsidR="00C60A05" w:rsidRPr="00972B61">
        <w:rPr>
          <w:lang w:val="en-GB"/>
        </w:rPr>
        <w:t xml:space="preserve">In support of these goals, and progress towards the </w:t>
      </w:r>
      <w:r>
        <w:rPr>
          <w:lang w:val="en-GB"/>
        </w:rPr>
        <w:t xml:space="preserve">2030 </w:t>
      </w:r>
      <w:r w:rsidR="00C60A05" w:rsidRPr="00972B61">
        <w:rPr>
          <w:lang w:val="en-GB"/>
        </w:rPr>
        <w:t xml:space="preserve">Agenda </w:t>
      </w:r>
      <w:r>
        <w:rPr>
          <w:lang w:val="en-GB"/>
        </w:rPr>
        <w:t>for Sustainable Development</w:t>
      </w:r>
      <w:r w:rsidR="00C60A05" w:rsidRPr="00972B61">
        <w:rPr>
          <w:lang w:val="en-GB"/>
        </w:rPr>
        <w:t xml:space="preserve">, </w:t>
      </w:r>
      <w:r w:rsidR="00E66A26" w:rsidRPr="00972B61">
        <w:rPr>
          <w:lang w:val="en-GB"/>
        </w:rPr>
        <w:t xml:space="preserve">the UNSDCF theory of change envisages a country </w:t>
      </w:r>
      <w:r w:rsidR="001F1DF7" w:rsidRPr="00972B61">
        <w:rPr>
          <w:lang w:val="en-GB"/>
        </w:rPr>
        <w:t>in which</w:t>
      </w:r>
      <w:r w:rsidR="00E66A26" w:rsidRPr="00972B61">
        <w:rPr>
          <w:lang w:val="en-GB"/>
        </w:rPr>
        <w:t xml:space="preserve"> “all people equitably participate in, and benefit from, sustainable development in a peaceful and resilient Mozambican society, underpinned by gender equality”</w:t>
      </w:r>
      <w:r w:rsidR="004C765C">
        <w:rPr>
          <w:lang w:val="en-GB"/>
        </w:rPr>
        <w:t xml:space="preserve"> </w:t>
      </w:r>
      <w:r w:rsidR="006F04B5" w:rsidRPr="00972B61">
        <w:rPr>
          <w:lang w:val="en-GB"/>
        </w:rPr>
        <w:t>to</w:t>
      </w:r>
      <w:r w:rsidR="00E66A26" w:rsidRPr="00972B61">
        <w:rPr>
          <w:lang w:val="en-GB"/>
        </w:rPr>
        <w:t xml:space="preserve"> be achieved:</w:t>
      </w:r>
    </w:p>
    <w:p w14:paraId="7F4FC9DD" w14:textId="2CD4F5BC" w:rsidR="00A829C7" w:rsidRPr="0006610C" w:rsidRDefault="00A829C7" w:rsidP="006D1EA8">
      <w:pPr>
        <w:spacing w:after="120" w:line="240" w:lineRule="exact"/>
        <w:ind w:left="1080" w:right="1210"/>
        <w:jc w:val="both"/>
        <w:rPr>
          <w:lang w:val="en-GB"/>
        </w:rPr>
      </w:pPr>
      <w:r w:rsidRPr="00012F0C">
        <w:rPr>
          <w:lang w:val="en-GB"/>
        </w:rPr>
        <w:t>IF people have access to and utilize high-quality, gender-sensitive and inclusive basic social services and protection;</w:t>
      </w:r>
    </w:p>
    <w:p w14:paraId="33002909" w14:textId="530FFFA1" w:rsidR="00A829C7" w:rsidRPr="00012F0C" w:rsidRDefault="00A829C7" w:rsidP="006D1EA8">
      <w:pPr>
        <w:spacing w:after="120" w:line="240" w:lineRule="exact"/>
        <w:ind w:left="1080" w:right="1210"/>
        <w:jc w:val="both"/>
        <w:rPr>
          <w:lang w:val="en-GB"/>
        </w:rPr>
      </w:pPr>
      <w:r w:rsidRPr="00012F0C">
        <w:rPr>
          <w:lang w:val="en-GB"/>
        </w:rPr>
        <w:t xml:space="preserve">IF the economy is diversified </w:t>
      </w:r>
      <w:r w:rsidR="00061AED" w:rsidRPr="00012F0C">
        <w:rPr>
          <w:lang w:val="en-GB"/>
        </w:rPr>
        <w:t xml:space="preserve">and </w:t>
      </w:r>
      <w:r w:rsidRPr="00012F0C">
        <w:rPr>
          <w:lang w:val="en-GB"/>
        </w:rPr>
        <w:t>growth is sustainable and inclusive and generates decent jobs and sustainable livelihoods for all people;</w:t>
      </w:r>
    </w:p>
    <w:p w14:paraId="2832FA97" w14:textId="5C701A87" w:rsidR="00A829C7" w:rsidRPr="00012F0C" w:rsidRDefault="00A829C7" w:rsidP="006D1EA8">
      <w:pPr>
        <w:spacing w:after="120" w:line="240" w:lineRule="exact"/>
        <w:ind w:left="1080" w:right="1210"/>
        <w:jc w:val="both"/>
        <w:rPr>
          <w:lang w:val="en-GB"/>
        </w:rPr>
      </w:pPr>
      <w:r w:rsidRPr="00012F0C">
        <w:rPr>
          <w:lang w:val="en-GB"/>
        </w:rPr>
        <w:t>IF natural resource management is sustainable</w:t>
      </w:r>
      <w:r w:rsidR="00061AED" w:rsidRPr="00012F0C">
        <w:rPr>
          <w:lang w:val="en-GB"/>
        </w:rPr>
        <w:t>,</w:t>
      </w:r>
      <w:r w:rsidRPr="00012F0C">
        <w:rPr>
          <w:lang w:val="en-GB"/>
        </w:rPr>
        <w:t xml:space="preserve"> with equitable benefit</w:t>
      </w:r>
      <w:r w:rsidR="008742EA" w:rsidRPr="00012F0C">
        <w:rPr>
          <w:lang w:val="en-GB"/>
        </w:rPr>
        <w:t>-</w:t>
      </w:r>
      <w:r w:rsidRPr="00012F0C">
        <w:rPr>
          <w:lang w:val="en-GB"/>
        </w:rPr>
        <w:t>sharing</w:t>
      </w:r>
      <w:r w:rsidR="00061AED" w:rsidRPr="00012F0C">
        <w:rPr>
          <w:lang w:val="en-GB"/>
        </w:rPr>
        <w:t>,</w:t>
      </w:r>
      <w:r w:rsidRPr="00012F0C">
        <w:rPr>
          <w:lang w:val="en-GB"/>
        </w:rPr>
        <w:t xml:space="preserve"> and resilience to climate change and disasters is enhanced at all levels;</w:t>
      </w:r>
    </w:p>
    <w:p w14:paraId="288401D8" w14:textId="466C9797" w:rsidR="004C1BC7" w:rsidRPr="00012F0C" w:rsidRDefault="00A829C7" w:rsidP="006D1EA8">
      <w:pPr>
        <w:spacing w:after="120" w:line="240" w:lineRule="exact"/>
        <w:ind w:left="1080" w:right="1210"/>
        <w:jc w:val="both"/>
        <w:rPr>
          <w:lang w:val="en-GB"/>
        </w:rPr>
      </w:pPr>
      <w:r w:rsidRPr="00012F0C">
        <w:rPr>
          <w:lang w:val="en-GB"/>
        </w:rPr>
        <w:lastRenderedPageBreak/>
        <w:t>IF inclusive governance and peace are consolidated and people can fully enjoy their human rights</w:t>
      </w:r>
      <w:r w:rsidR="00B83D73" w:rsidRPr="00012F0C">
        <w:rPr>
          <w:lang w:val="en-GB"/>
        </w:rPr>
        <w:t>.</w:t>
      </w:r>
    </w:p>
    <w:p w14:paraId="4454736C" w14:textId="7BA254DD" w:rsidR="00435AE6" w:rsidRPr="00972B61" w:rsidRDefault="00061AED" w:rsidP="0083339E">
      <w:pPr>
        <w:pStyle w:val="ListParagraph"/>
        <w:numPr>
          <w:ilvl w:val="0"/>
          <w:numId w:val="3"/>
        </w:numPr>
        <w:spacing w:after="120" w:line="240" w:lineRule="exact"/>
        <w:ind w:left="1080" w:right="1210" w:firstLine="0"/>
        <w:jc w:val="both"/>
        <w:rPr>
          <w:lang w:val="en-GB"/>
        </w:rPr>
      </w:pPr>
      <w:r>
        <w:rPr>
          <w:lang w:val="en-GB"/>
        </w:rPr>
        <w:t xml:space="preserve">The </w:t>
      </w:r>
      <w:r w:rsidR="00A951C2" w:rsidRPr="00972B61">
        <w:rPr>
          <w:lang w:val="en-GB"/>
        </w:rPr>
        <w:t xml:space="preserve">UNDP </w:t>
      </w:r>
      <w:r w:rsidR="001F1DF7" w:rsidRPr="00972B61">
        <w:rPr>
          <w:lang w:val="en-GB"/>
        </w:rPr>
        <w:t>contribution to the UNSDCF s</w:t>
      </w:r>
      <w:r w:rsidR="00C10EBE" w:rsidRPr="00972B61">
        <w:rPr>
          <w:lang w:val="en-GB"/>
        </w:rPr>
        <w:t xml:space="preserve">trategic </w:t>
      </w:r>
      <w:r w:rsidR="001F1DF7" w:rsidRPr="00972B61">
        <w:rPr>
          <w:lang w:val="en-GB"/>
        </w:rPr>
        <w:t xml:space="preserve">vision is unpinned by its comparative advantage as </w:t>
      </w:r>
      <w:r w:rsidR="00C10EBE" w:rsidRPr="00972B61">
        <w:rPr>
          <w:lang w:val="en-GB"/>
        </w:rPr>
        <w:t>a</w:t>
      </w:r>
      <w:r w:rsidR="007A7FB3" w:rsidRPr="00972B61">
        <w:rPr>
          <w:lang w:val="en-GB"/>
        </w:rPr>
        <w:t xml:space="preserve"> convenor and </w:t>
      </w:r>
      <w:r w:rsidR="00C10EBE" w:rsidRPr="00972B61">
        <w:rPr>
          <w:lang w:val="en-GB"/>
        </w:rPr>
        <w:t>integrator</w:t>
      </w:r>
      <w:r w:rsidR="001F1DF7" w:rsidRPr="00972B61">
        <w:rPr>
          <w:lang w:val="en-GB"/>
        </w:rPr>
        <w:t>,</w:t>
      </w:r>
      <w:r w:rsidR="00C10EBE" w:rsidRPr="00972B61">
        <w:rPr>
          <w:lang w:val="en-GB"/>
        </w:rPr>
        <w:t xml:space="preserve"> with strong thought-leadership </w:t>
      </w:r>
      <w:r w:rsidR="001F1DF7" w:rsidRPr="00972B61">
        <w:rPr>
          <w:lang w:val="en-GB"/>
        </w:rPr>
        <w:t xml:space="preserve">and </w:t>
      </w:r>
      <w:r w:rsidR="00FC7089" w:rsidRPr="00972B61">
        <w:rPr>
          <w:lang w:val="en-GB"/>
        </w:rPr>
        <w:t>on-the-ground</w:t>
      </w:r>
      <w:r w:rsidR="001F1DF7" w:rsidRPr="00972B61">
        <w:rPr>
          <w:lang w:val="en-GB"/>
        </w:rPr>
        <w:t xml:space="preserve"> experience </w:t>
      </w:r>
      <w:r>
        <w:rPr>
          <w:lang w:val="en-GB"/>
        </w:rPr>
        <w:t>i</w:t>
      </w:r>
      <w:r w:rsidR="00C10EBE" w:rsidRPr="00972B61">
        <w:rPr>
          <w:lang w:val="en-GB"/>
        </w:rPr>
        <w:t>n human rights,</w:t>
      </w:r>
      <w:r w:rsidR="00B83D73" w:rsidRPr="00972B61">
        <w:rPr>
          <w:lang w:val="en-GB"/>
        </w:rPr>
        <w:t xml:space="preserve"> </w:t>
      </w:r>
      <w:r w:rsidR="00C10EBE" w:rsidRPr="00972B61">
        <w:rPr>
          <w:lang w:val="en-GB"/>
        </w:rPr>
        <w:t>governance, rule of law, climate change</w:t>
      </w:r>
      <w:r w:rsidR="00B458CC" w:rsidRPr="00972B61">
        <w:rPr>
          <w:lang w:val="en-GB"/>
        </w:rPr>
        <w:t xml:space="preserve"> </w:t>
      </w:r>
      <w:r w:rsidR="001F1DF7" w:rsidRPr="00972B61">
        <w:rPr>
          <w:lang w:val="en-GB"/>
        </w:rPr>
        <w:t xml:space="preserve">resilience, </w:t>
      </w:r>
      <w:r w:rsidR="00C10EBE" w:rsidRPr="00972B61">
        <w:rPr>
          <w:lang w:val="en-GB"/>
        </w:rPr>
        <w:t>disaster risk reduction and recovery, and women’s and youth empowerment</w:t>
      </w:r>
      <w:r w:rsidR="00EE2548" w:rsidRPr="00972B61">
        <w:rPr>
          <w:lang w:val="en-GB"/>
        </w:rPr>
        <w:t xml:space="preserve"> that will enable it to support all four strategic priority areas</w:t>
      </w:r>
      <w:r w:rsidR="001F1DF7" w:rsidRPr="00972B61">
        <w:rPr>
          <w:lang w:val="en-GB"/>
        </w:rPr>
        <w:t xml:space="preserve">. </w:t>
      </w:r>
      <w:r w:rsidR="00EE2548" w:rsidRPr="00972B61">
        <w:rPr>
          <w:lang w:val="en-GB"/>
        </w:rPr>
        <w:t>During the previous programme cycle,</w:t>
      </w:r>
      <w:r w:rsidR="000853B6" w:rsidRPr="00972B61">
        <w:rPr>
          <w:lang w:val="en-GB"/>
        </w:rPr>
        <w:t xml:space="preserve"> </w:t>
      </w:r>
      <w:r w:rsidR="00C10EBE" w:rsidRPr="00972B61">
        <w:rPr>
          <w:lang w:val="en-GB"/>
        </w:rPr>
        <w:t xml:space="preserve">the </w:t>
      </w:r>
      <w:r>
        <w:rPr>
          <w:lang w:val="en-GB"/>
        </w:rPr>
        <w:t>c</w:t>
      </w:r>
      <w:r w:rsidR="00C10EBE" w:rsidRPr="00972B61">
        <w:rPr>
          <w:lang w:val="en-GB"/>
        </w:rPr>
        <w:t xml:space="preserve">ountry </w:t>
      </w:r>
      <w:r>
        <w:rPr>
          <w:lang w:val="en-GB"/>
        </w:rPr>
        <w:t>o</w:t>
      </w:r>
      <w:r w:rsidR="00C10EBE" w:rsidRPr="00972B61">
        <w:rPr>
          <w:lang w:val="en-GB"/>
        </w:rPr>
        <w:t>ffice</w:t>
      </w:r>
      <w:r w:rsidR="000853B6" w:rsidRPr="00972B61">
        <w:rPr>
          <w:lang w:val="en-GB"/>
        </w:rPr>
        <w:t xml:space="preserve"> </w:t>
      </w:r>
      <w:r w:rsidR="006F04B5" w:rsidRPr="00972B61">
        <w:rPr>
          <w:lang w:val="en-GB"/>
        </w:rPr>
        <w:t xml:space="preserve">effectively supported national priorities </w:t>
      </w:r>
      <w:r w:rsidR="00EE2548" w:rsidRPr="00972B61">
        <w:rPr>
          <w:lang w:val="en-GB"/>
        </w:rPr>
        <w:t>in the context of</w:t>
      </w:r>
      <w:r w:rsidR="001F1DF7" w:rsidRPr="00972B61">
        <w:rPr>
          <w:lang w:val="en-GB"/>
        </w:rPr>
        <w:t xml:space="preserve"> insecurity and violence, climatic shocks and the COVID-19 pandemic</w:t>
      </w:r>
      <w:r w:rsidR="00806045" w:rsidRPr="00972B61">
        <w:rPr>
          <w:lang w:val="en-GB"/>
        </w:rPr>
        <w:t xml:space="preserve">. </w:t>
      </w:r>
      <w:r w:rsidR="00EE2548" w:rsidRPr="00972B61">
        <w:rPr>
          <w:lang w:val="en-GB"/>
        </w:rPr>
        <w:t>It</w:t>
      </w:r>
      <w:r w:rsidR="000853B6" w:rsidRPr="00972B61">
        <w:rPr>
          <w:lang w:val="en-GB"/>
        </w:rPr>
        <w:t xml:space="preserve"> </w:t>
      </w:r>
      <w:r w:rsidR="006F04B5" w:rsidRPr="00972B61">
        <w:rPr>
          <w:lang w:val="en-GB"/>
        </w:rPr>
        <w:t>rapidly scaled up its post</w:t>
      </w:r>
      <w:r>
        <w:rPr>
          <w:lang w:val="en-GB"/>
        </w:rPr>
        <w:t>-</w:t>
      </w:r>
      <w:r w:rsidR="006F04B5" w:rsidRPr="00972B61">
        <w:rPr>
          <w:lang w:val="en-GB"/>
        </w:rPr>
        <w:t>disaster and post</w:t>
      </w:r>
      <w:r>
        <w:rPr>
          <w:lang w:val="en-GB"/>
        </w:rPr>
        <w:t>-</w:t>
      </w:r>
      <w:r w:rsidR="006F04B5" w:rsidRPr="00972B61">
        <w:rPr>
          <w:lang w:val="en-GB"/>
        </w:rPr>
        <w:t>conflict capacity to support</w:t>
      </w:r>
      <w:r w:rsidR="000853B6" w:rsidRPr="00972B61">
        <w:rPr>
          <w:lang w:val="en-GB"/>
        </w:rPr>
        <w:t xml:space="preserve"> reconstruction </w:t>
      </w:r>
      <w:r w:rsidR="00AD5520" w:rsidRPr="00972B61">
        <w:rPr>
          <w:lang w:val="en-GB"/>
        </w:rPr>
        <w:t xml:space="preserve">and recovery </w:t>
      </w:r>
      <w:r w:rsidR="00806045" w:rsidRPr="00972B61">
        <w:rPr>
          <w:lang w:val="en-GB"/>
        </w:rPr>
        <w:t>efforts</w:t>
      </w:r>
      <w:r w:rsidR="006F04B5" w:rsidRPr="00972B61">
        <w:rPr>
          <w:lang w:val="en-GB"/>
        </w:rPr>
        <w:t xml:space="preserve">, introducing </w:t>
      </w:r>
      <w:r>
        <w:rPr>
          <w:lang w:val="en-GB"/>
        </w:rPr>
        <w:t xml:space="preserve">an </w:t>
      </w:r>
      <w:r w:rsidR="006F04B5" w:rsidRPr="00972B61">
        <w:rPr>
          <w:lang w:val="en-GB"/>
        </w:rPr>
        <w:t>integrated</w:t>
      </w:r>
      <w:r w:rsidR="00806045" w:rsidRPr="00972B61">
        <w:rPr>
          <w:lang w:val="en-GB"/>
        </w:rPr>
        <w:t xml:space="preserve"> humanitarian-development-peace nexus </w:t>
      </w:r>
      <w:r w:rsidR="00AD5520" w:rsidRPr="00972B61">
        <w:rPr>
          <w:lang w:val="en-GB"/>
        </w:rPr>
        <w:t xml:space="preserve">through </w:t>
      </w:r>
      <w:r>
        <w:rPr>
          <w:lang w:val="en-GB"/>
        </w:rPr>
        <w:t xml:space="preserve">its </w:t>
      </w:r>
      <w:r w:rsidR="00AD5520" w:rsidRPr="00972B61">
        <w:rPr>
          <w:lang w:val="en-GB"/>
        </w:rPr>
        <w:t>support to human development, basic services, economic recovery and diversification, peacebuilding and social cohesion, and the protection of human rights</w:t>
      </w:r>
      <w:r w:rsidR="006F04B5" w:rsidRPr="00972B61">
        <w:rPr>
          <w:lang w:val="en-GB"/>
        </w:rPr>
        <w:t xml:space="preserve">, delivering integrated durable solutions to </w:t>
      </w:r>
      <w:r>
        <w:rPr>
          <w:lang w:val="en-GB"/>
        </w:rPr>
        <w:t>d</w:t>
      </w:r>
      <w:r w:rsidR="006F04B5" w:rsidRPr="00972B61">
        <w:rPr>
          <w:lang w:val="en-GB"/>
        </w:rPr>
        <w:t>isplacement</w:t>
      </w:r>
      <w:r>
        <w:rPr>
          <w:lang w:val="en-GB"/>
        </w:rPr>
        <w:t>-a</w:t>
      </w:r>
      <w:r w:rsidR="006F04B5" w:rsidRPr="00972B61">
        <w:rPr>
          <w:lang w:val="en-GB"/>
        </w:rPr>
        <w:t xml:space="preserve">ffected </w:t>
      </w:r>
      <w:r>
        <w:rPr>
          <w:lang w:val="en-GB"/>
        </w:rPr>
        <w:t>c</w:t>
      </w:r>
      <w:r w:rsidR="006F04B5" w:rsidRPr="00972B61">
        <w:rPr>
          <w:lang w:val="en-GB"/>
        </w:rPr>
        <w:t>ommunities</w:t>
      </w:r>
      <w:r w:rsidR="00AD5520" w:rsidRPr="00972B61">
        <w:rPr>
          <w:lang w:val="en-GB"/>
        </w:rPr>
        <w:t>.</w:t>
      </w:r>
      <w:r w:rsidR="00806045" w:rsidRPr="00972B61">
        <w:rPr>
          <w:lang w:val="en-GB"/>
        </w:rPr>
        <w:t xml:space="preserve"> </w:t>
      </w:r>
      <w:r w:rsidR="00AD5520" w:rsidRPr="00972B61">
        <w:rPr>
          <w:lang w:val="en-GB"/>
        </w:rPr>
        <w:t xml:space="preserve">UNDP </w:t>
      </w:r>
      <w:r w:rsidR="001C2F0A">
        <w:rPr>
          <w:lang w:val="en-GB"/>
        </w:rPr>
        <w:t>has</w:t>
      </w:r>
      <w:r w:rsidR="001C2F0A" w:rsidRPr="00972B61">
        <w:rPr>
          <w:lang w:val="en-GB"/>
        </w:rPr>
        <w:t xml:space="preserve"> </w:t>
      </w:r>
      <w:r w:rsidR="004C765C" w:rsidRPr="00972B61">
        <w:rPr>
          <w:lang w:val="en-GB"/>
        </w:rPr>
        <w:t>lever</w:t>
      </w:r>
      <w:r w:rsidR="004C765C">
        <w:rPr>
          <w:lang w:val="en-GB"/>
        </w:rPr>
        <w:t>aged</w:t>
      </w:r>
      <w:r w:rsidR="00AD5520" w:rsidRPr="00972B61">
        <w:rPr>
          <w:lang w:val="en-GB"/>
        </w:rPr>
        <w:t xml:space="preserve"> its thought</w:t>
      </w:r>
      <w:r>
        <w:rPr>
          <w:lang w:val="en-GB"/>
        </w:rPr>
        <w:t>-</w:t>
      </w:r>
      <w:r w:rsidR="00AD5520" w:rsidRPr="00972B61">
        <w:rPr>
          <w:lang w:val="en-GB"/>
        </w:rPr>
        <w:t xml:space="preserve">leadership </w:t>
      </w:r>
      <w:r w:rsidR="00BB5D6B" w:rsidRPr="00972B61">
        <w:rPr>
          <w:lang w:val="en-GB"/>
        </w:rPr>
        <w:t xml:space="preserve">and expertise </w:t>
      </w:r>
      <w:r w:rsidR="00AD5520" w:rsidRPr="00972B61">
        <w:rPr>
          <w:lang w:val="en-GB"/>
        </w:rPr>
        <w:t xml:space="preserve">in environmental, natural resource, disaster risk and climate change management to strengthen resilience. </w:t>
      </w:r>
      <w:r w:rsidR="00B458CC" w:rsidRPr="00972B61">
        <w:rPr>
          <w:lang w:val="en-GB"/>
        </w:rPr>
        <w:t>C</w:t>
      </w:r>
      <w:r w:rsidR="00CB792B" w:rsidRPr="00972B61">
        <w:rPr>
          <w:lang w:val="en-GB"/>
        </w:rPr>
        <w:t>apitali</w:t>
      </w:r>
      <w:r w:rsidR="008F64B3">
        <w:rPr>
          <w:lang w:val="en-GB"/>
        </w:rPr>
        <w:t>z</w:t>
      </w:r>
      <w:r w:rsidR="00CB792B" w:rsidRPr="00972B61">
        <w:rPr>
          <w:lang w:val="en-GB"/>
        </w:rPr>
        <w:t xml:space="preserve">ing on global networks and trust capital, UNDP </w:t>
      </w:r>
      <w:r w:rsidR="008F64B3">
        <w:rPr>
          <w:lang w:val="en-GB"/>
        </w:rPr>
        <w:t xml:space="preserve">has </w:t>
      </w:r>
      <w:r w:rsidR="006F04B5" w:rsidRPr="00972B61">
        <w:rPr>
          <w:lang w:val="en-GB"/>
        </w:rPr>
        <w:t>used its</w:t>
      </w:r>
      <w:r w:rsidR="00CB792B" w:rsidRPr="00972B61">
        <w:rPr>
          <w:lang w:val="en-GB"/>
        </w:rPr>
        <w:t xml:space="preserve"> knowledge </w:t>
      </w:r>
      <w:r w:rsidR="00105B33">
        <w:rPr>
          <w:lang w:val="en-GB"/>
        </w:rPr>
        <w:t>resources</w:t>
      </w:r>
      <w:r w:rsidR="00CB792B" w:rsidRPr="00972B61">
        <w:rPr>
          <w:lang w:val="en-GB"/>
        </w:rPr>
        <w:t xml:space="preserve"> to scale</w:t>
      </w:r>
      <w:r w:rsidR="008F64B3">
        <w:rPr>
          <w:lang w:val="en-GB"/>
        </w:rPr>
        <w:t xml:space="preserve"> </w:t>
      </w:r>
      <w:r w:rsidR="00CB792B" w:rsidRPr="00972B61">
        <w:rPr>
          <w:lang w:val="en-GB"/>
        </w:rPr>
        <w:t>best practices</w:t>
      </w:r>
      <w:r w:rsidR="00B458CC" w:rsidRPr="00972B61">
        <w:rPr>
          <w:lang w:val="en-GB"/>
        </w:rPr>
        <w:t xml:space="preserve">, </w:t>
      </w:r>
      <w:r w:rsidR="00CB792B" w:rsidRPr="00972B61">
        <w:rPr>
          <w:lang w:val="en-GB"/>
        </w:rPr>
        <w:t>accelerate support to legal and policy reforms</w:t>
      </w:r>
      <w:r w:rsidR="00B458CC" w:rsidRPr="00972B61">
        <w:rPr>
          <w:lang w:val="en-GB"/>
        </w:rPr>
        <w:t>,</w:t>
      </w:r>
      <w:r w:rsidR="00435AE6" w:rsidRPr="00972B61">
        <w:rPr>
          <w:lang w:val="en-GB"/>
        </w:rPr>
        <w:t xml:space="preserve"> and provide</w:t>
      </w:r>
      <w:r w:rsidR="00CB792B" w:rsidRPr="00972B61">
        <w:rPr>
          <w:lang w:val="en-GB"/>
        </w:rPr>
        <w:t xml:space="preserve"> </w:t>
      </w:r>
      <w:r w:rsidR="00435AE6" w:rsidRPr="00972B61">
        <w:rPr>
          <w:lang w:val="en-GB"/>
        </w:rPr>
        <w:t>decision-makers with robust evidence and digital solutions that underpin the development capacity for transformati</w:t>
      </w:r>
      <w:r w:rsidR="00105B33">
        <w:rPr>
          <w:lang w:val="en-GB"/>
        </w:rPr>
        <w:t xml:space="preserve">on. </w:t>
      </w:r>
      <w:r w:rsidR="00FC7089" w:rsidRPr="00972B61">
        <w:rPr>
          <w:lang w:val="en-GB"/>
        </w:rPr>
        <w:t xml:space="preserve">Through its ongoing support </w:t>
      </w:r>
      <w:r w:rsidR="008F64B3">
        <w:rPr>
          <w:lang w:val="en-GB"/>
        </w:rPr>
        <w:t xml:space="preserve">to </w:t>
      </w:r>
      <w:r w:rsidR="00FC7089" w:rsidRPr="00972B61">
        <w:rPr>
          <w:lang w:val="en-GB"/>
        </w:rPr>
        <w:t>decentrali</w:t>
      </w:r>
      <w:r w:rsidR="008F64B3">
        <w:rPr>
          <w:lang w:val="en-GB"/>
        </w:rPr>
        <w:t>z</w:t>
      </w:r>
      <w:r w:rsidR="00FC7089" w:rsidRPr="00972B61">
        <w:rPr>
          <w:lang w:val="en-GB"/>
        </w:rPr>
        <w:t>ation reforms, UNDP</w:t>
      </w:r>
      <w:r w:rsidR="00105B33">
        <w:rPr>
          <w:lang w:val="en-GB"/>
        </w:rPr>
        <w:t xml:space="preserve"> is contributing to</w:t>
      </w:r>
      <w:r w:rsidR="004C765C">
        <w:rPr>
          <w:lang w:val="en-GB"/>
        </w:rPr>
        <w:t xml:space="preserve"> </w:t>
      </w:r>
      <w:r w:rsidR="006F04B5" w:rsidRPr="00972B61">
        <w:rPr>
          <w:lang w:val="en-GB"/>
        </w:rPr>
        <w:t>increased</w:t>
      </w:r>
      <w:r w:rsidR="00FC7089" w:rsidRPr="00972B61">
        <w:rPr>
          <w:lang w:val="en-GB"/>
        </w:rPr>
        <w:t xml:space="preserve"> accountability and governance, </w:t>
      </w:r>
      <w:r w:rsidR="00105B33">
        <w:rPr>
          <w:lang w:val="en-GB"/>
        </w:rPr>
        <w:t xml:space="preserve">by </w:t>
      </w:r>
      <w:r w:rsidR="007E6259" w:rsidRPr="00972B61">
        <w:rPr>
          <w:lang w:val="en-GB"/>
        </w:rPr>
        <w:t>strengthen</w:t>
      </w:r>
      <w:r w:rsidR="00105B33">
        <w:rPr>
          <w:lang w:val="en-GB"/>
        </w:rPr>
        <w:t xml:space="preserve">ing </w:t>
      </w:r>
      <w:r w:rsidR="007E6259" w:rsidRPr="00972B61">
        <w:rPr>
          <w:lang w:val="en-GB"/>
        </w:rPr>
        <w:t xml:space="preserve">financial management systems, </w:t>
      </w:r>
      <w:r w:rsidR="008F64B3">
        <w:rPr>
          <w:lang w:val="en-GB"/>
        </w:rPr>
        <w:t xml:space="preserve">and </w:t>
      </w:r>
      <w:r w:rsidR="00FC7089" w:rsidRPr="00972B61">
        <w:rPr>
          <w:lang w:val="en-GB"/>
        </w:rPr>
        <w:t>increas</w:t>
      </w:r>
      <w:r w:rsidR="00105B33">
        <w:rPr>
          <w:lang w:val="en-GB"/>
        </w:rPr>
        <w:t>ing</w:t>
      </w:r>
      <w:r w:rsidR="004C765C">
        <w:rPr>
          <w:lang w:val="en-GB"/>
        </w:rPr>
        <w:t xml:space="preserve"> </w:t>
      </w:r>
      <w:r w:rsidR="00FC7089" w:rsidRPr="00972B61">
        <w:rPr>
          <w:lang w:val="en-GB"/>
        </w:rPr>
        <w:t xml:space="preserve">civic spaces for participation, </w:t>
      </w:r>
      <w:r w:rsidR="006F04B5" w:rsidRPr="00972B61">
        <w:rPr>
          <w:lang w:val="en-GB"/>
        </w:rPr>
        <w:t>particularly of</w:t>
      </w:r>
      <w:r w:rsidR="00FC7089" w:rsidRPr="00972B61">
        <w:rPr>
          <w:lang w:val="en-GB"/>
        </w:rPr>
        <w:t xml:space="preserve"> women and youth. </w:t>
      </w:r>
      <w:r w:rsidR="008F64B3">
        <w:rPr>
          <w:lang w:val="en-GB"/>
        </w:rPr>
        <w:t xml:space="preserve">The </w:t>
      </w:r>
      <w:r w:rsidR="00CB792B" w:rsidRPr="00972B61">
        <w:rPr>
          <w:lang w:val="en-GB"/>
        </w:rPr>
        <w:t xml:space="preserve">UNDP </w:t>
      </w:r>
      <w:r w:rsidR="00105B33">
        <w:rPr>
          <w:lang w:val="en-GB"/>
        </w:rPr>
        <w:t>A</w:t>
      </w:r>
      <w:r w:rsidR="00CB792B" w:rsidRPr="00972B61">
        <w:rPr>
          <w:lang w:val="en-GB"/>
        </w:rPr>
        <w:t xml:space="preserve">ccelerator </w:t>
      </w:r>
      <w:r w:rsidR="00105B33">
        <w:rPr>
          <w:lang w:val="en-GB"/>
        </w:rPr>
        <w:t>L</w:t>
      </w:r>
      <w:r w:rsidR="00CB792B" w:rsidRPr="00972B61">
        <w:rPr>
          <w:lang w:val="en-GB"/>
        </w:rPr>
        <w:t xml:space="preserve">ab </w:t>
      </w:r>
      <w:r w:rsidR="00741E5F" w:rsidRPr="00972B61">
        <w:rPr>
          <w:lang w:val="en-GB"/>
        </w:rPr>
        <w:t xml:space="preserve">has </w:t>
      </w:r>
      <w:r w:rsidR="00105B33">
        <w:rPr>
          <w:lang w:val="en-GB"/>
        </w:rPr>
        <w:t>intensifie</w:t>
      </w:r>
      <w:r w:rsidR="00317100">
        <w:rPr>
          <w:lang w:val="en-GB"/>
        </w:rPr>
        <w:t>d</w:t>
      </w:r>
      <w:r w:rsidR="00105B33">
        <w:rPr>
          <w:lang w:val="en-GB"/>
        </w:rPr>
        <w:t xml:space="preserve"> </w:t>
      </w:r>
      <w:r w:rsidR="00BE3AD6">
        <w:rPr>
          <w:lang w:val="en-GB"/>
        </w:rPr>
        <w:t xml:space="preserve">internal </w:t>
      </w:r>
      <w:r w:rsidR="00105B33">
        <w:rPr>
          <w:lang w:val="en-GB"/>
        </w:rPr>
        <w:t>abilities</w:t>
      </w:r>
      <w:r w:rsidR="00CB792B" w:rsidRPr="00972B61">
        <w:rPr>
          <w:lang w:val="en-GB"/>
        </w:rPr>
        <w:t xml:space="preserve"> for mapping, testing and scaling</w:t>
      </w:r>
      <w:r w:rsidR="008F64B3">
        <w:rPr>
          <w:lang w:val="en-GB"/>
        </w:rPr>
        <w:t xml:space="preserve"> </w:t>
      </w:r>
      <w:r w:rsidR="00CB792B" w:rsidRPr="00972B61">
        <w:rPr>
          <w:lang w:val="en-GB"/>
        </w:rPr>
        <w:t xml:space="preserve">up innovative, cost-efficient, community-grounded solutions to accelerate achievement </w:t>
      </w:r>
      <w:r w:rsidR="0037562A">
        <w:rPr>
          <w:lang w:val="en-GB"/>
        </w:rPr>
        <w:t xml:space="preserve">of the </w:t>
      </w:r>
      <w:r w:rsidR="002A35BB">
        <w:rPr>
          <w:lang w:val="en-GB"/>
        </w:rPr>
        <w:t xml:space="preserve">Goals </w:t>
      </w:r>
      <w:r w:rsidR="00CB792B" w:rsidRPr="00972B61">
        <w:rPr>
          <w:lang w:val="en-GB"/>
        </w:rPr>
        <w:t>whil</w:t>
      </w:r>
      <w:r w:rsidR="0037562A">
        <w:rPr>
          <w:lang w:val="en-GB"/>
        </w:rPr>
        <w:t>e</w:t>
      </w:r>
      <w:r w:rsidR="00CB792B" w:rsidRPr="00972B61">
        <w:rPr>
          <w:lang w:val="en-GB"/>
        </w:rPr>
        <w:t xml:space="preserve"> linking </w:t>
      </w:r>
      <w:r w:rsidR="0037562A">
        <w:rPr>
          <w:lang w:val="en-GB"/>
        </w:rPr>
        <w:t xml:space="preserve">the country’s </w:t>
      </w:r>
      <w:r w:rsidR="00741E5F" w:rsidRPr="00972B61">
        <w:rPr>
          <w:lang w:val="en-GB"/>
        </w:rPr>
        <w:t>innovators to</w:t>
      </w:r>
      <w:r w:rsidR="00CB792B" w:rsidRPr="00972B61">
        <w:rPr>
          <w:lang w:val="en-GB"/>
        </w:rPr>
        <w:t xml:space="preserve"> global and regional networks to benefit from South-South and </w:t>
      </w:r>
      <w:r w:rsidR="0037562A">
        <w:rPr>
          <w:lang w:val="en-GB"/>
        </w:rPr>
        <w:t>t</w:t>
      </w:r>
      <w:r w:rsidR="00CB792B" w:rsidRPr="00972B61">
        <w:rPr>
          <w:lang w:val="en-GB"/>
        </w:rPr>
        <w:t xml:space="preserve">riangular </w:t>
      </w:r>
      <w:r w:rsidR="0037562A">
        <w:rPr>
          <w:lang w:val="en-GB"/>
        </w:rPr>
        <w:t>c</w:t>
      </w:r>
      <w:r w:rsidR="00CB792B" w:rsidRPr="00972B61">
        <w:rPr>
          <w:lang w:val="en-GB"/>
        </w:rPr>
        <w:t>ooperation opportunities</w:t>
      </w:r>
      <w:r w:rsidR="00435AE6" w:rsidRPr="00972B61">
        <w:rPr>
          <w:lang w:val="en-GB"/>
        </w:rPr>
        <w:t>.</w:t>
      </w:r>
      <w:r w:rsidR="00CB792B" w:rsidRPr="00972B61">
        <w:rPr>
          <w:lang w:val="en-GB"/>
        </w:rPr>
        <w:t xml:space="preserve"> </w:t>
      </w:r>
    </w:p>
    <w:p w14:paraId="7C4F6C94" w14:textId="74E1D4EB" w:rsidR="00BF7D41" w:rsidRPr="00972B61" w:rsidRDefault="00435AE6" w:rsidP="0083339E">
      <w:pPr>
        <w:pStyle w:val="ListParagraph"/>
        <w:numPr>
          <w:ilvl w:val="0"/>
          <w:numId w:val="3"/>
        </w:numPr>
        <w:spacing w:after="200" w:line="240" w:lineRule="exact"/>
        <w:ind w:left="1080" w:right="1210" w:firstLine="0"/>
        <w:jc w:val="both"/>
        <w:rPr>
          <w:lang w:val="en-GB"/>
        </w:rPr>
      </w:pPr>
      <w:r w:rsidRPr="00972B61">
        <w:rPr>
          <w:lang w:val="en-GB"/>
        </w:rPr>
        <w:t xml:space="preserve">The </w:t>
      </w:r>
      <w:r w:rsidR="0037562A">
        <w:rPr>
          <w:lang w:val="en-GB"/>
        </w:rPr>
        <w:t>e</w:t>
      </w:r>
      <w:r w:rsidRPr="00972B61">
        <w:rPr>
          <w:lang w:val="en-GB"/>
        </w:rPr>
        <w:t xml:space="preserve">valuation of the </w:t>
      </w:r>
      <w:r w:rsidR="0037562A">
        <w:rPr>
          <w:lang w:val="en-GB"/>
        </w:rPr>
        <w:t>United Nations Development Assistance Framework (</w:t>
      </w:r>
      <w:r w:rsidRPr="00972B61">
        <w:rPr>
          <w:lang w:val="en-GB"/>
        </w:rPr>
        <w:t>UNDAF</w:t>
      </w:r>
      <w:r w:rsidR="0037562A">
        <w:rPr>
          <w:lang w:val="en-GB"/>
        </w:rPr>
        <w:t xml:space="preserve">), </w:t>
      </w:r>
      <w:r w:rsidRPr="00972B61">
        <w:rPr>
          <w:lang w:val="en-GB"/>
        </w:rPr>
        <w:t>2017-</w:t>
      </w:r>
      <w:r w:rsidR="0037562A">
        <w:rPr>
          <w:lang w:val="en-GB"/>
        </w:rPr>
        <w:t>20</w:t>
      </w:r>
      <w:r w:rsidRPr="00972B61">
        <w:rPr>
          <w:lang w:val="en-GB"/>
        </w:rPr>
        <w:t>21</w:t>
      </w:r>
      <w:r w:rsidR="0037562A">
        <w:rPr>
          <w:lang w:val="en-GB"/>
        </w:rPr>
        <w:t>,</w:t>
      </w:r>
      <w:r w:rsidRPr="00972B61">
        <w:rPr>
          <w:rStyle w:val="FootnoteReference"/>
          <w:lang w:val="en-GB"/>
        </w:rPr>
        <w:footnoteReference w:id="4"/>
      </w:r>
      <w:r w:rsidRPr="00972B61">
        <w:rPr>
          <w:lang w:val="en-GB"/>
        </w:rPr>
        <w:t xml:space="preserve"> </w:t>
      </w:r>
      <w:r w:rsidR="003024AA" w:rsidRPr="00972B61">
        <w:rPr>
          <w:lang w:val="en-GB"/>
        </w:rPr>
        <w:t xml:space="preserve">found </w:t>
      </w:r>
      <w:r w:rsidR="0003617A">
        <w:rPr>
          <w:lang w:val="en-GB"/>
        </w:rPr>
        <w:t>d</w:t>
      </w:r>
      <w:r w:rsidR="003024AA" w:rsidRPr="00972B61">
        <w:rPr>
          <w:lang w:val="en-GB"/>
        </w:rPr>
        <w:t>elivering</w:t>
      </w:r>
      <w:r w:rsidR="0003617A">
        <w:rPr>
          <w:lang w:val="en-GB"/>
        </w:rPr>
        <w:t>-</w:t>
      </w:r>
      <w:r w:rsidR="003024AA" w:rsidRPr="00972B61">
        <w:rPr>
          <w:lang w:val="en-GB"/>
        </w:rPr>
        <w:t>as</w:t>
      </w:r>
      <w:r w:rsidR="0003617A">
        <w:rPr>
          <w:lang w:val="en-GB"/>
        </w:rPr>
        <w:t>-o</w:t>
      </w:r>
      <w:r w:rsidR="003024AA" w:rsidRPr="00972B61">
        <w:rPr>
          <w:lang w:val="en-GB"/>
        </w:rPr>
        <w:t xml:space="preserve">ne to be consolidated throughout </w:t>
      </w:r>
      <w:r w:rsidR="0003617A">
        <w:rPr>
          <w:lang w:val="en-GB"/>
        </w:rPr>
        <w:t xml:space="preserve">the </w:t>
      </w:r>
      <w:r w:rsidR="003024AA" w:rsidRPr="00972B61">
        <w:rPr>
          <w:lang w:val="en-GB"/>
        </w:rPr>
        <w:t xml:space="preserve">UNDP programme contributing to improved coherence and alignment. </w:t>
      </w:r>
      <w:r w:rsidR="00A951C2" w:rsidRPr="00972B61">
        <w:rPr>
          <w:lang w:val="en-GB"/>
        </w:rPr>
        <w:t>Nevertheless</w:t>
      </w:r>
      <w:r w:rsidR="003024AA" w:rsidRPr="00972B61">
        <w:rPr>
          <w:lang w:val="en-GB"/>
        </w:rPr>
        <w:t xml:space="preserve">, </w:t>
      </w:r>
      <w:r w:rsidR="00F73ABE" w:rsidRPr="00972B61">
        <w:rPr>
          <w:lang w:val="en-GB"/>
        </w:rPr>
        <w:t>despite its programmatic focus on disaster risk reduction</w:t>
      </w:r>
      <w:r w:rsidR="003024AA" w:rsidRPr="00972B61">
        <w:rPr>
          <w:lang w:val="en-GB"/>
        </w:rPr>
        <w:t xml:space="preserve">, UNDP did not anticipate the scale of the humanitarian crisis provoked by both extreme weather and violence, </w:t>
      </w:r>
      <w:r w:rsidR="00741E5F" w:rsidRPr="00972B61">
        <w:rPr>
          <w:lang w:val="en-GB"/>
        </w:rPr>
        <w:t>aggravated by the socio-economic impacts of the</w:t>
      </w:r>
      <w:r w:rsidR="003024AA" w:rsidRPr="00972B61">
        <w:rPr>
          <w:lang w:val="en-GB"/>
        </w:rPr>
        <w:t xml:space="preserve"> COVID-19 pandemic, all of which have put unprecedented strain on government systems and service delivery mechanisms. In response, </w:t>
      </w:r>
      <w:r w:rsidR="00741E5F" w:rsidRPr="00972B61">
        <w:rPr>
          <w:lang w:val="en-GB"/>
        </w:rPr>
        <w:t xml:space="preserve">while pursuing its support to digital solutions for public services, UNDP launched </w:t>
      </w:r>
      <w:r w:rsidR="00757887" w:rsidRPr="00972B61">
        <w:rPr>
          <w:lang w:val="en-GB"/>
        </w:rPr>
        <w:t>stabilization</w:t>
      </w:r>
      <w:r w:rsidR="005F0EAD" w:rsidRPr="00972B61">
        <w:rPr>
          <w:lang w:val="en-GB"/>
        </w:rPr>
        <w:t xml:space="preserve"> </w:t>
      </w:r>
      <w:r w:rsidR="00741E5F" w:rsidRPr="00972B61">
        <w:rPr>
          <w:lang w:val="en-GB"/>
        </w:rPr>
        <w:t>interventions in the north of Mozambique</w:t>
      </w:r>
      <w:r w:rsidR="00757887" w:rsidRPr="00972B61">
        <w:rPr>
          <w:lang w:val="en-GB"/>
        </w:rPr>
        <w:t xml:space="preserve">, </w:t>
      </w:r>
      <w:r w:rsidR="003024AA" w:rsidRPr="00972B61">
        <w:rPr>
          <w:lang w:val="en-GB"/>
        </w:rPr>
        <w:t xml:space="preserve">working </w:t>
      </w:r>
      <w:r w:rsidR="00741E5F" w:rsidRPr="00972B61">
        <w:rPr>
          <w:lang w:val="en-GB"/>
        </w:rPr>
        <w:t xml:space="preserve">closely </w:t>
      </w:r>
      <w:r w:rsidR="003024AA" w:rsidRPr="00972B61">
        <w:rPr>
          <w:lang w:val="en-GB"/>
        </w:rPr>
        <w:t xml:space="preserve">with provincial and local authorities </w:t>
      </w:r>
      <w:r w:rsidR="00741E5F" w:rsidRPr="00972B61">
        <w:rPr>
          <w:lang w:val="en-GB"/>
        </w:rPr>
        <w:t>and building on the acquired in</w:t>
      </w:r>
      <w:r w:rsidR="00EC513E">
        <w:rPr>
          <w:lang w:val="en-GB"/>
        </w:rPr>
        <w:t>-</w:t>
      </w:r>
      <w:r w:rsidR="00741E5F" w:rsidRPr="00972B61">
        <w:rPr>
          <w:lang w:val="en-GB"/>
        </w:rPr>
        <w:t>country experience in post-cyclone reconstruction through</w:t>
      </w:r>
      <w:r w:rsidR="003024AA" w:rsidRPr="00972B61">
        <w:rPr>
          <w:lang w:val="en-GB"/>
        </w:rPr>
        <w:t xml:space="preserve"> the Mozambique Recovery Facility</w:t>
      </w:r>
      <w:r w:rsidR="000903B3" w:rsidRPr="00972B61">
        <w:rPr>
          <w:lang w:val="en-GB"/>
        </w:rPr>
        <w:t xml:space="preserve">. </w:t>
      </w:r>
      <w:r w:rsidR="00BE3AD6">
        <w:rPr>
          <w:lang w:val="en-GB"/>
        </w:rPr>
        <w:t xml:space="preserve">Based on the </w:t>
      </w:r>
      <w:r w:rsidR="00A341EA">
        <w:rPr>
          <w:lang w:val="en-GB"/>
        </w:rPr>
        <w:t xml:space="preserve">2019 </w:t>
      </w:r>
      <w:r w:rsidR="00BE3AD6">
        <w:rPr>
          <w:lang w:val="en-GB"/>
        </w:rPr>
        <w:t xml:space="preserve">evaluation of the preceding </w:t>
      </w:r>
      <w:r w:rsidR="002A35BB">
        <w:rPr>
          <w:lang w:val="en-GB"/>
        </w:rPr>
        <w:t>country programme document</w:t>
      </w:r>
      <w:r w:rsidR="00BE3AD6">
        <w:rPr>
          <w:lang w:val="en-GB"/>
        </w:rPr>
        <w:t xml:space="preserve">, </w:t>
      </w:r>
      <w:r w:rsidR="00A341EA">
        <w:rPr>
          <w:lang w:val="en-GB"/>
        </w:rPr>
        <w:t xml:space="preserve">2017-2021, </w:t>
      </w:r>
      <w:r w:rsidR="00BE3AD6">
        <w:rPr>
          <w:lang w:val="en-GB"/>
        </w:rPr>
        <w:t>the country office has</w:t>
      </w:r>
      <w:r w:rsidR="00F73ABE" w:rsidRPr="00972B61">
        <w:rPr>
          <w:lang w:val="en-GB"/>
        </w:rPr>
        <w:t xml:space="preserve"> </w:t>
      </w:r>
      <w:r w:rsidR="005B5299" w:rsidRPr="00972B61">
        <w:rPr>
          <w:lang w:val="en-GB"/>
        </w:rPr>
        <w:t>consolidate</w:t>
      </w:r>
      <w:r w:rsidR="00BE3AD6">
        <w:rPr>
          <w:lang w:val="en-GB"/>
        </w:rPr>
        <w:t>d</w:t>
      </w:r>
      <w:r w:rsidR="005B5299" w:rsidRPr="00972B61">
        <w:rPr>
          <w:lang w:val="en-GB"/>
        </w:rPr>
        <w:t xml:space="preserve"> </w:t>
      </w:r>
      <w:r w:rsidR="00BE3AD6">
        <w:rPr>
          <w:lang w:val="en-GB"/>
        </w:rPr>
        <w:t xml:space="preserve">its </w:t>
      </w:r>
      <w:r w:rsidR="005B5299" w:rsidRPr="00972B61">
        <w:rPr>
          <w:lang w:val="en-GB"/>
        </w:rPr>
        <w:t>interventions</w:t>
      </w:r>
      <w:r w:rsidR="0052656F" w:rsidRPr="00972B61">
        <w:rPr>
          <w:lang w:val="en-GB"/>
        </w:rPr>
        <w:t xml:space="preserve"> and partners</w:t>
      </w:r>
      <w:r w:rsidR="00BE3AD6">
        <w:rPr>
          <w:lang w:val="en-GB"/>
        </w:rPr>
        <w:t xml:space="preserve">hips </w:t>
      </w:r>
      <w:r w:rsidR="003369B9">
        <w:rPr>
          <w:lang w:val="en-GB"/>
        </w:rPr>
        <w:t>t</w:t>
      </w:r>
      <w:r w:rsidR="00BE3AD6">
        <w:rPr>
          <w:lang w:val="en-GB"/>
        </w:rPr>
        <w:t>o</w:t>
      </w:r>
      <w:r w:rsidR="0052656F" w:rsidRPr="00972B61">
        <w:rPr>
          <w:lang w:val="en-GB"/>
        </w:rPr>
        <w:t xml:space="preserve"> </w:t>
      </w:r>
      <w:r w:rsidR="00F73ABE" w:rsidRPr="00972B61">
        <w:rPr>
          <w:lang w:val="en-GB"/>
        </w:rPr>
        <w:t>develop a more coherent programmatic approach that mainstreams poverty reduction, gender equality and climate and disaster resilience</w:t>
      </w:r>
      <w:r w:rsidR="003369B9">
        <w:rPr>
          <w:lang w:val="en-GB"/>
        </w:rPr>
        <w:t xml:space="preserve">. </w:t>
      </w:r>
    </w:p>
    <w:p w14:paraId="20937962" w14:textId="5BCB55A2" w:rsidR="00123C51" w:rsidRPr="00972B61" w:rsidRDefault="00BF7D41" w:rsidP="0083339E">
      <w:pPr>
        <w:pStyle w:val="ListParagraph"/>
        <w:numPr>
          <w:ilvl w:val="0"/>
          <w:numId w:val="35"/>
        </w:numPr>
        <w:spacing w:after="200" w:line="240" w:lineRule="exact"/>
        <w:ind w:right="1210" w:hanging="360"/>
        <w:jc w:val="both"/>
        <w:rPr>
          <w:b/>
          <w:bCs/>
          <w:sz w:val="24"/>
          <w:szCs w:val="24"/>
          <w:lang w:val="en-GB"/>
        </w:rPr>
      </w:pPr>
      <w:bookmarkStart w:id="3" w:name="_Hlk66784748"/>
      <w:r w:rsidRPr="00972B61">
        <w:rPr>
          <w:b/>
          <w:bCs/>
          <w:sz w:val="24"/>
          <w:szCs w:val="24"/>
          <w:lang w:val="en-GB"/>
        </w:rPr>
        <w:t xml:space="preserve">Programme </w:t>
      </w:r>
      <w:r w:rsidR="0083339E" w:rsidRPr="00972B61">
        <w:rPr>
          <w:b/>
          <w:bCs/>
          <w:sz w:val="24"/>
          <w:szCs w:val="24"/>
          <w:lang w:val="en-GB"/>
        </w:rPr>
        <w:t>p</w:t>
      </w:r>
      <w:r w:rsidRPr="00972B61">
        <w:rPr>
          <w:b/>
          <w:bCs/>
          <w:sz w:val="24"/>
          <w:szCs w:val="24"/>
          <w:lang w:val="en-GB"/>
        </w:rPr>
        <w:t xml:space="preserve">riorities and </w:t>
      </w:r>
      <w:r w:rsidR="0083339E" w:rsidRPr="00972B61">
        <w:rPr>
          <w:b/>
          <w:bCs/>
          <w:sz w:val="24"/>
          <w:szCs w:val="24"/>
          <w:lang w:val="en-GB"/>
        </w:rPr>
        <w:t>p</w:t>
      </w:r>
      <w:r w:rsidRPr="00972B61">
        <w:rPr>
          <w:b/>
          <w:bCs/>
          <w:sz w:val="24"/>
          <w:szCs w:val="24"/>
          <w:lang w:val="en-GB"/>
        </w:rPr>
        <w:t xml:space="preserve">artnerships </w:t>
      </w:r>
    </w:p>
    <w:p w14:paraId="42D62647" w14:textId="42F0DD60" w:rsidR="00123C51" w:rsidRPr="00972B61" w:rsidRDefault="00123C51" w:rsidP="0083339E">
      <w:pPr>
        <w:pStyle w:val="ListParagraph"/>
        <w:numPr>
          <w:ilvl w:val="0"/>
          <w:numId w:val="37"/>
        </w:numPr>
        <w:spacing w:after="120" w:line="240" w:lineRule="exact"/>
        <w:ind w:left="1080" w:right="1210" w:firstLine="0"/>
        <w:jc w:val="both"/>
        <w:rPr>
          <w:lang w:val="en-GB"/>
        </w:rPr>
      </w:pPr>
      <w:r w:rsidRPr="00972B61">
        <w:rPr>
          <w:lang w:val="en-GB"/>
        </w:rPr>
        <w:t xml:space="preserve">UNDP </w:t>
      </w:r>
      <w:r w:rsidR="00BD1CCB" w:rsidRPr="00972B61">
        <w:rPr>
          <w:lang w:val="en-GB"/>
        </w:rPr>
        <w:t xml:space="preserve">strategic </w:t>
      </w:r>
      <w:r w:rsidRPr="00972B61">
        <w:rPr>
          <w:lang w:val="en-GB"/>
        </w:rPr>
        <w:t>priorities</w:t>
      </w:r>
      <w:r w:rsidR="00BD1CCB" w:rsidRPr="00972B61">
        <w:rPr>
          <w:lang w:val="en-GB"/>
        </w:rPr>
        <w:t xml:space="preserve"> </w:t>
      </w:r>
      <w:r w:rsidRPr="00972B61">
        <w:rPr>
          <w:lang w:val="en-GB"/>
        </w:rPr>
        <w:t xml:space="preserve">focus on </w:t>
      </w:r>
      <w:r w:rsidR="00A16C46" w:rsidRPr="00972B61">
        <w:rPr>
          <w:lang w:val="en-GB"/>
        </w:rPr>
        <w:t xml:space="preserve">four </w:t>
      </w:r>
      <w:r w:rsidRPr="00972B61">
        <w:rPr>
          <w:lang w:val="en-GB"/>
        </w:rPr>
        <w:t xml:space="preserve">interrelated pillars where the </w:t>
      </w:r>
      <w:r w:rsidR="009E0E56">
        <w:rPr>
          <w:lang w:val="en-GB"/>
        </w:rPr>
        <w:t>c</w:t>
      </w:r>
      <w:r w:rsidR="00A76F5D" w:rsidRPr="00972B61">
        <w:rPr>
          <w:lang w:val="en-GB"/>
        </w:rPr>
        <w:t xml:space="preserve">ountry </w:t>
      </w:r>
      <w:r w:rsidR="009E0E56">
        <w:rPr>
          <w:lang w:val="en-GB"/>
        </w:rPr>
        <w:t>o</w:t>
      </w:r>
      <w:r w:rsidR="00A76F5D" w:rsidRPr="00972B61">
        <w:rPr>
          <w:lang w:val="en-GB"/>
        </w:rPr>
        <w:t>ffice</w:t>
      </w:r>
      <w:r w:rsidRPr="00972B61">
        <w:rPr>
          <w:lang w:val="en-GB"/>
        </w:rPr>
        <w:t xml:space="preserve"> has </w:t>
      </w:r>
      <w:r w:rsidR="003748B2" w:rsidRPr="00972B61">
        <w:rPr>
          <w:lang w:val="en-GB"/>
        </w:rPr>
        <w:t>comparative</w:t>
      </w:r>
      <w:r w:rsidRPr="00972B61">
        <w:rPr>
          <w:lang w:val="en-GB"/>
        </w:rPr>
        <w:t xml:space="preserve"> advantage and pla</w:t>
      </w:r>
      <w:r w:rsidR="00F860D5" w:rsidRPr="00972B61">
        <w:rPr>
          <w:lang w:val="en-GB"/>
        </w:rPr>
        <w:t xml:space="preserve">ys </w:t>
      </w:r>
      <w:r w:rsidRPr="00972B61">
        <w:rPr>
          <w:lang w:val="en-GB"/>
        </w:rPr>
        <w:t xml:space="preserve">a </w:t>
      </w:r>
      <w:r w:rsidR="003748B2" w:rsidRPr="00972B61">
        <w:rPr>
          <w:lang w:val="en-GB"/>
        </w:rPr>
        <w:t>leadership</w:t>
      </w:r>
      <w:r w:rsidRPr="00972B61">
        <w:rPr>
          <w:lang w:val="en-GB"/>
        </w:rPr>
        <w:t xml:space="preserve"> role</w:t>
      </w:r>
      <w:r w:rsidR="003369B9">
        <w:rPr>
          <w:lang w:val="en-GB"/>
        </w:rPr>
        <w:t xml:space="preserve">, </w:t>
      </w:r>
      <w:r w:rsidR="00C47653">
        <w:rPr>
          <w:lang w:val="en-GB"/>
        </w:rPr>
        <w:t xml:space="preserve">is </w:t>
      </w:r>
      <w:r w:rsidRPr="00972B61">
        <w:rPr>
          <w:lang w:val="en-GB"/>
        </w:rPr>
        <w:t>recogni</w:t>
      </w:r>
      <w:r w:rsidR="009E0E56">
        <w:rPr>
          <w:lang w:val="en-GB"/>
        </w:rPr>
        <w:t>z</w:t>
      </w:r>
      <w:r w:rsidRPr="00972B61">
        <w:rPr>
          <w:lang w:val="en-GB"/>
        </w:rPr>
        <w:t xml:space="preserve">ed by </w:t>
      </w:r>
      <w:r w:rsidR="009E0E56">
        <w:rPr>
          <w:lang w:val="en-GB"/>
        </w:rPr>
        <w:t xml:space="preserve">the </w:t>
      </w:r>
      <w:r w:rsidRPr="00972B61">
        <w:rPr>
          <w:lang w:val="en-GB"/>
        </w:rPr>
        <w:t>Government</w:t>
      </w:r>
      <w:r w:rsidR="00BD1CCB" w:rsidRPr="00972B61">
        <w:rPr>
          <w:lang w:val="en-GB"/>
        </w:rPr>
        <w:t xml:space="preserve"> </w:t>
      </w:r>
      <w:r w:rsidR="004656CF" w:rsidRPr="00972B61">
        <w:rPr>
          <w:lang w:val="en-GB"/>
        </w:rPr>
        <w:t>and align</w:t>
      </w:r>
      <w:r w:rsidR="00C47653">
        <w:rPr>
          <w:lang w:val="en-GB"/>
        </w:rPr>
        <w:t xml:space="preserve">ed to the </w:t>
      </w:r>
      <w:r w:rsidR="004656CF" w:rsidRPr="00972B61">
        <w:rPr>
          <w:lang w:val="en-GB"/>
        </w:rPr>
        <w:t>UNSDCF outcomes</w:t>
      </w:r>
      <w:r w:rsidR="00BD1CCB" w:rsidRPr="00972B61">
        <w:rPr>
          <w:lang w:val="en-GB"/>
        </w:rPr>
        <w:t>:</w:t>
      </w:r>
      <w:r w:rsidR="004656CF" w:rsidRPr="00972B61">
        <w:rPr>
          <w:lang w:val="en-GB"/>
        </w:rPr>
        <w:t xml:space="preserve"> </w:t>
      </w:r>
    </w:p>
    <w:p w14:paraId="4D644EAF" w14:textId="6C544729" w:rsidR="00515613" w:rsidRPr="00972B61" w:rsidRDefault="009E0E56" w:rsidP="00F7207E">
      <w:pPr>
        <w:pStyle w:val="ListParagraph"/>
        <w:numPr>
          <w:ilvl w:val="0"/>
          <w:numId w:val="43"/>
        </w:numPr>
        <w:spacing w:after="120" w:line="240" w:lineRule="exact"/>
        <w:ind w:left="1800" w:right="1210"/>
        <w:rPr>
          <w:lang w:val="en-GB"/>
        </w:rPr>
      </w:pPr>
      <w:bookmarkStart w:id="4" w:name="_Hlk84425888"/>
      <w:bookmarkStart w:id="5" w:name="_Hlk78450724"/>
      <w:r>
        <w:rPr>
          <w:lang w:val="en-GB"/>
        </w:rPr>
        <w:t>h</w:t>
      </w:r>
      <w:r w:rsidR="00655D1A" w:rsidRPr="00972B61">
        <w:rPr>
          <w:lang w:val="en-GB"/>
        </w:rPr>
        <w:t>uman development</w:t>
      </w:r>
      <w:r w:rsidR="00F833A4" w:rsidRPr="00972B61">
        <w:rPr>
          <w:lang w:val="en-GB"/>
        </w:rPr>
        <w:t>,</w:t>
      </w:r>
      <w:r w:rsidR="004656CF" w:rsidRPr="00972B61">
        <w:rPr>
          <w:lang w:val="en-GB"/>
        </w:rPr>
        <w:t xml:space="preserve"> multi</w:t>
      </w:r>
      <w:r w:rsidR="00F833A4" w:rsidRPr="00972B61">
        <w:rPr>
          <w:lang w:val="en-GB"/>
        </w:rPr>
        <w:t>-</w:t>
      </w:r>
      <w:r w:rsidR="004656CF" w:rsidRPr="00972B61">
        <w:rPr>
          <w:lang w:val="en-GB"/>
        </w:rPr>
        <w:t xml:space="preserve">dimensional poverty, gender </w:t>
      </w:r>
      <w:r w:rsidR="00F833A4" w:rsidRPr="00972B61">
        <w:rPr>
          <w:lang w:val="en-GB"/>
        </w:rPr>
        <w:t>equality</w:t>
      </w:r>
      <w:r w:rsidR="004656CF" w:rsidRPr="00972B61">
        <w:rPr>
          <w:lang w:val="en-GB"/>
        </w:rPr>
        <w:t xml:space="preserve"> and public health management</w:t>
      </w:r>
      <w:r w:rsidR="00F833A4" w:rsidRPr="00972B61">
        <w:rPr>
          <w:lang w:val="en-GB"/>
        </w:rPr>
        <w:t xml:space="preserve"> </w:t>
      </w:r>
      <w:bookmarkEnd w:id="4"/>
      <w:r w:rsidR="00F833A4" w:rsidRPr="00972B61">
        <w:rPr>
          <w:lang w:val="en-GB"/>
        </w:rPr>
        <w:t>(</w:t>
      </w:r>
      <w:r>
        <w:rPr>
          <w:lang w:val="en-GB"/>
        </w:rPr>
        <w:t>o</w:t>
      </w:r>
      <w:r w:rsidR="00F833A4" w:rsidRPr="00972B61">
        <w:rPr>
          <w:lang w:val="en-GB"/>
        </w:rPr>
        <w:t>utcome 1.1)</w:t>
      </w:r>
      <w:r>
        <w:rPr>
          <w:lang w:val="en-GB"/>
        </w:rPr>
        <w:t>;</w:t>
      </w:r>
    </w:p>
    <w:p w14:paraId="48AB00AD" w14:textId="06060439" w:rsidR="00655D1A" w:rsidRPr="00972B61" w:rsidRDefault="00DA60CB" w:rsidP="00F7207E">
      <w:pPr>
        <w:pStyle w:val="ListParagraph"/>
        <w:numPr>
          <w:ilvl w:val="0"/>
          <w:numId w:val="43"/>
        </w:numPr>
        <w:spacing w:after="120" w:line="240" w:lineRule="exact"/>
        <w:ind w:left="1800" w:right="1210"/>
        <w:rPr>
          <w:lang w:val="en-GB"/>
        </w:rPr>
      </w:pPr>
      <w:bookmarkStart w:id="6" w:name="_Hlk84426956"/>
      <w:r>
        <w:rPr>
          <w:lang w:val="en-GB"/>
        </w:rPr>
        <w:t>i</w:t>
      </w:r>
      <w:r w:rsidR="00BD1CCB" w:rsidRPr="00972B61">
        <w:rPr>
          <w:lang w:val="en-GB"/>
        </w:rPr>
        <w:t>nclusive econ</w:t>
      </w:r>
      <w:r w:rsidR="00F833A4" w:rsidRPr="00972B61">
        <w:rPr>
          <w:lang w:val="en-GB"/>
        </w:rPr>
        <w:t>omic recovery and diversification</w:t>
      </w:r>
      <w:r w:rsidR="00C267E8" w:rsidRPr="00972B61">
        <w:rPr>
          <w:lang w:val="en-GB"/>
        </w:rPr>
        <w:t>,</w:t>
      </w:r>
      <w:r w:rsidR="00BD1CCB" w:rsidRPr="00972B61">
        <w:rPr>
          <w:lang w:val="en-GB"/>
        </w:rPr>
        <w:t xml:space="preserve"> and </w:t>
      </w:r>
      <w:r w:rsidR="00F833A4" w:rsidRPr="00972B61">
        <w:rPr>
          <w:lang w:val="en-GB"/>
        </w:rPr>
        <w:t xml:space="preserve">sustainable livelihoods </w:t>
      </w:r>
      <w:bookmarkEnd w:id="6"/>
      <w:r w:rsidR="00F833A4" w:rsidRPr="00972B61">
        <w:rPr>
          <w:lang w:val="en-GB"/>
        </w:rPr>
        <w:t>(</w:t>
      </w:r>
      <w:r>
        <w:rPr>
          <w:lang w:val="en-GB"/>
        </w:rPr>
        <w:t>o</w:t>
      </w:r>
      <w:r w:rsidR="00F833A4" w:rsidRPr="00972B61">
        <w:rPr>
          <w:lang w:val="en-GB"/>
        </w:rPr>
        <w:t>utcome 2.1)</w:t>
      </w:r>
      <w:r>
        <w:rPr>
          <w:lang w:val="en-GB"/>
        </w:rPr>
        <w:t>;</w:t>
      </w:r>
    </w:p>
    <w:p w14:paraId="2C875347" w14:textId="3FBB119C" w:rsidR="00123C51" w:rsidRPr="00972B61" w:rsidRDefault="00DA60CB" w:rsidP="00F7207E">
      <w:pPr>
        <w:pStyle w:val="ListParagraph"/>
        <w:numPr>
          <w:ilvl w:val="0"/>
          <w:numId w:val="43"/>
        </w:numPr>
        <w:spacing w:after="120" w:line="240" w:lineRule="exact"/>
        <w:ind w:left="1800" w:right="1210"/>
        <w:jc w:val="both"/>
        <w:rPr>
          <w:lang w:val="en-GB"/>
        </w:rPr>
      </w:pPr>
      <w:r>
        <w:rPr>
          <w:lang w:val="en-GB"/>
        </w:rPr>
        <w:lastRenderedPageBreak/>
        <w:t>c</w:t>
      </w:r>
      <w:r w:rsidR="00515613" w:rsidRPr="00972B61">
        <w:rPr>
          <w:lang w:val="en-GB"/>
        </w:rPr>
        <w:t>limate resilience and sustainable use of natural resources</w:t>
      </w:r>
      <w:r w:rsidR="00F833A4" w:rsidRPr="00972B61">
        <w:rPr>
          <w:lang w:val="en-GB"/>
        </w:rPr>
        <w:t xml:space="preserve"> (</w:t>
      </w:r>
      <w:r>
        <w:rPr>
          <w:lang w:val="en-GB"/>
        </w:rPr>
        <w:t>o</w:t>
      </w:r>
      <w:r w:rsidR="00F833A4" w:rsidRPr="00972B61">
        <w:rPr>
          <w:lang w:val="en-GB"/>
        </w:rPr>
        <w:t>utcome 3.1)</w:t>
      </w:r>
      <w:r w:rsidR="00123C51" w:rsidRPr="00972B61">
        <w:rPr>
          <w:lang w:val="en-GB"/>
        </w:rPr>
        <w:t xml:space="preserve">; </w:t>
      </w:r>
    </w:p>
    <w:p w14:paraId="16D7DF47" w14:textId="5F628EB8" w:rsidR="00FF0EF0" w:rsidRPr="00972B61" w:rsidRDefault="00DA60CB" w:rsidP="00F7207E">
      <w:pPr>
        <w:pStyle w:val="ListParagraph"/>
        <w:numPr>
          <w:ilvl w:val="0"/>
          <w:numId w:val="43"/>
        </w:numPr>
        <w:spacing w:after="120" w:line="240" w:lineRule="exact"/>
        <w:ind w:left="1800" w:right="1210"/>
        <w:jc w:val="both"/>
        <w:rPr>
          <w:lang w:val="en-GB"/>
        </w:rPr>
      </w:pPr>
      <w:bookmarkStart w:id="7" w:name="_Hlk84432194"/>
      <w:r>
        <w:rPr>
          <w:lang w:val="en-GB"/>
        </w:rPr>
        <w:t>i</w:t>
      </w:r>
      <w:r w:rsidR="00123C51" w:rsidRPr="00972B61">
        <w:rPr>
          <w:lang w:val="en-GB"/>
        </w:rPr>
        <w:t xml:space="preserve">nclusive </w:t>
      </w:r>
      <w:r w:rsidR="00C267E8" w:rsidRPr="00972B61">
        <w:rPr>
          <w:lang w:val="en-GB"/>
        </w:rPr>
        <w:t>and decentrali</w:t>
      </w:r>
      <w:r>
        <w:rPr>
          <w:lang w:val="en-GB"/>
        </w:rPr>
        <w:t>z</w:t>
      </w:r>
      <w:r w:rsidR="00C267E8" w:rsidRPr="00972B61">
        <w:rPr>
          <w:lang w:val="en-GB"/>
        </w:rPr>
        <w:t xml:space="preserve">ed </w:t>
      </w:r>
      <w:r w:rsidR="00123C51" w:rsidRPr="00972B61">
        <w:rPr>
          <w:lang w:val="en-GB"/>
        </w:rPr>
        <w:t>governance</w:t>
      </w:r>
      <w:bookmarkEnd w:id="5"/>
      <w:r w:rsidR="00DF32C2" w:rsidRPr="00972B61">
        <w:rPr>
          <w:lang w:val="en-GB"/>
        </w:rPr>
        <w:t>, justice and</w:t>
      </w:r>
      <w:r w:rsidR="00C267E8" w:rsidRPr="00972B61">
        <w:rPr>
          <w:lang w:val="en-GB"/>
        </w:rPr>
        <w:t xml:space="preserve"> peace and social cohesion (</w:t>
      </w:r>
      <w:r>
        <w:rPr>
          <w:lang w:val="en-GB"/>
        </w:rPr>
        <w:t>o</w:t>
      </w:r>
      <w:r w:rsidR="00C267E8" w:rsidRPr="00972B61">
        <w:rPr>
          <w:lang w:val="en-GB"/>
        </w:rPr>
        <w:t>utcome 4.1)</w:t>
      </w:r>
      <w:r>
        <w:rPr>
          <w:lang w:val="en-GB"/>
        </w:rPr>
        <w:t>.</w:t>
      </w:r>
    </w:p>
    <w:bookmarkEnd w:id="7"/>
    <w:p w14:paraId="0538702B" w14:textId="01FC2328" w:rsidR="00C43B35" w:rsidRPr="00972B61" w:rsidRDefault="00FF0EF0" w:rsidP="0083339E">
      <w:pPr>
        <w:pStyle w:val="ListParagraph"/>
        <w:numPr>
          <w:ilvl w:val="0"/>
          <w:numId w:val="37"/>
        </w:numPr>
        <w:spacing w:after="120" w:line="240" w:lineRule="exact"/>
        <w:ind w:left="1080" w:right="1210" w:firstLine="0"/>
        <w:jc w:val="both"/>
        <w:rPr>
          <w:lang w:val="en-GB"/>
        </w:rPr>
      </w:pPr>
      <w:r w:rsidRPr="00972B61">
        <w:rPr>
          <w:lang w:val="en-GB"/>
        </w:rPr>
        <w:t>The in</w:t>
      </w:r>
      <w:r w:rsidR="00C43B35" w:rsidRPr="00972B61">
        <w:rPr>
          <w:lang w:val="en-GB"/>
        </w:rPr>
        <w:t>ter</w:t>
      </w:r>
      <w:r w:rsidRPr="00972B61">
        <w:rPr>
          <w:lang w:val="en-GB"/>
        </w:rPr>
        <w:t xml:space="preserve">dependent </w:t>
      </w:r>
      <w:r w:rsidR="00C43B35" w:rsidRPr="00972B61">
        <w:rPr>
          <w:lang w:val="en-GB"/>
        </w:rPr>
        <w:t xml:space="preserve">and self-reinforcing </w:t>
      </w:r>
      <w:r w:rsidRPr="00972B61">
        <w:rPr>
          <w:lang w:val="en-GB"/>
        </w:rPr>
        <w:t xml:space="preserve">nature of these themes is </w:t>
      </w:r>
      <w:r w:rsidR="00C43B35" w:rsidRPr="00972B61">
        <w:rPr>
          <w:lang w:val="en-GB"/>
        </w:rPr>
        <w:t>underpinned</w:t>
      </w:r>
      <w:r w:rsidRPr="00972B61">
        <w:rPr>
          <w:lang w:val="en-GB"/>
        </w:rPr>
        <w:t xml:space="preserve"> </w:t>
      </w:r>
      <w:r w:rsidR="00C43B35" w:rsidRPr="00972B61">
        <w:rPr>
          <w:lang w:val="en-GB"/>
        </w:rPr>
        <w:t xml:space="preserve">in </w:t>
      </w:r>
      <w:r w:rsidRPr="00972B61">
        <w:rPr>
          <w:lang w:val="en-GB"/>
        </w:rPr>
        <w:t xml:space="preserve">the theory of change: progress on gender equality is a necessary condition for achieving the </w:t>
      </w:r>
      <w:r w:rsidR="00DA60CB">
        <w:rPr>
          <w:lang w:val="en-GB"/>
        </w:rPr>
        <w:t>Sustainable Development Goals</w:t>
      </w:r>
      <w:r w:rsidRPr="00972B61">
        <w:rPr>
          <w:lang w:val="en-GB"/>
        </w:rPr>
        <w:t>. Critical opportunities l</w:t>
      </w:r>
      <w:r w:rsidR="00B94998" w:rsidRPr="00972B61">
        <w:rPr>
          <w:lang w:val="en-GB"/>
        </w:rPr>
        <w:t>ie</w:t>
      </w:r>
      <w:r w:rsidRPr="00972B61">
        <w:rPr>
          <w:lang w:val="en-GB"/>
        </w:rPr>
        <w:t xml:space="preserve"> in </w:t>
      </w:r>
      <w:r w:rsidR="0079596D" w:rsidRPr="00972B61">
        <w:rPr>
          <w:lang w:val="en-GB"/>
        </w:rPr>
        <w:t>enforcing gender-sensitive legislation and empowering women</w:t>
      </w:r>
      <w:r w:rsidRPr="00972B61">
        <w:rPr>
          <w:lang w:val="en-GB"/>
        </w:rPr>
        <w:t xml:space="preserve">, particularly in rural areas, </w:t>
      </w:r>
      <w:r w:rsidR="00DA60CB">
        <w:rPr>
          <w:lang w:val="en-GB"/>
        </w:rPr>
        <w:t xml:space="preserve">by </w:t>
      </w:r>
      <w:r w:rsidR="009A6B6E" w:rsidRPr="00972B61">
        <w:rPr>
          <w:lang w:val="en-GB"/>
        </w:rPr>
        <w:t xml:space="preserve">strengthening </w:t>
      </w:r>
      <w:r w:rsidR="00741E5F" w:rsidRPr="00972B61">
        <w:rPr>
          <w:lang w:val="en-GB"/>
        </w:rPr>
        <w:t>access to services</w:t>
      </w:r>
      <w:r w:rsidRPr="00972B61">
        <w:rPr>
          <w:lang w:val="en-GB"/>
        </w:rPr>
        <w:t xml:space="preserve"> </w:t>
      </w:r>
      <w:r w:rsidR="008E6C16" w:rsidRPr="00972B61">
        <w:rPr>
          <w:lang w:val="en-GB"/>
        </w:rPr>
        <w:t>(seriously strained by the COVID-19 pandemic)</w:t>
      </w:r>
      <w:r w:rsidRPr="00972B61">
        <w:rPr>
          <w:lang w:val="en-GB"/>
        </w:rPr>
        <w:t xml:space="preserve"> and through economic empowerment</w:t>
      </w:r>
      <w:r w:rsidR="009A6B6E" w:rsidRPr="00972B61">
        <w:rPr>
          <w:lang w:val="en-GB"/>
        </w:rPr>
        <w:t>,</w:t>
      </w:r>
      <w:r w:rsidRPr="00972B61">
        <w:rPr>
          <w:lang w:val="en-GB"/>
        </w:rPr>
        <w:t xml:space="preserve"> </w:t>
      </w:r>
      <w:r w:rsidR="001A7A33" w:rsidRPr="00972B61">
        <w:rPr>
          <w:lang w:val="en-GB"/>
        </w:rPr>
        <w:t>a</w:t>
      </w:r>
      <w:r w:rsidRPr="00972B61">
        <w:rPr>
          <w:lang w:val="en-GB"/>
        </w:rPr>
        <w:t xml:space="preserve">s a </w:t>
      </w:r>
      <w:r w:rsidR="00B94998" w:rsidRPr="00972B61">
        <w:rPr>
          <w:lang w:val="en-GB"/>
        </w:rPr>
        <w:t>prerequisite</w:t>
      </w:r>
      <w:r w:rsidRPr="00972B61">
        <w:rPr>
          <w:lang w:val="en-GB"/>
        </w:rPr>
        <w:t xml:space="preserve"> to </w:t>
      </w:r>
      <w:r w:rsidR="00DA60CB">
        <w:rPr>
          <w:lang w:val="en-GB"/>
        </w:rPr>
        <w:t xml:space="preserve">women’s </w:t>
      </w:r>
      <w:r w:rsidRPr="00972B61">
        <w:rPr>
          <w:lang w:val="en-GB"/>
        </w:rPr>
        <w:t>greater participation in decision-making</w:t>
      </w:r>
      <w:r w:rsidR="00B94998" w:rsidRPr="00972B61">
        <w:rPr>
          <w:lang w:val="en-GB"/>
        </w:rPr>
        <w:t>.</w:t>
      </w:r>
      <w:r w:rsidR="00CD555A" w:rsidRPr="00972B61">
        <w:rPr>
          <w:lang w:val="en-GB"/>
        </w:rPr>
        <w:t xml:space="preserve"> Sustainable, transparent and equitable management of natural resource wealth will support inclusive economic transformation that will benefit poor and vulnerable communities.</w:t>
      </w:r>
      <w:r w:rsidR="00B94998" w:rsidRPr="00972B61">
        <w:rPr>
          <w:lang w:val="en-GB"/>
        </w:rPr>
        <w:t xml:space="preserve"> </w:t>
      </w:r>
      <w:r w:rsidR="00B7436A" w:rsidRPr="00972B61">
        <w:rPr>
          <w:lang w:val="en-GB"/>
        </w:rPr>
        <w:t>Area</w:t>
      </w:r>
      <w:r w:rsidR="00DA60CB">
        <w:rPr>
          <w:lang w:val="en-GB"/>
        </w:rPr>
        <w:t>-</w:t>
      </w:r>
      <w:r w:rsidR="00B7436A" w:rsidRPr="00972B61">
        <w:rPr>
          <w:lang w:val="en-GB"/>
        </w:rPr>
        <w:t>based interventions to s</w:t>
      </w:r>
      <w:r w:rsidR="00C43B35" w:rsidRPr="00972B61">
        <w:rPr>
          <w:lang w:val="en-GB"/>
        </w:rPr>
        <w:t xml:space="preserve">trengthen community resilience and recovery capacity will reduce vulnerability to climatic hazards, conflict and economic shocks, critical to lifting people out of poverty but </w:t>
      </w:r>
      <w:r w:rsidR="00DA60CB">
        <w:rPr>
          <w:lang w:val="en-GB"/>
        </w:rPr>
        <w:t xml:space="preserve">which </w:t>
      </w:r>
      <w:r w:rsidR="00C43B35" w:rsidRPr="00972B61">
        <w:rPr>
          <w:lang w:val="en-GB"/>
        </w:rPr>
        <w:t>requires an environment of inclusion, social cohesion and stability to facilitate meaningful participation. Th</w:t>
      </w:r>
      <w:r w:rsidR="00DA60CB">
        <w:rPr>
          <w:lang w:val="en-GB"/>
        </w:rPr>
        <w:t xml:space="preserve">erefore, </w:t>
      </w:r>
      <w:r w:rsidR="00C43B35" w:rsidRPr="00972B61">
        <w:rPr>
          <w:lang w:val="en-GB"/>
        </w:rPr>
        <w:t>responsive, inclusive and accountable governance, that consolidate</w:t>
      </w:r>
      <w:r w:rsidR="009A6B6E" w:rsidRPr="00972B61">
        <w:rPr>
          <w:lang w:val="en-GB"/>
        </w:rPr>
        <w:t>s</w:t>
      </w:r>
      <w:r w:rsidR="00C43B35" w:rsidRPr="00972B61">
        <w:rPr>
          <w:lang w:val="en-GB"/>
        </w:rPr>
        <w:t xml:space="preserve"> efficiency and transparency</w:t>
      </w:r>
      <w:r w:rsidR="009A6B6E" w:rsidRPr="00972B61">
        <w:rPr>
          <w:lang w:val="en-GB"/>
        </w:rPr>
        <w:t xml:space="preserve">, </w:t>
      </w:r>
      <w:r w:rsidR="00C43B35" w:rsidRPr="00972B61">
        <w:rPr>
          <w:lang w:val="en-GB"/>
        </w:rPr>
        <w:t>build</w:t>
      </w:r>
      <w:r w:rsidR="00573E48" w:rsidRPr="00972B61">
        <w:rPr>
          <w:lang w:val="en-GB"/>
        </w:rPr>
        <w:t>s</w:t>
      </w:r>
      <w:r w:rsidR="00C43B35" w:rsidRPr="00972B61">
        <w:rPr>
          <w:lang w:val="en-GB"/>
        </w:rPr>
        <w:t xml:space="preserve"> trust</w:t>
      </w:r>
      <w:r w:rsidR="005C3550" w:rsidRPr="00972B61">
        <w:rPr>
          <w:lang w:val="en-GB"/>
        </w:rPr>
        <w:t>, protects human rights</w:t>
      </w:r>
      <w:r w:rsidR="00BD163A" w:rsidRPr="00972B61">
        <w:rPr>
          <w:lang w:val="en-GB"/>
        </w:rPr>
        <w:t xml:space="preserve"> </w:t>
      </w:r>
      <w:r w:rsidR="00573E48" w:rsidRPr="00972B61">
        <w:rPr>
          <w:lang w:val="en-GB"/>
        </w:rPr>
        <w:t xml:space="preserve">and </w:t>
      </w:r>
      <w:r w:rsidR="00C43B35" w:rsidRPr="00972B61">
        <w:rPr>
          <w:lang w:val="en-GB"/>
        </w:rPr>
        <w:t>promote</w:t>
      </w:r>
      <w:r w:rsidR="009A6B6E" w:rsidRPr="00972B61">
        <w:rPr>
          <w:lang w:val="en-GB"/>
        </w:rPr>
        <w:t>s</w:t>
      </w:r>
      <w:r w:rsidR="00C43B35" w:rsidRPr="00972B61">
        <w:rPr>
          <w:lang w:val="en-GB"/>
        </w:rPr>
        <w:t xml:space="preserve"> social cohesion </w:t>
      </w:r>
      <w:r w:rsidR="009A6B6E" w:rsidRPr="00972B61">
        <w:rPr>
          <w:lang w:val="en-GB"/>
        </w:rPr>
        <w:t xml:space="preserve">is key to </w:t>
      </w:r>
      <w:r w:rsidR="00C43B35" w:rsidRPr="00972B61">
        <w:rPr>
          <w:lang w:val="en-GB"/>
        </w:rPr>
        <w:t>reducing conflict and extremism and sustaining peac</w:t>
      </w:r>
      <w:r w:rsidR="00F401CA" w:rsidRPr="00972B61">
        <w:rPr>
          <w:lang w:val="en-GB"/>
        </w:rPr>
        <w:t>eful</w:t>
      </w:r>
      <w:r w:rsidR="00241AC7" w:rsidRPr="00972B61">
        <w:rPr>
          <w:lang w:val="en-GB"/>
        </w:rPr>
        <w:t>,</w:t>
      </w:r>
      <w:r w:rsidR="00F401CA" w:rsidRPr="00972B61">
        <w:rPr>
          <w:lang w:val="en-GB"/>
        </w:rPr>
        <w:t xml:space="preserve"> </w:t>
      </w:r>
      <w:r w:rsidR="009A6B6E" w:rsidRPr="00972B61">
        <w:rPr>
          <w:lang w:val="en-GB"/>
        </w:rPr>
        <w:t>inclusive development</w:t>
      </w:r>
      <w:r w:rsidR="00C43B35" w:rsidRPr="00972B61">
        <w:rPr>
          <w:lang w:val="en-GB"/>
        </w:rPr>
        <w:t xml:space="preserve">. </w:t>
      </w:r>
    </w:p>
    <w:p w14:paraId="359EA04C" w14:textId="7E57BBBF" w:rsidR="002F5EBF" w:rsidRPr="00972B61" w:rsidRDefault="00123C51" w:rsidP="0083339E">
      <w:pPr>
        <w:pStyle w:val="ListParagraph"/>
        <w:numPr>
          <w:ilvl w:val="0"/>
          <w:numId w:val="37"/>
        </w:numPr>
        <w:spacing w:after="120" w:line="240" w:lineRule="exact"/>
        <w:ind w:left="1080" w:right="1210" w:firstLine="0"/>
        <w:jc w:val="both"/>
        <w:rPr>
          <w:lang w:val="en-GB"/>
        </w:rPr>
      </w:pPr>
      <w:r w:rsidRPr="00972B61">
        <w:rPr>
          <w:lang w:val="en-GB"/>
        </w:rPr>
        <w:t>The</w:t>
      </w:r>
      <w:r w:rsidR="008E6C16" w:rsidRPr="00972B61">
        <w:rPr>
          <w:lang w:val="en-GB"/>
        </w:rPr>
        <w:t xml:space="preserve"> change strategy and</w:t>
      </w:r>
      <w:r w:rsidRPr="00972B61">
        <w:rPr>
          <w:lang w:val="en-GB"/>
        </w:rPr>
        <w:t xml:space="preserve"> priorit</w:t>
      </w:r>
      <w:r w:rsidR="00C267E8" w:rsidRPr="00972B61">
        <w:rPr>
          <w:lang w:val="en-GB"/>
        </w:rPr>
        <w:t>ies</w:t>
      </w:r>
      <w:r w:rsidR="008E6C16" w:rsidRPr="00972B61">
        <w:rPr>
          <w:lang w:val="en-GB"/>
        </w:rPr>
        <w:t xml:space="preserve"> are</w:t>
      </w:r>
      <w:r w:rsidR="00C267E8" w:rsidRPr="00972B61">
        <w:rPr>
          <w:lang w:val="en-GB"/>
        </w:rPr>
        <w:t xml:space="preserve"> </w:t>
      </w:r>
      <w:r w:rsidR="00D52039">
        <w:rPr>
          <w:lang w:val="en-GB"/>
        </w:rPr>
        <w:t xml:space="preserve">anchored on the </w:t>
      </w:r>
      <w:r w:rsidR="008E6C16" w:rsidRPr="00972B61">
        <w:rPr>
          <w:lang w:val="en-GB"/>
        </w:rPr>
        <w:t>principles of human</w:t>
      </w:r>
      <w:r w:rsidR="00F973BE">
        <w:rPr>
          <w:lang w:val="en-GB"/>
        </w:rPr>
        <w:t xml:space="preserve"> </w:t>
      </w:r>
      <w:r w:rsidR="008E6C16" w:rsidRPr="00972B61">
        <w:rPr>
          <w:lang w:val="en-GB"/>
        </w:rPr>
        <w:t>rights, non-discrimination, leaving no</w:t>
      </w:r>
      <w:r w:rsidR="00F973BE">
        <w:rPr>
          <w:lang w:val="en-GB"/>
        </w:rPr>
        <w:t xml:space="preserve"> </w:t>
      </w:r>
      <w:r w:rsidR="008E6C16" w:rsidRPr="00972B61">
        <w:rPr>
          <w:lang w:val="en-GB"/>
        </w:rPr>
        <w:t>one behind and buildin</w:t>
      </w:r>
      <w:r w:rsidR="001A7A33" w:rsidRPr="00972B61">
        <w:rPr>
          <w:lang w:val="en-GB"/>
        </w:rPr>
        <w:t xml:space="preserve">g forward </w:t>
      </w:r>
      <w:r w:rsidR="008E6C16" w:rsidRPr="00972B61">
        <w:rPr>
          <w:lang w:val="en-GB"/>
        </w:rPr>
        <w:t xml:space="preserve">better. </w:t>
      </w:r>
      <w:r w:rsidR="00D52039">
        <w:rPr>
          <w:lang w:val="en-GB"/>
        </w:rPr>
        <w:t>T</w:t>
      </w:r>
      <w:r w:rsidR="00B2225C" w:rsidRPr="00972B61">
        <w:rPr>
          <w:lang w:val="en-GB"/>
        </w:rPr>
        <w:t xml:space="preserve">he </w:t>
      </w:r>
      <w:r w:rsidR="00F973BE">
        <w:rPr>
          <w:lang w:val="en-GB"/>
        </w:rPr>
        <w:t>country programme</w:t>
      </w:r>
      <w:r w:rsidR="007E7DE4">
        <w:rPr>
          <w:lang w:val="en-GB"/>
        </w:rPr>
        <w:t xml:space="preserve"> was developed through a consultative process and</w:t>
      </w:r>
      <w:r w:rsidR="00F973BE">
        <w:rPr>
          <w:lang w:val="en-GB"/>
        </w:rPr>
        <w:t xml:space="preserve"> </w:t>
      </w:r>
      <w:r w:rsidR="00B2225C" w:rsidRPr="00972B61">
        <w:rPr>
          <w:lang w:val="en-GB"/>
        </w:rPr>
        <w:t xml:space="preserve">is well aligned with the priorities of the </w:t>
      </w:r>
      <w:r w:rsidR="008E6C16" w:rsidRPr="00972B61">
        <w:rPr>
          <w:lang w:val="en-GB"/>
        </w:rPr>
        <w:t>F</w:t>
      </w:r>
      <w:r w:rsidRPr="00972B61">
        <w:rPr>
          <w:lang w:val="en-GB"/>
        </w:rPr>
        <w:t xml:space="preserve">ive-year </w:t>
      </w:r>
      <w:r w:rsidR="008E6C16" w:rsidRPr="00972B61">
        <w:rPr>
          <w:lang w:val="en-GB"/>
        </w:rPr>
        <w:t>P</w:t>
      </w:r>
      <w:r w:rsidRPr="00972B61">
        <w:rPr>
          <w:lang w:val="en-GB"/>
        </w:rPr>
        <w:t>rogramme</w:t>
      </w:r>
      <w:r w:rsidR="00F973BE">
        <w:rPr>
          <w:lang w:val="en-GB"/>
        </w:rPr>
        <w:t xml:space="preserve">, </w:t>
      </w:r>
      <w:r w:rsidRPr="00972B61">
        <w:rPr>
          <w:lang w:val="en-GB"/>
        </w:rPr>
        <w:t>2020-2024</w:t>
      </w:r>
      <w:r w:rsidR="00F973BE">
        <w:rPr>
          <w:lang w:val="en-GB"/>
        </w:rPr>
        <w:t xml:space="preserve">, </w:t>
      </w:r>
      <w:r w:rsidR="002F5EBF" w:rsidRPr="00972B61">
        <w:rPr>
          <w:lang w:val="en-GB"/>
        </w:rPr>
        <w:t xml:space="preserve">and the three pillars of the </w:t>
      </w:r>
      <w:r w:rsidR="00F973BE">
        <w:rPr>
          <w:lang w:val="en-GB"/>
        </w:rPr>
        <w:t xml:space="preserve">country </w:t>
      </w:r>
      <w:r w:rsidR="002F5EBF" w:rsidRPr="00972B61">
        <w:rPr>
          <w:lang w:val="en-GB"/>
        </w:rPr>
        <w:t xml:space="preserve">programme’s </w:t>
      </w:r>
      <w:r w:rsidR="00F973BE">
        <w:rPr>
          <w:lang w:val="en-GB"/>
        </w:rPr>
        <w:t>g</w:t>
      </w:r>
      <w:r w:rsidR="002F5EBF" w:rsidRPr="00972B61">
        <w:rPr>
          <w:lang w:val="en-GB"/>
        </w:rPr>
        <w:t xml:space="preserve">overnance component. </w:t>
      </w:r>
      <w:r w:rsidRPr="00972B61">
        <w:rPr>
          <w:lang w:val="en-GB"/>
        </w:rPr>
        <w:t>Moreover</w:t>
      </w:r>
      <w:r w:rsidR="003748B2" w:rsidRPr="00972B61">
        <w:rPr>
          <w:lang w:val="en-GB"/>
        </w:rPr>
        <w:t>,</w:t>
      </w:r>
      <w:r w:rsidRPr="00972B61">
        <w:rPr>
          <w:lang w:val="en-GB"/>
        </w:rPr>
        <w:t xml:space="preserve"> </w:t>
      </w:r>
      <w:r w:rsidR="002F5EBF" w:rsidRPr="00972B61">
        <w:rPr>
          <w:lang w:val="en-GB"/>
        </w:rPr>
        <w:t xml:space="preserve">they align with the three development settings of </w:t>
      </w:r>
      <w:r w:rsidR="00F973BE">
        <w:rPr>
          <w:lang w:val="en-GB"/>
        </w:rPr>
        <w:t xml:space="preserve">the </w:t>
      </w:r>
      <w:r w:rsidR="002F5EBF" w:rsidRPr="00972B61">
        <w:rPr>
          <w:lang w:val="en-GB"/>
        </w:rPr>
        <w:t>UNDP Strategic Plan</w:t>
      </w:r>
      <w:r w:rsidR="00F973BE">
        <w:rPr>
          <w:lang w:val="en-GB"/>
        </w:rPr>
        <w:t xml:space="preserve">, </w:t>
      </w:r>
      <w:r w:rsidR="002F5EBF" w:rsidRPr="00972B61">
        <w:rPr>
          <w:lang w:val="en-GB"/>
        </w:rPr>
        <w:t>2022-2025</w:t>
      </w:r>
      <w:r w:rsidR="00F973BE">
        <w:rPr>
          <w:lang w:val="en-GB"/>
        </w:rPr>
        <w:t>,</w:t>
      </w:r>
      <w:r w:rsidR="002F5EBF" w:rsidRPr="00972B61">
        <w:rPr>
          <w:rStyle w:val="FootnoteReference"/>
          <w:lang w:val="en-GB"/>
        </w:rPr>
        <w:footnoteReference w:id="5"/>
      </w:r>
      <w:r w:rsidR="002F5EBF" w:rsidRPr="00972B61">
        <w:rPr>
          <w:lang w:val="en-GB"/>
        </w:rPr>
        <w:t xml:space="preserve"> and its six signature solutions</w:t>
      </w:r>
      <w:r w:rsidR="004C765C">
        <w:rPr>
          <w:lang w:val="en-GB"/>
        </w:rPr>
        <w:t>.</w:t>
      </w:r>
    </w:p>
    <w:p w14:paraId="045C2E2C" w14:textId="063981D3" w:rsidR="006720F4" w:rsidRPr="00972B61" w:rsidRDefault="001A7A33" w:rsidP="0083339E">
      <w:pPr>
        <w:pStyle w:val="ListParagraph"/>
        <w:numPr>
          <w:ilvl w:val="0"/>
          <w:numId w:val="37"/>
        </w:numPr>
        <w:spacing w:after="120" w:line="240" w:lineRule="exact"/>
        <w:ind w:left="1080" w:right="1210" w:firstLine="0"/>
        <w:jc w:val="both"/>
        <w:rPr>
          <w:lang w:val="en-GB"/>
        </w:rPr>
      </w:pPr>
      <w:r w:rsidRPr="00972B61">
        <w:rPr>
          <w:lang w:val="en-GB"/>
        </w:rPr>
        <w:t xml:space="preserve">Building on the independent country programme evaluation, and recognizing the evolving needs of the country, </w:t>
      </w:r>
      <w:r w:rsidR="0001625F">
        <w:rPr>
          <w:lang w:val="en-GB"/>
        </w:rPr>
        <w:t>p</w:t>
      </w:r>
      <w:r w:rsidR="00F93385" w:rsidRPr="00972B61">
        <w:rPr>
          <w:lang w:val="en-GB"/>
        </w:rPr>
        <w:t xml:space="preserve">rogramme </w:t>
      </w:r>
      <w:r w:rsidR="005117C3" w:rsidRPr="00972B61">
        <w:rPr>
          <w:lang w:val="en-GB"/>
        </w:rPr>
        <w:t>priorities build on a number of shifts</w:t>
      </w:r>
      <w:r w:rsidR="0001625F">
        <w:rPr>
          <w:lang w:val="en-GB"/>
        </w:rPr>
        <w:t>,</w:t>
      </w:r>
      <w:r w:rsidR="005117C3" w:rsidRPr="00972B61">
        <w:rPr>
          <w:lang w:val="en-GB"/>
        </w:rPr>
        <w:t xml:space="preserve"> including: </w:t>
      </w:r>
      <w:r w:rsidR="0001625F">
        <w:rPr>
          <w:lang w:val="en-GB"/>
        </w:rPr>
        <w:t>i</w:t>
      </w:r>
      <w:r w:rsidR="005117C3" w:rsidRPr="00972B61">
        <w:rPr>
          <w:lang w:val="en-GB"/>
        </w:rPr>
        <w:t>ncreased engagement at</w:t>
      </w:r>
      <w:r w:rsidR="00F93385" w:rsidRPr="00972B61">
        <w:rPr>
          <w:lang w:val="en-GB"/>
        </w:rPr>
        <w:t xml:space="preserve"> </w:t>
      </w:r>
      <w:r w:rsidR="003748B2" w:rsidRPr="00972B61">
        <w:rPr>
          <w:lang w:val="en-GB"/>
        </w:rPr>
        <w:t xml:space="preserve">community </w:t>
      </w:r>
      <w:r w:rsidR="005117C3" w:rsidRPr="00972B61">
        <w:rPr>
          <w:lang w:val="en-GB"/>
        </w:rPr>
        <w:t>level</w:t>
      </w:r>
      <w:r w:rsidR="0001625F">
        <w:rPr>
          <w:lang w:val="en-GB"/>
        </w:rPr>
        <w:t>;</w:t>
      </w:r>
      <w:r w:rsidR="005117C3" w:rsidRPr="00972B61">
        <w:rPr>
          <w:lang w:val="en-GB"/>
        </w:rPr>
        <w:t xml:space="preserve"> sourcing </w:t>
      </w:r>
      <w:r w:rsidR="00F93385" w:rsidRPr="00972B61">
        <w:rPr>
          <w:lang w:val="en-GB"/>
        </w:rPr>
        <w:t>local solutions</w:t>
      </w:r>
      <w:r w:rsidR="005117C3" w:rsidRPr="00972B61">
        <w:rPr>
          <w:lang w:val="en-GB"/>
        </w:rPr>
        <w:t xml:space="preserve"> and delivering integrated </w:t>
      </w:r>
      <w:r w:rsidR="008E4DAC" w:rsidRPr="00972B61">
        <w:rPr>
          <w:lang w:val="en-GB"/>
        </w:rPr>
        <w:t>community-based</w:t>
      </w:r>
      <w:r w:rsidR="005117C3" w:rsidRPr="00972B61">
        <w:rPr>
          <w:lang w:val="en-GB"/>
        </w:rPr>
        <w:t xml:space="preserve"> interventions at scale for greater impact</w:t>
      </w:r>
      <w:r w:rsidR="00AE3BC4">
        <w:rPr>
          <w:lang w:val="en-GB"/>
        </w:rPr>
        <w:t>. It is</w:t>
      </w:r>
      <w:r w:rsidR="004C765C">
        <w:rPr>
          <w:lang w:val="en-GB"/>
        </w:rPr>
        <w:t xml:space="preserve"> </w:t>
      </w:r>
      <w:r w:rsidR="008E4DAC" w:rsidRPr="00972B61">
        <w:rPr>
          <w:lang w:val="en-GB"/>
        </w:rPr>
        <w:t>target</w:t>
      </w:r>
      <w:r w:rsidR="00AE3BC4">
        <w:rPr>
          <w:lang w:val="en-GB"/>
        </w:rPr>
        <w:t xml:space="preserve">ed at </w:t>
      </w:r>
      <w:r w:rsidR="008E4DAC" w:rsidRPr="00972B61">
        <w:rPr>
          <w:lang w:val="en-GB"/>
        </w:rPr>
        <w:t>those</w:t>
      </w:r>
      <w:r w:rsidR="005117C3" w:rsidRPr="00972B61">
        <w:rPr>
          <w:lang w:val="en-GB"/>
        </w:rPr>
        <w:t xml:space="preserve"> provinces and districts </w:t>
      </w:r>
      <w:r w:rsidR="008E4DAC" w:rsidRPr="00972B61">
        <w:rPr>
          <w:lang w:val="en-GB"/>
        </w:rPr>
        <w:t xml:space="preserve">in the north and </w:t>
      </w:r>
      <w:r w:rsidR="00295CAF" w:rsidRPr="00972B61">
        <w:rPr>
          <w:lang w:val="en-GB"/>
        </w:rPr>
        <w:t xml:space="preserve">centre </w:t>
      </w:r>
      <w:r w:rsidR="005117C3" w:rsidRPr="00972B61">
        <w:rPr>
          <w:lang w:val="en-GB"/>
        </w:rPr>
        <w:t>where vulnerability to climatic and environmental threats</w:t>
      </w:r>
      <w:r w:rsidR="008E4DAC" w:rsidRPr="00972B61">
        <w:rPr>
          <w:lang w:val="en-GB"/>
        </w:rPr>
        <w:t xml:space="preserve">, </w:t>
      </w:r>
      <w:r w:rsidR="00295CAF" w:rsidRPr="00972B61">
        <w:rPr>
          <w:lang w:val="en-GB"/>
        </w:rPr>
        <w:t>as well as</w:t>
      </w:r>
      <w:r w:rsidR="008E4DAC" w:rsidRPr="00972B61">
        <w:rPr>
          <w:lang w:val="en-GB"/>
        </w:rPr>
        <w:t xml:space="preserve"> </w:t>
      </w:r>
      <w:r w:rsidR="005117C3" w:rsidRPr="00972B61">
        <w:rPr>
          <w:lang w:val="en-GB"/>
        </w:rPr>
        <w:t>violence and instability</w:t>
      </w:r>
      <w:r w:rsidR="0001625F">
        <w:rPr>
          <w:lang w:val="en-GB"/>
        </w:rPr>
        <w:t>,</w:t>
      </w:r>
      <w:r w:rsidR="005117C3" w:rsidRPr="00972B61">
        <w:rPr>
          <w:lang w:val="en-GB"/>
        </w:rPr>
        <w:t xml:space="preserve"> </w:t>
      </w:r>
      <w:r w:rsidR="008E4DAC" w:rsidRPr="00972B61">
        <w:rPr>
          <w:lang w:val="en-GB"/>
        </w:rPr>
        <w:t>are highest</w:t>
      </w:r>
      <w:r w:rsidR="00AE3BC4">
        <w:rPr>
          <w:lang w:val="en-GB"/>
        </w:rPr>
        <w:t>. It proposes</w:t>
      </w:r>
      <w:r w:rsidR="005117C3" w:rsidRPr="00972B61">
        <w:rPr>
          <w:lang w:val="en-GB"/>
        </w:rPr>
        <w:t xml:space="preserve"> sharpened </w:t>
      </w:r>
      <w:r w:rsidR="00F93385" w:rsidRPr="00972B61">
        <w:rPr>
          <w:lang w:val="en-GB"/>
        </w:rPr>
        <w:t>policy</w:t>
      </w:r>
      <w:r w:rsidR="00871660" w:rsidRPr="00972B61">
        <w:rPr>
          <w:lang w:val="en-GB"/>
        </w:rPr>
        <w:t xml:space="preserve"> and</w:t>
      </w:r>
      <w:r w:rsidR="00F93385" w:rsidRPr="00972B61">
        <w:rPr>
          <w:lang w:val="en-GB"/>
        </w:rPr>
        <w:t xml:space="preserve"> advi</w:t>
      </w:r>
      <w:r w:rsidR="005117C3" w:rsidRPr="00972B61">
        <w:rPr>
          <w:lang w:val="en-GB"/>
        </w:rPr>
        <w:t>sory</w:t>
      </w:r>
      <w:r w:rsidR="00F93385" w:rsidRPr="00972B61">
        <w:rPr>
          <w:lang w:val="en-GB"/>
        </w:rPr>
        <w:t xml:space="preserve"> services</w:t>
      </w:r>
      <w:r w:rsidR="00AE3BC4">
        <w:rPr>
          <w:lang w:val="en-GB"/>
        </w:rPr>
        <w:t>,</w:t>
      </w:r>
      <w:r w:rsidR="005117C3" w:rsidRPr="00972B61">
        <w:rPr>
          <w:lang w:val="en-GB"/>
        </w:rPr>
        <w:t xml:space="preserve"> buil</w:t>
      </w:r>
      <w:r w:rsidR="00A341EA">
        <w:rPr>
          <w:lang w:val="en-GB"/>
        </w:rPr>
        <w:t>t</w:t>
      </w:r>
      <w:r w:rsidR="005117C3" w:rsidRPr="00972B61">
        <w:rPr>
          <w:lang w:val="en-GB"/>
        </w:rPr>
        <w:t xml:space="preserve"> on </w:t>
      </w:r>
      <w:r w:rsidR="00AE3BC4">
        <w:rPr>
          <w:lang w:val="en-GB"/>
        </w:rPr>
        <w:t>evidence-based</w:t>
      </w:r>
      <w:r w:rsidR="00AE3BC4" w:rsidRPr="00972B61">
        <w:rPr>
          <w:lang w:val="en-GB"/>
        </w:rPr>
        <w:t xml:space="preserve"> </w:t>
      </w:r>
      <w:r w:rsidR="005117C3" w:rsidRPr="00972B61">
        <w:rPr>
          <w:lang w:val="en-GB"/>
        </w:rPr>
        <w:t xml:space="preserve">knowledge </w:t>
      </w:r>
      <w:r w:rsidR="00AE3BC4">
        <w:rPr>
          <w:lang w:val="en-GB"/>
        </w:rPr>
        <w:t xml:space="preserve">resource in areas of </w:t>
      </w:r>
      <w:r w:rsidR="00295CAF" w:rsidRPr="00972B61">
        <w:rPr>
          <w:lang w:val="en-GB"/>
        </w:rPr>
        <w:t>peace and</w:t>
      </w:r>
      <w:r w:rsidR="00AE3BC4">
        <w:rPr>
          <w:lang w:val="en-GB"/>
        </w:rPr>
        <w:t xml:space="preserve"> economic</w:t>
      </w:r>
      <w:r w:rsidR="00295CAF" w:rsidRPr="00972B61">
        <w:rPr>
          <w:lang w:val="en-GB"/>
        </w:rPr>
        <w:t xml:space="preserve"> development</w:t>
      </w:r>
      <w:r w:rsidR="00A341EA">
        <w:rPr>
          <w:lang w:val="en-GB"/>
        </w:rPr>
        <w:t>;</w:t>
      </w:r>
      <w:r w:rsidR="00AE3BC4">
        <w:rPr>
          <w:lang w:val="en-GB"/>
        </w:rPr>
        <w:t xml:space="preserve"> </w:t>
      </w:r>
      <w:r w:rsidR="00295CAF" w:rsidRPr="00972B61">
        <w:rPr>
          <w:lang w:val="en-GB"/>
        </w:rPr>
        <w:t xml:space="preserve">targeted and systemic </w:t>
      </w:r>
      <w:r w:rsidR="00846D3C" w:rsidRPr="00972B61">
        <w:rPr>
          <w:lang w:val="en-GB"/>
        </w:rPr>
        <w:t>institution</w:t>
      </w:r>
      <w:r w:rsidR="009D1378" w:rsidRPr="00972B61">
        <w:rPr>
          <w:lang w:val="en-GB"/>
        </w:rPr>
        <w:t xml:space="preserve">al </w:t>
      </w:r>
      <w:r w:rsidR="00295CAF" w:rsidRPr="00972B61">
        <w:rPr>
          <w:lang w:val="en-GB"/>
        </w:rPr>
        <w:t xml:space="preserve">strengthening </w:t>
      </w:r>
      <w:r w:rsidR="006322F3" w:rsidRPr="00972B61">
        <w:rPr>
          <w:lang w:val="en-GB"/>
        </w:rPr>
        <w:t xml:space="preserve">at </w:t>
      </w:r>
      <w:r w:rsidR="00A06260" w:rsidRPr="00972B61">
        <w:rPr>
          <w:lang w:val="en-GB"/>
        </w:rPr>
        <w:t>lo</w:t>
      </w:r>
      <w:r w:rsidR="00282817" w:rsidRPr="00972B61">
        <w:rPr>
          <w:lang w:val="en-GB"/>
        </w:rPr>
        <w:t>cal</w:t>
      </w:r>
      <w:r w:rsidR="00295CAF" w:rsidRPr="00972B61">
        <w:rPr>
          <w:lang w:val="en-GB"/>
        </w:rPr>
        <w:t xml:space="preserve"> and </w:t>
      </w:r>
      <w:r w:rsidR="00846D3C" w:rsidRPr="00972B61">
        <w:rPr>
          <w:lang w:val="en-GB"/>
        </w:rPr>
        <w:t xml:space="preserve">national </w:t>
      </w:r>
      <w:r w:rsidR="00282817" w:rsidRPr="00972B61">
        <w:rPr>
          <w:lang w:val="en-GB"/>
        </w:rPr>
        <w:t>level</w:t>
      </w:r>
      <w:r w:rsidR="00295CAF" w:rsidRPr="00972B61">
        <w:rPr>
          <w:lang w:val="en-GB"/>
        </w:rPr>
        <w:t xml:space="preserve">s </w:t>
      </w:r>
      <w:r w:rsidR="00AE3BC4">
        <w:rPr>
          <w:lang w:val="en-GB"/>
        </w:rPr>
        <w:t>to ensure</w:t>
      </w:r>
      <w:r w:rsidR="00295CAF" w:rsidRPr="00972B61">
        <w:rPr>
          <w:lang w:val="en-GB"/>
        </w:rPr>
        <w:t xml:space="preserve"> inclusive</w:t>
      </w:r>
      <w:r w:rsidR="00AE3BC4">
        <w:rPr>
          <w:lang w:val="en-GB"/>
        </w:rPr>
        <w:t xml:space="preserve"> and </w:t>
      </w:r>
      <w:r w:rsidR="00295CAF" w:rsidRPr="00972B61">
        <w:rPr>
          <w:lang w:val="en-GB"/>
        </w:rPr>
        <w:t xml:space="preserve">equitable </w:t>
      </w:r>
      <w:r w:rsidR="00AE3BC4">
        <w:rPr>
          <w:lang w:val="en-GB"/>
        </w:rPr>
        <w:t xml:space="preserve">access to </w:t>
      </w:r>
      <w:r w:rsidR="00295CAF" w:rsidRPr="00972B61">
        <w:rPr>
          <w:lang w:val="en-GB"/>
        </w:rPr>
        <w:t xml:space="preserve">public services; </w:t>
      </w:r>
      <w:r w:rsidR="00A341EA">
        <w:rPr>
          <w:lang w:val="en-GB"/>
        </w:rPr>
        <w:t xml:space="preserve">and </w:t>
      </w:r>
      <w:r w:rsidR="00AE3BC4">
        <w:rPr>
          <w:lang w:val="en-GB"/>
        </w:rPr>
        <w:t>a</w:t>
      </w:r>
      <w:r w:rsidR="00CF35CF">
        <w:rPr>
          <w:lang w:val="en-GB"/>
        </w:rPr>
        <w:t xml:space="preserve">doption of </w:t>
      </w:r>
      <w:r w:rsidR="00AE3BC4">
        <w:rPr>
          <w:lang w:val="en-GB"/>
        </w:rPr>
        <w:t>conflict</w:t>
      </w:r>
      <w:r w:rsidR="00CF35CF">
        <w:rPr>
          <w:lang w:val="en-GB"/>
        </w:rPr>
        <w:t>-</w:t>
      </w:r>
      <w:r w:rsidR="00AE3BC4">
        <w:rPr>
          <w:lang w:val="en-GB"/>
        </w:rPr>
        <w:t xml:space="preserve">sensitive </w:t>
      </w:r>
      <w:r w:rsidR="00CF35CF">
        <w:rPr>
          <w:lang w:val="en-GB"/>
        </w:rPr>
        <w:t xml:space="preserve">strategies to </w:t>
      </w:r>
      <w:r w:rsidR="00871660" w:rsidRPr="00972B61">
        <w:rPr>
          <w:lang w:val="en-GB"/>
        </w:rPr>
        <w:t>e</w:t>
      </w:r>
      <w:r w:rsidR="006720F4" w:rsidRPr="00972B61">
        <w:rPr>
          <w:lang w:val="en-GB"/>
        </w:rPr>
        <w:t>mpower</w:t>
      </w:r>
      <w:r w:rsidR="004C765C">
        <w:rPr>
          <w:lang w:val="en-GB"/>
        </w:rPr>
        <w:t xml:space="preserve"> </w:t>
      </w:r>
      <w:r w:rsidR="006720F4" w:rsidRPr="00972B61">
        <w:rPr>
          <w:lang w:val="en-GB"/>
        </w:rPr>
        <w:t xml:space="preserve">women </w:t>
      </w:r>
      <w:r w:rsidR="00733408" w:rsidRPr="00972B61">
        <w:rPr>
          <w:lang w:val="en-GB"/>
        </w:rPr>
        <w:t xml:space="preserve">and youth </w:t>
      </w:r>
      <w:r w:rsidR="006720F4" w:rsidRPr="00972B61">
        <w:rPr>
          <w:lang w:val="en-GB"/>
        </w:rPr>
        <w:t xml:space="preserve">as agents </w:t>
      </w:r>
      <w:r w:rsidR="00CF35CF">
        <w:rPr>
          <w:lang w:val="en-GB"/>
        </w:rPr>
        <w:t>for</w:t>
      </w:r>
      <w:r w:rsidR="004C765C">
        <w:rPr>
          <w:lang w:val="en-GB"/>
        </w:rPr>
        <w:t xml:space="preserve"> </w:t>
      </w:r>
      <w:r w:rsidR="00733408" w:rsidRPr="00972B61">
        <w:rPr>
          <w:lang w:val="en-GB"/>
        </w:rPr>
        <w:t xml:space="preserve">sustainable </w:t>
      </w:r>
      <w:r w:rsidR="00AE3BC4">
        <w:rPr>
          <w:lang w:val="en-GB"/>
        </w:rPr>
        <w:t xml:space="preserve">economic and political </w:t>
      </w:r>
      <w:r w:rsidR="006720F4" w:rsidRPr="00972B61">
        <w:rPr>
          <w:lang w:val="en-GB"/>
        </w:rPr>
        <w:t xml:space="preserve">transformation </w:t>
      </w:r>
      <w:r w:rsidR="00CF35CF">
        <w:rPr>
          <w:lang w:val="en-GB"/>
        </w:rPr>
        <w:t xml:space="preserve">and </w:t>
      </w:r>
      <w:r w:rsidR="006720F4" w:rsidRPr="00972B61">
        <w:rPr>
          <w:lang w:val="en-GB"/>
        </w:rPr>
        <w:t>to maximize</w:t>
      </w:r>
      <w:r w:rsidR="00871660" w:rsidRPr="00972B61">
        <w:rPr>
          <w:lang w:val="en-GB"/>
        </w:rPr>
        <w:t xml:space="preserve"> </w:t>
      </w:r>
      <w:r w:rsidR="006720F4" w:rsidRPr="00972B61">
        <w:rPr>
          <w:lang w:val="en-GB"/>
        </w:rPr>
        <w:t>impact on poor communities</w:t>
      </w:r>
      <w:r w:rsidR="00CF35CF">
        <w:rPr>
          <w:lang w:val="en-GB"/>
        </w:rPr>
        <w:t xml:space="preserve">. </w:t>
      </w:r>
    </w:p>
    <w:p w14:paraId="69506D9E" w14:textId="1437D0FF" w:rsidR="00573E48" w:rsidRPr="00A1146C" w:rsidRDefault="00C86F50" w:rsidP="0083339E">
      <w:pPr>
        <w:pStyle w:val="ListParagraph"/>
        <w:spacing w:after="120" w:line="240" w:lineRule="exact"/>
        <w:ind w:left="1080" w:right="1210"/>
        <w:jc w:val="both"/>
        <w:rPr>
          <w:i/>
          <w:iCs/>
          <w:lang w:val="en-GB"/>
        </w:rPr>
      </w:pPr>
      <w:r w:rsidRPr="00A1146C">
        <w:rPr>
          <w:i/>
          <w:iCs/>
          <w:lang w:val="en-GB"/>
        </w:rPr>
        <w:t>Addressing</w:t>
      </w:r>
      <w:r w:rsidR="00573E48" w:rsidRPr="00A1146C">
        <w:rPr>
          <w:i/>
          <w:iCs/>
          <w:lang w:val="en-GB"/>
        </w:rPr>
        <w:t xml:space="preserve"> multi-dimensional poverty</w:t>
      </w:r>
      <w:r w:rsidR="0079596D" w:rsidRPr="00A1146C">
        <w:rPr>
          <w:i/>
          <w:iCs/>
          <w:lang w:val="en-GB"/>
        </w:rPr>
        <w:t xml:space="preserve"> and promoting </w:t>
      </w:r>
      <w:r w:rsidR="00573E48" w:rsidRPr="00A1146C">
        <w:rPr>
          <w:i/>
          <w:iCs/>
          <w:lang w:val="en-GB"/>
        </w:rPr>
        <w:t xml:space="preserve">gender equality and </w:t>
      </w:r>
      <w:r w:rsidR="004E6154" w:rsidRPr="00A1146C">
        <w:rPr>
          <w:i/>
          <w:iCs/>
          <w:lang w:val="en-GB"/>
        </w:rPr>
        <w:t>access to services</w:t>
      </w:r>
    </w:p>
    <w:p w14:paraId="6B8DB52D" w14:textId="15D07B37" w:rsidR="00004FB6" w:rsidRPr="00972B61" w:rsidRDefault="00AA3E18" w:rsidP="0083339E">
      <w:pPr>
        <w:pStyle w:val="ListParagraph"/>
        <w:numPr>
          <w:ilvl w:val="0"/>
          <w:numId w:val="37"/>
        </w:numPr>
        <w:spacing w:after="120" w:line="240" w:lineRule="exact"/>
        <w:ind w:left="1080" w:right="1210" w:firstLine="0"/>
        <w:jc w:val="both"/>
        <w:rPr>
          <w:lang w:val="en-GB"/>
        </w:rPr>
      </w:pPr>
      <w:r w:rsidRPr="00972B61">
        <w:rPr>
          <w:lang w:val="en-GB"/>
        </w:rPr>
        <w:t xml:space="preserve">UNDP will </w:t>
      </w:r>
      <w:r w:rsidR="00FE1FC7" w:rsidRPr="00972B61">
        <w:rPr>
          <w:lang w:val="en-GB"/>
        </w:rPr>
        <w:t>provide cutting</w:t>
      </w:r>
      <w:r w:rsidR="0019521C">
        <w:rPr>
          <w:lang w:val="en-GB"/>
        </w:rPr>
        <w:t>-</w:t>
      </w:r>
      <w:r w:rsidR="00FE1FC7" w:rsidRPr="00972B61">
        <w:rPr>
          <w:lang w:val="en-GB"/>
        </w:rPr>
        <w:t>edge technical assistance</w:t>
      </w:r>
      <w:r w:rsidR="00573E48" w:rsidRPr="00972B61">
        <w:rPr>
          <w:lang w:val="en-GB"/>
        </w:rPr>
        <w:t xml:space="preserve"> and</w:t>
      </w:r>
      <w:r w:rsidR="00FE1FC7" w:rsidRPr="00972B61">
        <w:rPr>
          <w:lang w:val="en-GB"/>
        </w:rPr>
        <w:t xml:space="preserve"> evidence-based policy advisory services </w:t>
      </w:r>
      <w:r w:rsidRPr="00972B61">
        <w:rPr>
          <w:lang w:val="en-GB"/>
        </w:rPr>
        <w:t>to support whole-of-government solutions to inclusive and sustainable human development</w:t>
      </w:r>
      <w:r w:rsidR="00CF35CF">
        <w:rPr>
          <w:lang w:val="en-GB"/>
        </w:rPr>
        <w:t xml:space="preserve"> and</w:t>
      </w:r>
      <w:r w:rsidR="004C765C">
        <w:rPr>
          <w:lang w:val="en-GB"/>
        </w:rPr>
        <w:t xml:space="preserve"> </w:t>
      </w:r>
      <w:r w:rsidRPr="00972B61">
        <w:rPr>
          <w:lang w:val="en-GB"/>
        </w:rPr>
        <w:t>advance</w:t>
      </w:r>
      <w:r w:rsidR="00CF35CF">
        <w:rPr>
          <w:lang w:val="en-GB"/>
        </w:rPr>
        <w:t xml:space="preserve"> attainment of</w:t>
      </w:r>
      <w:r w:rsidRPr="00972B61">
        <w:rPr>
          <w:lang w:val="en-GB"/>
        </w:rPr>
        <w:t xml:space="preserve"> the 2030 Agenda. </w:t>
      </w:r>
      <w:r w:rsidR="00573E48" w:rsidRPr="00972B61">
        <w:rPr>
          <w:lang w:val="en-GB"/>
        </w:rPr>
        <w:t>A</w:t>
      </w:r>
      <w:r w:rsidRPr="00972B61">
        <w:rPr>
          <w:lang w:val="en-GB"/>
        </w:rPr>
        <w:t>n analytical and thought</w:t>
      </w:r>
      <w:r w:rsidR="00FE1FC7" w:rsidRPr="00972B61">
        <w:rPr>
          <w:lang w:val="en-GB"/>
        </w:rPr>
        <w:t>-</w:t>
      </w:r>
      <w:r w:rsidRPr="00972B61">
        <w:rPr>
          <w:lang w:val="en-GB"/>
        </w:rPr>
        <w:t xml:space="preserve">leadership </w:t>
      </w:r>
      <w:r w:rsidR="00573E48" w:rsidRPr="00972B61">
        <w:rPr>
          <w:lang w:val="en-GB"/>
        </w:rPr>
        <w:t>approach</w:t>
      </w:r>
      <w:r w:rsidRPr="00972B61">
        <w:rPr>
          <w:lang w:val="en-GB"/>
        </w:rPr>
        <w:t xml:space="preserve"> to address multidimensional poverty</w:t>
      </w:r>
      <w:r w:rsidR="00573E48" w:rsidRPr="00972B61">
        <w:rPr>
          <w:lang w:val="en-GB"/>
        </w:rPr>
        <w:t xml:space="preserve"> </w:t>
      </w:r>
      <w:r w:rsidR="00CF35CF">
        <w:rPr>
          <w:lang w:val="en-GB"/>
        </w:rPr>
        <w:t xml:space="preserve">dimensions in the country </w:t>
      </w:r>
      <w:r w:rsidR="00573E48" w:rsidRPr="00972B61">
        <w:rPr>
          <w:lang w:val="en-GB"/>
        </w:rPr>
        <w:t>will s</w:t>
      </w:r>
      <w:r w:rsidR="006E4502" w:rsidRPr="00972B61">
        <w:rPr>
          <w:lang w:val="en-GB"/>
        </w:rPr>
        <w:t xml:space="preserve">trengthen government capacity to </w:t>
      </w:r>
      <w:r w:rsidRPr="00972B61">
        <w:rPr>
          <w:lang w:val="en-GB"/>
        </w:rPr>
        <w:t>analys</w:t>
      </w:r>
      <w:r w:rsidR="006E4502" w:rsidRPr="00972B61">
        <w:rPr>
          <w:lang w:val="en-GB"/>
        </w:rPr>
        <w:t>e</w:t>
      </w:r>
      <w:r w:rsidRPr="00972B61">
        <w:rPr>
          <w:lang w:val="en-GB"/>
        </w:rPr>
        <w:t xml:space="preserve"> human and economic development</w:t>
      </w:r>
      <w:r w:rsidR="00573E48" w:rsidRPr="00972B61">
        <w:rPr>
          <w:lang w:val="en-GB"/>
        </w:rPr>
        <w:t xml:space="preserve"> trends and test the </w:t>
      </w:r>
      <w:r w:rsidR="00FE1FC7" w:rsidRPr="00972B61">
        <w:rPr>
          <w:lang w:val="en-GB"/>
        </w:rPr>
        <w:t>adoption of</w:t>
      </w:r>
      <w:r w:rsidRPr="00972B61">
        <w:rPr>
          <w:lang w:val="en-GB"/>
        </w:rPr>
        <w:t xml:space="preserve"> </w:t>
      </w:r>
      <w:r w:rsidR="00FE1FC7" w:rsidRPr="00972B61">
        <w:rPr>
          <w:lang w:val="en-GB"/>
        </w:rPr>
        <w:t>locali</w:t>
      </w:r>
      <w:r w:rsidR="007E42AB">
        <w:rPr>
          <w:lang w:val="en-GB"/>
        </w:rPr>
        <w:t>z</w:t>
      </w:r>
      <w:r w:rsidR="00FE1FC7" w:rsidRPr="00972B61">
        <w:rPr>
          <w:lang w:val="en-GB"/>
        </w:rPr>
        <w:t xml:space="preserve">ed </w:t>
      </w:r>
      <w:r w:rsidRPr="00972B61">
        <w:rPr>
          <w:lang w:val="en-GB"/>
        </w:rPr>
        <w:t>human development indicators</w:t>
      </w:r>
      <w:r w:rsidR="00FE1FC7" w:rsidRPr="00972B61">
        <w:rPr>
          <w:lang w:val="en-GB"/>
        </w:rPr>
        <w:t xml:space="preserve"> </w:t>
      </w:r>
      <w:r w:rsidR="006E4502" w:rsidRPr="00972B61">
        <w:rPr>
          <w:lang w:val="en-GB"/>
        </w:rPr>
        <w:t xml:space="preserve">and </w:t>
      </w:r>
      <w:r w:rsidR="00B86CF9">
        <w:rPr>
          <w:lang w:val="en-GB"/>
        </w:rPr>
        <w:t>S</w:t>
      </w:r>
      <w:r w:rsidR="004C765C">
        <w:rPr>
          <w:lang w:val="en-GB"/>
        </w:rPr>
        <w:t xml:space="preserve">ustainable Development Goals </w:t>
      </w:r>
      <w:r w:rsidRPr="00972B61">
        <w:rPr>
          <w:lang w:val="en-GB"/>
        </w:rPr>
        <w:t>monitoring</w:t>
      </w:r>
      <w:r w:rsidR="006E4502" w:rsidRPr="00972B61">
        <w:rPr>
          <w:lang w:val="en-GB"/>
        </w:rPr>
        <w:t xml:space="preserve">. </w:t>
      </w:r>
      <w:r w:rsidR="00BC7806" w:rsidRPr="00972B61">
        <w:rPr>
          <w:lang w:val="en-GB"/>
        </w:rPr>
        <w:t>A</w:t>
      </w:r>
      <w:r w:rsidR="00FE1FC7" w:rsidRPr="00972B61">
        <w:rPr>
          <w:lang w:val="en-GB"/>
        </w:rPr>
        <w:t xml:space="preserve"> </w:t>
      </w:r>
      <w:r w:rsidR="00CF35CF" w:rsidRPr="00972B61">
        <w:rPr>
          <w:lang w:val="en-GB"/>
        </w:rPr>
        <w:t>multi</w:t>
      </w:r>
      <w:r w:rsidR="00CF35CF">
        <w:rPr>
          <w:lang w:val="en-GB"/>
        </w:rPr>
        <w:t xml:space="preserve">stakeholder </w:t>
      </w:r>
      <w:r w:rsidR="00FE1FC7" w:rsidRPr="00972B61">
        <w:rPr>
          <w:lang w:val="en-GB"/>
        </w:rPr>
        <w:t xml:space="preserve">approach </w:t>
      </w:r>
      <w:r w:rsidR="00077342" w:rsidRPr="00972B61">
        <w:rPr>
          <w:lang w:val="en-GB"/>
        </w:rPr>
        <w:t xml:space="preserve">to </w:t>
      </w:r>
      <w:r w:rsidR="00FE1FC7" w:rsidRPr="00972B61">
        <w:rPr>
          <w:lang w:val="en-GB"/>
        </w:rPr>
        <w:t>revis</w:t>
      </w:r>
      <w:r w:rsidR="00CF35CF">
        <w:rPr>
          <w:lang w:val="en-GB"/>
        </w:rPr>
        <w:t xml:space="preserve">e </w:t>
      </w:r>
      <w:r w:rsidR="00FE1FC7" w:rsidRPr="00972B61">
        <w:rPr>
          <w:lang w:val="en-GB"/>
        </w:rPr>
        <w:t xml:space="preserve">the </w:t>
      </w:r>
      <w:r w:rsidR="007E42AB">
        <w:rPr>
          <w:lang w:val="en-GB"/>
        </w:rPr>
        <w:t>n</w:t>
      </w:r>
      <w:r w:rsidRPr="00972B61">
        <w:rPr>
          <w:lang w:val="en-GB"/>
        </w:rPr>
        <w:t xml:space="preserve">ational </w:t>
      </w:r>
      <w:r w:rsidR="007E42AB">
        <w:rPr>
          <w:lang w:val="en-GB"/>
        </w:rPr>
        <w:t>d</w:t>
      </w:r>
      <w:r w:rsidRPr="00972B61">
        <w:rPr>
          <w:lang w:val="en-GB"/>
        </w:rPr>
        <w:t xml:space="preserve">evelopment </w:t>
      </w:r>
      <w:r w:rsidR="007E42AB">
        <w:rPr>
          <w:lang w:val="en-GB"/>
        </w:rPr>
        <w:t>s</w:t>
      </w:r>
      <w:r w:rsidRPr="00972B61">
        <w:rPr>
          <w:lang w:val="en-GB"/>
        </w:rPr>
        <w:t xml:space="preserve">trategy </w:t>
      </w:r>
      <w:r w:rsidR="00BC7806" w:rsidRPr="00972B61">
        <w:rPr>
          <w:lang w:val="en-GB"/>
        </w:rPr>
        <w:t xml:space="preserve">will </w:t>
      </w:r>
      <w:r w:rsidR="00CF35CF">
        <w:rPr>
          <w:lang w:val="en-GB"/>
        </w:rPr>
        <w:t xml:space="preserve">be used to </w:t>
      </w:r>
      <w:r w:rsidR="00BC7806" w:rsidRPr="00972B61">
        <w:rPr>
          <w:lang w:val="en-GB"/>
        </w:rPr>
        <w:t xml:space="preserve">advocate for </w:t>
      </w:r>
      <w:r w:rsidR="00077342" w:rsidRPr="00972B61">
        <w:rPr>
          <w:lang w:val="en-GB"/>
        </w:rPr>
        <w:t>a</w:t>
      </w:r>
      <w:r w:rsidRPr="00972B61">
        <w:rPr>
          <w:lang w:val="en-GB"/>
        </w:rPr>
        <w:t xml:space="preserve"> human development</w:t>
      </w:r>
      <w:r w:rsidR="00077342" w:rsidRPr="00972B61">
        <w:rPr>
          <w:lang w:val="en-GB"/>
        </w:rPr>
        <w:t xml:space="preserve"> and </w:t>
      </w:r>
      <w:r w:rsidR="002C4D41" w:rsidRPr="00972B61">
        <w:rPr>
          <w:lang w:val="en-GB"/>
        </w:rPr>
        <w:t>gender</w:t>
      </w:r>
      <w:r w:rsidR="007E42AB">
        <w:rPr>
          <w:lang w:val="en-GB"/>
        </w:rPr>
        <w:t>-</w:t>
      </w:r>
      <w:r w:rsidR="00077342" w:rsidRPr="00972B61">
        <w:rPr>
          <w:lang w:val="en-GB"/>
        </w:rPr>
        <w:t>transformative approach</w:t>
      </w:r>
      <w:r w:rsidR="00BC7806" w:rsidRPr="00972B61">
        <w:rPr>
          <w:lang w:val="en-GB"/>
        </w:rPr>
        <w:t xml:space="preserve"> </w:t>
      </w:r>
      <w:r w:rsidR="009D1378" w:rsidRPr="00972B61">
        <w:rPr>
          <w:lang w:val="en-GB"/>
        </w:rPr>
        <w:t xml:space="preserve">and </w:t>
      </w:r>
      <w:r w:rsidR="00077342" w:rsidRPr="00972B61">
        <w:rPr>
          <w:lang w:val="en-GB"/>
        </w:rPr>
        <w:t>promot</w:t>
      </w:r>
      <w:r w:rsidR="009D1378" w:rsidRPr="00972B61">
        <w:rPr>
          <w:lang w:val="en-GB"/>
        </w:rPr>
        <w:t>e</w:t>
      </w:r>
      <w:r w:rsidR="00077342" w:rsidRPr="00972B61">
        <w:rPr>
          <w:lang w:val="en-GB"/>
        </w:rPr>
        <w:t xml:space="preserve"> </w:t>
      </w:r>
      <w:r w:rsidR="00BC7806" w:rsidRPr="00972B61">
        <w:rPr>
          <w:lang w:val="en-GB"/>
        </w:rPr>
        <w:t xml:space="preserve">sustainable environmental and </w:t>
      </w:r>
      <w:r w:rsidR="006E4502" w:rsidRPr="00972B61">
        <w:rPr>
          <w:lang w:val="en-GB"/>
        </w:rPr>
        <w:t xml:space="preserve">natural resource management, </w:t>
      </w:r>
      <w:r w:rsidR="00B40399" w:rsidRPr="00972B61">
        <w:rPr>
          <w:lang w:val="en-GB"/>
        </w:rPr>
        <w:t xml:space="preserve">peacebuilding </w:t>
      </w:r>
      <w:r w:rsidRPr="00972B61">
        <w:rPr>
          <w:lang w:val="en-GB"/>
        </w:rPr>
        <w:t>and governance</w:t>
      </w:r>
      <w:r w:rsidR="00FE1FC7" w:rsidRPr="00972B61">
        <w:rPr>
          <w:lang w:val="en-GB"/>
        </w:rPr>
        <w:t xml:space="preserve">, </w:t>
      </w:r>
      <w:r w:rsidR="00077342" w:rsidRPr="00972B61">
        <w:rPr>
          <w:lang w:val="en-GB"/>
        </w:rPr>
        <w:t xml:space="preserve">underpinned by an </w:t>
      </w:r>
      <w:r w:rsidR="00F6443B" w:rsidRPr="00972B61">
        <w:rPr>
          <w:lang w:val="en-GB"/>
        </w:rPr>
        <w:t>integrated national financing framework.</w:t>
      </w:r>
      <w:r w:rsidR="00CF35CF">
        <w:rPr>
          <w:lang w:val="en-GB"/>
        </w:rPr>
        <w:t xml:space="preserve"> </w:t>
      </w:r>
    </w:p>
    <w:p w14:paraId="0E456B87" w14:textId="2314F136" w:rsidR="00577ED9" w:rsidRPr="00972B61" w:rsidRDefault="00004FB6" w:rsidP="0083339E">
      <w:pPr>
        <w:pStyle w:val="ListParagraph"/>
        <w:numPr>
          <w:ilvl w:val="0"/>
          <w:numId w:val="37"/>
        </w:numPr>
        <w:spacing w:after="120" w:line="240" w:lineRule="exact"/>
        <w:ind w:left="1080" w:right="1210" w:firstLine="0"/>
        <w:jc w:val="both"/>
        <w:rPr>
          <w:lang w:val="en-GB"/>
        </w:rPr>
      </w:pPr>
      <w:r w:rsidRPr="00972B61">
        <w:rPr>
          <w:lang w:val="en-GB"/>
        </w:rPr>
        <w:t>Persistent structural inequalities hinder the empowerment of women, access to services, fulfilment of human rights and realiz</w:t>
      </w:r>
      <w:r w:rsidR="00CF35CF">
        <w:rPr>
          <w:lang w:val="en-GB"/>
        </w:rPr>
        <w:t xml:space="preserve">ation </w:t>
      </w:r>
      <w:r w:rsidRPr="00972B61">
        <w:rPr>
          <w:lang w:val="en-GB"/>
        </w:rPr>
        <w:t xml:space="preserve">their full potential. </w:t>
      </w:r>
      <w:r w:rsidR="00411005" w:rsidRPr="00972B61">
        <w:rPr>
          <w:lang w:val="en-GB"/>
        </w:rPr>
        <w:t xml:space="preserve">One in four women in </w:t>
      </w:r>
      <w:r w:rsidR="00411005" w:rsidRPr="00972B61">
        <w:rPr>
          <w:lang w:val="en-GB"/>
        </w:rPr>
        <w:lastRenderedPageBreak/>
        <w:t xml:space="preserve">Mozambique have experienced physical or sexual violence </w:t>
      </w:r>
      <w:r w:rsidRPr="00972B61">
        <w:rPr>
          <w:lang w:val="en-GB"/>
        </w:rPr>
        <w:t xml:space="preserve">and have </w:t>
      </w:r>
      <w:r w:rsidR="00411005" w:rsidRPr="00972B61">
        <w:rPr>
          <w:lang w:val="en-GB"/>
        </w:rPr>
        <w:t xml:space="preserve">limited access to integrated services. </w:t>
      </w:r>
      <w:r w:rsidR="00577ED9" w:rsidRPr="00972B61">
        <w:rPr>
          <w:lang w:val="en-GB"/>
        </w:rPr>
        <w:t xml:space="preserve">Joint interventions with </w:t>
      </w:r>
      <w:r w:rsidR="007E42AB">
        <w:rPr>
          <w:lang w:val="en-GB"/>
        </w:rPr>
        <w:t xml:space="preserve">UNFPA, </w:t>
      </w:r>
      <w:r w:rsidR="002A35BB">
        <w:rPr>
          <w:lang w:val="en-GB"/>
        </w:rPr>
        <w:t>the United Nations Children’s Fund (</w:t>
      </w:r>
      <w:r w:rsidR="00577ED9" w:rsidRPr="00972B61">
        <w:rPr>
          <w:lang w:val="en-GB"/>
        </w:rPr>
        <w:t>UNICEF</w:t>
      </w:r>
      <w:r w:rsidR="002A35BB">
        <w:rPr>
          <w:lang w:val="en-GB"/>
        </w:rPr>
        <w:t>)</w:t>
      </w:r>
      <w:r w:rsidR="00577ED9" w:rsidRPr="00972B61">
        <w:rPr>
          <w:lang w:val="en-GB"/>
        </w:rPr>
        <w:t xml:space="preserve"> and</w:t>
      </w:r>
      <w:r w:rsidR="007E42AB">
        <w:rPr>
          <w:lang w:val="en-GB"/>
        </w:rPr>
        <w:t xml:space="preserve"> </w:t>
      </w:r>
      <w:r w:rsidR="002A35BB">
        <w:rPr>
          <w:lang w:val="en-GB"/>
        </w:rPr>
        <w:t>the United Nations Entity for Gender Equality and the Empowerment of Women (</w:t>
      </w:r>
      <w:r w:rsidR="007E42AB">
        <w:rPr>
          <w:lang w:val="en-GB"/>
        </w:rPr>
        <w:t>UN-Women</w:t>
      </w:r>
      <w:r w:rsidR="002A35BB">
        <w:rPr>
          <w:lang w:val="en-GB"/>
        </w:rPr>
        <w:t>)</w:t>
      </w:r>
      <w:r w:rsidR="00577ED9" w:rsidRPr="00972B61">
        <w:rPr>
          <w:lang w:val="en-GB"/>
        </w:rPr>
        <w:t xml:space="preserve">, through the </w:t>
      </w:r>
      <w:bookmarkStart w:id="8" w:name="_Hlk82621795"/>
      <w:r w:rsidR="00577ED9" w:rsidRPr="00972B61">
        <w:rPr>
          <w:lang w:val="en-GB"/>
        </w:rPr>
        <w:t>E</w:t>
      </w:r>
      <w:r w:rsidR="007E42AB">
        <w:rPr>
          <w:lang w:val="en-GB"/>
        </w:rPr>
        <w:t xml:space="preserve">uropean </w:t>
      </w:r>
      <w:r w:rsidR="00577ED9" w:rsidRPr="00972B61">
        <w:rPr>
          <w:lang w:val="en-GB"/>
        </w:rPr>
        <w:t>U</w:t>
      </w:r>
      <w:r w:rsidR="007E42AB">
        <w:rPr>
          <w:lang w:val="en-GB"/>
        </w:rPr>
        <w:t>nion-</w:t>
      </w:r>
      <w:r w:rsidR="00577ED9" w:rsidRPr="00972B61">
        <w:rPr>
          <w:lang w:val="en-GB"/>
        </w:rPr>
        <w:t xml:space="preserve">funded Spotlight </w:t>
      </w:r>
      <w:r w:rsidR="007E42AB">
        <w:rPr>
          <w:lang w:val="en-GB"/>
        </w:rPr>
        <w:t>i</w:t>
      </w:r>
      <w:r w:rsidR="00577ED9" w:rsidRPr="00972B61">
        <w:rPr>
          <w:lang w:val="en-GB"/>
        </w:rPr>
        <w:t>nitiative</w:t>
      </w:r>
      <w:bookmarkEnd w:id="8"/>
      <w:r w:rsidR="00577ED9" w:rsidRPr="00972B61">
        <w:rPr>
          <w:lang w:val="en-GB"/>
        </w:rPr>
        <w:t xml:space="preserve">, will strengthen </w:t>
      </w:r>
      <w:r w:rsidR="000A2B43">
        <w:rPr>
          <w:lang w:val="en-GB"/>
        </w:rPr>
        <w:t xml:space="preserve">strategies for </w:t>
      </w:r>
      <w:r w:rsidR="00577ED9" w:rsidRPr="00972B61">
        <w:rPr>
          <w:lang w:val="en-GB"/>
        </w:rPr>
        <w:t>prevent</w:t>
      </w:r>
      <w:r w:rsidR="00411005" w:rsidRPr="00972B61">
        <w:rPr>
          <w:lang w:val="en-GB"/>
        </w:rPr>
        <w:t>ion</w:t>
      </w:r>
      <w:r w:rsidR="004C765C">
        <w:rPr>
          <w:lang w:val="en-GB"/>
        </w:rPr>
        <w:t xml:space="preserve"> </w:t>
      </w:r>
      <w:r w:rsidR="00411005" w:rsidRPr="00972B61">
        <w:rPr>
          <w:lang w:val="en-GB"/>
        </w:rPr>
        <w:t>and response to</w:t>
      </w:r>
      <w:r w:rsidR="00025EFE" w:rsidRPr="00972B61">
        <w:rPr>
          <w:lang w:val="en-GB"/>
        </w:rPr>
        <w:t>,</w:t>
      </w:r>
      <w:r w:rsidR="00411005" w:rsidRPr="00972B61">
        <w:rPr>
          <w:lang w:val="en-GB"/>
        </w:rPr>
        <w:t xml:space="preserve"> </w:t>
      </w:r>
      <w:r w:rsidR="00577ED9" w:rsidRPr="00972B61">
        <w:rPr>
          <w:lang w:val="en-GB"/>
        </w:rPr>
        <w:t>all forms of gender-based violence</w:t>
      </w:r>
      <w:r w:rsidR="00BC7806" w:rsidRPr="00972B61">
        <w:rPr>
          <w:lang w:val="en-GB"/>
        </w:rPr>
        <w:t>, improve access to integrated health and justice services</w:t>
      </w:r>
      <w:r w:rsidR="00025EFE" w:rsidRPr="00972B61">
        <w:rPr>
          <w:lang w:val="en-GB"/>
        </w:rPr>
        <w:t>,</w:t>
      </w:r>
      <w:r w:rsidR="00577ED9" w:rsidRPr="00972B61">
        <w:rPr>
          <w:lang w:val="en-GB"/>
        </w:rPr>
        <w:t xml:space="preserve"> and advocate for gender sensitiv</w:t>
      </w:r>
      <w:r w:rsidR="000A2B43">
        <w:rPr>
          <w:lang w:val="en-GB"/>
        </w:rPr>
        <w:t>e</w:t>
      </w:r>
      <w:r w:rsidR="004C765C">
        <w:rPr>
          <w:lang w:val="en-GB"/>
        </w:rPr>
        <w:t xml:space="preserve"> </w:t>
      </w:r>
      <w:r w:rsidR="00577ED9" w:rsidRPr="00972B61">
        <w:rPr>
          <w:lang w:val="en-GB"/>
        </w:rPr>
        <w:t xml:space="preserve">laws, policies, </w:t>
      </w:r>
      <w:r w:rsidR="000A2B43">
        <w:rPr>
          <w:lang w:val="en-GB"/>
        </w:rPr>
        <w:t xml:space="preserve">and regulatory frameworks for </w:t>
      </w:r>
      <w:r w:rsidR="00577ED9" w:rsidRPr="00972B61">
        <w:rPr>
          <w:lang w:val="en-GB"/>
        </w:rPr>
        <w:t>institutions and services</w:t>
      </w:r>
      <w:r w:rsidR="002C4D41" w:rsidRPr="00972B61">
        <w:rPr>
          <w:lang w:val="en-GB"/>
        </w:rPr>
        <w:t xml:space="preserve"> </w:t>
      </w:r>
      <w:r w:rsidR="000A2B43">
        <w:rPr>
          <w:lang w:val="en-GB"/>
        </w:rPr>
        <w:t xml:space="preserve">delivery </w:t>
      </w:r>
      <w:r w:rsidR="002C4D41" w:rsidRPr="00972B61">
        <w:rPr>
          <w:lang w:val="en-GB"/>
        </w:rPr>
        <w:t>to safeguard the rights of women and girls</w:t>
      </w:r>
      <w:r w:rsidR="00577ED9" w:rsidRPr="00972B61">
        <w:rPr>
          <w:lang w:val="en-GB"/>
        </w:rPr>
        <w:t xml:space="preserve">. </w:t>
      </w:r>
      <w:r w:rsidR="008169BB" w:rsidRPr="00972B61">
        <w:rPr>
          <w:lang w:val="en-GB"/>
        </w:rPr>
        <w:t xml:space="preserve">UNDP will enhance awareness of basic health and sexual and reproductive health </w:t>
      </w:r>
      <w:r w:rsidR="007E42AB">
        <w:rPr>
          <w:lang w:val="en-GB"/>
        </w:rPr>
        <w:t xml:space="preserve">and </w:t>
      </w:r>
      <w:r w:rsidR="008169BB" w:rsidRPr="00972B61">
        <w:rPr>
          <w:lang w:val="en-GB"/>
        </w:rPr>
        <w:t xml:space="preserve">rights for women and youth, particularly in </w:t>
      </w:r>
      <w:r w:rsidR="007E42AB">
        <w:rPr>
          <w:lang w:val="en-GB"/>
        </w:rPr>
        <w:t>d</w:t>
      </w:r>
      <w:r w:rsidR="008169BB" w:rsidRPr="00972B61">
        <w:rPr>
          <w:lang w:val="en-GB"/>
        </w:rPr>
        <w:t>isplacement</w:t>
      </w:r>
      <w:r w:rsidR="007E42AB">
        <w:rPr>
          <w:lang w:val="en-GB"/>
        </w:rPr>
        <w:t>-a</w:t>
      </w:r>
      <w:r w:rsidR="008169BB" w:rsidRPr="00972B61">
        <w:rPr>
          <w:lang w:val="en-GB"/>
        </w:rPr>
        <w:t xml:space="preserve">ffected </w:t>
      </w:r>
      <w:r w:rsidR="007E42AB">
        <w:rPr>
          <w:lang w:val="en-GB"/>
        </w:rPr>
        <w:t>c</w:t>
      </w:r>
      <w:r w:rsidR="008169BB" w:rsidRPr="00972B61">
        <w:rPr>
          <w:lang w:val="en-GB"/>
        </w:rPr>
        <w:t>ommunities.</w:t>
      </w:r>
    </w:p>
    <w:p w14:paraId="2DF0362A" w14:textId="36B16DF2" w:rsidR="00AA3E18" w:rsidRPr="00972B61" w:rsidRDefault="00AA3E18" w:rsidP="0083339E">
      <w:pPr>
        <w:pStyle w:val="ListParagraph"/>
        <w:numPr>
          <w:ilvl w:val="0"/>
          <w:numId w:val="37"/>
        </w:numPr>
        <w:spacing w:after="120" w:line="240" w:lineRule="exact"/>
        <w:ind w:left="1080" w:right="1210" w:firstLine="0"/>
        <w:jc w:val="both"/>
        <w:rPr>
          <w:lang w:val="en-GB"/>
        </w:rPr>
      </w:pPr>
      <w:r w:rsidRPr="00972B61">
        <w:rPr>
          <w:lang w:val="en-GB"/>
        </w:rPr>
        <w:t xml:space="preserve">Building on the positive impact of </w:t>
      </w:r>
      <w:r w:rsidR="00F57016">
        <w:rPr>
          <w:lang w:val="en-GB"/>
        </w:rPr>
        <w:t xml:space="preserve">its </w:t>
      </w:r>
      <w:r w:rsidR="00F6443B" w:rsidRPr="00972B61">
        <w:rPr>
          <w:lang w:val="en-GB"/>
        </w:rPr>
        <w:t xml:space="preserve">partnership with the </w:t>
      </w:r>
      <w:r w:rsidRPr="00972B61">
        <w:rPr>
          <w:lang w:val="en-GB"/>
        </w:rPr>
        <w:t>Ministry of Health</w:t>
      </w:r>
      <w:r w:rsidR="00200A84">
        <w:rPr>
          <w:lang w:val="en-GB"/>
        </w:rPr>
        <w:t xml:space="preserve"> (MISAU)</w:t>
      </w:r>
      <w:r w:rsidRPr="00972B61">
        <w:rPr>
          <w:lang w:val="en-GB"/>
        </w:rPr>
        <w:t xml:space="preserve">, UNDP will </w:t>
      </w:r>
      <w:r w:rsidR="00411005" w:rsidRPr="00972B61">
        <w:rPr>
          <w:lang w:val="en-GB"/>
        </w:rPr>
        <w:t xml:space="preserve">enhance its support </w:t>
      </w:r>
      <w:r w:rsidRPr="00972B61">
        <w:rPr>
          <w:lang w:val="en-GB"/>
        </w:rPr>
        <w:t>for innovative public health governance</w:t>
      </w:r>
      <w:r w:rsidR="00BB6E4F" w:rsidRPr="00972B61">
        <w:rPr>
          <w:lang w:val="en-GB"/>
        </w:rPr>
        <w:t>, str</w:t>
      </w:r>
      <w:r w:rsidRPr="00972B61">
        <w:rPr>
          <w:lang w:val="en-GB"/>
        </w:rPr>
        <w:t>engthen</w:t>
      </w:r>
      <w:r w:rsidR="00BB6E4F" w:rsidRPr="00972B61">
        <w:rPr>
          <w:lang w:val="en-GB"/>
        </w:rPr>
        <w:t xml:space="preserve">ing </w:t>
      </w:r>
      <w:r w:rsidRPr="00972B61">
        <w:rPr>
          <w:lang w:val="en-GB"/>
        </w:rPr>
        <w:t>the resilience of health systems</w:t>
      </w:r>
      <w:r w:rsidR="00BC7806" w:rsidRPr="00972B61">
        <w:rPr>
          <w:lang w:val="en-GB"/>
        </w:rPr>
        <w:t xml:space="preserve"> and infrastructure</w:t>
      </w:r>
      <w:r w:rsidR="00BB6E4F" w:rsidRPr="00972B61">
        <w:rPr>
          <w:lang w:val="en-GB"/>
        </w:rPr>
        <w:t xml:space="preserve">, particularly during crises, and </w:t>
      </w:r>
      <w:r w:rsidRPr="00972B61">
        <w:rPr>
          <w:lang w:val="en-GB"/>
        </w:rPr>
        <w:t>promot</w:t>
      </w:r>
      <w:r w:rsidR="00BB6E4F" w:rsidRPr="00972B61">
        <w:rPr>
          <w:lang w:val="en-GB"/>
        </w:rPr>
        <w:t>ing</w:t>
      </w:r>
      <w:r w:rsidRPr="00972B61">
        <w:rPr>
          <w:lang w:val="en-GB"/>
        </w:rPr>
        <w:t xml:space="preserve"> equitable access to health services</w:t>
      </w:r>
      <w:r w:rsidR="00BB6E4F" w:rsidRPr="00972B61">
        <w:rPr>
          <w:lang w:val="en-GB"/>
        </w:rPr>
        <w:t>.</w:t>
      </w:r>
      <w:r w:rsidR="008169BB" w:rsidRPr="00972B61">
        <w:rPr>
          <w:lang w:val="en-GB"/>
        </w:rPr>
        <w:t xml:space="preserve"> UNDP will build on its experience to accelerate its wider support to post</w:t>
      </w:r>
      <w:r w:rsidR="003F6843">
        <w:rPr>
          <w:lang w:val="en-GB"/>
        </w:rPr>
        <w:t>-</w:t>
      </w:r>
      <w:r w:rsidR="008169BB" w:rsidRPr="00972B61">
        <w:rPr>
          <w:lang w:val="en-GB"/>
        </w:rPr>
        <w:t>cyclone and post</w:t>
      </w:r>
      <w:r w:rsidR="00F57016">
        <w:rPr>
          <w:lang w:val="en-GB"/>
        </w:rPr>
        <w:t>-</w:t>
      </w:r>
      <w:r w:rsidR="008169BB" w:rsidRPr="00972B61">
        <w:rPr>
          <w:lang w:val="en-GB"/>
        </w:rPr>
        <w:t>conflict reconstruction of public infrastructure for the delivery of social services</w:t>
      </w:r>
      <w:r w:rsidR="002D161A" w:rsidRPr="00972B61">
        <w:rPr>
          <w:lang w:val="en-GB"/>
        </w:rPr>
        <w:t>, in close coordination with other U</w:t>
      </w:r>
      <w:r w:rsidR="00F57016">
        <w:rPr>
          <w:lang w:val="en-GB"/>
        </w:rPr>
        <w:t xml:space="preserve">nited </w:t>
      </w:r>
      <w:r w:rsidR="002D161A" w:rsidRPr="00972B61">
        <w:rPr>
          <w:lang w:val="en-GB"/>
        </w:rPr>
        <w:t>N</w:t>
      </w:r>
      <w:r w:rsidR="00F57016">
        <w:rPr>
          <w:lang w:val="en-GB"/>
        </w:rPr>
        <w:t>ations</w:t>
      </w:r>
      <w:r w:rsidR="002D161A" w:rsidRPr="00972B61">
        <w:rPr>
          <w:lang w:val="en-GB"/>
        </w:rPr>
        <w:t xml:space="preserve"> </w:t>
      </w:r>
      <w:r w:rsidR="00F57016">
        <w:rPr>
          <w:lang w:val="en-GB"/>
        </w:rPr>
        <w:t>organizations</w:t>
      </w:r>
      <w:r w:rsidR="008169BB" w:rsidRPr="00972B61">
        <w:rPr>
          <w:lang w:val="en-GB"/>
        </w:rPr>
        <w:t xml:space="preserve">. Beyond </w:t>
      </w:r>
      <w:r w:rsidR="00C0455D" w:rsidRPr="00972B61">
        <w:rPr>
          <w:lang w:val="en-GB"/>
        </w:rPr>
        <w:t xml:space="preserve">health and social services, UNDP will respond to the request </w:t>
      </w:r>
      <w:r w:rsidR="00F57016">
        <w:rPr>
          <w:lang w:val="en-GB"/>
        </w:rPr>
        <w:t xml:space="preserve">by the </w:t>
      </w:r>
      <w:r w:rsidR="00F57016" w:rsidRPr="00972B61">
        <w:rPr>
          <w:lang w:val="en-GB"/>
        </w:rPr>
        <w:t xml:space="preserve">Government </w:t>
      </w:r>
      <w:r w:rsidR="00F57016">
        <w:rPr>
          <w:lang w:val="en-GB"/>
        </w:rPr>
        <w:t xml:space="preserve">to </w:t>
      </w:r>
      <w:r w:rsidR="00C0455D" w:rsidRPr="00972B61">
        <w:rPr>
          <w:lang w:val="en-GB"/>
        </w:rPr>
        <w:t>focus on justice and security infrastructure.</w:t>
      </w:r>
    </w:p>
    <w:p w14:paraId="258110AD" w14:textId="1B346B50" w:rsidR="00BC7806" w:rsidRPr="00A1146C" w:rsidRDefault="00C86F50" w:rsidP="0083339E">
      <w:pPr>
        <w:pStyle w:val="ListParagraph"/>
        <w:spacing w:after="120" w:line="240" w:lineRule="exact"/>
        <w:ind w:left="1080" w:right="1210"/>
        <w:jc w:val="both"/>
        <w:rPr>
          <w:i/>
          <w:iCs/>
          <w:lang w:val="en-GB"/>
        </w:rPr>
      </w:pPr>
      <w:r w:rsidRPr="00A1146C">
        <w:rPr>
          <w:i/>
          <w:iCs/>
          <w:lang w:val="en-GB"/>
        </w:rPr>
        <w:t>Supporting r</w:t>
      </w:r>
      <w:r w:rsidR="00BC7806" w:rsidRPr="00A1146C">
        <w:rPr>
          <w:i/>
          <w:iCs/>
          <w:lang w:val="en-GB"/>
        </w:rPr>
        <w:t>esilient and inclusive economic recovery and diversification, and sustainable livelihoods</w:t>
      </w:r>
    </w:p>
    <w:p w14:paraId="049E97FF" w14:textId="7355D577" w:rsidR="00DE417D" w:rsidRPr="00972B61" w:rsidRDefault="00BB6E4F" w:rsidP="0083339E">
      <w:pPr>
        <w:pStyle w:val="ListParagraph"/>
        <w:numPr>
          <w:ilvl w:val="0"/>
          <w:numId w:val="37"/>
        </w:numPr>
        <w:spacing w:after="120" w:line="240" w:lineRule="exact"/>
        <w:ind w:left="1080" w:right="1210" w:firstLine="0"/>
        <w:jc w:val="both"/>
        <w:rPr>
          <w:b/>
          <w:bCs/>
          <w:i/>
          <w:iCs/>
          <w:lang w:val="en-GB"/>
        </w:rPr>
      </w:pPr>
      <w:r w:rsidRPr="00972B61">
        <w:rPr>
          <w:lang w:val="en-GB"/>
        </w:rPr>
        <w:t>Capitali</w:t>
      </w:r>
      <w:r w:rsidR="004223DA">
        <w:rPr>
          <w:lang w:val="en-GB"/>
        </w:rPr>
        <w:t>z</w:t>
      </w:r>
      <w:r w:rsidRPr="00972B61">
        <w:rPr>
          <w:lang w:val="en-GB"/>
        </w:rPr>
        <w:t>ing on its</w:t>
      </w:r>
      <w:r w:rsidR="00BC2450" w:rsidRPr="00972B61">
        <w:rPr>
          <w:lang w:val="en-GB"/>
        </w:rPr>
        <w:t xml:space="preserve"> leadership in disaster recovery, </w:t>
      </w:r>
      <w:r w:rsidR="003C7A50" w:rsidRPr="00972B61">
        <w:rPr>
          <w:lang w:val="en-GB"/>
        </w:rPr>
        <w:t>and in coordination with</w:t>
      </w:r>
      <w:r w:rsidR="00480546" w:rsidRPr="00972B61">
        <w:rPr>
          <w:lang w:val="en-GB"/>
        </w:rPr>
        <w:t xml:space="preserve"> key national partners</w:t>
      </w:r>
      <w:r w:rsidR="003C7A50" w:rsidRPr="00972B61">
        <w:rPr>
          <w:lang w:val="en-GB"/>
        </w:rPr>
        <w:t xml:space="preserve"> </w:t>
      </w:r>
      <w:r w:rsidR="00480546" w:rsidRPr="00972B61">
        <w:rPr>
          <w:lang w:val="en-GB"/>
        </w:rPr>
        <w:t>and U</w:t>
      </w:r>
      <w:r w:rsidR="004223DA">
        <w:rPr>
          <w:lang w:val="en-GB"/>
        </w:rPr>
        <w:t xml:space="preserve">nited </w:t>
      </w:r>
      <w:r w:rsidR="00480546" w:rsidRPr="00972B61">
        <w:rPr>
          <w:lang w:val="en-GB"/>
        </w:rPr>
        <w:t>N</w:t>
      </w:r>
      <w:r w:rsidR="004223DA">
        <w:rPr>
          <w:lang w:val="en-GB"/>
        </w:rPr>
        <w:t>ations</w:t>
      </w:r>
      <w:r w:rsidR="00480546" w:rsidRPr="00972B61">
        <w:rPr>
          <w:lang w:val="en-GB"/>
        </w:rPr>
        <w:t xml:space="preserve"> </w:t>
      </w:r>
      <w:r w:rsidR="004223DA">
        <w:rPr>
          <w:lang w:val="en-GB"/>
        </w:rPr>
        <w:t>organizations</w:t>
      </w:r>
      <w:r w:rsidR="003C7A50" w:rsidRPr="00972B61">
        <w:rPr>
          <w:lang w:val="en-GB"/>
        </w:rPr>
        <w:t xml:space="preserve">, </w:t>
      </w:r>
      <w:r w:rsidR="00BC2450" w:rsidRPr="00972B61">
        <w:rPr>
          <w:lang w:val="en-GB"/>
        </w:rPr>
        <w:t xml:space="preserve">UNDP will </w:t>
      </w:r>
      <w:r w:rsidR="003C7A50" w:rsidRPr="00972B61">
        <w:rPr>
          <w:lang w:val="en-GB"/>
        </w:rPr>
        <w:t xml:space="preserve">scale up </w:t>
      </w:r>
      <w:r w:rsidR="00BC2450" w:rsidRPr="00972B61">
        <w:rPr>
          <w:lang w:val="en-GB"/>
        </w:rPr>
        <w:t xml:space="preserve">multidimensional </w:t>
      </w:r>
      <w:r w:rsidR="00BC7806" w:rsidRPr="00972B61">
        <w:rPr>
          <w:lang w:val="en-GB"/>
        </w:rPr>
        <w:t xml:space="preserve">and </w:t>
      </w:r>
      <w:r w:rsidR="00BC2450" w:rsidRPr="00972B61">
        <w:rPr>
          <w:lang w:val="en-GB"/>
        </w:rPr>
        <w:t xml:space="preserve">innovative approaches </w:t>
      </w:r>
      <w:r w:rsidRPr="00972B61">
        <w:rPr>
          <w:lang w:val="en-GB"/>
        </w:rPr>
        <w:t>to leverag</w:t>
      </w:r>
      <w:r w:rsidR="00827228">
        <w:rPr>
          <w:lang w:val="en-GB"/>
        </w:rPr>
        <w:t>e</w:t>
      </w:r>
      <w:r w:rsidRPr="00972B61">
        <w:rPr>
          <w:lang w:val="en-GB"/>
        </w:rPr>
        <w:t xml:space="preserve"> the </w:t>
      </w:r>
      <w:r w:rsidR="00D17B81" w:rsidRPr="00972B61">
        <w:rPr>
          <w:lang w:val="en-GB"/>
        </w:rPr>
        <w:t>humanitarian-development-peace nexus</w:t>
      </w:r>
      <w:r w:rsidR="00BC2450" w:rsidRPr="00972B61">
        <w:rPr>
          <w:lang w:val="en-GB"/>
        </w:rPr>
        <w:t xml:space="preserve"> </w:t>
      </w:r>
      <w:r w:rsidR="005C3550" w:rsidRPr="00972B61">
        <w:rPr>
          <w:lang w:val="en-GB"/>
        </w:rPr>
        <w:t xml:space="preserve">as a </w:t>
      </w:r>
      <w:r w:rsidRPr="00972B61">
        <w:rPr>
          <w:lang w:val="en-GB"/>
        </w:rPr>
        <w:t>way</w:t>
      </w:r>
      <w:r w:rsidR="00BC2450" w:rsidRPr="00972B61">
        <w:rPr>
          <w:lang w:val="en-GB"/>
        </w:rPr>
        <w:t xml:space="preserve"> </w:t>
      </w:r>
      <w:r w:rsidR="00BC7806" w:rsidRPr="00972B61">
        <w:rPr>
          <w:lang w:val="en-GB"/>
        </w:rPr>
        <w:t xml:space="preserve">to </w:t>
      </w:r>
      <w:r w:rsidRPr="00972B61">
        <w:rPr>
          <w:lang w:val="en-GB"/>
        </w:rPr>
        <w:t xml:space="preserve">strengthen </w:t>
      </w:r>
      <w:r w:rsidR="00BC2450" w:rsidRPr="00972B61">
        <w:rPr>
          <w:lang w:val="en-GB"/>
        </w:rPr>
        <w:t>community and economic resilience to disasters and violent conflict</w:t>
      </w:r>
      <w:r w:rsidR="00C0455D" w:rsidRPr="00972B61">
        <w:rPr>
          <w:lang w:val="en-GB"/>
        </w:rPr>
        <w:t>, with particular attention to women and youth</w:t>
      </w:r>
      <w:r w:rsidR="003C7A50" w:rsidRPr="00972B61">
        <w:rPr>
          <w:lang w:val="en-GB"/>
        </w:rPr>
        <w:t xml:space="preserve">. </w:t>
      </w:r>
      <w:r w:rsidR="00C0455D" w:rsidRPr="00972B61">
        <w:rPr>
          <w:lang w:val="en-GB"/>
        </w:rPr>
        <w:t>UNDP will accelerate the implementation of t</w:t>
      </w:r>
      <w:r w:rsidR="00BC2450" w:rsidRPr="00972B61">
        <w:rPr>
          <w:lang w:val="en-GB"/>
        </w:rPr>
        <w:t>he Mozambique Recovery Facilit</w:t>
      </w:r>
      <w:r w:rsidR="00FF7CEE">
        <w:rPr>
          <w:lang w:val="en-GB"/>
        </w:rPr>
        <w:t>y</w:t>
      </w:r>
      <w:r w:rsidR="00C0455D" w:rsidRPr="00972B61">
        <w:rPr>
          <w:lang w:val="en-GB"/>
        </w:rPr>
        <w:t xml:space="preserve"> and further expand the </w:t>
      </w:r>
      <w:r w:rsidR="00FF7CEE">
        <w:rPr>
          <w:lang w:val="en-GB"/>
        </w:rPr>
        <w:t xml:space="preserve">facility’s </w:t>
      </w:r>
      <w:r w:rsidR="00C0455D" w:rsidRPr="00972B61">
        <w:rPr>
          <w:lang w:val="en-GB"/>
        </w:rPr>
        <w:t>area</w:t>
      </w:r>
      <w:r w:rsidR="00FF7CEE">
        <w:rPr>
          <w:lang w:val="en-GB"/>
        </w:rPr>
        <w:t>-</w:t>
      </w:r>
      <w:r w:rsidR="00C0455D" w:rsidRPr="00972B61">
        <w:rPr>
          <w:lang w:val="en-GB"/>
        </w:rPr>
        <w:t>based model for post</w:t>
      </w:r>
      <w:r w:rsidR="00FF7CEE">
        <w:rPr>
          <w:lang w:val="en-GB"/>
        </w:rPr>
        <w:t>-</w:t>
      </w:r>
      <w:r w:rsidR="00C0455D" w:rsidRPr="00972B61">
        <w:rPr>
          <w:lang w:val="en-GB"/>
        </w:rPr>
        <w:t>disaster response to</w:t>
      </w:r>
      <w:r w:rsidR="00BC2450" w:rsidRPr="00972B61">
        <w:rPr>
          <w:lang w:val="en-GB"/>
        </w:rPr>
        <w:t xml:space="preserve"> simultaneously integrate </w:t>
      </w:r>
      <w:r w:rsidR="000A02F1" w:rsidRPr="00972B61">
        <w:rPr>
          <w:lang w:val="en-GB"/>
        </w:rPr>
        <w:t xml:space="preserve">rights-based </w:t>
      </w:r>
      <w:r w:rsidR="00BC2450" w:rsidRPr="00972B61">
        <w:rPr>
          <w:lang w:val="en-GB"/>
        </w:rPr>
        <w:t xml:space="preserve">interventions </w:t>
      </w:r>
      <w:r w:rsidR="00B47094" w:rsidRPr="00972B61">
        <w:rPr>
          <w:lang w:val="en-GB"/>
        </w:rPr>
        <w:t xml:space="preserve">that </w:t>
      </w:r>
      <w:bookmarkStart w:id="9" w:name="_Hlk84413734"/>
      <w:r w:rsidR="00BC2450" w:rsidRPr="00972B61">
        <w:rPr>
          <w:lang w:val="en-GB"/>
        </w:rPr>
        <w:t>support human development</w:t>
      </w:r>
      <w:r w:rsidR="00B47094" w:rsidRPr="00972B61">
        <w:rPr>
          <w:lang w:val="en-GB"/>
        </w:rPr>
        <w:t xml:space="preserve">, </w:t>
      </w:r>
      <w:bookmarkStart w:id="10" w:name="_Hlk84414960"/>
      <w:r w:rsidR="00834A92" w:rsidRPr="00972B61">
        <w:rPr>
          <w:lang w:val="en-GB"/>
        </w:rPr>
        <w:t xml:space="preserve">access to basic services, </w:t>
      </w:r>
      <w:r w:rsidR="00025EFE" w:rsidRPr="00972B61">
        <w:rPr>
          <w:lang w:val="en-GB"/>
        </w:rPr>
        <w:t xml:space="preserve">inclusive </w:t>
      </w:r>
      <w:r w:rsidR="00BC2450" w:rsidRPr="00972B61">
        <w:rPr>
          <w:lang w:val="en-GB"/>
        </w:rPr>
        <w:t>economic recovery and diversification</w:t>
      </w:r>
      <w:r w:rsidR="00C0455D" w:rsidRPr="00972B61">
        <w:rPr>
          <w:lang w:val="en-GB"/>
        </w:rPr>
        <w:t xml:space="preserve">. On similar grounds, as part of its </w:t>
      </w:r>
      <w:r w:rsidR="00827228">
        <w:rPr>
          <w:lang w:val="en-GB"/>
        </w:rPr>
        <w:t>ongoing</w:t>
      </w:r>
      <w:r w:rsidR="00C0455D" w:rsidRPr="00972B61">
        <w:rPr>
          <w:lang w:val="en-GB"/>
        </w:rPr>
        <w:t xml:space="preserve"> support in the province of Cabo Delgado, </w:t>
      </w:r>
      <w:r w:rsidR="001E252E" w:rsidRPr="00972B61">
        <w:rPr>
          <w:lang w:val="en-GB"/>
        </w:rPr>
        <w:t>UNDP</w:t>
      </w:r>
      <w:r w:rsidR="00C0455D" w:rsidRPr="00972B61">
        <w:rPr>
          <w:lang w:val="en-GB"/>
        </w:rPr>
        <w:t xml:space="preserve"> will develop and implement a </w:t>
      </w:r>
      <w:bookmarkEnd w:id="10"/>
      <w:r w:rsidR="001E252E" w:rsidRPr="00972B61">
        <w:rPr>
          <w:lang w:val="en-GB"/>
        </w:rPr>
        <w:t>post</w:t>
      </w:r>
      <w:r w:rsidR="00FF7CEE">
        <w:rPr>
          <w:lang w:val="en-GB"/>
        </w:rPr>
        <w:t>-</w:t>
      </w:r>
      <w:r w:rsidR="001E252E" w:rsidRPr="00972B61">
        <w:rPr>
          <w:lang w:val="en-GB"/>
        </w:rPr>
        <w:t xml:space="preserve">conflict engagement </w:t>
      </w:r>
      <w:r w:rsidR="00992589" w:rsidRPr="00972B61">
        <w:rPr>
          <w:lang w:val="en-GB"/>
        </w:rPr>
        <w:t>programme</w:t>
      </w:r>
      <w:r w:rsidR="00FF7CEE">
        <w:rPr>
          <w:lang w:val="en-GB"/>
        </w:rPr>
        <w:t>,</w:t>
      </w:r>
      <w:r w:rsidR="00992589" w:rsidRPr="00972B61">
        <w:rPr>
          <w:lang w:val="en-GB"/>
        </w:rPr>
        <w:t xml:space="preserve"> </w:t>
      </w:r>
      <w:r w:rsidR="001E252E" w:rsidRPr="00972B61">
        <w:rPr>
          <w:lang w:val="en-GB"/>
        </w:rPr>
        <w:t xml:space="preserve">adding to </w:t>
      </w:r>
      <w:r w:rsidR="00992589" w:rsidRPr="00972B61">
        <w:rPr>
          <w:lang w:val="en-GB"/>
        </w:rPr>
        <w:t>infrastructure</w:t>
      </w:r>
      <w:r w:rsidR="001E252E" w:rsidRPr="00972B61">
        <w:rPr>
          <w:lang w:val="en-GB"/>
        </w:rPr>
        <w:t xml:space="preserve"> </w:t>
      </w:r>
      <w:r w:rsidR="00992589" w:rsidRPr="00972B61">
        <w:rPr>
          <w:lang w:val="en-GB"/>
        </w:rPr>
        <w:t xml:space="preserve">and institutional support </w:t>
      </w:r>
      <w:r w:rsidR="00827228">
        <w:rPr>
          <w:lang w:val="en-GB"/>
        </w:rPr>
        <w:t xml:space="preserve">for </w:t>
      </w:r>
      <w:r w:rsidR="001E252E" w:rsidRPr="00972B61">
        <w:rPr>
          <w:lang w:val="en-GB"/>
        </w:rPr>
        <w:t xml:space="preserve">inclusive economic recovery </w:t>
      </w:r>
      <w:r w:rsidR="00992589" w:rsidRPr="00972B61">
        <w:rPr>
          <w:lang w:val="en-GB"/>
        </w:rPr>
        <w:t xml:space="preserve">focusing on women and youth. </w:t>
      </w:r>
      <w:r w:rsidR="00827228">
        <w:rPr>
          <w:lang w:val="en-GB"/>
        </w:rPr>
        <w:t>These</w:t>
      </w:r>
      <w:r w:rsidR="00992589" w:rsidRPr="00972B61">
        <w:rPr>
          <w:lang w:val="en-GB"/>
        </w:rPr>
        <w:t xml:space="preserve"> </w:t>
      </w:r>
      <w:r w:rsidR="00E9182B" w:rsidRPr="00972B61">
        <w:rPr>
          <w:lang w:val="en-GB"/>
        </w:rPr>
        <w:t xml:space="preserve">will be supported </w:t>
      </w:r>
      <w:r w:rsidR="00992589" w:rsidRPr="00972B61">
        <w:rPr>
          <w:lang w:val="en-GB"/>
        </w:rPr>
        <w:t xml:space="preserve">and documented </w:t>
      </w:r>
      <w:r w:rsidR="00827228">
        <w:rPr>
          <w:lang w:val="en-GB"/>
        </w:rPr>
        <w:t xml:space="preserve">through </w:t>
      </w:r>
      <w:r w:rsidR="00992589" w:rsidRPr="00972B61">
        <w:rPr>
          <w:lang w:val="en-GB"/>
        </w:rPr>
        <w:t xml:space="preserve">innovative </w:t>
      </w:r>
      <w:r w:rsidR="00E9182B" w:rsidRPr="00972B61">
        <w:rPr>
          <w:lang w:val="en-GB"/>
        </w:rPr>
        <w:t>community monitoring methodologies</w:t>
      </w:r>
      <w:r w:rsidR="004C765C">
        <w:rPr>
          <w:lang w:val="en-GB"/>
        </w:rPr>
        <w:t xml:space="preserve"> </w:t>
      </w:r>
      <w:r w:rsidR="00E9182B" w:rsidRPr="00972B61">
        <w:rPr>
          <w:lang w:val="en-GB"/>
        </w:rPr>
        <w:t>tested in other countr</w:t>
      </w:r>
      <w:r w:rsidR="00D17B81" w:rsidRPr="00972B61">
        <w:rPr>
          <w:lang w:val="en-GB"/>
        </w:rPr>
        <w:t>ies</w:t>
      </w:r>
      <w:r w:rsidR="00E9182B" w:rsidRPr="00972B61">
        <w:rPr>
          <w:lang w:val="en-GB"/>
        </w:rPr>
        <w:t xml:space="preserve">. </w:t>
      </w:r>
      <w:r w:rsidR="00025EFE" w:rsidRPr="00972B61">
        <w:rPr>
          <w:lang w:val="en-GB"/>
        </w:rPr>
        <w:t xml:space="preserve">A focus on the informal economy and building social capital </w:t>
      </w:r>
      <w:r w:rsidR="00FF7CEE">
        <w:rPr>
          <w:lang w:val="en-GB"/>
        </w:rPr>
        <w:t xml:space="preserve">by </w:t>
      </w:r>
      <w:r w:rsidR="00025EFE" w:rsidRPr="00972B61">
        <w:rPr>
          <w:lang w:val="en-GB"/>
        </w:rPr>
        <w:t xml:space="preserve">enhancing knowledge, </w:t>
      </w:r>
      <w:r w:rsidR="00DE417D" w:rsidRPr="00972B61">
        <w:rPr>
          <w:lang w:val="en-GB"/>
        </w:rPr>
        <w:t xml:space="preserve">vocational </w:t>
      </w:r>
      <w:r w:rsidR="00025EFE" w:rsidRPr="00972B61">
        <w:rPr>
          <w:lang w:val="en-GB"/>
        </w:rPr>
        <w:t xml:space="preserve">skills and capacities </w:t>
      </w:r>
      <w:r w:rsidR="003C7A50" w:rsidRPr="00972B61">
        <w:rPr>
          <w:lang w:val="en-GB"/>
        </w:rPr>
        <w:t>will</w:t>
      </w:r>
      <w:r w:rsidR="00025EFE" w:rsidRPr="00972B61">
        <w:rPr>
          <w:lang w:val="en-GB"/>
        </w:rPr>
        <w:t xml:space="preserve"> support more diverse and sustainable livelihoods. </w:t>
      </w:r>
      <w:r w:rsidR="00992589" w:rsidRPr="00972B61">
        <w:rPr>
          <w:lang w:val="en-GB"/>
        </w:rPr>
        <w:t xml:space="preserve">Where applicable, </w:t>
      </w:r>
      <w:r w:rsidR="00FF7CEE">
        <w:rPr>
          <w:lang w:val="en-GB"/>
        </w:rPr>
        <w:t>UNDP will support small and medium-size enterprises (SMEs)</w:t>
      </w:r>
      <w:r w:rsidR="00025EFE" w:rsidRPr="00972B61">
        <w:rPr>
          <w:lang w:val="en-GB"/>
        </w:rPr>
        <w:t>, particularly those led by women, to access digital financial services and exchange technologies.</w:t>
      </w:r>
      <w:r w:rsidR="003C7A50" w:rsidRPr="00972B61">
        <w:rPr>
          <w:lang w:val="en-GB"/>
        </w:rPr>
        <w:t xml:space="preserve"> </w:t>
      </w:r>
      <w:bookmarkEnd w:id="9"/>
    </w:p>
    <w:p w14:paraId="5B03C13B" w14:textId="463BF123" w:rsidR="00636346" w:rsidRPr="00A1146C" w:rsidRDefault="00C86F50" w:rsidP="0083339E">
      <w:pPr>
        <w:pStyle w:val="ListParagraph"/>
        <w:spacing w:after="120" w:line="240" w:lineRule="exact"/>
        <w:ind w:left="1080" w:right="1210"/>
        <w:jc w:val="both"/>
        <w:rPr>
          <w:i/>
          <w:iCs/>
          <w:lang w:val="en-GB"/>
        </w:rPr>
      </w:pPr>
      <w:r w:rsidRPr="00A1146C">
        <w:rPr>
          <w:i/>
          <w:iCs/>
          <w:lang w:val="en-GB"/>
        </w:rPr>
        <w:t>Strengthening c</w:t>
      </w:r>
      <w:r w:rsidR="00636346" w:rsidRPr="00A1146C">
        <w:rPr>
          <w:i/>
          <w:iCs/>
          <w:lang w:val="en-GB"/>
        </w:rPr>
        <w:t>limate resilience and the sustainable use of natural resources</w:t>
      </w:r>
    </w:p>
    <w:p w14:paraId="1AFEBCD6" w14:textId="1626ED4B" w:rsidR="001B4D76" w:rsidRPr="00972B61" w:rsidRDefault="0015181D" w:rsidP="0083339E">
      <w:pPr>
        <w:pStyle w:val="ListParagraph"/>
        <w:numPr>
          <w:ilvl w:val="0"/>
          <w:numId w:val="37"/>
        </w:numPr>
        <w:spacing w:after="120" w:line="240" w:lineRule="exact"/>
        <w:ind w:left="1080" w:right="1210" w:firstLine="0"/>
        <w:jc w:val="both"/>
        <w:rPr>
          <w:lang w:val="en-GB"/>
        </w:rPr>
      </w:pPr>
      <w:r w:rsidRPr="00972B61">
        <w:rPr>
          <w:lang w:val="en-GB"/>
        </w:rPr>
        <w:t>UNDP will leverage its thought</w:t>
      </w:r>
      <w:r w:rsidR="00FF7CEE">
        <w:rPr>
          <w:lang w:val="en-GB"/>
        </w:rPr>
        <w:t>-</w:t>
      </w:r>
      <w:r w:rsidRPr="00972B61">
        <w:rPr>
          <w:lang w:val="en-GB"/>
        </w:rPr>
        <w:t xml:space="preserve">leadership in environmental, natural resources, disaster risk and climate change management to enhance high-level dialogue with </w:t>
      </w:r>
      <w:r w:rsidR="00FF7CEE">
        <w:rPr>
          <w:lang w:val="en-GB"/>
        </w:rPr>
        <w:t>the G</w:t>
      </w:r>
      <w:r w:rsidRPr="00972B61">
        <w:rPr>
          <w:lang w:val="en-GB"/>
        </w:rPr>
        <w:t xml:space="preserve">overnment </w:t>
      </w:r>
      <w:r w:rsidR="00D17B81" w:rsidRPr="00972B61">
        <w:rPr>
          <w:lang w:val="en-GB"/>
        </w:rPr>
        <w:t xml:space="preserve">and </w:t>
      </w:r>
      <w:r w:rsidRPr="00972B61">
        <w:rPr>
          <w:lang w:val="en-GB"/>
        </w:rPr>
        <w:t xml:space="preserve">advocate for </w:t>
      </w:r>
      <w:r w:rsidR="00992589" w:rsidRPr="00972B61">
        <w:rPr>
          <w:lang w:val="en-GB"/>
        </w:rPr>
        <w:t>increased integration</w:t>
      </w:r>
      <w:r w:rsidR="00D17B81" w:rsidRPr="00972B61">
        <w:rPr>
          <w:lang w:val="en-GB"/>
        </w:rPr>
        <w:t xml:space="preserve"> of</w:t>
      </w:r>
      <w:r w:rsidRPr="00972B61">
        <w:rPr>
          <w:lang w:val="en-GB"/>
        </w:rPr>
        <w:t xml:space="preserve"> these issues </w:t>
      </w:r>
      <w:r w:rsidR="00992589" w:rsidRPr="00972B61">
        <w:rPr>
          <w:lang w:val="en-GB"/>
        </w:rPr>
        <w:t xml:space="preserve">in national plans and budgets, working </w:t>
      </w:r>
      <w:r w:rsidR="00BF3928" w:rsidRPr="00972B61">
        <w:rPr>
          <w:lang w:val="en-GB"/>
        </w:rPr>
        <w:t>to</w:t>
      </w:r>
      <w:r w:rsidR="00B64BF7" w:rsidRPr="00972B61">
        <w:rPr>
          <w:lang w:val="en-GB"/>
        </w:rPr>
        <w:t xml:space="preserve"> fill dat</w:t>
      </w:r>
      <w:r w:rsidR="00BF3928" w:rsidRPr="00972B61">
        <w:rPr>
          <w:lang w:val="en-GB"/>
        </w:rPr>
        <w:t>a</w:t>
      </w:r>
      <w:r w:rsidR="00FF7CEE">
        <w:rPr>
          <w:lang w:val="en-GB"/>
        </w:rPr>
        <w:t xml:space="preserve"> </w:t>
      </w:r>
      <w:r w:rsidR="00B64BF7" w:rsidRPr="00972B61">
        <w:rPr>
          <w:lang w:val="en-GB"/>
        </w:rPr>
        <w:t xml:space="preserve">gaps </w:t>
      </w:r>
      <w:r w:rsidRPr="00972B61">
        <w:rPr>
          <w:lang w:val="en-GB"/>
        </w:rPr>
        <w:t xml:space="preserve">and </w:t>
      </w:r>
      <w:r w:rsidR="00992589" w:rsidRPr="00972B61">
        <w:rPr>
          <w:lang w:val="en-GB"/>
        </w:rPr>
        <w:t>supporting whole</w:t>
      </w:r>
      <w:r w:rsidR="00FF7CEE">
        <w:rPr>
          <w:lang w:val="en-GB"/>
        </w:rPr>
        <w:t>-</w:t>
      </w:r>
      <w:r w:rsidR="00992589" w:rsidRPr="00972B61">
        <w:rPr>
          <w:lang w:val="en-GB"/>
        </w:rPr>
        <w:t>of</w:t>
      </w:r>
      <w:r w:rsidR="00FF7CEE">
        <w:rPr>
          <w:lang w:val="en-GB"/>
        </w:rPr>
        <w:t>-g</w:t>
      </w:r>
      <w:r w:rsidR="00992589" w:rsidRPr="00972B61">
        <w:rPr>
          <w:lang w:val="en-GB"/>
        </w:rPr>
        <w:t>overnment approaches promoting</w:t>
      </w:r>
      <w:r w:rsidRPr="00972B61">
        <w:rPr>
          <w:lang w:val="en-GB"/>
        </w:rPr>
        <w:t xml:space="preserve"> stronger multi</w:t>
      </w:r>
      <w:r w:rsidR="00FF7CEE">
        <w:rPr>
          <w:lang w:val="en-GB"/>
        </w:rPr>
        <w:t>-</w:t>
      </w:r>
      <w:r w:rsidRPr="00972B61">
        <w:rPr>
          <w:lang w:val="en-GB"/>
        </w:rPr>
        <w:t>sector</w:t>
      </w:r>
      <w:r w:rsidR="00BF3928" w:rsidRPr="00972B61">
        <w:rPr>
          <w:lang w:val="en-GB"/>
        </w:rPr>
        <w:t>al</w:t>
      </w:r>
      <w:r w:rsidRPr="00972B61">
        <w:rPr>
          <w:lang w:val="en-GB"/>
        </w:rPr>
        <w:t xml:space="preserve"> coordination and policy coherence. </w:t>
      </w:r>
      <w:r w:rsidR="001B4D76" w:rsidRPr="00972B61">
        <w:rPr>
          <w:lang w:val="en-GB"/>
        </w:rPr>
        <w:t>Partnering</w:t>
      </w:r>
      <w:r w:rsidRPr="00972B61">
        <w:rPr>
          <w:lang w:val="en-GB"/>
        </w:rPr>
        <w:t xml:space="preserve"> with UNEP, and based on </w:t>
      </w:r>
      <w:r w:rsidR="00FF7CEE">
        <w:rPr>
          <w:lang w:val="en-GB"/>
        </w:rPr>
        <w:t>the country’s c</w:t>
      </w:r>
      <w:r w:rsidRPr="00972B61">
        <w:rPr>
          <w:lang w:val="en-GB"/>
        </w:rPr>
        <w:t xml:space="preserve">limate </w:t>
      </w:r>
      <w:r w:rsidR="00FF7CEE">
        <w:rPr>
          <w:lang w:val="en-GB"/>
        </w:rPr>
        <w:t>f</w:t>
      </w:r>
      <w:r w:rsidRPr="00972B61">
        <w:rPr>
          <w:lang w:val="en-GB"/>
        </w:rPr>
        <w:t xml:space="preserve">inance </w:t>
      </w:r>
      <w:r w:rsidR="00FF7CEE">
        <w:rPr>
          <w:lang w:val="en-GB"/>
        </w:rPr>
        <w:t>s</w:t>
      </w:r>
      <w:r w:rsidRPr="00972B61">
        <w:rPr>
          <w:lang w:val="en-GB"/>
        </w:rPr>
        <w:t xml:space="preserve">trategy, UNDP will deliver its </w:t>
      </w:r>
      <w:r w:rsidR="00FF7CEE">
        <w:rPr>
          <w:lang w:val="en-GB"/>
        </w:rPr>
        <w:t>c</w:t>
      </w:r>
      <w:r w:rsidRPr="00972B61">
        <w:rPr>
          <w:lang w:val="en-GB"/>
        </w:rPr>
        <w:t xml:space="preserve">limate </w:t>
      </w:r>
      <w:r w:rsidR="00FF7CEE">
        <w:rPr>
          <w:lang w:val="en-GB"/>
        </w:rPr>
        <w:t>p</w:t>
      </w:r>
      <w:r w:rsidRPr="00972B61">
        <w:rPr>
          <w:lang w:val="en-GB"/>
        </w:rPr>
        <w:t xml:space="preserve">romise </w:t>
      </w:r>
      <w:r w:rsidR="00FF7CEE">
        <w:rPr>
          <w:lang w:val="en-GB"/>
        </w:rPr>
        <w:t xml:space="preserve">by </w:t>
      </w:r>
      <w:r w:rsidRPr="00972B61">
        <w:rPr>
          <w:lang w:val="en-GB"/>
        </w:rPr>
        <w:t xml:space="preserve">facilitating access to the Global Environment Facility (GEF) and the Green Climate Fund (GCF) to support implementation of </w:t>
      </w:r>
      <w:r w:rsidR="00FF7CEE">
        <w:rPr>
          <w:lang w:val="en-GB"/>
        </w:rPr>
        <w:t xml:space="preserve">the national </w:t>
      </w:r>
      <w:r w:rsidRPr="00972B61">
        <w:rPr>
          <w:lang w:val="en-GB"/>
        </w:rPr>
        <w:t xml:space="preserve">Action Plan for Climate Change, 2020-2025, and deliver on its </w:t>
      </w:r>
      <w:r w:rsidR="00FF7CEE">
        <w:rPr>
          <w:lang w:val="en-GB"/>
        </w:rPr>
        <w:t>n</w:t>
      </w:r>
      <w:r w:rsidRPr="00972B61">
        <w:rPr>
          <w:lang w:val="en-GB"/>
        </w:rPr>
        <w:t xml:space="preserve">ationally </w:t>
      </w:r>
      <w:r w:rsidR="00FF7CEE">
        <w:rPr>
          <w:lang w:val="en-GB"/>
        </w:rPr>
        <w:t>d</w:t>
      </w:r>
      <w:r w:rsidRPr="00972B61">
        <w:rPr>
          <w:lang w:val="en-GB"/>
        </w:rPr>
        <w:t xml:space="preserve">etermined </w:t>
      </w:r>
      <w:r w:rsidR="00FF7CEE">
        <w:rPr>
          <w:lang w:val="en-GB"/>
        </w:rPr>
        <w:t>c</w:t>
      </w:r>
      <w:r w:rsidRPr="00972B61">
        <w:rPr>
          <w:lang w:val="en-GB"/>
        </w:rPr>
        <w:t>ontribution targets</w:t>
      </w:r>
      <w:r w:rsidR="001B4D76" w:rsidRPr="00972B61">
        <w:rPr>
          <w:lang w:val="en-GB"/>
        </w:rPr>
        <w:t>,</w:t>
      </w:r>
      <w:r w:rsidRPr="00972B61">
        <w:rPr>
          <w:lang w:val="en-GB"/>
        </w:rPr>
        <w:t xml:space="preserve"> linking these to the </w:t>
      </w:r>
      <w:r w:rsidR="002A35BB">
        <w:rPr>
          <w:lang w:val="en-GB"/>
        </w:rPr>
        <w:t xml:space="preserve">Sustainable Development Goals </w:t>
      </w:r>
      <w:r w:rsidRPr="00972B61">
        <w:rPr>
          <w:lang w:val="en-GB"/>
        </w:rPr>
        <w:t xml:space="preserve">financing strategy. Leveraging support from </w:t>
      </w:r>
      <w:r w:rsidR="00FF7CEE">
        <w:rPr>
          <w:lang w:val="en-GB"/>
        </w:rPr>
        <w:t xml:space="preserve">the </w:t>
      </w:r>
      <w:r w:rsidRPr="00972B61">
        <w:rPr>
          <w:lang w:val="en-GB"/>
        </w:rPr>
        <w:t>GEF</w:t>
      </w:r>
      <w:r w:rsidR="00FF7CEE">
        <w:rPr>
          <w:lang w:val="en-GB"/>
        </w:rPr>
        <w:t xml:space="preserve"> Least Developed Countries Fund (</w:t>
      </w:r>
      <w:r w:rsidRPr="00972B61">
        <w:rPr>
          <w:lang w:val="en-GB"/>
        </w:rPr>
        <w:t>LDCF</w:t>
      </w:r>
      <w:r w:rsidR="00FF7CEE">
        <w:rPr>
          <w:lang w:val="en-GB"/>
        </w:rPr>
        <w:t>)</w:t>
      </w:r>
      <w:r w:rsidR="00382533">
        <w:rPr>
          <w:lang w:val="en-GB"/>
        </w:rPr>
        <w:t>, UNDP</w:t>
      </w:r>
      <w:r w:rsidRPr="00972B61">
        <w:rPr>
          <w:lang w:val="en-GB"/>
        </w:rPr>
        <w:t xml:space="preserve"> will strengthen the capacity of communities and district </w:t>
      </w:r>
      <w:r w:rsidR="00FF7CEE">
        <w:rPr>
          <w:lang w:val="en-GB"/>
        </w:rPr>
        <w:t>g</w:t>
      </w:r>
      <w:r w:rsidRPr="00972B61">
        <w:rPr>
          <w:lang w:val="en-GB"/>
        </w:rPr>
        <w:t>overnments to plan for</w:t>
      </w:r>
      <w:r w:rsidR="001B4D76" w:rsidRPr="00972B61">
        <w:rPr>
          <w:lang w:val="en-GB"/>
        </w:rPr>
        <w:t>,</w:t>
      </w:r>
      <w:r w:rsidRPr="00972B61">
        <w:rPr>
          <w:lang w:val="en-GB"/>
        </w:rPr>
        <w:t xml:space="preserve"> and adapt to</w:t>
      </w:r>
      <w:r w:rsidR="001B4D76" w:rsidRPr="00972B61">
        <w:rPr>
          <w:lang w:val="en-GB"/>
        </w:rPr>
        <w:t>,</w:t>
      </w:r>
      <w:r w:rsidRPr="00972B61">
        <w:rPr>
          <w:lang w:val="en-GB"/>
        </w:rPr>
        <w:t xml:space="preserve"> climate change and increas</w:t>
      </w:r>
      <w:r w:rsidR="00FF7CEE">
        <w:rPr>
          <w:lang w:val="en-GB"/>
        </w:rPr>
        <w:t>e</w:t>
      </w:r>
      <w:r w:rsidRPr="00972B61">
        <w:rPr>
          <w:lang w:val="en-GB"/>
        </w:rPr>
        <w:t xml:space="preserve"> the resilience of vulnerable communities and</w:t>
      </w:r>
      <w:r w:rsidR="00350E3C" w:rsidRPr="00972B61">
        <w:rPr>
          <w:lang w:val="en-GB"/>
        </w:rPr>
        <w:t xml:space="preserve"> sustainability of</w:t>
      </w:r>
      <w:r w:rsidR="004C765C">
        <w:rPr>
          <w:lang w:val="en-GB"/>
        </w:rPr>
        <w:t xml:space="preserve"> </w:t>
      </w:r>
      <w:r w:rsidRPr="00972B61">
        <w:rPr>
          <w:lang w:val="en-GB"/>
        </w:rPr>
        <w:t xml:space="preserve">livelihoods. </w:t>
      </w:r>
    </w:p>
    <w:p w14:paraId="7208A2ED" w14:textId="463630A4" w:rsidR="00234EFE" w:rsidRPr="00972B61" w:rsidRDefault="00E3163A" w:rsidP="0083339E">
      <w:pPr>
        <w:pStyle w:val="ListParagraph"/>
        <w:numPr>
          <w:ilvl w:val="0"/>
          <w:numId w:val="37"/>
        </w:numPr>
        <w:spacing w:after="120" w:line="240" w:lineRule="exact"/>
        <w:ind w:left="1080" w:right="1210" w:firstLine="0"/>
        <w:jc w:val="both"/>
        <w:rPr>
          <w:lang w:val="en-GB"/>
        </w:rPr>
      </w:pPr>
      <w:r w:rsidRPr="00972B61">
        <w:rPr>
          <w:lang w:val="en-GB"/>
        </w:rPr>
        <w:lastRenderedPageBreak/>
        <w:t xml:space="preserve">UNDP will </w:t>
      </w:r>
      <w:r w:rsidR="001B4D76" w:rsidRPr="00972B61">
        <w:rPr>
          <w:lang w:val="en-GB"/>
        </w:rPr>
        <w:t xml:space="preserve">test innovative approaches </w:t>
      </w:r>
      <w:r w:rsidR="00FF7CEE">
        <w:rPr>
          <w:lang w:val="en-GB"/>
        </w:rPr>
        <w:t xml:space="preserve">for </w:t>
      </w:r>
      <w:r w:rsidR="00234EFE" w:rsidRPr="00972B61">
        <w:rPr>
          <w:lang w:val="en-GB"/>
        </w:rPr>
        <w:t>improv</w:t>
      </w:r>
      <w:r w:rsidR="001B4D76" w:rsidRPr="00972B61">
        <w:rPr>
          <w:lang w:val="en-GB"/>
        </w:rPr>
        <w:t>ing</w:t>
      </w:r>
      <w:r w:rsidR="00234EFE" w:rsidRPr="00972B61">
        <w:rPr>
          <w:lang w:val="en-GB"/>
        </w:rPr>
        <w:t xml:space="preserve"> </w:t>
      </w:r>
      <w:bookmarkStart w:id="11" w:name="_Hlk82621479"/>
      <w:r w:rsidR="00234EFE" w:rsidRPr="00972B61">
        <w:rPr>
          <w:lang w:val="en-GB"/>
        </w:rPr>
        <w:t xml:space="preserve">natural resource management and </w:t>
      </w:r>
      <w:bookmarkEnd w:id="11"/>
      <w:r w:rsidR="001B4D76" w:rsidRPr="00972B61">
        <w:rPr>
          <w:lang w:val="en-GB"/>
        </w:rPr>
        <w:t>promoting</w:t>
      </w:r>
      <w:r w:rsidR="00234EFE" w:rsidRPr="00972B61">
        <w:rPr>
          <w:lang w:val="en-GB"/>
        </w:rPr>
        <w:t xml:space="preserve"> green and blue economy</w:t>
      </w:r>
      <w:r w:rsidR="00CE2C20" w:rsidRPr="00972B61">
        <w:rPr>
          <w:lang w:val="en-GB"/>
        </w:rPr>
        <w:t xml:space="preserve"> </w:t>
      </w:r>
      <w:r w:rsidR="00FF7CEE">
        <w:rPr>
          <w:lang w:val="en-GB"/>
        </w:rPr>
        <w:t xml:space="preserve">by </w:t>
      </w:r>
      <w:r w:rsidR="00CE2C20" w:rsidRPr="00972B61">
        <w:rPr>
          <w:lang w:val="en-GB"/>
        </w:rPr>
        <w:t>enhanc</w:t>
      </w:r>
      <w:r w:rsidR="001B4D76" w:rsidRPr="00972B61">
        <w:rPr>
          <w:lang w:val="en-GB"/>
        </w:rPr>
        <w:t xml:space="preserve">ing </w:t>
      </w:r>
      <w:r w:rsidR="00CE2C20" w:rsidRPr="00972B61">
        <w:rPr>
          <w:lang w:val="en-GB"/>
        </w:rPr>
        <w:t xml:space="preserve">the technical capacity of national and local institutions and communities and </w:t>
      </w:r>
      <w:r w:rsidR="00FF7CEE">
        <w:rPr>
          <w:lang w:val="en-GB"/>
        </w:rPr>
        <w:t xml:space="preserve">by </w:t>
      </w:r>
      <w:r w:rsidR="00CE2C20" w:rsidRPr="00972B61">
        <w:rPr>
          <w:lang w:val="en-GB"/>
        </w:rPr>
        <w:t>engag</w:t>
      </w:r>
      <w:r w:rsidR="001B4D76" w:rsidRPr="00972B61">
        <w:rPr>
          <w:lang w:val="en-GB"/>
        </w:rPr>
        <w:t xml:space="preserve">ing with </w:t>
      </w:r>
      <w:r w:rsidR="00CE2C20" w:rsidRPr="00972B61">
        <w:rPr>
          <w:lang w:val="en-GB"/>
        </w:rPr>
        <w:t>the private sector, academia and other relevant stakeholders</w:t>
      </w:r>
      <w:r w:rsidR="001B4D76" w:rsidRPr="00972B61">
        <w:rPr>
          <w:lang w:val="en-GB"/>
        </w:rPr>
        <w:t xml:space="preserve">. </w:t>
      </w:r>
      <w:r w:rsidR="00AF3858" w:rsidRPr="00972B61">
        <w:rPr>
          <w:lang w:val="en-GB"/>
        </w:rPr>
        <w:t>P</w:t>
      </w:r>
      <w:r w:rsidR="00CE2C20" w:rsidRPr="00972B61">
        <w:rPr>
          <w:lang w:val="en-GB"/>
        </w:rPr>
        <w:t xml:space="preserve">artnering with </w:t>
      </w:r>
      <w:r w:rsidRPr="00972B61">
        <w:rPr>
          <w:lang w:val="en-GB"/>
        </w:rPr>
        <w:t xml:space="preserve">WHO, </w:t>
      </w:r>
      <w:r w:rsidR="00683ABC" w:rsidRPr="00972B61">
        <w:rPr>
          <w:lang w:val="en-GB"/>
        </w:rPr>
        <w:t xml:space="preserve">UNDP </w:t>
      </w:r>
      <w:r w:rsidR="00A64FF2" w:rsidRPr="00972B61">
        <w:rPr>
          <w:lang w:val="en-GB"/>
        </w:rPr>
        <w:t xml:space="preserve">will support community health workers to manage </w:t>
      </w:r>
      <w:r w:rsidR="00CE2C20" w:rsidRPr="00972B61">
        <w:rPr>
          <w:lang w:val="en-GB"/>
        </w:rPr>
        <w:t>disease</w:t>
      </w:r>
      <w:r w:rsidR="00A64FF2" w:rsidRPr="00972B61">
        <w:rPr>
          <w:lang w:val="en-GB"/>
        </w:rPr>
        <w:t xml:space="preserve"> </w:t>
      </w:r>
      <w:r w:rsidR="001B4D76" w:rsidRPr="00972B61">
        <w:rPr>
          <w:lang w:val="en-GB"/>
        </w:rPr>
        <w:t xml:space="preserve">and improve health services, particularly for women and girls </w:t>
      </w:r>
      <w:r w:rsidR="00A64FF2" w:rsidRPr="00972B61">
        <w:rPr>
          <w:lang w:val="en-GB"/>
        </w:rPr>
        <w:t xml:space="preserve">in post-disaster </w:t>
      </w:r>
      <w:r w:rsidR="001B4D76" w:rsidRPr="00972B61">
        <w:rPr>
          <w:lang w:val="en-GB"/>
        </w:rPr>
        <w:t>recovery context</w:t>
      </w:r>
      <w:r w:rsidR="005009FE" w:rsidRPr="00972B61">
        <w:rPr>
          <w:lang w:val="en-GB"/>
        </w:rPr>
        <w:t>s</w:t>
      </w:r>
      <w:r w:rsidR="00A64FF2" w:rsidRPr="00972B61">
        <w:rPr>
          <w:lang w:val="en-GB"/>
        </w:rPr>
        <w:t>.</w:t>
      </w:r>
      <w:r w:rsidR="001B4D76" w:rsidRPr="00972B61">
        <w:rPr>
          <w:lang w:val="en-GB"/>
        </w:rPr>
        <w:t xml:space="preserve"> </w:t>
      </w:r>
      <w:r w:rsidR="00F85DC1" w:rsidRPr="00972B61">
        <w:rPr>
          <w:lang w:val="en-GB"/>
        </w:rPr>
        <w:t>Upscaling</w:t>
      </w:r>
      <w:r w:rsidR="00234EFE" w:rsidRPr="00972B61">
        <w:rPr>
          <w:lang w:val="en-GB"/>
        </w:rPr>
        <w:t xml:space="preserve"> and strengthen</w:t>
      </w:r>
      <w:r w:rsidR="00F85DC1" w:rsidRPr="00972B61">
        <w:rPr>
          <w:lang w:val="en-GB"/>
        </w:rPr>
        <w:t xml:space="preserve">ing </w:t>
      </w:r>
      <w:r w:rsidR="00234EFE" w:rsidRPr="00972B61">
        <w:rPr>
          <w:lang w:val="en-GB"/>
        </w:rPr>
        <w:t xml:space="preserve">interventions </w:t>
      </w:r>
      <w:r w:rsidR="00F85DC1" w:rsidRPr="00972B61">
        <w:rPr>
          <w:lang w:val="en-GB"/>
        </w:rPr>
        <w:t xml:space="preserve">that </w:t>
      </w:r>
      <w:r w:rsidR="00234EFE" w:rsidRPr="00972B61">
        <w:rPr>
          <w:lang w:val="en-GB"/>
        </w:rPr>
        <w:t xml:space="preserve">support biodiversity and diversification of ecosystem services </w:t>
      </w:r>
      <w:r w:rsidR="00F85DC1" w:rsidRPr="00972B61">
        <w:rPr>
          <w:rFonts w:eastAsia="Calibri"/>
          <w:color w:val="000000"/>
          <w:lang w:val="en-GB"/>
        </w:rPr>
        <w:t xml:space="preserve">will contribute to </w:t>
      </w:r>
      <w:r w:rsidR="00234EFE" w:rsidRPr="00972B61">
        <w:rPr>
          <w:rFonts w:eastAsia="Calibri"/>
          <w:color w:val="000000"/>
          <w:lang w:val="en-GB"/>
        </w:rPr>
        <w:t>national plans and targets</w:t>
      </w:r>
      <w:r w:rsidR="00F85DC1" w:rsidRPr="00972B61">
        <w:rPr>
          <w:rFonts w:eastAsia="Calibri"/>
          <w:color w:val="000000"/>
          <w:lang w:val="en-GB"/>
        </w:rPr>
        <w:t xml:space="preserve">, </w:t>
      </w:r>
      <w:r w:rsidR="00234EFE" w:rsidRPr="00972B61">
        <w:rPr>
          <w:lang w:val="en-GB"/>
        </w:rPr>
        <w:t>enhance inclusive conservation and sustainable resource use</w:t>
      </w:r>
      <w:r w:rsidR="00F85DC1" w:rsidRPr="00972B61">
        <w:rPr>
          <w:lang w:val="en-GB"/>
        </w:rPr>
        <w:t>, and</w:t>
      </w:r>
      <w:r w:rsidR="004C765C">
        <w:rPr>
          <w:lang w:val="en-GB"/>
        </w:rPr>
        <w:t xml:space="preserve"> </w:t>
      </w:r>
      <w:r w:rsidR="00FF7CEE">
        <w:rPr>
          <w:lang w:val="en-GB"/>
        </w:rPr>
        <w:t xml:space="preserve">promote the </w:t>
      </w:r>
      <w:r w:rsidR="00F85DC1" w:rsidRPr="00972B61">
        <w:rPr>
          <w:lang w:val="en-GB"/>
        </w:rPr>
        <w:t>financial sustainability of protected areas</w:t>
      </w:r>
      <w:r w:rsidR="00234EFE" w:rsidRPr="00972B61">
        <w:rPr>
          <w:lang w:val="en-GB"/>
        </w:rPr>
        <w:t>.</w:t>
      </w:r>
      <w:r w:rsidR="00AF0442" w:rsidRPr="00972B61">
        <w:rPr>
          <w:lang w:val="en-GB"/>
        </w:rPr>
        <w:t xml:space="preserve"> </w:t>
      </w:r>
      <w:r w:rsidR="00382533">
        <w:rPr>
          <w:lang w:val="en-GB"/>
        </w:rPr>
        <w:t xml:space="preserve">Through </w:t>
      </w:r>
      <w:r w:rsidR="00AF0442" w:rsidRPr="00972B61">
        <w:rPr>
          <w:lang w:val="en-GB"/>
        </w:rPr>
        <w:t>GEF 6 financing</w:t>
      </w:r>
      <w:r w:rsidR="00382533">
        <w:rPr>
          <w:lang w:val="en-GB"/>
        </w:rPr>
        <w:t>, UNDP</w:t>
      </w:r>
      <w:r w:rsidR="00AF0442" w:rsidRPr="00972B61">
        <w:rPr>
          <w:lang w:val="en-GB"/>
        </w:rPr>
        <w:t xml:space="preserve"> will strengthen </w:t>
      </w:r>
      <w:r w:rsidR="00234EFE" w:rsidRPr="00972B61">
        <w:rPr>
          <w:lang w:val="en-GB"/>
        </w:rPr>
        <w:t>conservation of threatened species through improved enforcement and expan</w:t>
      </w:r>
      <w:r w:rsidR="00AF0442" w:rsidRPr="00972B61">
        <w:rPr>
          <w:lang w:val="en-GB"/>
        </w:rPr>
        <w:t xml:space="preserve">sion of </w:t>
      </w:r>
      <w:r w:rsidR="00234EFE" w:rsidRPr="00972B61">
        <w:rPr>
          <w:lang w:val="en-GB"/>
        </w:rPr>
        <w:t xml:space="preserve">community conservancies </w:t>
      </w:r>
      <w:r w:rsidR="00382533">
        <w:rPr>
          <w:lang w:val="en-GB"/>
        </w:rPr>
        <w:t xml:space="preserve">and </w:t>
      </w:r>
      <w:r w:rsidR="00234EFE" w:rsidRPr="00972B61">
        <w:rPr>
          <w:lang w:val="en-GB"/>
        </w:rPr>
        <w:t>leverag</w:t>
      </w:r>
      <w:r w:rsidR="00382533">
        <w:rPr>
          <w:lang w:val="en-GB"/>
        </w:rPr>
        <w:t xml:space="preserve">e </w:t>
      </w:r>
      <w:r w:rsidR="00234EFE" w:rsidRPr="00972B61">
        <w:rPr>
          <w:lang w:val="en-GB"/>
        </w:rPr>
        <w:t xml:space="preserve">GEF 8 </w:t>
      </w:r>
      <w:r w:rsidR="00AF0442" w:rsidRPr="00972B61">
        <w:rPr>
          <w:lang w:val="en-GB"/>
        </w:rPr>
        <w:t xml:space="preserve">resources </w:t>
      </w:r>
      <w:r w:rsidR="00382533">
        <w:rPr>
          <w:lang w:val="en-GB"/>
        </w:rPr>
        <w:t xml:space="preserve">to </w:t>
      </w:r>
      <w:r w:rsidR="00975502" w:rsidRPr="00972B61">
        <w:rPr>
          <w:lang w:val="en-GB"/>
        </w:rPr>
        <w:t>enhance</w:t>
      </w:r>
      <w:r w:rsidR="00234EFE" w:rsidRPr="00972B61">
        <w:rPr>
          <w:lang w:val="en-GB"/>
        </w:rPr>
        <w:t xml:space="preserve"> community livelihoods through the sustainable use of natural resource</w:t>
      </w:r>
      <w:r w:rsidR="00FF7CEE">
        <w:rPr>
          <w:lang w:val="en-GB"/>
        </w:rPr>
        <w:t>s</w:t>
      </w:r>
      <w:r w:rsidR="00975502" w:rsidRPr="00972B61">
        <w:rPr>
          <w:lang w:val="en-GB"/>
        </w:rPr>
        <w:t xml:space="preserve"> in </w:t>
      </w:r>
      <w:r w:rsidR="00461583" w:rsidRPr="00972B61">
        <w:rPr>
          <w:lang w:val="en-GB"/>
        </w:rPr>
        <w:t>protected areas</w:t>
      </w:r>
      <w:r w:rsidR="00975502" w:rsidRPr="00972B61">
        <w:rPr>
          <w:lang w:val="en-GB"/>
        </w:rPr>
        <w:t>.</w:t>
      </w:r>
    </w:p>
    <w:p w14:paraId="40337476" w14:textId="1D8EF96C" w:rsidR="00123C51" w:rsidRPr="00972B61" w:rsidRDefault="00234EFE" w:rsidP="0083339E">
      <w:pPr>
        <w:pStyle w:val="ListParagraph"/>
        <w:numPr>
          <w:ilvl w:val="0"/>
          <w:numId w:val="37"/>
        </w:numPr>
        <w:spacing w:after="120" w:line="240" w:lineRule="exact"/>
        <w:ind w:left="1080" w:right="1210" w:firstLine="0"/>
        <w:jc w:val="both"/>
        <w:rPr>
          <w:b/>
          <w:bCs/>
          <w:lang w:val="en-GB"/>
        </w:rPr>
      </w:pPr>
      <w:r w:rsidRPr="00972B61">
        <w:rPr>
          <w:lang w:val="en-GB"/>
        </w:rPr>
        <w:t>Capitali</w:t>
      </w:r>
      <w:r w:rsidR="00FF7CEE">
        <w:rPr>
          <w:lang w:val="en-GB"/>
        </w:rPr>
        <w:t>z</w:t>
      </w:r>
      <w:r w:rsidRPr="00972B61">
        <w:rPr>
          <w:lang w:val="en-GB"/>
        </w:rPr>
        <w:t xml:space="preserve">ing on synergies </w:t>
      </w:r>
      <w:r w:rsidR="008E4909">
        <w:rPr>
          <w:lang w:val="en-GB"/>
        </w:rPr>
        <w:t>with the</w:t>
      </w:r>
      <w:r w:rsidRPr="00972B61">
        <w:rPr>
          <w:lang w:val="en-GB"/>
        </w:rPr>
        <w:t xml:space="preserve"> decentrali</w:t>
      </w:r>
      <w:r w:rsidR="00FF7CEE">
        <w:rPr>
          <w:lang w:val="en-GB"/>
        </w:rPr>
        <w:t>z</w:t>
      </w:r>
      <w:r w:rsidRPr="00972B61">
        <w:rPr>
          <w:lang w:val="en-GB"/>
        </w:rPr>
        <w:t>ation</w:t>
      </w:r>
      <w:r w:rsidR="008E4909">
        <w:rPr>
          <w:lang w:val="en-GB"/>
        </w:rPr>
        <w:t xml:space="preserve"> programme</w:t>
      </w:r>
      <w:r w:rsidRPr="00972B61">
        <w:rPr>
          <w:lang w:val="en-GB"/>
        </w:rPr>
        <w:t xml:space="preserve">, UNDP will strengthen capacities at </w:t>
      </w:r>
      <w:r w:rsidR="00FF7CEE">
        <w:rPr>
          <w:lang w:val="en-GB"/>
        </w:rPr>
        <w:t xml:space="preserve">the </w:t>
      </w:r>
      <w:r w:rsidRPr="00972B61">
        <w:rPr>
          <w:lang w:val="en-GB"/>
        </w:rPr>
        <w:t>local level to develop and implement sustainable, gender</w:t>
      </w:r>
      <w:r w:rsidR="00FF7CEE">
        <w:rPr>
          <w:lang w:val="en-GB"/>
        </w:rPr>
        <w:t>-</w:t>
      </w:r>
      <w:r w:rsidRPr="00972B61">
        <w:rPr>
          <w:lang w:val="en-GB"/>
        </w:rPr>
        <w:t>responsive, environmentally sound and climate</w:t>
      </w:r>
      <w:r w:rsidR="00FF7CEE">
        <w:rPr>
          <w:lang w:val="en-GB"/>
        </w:rPr>
        <w:t>-</w:t>
      </w:r>
      <w:r w:rsidRPr="00972B61">
        <w:rPr>
          <w:lang w:val="en-GB"/>
        </w:rPr>
        <w:t>resilient solutions to natural resource and environmental management, through local planning processes that reinforce transparent</w:t>
      </w:r>
      <w:r w:rsidR="002C4D41" w:rsidRPr="00972B61">
        <w:rPr>
          <w:lang w:val="en-GB"/>
        </w:rPr>
        <w:t xml:space="preserve">, participative and </w:t>
      </w:r>
      <w:r w:rsidRPr="00972B61">
        <w:rPr>
          <w:lang w:val="en-GB"/>
        </w:rPr>
        <w:t xml:space="preserve">inclusive decision-making. </w:t>
      </w:r>
      <w:r w:rsidR="003A2446" w:rsidRPr="00972B61">
        <w:rPr>
          <w:lang w:val="en-GB"/>
        </w:rPr>
        <w:t xml:space="preserve">With </w:t>
      </w:r>
      <w:r w:rsidR="00FF7CEE">
        <w:rPr>
          <w:lang w:val="en-GB"/>
        </w:rPr>
        <w:t>the National Institute for Disaster Manag</w:t>
      </w:r>
      <w:r w:rsidR="00B02945">
        <w:rPr>
          <w:lang w:val="en-GB"/>
        </w:rPr>
        <w:t>ement (</w:t>
      </w:r>
      <w:r w:rsidR="003A2446" w:rsidRPr="00972B61">
        <w:rPr>
          <w:lang w:val="en-GB"/>
        </w:rPr>
        <w:t>INGD</w:t>
      </w:r>
      <w:r w:rsidR="00B02945">
        <w:rPr>
          <w:lang w:val="en-GB"/>
        </w:rPr>
        <w:t>)</w:t>
      </w:r>
      <w:r w:rsidR="003A2446" w:rsidRPr="00972B61">
        <w:rPr>
          <w:lang w:val="en-GB"/>
        </w:rPr>
        <w:t xml:space="preserve">, </w:t>
      </w:r>
      <w:r w:rsidR="00B02945">
        <w:rPr>
          <w:lang w:val="en-GB"/>
        </w:rPr>
        <w:t xml:space="preserve">UNDP will </w:t>
      </w:r>
      <w:r w:rsidR="00860E0F" w:rsidRPr="00972B61">
        <w:rPr>
          <w:lang w:val="en-GB"/>
        </w:rPr>
        <w:t>s</w:t>
      </w:r>
      <w:r w:rsidRPr="00972B61">
        <w:rPr>
          <w:lang w:val="en-GB"/>
        </w:rPr>
        <w:t>trengthen information management systems on environmental degradation</w:t>
      </w:r>
      <w:r w:rsidR="00975502" w:rsidRPr="00972B61">
        <w:rPr>
          <w:lang w:val="en-GB"/>
        </w:rPr>
        <w:t xml:space="preserve">, climate </w:t>
      </w:r>
      <w:r w:rsidRPr="00972B61">
        <w:rPr>
          <w:lang w:val="en-GB"/>
        </w:rPr>
        <w:t xml:space="preserve">and disaster risks </w:t>
      </w:r>
      <w:r w:rsidR="00B02945">
        <w:rPr>
          <w:lang w:val="en-GB"/>
        </w:rPr>
        <w:t xml:space="preserve">to </w:t>
      </w:r>
      <w:r w:rsidR="00F013DC" w:rsidRPr="00972B61">
        <w:rPr>
          <w:lang w:val="en-GB"/>
        </w:rPr>
        <w:t>fill data</w:t>
      </w:r>
      <w:r w:rsidR="00B02945">
        <w:rPr>
          <w:lang w:val="en-GB"/>
        </w:rPr>
        <w:t xml:space="preserve"> </w:t>
      </w:r>
      <w:r w:rsidR="00F013DC" w:rsidRPr="00972B61">
        <w:rPr>
          <w:lang w:val="en-GB"/>
        </w:rPr>
        <w:t xml:space="preserve">gaps and </w:t>
      </w:r>
      <w:r w:rsidRPr="00972B61">
        <w:rPr>
          <w:lang w:val="en-GB"/>
        </w:rPr>
        <w:t>enhance monitoring, evaluation</w:t>
      </w:r>
      <w:r w:rsidR="00B02945">
        <w:rPr>
          <w:lang w:val="en-GB"/>
        </w:rPr>
        <w:t xml:space="preserve">, </w:t>
      </w:r>
      <w:r w:rsidRPr="00972B61">
        <w:rPr>
          <w:lang w:val="en-GB"/>
        </w:rPr>
        <w:t xml:space="preserve">learning, and evidence-based </w:t>
      </w:r>
      <w:r w:rsidR="00975502" w:rsidRPr="00972B61">
        <w:rPr>
          <w:lang w:val="en-GB"/>
        </w:rPr>
        <w:t>decision making</w:t>
      </w:r>
      <w:r w:rsidR="00B02945">
        <w:rPr>
          <w:lang w:val="en-GB"/>
        </w:rPr>
        <w:t>-</w:t>
      </w:r>
      <w:r w:rsidR="00975502" w:rsidRPr="00972B61">
        <w:rPr>
          <w:lang w:val="en-GB"/>
        </w:rPr>
        <w:t>for risk reduction</w:t>
      </w:r>
      <w:r w:rsidR="002E4519" w:rsidRPr="00972B61">
        <w:rPr>
          <w:lang w:val="en-GB"/>
        </w:rPr>
        <w:t xml:space="preserve">, mitigation </w:t>
      </w:r>
      <w:r w:rsidR="00975502" w:rsidRPr="00972B61">
        <w:rPr>
          <w:lang w:val="en-GB"/>
        </w:rPr>
        <w:t>and</w:t>
      </w:r>
      <w:r w:rsidRPr="00972B61">
        <w:rPr>
          <w:lang w:val="en-GB"/>
        </w:rPr>
        <w:t xml:space="preserve"> recovery </w:t>
      </w:r>
      <w:r w:rsidR="002E4519" w:rsidRPr="00972B61">
        <w:rPr>
          <w:lang w:val="en-GB"/>
        </w:rPr>
        <w:t xml:space="preserve">measures </w:t>
      </w:r>
      <w:r w:rsidRPr="00972B61">
        <w:rPr>
          <w:lang w:val="en-GB"/>
        </w:rPr>
        <w:t>and mainstream gender-sensitive climate and disaster risk information across sectors.</w:t>
      </w:r>
    </w:p>
    <w:p w14:paraId="062875A6" w14:textId="344B24DF" w:rsidR="00DF32C2" w:rsidRPr="00A1146C" w:rsidRDefault="00DF32C2" w:rsidP="0083339E">
      <w:pPr>
        <w:pStyle w:val="ListParagraph"/>
        <w:spacing w:after="120" w:line="240" w:lineRule="exact"/>
        <w:ind w:left="1080" w:right="1210"/>
        <w:jc w:val="both"/>
        <w:rPr>
          <w:i/>
          <w:iCs/>
          <w:lang w:val="en-GB"/>
        </w:rPr>
      </w:pPr>
      <w:r w:rsidRPr="00A1146C">
        <w:rPr>
          <w:i/>
          <w:iCs/>
          <w:lang w:val="en-GB"/>
        </w:rPr>
        <w:t>Promoting inclusive governance, justice, human rights</w:t>
      </w:r>
      <w:r w:rsidR="00B02945">
        <w:rPr>
          <w:i/>
          <w:iCs/>
          <w:lang w:val="en-GB"/>
        </w:rPr>
        <w:t>,</w:t>
      </w:r>
      <w:r w:rsidRPr="00A1146C">
        <w:rPr>
          <w:i/>
          <w:iCs/>
          <w:lang w:val="en-GB"/>
        </w:rPr>
        <w:t xml:space="preserve"> and peace and social cohesion (</w:t>
      </w:r>
      <w:r w:rsidR="00B02945">
        <w:rPr>
          <w:i/>
          <w:iCs/>
          <w:lang w:val="en-GB"/>
        </w:rPr>
        <w:t>o</w:t>
      </w:r>
      <w:r w:rsidRPr="00A1146C">
        <w:rPr>
          <w:i/>
          <w:iCs/>
          <w:lang w:val="en-GB"/>
        </w:rPr>
        <w:t>utcome</w:t>
      </w:r>
      <w:r w:rsidR="00B02945">
        <w:rPr>
          <w:i/>
          <w:iCs/>
          <w:lang w:val="en-GB"/>
        </w:rPr>
        <w:t> </w:t>
      </w:r>
      <w:r w:rsidRPr="00A1146C">
        <w:rPr>
          <w:i/>
          <w:iCs/>
          <w:lang w:val="en-GB"/>
        </w:rPr>
        <w:t>4.1)</w:t>
      </w:r>
    </w:p>
    <w:p w14:paraId="1A7B2BB1" w14:textId="7C5BA7C1" w:rsidR="00C70184" w:rsidRPr="00972B61" w:rsidRDefault="00CA41AA" w:rsidP="0083339E">
      <w:pPr>
        <w:pStyle w:val="ListParagraph"/>
        <w:numPr>
          <w:ilvl w:val="0"/>
          <w:numId w:val="37"/>
        </w:numPr>
        <w:spacing w:after="120" w:line="240" w:lineRule="exact"/>
        <w:ind w:left="1080" w:right="1210" w:firstLine="0"/>
        <w:jc w:val="both"/>
        <w:rPr>
          <w:lang w:val="en-GB"/>
        </w:rPr>
      </w:pPr>
      <w:r w:rsidRPr="00972B61">
        <w:rPr>
          <w:lang w:val="en-GB"/>
        </w:rPr>
        <w:t xml:space="preserve">Support to </w:t>
      </w:r>
      <w:r w:rsidR="00B02945">
        <w:rPr>
          <w:lang w:val="en-GB"/>
        </w:rPr>
        <w:t>r</w:t>
      </w:r>
      <w:r w:rsidRPr="00972B61">
        <w:rPr>
          <w:lang w:val="en-GB"/>
        </w:rPr>
        <w:t xml:space="preserve">ule of </w:t>
      </w:r>
      <w:r w:rsidR="00B02945">
        <w:rPr>
          <w:lang w:val="en-GB"/>
        </w:rPr>
        <w:t>l</w:t>
      </w:r>
      <w:r w:rsidRPr="00972B61">
        <w:rPr>
          <w:lang w:val="en-GB"/>
        </w:rPr>
        <w:t xml:space="preserve">aw and access to justice will </w:t>
      </w:r>
      <w:r w:rsidR="0084694B" w:rsidRPr="00972B61">
        <w:rPr>
          <w:lang w:val="en-GB"/>
        </w:rPr>
        <w:t>remain a critical component of UNDP support, building on a long</w:t>
      </w:r>
      <w:r w:rsidR="00A326B9">
        <w:rPr>
          <w:lang w:val="en-GB"/>
        </w:rPr>
        <w:t>-</w:t>
      </w:r>
      <w:r w:rsidR="0084694B" w:rsidRPr="00972B61">
        <w:rPr>
          <w:lang w:val="en-GB"/>
        </w:rPr>
        <w:t>standing</w:t>
      </w:r>
      <w:r w:rsidR="00A326B9">
        <w:rPr>
          <w:lang w:val="en-GB"/>
        </w:rPr>
        <w:t xml:space="preserve">, </w:t>
      </w:r>
      <w:r w:rsidR="003C4645" w:rsidRPr="00972B61">
        <w:rPr>
          <w:lang w:val="en-GB"/>
        </w:rPr>
        <w:t xml:space="preserve">strong partnership with the Ministry of Justice. Support to the </w:t>
      </w:r>
      <w:r w:rsidR="00A326B9">
        <w:rPr>
          <w:lang w:val="en-GB"/>
        </w:rPr>
        <w:t>s</w:t>
      </w:r>
      <w:r w:rsidR="003C4645" w:rsidRPr="00972B61">
        <w:rPr>
          <w:lang w:val="en-GB"/>
        </w:rPr>
        <w:t xml:space="preserve">trategic </w:t>
      </w:r>
      <w:r w:rsidR="00A326B9">
        <w:rPr>
          <w:lang w:val="en-GB"/>
        </w:rPr>
        <w:t>p</w:t>
      </w:r>
      <w:r w:rsidR="003C4645" w:rsidRPr="00972B61">
        <w:rPr>
          <w:lang w:val="en-GB"/>
        </w:rPr>
        <w:t xml:space="preserve">lan of both the </w:t>
      </w:r>
      <w:r w:rsidR="0016602A">
        <w:rPr>
          <w:lang w:val="en-GB"/>
        </w:rPr>
        <w:t>j</w:t>
      </w:r>
      <w:r w:rsidR="003C4645" w:rsidRPr="00972B61">
        <w:rPr>
          <w:lang w:val="en-GB"/>
        </w:rPr>
        <w:t xml:space="preserve">ustice </w:t>
      </w:r>
      <w:r w:rsidR="0016602A">
        <w:rPr>
          <w:lang w:val="en-GB"/>
        </w:rPr>
        <w:t>s</w:t>
      </w:r>
      <w:r w:rsidR="003C4645" w:rsidRPr="00972B61">
        <w:rPr>
          <w:lang w:val="en-GB"/>
        </w:rPr>
        <w:t>ector and the Human Rights Commission will continue, focus</w:t>
      </w:r>
      <w:r w:rsidR="00A326B9">
        <w:rPr>
          <w:lang w:val="en-GB"/>
        </w:rPr>
        <w:t>ing</w:t>
      </w:r>
      <w:r w:rsidR="003C4645" w:rsidRPr="00972B61">
        <w:rPr>
          <w:lang w:val="en-GB"/>
        </w:rPr>
        <w:t xml:space="preserve"> on improving efficiency and equitable justice outcomes. Support for mobile courts and technological innovations will bring justice closer to rural populations. Investing in the expansion of legal aid and digital solutions, in addition to revitalizing the wide networks of community </w:t>
      </w:r>
      <w:r w:rsidRPr="00972B61">
        <w:rPr>
          <w:lang w:val="en-GB"/>
        </w:rPr>
        <w:t>tribunals</w:t>
      </w:r>
      <w:r w:rsidR="00A326B9">
        <w:rPr>
          <w:lang w:val="en-GB"/>
        </w:rPr>
        <w:t>,</w:t>
      </w:r>
      <w:r w:rsidRPr="00972B61">
        <w:rPr>
          <w:lang w:val="en-GB"/>
        </w:rPr>
        <w:t xml:space="preserve"> will</w:t>
      </w:r>
      <w:r w:rsidR="003C4645" w:rsidRPr="00972B61">
        <w:rPr>
          <w:lang w:val="en-GB"/>
        </w:rPr>
        <w:t xml:space="preserve"> enhance justice and human rights outcomes, especially for women, girls and vulnerable groups, enable additional support at community level</w:t>
      </w:r>
      <w:r w:rsidR="00A326B9">
        <w:rPr>
          <w:lang w:val="en-GB"/>
        </w:rPr>
        <w:t>,</w:t>
      </w:r>
      <w:r w:rsidR="003C4645" w:rsidRPr="00972B61">
        <w:rPr>
          <w:lang w:val="en-GB"/>
        </w:rPr>
        <w:t xml:space="preserve"> and reduce the number of unsentenced detainees.</w:t>
      </w:r>
    </w:p>
    <w:p w14:paraId="6DE2C14B" w14:textId="24FC6458" w:rsidR="00F032B2" w:rsidRPr="00972B61" w:rsidRDefault="00F30E3B" w:rsidP="0083339E">
      <w:pPr>
        <w:pStyle w:val="ListParagraph"/>
        <w:numPr>
          <w:ilvl w:val="0"/>
          <w:numId w:val="37"/>
        </w:numPr>
        <w:spacing w:after="120" w:line="240" w:lineRule="exact"/>
        <w:ind w:left="1080" w:right="1210" w:firstLine="0"/>
        <w:jc w:val="both"/>
        <w:rPr>
          <w:lang w:val="en-GB"/>
        </w:rPr>
      </w:pPr>
      <w:r w:rsidRPr="00972B61">
        <w:rPr>
          <w:lang w:val="en-GB"/>
        </w:rPr>
        <w:t>UNDP support to decentrali</w:t>
      </w:r>
      <w:r w:rsidR="00A326B9">
        <w:rPr>
          <w:lang w:val="en-GB"/>
        </w:rPr>
        <w:t>z</w:t>
      </w:r>
      <w:r w:rsidRPr="00972B61">
        <w:rPr>
          <w:lang w:val="en-GB"/>
        </w:rPr>
        <w:t xml:space="preserve">ation reforms </w:t>
      </w:r>
      <w:r w:rsidR="003C4645" w:rsidRPr="00972B61">
        <w:rPr>
          <w:lang w:val="en-GB"/>
        </w:rPr>
        <w:t>is</w:t>
      </w:r>
      <w:r w:rsidRPr="00972B61">
        <w:rPr>
          <w:lang w:val="en-GB"/>
        </w:rPr>
        <w:t xml:space="preserve"> critical for </w:t>
      </w:r>
      <w:r w:rsidR="00123C51" w:rsidRPr="00972B61">
        <w:rPr>
          <w:lang w:val="en-GB"/>
        </w:rPr>
        <w:t>inclusive governance</w:t>
      </w:r>
      <w:r w:rsidR="00BE52A1" w:rsidRPr="00972B61">
        <w:rPr>
          <w:lang w:val="en-GB"/>
        </w:rPr>
        <w:t xml:space="preserve">, </w:t>
      </w:r>
      <w:r w:rsidR="00123C51" w:rsidRPr="00972B61">
        <w:rPr>
          <w:lang w:val="en-GB"/>
        </w:rPr>
        <w:t xml:space="preserve">maintaining peace and </w:t>
      </w:r>
      <w:r w:rsidR="00BE52A1" w:rsidRPr="00972B61">
        <w:rPr>
          <w:lang w:val="en-GB"/>
        </w:rPr>
        <w:t xml:space="preserve">enhancing </w:t>
      </w:r>
      <w:r w:rsidR="00123C51" w:rsidRPr="00972B61">
        <w:rPr>
          <w:lang w:val="en-GB"/>
        </w:rPr>
        <w:t>social cohesio</w:t>
      </w:r>
      <w:r w:rsidR="00282817" w:rsidRPr="00972B61">
        <w:rPr>
          <w:lang w:val="en-GB"/>
        </w:rPr>
        <w:t>n</w:t>
      </w:r>
      <w:r w:rsidR="008E4909">
        <w:rPr>
          <w:lang w:val="en-GB"/>
        </w:rPr>
        <w:t>,</w:t>
      </w:r>
      <w:r w:rsidR="004144E3" w:rsidRPr="00972B61">
        <w:rPr>
          <w:lang w:val="en-GB"/>
        </w:rPr>
        <w:t xml:space="preserve"> and for the </w:t>
      </w:r>
      <w:r w:rsidR="00DA570A" w:rsidRPr="00972B61">
        <w:rPr>
          <w:lang w:val="en-GB"/>
        </w:rPr>
        <w:t xml:space="preserve">equitable </w:t>
      </w:r>
      <w:r w:rsidR="004144E3" w:rsidRPr="00972B61">
        <w:rPr>
          <w:lang w:val="en-GB"/>
        </w:rPr>
        <w:t>management of natural resources</w:t>
      </w:r>
      <w:r w:rsidR="00303DAA" w:rsidRPr="00972B61">
        <w:rPr>
          <w:lang w:val="en-GB"/>
        </w:rPr>
        <w:t>.</w:t>
      </w:r>
      <w:r w:rsidRPr="00972B61">
        <w:rPr>
          <w:lang w:val="en-GB"/>
        </w:rPr>
        <w:t xml:space="preserve"> E</w:t>
      </w:r>
      <w:r w:rsidR="00B35E91" w:rsidRPr="00972B61">
        <w:rPr>
          <w:lang w:val="en-GB"/>
        </w:rPr>
        <w:t>mpowerment of local authorities and local communities</w:t>
      </w:r>
      <w:r w:rsidR="00683828" w:rsidRPr="00972B61">
        <w:rPr>
          <w:lang w:val="en-GB"/>
        </w:rPr>
        <w:t xml:space="preserve"> </w:t>
      </w:r>
      <w:r w:rsidR="005E4D45" w:rsidRPr="00972B61">
        <w:rPr>
          <w:lang w:val="en-GB"/>
        </w:rPr>
        <w:t xml:space="preserve">will </w:t>
      </w:r>
      <w:r w:rsidR="003239F1" w:rsidRPr="00972B61">
        <w:rPr>
          <w:lang w:val="en-GB"/>
        </w:rPr>
        <w:t>be the</w:t>
      </w:r>
      <w:r w:rsidR="00F032B2" w:rsidRPr="00972B61">
        <w:rPr>
          <w:lang w:val="en-GB"/>
        </w:rPr>
        <w:t xml:space="preserve"> gateway </w:t>
      </w:r>
      <w:r w:rsidR="00DA570A" w:rsidRPr="00972B61">
        <w:rPr>
          <w:lang w:val="en-GB"/>
        </w:rPr>
        <w:t xml:space="preserve">for </w:t>
      </w:r>
      <w:r w:rsidR="00AF3858" w:rsidRPr="00972B61">
        <w:rPr>
          <w:lang w:val="en-GB"/>
        </w:rPr>
        <w:t xml:space="preserve">all </w:t>
      </w:r>
      <w:r w:rsidR="00B35E91" w:rsidRPr="00972B61">
        <w:rPr>
          <w:lang w:val="en-GB"/>
        </w:rPr>
        <w:t xml:space="preserve">programmatic </w:t>
      </w:r>
      <w:r w:rsidR="00AF3858" w:rsidRPr="00972B61">
        <w:rPr>
          <w:lang w:val="en-GB"/>
        </w:rPr>
        <w:t xml:space="preserve">interventions at </w:t>
      </w:r>
      <w:r w:rsidR="00A326B9">
        <w:rPr>
          <w:lang w:val="en-GB"/>
        </w:rPr>
        <w:t xml:space="preserve">the </w:t>
      </w:r>
      <w:r w:rsidR="00AF3858" w:rsidRPr="00972B61">
        <w:rPr>
          <w:lang w:val="en-GB"/>
        </w:rPr>
        <w:t>local level</w:t>
      </w:r>
      <w:r w:rsidR="00B35E91" w:rsidRPr="00972B61">
        <w:rPr>
          <w:lang w:val="en-GB"/>
        </w:rPr>
        <w:t xml:space="preserve">. </w:t>
      </w:r>
      <w:r w:rsidR="00123C51" w:rsidRPr="00972B61">
        <w:rPr>
          <w:lang w:val="en-GB"/>
        </w:rPr>
        <w:t xml:space="preserve">Leveraging its trusted partner status, UNDP will </w:t>
      </w:r>
      <w:r w:rsidR="00DA570A" w:rsidRPr="00972B61">
        <w:rPr>
          <w:lang w:val="en-GB"/>
        </w:rPr>
        <w:t>provide</w:t>
      </w:r>
      <w:r w:rsidR="00F032B2" w:rsidRPr="00972B61">
        <w:rPr>
          <w:lang w:val="en-GB"/>
        </w:rPr>
        <w:t xml:space="preserve"> upstream policy advice to consolidate</w:t>
      </w:r>
      <w:r w:rsidR="00455F2E" w:rsidRPr="00972B61">
        <w:rPr>
          <w:lang w:val="en-GB"/>
        </w:rPr>
        <w:t xml:space="preserve"> the decentrali</w:t>
      </w:r>
      <w:r w:rsidR="00A326B9">
        <w:rPr>
          <w:lang w:val="en-GB"/>
        </w:rPr>
        <w:t>z</w:t>
      </w:r>
      <w:r w:rsidR="00455F2E" w:rsidRPr="00972B61">
        <w:rPr>
          <w:lang w:val="en-GB"/>
        </w:rPr>
        <w:t xml:space="preserve">ation </w:t>
      </w:r>
      <w:r w:rsidR="00BE52A1" w:rsidRPr="00972B61">
        <w:rPr>
          <w:lang w:val="en-GB"/>
        </w:rPr>
        <w:t>‘package’</w:t>
      </w:r>
      <w:r w:rsidR="003239F1" w:rsidRPr="00972B61">
        <w:rPr>
          <w:lang w:val="en-GB"/>
        </w:rPr>
        <w:t xml:space="preserve"> </w:t>
      </w:r>
      <w:r w:rsidR="00F032B2" w:rsidRPr="00972B61">
        <w:rPr>
          <w:lang w:val="en-GB"/>
        </w:rPr>
        <w:t>whil</w:t>
      </w:r>
      <w:r w:rsidR="00A326B9">
        <w:rPr>
          <w:lang w:val="en-GB"/>
        </w:rPr>
        <w:t>e</w:t>
      </w:r>
      <w:r w:rsidR="00F032B2" w:rsidRPr="00972B61">
        <w:rPr>
          <w:lang w:val="en-GB"/>
        </w:rPr>
        <w:t xml:space="preserve"> </w:t>
      </w:r>
      <w:r w:rsidR="00347F1E" w:rsidRPr="00972B61">
        <w:rPr>
          <w:lang w:val="en-GB"/>
        </w:rPr>
        <w:t>strengthening</w:t>
      </w:r>
      <w:r w:rsidR="00123C51" w:rsidRPr="00972B61">
        <w:rPr>
          <w:lang w:val="en-GB"/>
        </w:rPr>
        <w:t xml:space="preserve"> collaboration and dialogue between institutions, civil society and communities</w:t>
      </w:r>
      <w:r w:rsidR="00DA570A" w:rsidRPr="00972B61">
        <w:rPr>
          <w:lang w:val="en-GB"/>
        </w:rPr>
        <w:t>. E</w:t>
      </w:r>
      <w:r w:rsidR="00123C51" w:rsidRPr="00972B61">
        <w:rPr>
          <w:lang w:val="en-GB"/>
        </w:rPr>
        <w:t xml:space="preserve">xpanding civic space </w:t>
      </w:r>
      <w:r w:rsidR="00DA570A" w:rsidRPr="00972B61">
        <w:rPr>
          <w:lang w:val="en-GB"/>
        </w:rPr>
        <w:t xml:space="preserve">will </w:t>
      </w:r>
      <w:r w:rsidR="003239F1" w:rsidRPr="00972B61">
        <w:rPr>
          <w:lang w:val="en-GB"/>
        </w:rPr>
        <w:t xml:space="preserve">enhance </w:t>
      </w:r>
      <w:r w:rsidR="00123C51" w:rsidRPr="00972B61">
        <w:rPr>
          <w:lang w:val="en-GB"/>
        </w:rPr>
        <w:t>participation in local development</w:t>
      </w:r>
      <w:r w:rsidR="003032FA" w:rsidRPr="00972B61">
        <w:rPr>
          <w:lang w:val="en-GB"/>
        </w:rPr>
        <w:t xml:space="preserve"> an</w:t>
      </w:r>
      <w:r w:rsidR="00AF3858" w:rsidRPr="00972B61">
        <w:rPr>
          <w:lang w:val="en-GB"/>
        </w:rPr>
        <w:t>d</w:t>
      </w:r>
      <w:r w:rsidR="003032FA" w:rsidRPr="00972B61">
        <w:rPr>
          <w:lang w:val="en-GB"/>
        </w:rPr>
        <w:t xml:space="preserve"> promote social cohesion</w:t>
      </w:r>
      <w:r w:rsidR="00123C51" w:rsidRPr="00972B61">
        <w:rPr>
          <w:lang w:val="en-GB"/>
        </w:rPr>
        <w:t xml:space="preserve">. </w:t>
      </w:r>
      <w:r w:rsidR="008348D1" w:rsidRPr="00972B61">
        <w:rPr>
          <w:lang w:val="en-GB"/>
        </w:rPr>
        <w:t>The c</w:t>
      </w:r>
      <w:r w:rsidR="00F95267" w:rsidRPr="00972B61">
        <w:rPr>
          <w:lang w:val="en-GB"/>
        </w:rPr>
        <w:t>apaci</w:t>
      </w:r>
      <w:r w:rsidR="008348D1" w:rsidRPr="00972B61">
        <w:rPr>
          <w:lang w:val="en-GB"/>
        </w:rPr>
        <w:t>ties of new</w:t>
      </w:r>
      <w:r w:rsidR="00DA570A" w:rsidRPr="00972B61">
        <w:rPr>
          <w:lang w:val="en-GB"/>
        </w:rPr>
        <w:t>ly</w:t>
      </w:r>
      <w:r w:rsidR="008348D1" w:rsidRPr="00972B61">
        <w:rPr>
          <w:lang w:val="en-GB"/>
        </w:rPr>
        <w:t xml:space="preserve"> decentrali</w:t>
      </w:r>
      <w:r w:rsidR="00A326B9">
        <w:rPr>
          <w:lang w:val="en-GB"/>
        </w:rPr>
        <w:t>z</w:t>
      </w:r>
      <w:r w:rsidR="008348D1" w:rsidRPr="00972B61">
        <w:rPr>
          <w:lang w:val="en-GB"/>
        </w:rPr>
        <w:t>ed institutions will be strengthened to</w:t>
      </w:r>
      <w:r w:rsidR="00123C51" w:rsidRPr="00972B61">
        <w:rPr>
          <w:lang w:val="en-GB"/>
        </w:rPr>
        <w:t xml:space="preserve"> plan for, and implement, </w:t>
      </w:r>
      <w:r w:rsidR="00A326B9">
        <w:rPr>
          <w:lang w:val="en-GB"/>
        </w:rPr>
        <w:t>Sustainable Development Goals</w:t>
      </w:r>
      <w:r w:rsidR="00DA570A" w:rsidRPr="00972B61">
        <w:rPr>
          <w:lang w:val="en-GB"/>
        </w:rPr>
        <w:t>-</w:t>
      </w:r>
      <w:r w:rsidR="00F95267" w:rsidRPr="00972B61">
        <w:rPr>
          <w:lang w:val="en-GB"/>
        </w:rPr>
        <w:t xml:space="preserve">aligned actions that </w:t>
      </w:r>
      <w:r w:rsidR="00123C51" w:rsidRPr="00972B61">
        <w:rPr>
          <w:lang w:val="en-GB"/>
        </w:rPr>
        <w:t xml:space="preserve">respond to community needs, </w:t>
      </w:r>
      <w:r w:rsidR="00F95267" w:rsidRPr="00972B61">
        <w:rPr>
          <w:lang w:val="en-GB"/>
        </w:rPr>
        <w:t xml:space="preserve">and </w:t>
      </w:r>
      <w:r w:rsidR="00123C51" w:rsidRPr="00972B61">
        <w:rPr>
          <w:lang w:val="en-GB"/>
        </w:rPr>
        <w:t>ensur</w:t>
      </w:r>
      <w:r w:rsidR="00F95267" w:rsidRPr="00972B61">
        <w:rPr>
          <w:lang w:val="en-GB"/>
        </w:rPr>
        <w:t>e</w:t>
      </w:r>
      <w:r w:rsidR="00123C51" w:rsidRPr="00972B61">
        <w:rPr>
          <w:lang w:val="en-GB"/>
        </w:rPr>
        <w:t xml:space="preserve"> the effective, efficient and transparent use of resources</w:t>
      </w:r>
      <w:r w:rsidR="003032FA" w:rsidRPr="00972B61">
        <w:rPr>
          <w:lang w:val="en-GB"/>
        </w:rPr>
        <w:t xml:space="preserve"> to build trust in local institutions</w:t>
      </w:r>
      <w:r w:rsidR="00123C51" w:rsidRPr="00972B61">
        <w:rPr>
          <w:lang w:val="en-GB"/>
        </w:rPr>
        <w:t>.</w:t>
      </w:r>
      <w:r w:rsidR="00DB0803" w:rsidRPr="00972B61">
        <w:rPr>
          <w:lang w:val="en-GB"/>
        </w:rPr>
        <w:t xml:space="preserve"> </w:t>
      </w:r>
      <w:r w:rsidR="00DA570A" w:rsidRPr="00972B61">
        <w:rPr>
          <w:lang w:val="en-GB"/>
        </w:rPr>
        <w:t>A</w:t>
      </w:r>
      <w:r w:rsidR="006600AC" w:rsidRPr="00972B61">
        <w:rPr>
          <w:lang w:val="en-GB"/>
        </w:rPr>
        <w:t xml:space="preserve"> </w:t>
      </w:r>
      <w:r w:rsidR="00DB0803" w:rsidRPr="00972B61">
        <w:rPr>
          <w:lang w:val="en-GB"/>
        </w:rPr>
        <w:t xml:space="preserve">territorial approach </w:t>
      </w:r>
      <w:r w:rsidR="00DA570A" w:rsidRPr="00972B61">
        <w:rPr>
          <w:lang w:val="en-GB"/>
        </w:rPr>
        <w:t xml:space="preserve">will </w:t>
      </w:r>
      <w:r w:rsidR="00DB0803" w:rsidRPr="00972B61">
        <w:rPr>
          <w:lang w:val="en-GB"/>
        </w:rPr>
        <w:t>support improve</w:t>
      </w:r>
      <w:r w:rsidR="006600AC" w:rsidRPr="00972B61">
        <w:rPr>
          <w:lang w:val="en-GB"/>
        </w:rPr>
        <w:t xml:space="preserve">d </w:t>
      </w:r>
      <w:r w:rsidR="00DB0803" w:rsidRPr="00972B61">
        <w:rPr>
          <w:lang w:val="en-GB"/>
        </w:rPr>
        <w:t>coordination of public polic</w:t>
      </w:r>
      <w:r w:rsidR="007F175D" w:rsidRPr="00972B61">
        <w:rPr>
          <w:lang w:val="en-GB"/>
        </w:rPr>
        <w:t>y</w:t>
      </w:r>
      <w:r w:rsidR="00DB0803" w:rsidRPr="00972B61">
        <w:rPr>
          <w:lang w:val="en-GB"/>
        </w:rPr>
        <w:t xml:space="preserve"> at </w:t>
      </w:r>
      <w:r w:rsidR="00A326B9">
        <w:rPr>
          <w:lang w:val="en-GB"/>
        </w:rPr>
        <w:t xml:space="preserve">the </w:t>
      </w:r>
      <w:r w:rsidR="00DB0803" w:rsidRPr="00972B61">
        <w:rPr>
          <w:lang w:val="en-GB"/>
        </w:rPr>
        <w:t>local level</w:t>
      </w:r>
      <w:r w:rsidR="00DA570A" w:rsidRPr="00972B61">
        <w:rPr>
          <w:lang w:val="en-GB"/>
        </w:rPr>
        <w:t xml:space="preserve">, </w:t>
      </w:r>
      <w:r w:rsidR="007F175D" w:rsidRPr="00972B61">
        <w:rPr>
          <w:lang w:val="en-GB"/>
        </w:rPr>
        <w:t>strengthen</w:t>
      </w:r>
      <w:r w:rsidR="00DB0803" w:rsidRPr="00972B61">
        <w:rPr>
          <w:lang w:val="en-GB"/>
        </w:rPr>
        <w:t xml:space="preserve"> </w:t>
      </w:r>
      <w:r w:rsidR="00DA570A" w:rsidRPr="00972B61">
        <w:rPr>
          <w:lang w:val="en-GB"/>
        </w:rPr>
        <w:t>the capacity of ele</w:t>
      </w:r>
      <w:r w:rsidR="007F175D" w:rsidRPr="00972B61">
        <w:rPr>
          <w:lang w:val="en-GB"/>
        </w:rPr>
        <w:t>cted officials, and improve acc</w:t>
      </w:r>
      <w:r w:rsidR="003B1037" w:rsidRPr="00972B61">
        <w:rPr>
          <w:lang w:val="en-GB"/>
        </w:rPr>
        <w:t>ountability</w:t>
      </w:r>
      <w:r w:rsidR="007F175D" w:rsidRPr="00972B61">
        <w:rPr>
          <w:lang w:val="en-GB"/>
        </w:rPr>
        <w:t xml:space="preserve">. Territorial </w:t>
      </w:r>
      <w:r w:rsidR="00DB0803" w:rsidRPr="00972B61">
        <w:rPr>
          <w:lang w:val="en-GB"/>
        </w:rPr>
        <w:t>diagnoses of vulnerab</w:t>
      </w:r>
      <w:r w:rsidR="007F175D" w:rsidRPr="00972B61">
        <w:rPr>
          <w:lang w:val="en-GB"/>
        </w:rPr>
        <w:t xml:space="preserve">ility will strengthen </w:t>
      </w:r>
      <w:r w:rsidR="00DB0803" w:rsidRPr="00972B61">
        <w:rPr>
          <w:lang w:val="en-GB"/>
        </w:rPr>
        <w:t>strategic plan</w:t>
      </w:r>
      <w:r w:rsidR="00DA570A" w:rsidRPr="00972B61">
        <w:rPr>
          <w:lang w:val="en-GB"/>
        </w:rPr>
        <w:t>ning</w:t>
      </w:r>
      <w:r w:rsidRPr="00972B61">
        <w:rPr>
          <w:lang w:val="en-GB"/>
        </w:rPr>
        <w:t>,</w:t>
      </w:r>
      <w:r w:rsidR="007F175D" w:rsidRPr="00972B61">
        <w:rPr>
          <w:lang w:val="en-GB"/>
        </w:rPr>
        <w:t xml:space="preserve"> and coordination w</w:t>
      </w:r>
      <w:r w:rsidR="00BD5D47" w:rsidRPr="00972B61">
        <w:rPr>
          <w:lang w:val="en-GB"/>
        </w:rPr>
        <w:t xml:space="preserve">ith </w:t>
      </w:r>
      <w:r w:rsidR="00A326B9">
        <w:rPr>
          <w:lang w:val="en-GB"/>
        </w:rPr>
        <w:t>the Office of the United Nations High Commissioner for Refugees (</w:t>
      </w:r>
      <w:r w:rsidR="00BD5D47" w:rsidRPr="00972B61">
        <w:rPr>
          <w:lang w:val="en-GB"/>
        </w:rPr>
        <w:t>UNHCR</w:t>
      </w:r>
      <w:r w:rsidR="00A326B9">
        <w:rPr>
          <w:lang w:val="en-GB"/>
        </w:rPr>
        <w:t>)</w:t>
      </w:r>
      <w:r w:rsidR="007D694C" w:rsidRPr="00972B61">
        <w:rPr>
          <w:lang w:val="en-GB"/>
        </w:rPr>
        <w:t xml:space="preserve"> will</w:t>
      </w:r>
      <w:r w:rsidR="007F175D" w:rsidRPr="00972B61">
        <w:rPr>
          <w:lang w:val="en-GB"/>
        </w:rPr>
        <w:t xml:space="preserve"> ensure </w:t>
      </w:r>
      <w:r w:rsidR="00DA570A" w:rsidRPr="00972B61">
        <w:rPr>
          <w:lang w:val="en-GB"/>
        </w:rPr>
        <w:t xml:space="preserve">it is </w:t>
      </w:r>
      <w:r w:rsidR="007F175D" w:rsidRPr="00972B61">
        <w:rPr>
          <w:lang w:val="en-GB"/>
        </w:rPr>
        <w:t>mi</w:t>
      </w:r>
      <w:r w:rsidR="00BD5D47" w:rsidRPr="00972B61">
        <w:rPr>
          <w:lang w:val="en-GB"/>
        </w:rPr>
        <w:t>gra</w:t>
      </w:r>
      <w:r w:rsidR="00B171CB" w:rsidRPr="00972B61">
        <w:rPr>
          <w:lang w:val="en-GB"/>
        </w:rPr>
        <w:t>tion and displacement</w:t>
      </w:r>
      <w:r w:rsidR="00A326B9">
        <w:rPr>
          <w:lang w:val="en-GB"/>
        </w:rPr>
        <w:t>-</w:t>
      </w:r>
      <w:r w:rsidR="007F175D" w:rsidRPr="00972B61">
        <w:rPr>
          <w:lang w:val="en-GB"/>
        </w:rPr>
        <w:t>sensitive</w:t>
      </w:r>
      <w:r w:rsidR="007D694C" w:rsidRPr="00972B61">
        <w:rPr>
          <w:lang w:val="en-GB"/>
        </w:rPr>
        <w:t>.</w:t>
      </w:r>
      <w:r w:rsidR="00A326B9">
        <w:rPr>
          <w:lang w:val="en-GB"/>
        </w:rPr>
        <w:t xml:space="preserve"> </w:t>
      </w:r>
    </w:p>
    <w:p w14:paraId="375903F1" w14:textId="0AB34428" w:rsidR="00F032B2" w:rsidRPr="00A326B9" w:rsidRDefault="01C3DB35" w:rsidP="00A1146C">
      <w:pPr>
        <w:pStyle w:val="ListParagraph"/>
        <w:numPr>
          <w:ilvl w:val="0"/>
          <w:numId w:val="37"/>
        </w:numPr>
        <w:spacing w:after="120" w:line="240" w:lineRule="exact"/>
        <w:ind w:left="1080" w:right="1210" w:firstLine="0"/>
        <w:jc w:val="both"/>
        <w:rPr>
          <w:lang w:val="en-GB"/>
        </w:rPr>
      </w:pPr>
      <w:r w:rsidRPr="00A326B9">
        <w:rPr>
          <w:lang w:val="en-GB"/>
        </w:rPr>
        <w:t>In 2024</w:t>
      </w:r>
      <w:r w:rsidR="529D07BD" w:rsidRPr="00A326B9">
        <w:rPr>
          <w:lang w:val="en-GB"/>
        </w:rPr>
        <w:t>,</w:t>
      </w:r>
      <w:r w:rsidRPr="00A326B9">
        <w:rPr>
          <w:lang w:val="en-GB"/>
        </w:rPr>
        <w:t xml:space="preserve"> 15</w:t>
      </w:r>
      <w:r w:rsidR="529D07BD" w:rsidRPr="00A326B9">
        <w:rPr>
          <w:lang w:val="en-GB"/>
        </w:rPr>
        <w:t>4</w:t>
      </w:r>
      <w:r w:rsidRPr="00A326B9">
        <w:rPr>
          <w:lang w:val="en-GB"/>
        </w:rPr>
        <w:t xml:space="preserve"> </w:t>
      </w:r>
      <w:r w:rsidR="00A326B9" w:rsidRPr="00A326B9">
        <w:rPr>
          <w:lang w:val="en-GB"/>
        </w:rPr>
        <w:t>d</w:t>
      </w:r>
      <w:r w:rsidRPr="00A326B9">
        <w:rPr>
          <w:lang w:val="en-GB"/>
        </w:rPr>
        <w:t xml:space="preserve">istrict </w:t>
      </w:r>
      <w:r w:rsidR="00A326B9" w:rsidRPr="00A326B9">
        <w:rPr>
          <w:lang w:val="en-GB"/>
        </w:rPr>
        <w:t>g</w:t>
      </w:r>
      <w:r w:rsidRPr="00A326B9">
        <w:rPr>
          <w:lang w:val="en-GB"/>
        </w:rPr>
        <w:t xml:space="preserve">overnments </w:t>
      </w:r>
      <w:r w:rsidR="00104BF1" w:rsidRPr="00A326B9">
        <w:rPr>
          <w:lang w:val="en-GB"/>
        </w:rPr>
        <w:t>will be elected f</w:t>
      </w:r>
      <w:r w:rsidRPr="00A326B9">
        <w:rPr>
          <w:lang w:val="en-GB"/>
        </w:rPr>
        <w:t xml:space="preserve">or the first time. </w:t>
      </w:r>
      <w:r w:rsidR="00104BF1" w:rsidRPr="00A326B9">
        <w:rPr>
          <w:lang w:val="en-GB"/>
        </w:rPr>
        <w:t>L</w:t>
      </w:r>
      <w:r w:rsidR="08137B7A" w:rsidRPr="00A326B9">
        <w:rPr>
          <w:lang w:val="en-GB"/>
        </w:rPr>
        <w:t>ocal</w:t>
      </w:r>
      <w:r w:rsidR="73E50A94" w:rsidRPr="00A326B9">
        <w:rPr>
          <w:lang w:val="en-GB"/>
        </w:rPr>
        <w:t xml:space="preserve"> officials </w:t>
      </w:r>
      <w:r w:rsidR="00104BF1" w:rsidRPr="00A326B9">
        <w:rPr>
          <w:lang w:val="en-GB"/>
        </w:rPr>
        <w:t xml:space="preserve">will be supported </w:t>
      </w:r>
      <w:r w:rsidR="00DA570A" w:rsidRPr="00A326B9">
        <w:rPr>
          <w:lang w:val="en-GB"/>
        </w:rPr>
        <w:t>to assume the</w:t>
      </w:r>
      <w:r w:rsidR="00F30E3B" w:rsidRPr="00A326B9">
        <w:rPr>
          <w:lang w:val="en-GB"/>
        </w:rPr>
        <w:t>ir</w:t>
      </w:r>
      <w:r w:rsidR="00DA570A" w:rsidRPr="00A326B9">
        <w:rPr>
          <w:lang w:val="en-GB"/>
        </w:rPr>
        <w:t xml:space="preserve"> </w:t>
      </w:r>
      <w:r w:rsidR="73E50A94" w:rsidRPr="00A326B9">
        <w:rPr>
          <w:lang w:val="en-GB"/>
        </w:rPr>
        <w:t>new duties and competencies.</w:t>
      </w:r>
      <w:r w:rsidR="256E4F4F" w:rsidRPr="00A326B9">
        <w:rPr>
          <w:lang w:val="en-GB"/>
        </w:rPr>
        <w:t xml:space="preserve"> </w:t>
      </w:r>
      <w:r w:rsidR="00DA5295" w:rsidRPr="00A326B9">
        <w:rPr>
          <w:lang w:val="en-GB"/>
        </w:rPr>
        <w:t xml:space="preserve">UNDP will </w:t>
      </w:r>
      <w:r w:rsidR="2D1E7049" w:rsidRPr="00A326B9">
        <w:rPr>
          <w:lang w:val="en-GB"/>
        </w:rPr>
        <w:t>continu</w:t>
      </w:r>
      <w:r w:rsidR="00DA5295" w:rsidRPr="00A326B9">
        <w:rPr>
          <w:lang w:val="en-GB"/>
        </w:rPr>
        <w:t xml:space="preserve">e </w:t>
      </w:r>
      <w:r w:rsidR="2D1E7049" w:rsidRPr="00A326B9">
        <w:rPr>
          <w:lang w:val="en-GB"/>
        </w:rPr>
        <w:t>support</w:t>
      </w:r>
      <w:r w:rsidR="00DA5295" w:rsidRPr="00A326B9">
        <w:rPr>
          <w:lang w:val="en-GB"/>
        </w:rPr>
        <w:t xml:space="preserve">ing </w:t>
      </w:r>
      <w:r w:rsidR="2D1E7049" w:rsidRPr="00A326B9">
        <w:rPr>
          <w:lang w:val="en-GB"/>
        </w:rPr>
        <w:t xml:space="preserve">free and fair </w:t>
      </w:r>
      <w:r w:rsidR="00E76B87" w:rsidRPr="00A326B9">
        <w:rPr>
          <w:lang w:val="en-GB"/>
        </w:rPr>
        <w:t xml:space="preserve">elections </w:t>
      </w:r>
      <w:r w:rsidR="00B171CB" w:rsidRPr="00A326B9">
        <w:rPr>
          <w:lang w:val="en-GB"/>
        </w:rPr>
        <w:t>and</w:t>
      </w:r>
      <w:r w:rsidR="00DA5295" w:rsidRPr="00A326B9">
        <w:rPr>
          <w:lang w:val="en-GB"/>
        </w:rPr>
        <w:t xml:space="preserve"> w</w:t>
      </w:r>
      <w:r w:rsidR="256E4F4F" w:rsidRPr="00A326B9">
        <w:rPr>
          <w:lang w:val="en-GB"/>
        </w:rPr>
        <w:t xml:space="preserve">ill </w:t>
      </w:r>
      <w:r w:rsidR="57FD16F9" w:rsidRPr="00A326B9">
        <w:rPr>
          <w:lang w:val="en-GB"/>
        </w:rPr>
        <w:t xml:space="preserve">broaden </w:t>
      </w:r>
      <w:r w:rsidR="256E4F4F" w:rsidRPr="00A326B9">
        <w:rPr>
          <w:lang w:val="en-GB"/>
        </w:rPr>
        <w:t xml:space="preserve">its </w:t>
      </w:r>
      <w:r w:rsidR="2D1E7049" w:rsidRPr="00A326B9">
        <w:rPr>
          <w:lang w:val="en-GB"/>
        </w:rPr>
        <w:t xml:space="preserve">approach </w:t>
      </w:r>
      <w:r w:rsidR="57FD16F9" w:rsidRPr="00A326B9">
        <w:rPr>
          <w:lang w:val="en-GB"/>
        </w:rPr>
        <w:t>to</w:t>
      </w:r>
      <w:r w:rsidR="3D91453A" w:rsidRPr="00A326B9">
        <w:rPr>
          <w:lang w:val="en-GB"/>
        </w:rPr>
        <w:t xml:space="preserve"> </w:t>
      </w:r>
      <w:r w:rsidR="2D1E7049" w:rsidRPr="00A326B9">
        <w:rPr>
          <w:lang w:val="en-GB"/>
        </w:rPr>
        <w:t xml:space="preserve">make </w:t>
      </w:r>
      <w:r w:rsidR="57FD16F9" w:rsidRPr="00A326B9">
        <w:rPr>
          <w:lang w:val="en-GB"/>
        </w:rPr>
        <w:t xml:space="preserve">democratic processes </w:t>
      </w:r>
      <w:r w:rsidR="2D1E7049" w:rsidRPr="00A326B9">
        <w:rPr>
          <w:lang w:val="en-GB"/>
        </w:rPr>
        <w:t xml:space="preserve">more inclusive by </w:t>
      </w:r>
      <w:r w:rsidR="256E4F4F" w:rsidRPr="00A326B9">
        <w:rPr>
          <w:lang w:val="en-GB"/>
        </w:rPr>
        <w:t xml:space="preserve">strengthening </w:t>
      </w:r>
      <w:r w:rsidR="00DA5295" w:rsidRPr="00A326B9">
        <w:rPr>
          <w:lang w:val="en-GB"/>
        </w:rPr>
        <w:t xml:space="preserve">the </w:t>
      </w:r>
      <w:r w:rsidR="256E4F4F" w:rsidRPr="00A326B9">
        <w:rPr>
          <w:lang w:val="en-GB"/>
        </w:rPr>
        <w:t xml:space="preserve">capacity </w:t>
      </w:r>
      <w:r w:rsidR="00DA5295" w:rsidRPr="00A326B9">
        <w:rPr>
          <w:lang w:val="en-GB"/>
        </w:rPr>
        <w:t xml:space="preserve">of the </w:t>
      </w:r>
      <w:r w:rsidR="256E4F4F" w:rsidRPr="00A326B9">
        <w:rPr>
          <w:lang w:val="en-GB"/>
        </w:rPr>
        <w:t>media and political parties</w:t>
      </w:r>
      <w:r w:rsidR="00E76B87" w:rsidRPr="00A326B9">
        <w:rPr>
          <w:lang w:val="en-GB"/>
        </w:rPr>
        <w:t xml:space="preserve"> </w:t>
      </w:r>
      <w:r w:rsidR="00DA5295" w:rsidRPr="00A326B9">
        <w:rPr>
          <w:lang w:val="en-GB"/>
        </w:rPr>
        <w:t xml:space="preserve">and </w:t>
      </w:r>
      <w:r w:rsidR="256E4F4F" w:rsidRPr="00A326B9">
        <w:rPr>
          <w:lang w:val="en-GB"/>
        </w:rPr>
        <w:t>en</w:t>
      </w:r>
      <w:r w:rsidR="00E76B87" w:rsidRPr="00A326B9">
        <w:rPr>
          <w:lang w:val="en-GB"/>
        </w:rPr>
        <w:t>abling</w:t>
      </w:r>
      <w:r w:rsidR="256E4F4F" w:rsidRPr="00A326B9">
        <w:rPr>
          <w:lang w:val="en-GB"/>
        </w:rPr>
        <w:t xml:space="preserve"> </w:t>
      </w:r>
      <w:r w:rsidR="57FD16F9" w:rsidRPr="00A326B9">
        <w:rPr>
          <w:lang w:val="en-GB"/>
        </w:rPr>
        <w:t>citizens</w:t>
      </w:r>
      <w:r w:rsidR="00A326B9" w:rsidRPr="00A326B9">
        <w:rPr>
          <w:lang w:val="en-GB"/>
        </w:rPr>
        <w:t xml:space="preserve"> – </w:t>
      </w:r>
      <w:r w:rsidR="3D91453A" w:rsidRPr="00A326B9">
        <w:rPr>
          <w:lang w:val="en-GB"/>
        </w:rPr>
        <w:lastRenderedPageBreak/>
        <w:t>particularly women</w:t>
      </w:r>
      <w:r w:rsidR="19DC0110" w:rsidRPr="00A326B9">
        <w:rPr>
          <w:lang w:val="en-GB"/>
        </w:rPr>
        <w:t xml:space="preserve">, </w:t>
      </w:r>
      <w:r w:rsidR="3D91453A" w:rsidRPr="00A326B9">
        <w:rPr>
          <w:lang w:val="en-GB"/>
        </w:rPr>
        <w:t>youth</w:t>
      </w:r>
      <w:r w:rsidR="2D1E7049" w:rsidRPr="00A326B9">
        <w:rPr>
          <w:lang w:val="en-GB"/>
        </w:rPr>
        <w:t>,</w:t>
      </w:r>
      <w:r w:rsidR="2D7A930C" w:rsidRPr="00A326B9">
        <w:rPr>
          <w:lang w:val="en-GB"/>
        </w:rPr>
        <w:t xml:space="preserve"> elders, people with disabilities</w:t>
      </w:r>
      <w:r w:rsidR="48209F3A" w:rsidRPr="00A326B9">
        <w:rPr>
          <w:lang w:val="en-GB"/>
        </w:rPr>
        <w:t>, minorities</w:t>
      </w:r>
      <w:r w:rsidR="2D7A930C" w:rsidRPr="00A326B9">
        <w:rPr>
          <w:lang w:val="en-GB"/>
        </w:rPr>
        <w:t xml:space="preserve"> and </w:t>
      </w:r>
      <w:r w:rsidR="00A326B9" w:rsidRPr="00A326B9">
        <w:rPr>
          <w:lang w:val="en-GB"/>
        </w:rPr>
        <w:t>internally displaced persons (</w:t>
      </w:r>
      <w:r w:rsidR="2D7A930C" w:rsidRPr="00A326B9">
        <w:rPr>
          <w:lang w:val="en-GB"/>
        </w:rPr>
        <w:t>IDPs</w:t>
      </w:r>
      <w:r w:rsidR="00A326B9" w:rsidRPr="00A326B9">
        <w:rPr>
          <w:lang w:val="en-GB"/>
        </w:rPr>
        <w:t>) –</w:t>
      </w:r>
      <w:r w:rsidR="00A326B9">
        <w:rPr>
          <w:lang w:val="en-GB"/>
        </w:rPr>
        <w:t xml:space="preserve"> </w:t>
      </w:r>
      <w:r w:rsidR="2D1E7049" w:rsidRPr="00A326B9">
        <w:rPr>
          <w:lang w:val="en-GB"/>
        </w:rPr>
        <w:t>to make their voices heard</w:t>
      </w:r>
      <w:r w:rsidR="6C963449" w:rsidRPr="00A326B9">
        <w:rPr>
          <w:lang w:val="en-GB"/>
        </w:rPr>
        <w:t xml:space="preserve"> </w:t>
      </w:r>
      <w:r w:rsidR="00E76B87" w:rsidRPr="00A326B9">
        <w:rPr>
          <w:lang w:val="en-GB"/>
        </w:rPr>
        <w:t xml:space="preserve">through </w:t>
      </w:r>
      <w:r w:rsidR="1EB2BDEB" w:rsidRPr="00A326B9">
        <w:rPr>
          <w:lang w:val="en-GB"/>
        </w:rPr>
        <w:t>civic activities</w:t>
      </w:r>
      <w:r w:rsidR="235CFD89" w:rsidRPr="00A326B9">
        <w:rPr>
          <w:lang w:val="en-GB"/>
        </w:rPr>
        <w:t xml:space="preserve"> </w:t>
      </w:r>
      <w:r w:rsidR="4AE14C30" w:rsidRPr="00A326B9">
        <w:rPr>
          <w:lang w:val="en-GB"/>
        </w:rPr>
        <w:t>and social media platforms</w:t>
      </w:r>
      <w:r w:rsidR="00DA570A" w:rsidRPr="00A326B9">
        <w:rPr>
          <w:lang w:val="en-GB"/>
        </w:rPr>
        <w:t>, c</w:t>
      </w:r>
      <w:r w:rsidR="1EB2BDEB" w:rsidRPr="00A326B9">
        <w:rPr>
          <w:lang w:val="en-GB"/>
        </w:rPr>
        <w:t>reat</w:t>
      </w:r>
      <w:r w:rsidR="00DA570A" w:rsidRPr="00A326B9">
        <w:rPr>
          <w:lang w:val="en-GB"/>
        </w:rPr>
        <w:t>ing</w:t>
      </w:r>
      <w:r w:rsidR="1EB2BDEB" w:rsidRPr="00A326B9">
        <w:rPr>
          <w:lang w:val="en-GB"/>
        </w:rPr>
        <w:t xml:space="preserve"> space for peaceful dialogue. </w:t>
      </w:r>
      <w:r w:rsidR="256E4F4F" w:rsidRPr="00A326B9">
        <w:rPr>
          <w:lang w:val="en-GB"/>
        </w:rPr>
        <w:t xml:space="preserve">Joint activities with UNICEF </w:t>
      </w:r>
      <w:r w:rsidR="00DA570A" w:rsidRPr="00A326B9">
        <w:rPr>
          <w:lang w:val="en-GB"/>
        </w:rPr>
        <w:t xml:space="preserve">to support the </w:t>
      </w:r>
      <w:r w:rsidR="62940C6C" w:rsidRPr="00A326B9">
        <w:rPr>
          <w:lang w:val="en-GB"/>
        </w:rPr>
        <w:t>U</w:t>
      </w:r>
      <w:r w:rsidR="00A326B9">
        <w:rPr>
          <w:lang w:val="en-GB"/>
        </w:rPr>
        <w:t xml:space="preserve">nited Nations </w:t>
      </w:r>
      <w:r w:rsidR="52B0087E" w:rsidRPr="00A326B9">
        <w:rPr>
          <w:lang w:val="en-GB"/>
        </w:rPr>
        <w:t xml:space="preserve">Legal Identity Agenda will </w:t>
      </w:r>
      <w:r w:rsidR="72169748" w:rsidRPr="00A326B9">
        <w:rPr>
          <w:lang w:val="en-GB"/>
        </w:rPr>
        <w:t xml:space="preserve">leverage expertise and expand support </w:t>
      </w:r>
      <w:r w:rsidR="00DA570A" w:rsidRPr="00A326B9">
        <w:rPr>
          <w:lang w:val="en-GB"/>
        </w:rPr>
        <w:t xml:space="preserve">to </w:t>
      </w:r>
      <w:r w:rsidR="72169748" w:rsidRPr="00A326B9">
        <w:rPr>
          <w:lang w:val="en-GB"/>
        </w:rPr>
        <w:t>policy, research, and system implementation for coordinated approaches to national legal identity systems.</w:t>
      </w:r>
    </w:p>
    <w:p w14:paraId="1451D5D5" w14:textId="4A67FA59" w:rsidR="00032B5A" w:rsidRPr="00972B61" w:rsidRDefault="003C4645" w:rsidP="0083339E">
      <w:pPr>
        <w:pStyle w:val="ListParagraph"/>
        <w:numPr>
          <w:ilvl w:val="0"/>
          <w:numId w:val="37"/>
        </w:numPr>
        <w:spacing w:after="120" w:line="240" w:lineRule="exact"/>
        <w:ind w:left="1080" w:right="1210" w:firstLine="0"/>
        <w:jc w:val="both"/>
        <w:rPr>
          <w:lang w:val="en-GB"/>
        </w:rPr>
      </w:pPr>
      <w:r w:rsidRPr="00972B61">
        <w:rPr>
          <w:lang w:val="en-GB"/>
        </w:rPr>
        <w:t>Mozambique has been faced with unforeseen violent extremism and instability that risk undermining development gains. As national priorities, engagement and investments target the resolution of the crisis, UNDP will accompany efforts of reconstruction and stabilization in the north of the country. Its engagement, will include a peacebuilding, reconciliation and social cohesion line of support</w:t>
      </w:r>
      <w:r w:rsidR="00A326B9">
        <w:rPr>
          <w:lang w:val="en-GB"/>
        </w:rPr>
        <w:t>,</w:t>
      </w:r>
      <w:r w:rsidRPr="00972B61">
        <w:rPr>
          <w:lang w:val="en-GB"/>
        </w:rPr>
        <w:t xml:space="preserve"> building on both national and community-based interventions. UNDP will also support relevant national and provincial authorities on cross</w:t>
      </w:r>
      <w:r w:rsidR="00A326B9">
        <w:rPr>
          <w:lang w:val="en-GB"/>
        </w:rPr>
        <w:t>-</w:t>
      </w:r>
      <w:r w:rsidRPr="00972B61">
        <w:rPr>
          <w:lang w:val="en-GB"/>
        </w:rPr>
        <w:t>border institutional cooperation</w:t>
      </w:r>
      <w:r w:rsidR="00A326B9">
        <w:rPr>
          <w:lang w:val="en-GB"/>
        </w:rPr>
        <w:t xml:space="preserve">, </w:t>
      </w:r>
      <w:r w:rsidRPr="00972B61">
        <w:rPr>
          <w:lang w:val="en-GB"/>
        </w:rPr>
        <w:t>inclusive of trade and peace</w:t>
      </w:r>
      <w:r w:rsidR="00A326B9">
        <w:rPr>
          <w:lang w:val="en-GB"/>
        </w:rPr>
        <w:t>-</w:t>
      </w:r>
      <w:r w:rsidRPr="00972B61">
        <w:rPr>
          <w:lang w:val="en-GB"/>
        </w:rPr>
        <w:t>building dimensions.</w:t>
      </w:r>
    </w:p>
    <w:p w14:paraId="5D5FFFBE" w14:textId="5E2B690F" w:rsidR="00DE417D" w:rsidRPr="00972B61" w:rsidRDefault="5B1A4D2C" w:rsidP="0083339E">
      <w:pPr>
        <w:pStyle w:val="ListParagraph"/>
        <w:numPr>
          <w:ilvl w:val="0"/>
          <w:numId w:val="37"/>
        </w:numPr>
        <w:spacing w:after="120" w:line="240" w:lineRule="exact"/>
        <w:ind w:left="1080" w:right="1210" w:firstLine="0"/>
        <w:jc w:val="both"/>
        <w:rPr>
          <w:b/>
          <w:bCs/>
          <w:i/>
          <w:iCs/>
          <w:lang w:val="en-GB"/>
        </w:rPr>
      </w:pPr>
      <w:r w:rsidRPr="00972B61">
        <w:rPr>
          <w:lang w:val="en-GB"/>
        </w:rPr>
        <w:t>UNDP will support</w:t>
      </w:r>
      <w:r w:rsidR="00C035BF" w:rsidRPr="00972B61">
        <w:rPr>
          <w:lang w:val="en-GB"/>
        </w:rPr>
        <w:t xml:space="preserve"> </w:t>
      </w:r>
      <w:r w:rsidRPr="00972B61">
        <w:rPr>
          <w:lang w:val="en-GB"/>
        </w:rPr>
        <w:t xml:space="preserve">institutions and populations to address the </w:t>
      </w:r>
      <w:r w:rsidR="00C035BF" w:rsidRPr="00972B61">
        <w:rPr>
          <w:lang w:val="en-GB"/>
        </w:rPr>
        <w:t xml:space="preserve">continuing </w:t>
      </w:r>
      <w:r w:rsidRPr="00972B61">
        <w:rPr>
          <w:lang w:val="en-GB"/>
        </w:rPr>
        <w:t>challenges posed by COVID-19</w:t>
      </w:r>
      <w:r w:rsidR="00C035BF" w:rsidRPr="00972B61">
        <w:rPr>
          <w:lang w:val="en-GB"/>
        </w:rPr>
        <w:t xml:space="preserve"> and to build </w:t>
      </w:r>
      <w:r w:rsidR="00B171CB" w:rsidRPr="00972B61">
        <w:rPr>
          <w:lang w:val="en-GB"/>
        </w:rPr>
        <w:t>forward</w:t>
      </w:r>
      <w:r w:rsidR="00C035BF" w:rsidRPr="00972B61">
        <w:rPr>
          <w:lang w:val="en-GB"/>
        </w:rPr>
        <w:t xml:space="preserve"> better</w:t>
      </w:r>
      <w:r w:rsidRPr="00972B61">
        <w:rPr>
          <w:lang w:val="en-GB"/>
        </w:rPr>
        <w:t xml:space="preserve">. </w:t>
      </w:r>
      <w:r w:rsidR="00DE417D" w:rsidRPr="00972B61">
        <w:rPr>
          <w:lang w:val="en-GB"/>
        </w:rPr>
        <w:t>Support to d</w:t>
      </w:r>
      <w:r w:rsidRPr="00972B61">
        <w:rPr>
          <w:lang w:val="en-GB"/>
        </w:rPr>
        <w:t xml:space="preserve">igitalization and e-governance </w:t>
      </w:r>
      <w:r w:rsidR="00C035BF" w:rsidRPr="00972B61">
        <w:rPr>
          <w:lang w:val="en-GB"/>
        </w:rPr>
        <w:t xml:space="preserve">will </w:t>
      </w:r>
      <w:r w:rsidRPr="00972B61">
        <w:rPr>
          <w:lang w:val="en-GB"/>
        </w:rPr>
        <w:t xml:space="preserve">strengthen data management, transparency and timeliness </w:t>
      </w:r>
      <w:r w:rsidR="00C035BF" w:rsidRPr="00972B61">
        <w:rPr>
          <w:lang w:val="en-GB"/>
        </w:rPr>
        <w:t>in</w:t>
      </w:r>
      <w:r w:rsidRPr="00972B61">
        <w:rPr>
          <w:lang w:val="en-GB"/>
        </w:rPr>
        <w:t xml:space="preserve"> public service delivery, particularly in the justice sector. </w:t>
      </w:r>
    </w:p>
    <w:p w14:paraId="22983BD1" w14:textId="4A946200" w:rsidR="00DE417D" w:rsidRPr="00A1146C" w:rsidRDefault="00DE417D" w:rsidP="0083339E">
      <w:pPr>
        <w:pStyle w:val="ListParagraph"/>
        <w:spacing w:after="120" w:line="240" w:lineRule="exact"/>
        <w:ind w:left="1080" w:right="1210"/>
        <w:jc w:val="both"/>
        <w:rPr>
          <w:i/>
          <w:iCs/>
          <w:lang w:val="en-GB"/>
        </w:rPr>
      </w:pPr>
      <w:r w:rsidRPr="00A1146C">
        <w:rPr>
          <w:i/>
          <w:iCs/>
          <w:lang w:val="en-GB"/>
        </w:rPr>
        <w:t>A new approach to partnerships</w:t>
      </w:r>
    </w:p>
    <w:p w14:paraId="5FBFDC7C" w14:textId="0F20CB7E" w:rsidR="00895D25" w:rsidRPr="00972B61" w:rsidRDefault="00175D7C" w:rsidP="0083339E">
      <w:pPr>
        <w:pStyle w:val="ListParagraph"/>
        <w:numPr>
          <w:ilvl w:val="0"/>
          <w:numId w:val="37"/>
        </w:numPr>
        <w:spacing w:after="200" w:line="240" w:lineRule="exact"/>
        <w:ind w:left="1080" w:right="1210" w:firstLine="0"/>
        <w:jc w:val="both"/>
        <w:rPr>
          <w:lang w:val="en-GB"/>
        </w:rPr>
      </w:pPr>
      <w:r w:rsidRPr="00972B61">
        <w:rPr>
          <w:lang w:val="en-GB"/>
        </w:rPr>
        <w:t>N</w:t>
      </w:r>
      <w:r w:rsidR="030C6ACA" w:rsidRPr="00972B61">
        <w:rPr>
          <w:lang w:val="en-GB"/>
        </w:rPr>
        <w:t xml:space="preserve">on-traditional partnerships and new and innovative financing instruments, such as green bonds, </w:t>
      </w:r>
      <w:r w:rsidRPr="00972B61">
        <w:rPr>
          <w:lang w:val="en-GB"/>
        </w:rPr>
        <w:t xml:space="preserve">will be explored to </w:t>
      </w:r>
      <w:r w:rsidR="030C6ACA" w:rsidRPr="00972B61">
        <w:rPr>
          <w:lang w:val="en-GB"/>
        </w:rPr>
        <w:t xml:space="preserve">support sustainable development and ensure greater effectiveness and efficiency in the application of funds </w:t>
      </w:r>
      <w:r w:rsidR="00A326B9">
        <w:rPr>
          <w:lang w:val="en-GB"/>
        </w:rPr>
        <w:t xml:space="preserve">by </w:t>
      </w:r>
      <w:r w:rsidR="030C6ACA" w:rsidRPr="00972B61">
        <w:rPr>
          <w:lang w:val="en-GB"/>
        </w:rPr>
        <w:t>maximizing potential synergies. Existing partnerships with key government institutions</w:t>
      </w:r>
      <w:r w:rsidRPr="00972B61">
        <w:rPr>
          <w:lang w:val="en-GB"/>
        </w:rPr>
        <w:t xml:space="preserve">, </w:t>
      </w:r>
      <w:r w:rsidR="030C6ACA" w:rsidRPr="00972B61">
        <w:rPr>
          <w:lang w:val="en-GB"/>
        </w:rPr>
        <w:t>U</w:t>
      </w:r>
      <w:r w:rsidR="00A326B9">
        <w:rPr>
          <w:lang w:val="en-GB"/>
        </w:rPr>
        <w:t xml:space="preserve">nited </w:t>
      </w:r>
      <w:r w:rsidRPr="00972B61">
        <w:rPr>
          <w:lang w:val="en-GB"/>
        </w:rPr>
        <w:t>N</w:t>
      </w:r>
      <w:r w:rsidR="00A326B9">
        <w:rPr>
          <w:lang w:val="en-GB"/>
        </w:rPr>
        <w:t>ations</w:t>
      </w:r>
      <w:r w:rsidRPr="00972B61">
        <w:rPr>
          <w:lang w:val="en-GB"/>
        </w:rPr>
        <w:t xml:space="preserve"> </w:t>
      </w:r>
      <w:r w:rsidR="00A326B9">
        <w:rPr>
          <w:lang w:val="en-GB"/>
        </w:rPr>
        <w:t xml:space="preserve">organizations </w:t>
      </w:r>
      <w:r w:rsidR="030C6ACA" w:rsidRPr="00972B61">
        <w:rPr>
          <w:lang w:val="en-GB"/>
        </w:rPr>
        <w:t xml:space="preserve">and development partners will be strengthened. Partnerships with the private sector, multilateral and bilateral organizations, (including Global and South-South </w:t>
      </w:r>
      <w:r w:rsidR="00572E34" w:rsidRPr="00972B61">
        <w:rPr>
          <w:lang w:val="en-GB"/>
        </w:rPr>
        <w:t xml:space="preserve">and </w:t>
      </w:r>
      <w:r w:rsidR="00A326B9">
        <w:rPr>
          <w:lang w:val="en-GB"/>
        </w:rPr>
        <w:t>t</w:t>
      </w:r>
      <w:r w:rsidR="00572E34" w:rsidRPr="00972B61">
        <w:rPr>
          <w:lang w:val="en-GB"/>
        </w:rPr>
        <w:t xml:space="preserve">riangular </w:t>
      </w:r>
      <w:r w:rsidR="00A326B9">
        <w:rPr>
          <w:lang w:val="en-GB"/>
        </w:rPr>
        <w:t>p</w:t>
      </w:r>
      <w:r w:rsidR="030C6ACA" w:rsidRPr="00972B61">
        <w:rPr>
          <w:lang w:val="en-GB"/>
        </w:rPr>
        <w:t>artnerships</w:t>
      </w:r>
      <w:r w:rsidR="004D2C95" w:rsidRPr="00972B61">
        <w:rPr>
          <w:lang w:val="en-GB"/>
        </w:rPr>
        <w:t>,</w:t>
      </w:r>
      <w:r w:rsidR="003D55DE" w:rsidRPr="00972B61">
        <w:rPr>
          <w:lang w:val="en-GB"/>
        </w:rPr>
        <w:t xml:space="preserve"> particularly between </w:t>
      </w:r>
      <w:r w:rsidR="00B567AD">
        <w:rPr>
          <w:lang w:val="en-GB"/>
        </w:rPr>
        <w:t xml:space="preserve">South African Development Community </w:t>
      </w:r>
      <w:r w:rsidR="003D55DE" w:rsidRPr="00972B61">
        <w:rPr>
          <w:lang w:val="en-GB"/>
        </w:rPr>
        <w:t xml:space="preserve">and </w:t>
      </w:r>
      <w:r w:rsidR="00B567AD">
        <w:rPr>
          <w:lang w:val="en-GB"/>
        </w:rPr>
        <w:t>Portuguese-speaking African countries</w:t>
      </w:r>
      <w:r w:rsidR="030C6ACA" w:rsidRPr="00972B61">
        <w:rPr>
          <w:lang w:val="en-GB"/>
        </w:rPr>
        <w:t>), and civil society organizations will be explored to promote integrated finance for development.</w:t>
      </w:r>
      <w:r w:rsidR="004C765C">
        <w:rPr>
          <w:lang w:val="en-GB"/>
        </w:rPr>
        <w:t xml:space="preserve"> </w:t>
      </w:r>
      <w:r w:rsidR="030C6ACA" w:rsidRPr="00972B61">
        <w:rPr>
          <w:lang w:val="en-GB"/>
        </w:rPr>
        <w:t xml:space="preserve">The </w:t>
      </w:r>
      <w:r w:rsidR="00B567AD">
        <w:rPr>
          <w:lang w:val="en-GB"/>
        </w:rPr>
        <w:t>c</w:t>
      </w:r>
      <w:r w:rsidR="030C6ACA" w:rsidRPr="00972B61">
        <w:rPr>
          <w:lang w:val="en-GB"/>
        </w:rPr>
        <w:t xml:space="preserve">ountry </w:t>
      </w:r>
      <w:r w:rsidR="00B567AD">
        <w:rPr>
          <w:lang w:val="en-GB"/>
        </w:rPr>
        <w:t>o</w:t>
      </w:r>
      <w:r w:rsidR="030C6ACA" w:rsidRPr="00972B61">
        <w:rPr>
          <w:lang w:val="en-GB"/>
        </w:rPr>
        <w:t>ffice will develop a catalogue of potential new partners, including in the private sector,</w:t>
      </w:r>
      <w:r w:rsidR="004C765C">
        <w:rPr>
          <w:lang w:val="en-GB"/>
        </w:rPr>
        <w:t xml:space="preserve"> </w:t>
      </w:r>
      <w:r w:rsidR="030C6ACA" w:rsidRPr="00972B61">
        <w:rPr>
          <w:lang w:val="en-GB"/>
        </w:rPr>
        <w:t>and tap into the wisdom of grassroots organizations</w:t>
      </w:r>
      <w:r w:rsidR="000A2FD5">
        <w:rPr>
          <w:lang w:val="en-GB"/>
        </w:rPr>
        <w:t>, through the Accelerato</w:t>
      </w:r>
      <w:r w:rsidR="002A35BB">
        <w:rPr>
          <w:lang w:val="en-GB"/>
        </w:rPr>
        <w:t>r</w:t>
      </w:r>
      <w:r w:rsidR="000A2FD5">
        <w:rPr>
          <w:lang w:val="en-GB"/>
        </w:rPr>
        <w:t xml:space="preserve"> Lab,</w:t>
      </w:r>
      <w:r w:rsidR="004C765C">
        <w:rPr>
          <w:lang w:val="en-GB"/>
        </w:rPr>
        <w:t xml:space="preserve"> </w:t>
      </w:r>
      <w:r w:rsidRPr="00972B61">
        <w:rPr>
          <w:lang w:val="en-GB"/>
        </w:rPr>
        <w:t>to</w:t>
      </w:r>
      <w:r w:rsidR="030C6ACA" w:rsidRPr="00972B61">
        <w:rPr>
          <w:lang w:val="en-GB"/>
        </w:rPr>
        <w:t xml:space="preserve"> add value </w:t>
      </w:r>
      <w:r w:rsidRPr="00972B61">
        <w:rPr>
          <w:lang w:val="en-GB"/>
        </w:rPr>
        <w:t xml:space="preserve">to </w:t>
      </w:r>
      <w:r w:rsidR="030C6ACA" w:rsidRPr="00972B61">
        <w:rPr>
          <w:lang w:val="en-GB"/>
        </w:rPr>
        <w:t xml:space="preserve">and complement the UNDP technical offer. The development of a communication strategy focused on the </w:t>
      </w:r>
      <w:r w:rsidR="000A2FD5">
        <w:rPr>
          <w:lang w:val="en-GB"/>
        </w:rPr>
        <w:t>attainment of the</w:t>
      </w:r>
      <w:r w:rsidR="004C765C">
        <w:rPr>
          <w:lang w:val="en-GB"/>
        </w:rPr>
        <w:t xml:space="preserve"> </w:t>
      </w:r>
      <w:r w:rsidR="002A35BB">
        <w:rPr>
          <w:lang w:val="en-GB"/>
        </w:rPr>
        <w:t xml:space="preserve">Sustainable Development Goals </w:t>
      </w:r>
      <w:r w:rsidR="000A2FD5">
        <w:rPr>
          <w:lang w:val="en-GB"/>
        </w:rPr>
        <w:t xml:space="preserve">targets </w:t>
      </w:r>
      <w:r w:rsidR="030C6ACA" w:rsidRPr="00972B61">
        <w:rPr>
          <w:lang w:val="en-GB"/>
        </w:rPr>
        <w:t xml:space="preserve">will gain greater visibility for UNDP and strengthen its </w:t>
      </w:r>
      <w:r w:rsidRPr="00972B61">
        <w:rPr>
          <w:lang w:val="en-GB"/>
        </w:rPr>
        <w:t xml:space="preserve">leadership in </w:t>
      </w:r>
      <w:r w:rsidR="030C6ACA" w:rsidRPr="00972B61">
        <w:rPr>
          <w:lang w:val="en-GB"/>
        </w:rPr>
        <w:t xml:space="preserve">advocacy for inclusive and sustainable development. </w:t>
      </w:r>
    </w:p>
    <w:bookmarkEnd w:id="3"/>
    <w:p w14:paraId="09B1853F" w14:textId="500F46CB" w:rsidR="0058408A" w:rsidRPr="00972B61" w:rsidRDefault="0058408A" w:rsidP="004F6570">
      <w:pPr>
        <w:pStyle w:val="Heading1"/>
        <w:spacing w:after="200" w:line="240" w:lineRule="exact"/>
        <w:ind w:left="1080" w:right="1210" w:hanging="450"/>
        <w:jc w:val="both"/>
        <w:rPr>
          <w:rFonts w:ascii="Times New Roman" w:hAnsi="Times New Roman"/>
          <w:color w:val="000000"/>
          <w:sz w:val="24"/>
          <w:szCs w:val="24"/>
          <w:lang w:val="en-GB"/>
        </w:rPr>
      </w:pPr>
      <w:r w:rsidRPr="00972B61">
        <w:rPr>
          <w:rFonts w:ascii="Times New Roman" w:hAnsi="Times New Roman"/>
          <w:color w:val="000000"/>
          <w:sz w:val="24"/>
          <w:szCs w:val="24"/>
          <w:lang w:val="en-GB"/>
        </w:rPr>
        <w:t>III.</w:t>
      </w:r>
      <w:r w:rsidR="00AA15CB" w:rsidRPr="00972B61">
        <w:rPr>
          <w:rFonts w:ascii="Times New Roman" w:hAnsi="Times New Roman"/>
          <w:color w:val="000000"/>
          <w:sz w:val="24"/>
          <w:szCs w:val="24"/>
          <w:lang w:val="en-GB"/>
        </w:rPr>
        <w:tab/>
      </w:r>
      <w:r w:rsidRPr="00972B61">
        <w:rPr>
          <w:rFonts w:ascii="Times New Roman" w:hAnsi="Times New Roman"/>
          <w:color w:val="000000"/>
          <w:sz w:val="24"/>
          <w:szCs w:val="24"/>
          <w:lang w:val="en-GB"/>
        </w:rPr>
        <w:t xml:space="preserve">Programme and </w:t>
      </w:r>
      <w:r w:rsidR="0083339E" w:rsidRPr="00972B61">
        <w:rPr>
          <w:rFonts w:ascii="Times New Roman" w:hAnsi="Times New Roman"/>
          <w:color w:val="000000"/>
          <w:sz w:val="24"/>
          <w:szCs w:val="24"/>
          <w:lang w:val="en-GB"/>
        </w:rPr>
        <w:t>r</w:t>
      </w:r>
      <w:r w:rsidRPr="00972B61">
        <w:rPr>
          <w:rFonts w:ascii="Times New Roman" w:hAnsi="Times New Roman"/>
          <w:color w:val="000000"/>
          <w:sz w:val="24"/>
          <w:szCs w:val="24"/>
          <w:lang w:val="en-GB"/>
        </w:rPr>
        <w:t xml:space="preserve">isk </w:t>
      </w:r>
      <w:r w:rsidR="0083339E" w:rsidRPr="00972B61">
        <w:rPr>
          <w:rFonts w:ascii="Times New Roman" w:hAnsi="Times New Roman"/>
          <w:color w:val="000000"/>
          <w:sz w:val="24"/>
          <w:szCs w:val="24"/>
          <w:lang w:val="en-GB"/>
        </w:rPr>
        <w:t>m</w:t>
      </w:r>
      <w:r w:rsidRPr="00972B61">
        <w:rPr>
          <w:rFonts w:ascii="Times New Roman" w:hAnsi="Times New Roman"/>
          <w:color w:val="000000"/>
          <w:sz w:val="24"/>
          <w:szCs w:val="24"/>
          <w:lang w:val="en-GB"/>
        </w:rPr>
        <w:t>anagement</w:t>
      </w:r>
    </w:p>
    <w:p w14:paraId="7A5183BF" w14:textId="66029015" w:rsidR="0058408A" w:rsidRPr="00972B61" w:rsidRDefault="0CA9AA62" w:rsidP="0083339E">
      <w:pPr>
        <w:pStyle w:val="ListParagraph"/>
        <w:numPr>
          <w:ilvl w:val="0"/>
          <w:numId w:val="37"/>
        </w:numPr>
        <w:spacing w:after="120" w:line="240" w:lineRule="exact"/>
        <w:ind w:left="1080" w:right="1210" w:firstLine="0"/>
        <w:jc w:val="both"/>
        <w:rPr>
          <w:color w:val="000000" w:themeColor="text1"/>
          <w:lang w:val="en-GB"/>
        </w:rPr>
      </w:pPr>
      <w:r w:rsidRPr="00972B61">
        <w:rPr>
          <w:color w:val="000000" w:themeColor="text1"/>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3A66D8">
        <w:rPr>
          <w:color w:val="000000" w:themeColor="text1"/>
          <w:lang w:val="en-GB"/>
        </w:rPr>
        <w:t>s</w:t>
      </w:r>
      <w:r w:rsidRPr="00972B61">
        <w:rPr>
          <w:color w:val="000000" w:themeColor="text1"/>
          <w:lang w:val="en-GB"/>
        </w:rPr>
        <w:t xml:space="preserve"> levels with respect to country programmes is prescribed in the organization’s </w:t>
      </w:r>
      <w:hyperlink r:id="rId17">
        <w:r w:rsidR="003A66D8">
          <w:rPr>
            <w:rStyle w:val="Hyperlink"/>
            <w:color w:val="000000" w:themeColor="text1"/>
            <w:lang w:val="en-GB"/>
          </w:rPr>
          <w:t>p</w:t>
        </w:r>
        <w:r w:rsidRPr="00972B61">
          <w:rPr>
            <w:rStyle w:val="Hyperlink"/>
            <w:color w:val="000000" w:themeColor="text1"/>
            <w:lang w:val="en-GB"/>
          </w:rPr>
          <w:t xml:space="preserve">rogramme and </w:t>
        </w:r>
        <w:r w:rsidR="003A66D8">
          <w:rPr>
            <w:rStyle w:val="Hyperlink"/>
            <w:color w:val="000000" w:themeColor="text1"/>
            <w:lang w:val="en-GB"/>
          </w:rPr>
          <w:t>o</w:t>
        </w:r>
        <w:r w:rsidRPr="00972B61">
          <w:rPr>
            <w:rStyle w:val="Hyperlink"/>
            <w:color w:val="000000" w:themeColor="text1"/>
            <w:lang w:val="en-GB"/>
          </w:rPr>
          <w:t xml:space="preserve">perations </w:t>
        </w:r>
        <w:r w:rsidR="003A66D8">
          <w:rPr>
            <w:rStyle w:val="Hyperlink"/>
            <w:color w:val="000000" w:themeColor="text1"/>
            <w:lang w:val="en-GB"/>
          </w:rPr>
          <w:t>p</w:t>
        </w:r>
        <w:r w:rsidRPr="00972B61">
          <w:rPr>
            <w:rStyle w:val="Hyperlink"/>
            <w:color w:val="000000" w:themeColor="text1"/>
            <w:lang w:val="en-GB"/>
          </w:rPr>
          <w:t xml:space="preserve">olicies and </w:t>
        </w:r>
        <w:r w:rsidR="003A66D8">
          <w:rPr>
            <w:rStyle w:val="Hyperlink"/>
            <w:color w:val="000000" w:themeColor="text1"/>
            <w:lang w:val="en-GB"/>
          </w:rPr>
          <w:t>p</w:t>
        </w:r>
        <w:r w:rsidRPr="00972B61">
          <w:rPr>
            <w:rStyle w:val="Hyperlink"/>
            <w:color w:val="000000" w:themeColor="text1"/>
            <w:lang w:val="en-GB"/>
          </w:rPr>
          <w:t>rocedures</w:t>
        </w:r>
      </w:hyperlink>
      <w:r w:rsidRPr="00972B61">
        <w:rPr>
          <w:color w:val="000000" w:themeColor="text1"/>
          <w:lang w:val="en-GB"/>
        </w:rPr>
        <w:t xml:space="preserve"> and </w:t>
      </w:r>
      <w:hyperlink r:id="rId18">
        <w:r w:rsidR="003A66D8">
          <w:rPr>
            <w:rStyle w:val="Hyperlink"/>
            <w:color w:val="000000" w:themeColor="text1"/>
            <w:lang w:val="en-GB"/>
          </w:rPr>
          <w:t>i</w:t>
        </w:r>
        <w:r w:rsidRPr="00972B61">
          <w:rPr>
            <w:rStyle w:val="Hyperlink"/>
            <w:color w:val="000000" w:themeColor="text1"/>
            <w:lang w:val="en-GB"/>
          </w:rPr>
          <w:t xml:space="preserve">nternal </w:t>
        </w:r>
        <w:r w:rsidR="003A66D8">
          <w:rPr>
            <w:rStyle w:val="Hyperlink"/>
            <w:color w:val="000000" w:themeColor="text1"/>
            <w:lang w:val="en-GB"/>
          </w:rPr>
          <w:t>c</w:t>
        </w:r>
        <w:r w:rsidRPr="00972B61">
          <w:rPr>
            <w:rStyle w:val="Hyperlink"/>
            <w:color w:val="000000" w:themeColor="text1"/>
            <w:lang w:val="en-GB"/>
          </w:rPr>
          <w:t xml:space="preserve">ontrol </w:t>
        </w:r>
        <w:r w:rsidR="003A66D8">
          <w:rPr>
            <w:rStyle w:val="Hyperlink"/>
            <w:color w:val="000000" w:themeColor="text1"/>
            <w:lang w:val="en-GB"/>
          </w:rPr>
          <w:t>f</w:t>
        </w:r>
        <w:r w:rsidRPr="00972B61">
          <w:rPr>
            <w:rStyle w:val="Hyperlink"/>
            <w:color w:val="000000" w:themeColor="text1"/>
            <w:lang w:val="en-GB"/>
          </w:rPr>
          <w:t>ramework</w:t>
        </w:r>
      </w:hyperlink>
      <w:r w:rsidRPr="00972B61">
        <w:rPr>
          <w:color w:val="000000" w:themeColor="text1"/>
          <w:lang w:val="en-GB"/>
        </w:rPr>
        <w:t>.</w:t>
      </w:r>
    </w:p>
    <w:p w14:paraId="243829A1" w14:textId="17077B80" w:rsidR="0058408A" w:rsidRPr="00972B61" w:rsidRDefault="1EB2BDEB" w:rsidP="0083339E">
      <w:pPr>
        <w:pStyle w:val="ListParagraph"/>
        <w:numPr>
          <w:ilvl w:val="0"/>
          <w:numId w:val="37"/>
        </w:numPr>
        <w:spacing w:after="120" w:line="240" w:lineRule="exact"/>
        <w:ind w:left="1080" w:right="1210" w:firstLine="0"/>
        <w:jc w:val="both"/>
        <w:rPr>
          <w:color w:val="000000" w:themeColor="text1"/>
          <w:lang w:val="en-GB"/>
        </w:rPr>
      </w:pPr>
      <w:r w:rsidRPr="00972B61">
        <w:rPr>
          <w:color w:val="000000" w:themeColor="text1"/>
          <w:lang w:val="en-GB"/>
        </w:rPr>
        <w:t xml:space="preserve">A </w:t>
      </w:r>
      <w:r w:rsidR="003A66D8">
        <w:rPr>
          <w:color w:val="000000" w:themeColor="text1"/>
          <w:lang w:val="en-GB"/>
        </w:rPr>
        <w:t>‘</w:t>
      </w:r>
      <w:r w:rsidRPr="00972B61">
        <w:rPr>
          <w:color w:val="000000" w:themeColor="text1"/>
          <w:lang w:val="en-GB"/>
        </w:rPr>
        <w:t xml:space="preserve">portfolio </w:t>
      </w:r>
      <w:r w:rsidR="0CA9AA62" w:rsidRPr="00972B61">
        <w:rPr>
          <w:color w:val="000000" w:themeColor="text1"/>
          <w:lang w:val="en-GB"/>
        </w:rPr>
        <w:t>management</w:t>
      </w:r>
      <w:r w:rsidR="003A66D8">
        <w:rPr>
          <w:color w:val="000000" w:themeColor="text1"/>
          <w:lang w:val="en-GB"/>
        </w:rPr>
        <w:t>’</w:t>
      </w:r>
      <w:r w:rsidR="0CA9AA62" w:rsidRPr="00972B61">
        <w:rPr>
          <w:color w:val="000000" w:themeColor="text1"/>
          <w:lang w:val="en-GB"/>
        </w:rPr>
        <w:t xml:space="preserve"> approach </w:t>
      </w:r>
      <w:r w:rsidRPr="00972B61">
        <w:rPr>
          <w:color w:val="000000" w:themeColor="text1"/>
          <w:lang w:val="en-GB"/>
        </w:rPr>
        <w:t xml:space="preserve">will </w:t>
      </w:r>
      <w:r w:rsidR="169A97EE" w:rsidRPr="00972B61">
        <w:rPr>
          <w:color w:val="000000" w:themeColor="text1"/>
          <w:lang w:val="en-GB"/>
        </w:rPr>
        <w:t>e</w:t>
      </w:r>
      <w:r w:rsidR="0CA9AA62" w:rsidRPr="00972B61">
        <w:rPr>
          <w:color w:val="000000" w:themeColor="text1"/>
          <w:lang w:val="en-GB"/>
        </w:rPr>
        <w:t>nhance vertical integration and effective policy-practice and field</w:t>
      </w:r>
      <w:r w:rsidR="006239AC" w:rsidRPr="00972B61">
        <w:rPr>
          <w:color w:val="000000" w:themeColor="text1"/>
          <w:lang w:val="en-GB"/>
        </w:rPr>
        <w:t>work</w:t>
      </w:r>
      <w:r w:rsidR="0CA9AA62" w:rsidRPr="00972B61">
        <w:rPr>
          <w:color w:val="000000" w:themeColor="text1"/>
          <w:lang w:val="en-GB"/>
        </w:rPr>
        <w:t xml:space="preserve"> feedback loops</w:t>
      </w:r>
      <w:r w:rsidR="00EE2725" w:rsidRPr="00972B61">
        <w:rPr>
          <w:color w:val="000000" w:themeColor="text1"/>
          <w:lang w:val="en-GB"/>
        </w:rPr>
        <w:t xml:space="preserve"> and </w:t>
      </w:r>
      <w:r w:rsidR="006239AC" w:rsidRPr="00972B61">
        <w:rPr>
          <w:color w:val="000000" w:themeColor="text1"/>
          <w:lang w:val="en-GB"/>
        </w:rPr>
        <w:t>promote more</w:t>
      </w:r>
      <w:r w:rsidR="0CA9AA62" w:rsidRPr="00972B61">
        <w:rPr>
          <w:color w:val="000000" w:themeColor="text1"/>
          <w:lang w:val="en-GB"/>
        </w:rPr>
        <w:t xml:space="preserve"> effective collaboration </w:t>
      </w:r>
      <w:r w:rsidR="006239AC" w:rsidRPr="00972B61">
        <w:rPr>
          <w:color w:val="000000" w:themeColor="text1"/>
          <w:lang w:val="en-GB"/>
        </w:rPr>
        <w:t>between</w:t>
      </w:r>
      <w:r w:rsidR="0CA9AA62" w:rsidRPr="00972B61">
        <w:rPr>
          <w:color w:val="000000" w:themeColor="text1"/>
          <w:lang w:val="en-GB"/>
        </w:rPr>
        <w:t xml:space="preserve"> teams</w:t>
      </w:r>
      <w:r w:rsidR="00EE2725" w:rsidRPr="00972B61">
        <w:rPr>
          <w:color w:val="000000" w:themeColor="text1"/>
          <w:lang w:val="en-GB"/>
        </w:rPr>
        <w:t xml:space="preserve"> </w:t>
      </w:r>
      <w:r w:rsidR="0CA9AA62" w:rsidRPr="00972B61">
        <w:rPr>
          <w:color w:val="000000" w:themeColor="text1"/>
          <w:lang w:val="en-GB"/>
        </w:rPr>
        <w:t>and between programme and operations</w:t>
      </w:r>
      <w:r w:rsidR="00EE2725" w:rsidRPr="00972B61">
        <w:rPr>
          <w:color w:val="000000" w:themeColor="text1"/>
          <w:lang w:val="en-GB"/>
        </w:rPr>
        <w:t xml:space="preserve"> and ensure best use of available resources</w:t>
      </w:r>
      <w:r w:rsidR="0CA9AA62" w:rsidRPr="00972B61">
        <w:rPr>
          <w:color w:val="000000" w:themeColor="text1"/>
          <w:lang w:val="en-GB"/>
        </w:rPr>
        <w:t xml:space="preserve">. Implementation of </w:t>
      </w:r>
      <w:r w:rsidR="003A66D8">
        <w:rPr>
          <w:color w:val="000000" w:themeColor="text1"/>
          <w:lang w:val="en-GB"/>
        </w:rPr>
        <w:t xml:space="preserve">the </w:t>
      </w:r>
      <w:r w:rsidR="0CA9AA62" w:rsidRPr="00972B61">
        <w:rPr>
          <w:color w:val="000000" w:themeColor="text1"/>
          <w:lang w:val="en-GB"/>
        </w:rPr>
        <w:t xml:space="preserve">UNDP corporate data strategy will </w:t>
      </w:r>
      <w:r w:rsidR="386D2695" w:rsidRPr="00972B61">
        <w:rPr>
          <w:color w:val="000000" w:themeColor="text1"/>
          <w:lang w:val="en-GB"/>
        </w:rPr>
        <w:t xml:space="preserve">improve </w:t>
      </w:r>
      <w:r w:rsidR="0CA9AA62" w:rsidRPr="00972B61">
        <w:rPr>
          <w:color w:val="000000" w:themeColor="text1"/>
          <w:lang w:val="en-GB"/>
        </w:rPr>
        <w:t xml:space="preserve">data management </w:t>
      </w:r>
      <w:r w:rsidR="006239AC" w:rsidRPr="00972B61">
        <w:rPr>
          <w:color w:val="000000" w:themeColor="text1"/>
          <w:lang w:val="en-GB"/>
        </w:rPr>
        <w:t>by</w:t>
      </w:r>
      <w:r w:rsidR="0CA9AA62" w:rsidRPr="00972B61">
        <w:rPr>
          <w:color w:val="000000" w:themeColor="text1"/>
          <w:lang w:val="en-GB"/>
        </w:rPr>
        <w:t xml:space="preserve"> mak</w:t>
      </w:r>
      <w:r w:rsidR="006239AC" w:rsidRPr="00972B61">
        <w:rPr>
          <w:color w:val="000000" w:themeColor="text1"/>
          <w:lang w:val="en-GB"/>
        </w:rPr>
        <w:t>ing</w:t>
      </w:r>
      <w:r w:rsidR="0CA9AA62" w:rsidRPr="00972B61">
        <w:rPr>
          <w:color w:val="000000" w:themeColor="text1"/>
          <w:lang w:val="en-GB"/>
        </w:rPr>
        <w:t xml:space="preserve"> data standards a requirement at project </w:t>
      </w:r>
      <w:r w:rsidR="6A3663A7" w:rsidRPr="00972B61">
        <w:rPr>
          <w:color w:val="000000" w:themeColor="text1"/>
          <w:lang w:val="en-GB"/>
        </w:rPr>
        <w:t>level and</w:t>
      </w:r>
      <w:r w:rsidR="0CA9AA62" w:rsidRPr="00972B61">
        <w:rPr>
          <w:color w:val="000000" w:themeColor="text1"/>
          <w:lang w:val="en-GB"/>
        </w:rPr>
        <w:t xml:space="preserve"> </w:t>
      </w:r>
      <w:r w:rsidR="003A66D8">
        <w:rPr>
          <w:color w:val="000000" w:themeColor="text1"/>
          <w:lang w:val="en-GB"/>
        </w:rPr>
        <w:t xml:space="preserve">by </w:t>
      </w:r>
      <w:r w:rsidR="0CA9AA62" w:rsidRPr="00972B61">
        <w:rPr>
          <w:color w:val="000000" w:themeColor="text1"/>
          <w:lang w:val="en-GB"/>
        </w:rPr>
        <w:t>introduc</w:t>
      </w:r>
      <w:r w:rsidR="006239AC" w:rsidRPr="00972B61">
        <w:rPr>
          <w:color w:val="000000" w:themeColor="text1"/>
          <w:lang w:val="en-GB"/>
        </w:rPr>
        <w:t>ing</w:t>
      </w:r>
      <w:r w:rsidR="0CA9AA62" w:rsidRPr="00972B61">
        <w:rPr>
          <w:color w:val="000000" w:themeColor="text1"/>
          <w:lang w:val="en-GB"/>
        </w:rPr>
        <w:t xml:space="preserve"> checks and balances to guarantee fulfilment of ethical and security standards.</w:t>
      </w:r>
      <w:r w:rsidR="0CA9AA62" w:rsidRPr="00972B61">
        <w:rPr>
          <w:lang w:val="en-GB"/>
        </w:rPr>
        <w:t xml:space="preserve"> </w:t>
      </w:r>
      <w:r w:rsidR="169A97EE" w:rsidRPr="00972B61">
        <w:rPr>
          <w:color w:val="000000" w:themeColor="text1"/>
          <w:lang w:val="en-GB"/>
        </w:rPr>
        <w:t>UNDP</w:t>
      </w:r>
      <w:r w:rsidR="0CA9AA62" w:rsidRPr="00972B61">
        <w:rPr>
          <w:color w:val="000000" w:themeColor="text1"/>
          <w:lang w:val="en-GB"/>
        </w:rPr>
        <w:t xml:space="preserve"> aims to become a key player in </w:t>
      </w:r>
      <w:r w:rsidR="003A66D8">
        <w:rPr>
          <w:color w:val="000000" w:themeColor="text1"/>
          <w:lang w:val="en-GB"/>
        </w:rPr>
        <w:t xml:space="preserve">the country’s </w:t>
      </w:r>
      <w:r w:rsidR="0CA9AA62" w:rsidRPr="00972B61">
        <w:rPr>
          <w:color w:val="000000" w:themeColor="text1"/>
          <w:lang w:val="en-GB"/>
        </w:rPr>
        <w:t>innovation ecosystem</w:t>
      </w:r>
      <w:r w:rsidR="003A66D8">
        <w:rPr>
          <w:color w:val="000000" w:themeColor="text1"/>
          <w:lang w:val="en-GB"/>
        </w:rPr>
        <w:t xml:space="preserve"> by </w:t>
      </w:r>
      <w:r w:rsidR="6A3663A7" w:rsidRPr="00972B61">
        <w:rPr>
          <w:color w:val="000000" w:themeColor="text1"/>
          <w:lang w:val="en-GB"/>
        </w:rPr>
        <w:t>enhancing</w:t>
      </w:r>
      <w:r w:rsidR="0CA9AA62" w:rsidRPr="00972B61">
        <w:rPr>
          <w:color w:val="000000" w:themeColor="text1"/>
          <w:lang w:val="en-GB"/>
        </w:rPr>
        <w:t xml:space="preserve"> collaboration between projects and the </w:t>
      </w:r>
      <w:r w:rsidR="003A66D8">
        <w:rPr>
          <w:color w:val="000000" w:themeColor="text1"/>
          <w:lang w:val="en-GB"/>
        </w:rPr>
        <w:t>a</w:t>
      </w:r>
      <w:r w:rsidR="0CA9AA62" w:rsidRPr="00972B61">
        <w:rPr>
          <w:color w:val="000000" w:themeColor="text1"/>
          <w:lang w:val="en-GB"/>
        </w:rPr>
        <w:t xml:space="preserve">ccelerator </w:t>
      </w:r>
      <w:r w:rsidR="003A66D8">
        <w:rPr>
          <w:color w:val="000000" w:themeColor="text1"/>
          <w:lang w:val="en-GB"/>
        </w:rPr>
        <w:t>l</w:t>
      </w:r>
      <w:r w:rsidR="0CA9AA62" w:rsidRPr="00972B61">
        <w:rPr>
          <w:color w:val="000000" w:themeColor="text1"/>
          <w:lang w:val="en-GB"/>
        </w:rPr>
        <w:t xml:space="preserve">ab, increasing engagement and partnerships with key-players </w:t>
      </w:r>
      <w:r w:rsidR="386D2695" w:rsidRPr="00972B61">
        <w:rPr>
          <w:color w:val="000000" w:themeColor="text1"/>
          <w:lang w:val="en-GB"/>
        </w:rPr>
        <w:t xml:space="preserve">at </w:t>
      </w:r>
      <w:r w:rsidR="0CA9AA62" w:rsidRPr="00972B61">
        <w:rPr>
          <w:color w:val="000000" w:themeColor="text1"/>
          <w:lang w:val="en-GB"/>
        </w:rPr>
        <w:t>local</w:t>
      </w:r>
      <w:r w:rsidR="00137C6F" w:rsidRPr="00972B61">
        <w:rPr>
          <w:color w:val="000000" w:themeColor="text1"/>
          <w:lang w:val="en-GB"/>
        </w:rPr>
        <w:t xml:space="preserve">, regional </w:t>
      </w:r>
      <w:r w:rsidR="0CA9AA62" w:rsidRPr="00972B61">
        <w:rPr>
          <w:color w:val="000000" w:themeColor="text1"/>
          <w:lang w:val="en-GB"/>
        </w:rPr>
        <w:t xml:space="preserve">and global </w:t>
      </w:r>
      <w:r w:rsidR="386D2695" w:rsidRPr="00972B61">
        <w:rPr>
          <w:color w:val="000000" w:themeColor="text1"/>
          <w:lang w:val="en-GB"/>
        </w:rPr>
        <w:t>level</w:t>
      </w:r>
      <w:r w:rsidR="0CA9AA62" w:rsidRPr="00972B61">
        <w:rPr>
          <w:color w:val="000000" w:themeColor="text1"/>
          <w:lang w:val="en-GB"/>
        </w:rPr>
        <w:t>,</w:t>
      </w:r>
      <w:r w:rsidR="00153E13" w:rsidRPr="00972B61">
        <w:rPr>
          <w:color w:val="000000" w:themeColor="text1"/>
          <w:lang w:val="en-GB"/>
        </w:rPr>
        <w:t xml:space="preserve"> including South-South and triangular partnerships,</w:t>
      </w:r>
      <w:r w:rsidR="0CA9AA62" w:rsidRPr="00972B61">
        <w:rPr>
          <w:color w:val="000000" w:themeColor="text1"/>
          <w:lang w:val="en-GB"/>
        </w:rPr>
        <w:t xml:space="preserve"> enhancing </w:t>
      </w:r>
      <w:r w:rsidR="169A97EE" w:rsidRPr="00972B61">
        <w:rPr>
          <w:color w:val="000000" w:themeColor="text1"/>
          <w:lang w:val="en-GB"/>
        </w:rPr>
        <w:t xml:space="preserve">its </w:t>
      </w:r>
      <w:r w:rsidR="0CA9AA62" w:rsidRPr="00972B61">
        <w:rPr>
          <w:color w:val="000000" w:themeColor="text1"/>
          <w:lang w:val="en-GB"/>
        </w:rPr>
        <w:t xml:space="preserve">image </w:t>
      </w:r>
      <w:r w:rsidR="169A97EE" w:rsidRPr="00972B61">
        <w:rPr>
          <w:color w:val="000000" w:themeColor="text1"/>
          <w:lang w:val="en-GB"/>
        </w:rPr>
        <w:t xml:space="preserve">as </w:t>
      </w:r>
      <w:r w:rsidR="0CA9AA62" w:rsidRPr="00972B61">
        <w:rPr>
          <w:color w:val="000000" w:themeColor="text1"/>
          <w:lang w:val="en-GB"/>
        </w:rPr>
        <w:t xml:space="preserve">an enabler </w:t>
      </w:r>
      <w:r w:rsidR="3E9BBC94" w:rsidRPr="00972B61">
        <w:rPr>
          <w:color w:val="000000" w:themeColor="text1"/>
          <w:lang w:val="en-GB"/>
        </w:rPr>
        <w:t xml:space="preserve">and convener </w:t>
      </w:r>
      <w:r w:rsidR="0CA9AA62" w:rsidRPr="00972B61">
        <w:rPr>
          <w:color w:val="000000" w:themeColor="text1"/>
          <w:lang w:val="en-GB"/>
        </w:rPr>
        <w:t>at national and international level</w:t>
      </w:r>
      <w:r w:rsidR="003A66D8">
        <w:rPr>
          <w:color w:val="000000" w:themeColor="text1"/>
          <w:lang w:val="en-GB"/>
        </w:rPr>
        <w:t>s</w:t>
      </w:r>
      <w:r w:rsidR="5E4A9240" w:rsidRPr="00972B61">
        <w:rPr>
          <w:color w:val="000000" w:themeColor="text1"/>
          <w:lang w:val="en-GB"/>
        </w:rPr>
        <w:t xml:space="preserve">, </w:t>
      </w:r>
      <w:r w:rsidR="5628331D" w:rsidRPr="00972B61">
        <w:rPr>
          <w:color w:val="000000" w:themeColor="text1"/>
          <w:lang w:val="en-GB"/>
        </w:rPr>
        <w:t xml:space="preserve">and </w:t>
      </w:r>
      <w:r w:rsidR="0CA9AA62" w:rsidRPr="00972B61">
        <w:rPr>
          <w:color w:val="000000" w:themeColor="text1"/>
          <w:lang w:val="en-GB"/>
        </w:rPr>
        <w:t>position</w:t>
      </w:r>
      <w:r w:rsidR="5E4A9240" w:rsidRPr="00972B61">
        <w:rPr>
          <w:color w:val="000000" w:themeColor="text1"/>
          <w:lang w:val="en-GB"/>
        </w:rPr>
        <w:t>ing</w:t>
      </w:r>
      <w:r w:rsidR="0CA9AA62" w:rsidRPr="00972B61">
        <w:rPr>
          <w:color w:val="000000" w:themeColor="text1"/>
          <w:lang w:val="en-GB"/>
        </w:rPr>
        <w:t xml:space="preserve"> </w:t>
      </w:r>
      <w:r w:rsidR="5628331D" w:rsidRPr="00972B61">
        <w:rPr>
          <w:color w:val="000000" w:themeColor="text1"/>
          <w:lang w:val="en-GB"/>
        </w:rPr>
        <w:t>it</w:t>
      </w:r>
      <w:r w:rsidR="006239AC" w:rsidRPr="00972B61">
        <w:rPr>
          <w:color w:val="000000" w:themeColor="text1"/>
          <w:lang w:val="en-GB"/>
        </w:rPr>
        <w:t xml:space="preserve">self </w:t>
      </w:r>
      <w:r w:rsidR="0CA9AA62" w:rsidRPr="00972B61">
        <w:rPr>
          <w:color w:val="000000" w:themeColor="text1"/>
          <w:lang w:val="en-GB"/>
        </w:rPr>
        <w:t>as a thought</w:t>
      </w:r>
      <w:r w:rsidR="003A66D8">
        <w:rPr>
          <w:color w:val="000000" w:themeColor="text1"/>
          <w:lang w:val="en-GB"/>
        </w:rPr>
        <w:t>-</w:t>
      </w:r>
      <w:r w:rsidR="0CA9AA62" w:rsidRPr="00972B61">
        <w:rPr>
          <w:color w:val="000000" w:themeColor="text1"/>
          <w:lang w:val="en-GB"/>
        </w:rPr>
        <w:t>leader</w:t>
      </w:r>
      <w:r w:rsidR="003A66D8">
        <w:rPr>
          <w:color w:val="000000" w:themeColor="text1"/>
          <w:lang w:val="en-GB"/>
        </w:rPr>
        <w:t xml:space="preserve">, </w:t>
      </w:r>
      <w:r w:rsidR="0CA9AA62" w:rsidRPr="00972B61">
        <w:rPr>
          <w:color w:val="000000" w:themeColor="text1"/>
          <w:lang w:val="en-GB"/>
        </w:rPr>
        <w:t>shap</w:t>
      </w:r>
      <w:r w:rsidR="5E4A9240" w:rsidRPr="00972B61">
        <w:rPr>
          <w:color w:val="000000" w:themeColor="text1"/>
          <w:lang w:val="en-GB"/>
        </w:rPr>
        <w:t>ing</w:t>
      </w:r>
      <w:r w:rsidR="0CA9AA62" w:rsidRPr="00972B61">
        <w:rPr>
          <w:color w:val="000000" w:themeColor="text1"/>
          <w:lang w:val="en-GB"/>
        </w:rPr>
        <w:t xml:space="preserve"> development debates.</w:t>
      </w:r>
    </w:p>
    <w:p w14:paraId="19A1C70E" w14:textId="52DE501E" w:rsidR="0058408A" w:rsidRPr="00972B61" w:rsidRDefault="0CA9AA62" w:rsidP="0083339E">
      <w:pPr>
        <w:pStyle w:val="ListParagraph"/>
        <w:numPr>
          <w:ilvl w:val="0"/>
          <w:numId w:val="37"/>
        </w:numPr>
        <w:spacing w:after="120" w:line="240" w:lineRule="exact"/>
        <w:ind w:left="1080" w:right="1210" w:firstLine="0"/>
        <w:jc w:val="both"/>
        <w:rPr>
          <w:color w:val="000000" w:themeColor="text1"/>
          <w:lang w:val="en-GB"/>
        </w:rPr>
      </w:pPr>
      <w:r w:rsidRPr="00972B61">
        <w:rPr>
          <w:color w:val="000000" w:themeColor="text1"/>
          <w:lang w:val="en-GB"/>
        </w:rPr>
        <w:lastRenderedPageBreak/>
        <w:t xml:space="preserve">The </w:t>
      </w:r>
      <w:r w:rsidR="003A66D8">
        <w:rPr>
          <w:color w:val="000000" w:themeColor="text1"/>
          <w:lang w:val="en-GB"/>
        </w:rPr>
        <w:t>c</w:t>
      </w:r>
      <w:r w:rsidR="00F9127B" w:rsidRPr="00972B61">
        <w:rPr>
          <w:color w:val="000000" w:themeColor="text1"/>
          <w:lang w:val="en-GB"/>
        </w:rPr>
        <w:t xml:space="preserve">ountry </w:t>
      </w:r>
      <w:r w:rsidR="003A66D8">
        <w:rPr>
          <w:color w:val="000000" w:themeColor="text1"/>
          <w:lang w:val="en-GB"/>
        </w:rPr>
        <w:t>o</w:t>
      </w:r>
      <w:r w:rsidR="00F9127B" w:rsidRPr="00972B61">
        <w:rPr>
          <w:color w:val="000000" w:themeColor="text1"/>
          <w:lang w:val="en-GB"/>
        </w:rPr>
        <w:t xml:space="preserve">ffice </w:t>
      </w:r>
      <w:r w:rsidRPr="00972B61">
        <w:rPr>
          <w:color w:val="000000" w:themeColor="text1"/>
          <w:lang w:val="en-GB"/>
        </w:rPr>
        <w:t>will work with partners, the Ministry of Foreign Affairs</w:t>
      </w:r>
      <w:r w:rsidR="006239AC" w:rsidRPr="00972B61">
        <w:rPr>
          <w:color w:val="000000" w:themeColor="text1"/>
          <w:lang w:val="en-GB"/>
        </w:rPr>
        <w:t xml:space="preserve"> and Cooperation</w:t>
      </w:r>
      <w:r w:rsidRPr="00972B61">
        <w:rPr>
          <w:color w:val="000000" w:themeColor="text1"/>
          <w:lang w:val="en-GB"/>
        </w:rPr>
        <w:t xml:space="preserve"> and other </w:t>
      </w:r>
      <w:r w:rsidR="003A66D8">
        <w:rPr>
          <w:color w:val="000000" w:themeColor="text1"/>
          <w:lang w:val="en-GB"/>
        </w:rPr>
        <w:t>g</w:t>
      </w:r>
      <w:r w:rsidR="6A3663A7" w:rsidRPr="00972B61">
        <w:rPr>
          <w:color w:val="000000" w:themeColor="text1"/>
          <w:lang w:val="en-GB"/>
        </w:rPr>
        <w:t>overnment</w:t>
      </w:r>
      <w:r w:rsidRPr="00972B61">
        <w:rPr>
          <w:color w:val="000000" w:themeColor="text1"/>
          <w:lang w:val="en-GB"/>
        </w:rPr>
        <w:t xml:space="preserve"> institutions to ensure full involvement of national counterparts in all planning, monitoring and evaluation processes. </w:t>
      </w:r>
      <w:r w:rsidR="003A66D8">
        <w:rPr>
          <w:color w:val="000000" w:themeColor="text1"/>
          <w:lang w:val="en-GB"/>
        </w:rPr>
        <w:t>UNDP will support the strengthening of m</w:t>
      </w:r>
      <w:r w:rsidR="004E13CD" w:rsidRPr="00972B61">
        <w:rPr>
          <w:color w:val="000000" w:themeColor="text1"/>
          <w:lang w:val="en-GB"/>
        </w:rPr>
        <w:t>inistries</w:t>
      </w:r>
      <w:r w:rsidR="003A66D8">
        <w:rPr>
          <w:color w:val="000000" w:themeColor="text1"/>
          <w:lang w:val="en-GB"/>
        </w:rPr>
        <w:t>’</w:t>
      </w:r>
      <w:r w:rsidR="006239AC" w:rsidRPr="00972B61">
        <w:rPr>
          <w:color w:val="000000" w:themeColor="text1"/>
          <w:lang w:val="en-GB"/>
        </w:rPr>
        <w:t xml:space="preserve"> </w:t>
      </w:r>
      <w:r w:rsidR="002A2B88" w:rsidRPr="00972B61">
        <w:rPr>
          <w:color w:val="000000" w:themeColor="text1"/>
          <w:lang w:val="en-GB"/>
        </w:rPr>
        <w:t xml:space="preserve">capacity </w:t>
      </w:r>
      <w:r w:rsidR="5646C8E0" w:rsidRPr="00972B61">
        <w:rPr>
          <w:color w:val="000000" w:themeColor="text1"/>
          <w:lang w:val="en-GB"/>
        </w:rPr>
        <w:t xml:space="preserve">to improve </w:t>
      </w:r>
      <w:r w:rsidR="386D2695" w:rsidRPr="00972B61">
        <w:rPr>
          <w:color w:val="000000" w:themeColor="text1"/>
          <w:lang w:val="en-GB"/>
        </w:rPr>
        <w:t>programme delivery</w:t>
      </w:r>
      <w:r w:rsidR="5646C8E0" w:rsidRPr="00972B61">
        <w:rPr>
          <w:color w:val="000000" w:themeColor="text1"/>
          <w:lang w:val="en-GB"/>
        </w:rPr>
        <w:t>,</w:t>
      </w:r>
      <w:r w:rsidR="5628331D" w:rsidRPr="00972B61">
        <w:rPr>
          <w:color w:val="000000" w:themeColor="text1"/>
          <w:lang w:val="en-GB"/>
        </w:rPr>
        <w:t xml:space="preserve"> </w:t>
      </w:r>
      <w:r w:rsidR="5646C8E0" w:rsidRPr="00972B61">
        <w:rPr>
          <w:color w:val="000000" w:themeColor="text1"/>
          <w:lang w:val="en-GB"/>
        </w:rPr>
        <w:t xml:space="preserve">engage more effectively in </w:t>
      </w:r>
      <w:r w:rsidR="5628331D" w:rsidRPr="00972B61">
        <w:rPr>
          <w:color w:val="000000" w:themeColor="text1"/>
          <w:lang w:val="en-GB"/>
        </w:rPr>
        <w:t xml:space="preserve">regional development </w:t>
      </w:r>
      <w:r w:rsidR="1B640A53" w:rsidRPr="00972B61">
        <w:rPr>
          <w:color w:val="000000" w:themeColor="text1"/>
          <w:lang w:val="en-GB"/>
        </w:rPr>
        <w:t xml:space="preserve">dialogue, </w:t>
      </w:r>
      <w:r w:rsidR="0FAE44DA" w:rsidRPr="00972B61">
        <w:rPr>
          <w:color w:val="000000" w:themeColor="text1"/>
          <w:lang w:val="en-GB"/>
        </w:rPr>
        <w:t>and contribute</w:t>
      </w:r>
      <w:r w:rsidR="5628331D" w:rsidRPr="00972B61">
        <w:rPr>
          <w:color w:val="000000" w:themeColor="text1"/>
          <w:lang w:val="en-GB"/>
        </w:rPr>
        <w:t xml:space="preserve"> to the U</w:t>
      </w:r>
      <w:r w:rsidR="003A66D8">
        <w:rPr>
          <w:color w:val="000000" w:themeColor="text1"/>
          <w:lang w:val="en-GB"/>
        </w:rPr>
        <w:t xml:space="preserve">nited </w:t>
      </w:r>
      <w:r w:rsidR="5628331D" w:rsidRPr="00972B61">
        <w:rPr>
          <w:color w:val="000000" w:themeColor="text1"/>
          <w:lang w:val="en-GB"/>
        </w:rPr>
        <w:t>N</w:t>
      </w:r>
      <w:r w:rsidR="003A66D8">
        <w:rPr>
          <w:color w:val="000000" w:themeColor="text1"/>
          <w:lang w:val="en-GB"/>
        </w:rPr>
        <w:t>ations</w:t>
      </w:r>
      <w:r w:rsidR="5628331D" w:rsidRPr="00972B61">
        <w:rPr>
          <w:color w:val="000000" w:themeColor="text1"/>
          <w:lang w:val="en-GB"/>
        </w:rPr>
        <w:t xml:space="preserve"> global development </w:t>
      </w:r>
      <w:r w:rsidR="003A66D8">
        <w:rPr>
          <w:color w:val="000000" w:themeColor="text1"/>
          <w:lang w:val="en-GB"/>
        </w:rPr>
        <w:t>a</w:t>
      </w:r>
      <w:r w:rsidR="5628331D" w:rsidRPr="00972B61">
        <w:rPr>
          <w:color w:val="000000" w:themeColor="text1"/>
          <w:lang w:val="en-GB"/>
        </w:rPr>
        <w:t xml:space="preserve">genda. </w:t>
      </w:r>
      <w:r w:rsidRPr="00972B61">
        <w:rPr>
          <w:color w:val="000000" w:themeColor="text1"/>
          <w:lang w:val="en-GB"/>
        </w:rPr>
        <w:t>Knowledge management systems will identify best practices, promote synergies</w:t>
      </w:r>
      <w:r w:rsidR="003A66D8">
        <w:rPr>
          <w:color w:val="000000" w:themeColor="text1"/>
          <w:lang w:val="en-GB"/>
        </w:rPr>
        <w:t>,</w:t>
      </w:r>
      <w:r w:rsidRPr="00972B61">
        <w:rPr>
          <w:color w:val="000000" w:themeColor="text1"/>
          <w:lang w:val="en-GB"/>
        </w:rPr>
        <w:t xml:space="preserve"> and facilitate joint learning with </w:t>
      </w:r>
      <w:r w:rsidR="006239AC" w:rsidRPr="00972B61">
        <w:rPr>
          <w:color w:val="000000" w:themeColor="text1"/>
          <w:lang w:val="en-GB"/>
        </w:rPr>
        <w:t xml:space="preserve">implementing partners and </w:t>
      </w:r>
      <w:r w:rsidRPr="00972B61">
        <w:rPr>
          <w:color w:val="000000" w:themeColor="text1"/>
          <w:lang w:val="en-GB"/>
        </w:rPr>
        <w:t>beneficiaries. Projects will be required to engage benefi</w:t>
      </w:r>
      <w:r w:rsidR="6A3663A7" w:rsidRPr="00972B61">
        <w:rPr>
          <w:color w:val="000000" w:themeColor="text1"/>
          <w:lang w:val="en-GB"/>
        </w:rPr>
        <w:t>ci</w:t>
      </w:r>
      <w:r w:rsidRPr="00972B61">
        <w:rPr>
          <w:color w:val="000000" w:themeColor="text1"/>
          <w:lang w:val="en-GB"/>
        </w:rPr>
        <w:t>aries, and particularly women</w:t>
      </w:r>
      <w:r w:rsidR="5646C8E0" w:rsidRPr="00972B61">
        <w:rPr>
          <w:color w:val="000000" w:themeColor="text1"/>
          <w:lang w:val="en-GB"/>
        </w:rPr>
        <w:t>, youth</w:t>
      </w:r>
      <w:r w:rsidRPr="00972B61">
        <w:rPr>
          <w:color w:val="000000" w:themeColor="text1"/>
          <w:lang w:val="en-GB"/>
        </w:rPr>
        <w:t xml:space="preserve"> and vulnerable groups</w:t>
      </w:r>
      <w:r w:rsidR="003A66D8">
        <w:rPr>
          <w:color w:val="000000" w:themeColor="text1"/>
          <w:lang w:val="en-GB"/>
        </w:rPr>
        <w:t>,</w:t>
      </w:r>
      <w:r w:rsidRPr="00972B61">
        <w:rPr>
          <w:color w:val="000000" w:themeColor="text1"/>
          <w:lang w:val="en-GB"/>
        </w:rPr>
        <w:t xml:space="preserve"> in development solutions, monitoring and learning.</w:t>
      </w:r>
    </w:p>
    <w:p w14:paraId="6E5E1516" w14:textId="697A6C3D" w:rsidR="0058408A" w:rsidRPr="00972B61" w:rsidRDefault="0069528B" w:rsidP="0083339E">
      <w:pPr>
        <w:pStyle w:val="ListParagraph"/>
        <w:numPr>
          <w:ilvl w:val="0"/>
          <w:numId w:val="37"/>
        </w:numPr>
        <w:spacing w:after="120" w:line="240" w:lineRule="exact"/>
        <w:ind w:left="1080" w:right="1210" w:firstLine="0"/>
        <w:jc w:val="both"/>
        <w:rPr>
          <w:color w:val="000000" w:themeColor="text1"/>
          <w:lang w:val="en-GB"/>
        </w:rPr>
      </w:pPr>
      <w:r w:rsidRPr="00972B61">
        <w:rPr>
          <w:color w:val="000000" w:themeColor="text1"/>
          <w:lang w:val="en-GB"/>
        </w:rPr>
        <w:t xml:space="preserve">The </w:t>
      </w:r>
      <w:r w:rsidR="003A66D8">
        <w:rPr>
          <w:color w:val="000000" w:themeColor="text1"/>
          <w:lang w:val="en-GB"/>
        </w:rPr>
        <w:t xml:space="preserve">country </w:t>
      </w:r>
      <w:r w:rsidRPr="00972B61">
        <w:rPr>
          <w:color w:val="000000" w:themeColor="text1"/>
          <w:lang w:val="en-GB"/>
        </w:rPr>
        <w:t xml:space="preserve">programme is underpinned by </w:t>
      </w:r>
      <w:bookmarkStart w:id="12" w:name="_Hlk84412175"/>
      <w:r w:rsidRPr="00972B61">
        <w:rPr>
          <w:color w:val="000000" w:themeColor="text1"/>
          <w:lang w:val="en-GB"/>
        </w:rPr>
        <w:t xml:space="preserve">a </w:t>
      </w:r>
      <w:r w:rsidR="005164D5" w:rsidRPr="00972B61">
        <w:rPr>
          <w:color w:val="000000" w:themeColor="text1"/>
          <w:lang w:val="en-GB"/>
        </w:rPr>
        <w:t xml:space="preserve">robust </w:t>
      </w:r>
      <w:r w:rsidRPr="00972B61">
        <w:rPr>
          <w:color w:val="000000" w:themeColor="text1"/>
          <w:lang w:val="en-GB"/>
        </w:rPr>
        <w:t>resource pipeline</w:t>
      </w:r>
      <w:r w:rsidR="003A66D8">
        <w:rPr>
          <w:color w:val="000000" w:themeColor="text1"/>
          <w:lang w:val="en-GB"/>
        </w:rPr>
        <w:t xml:space="preserve">, </w:t>
      </w:r>
      <w:r w:rsidRPr="00972B61">
        <w:rPr>
          <w:color w:val="000000" w:themeColor="text1"/>
          <w:lang w:val="en-GB"/>
        </w:rPr>
        <w:t xml:space="preserve">with 70 </w:t>
      </w:r>
      <w:r w:rsidR="003A66D8">
        <w:rPr>
          <w:color w:val="000000" w:themeColor="text1"/>
          <w:lang w:val="en-GB"/>
        </w:rPr>
        <w:t xml:space="preserve">per cent of </w:t>
      </w:r>
      <w:r w:rsidRPr="00972B61">
        <w:rPr>
          <w:color w:val="000000" w:themeColor="text1"/>
          <w:lang w:val="en-GB"/>
        </w:rPr>
        <w:t xml:space="preserve">funds coming from </w:t>
      </w:r>
      <w:r w:rsidR="003A66D8">
        <w:rPr>
          <w:color w:val="000000" w:themeColor="text1"/>
          <w:lang w:val="en-GB"/>
        </w:rPr>
        <w:t>other (</w:t>
      </w:r>
      <w:r w:rsidRPr="00972B61">
        <w:rPr>
          <w:color w:val="000000" w:themeColor="text1"/>
          <w:lang w:val="en-GB"/>
        </w:rPr>
        <w:t>no</w:t>
      </w:r>
      <w:r w:rsidR="001D34E5" w:rsidRPr="00972B61">
        <w:rPr>
          <w:color w:val="000000" w:themeColor="text1"/>
          <w:lang w:val="en-GB"/>
        </w:rPr>
        <w:t>n</w:t>
      </w:r>
      <w:r w:rsidRPr="00972B61">
        <w:rPr>
          <w:color w:val="000000" w:themeColor="text1"/>
          <w:lang w:val="en-GB"/>
        </w:rPr>
        <w:t>-core</w:t>
      </w:r>
      <w:r w:rsidR="003A66D8">
        <w:rPr>
          <w:color w:val="000000" w:themeColor="text1"/>
          <w:lang w:val="en-GB"/>
        </w:rPr>
        <w:t>)</w:t>
      </w:r>
      <w:r w:rsidRPr="00972B61">
        <w:rPr>
          <w:color w:val="000000" w:themeColor="text1"/>
          <w:lang w:val="en-GB"/>
        </w:rPr>
        <w:t xml:space="preserve"> sources that will provide approximately $</w:t>
      </w:r>
      <w:r w:rsidR="006B5BD6" w:rsidRPr="00972B61">
        <w:rPr>
          <w:color w:val="000000" w:themeColor="text1"/>
          <w:lang w:val="en-GB"/>
        </w:rPr>
        <w:t>4</w:t>
      </w:r>
      <w:r w:rsidRPr="00972B61">
        <w:rPr>
          <w:color w:val="000000" w:themeColor="text1"/>
          <w:lang w:val="en-GB"/>
        </w:rPr>
        <w:t>0 million a year</w:t>
      </w:r>
      <w:bookmarkEnd w:id="12"/>
      <w:r w:rsidR="004D2C95" w:rsidRPr="00972B61">
        <w:rPr>
          <w:color w:val="000000" w:themeColor="text1"/>
          <w:lang w:val="en-GB"/>
        </w:rPr>
        <w:t xml:space="preserve"> and </w:t>
      </w:r>
      <w:r w:rsidR="003A66D8">
        <w:rPr>
          <w:color w:val="000000" w:themeColor="text1"/>
          <w:lang w:val="en-GB"/>
        </w:rPr>
        <w:t xml:space="preserve">are </w:t>
      </w:r>
      <w:r w:rsidRPr="00972B61">
        <w:rPr>
          <w:color w:val="000000" w:themeColor="text1"/>
          <w:lang w:val="en-GB"/>
        </w:rPr>
        <w:t>considered sufficient to support all planned interventions. Nevertheless, t</w:t>
      </w:r>
      <w:r w:rsidR="0CA9AA62" w:rsidRPr="00972B61">
        <w:rPr>
          <w:color w:val="000000" w:themeColor="text1"/>
          <w:lang w:val="en-GB"/>
        </w:rPr>
        <w:t xml:space="preserve">he </w:t>
      </w:r>
      <w:r w:rsidRPr="00972B61">
        <w:rPr>
          <w:color w:val="000000" w:themeColor="text1"/>
          <w:lang w:val="en-GB"/>
        </w:rPr>
        <w:t>programme is vulnerable to a variety of risks</w:t>
      </w:r>
      <w:r w:rsidR="003A66D8">
        <w:rPr>
          <w:color w:val="000000" w:themeColor="text1"/>
          <w:lang w:val="en-GB"/>
        </w:rPr>
        <w:t>,</w:t>
      </w:r>
      <w:r w:rsidRPr="00972B61">
        <w:rPr>
          <w:color w:val="000000" w:themeColor="text1"/>
          <w:lang w:val="en-GB"/>
        </w:rPr>
        <w:t xml:space="preserve"> including natural and </w:t>
      </w:r>
      <w:bookmarkStart w:id="13" w:name="_Hlk83194974"/>
      <w:r w:rsidRPr="00972B61">
        <w:rPr>
          <w:color w:val="000000" w:themeColor="text1"/>
          <w:lang w:val="en-GB"/>
        </w:rPr>
        <w:t>climate-related hazards</w:t>
      </w:r>
      <w:bookmarkEnd w:id="13"/>
      <w:r w:rsidRPr="00972B61">
        <w:rPr>
          <w:color w:val="000000" w:themeColor="text1"/>
          <w:lang w:val="en-GB"/>
        </w:rPr>
        <w:t xml:space="preserve">, </w:t>
      </w:r>
      <w:r w:rsidR="003A66D8">
        <w:rPr>
          <w:color w:val="000000" w:themeColor="text1"/>
          <w:lang w:val="en-GB"/>
        </w:rPr>
        <w:t xml:space="preserve">including </w:t>
      </w:r>
      <w:r w:rsidR="009245EF" w:rsidRPr="00972B61">
        <w:rPr>
          <w:color w:val="000000" w:themeColor="text1"/>
          <w:lang w:val="en-GB"/>
        </w:rPr>
        <w:t xml:space="preserve">the COVID-19 </w:t>
      </w:r>
      <w:r w:rsidR="003A66D8">
        <w:rPr>
          <w:color w:val="000000" w:themeColor="text1"/>
          <w:lang w:val="en-GB"/>
        </w:rPr>
        <w:t>p</w:t>
      </w:r>
      <w:r w:rsidR="009245EF" w:rsidRPr="00972B61">
        <w:rPr>
          <w:color w:val="000000" w:themeColor="text1"/>
          <w:lang w:val="en-GB"/>
        </w:rPr>
        <w:t>andemic</w:t>
      </w:r>
      <w:r w:rsidR="00004FB6" w:rsidRPr="00972B61">
        <w:rPr>
          <w:color w:val="000000" w:themeColor="text1"/>
          <w:lang w:val="en-GB"/>
        </w:rPr>
        <w:t xml:space="preserve">, </w:t>
      </w:r>
      <w:r w:rsidRPr="00972B61">
        <w:rPr>
          <w:color w:val="000000" w:themeColor="text1"/>
          <w:lang w:val="en-GB"/>
        </w:rPr>
        <w:t xml:space="preserve">internal political tensions, instability and violence, and economic shocks that could reduce the resources for both </w:t>
      </w:r>
      <w:r w:rsidR="003A66D8">
        <w:rPr>
          <w:color w:val="000000" w:themeColor="text1"/>
          <w:lang w:val="en-GB"/>
        </w:rPr>
        <w:t xml:space="preserve">the </w:t>
      </w:r>
      <w:r w:rsidRPr="00972B61">
        <w:rPr>
          <w:color w:val="000000" w:themeColor="text1"/>
          <w:lang w:val="en-GB"/>
        </w:rPr>
        <w:t xml:space="preserve">Government and UNDP. The </w:t>
      </w:r>
      <w:r w:rsidR="003A66D8">
        <w:rPr>
          <w:color w:val="000000" w:themeColor="text1"/>
          <w:lang w:val="en-GB"/>
        </w:rPr>
        <w:t>c</w:t>
      </w:r>
      <w:r w:rsidRPr="00972B61">
        <w:rPr>
          <w:color w:val="000000" w:themeColor="text1"/>
          <w:lang w:val="en-GB"/>
        </w:rPr>
        <w:t xml:space="preserve">ountry </w:t>
      </w:r>
      <w:r w:rsidR="003A66D8">
        <w:rPr>
          <w:color w:val="000000" w:themeColor="text1"/>
          <w:lang w:val="en-GB"/>
        </w:rPr>
        <w:t>o</w:t>
      </w:r>
      <w:r w:rsidRPr="00972B61">
        <w:rPr>
          <w:color w:val="000000" w:themeColor="text1"/>
          <w:lang w:val="en-GB"/>
        </w:rPr>
        <w:t xml:space="preserve">ffice </w:t>
      </w:r>
      <w:bookmarkStart w:id="14" w:name="_Hlk81063734"/>
      <w:r w:rsidRPr="00972B61">
        <w:rPr>
          <w:color w:val="000000" w:themeColor="text1"/>
          <w:lang w:val="en-GB"/>
        </w:rPr>
        <w:t>monitors political developments and regularly receives security advice. A conflict</w:t>
      </w:r>
      <w:r w:rsidR="003A66D8">
        <w:rPr>
          <w:color w:val="000000" w:themeColor="text1"/>
          <w:lang w:val="en-GB"/>
        </w:rPr>
        <w:t>-</w:t>
      </w:r>
      <w:r w:rsidRPr="00972B61">
        <w:rPr>
          <w:color w:val="000000" w:themeColor="text1"/>
          <w:lang w:val="en-GB"/>
        </w:rPr>
        <w:t xml:space="preserve">sensitive approach will be integrated into all interventions. Risks will be evaluated through programme monitoring and tracking tools, and via early warning systems. UNDP will proactively engage with </w:t>
      </w:r>
      <w:r w:rsidR="003A66D8">
        <w:rPr>
          <w:color w:val="000000" w:themeColor="text1"/>
          <w:lang w:val="en-GB"/>
        </w:rPr>
        <w:t>the G</w:t>
      </w:r>
      <w:r w:rsidRPr="00972B61">
        <w:rPr>
          <w:color w:val="000000" w:themeColor="text1"/>
          <w:lang w:val="en-GB"/>
        </w:rPr>
        <w:t xml:space="preserve">overnment </w:t>
      </w:r>
      <w:bookmarkEnd w:id="14"/>
      <w:r w:rsidRPr="00972B61">
        <w:rPr>
          <w:color w:val="000000" w:themeColor="text1"/>
          <w:lang w:val="en-GB"/>
        </w:rPr>
        <w:t xml:space="preserve">and the </w:t>
      </w:r>
      <w:r w:rsidR="003A66D8">
        <w:rPr>
          <w:color w:val="000000" w:themeColor="text1"/>
          <w:lang w:val="en-GB"/>
        </w:rPr>
        <w:t xml:space="preserve">United Nations country team </w:t>
      </w:r>
      <w:r w:rsidRPr="00972B61">
        <w:rPr>
          <w:color w:val="000000" w:themeColor="text1"/>
          <w:lang w:val="en-GB"/>
        </w:rPr>
        <w:t xml:space="preserve">and </w:t>
      </w:r>
      <w:r w:rsidR="003A66D8">
        <w:rPr>
          <w:color w:val="000000" w:themeColor="text1"/>
          <w:lang w:val="en-GB"/>
        </w:rPr>
        <w:t xml:space="preserve">the </w:t>
      </w:r>
      <w:r w:rsidRPr="00972B61">
        <w:rPr>
          <w:color w:val="000000" w:themeColor="text1"/>
          <w:lang w:val="en-GB"/>
        </w:rPr>
        <w:t xml:space="preserve">Resident Coordinator to evaluate and address emerging issues and anticipate significant changes in development and financial circumstances that may require programme and budgetary adjustments. The </w:t>
      </w:r>
      <w:r w:rsidR="003A66D8">
        <w:rPr>
          <w:color w:val="000000" w:themeColor="text1"/>
          <w:lang w:val="en-GB"/>
        </w:rPr>
        <w:t>c</w:t>
      </w:r>
      <w:r w:rsidRPr="00972B61">
        <w:rPr>
          <w:color w:val="000000" w:themeColor="text1"/>
          <w:lang w:val="en-GB"/>
        </w:rPr>
        <w:t xml:space="preserve">ountry office has a positive track record of building flexibility into programme design and implementation. </w:t>
      </w:r>
      <w:r w:rsidR="00C932FE" w:rsidRPr="00972B61">
        <w:rPr>
          <w:color w:val="000000" w:themeColor="text1"/>
          <w:lang w:val="en-GB"/>
        </w:rPr>
        <w:t>Following recent cyclones and d</w:t>
      </w:r>
      <w:r w:rsidRPr="00972B61">
        <w:rPr>
          <w:color w:val="000000" w:themeColor="text1"/>
          <w:lang w:val="en-GB"/>
        </w:rPr>
        <w:t>uring the COVID-19 pandemic</w:t>
      </w:r>
      <w:r w:rsidR="003A66D8">
        <w:rPr>
          <w:color w:val="000000" w:themeColor="text1"/>
          <w:lang w:val="en-GB"/>
        </w:rPr>
        <w:t>,</w:t>
      </w:r>
      <w:r w:rsidRPr="00972B61">
        <w:rPr>
          <w:color w:val="000000" w:themeColor="text1"/>
          <w:lang w:val="en-GB"/>
        </w:rPr>
        <w:t xml:space="preserve"> UNDP successfully adopted an agile approach, leveraged digital solutions, </w:t>
      </w:r>
      <w:r w:rsidR="00C932FE" w:rsidRPr="00972B61">
        <w:rPr>
          <w:color w:val="000000" w:themeColor="text1"/>
          <w:lang w:val="en-GB"/>
        </w:rPr>
        <w:t>mobili</w:t>
      </w:r>
      <w:r w:rsidR="003A66D8">
        <w:rPr>
          <w:color w:val="000000" w:themeColor="text1"/>
          <w:lang w:val="en-GB"/>
        </w:rPr>
        <w:t>z</w:t>
      </w:r>
      <w:r w:rsidR="00C932FE" w:rsidRPr="00972B61">
        <w:rPr>
          <w:color w:val="000000" w:themeColor="text1"/>
          <w:lang w:val="en-GB"/>
        </w:rPr>
        <w:t xml:space="preserve">ed additional funds </w:t>
      </w:r>
      <w:r w:rsidRPr="00972B61">
        <w:rPr>
          <w:color w:val="000000" w:themeColor="text1"/>
          <w:lang w:val="en-GB"/>
        </w:rPr>
        <w:t xml:space="preserve">and developed new ways of working to deliver results. Nevertheless, to further reduce risk, </w:t>
      </w:r>
      <w:r w:rsidR="003A66D8">
        <w:rPr>
          <w:color w:val="000000" w:themeColor="text1"/>
          <w:lang w:val="en-GB"/>
        </w:rPr>
        <w:t>p</w:t>
      </w:r>
      <w:r w:rsidRPr="00972B61">
        <w:rPr>
          <w:color w:val="000000" w:themeColor="text1"/>
          <w:lang w:val="en-GB"/>
        </w:rPr>
        <w:t xml:space="preserve">lan B would </w:t>
      </w:r>
      <w:r w:rsidR="00A400AF">
        <w:rPr>
          <w:color w:val="000000" w:themeColor="text1"/>
          <w:lang w:val="en-GB"/>
        </w:rPr>
        <w:t xml:space="preserve">ensure </w:t>
      </w:r>
      <w:r w:rsidRPr="00972B61">
        <w:rPr>
          <w:color w:val="000000" w:themeColor="text1"/>
          <w:lang w:val="en-GB"/>
        </w:rPr>
        <w:t xml:space="preserve">resources and activities </w:t>
      </w:r>
      <w:r w:rsidR="00A400AF">
        <w:rPr>
          <w:color w:val="000000" w:themeColor="text1"/>
          <w:lang w:val="en-GB"/>
        </w:rPr>
        <w:t xml:space="preserve">are </w:t>
      </w:r>
      <w:r w:rsidRPr="00972B61">
        <w:rPr>
          <w:color w:val="000000" w:themeColor="text1"/>
          <w:lang w:val="en-GB"/>
        </w:rPr>
        <w:t xml:space="preserve">quickly switched from areas deemed to be a security risk </w:t>
      </w:r>
      <w:r w:rsidR="00C932FE" w:rsidRPr="00972B61">
        <w:rPr>
          <w:color w:val="000000" w:themeColor="text1"/>
          <w:lang w:val="en-GB"/>
        </w:rPr>
        <w:t>and the mobili</w:t>
      </w:r>
      <w:r w:rsidR="003A66D8">
        <w:rPr>
          <w:color w:val="000000" w:themeColor="text1"/>
          <w:lang w:val="en-GB"/>
        </w:rPr>
        <w:t>z</w:t>
      </w:r>
      <w:r w:rsidR="00C932FE" w:rsidRPr="00972B61">
        <w:rPr>
          <w:color w:val="000000" w:themeColor="text1"/>
          <w:lang w:val="en-GB"/>
        </w:rPr>
        <w:t xml:space="preserve">ation of further funds for humanitarian interventions in areas affected by </w:t>
      </w:r>
      <w:r w:rsidRPr="00972B61">
        <w:rPr>
          <w:color w:val="000000" w:themeColor="text1"/>
          <w:lang w:val="en-GB"/>
        </w:rPr>
        <w:t>climate-related hazards.</w:t>
      </w:r>
      <w:r w:rsidR="0CA9AA62" w:rsidRPr="00972B61">
        <w:rPr>
          <w:color w:val="000000" w:themeColor="text1"/>
          <w:lang w:val="en-GB"/>
        </w:rPr>
        <w:t xml:space="preserve"> </w:t>
      </w:r>
    </w:p>
    <w:p w14:paraId="651F0E3D" w14:textId="33DE6831" w:rsidR="006239AC" w:rsidRPr="00972B61" w:rsidRDefault="0CA9AA62" w:rsidP="0083339E">
      <w:pPr>
        <w:pStyle w:val="ListParagraph"/>
        <w:numPr>
          <w:ilvl w:val="0"/>
          <w:numId w:val="37"/>
        </w:numPr>
        <w:spacing w:after="200" w:line="240" w:lineRule="exact"/>
        <w:ind w:left="1080" w:right="1210" w:firstLine="0"/>
        <w:jc w:val="both"/>
        <w:rPr>
          <w:iCs/>
          <w:color w:val="000000" w:themeColor="text1"/>
          <w:lang w:val="en-GB"/>
        </w:rPr>
      </w:pPr>
      <w:r w:rsidRPr="00972B61">
        <w:rPr>
          <w:color w:val="000000" w:themeColor="text1"/>
          <w:lang w:val="en-GB"/>
        </w:rPr>
        <w:t xml:space="preserve">The </w:t>
      </w:r>
      <w:r w:rsidR="00A400AF">
        <w:rPr>
          <w:color w:val="000000" w:themeColor="text1"/>
          <w:lang w:val="en-GB"/>
        </w:rPr>
        <w:t xml:space="preserve">country </w:t>
      </w:r>
      <w:r w:rsidRPr="00972B61">
        <w:rPr>
          <w:color w:val="000000" w:themeColor="text1"/>
          <w:lang w:val="en-GB"/>
        </w:rPr>
        <w:t xml:space="preserve">programme will be nationally executed. If necessary, national execution may be replaced by direct execution for part or all of the programme to enable response to </w:t>
      </w:r>
      <w:r w:rsidRPr="00A1146C">
        <w:rPr>
          <w:color w:val="000000" w:themeColor="text1"/>
          <w:lang w:val="en-GB"/>
        </w:rPr>
        <w:t>force majeure</w:t>
      </w:r>
      <w:r w:rsidRPr="00972B61">
        <w:rPr>
          <w:color w:val="000000" w:themeColor="text1"/>
          <w:lang w:val="en-GB"/>
        </w:rPr>
        <w:t xml:space="preserve">. </w:t>
      </w:r>
      <w:r w:rsidR="00A400AF">
        <w:rPr>
          <w:color w:val="000000" w:themeColor="text1"/>
          <w:lang w:val="en-GB"/>
        </w:rPr>
        <w:t>The h</w:t>
      </w:r>
      <w:r w:rsidRPr="00972B61">
        <w:rPr>
          <w:color w:val="000000" w:themeColor="text1"/>
          <w:lang w:val="en-GB"/>
        </w:rPr>
        <w:t>armoni</w:t>
      </w:r>
      <w:r w:rsidR="00A400AF">
        <w:rPr>
          <w:color w:val="000000" w:themeColor="text1"/>
          <w:lang w:val="en-GB"/>
        </w:rPr>
        <w:t>z</w:t>
      </w:r>
      <w:r w:rsidRPr="00972B61">
        <w:rPr>
          <w:color w:val="000000" w:themeColor="text1"/>
          <w:lang w:val="en-GB"/>
        </w:rPr>
        <w:t xml:space="preserve">ed </w:t>
      </w:r>
      <w:r w:rsidR="00A400AF">
        <w:rPr>
          <w:color w:val="000000" w:themeColor="text1"/>
          <w:lang w:val="en-GB"/>
        </w:rPr>
        <w:t>a</w:t>
      </w:r>
      <w:r w:rsidRPr="00972B61">
        <w:rPr>
          <w:color w:val="000000" w:themeColor="text1"/>
          <w:lang w:val="en-GB"/>
        </w:rPr>
        <w:t xml:space="preserve">pproach to </w:t>
      </w:r>
      <w:r w:rsidR="00A400AF">
        <w:rPr>
          <w:color w:val="000000" w:themeColor="text1"/>
          <w:lang w:val="en-GB"/>
        </w:rPr>
        <w:t>c</w:t>
      </w:r>
      <w:r w:rsidRPr="00972B61">
        <w:rPr>
          <w:color w:val="000000" w:themeColor="text1"/>
          <w:lang w:val="en-GB"/>
        </w:rPr>
        <w:t xml:space="preserve">ash </w:t>
      </w:r>
      <w:r w:rsidR="00A400AF">
        <w:rPr>
          <w:color w:val="000000" w:themeColor="text1"/>
          <w:lang w:val="en-GB"/>
        </w:rPr>
        <w:t>t</w:t>
      </w:r>
      <w:r w:rsidRPr="00972B61">
        <w:rPr>
          <w:color w:val="000000" w:themeColor="text1"/>
          <w:lang w:val="en-GB"/>
        </w:rPr>
        <w:t>ransfers will be used in a coordinated fashion with other U</w:t>
      </w:r>
      <w:r w:rsidR="00A400AF">
        <w:rPr>
          <w:color w:val="000000" w:themeColor="text1"/>
          <w:lang w:val="en-GB"/>
        </w:rPr>
        <w:t xml:space="preserve">nited </w:t>
      </w:r>
      <w:r w:rsidRPr="00972B61">
        <w:rPr>
          <w:color w:val="000000" w:themeColor="text1"/>
          <w:lang w:val="en-GB"/>
        </w:rPr>
        <w:t>N</w:t>
      </w:r>
      <w:r w:rsidR="00A400AF">
        <w:rPr>
          <w:color w:val="000000" w:themeColor="text1"/>
          <w:lang w:val="en-GB"/>
        </w:rPr>
        <w:t>ations</w:t>
      </w:r>
      <w:r w:rsidRPr="00972B61">
        <w:rPr>
          <w:color w:val="000000" w:themeColor="text1"/>
          <w:lang w:val="en-GB"/>
        </w:rPr>
        <w:t xml:space="preserve"> </w:t>
      </w:r>
      <w:r w:rsidR="00A400AF">
        <w:rPr>
          <w:color w:val="000000" w:themeColor="text1"/>
          <w:lang w:val="en-GB"/>
        </w:rPr>
        <w:t xml:space="preserve">organizations </w:t>
      </w:r>
      <w:r w:rsidRPr="00972B61">
        <w:rPr>
          <w:color w:val="000000" w:themeColor="text1"/>
          <w:lang w:val="en-GB"/>
        </w:rPr>
        <w:t>to manage financial risks. Cost definitions and classifications for programme and development effectiveness will be charged to the concerned projects.</w:t>
      </w:r>
      <w:r w:rsidR="2D1E7049" w:rsidRPr="00972B61">
        <w:rPr>
          <w:lang w:val="en-GB"/>
        </w:rPr>
        <w:t xml:space="preserve"> </w:t>
      </w:r>
      <w:r w:rsidR="2D1E7049" w:rsidRPr="00972B61">
        <w:rPr>
          <w:color w:val="000000" w:themeColor="text1"/>
          <w:lang w:val="en-GB"/>
        </w:rPr>
        <w:t>UNDP takes in</w:t>
      </w:r>
      <w:r w:rsidR="00A400AF">
        <w:rPr>
          <w:color w:val="000000" w:themeColor="text1"/>
          <w:lang w:val="en-GB"/>
        </w:rPr>
        <w:t>to</w:t>
      </w:r>
      <w:r w:rsidR="2D1E7049" w:rsidRPr="00972B61">
        <w:rPr>
          <w:color w:val="000000" w:themeColor="text1"/>
          <w:lang w:val="en-GB"/>
        </w:rPr>
        <w:t xml:space="preserve"> consideration the sustainability factors in all its programmatic interventions through well-established linkages with national strateg</w:t>
      </w:r>
      <w:r w:rsidR="00A400AF">
        <w:rPr>
          <w:color w:val="000000" w:themeColor="text1"/>
          <w:lang w:val="en-GB"/>
        </w:rPr>
        <w:t>ies</w:t>
      </w:r>
      <w:r w:rsidR="2D1E7049" w:rsidRPr="00972B61">
        <w:rPr>
          <w:color w:val="000000" w:themeColor="text1"/>
          <w:lang w:val="en-GB"/>
        </w:rPr>
        <w:t>, plans, systems and structure</w:t>
      </w:r>
      <w:r w:rsidR="00A400AF">
        <w:rPr>
          <w:color w:val="000000" w:themeColor="text1"/>
          <w:lang w:val="en-GB"/>
        </w:rPr>
        <w:t>s</w:t>
      </w:r>
      <w:r w:rsidR="2D1E7049" w:rsidRPr="00972B61">
        <w:rPr>
          <w:color w:val="000000" w:themeColor="text1"/>
          <w:lang w:val="en-GB"/>
        </w:rPr>
        <w:t>.</w:t>
      </w:r>
      <w:r w:rsidR="004C765C">
        <w:rPr>
          <w:color w:val="000000" w:themeColor="text1"/>
          <w:lang w:val="en-GB"/>
        </w:rPr>
        <w:t xml:space="preserve"> </w:t>
      </w:r>
    </w:p>
    <w:p w14:paraId="62D0942A" w14:textId="7F181FCD" w:rsidR="00BF7D41" w:rsidRPr="00972B61" w:rsidRDefault="005164D5" w:rsidP="0083339E">
      <w:pPr>
        <w:pStyle w:val="ListParagraph"/>
        <w:numPr>
          <w:ilvl w:val="0"/>
          <w:numId w:val="11"/>
        </w:numPr>
        <w:spacing w:after="200" w:line="240" w:lineRule="exact"/>
        <w:ind w:left="1080" w:right="1210" w:hanging="450"/>
        <w:jc w:val="both"/>
        <w:rPr>
          <w:b/>
          <w:sz w:val="24"/>
          <w:szCs w:val="24"/>
          <w:lang w:val="en-GB"/>
        </w:rPr>
      </w:pPr>
      <w:bookmarkStart w:id="15" w:name="_Hlk72508591"/>
      <w:r w:rsidRPr="00972B61">
        <w:rPr>
          <w:b/>
          <w:sz w:val="24"/>
          <w:szCs w:val="24"/>
          <w:lang w:val="en-GB"/>
        </w:rPr>
        <w:t>M</w:t>
      </w:r>
      <w:r w:rsidR="00BF7D41" w:rsidRPr="00972B61">
        <w:rPr>
          <w:b/>
          <w:sz w:val="24"/>
          <w:szCs w:val="24"/>
          <w:lang w:val="en-GB"/>
        </w:rPr>
        <w:t xml:space="preserve">onitoring and </w:t>
      </w:r>
      <w:r w:rsidR="0083339E" w:rsidRPr="00972B61">
        <w:rPr>
          <w:b/>
          <w:sz w:val="24"/>
          <w:szCs w:val="24"/>
          <w:lang w:val="en-GB"/>
        </w:rPr>
        <w:t>e</w:t>
      </w:r>
      <w:r w:rsidR="00BF7D41" w:rsidRPr="00972B61">
        <w:rPr>
          <w:b/>
          <w:sz w:val="24"/>
          <w:szCs w:val="24"/>
          <w:lang w:val="en-GB"/>
        </w:rPr>
        <w:t>valuation</w:t>
      </w:r>
    </w:p>
    <w:p w14:paraId="62C04457" w14:textId="4DEF8BF4" w:rsidR="00ED22CE" w:rsidRPr="00972B61" w:rsidRDefault="00650D39" w:rsidP="0083339E">
      <w:pPr>
        <w:pStyle w:val="ListParagraph"/>
        <w:numPr>
          <w:ilvl w:val="0"/>
          <w:numId w:val="38"/>
        </w:numPr>
        <w:spacing w:after="120" w:line="240" w:lineRule="exact"/>
        <w:ind w:left="1080" w:right="1210" w:firstLine="0"/>
        <w:jc w:val="both"/>
        <w:rPr>
          <w:lang w:val="en-GB" w:eastAsia="en-GB"/>
        </w:rPr>
      </w:pPr>
      <w:r w:rsidRPr="00972B61">
        <w:rPr>
          <w:lang w:val="en-GB"/>
        </w:rPr>
        <w:t xml:space="preserve">Outcome, output and performance indicators have been aligned with the </w:t>
      </w:r>
      <w:r w:rsidR="004B4019" w:rsidRPr="00972B61">
        <w:rPr>
          <w:lang w:val="en-GB"/>
        </w:rPr>
        <w:t xml:space="preserve">results framework of </w:t>
      </w:r>
      <w:r w:rsidR="00D10E97">
        <w:rPr>
          <w:lang w:val="en-GB"/>
        </w:rPr>
        <w:t xml:space="preserve">the </w:t>
      </w:r>
      <w:r w:rsidR="000270CD" w:rsidRPr="00972B61">
        <w:rPr>
          <w:lang w:val="en-GB"/>
        </w:rPr>
        <w:t xml:space="preserve">Government </w:t>
      </w:r>
      <w:r w:rsidR="00D10E97">
        <w:rPr>
          <w:lang w:val="en-GB"/>
        </w:rPr>
        <w:t>Five</w:t>
      </w:r>
      <w:r w:rsidR="000270CD" w:rsidRPr="00972B61">
        <w:rPr>
          <w:lang w:val="en-GB"/>
        </w:rPr>
        <w:t>-</w:t>
      </w:r>
      <w:r w:rsidR="00D10E97">
        <w:rPr>
          <w:lang w:val="en-GB"/>
        </w:rPr>
        <w:t>y</w:t>
      </w:r>
      <w:r w:rsidR="000270CD" w:rsidRPr="00972B61">
        <w:rPr>
          <w:lang w:val="en-GB"/>
        </w:rPr>
        <w:t xml:space="preserve">ear Programme, 2020-2024, </w:t>
      </w:r>
      <w:r w:rsidRPr="00972B61">
        <w:rPr>
          <w:lang w:val="en-GB"/>
        </w:rPr>
        <w:t>the UNSDCF</w:t>
      </w:r>
      <w:r w:rsidR="00D10E97">
        <w:rPr>
          <w:lang w:val="en-GB"/>
        </w:rPr>
        <w:t xml:space="preserve">, </w:t>
      </w:r>
      <w:r w:rsidRPr="00972B61">
        <w:rPr>
          <w:lang w:val="en-GB"/>
        </w:rPr>
        <w:t>2022-2026</w:t>
      </w:r>
      <w:r w:rsidR="00593286" w:rsidRPr="00972B61">
        <w:rPr>
          <w:lang w:val="en-GB"/>
        </w:rPr>
        <w:t xml:space="preserve">, </w:t>
      </w:r>
      <w:r w:rsidRPr="00972B61">
        <w:rPr>
          <w:lang w:val="en-GB"/>
        </w:rPr>
        <w:t>the UNDP Strategic Plan</w:t>
      </w:r>
      <w:r w:rsidR="00D10E97">
        <w:rPr>
          <w:lang w:val="en-GB"/>
        </w:rPr>
        <w:t xml:space="preserve">, </w:t>
      </w:r>
      <w:r w:rsidRPr="00972B61">
        <w:rPr>
          <w:lang w:val="en-GB"/>
        </w:rPr>
        <w:t>2022-2025</w:t>
      </w:r>
      <w:r w:rsidR="00D10E97">
        <w:rPr>
          <w:lang w:val="en-GB"/>
        </w:rPr>
        <w:t>,</w:t>
      </w:r>
      <w:r w:rsidRPr="00972B61">
        <w:rPr>
          <w:lang w:val="en-GB"/>
        </w:rPr>
        <w:t xml:space="preserve"> and</w:t>
      </w:r>
      <w:r w:rsidR="00593286" w:rsidRPr="00972B61">
        <w:rPr>
          <w:lang w:val="en-GB"/>
        </w:rPr>
        <w:t xml:space="preserve"> the </w:t>
      </w:r>
      <w:r w:rsidR="00D10E97">
        <w:rPr>
          <w:lang w:val="en-GB"/>
        </w:rPr>
        <w:t>Sustainable Development Goals</w:t>
      </w:r>
      <w:r w:rsidR="006239AC" w:rsidRPr="00972B61">
        <w:rPr>
          <w:lang w:val="en-GB"/>
        </w:rPr>
        <w:t xml:space="preserve">. </w:t>
      </w:r>
      <w:r w:rsidR="00C47BD4" w:rsidRPr="00972B61">
        <w:rPr>
          <w:lang w:val="en-GB"/>
        </w:rPr>
        <w:t>S</w:t>
      </w:r>
      <w:r w:rsidRPr="00972B61">
        <w:rPr>
          <w:lang w:val="en-GB"/>
        </w:rPr>
        <w:t xml:space="preserve">upport to the </w:t>
      </w:r>
      <w:r w:rsidR="00D10E97">
        <w:rPr>
          <w:lang w:val="en-GB"/>
        </w:rPr>
        <w:t>G</w:t>
      </w:r>
      <w:r w:rsidRPr="00972B61">
        <w:rPr>
          <w:lang w:val="en-GB"/>
        </w:rPr>
        <w:t>overnment and national priorities will be evidence</w:t>
      </w:r>
      <w:r w:rsidR="007A6866" w:rsidRPr="00972B61">
        <w:rPr>
          <w:lang w:val="en-GB"/>
        </w:rPr>
        <w:t>-</w:t>
      </w:r>
      <w:r w:rsidRPr="00972B61">
        <w:rPr>
          <w:lang w:val="en-GB"/>
        </w:rPr>
        <w:t>based and results</w:t>
      </w:r>
      <w:r w:rsidR="00D10E97">
        <w:rPr>
          <w:lang w:val="en-GB"/>
        </w:rPr>
        <w:t>-</w:t>
      </w:r>
      <w:r w:rsidRPr="00972B61">
        <w:rPr>
          <w:lang w:val="en-GB"/>
        </w:rPr>
        <w:t xml:space="preserve">driven, achieved through strengthened implementation of effective </w:t>
      </w:r>
      <w:r w:rsidR="00D10E97">
        <w:rPr>
          <w:lang w:val="en-GB"/>
        </w:rPr>
        <w:t xml:space="preserve">results-based management </w:t>
      </w:r>
      <w:r w:rsidRPr="00972B61">
        <w:rPr>
          <w:lang w:val="en-GB"/>
        </w:rPr>
        <w:t xml:space="preserve">approaches and </w:t>
      </w:r>
      <w:r w:rsidR="00D10E97">
        <w:rPr>
          <w:lang w:val="en-GB"/>
        </w:rPr>
        <w:t xml:space="preserve">monitoring and evaluation </w:t>
      </w:r>
      <w:r w:rsidRPr="00972B61">
        <w:rPr>
          <w:lang w:val="en-GB"/>
        </w:rPr>
        <w:t xml:space="preserve">systems to </w:t>
      </w:r>
      <w:bookmarkStart w:id="16" w:name="_Hlk84504157"/>
      <w:r w:rsidRPr="00972B61">
        <w:rPr>
          <w:lang w:val="en-GB"/>
        </w:rPr>
        <w:t xml:space="preserve">inform decision-making, enhance effectiveness, and ensure sustainable results. </w:t>
      </w:r>
      <w:bookmarkEnd w:id="16"/>
      <w:r w:rsidRPr="00972B61">
        <w:rPr>
          <w:lang w:val="en-GB"/>
        </w:rPr>
        <w:t xml:space="preserve">UNDP will promote an inclusive approach to </w:t>
      </w:r>
      <w:r w:rsidR="00D10E97">
        <w:rPr>
          <w:lang w:val="en-GB"/>
        </w:rPr>
        <w:t>monitoring and evaluation</w:t>
      </w:r>
      <w:r w:rsidRPr="00972B61">
        <w:rPr>
          <w:lang w:val="en-GB"/>
        </w:rPr>
        <w:t>, alongside other U</w:t>
      </w:r>
      <w:r w:rsidR="00D10E97">
        <w:rPr>
          <w:lang w:val="en-GB"/>
        </w:rPr>
        <w:t xml:space="preserve">nited </w:t>
      </w:r>
      <w:r w:rsidRPr="00972B61">
        <w:rPr>
          <w:lang w:val="en-GB"/>
        </w:rPr>
        <w:t>N</w:t>
      </w:r>
      <w:r w:rsidR="00D10E97">
        <w:rPr>
          <w:lang w:val="en-GB"/>
        </w:rPr>
        <w:t>ations</w:t>
      </w:r>
      <w:r w:rsidRPr="00972B61">
        <w:rPr>
          <w:lang w:val="en-GB"/>
        </w:rPr>
        <w:t xml:space="preserve"> </w:t>
      </w:r>
      <w:r w:rsidR="00D10E97">
        <w:rPr>
          <w:lang w:val="en-GB"/>
        </w:rPr>
        <w:t xml:space="preserve">organizations </w:t>
      </w:r>
      <w:r w:rsidRPr="00972B61">
        <w:rPr>
          <w:lang w:val="en-GB"/>
        </w:rPr>
        <w:t xml:space="preserve">and partners through the </w:t>
      </w:r>
      <w:r w:rsidR="00D15F4E" w:rsidRPr="00972B61">
        <w:rPr>
          <w:lang w:val="en-GB"/>
        </w:rPr>
        <w:t>Monitoring and Evaluation Results Group</w:t>
      </w:r>
      <w:r w:rsidRPr="00972B61">
        <w:rPr>
          <w:lang w:val="en-GB"/>
        </w:rPr>
        <w:t xml:space="preserve">, </w:t>
      </w:r>
      <w:r w:rsidR="00C47BD4" w:rsidRPr="00972B61">
        <w:rPr>
          <w:lang w:val="en-GB"/>
        </w:rPr>
        <w:t>adopting</w:t>
      </w:r>
      <w:r w:rsidRPr="00972B61">
        <w:rPr>
          <w:lang w:val="en-GB"/>
        </w:rPr>
        <w:t xml:space="preserve"> mixed-method data collection and analysis</w:t>
      </w:r>
      <w:r w:rsidR="006239AC" w:rsidRPr="00972B61">
        <w:rPr>
          <w:lang w:val="en-GB"/>
        </w:rPr>
        <w:t xml:space="preserve"> methods and </w:t>
      </w:r>
      <w:r w:rsidR="00C47BD4" w:rsidRPr="00972B61">
        <w:rPr>
          <w:lang w:val="en-GB"/>
        </w:rPr>
        <w:t>a</w:t>
      </w:r>
      <w:r w:rsidRPr="00972B61">
        <w:rPr>
          <w:lang w:val="en-GB"/>
        </w:rPr>
        <w:t xml:space="preserve"> human rights-based approach</w:t>
      </w:r>
      <w:r w:rsidR="006239AC" w:rsidRPr="00972B61">
        <w:rPr>
          <w:lang w:val="en-GB"/>
        </w:rPr>
        <w:t xml:space="preserve">. </w:t>
      </w:r>
      <w:r w:rsidRPr="00972B61">
        <w:rPr>
          <w:lang w:val="en-GB"/>
        </w:rPr>
        <w:t>All projects working direct</w:t>
      </w:r>
      <w:r w:rsidR="006239AC" w:rsidRPr="00972B61">
        <w:rPr>
          <w:lang w:val="en-GB"/>
        </w:rPr>
        <w:t>ly with</w:t>
      </w:r>
      <w:r w:rsidRPr="00972B61">
        <w:rPr>
          <w:lang w:val="en-GB"/>
        </w:rPr>
        <w:t xml:space="preserve"> beneficiaries will implement a data protocol </w:t>
      </w:r>
      <w:r w:rsidR="006239AC" w:rsidRPr="00972B61">
        <w:rPr>
          <w:lang w:val="en-GB"/>
        </w:rPr>
        <w:t xml:space="preserve">to </w:t>
      </w:r>
      <w:r w:rsidRPr="00972B61">
        <w:rPr>
          <w:lang w:val="en-GB"/>
        </w:rPr>
        <w:t>safeguard ethical and compliant data management</w:t>
      </w:r>
      <w:r w:rsidR="006239AC" w:rsidRPr="00972B61">
        <w:rPr>
          <w:lang w:val="en-GB"/>
        </w:rPr>
        <w:t>.</w:t>
      </w:r>
    </w:p>
    <w:p w14:paraId="4B697586" w14:textId="68AE6A1C" w:rsidR="00650D39" w:rsidRPr="00972B61" w:rsidRDefault="00650D39" w:rsidP="0083339E">
      <w:pPr>
        <w:pStyle w:val="ListParagraph"/>
        <w:numPr>
          <w:ilvl w:val="0"/>
          <w:numId w:val="38"/>
        </w:numPr>
        <w:spacing w:after="120" w:line="240" w:lineRule="exact"/>
        <w:ind w:left="1080" w:right="1210" w:firstLine="0"/>
        <w:jc w:val="both"/>
        <w:rPr>
          <w:lang w:val="en-GB" w:eastAsia="en-GB"/>
        </w:rPr>
      </w:pPr>
      <w:r w:rsidRPr="00972B61">
        <w:rPr>
          <w:lang w:val="en-GB"/>
        </w:rPr>
        <w:t xml:space="preserve">UNDP will </w:t>
      </w:r>
      <w:r w:rsidR="00C47BD4" w:rsidRPr="00972B61">
        <w:rPr>
          <w:lang w:val="en-GB"/>
        </w:rPr>
        <w:t>allocate</w:t>
      </w:r>
      <w:r w:rsidRPr="00972B61">
        <w:rPr>
          <w:lang w:val="en-GB"/>
        </w:rPr>
        <w:t xml:space="preserve"> at least </w:t>
      </w:r>
      <w:r w:rsidR="006D3576" w:rsidRPr="00972B61">
        <w:rPr>
          <w:lang w:val="en-GB"/>
        </w:rPr>
        <w:t>5</w:t>
      </w:r>
      <w:r w:rsidRPr="00972B61">
        <w:rPr>
          <w:lang w:val="en-GB"/>
        </w:rPr>
        <w:t xml:space="preserve"> per cent of </w:t>
      </w:r>
      <w:r w:rsidR="00C47BD4" w:rsidRPr="00972B61">
        <w:rPr>
          <w:lang w:val="en-GB"/>
        </w:rPr>
        <w:t xml:space="preserve">resources </w:t>
      </w:r>
      <w:r w:rsidRPr="00972B61">
        <w:rPr>
          <w:lang w:val="en-GB"/>
        </w:rPr>
        <w:t>to improv</w:t>
      </w:r>
      <w:r w:rsidR="00C47BD4" w:rsidRPr="00972B61">
        <w:rPr>
          <w:lang w:val="en-GB"/>
        </w:rPr>
        <w:t>ing</w:t>
      </w:r>
      <w:r w:rsidRPr="00972B61">
        <w:rPr>
          <w:lang w:val="en-GB"/>
        </w:rPr>
        <w:t xml:space="preserve"> oversight and quality assurance, strengthening </w:t>
      </w:r>
      <w:r w:rsidR="00C47BD4" w:rsidRPr="00972B61">
        <w:rPr>
          <w:lang w:val="en-GB"/>
        </w:rPr>
        <w:t xml:space="preserve">the </w:t>
      </w:r>
      <w:r w:rsidR="00DA13EC" w:rsidRPr="00972B61">
        <w:rPr>
          <w:lang w:val="en-GB"/>
        </w:rPr>
        <w:t xml:space="preserve">digital literacy and </w:t>
      </w:r>
      <w:r w:rsidR="00D10E97">
        <w:rPr>
          <w:lang w:val="en-GB"/>
        </w:rPr>
        <w:t xml:space="preserve">monitoring and evaluation </w:t>
      </w:r>
      <w:r w:rsidRPr="00972B61">
        <w:rPr>
          <w:lang w:val="en-GB"/>
        </w:rPr>
        <w:t xml:space="preserve">capacity of </w:t>
      </w:r>
      <w:r w:rsidR="00ED22CE" w:rsidRPr="00972B61">
        <w:rPr>
          <w:lang w:val="en-GB"/>
        </w:rPr>
        <w:lastRenderedPageBreak/>
        <w:t xml:space="preserve">implementing </w:t>
      </w:r>
      <w:r w:rsidRPr="00972B61">
        <w:rPr>
          <w:lang w:val="en-GB"/>
        </w:rPr>
        <w:t xml:space="preserve">partners and </w:t>
      </w:r>
      <w:r w:rsidR="00D10E97">
        <w:rPr>
          <w:lang w:val="en-GB"/>
        </w:rPr>
        <w:t>the G</w:t>
      </w:r>
      <w:r w:rsidR="00ED22CE" w:rsidRPr="00972B61">
        <w:rPr>
          <w:lang w:val="en-GB"/>
        </w:rPr>
        <w:t xml:space="preserve">overnment, </w:t>
      </w:r>
      <w:r w:rsidRPr="00972B61">
        <w:rPr>
          <w:lang w:val="en-GB"/>
        </w:rPr>
        <w:t>collect</w:t>
      </w:r>
      <w:r w:rsidR="00323865" w:rsidRPr="00972B61">
        <w:rPr>
          <w:lang w:val="en-GB"/>
        </w:rPr>
        <w:t xml:space="preserve">ing </w:t>
      </w:r>
      <w:r w:rsidRPr="00972B61">
        <w:rPr>
          <w:lang w:val="en-GB"/>
        </w:rPr>
        <w:t>national and subnational data</w:t>
      </w:r>
      <w:r w:rsidR="00D10E97">
        <w:rPr>
          <w:lang w:val="en-GB"/>
        </w:rPr>
        <w:t xml:space="preserve">. UNDP will also </w:t>
      </w:r>
      <w:r w:rsidRPr="00972B61">
        <w:rPr>
          <w:lang w:val="en-GB"/>
        </w:rPr>
        <w:t>ensure consistent use of the gender marker to track funds devoted to advancing gender equality, improving gender-based planning and decision-making</w:t>
      </w:r>
      <w:r w:rsidR="00ED22CE" w:rsidRPr="00972B61">
        <w:rPr>
          <w:lang w:val="en-GB"/>
        </w:rPr>
        <w:t xml:space="preserve">. </w:t>
      </w:r>
      <w:r w:rsidR="001A4A10" w:rsidRPr="00972B61">
        <w:rPr>
          <w:lang w:val="en-GB"/>
        </w:rPr>
        <w:t xml:space="preserve">Evaluations will support the identification </w:t>
      </w:r>
      <w:r w:rsidR="00BF391B">
        <w:rPr>
          <w:lang w:val="en-GB"/>
        </w:rPr>
        <w:t xml:space="preserve">of </w:t>
      </w:r>
      <w:r w:rsidR="00FA1F6C" w:rsidRPr="00972B61">
        <w:rPr>
          <w:lang w:val="en-GB"/>
        </w:rPr>
        <w:t xml:space="preserve">potential </w:t>
      </w:r>
      <w:r w:rsidR="001A4A10" w:rsidRPr="00972B61">
        <w:rPr>
          <w:lang w:val="en-GB"/>
        </w:rPr>
        <w:t>data gaps</w:t>
      </w:r>
      <w:r w:rsidR="00ED22CE" w:rsidRPr="00972B61">
        <w:rPr>
          <w:lang w:val="en-GB"/>
        </w:rPr>
        <w:t xml:space="preserve">, </w:t>
      </w:r>
      <w:r w:rsidR="004D2C95" w:rsidRPr="00972B61">
        <w:rPr>
          <w:lang w:val="en-GB"/>
        </w:rPr>
        <w:t>notably</w:t>
      </w:r>
      <w:r w:rsidR="001E1C61" w:rsidRPr="00972B61">
        <w:rPr>
          <w:lang w:val="en-GB"/>
        </w:rPr>
        <w:t xml:space="preserve"> in the environment sector, </w:t>
      </w:r>
      <w:r w:rsidR="001A4A10" w:rsidRPr="00972B61">
        <w:rPr>
          <w:lang w:val="en-GB"/>
        </w:rPr>
        <w:t xml:space="preserve">and </w:t>
      </w:r>
      <w:r w:rsidR="00ED22CE" w:rsidRPr="00972B61">
        <w:rPr>
          <w:lang w:val="en-GB"/>
        </w:rPr>
        <w:t>UNDP will work with partner organi</w:t>
      </w:r>
      <w:r w:rsidR="00BF391B">
        <w:rPr>
          <w:lang w:val="en-GB"/>
        </w:rPr>
        <w:t>z</w:t>
      </w:r>
      <w:r w:rsidR="00ED22CE" w:rsidRPr="00972B61">
        <w:rPr>
          <w:lang w:val="en-GB"/>
        </w:rPr>
        <w:t xml:space="preserve">ations to build capacities for </w:t>
      </w:r>
      <w:r w:rsidR="00DA13EC" w:rsidRPr="00972B61">
        <w:rPr>
          <w:lang w:val="en-GB"/>
        </w:rPr>
        <w:t xml:space="preserve">research, </w:t>
      </w:r>
      <w:r w:rsidR="00ED22CE" w:rsidRPr="00972B61">
        <w:rPr>
          <w:lang w:val="en-GB"/>
        </w:rPr>
        <w:t>data collection and analysis, and where necessary</w:t>
      </w:r>
      <w:r w:rsidR="00BF391B">
        <w:rPr>
          <w:lang w:val="en-GB"/>
        </w:rPr>
        <w:t>,</w:t>
      </w:r>
      <w:r w:rsidR="00ED22CE" w:rsidRPr="00972B61">
        <w:rPr>
          <w:lang w:val="en-GB"/>
        </w:rPr>
        <w:t xml:space="preserve"> support the reali</w:t>
      </w:r>
      <w:r w:rsidR="00BF391B">
        <w:rPr>
          <w:lang w:val="en-GB"/>
        </w:rPr>
        <w:t>z</w:t>
      </w:r>
      <w:r w:rsidR="00ED22CE" w:rsidRPr="00972B61">
        <w:rPr>
          <w:lang w:val="en-GB"/>
        </w:rPr>
        <w:t xml:space="preserve">ation of </w:t>
      </w:r>
      <w:r w:rsidR="00DA13EC" w:rsidRPr="00972B61">
        <w:rPr>
          <w:lang w:val="en-GB"/>
        </w:rPr>
        <w:t xml:space="preserve">the necessary research, </w:t>
      </w:r>
      <w:r w:rsidR="00ED22CE" w:rsidRPr="00972B61">
        <w:rPr>
          <w:lang w:val="en-GB"/>
        </w:rPr>
        <w:t>surveys or baseline studies</w:t>
      </w:r>
      <w:r w:rsidR="00DA13EC" w:rsidRPr="00972B61">
        <w:rPr>
          <w:lang w:val="en-GB"/>
        </w:rPr>
        <w:t xml:space="preserve"> using innovative tools and methodologies.</w:t>
      </w:r>
    </w:p>
    <w:p w14:paraId="26102488" w14:textId="1696B8B5" w:rsidR="006D3576" w:rsidRPr="00972B61" w:rsidRDefault="00650D39" w:rsidP="0083339E">
      <w:pPr>
        <w:pStyle w:val="ListParagraph"/>
        <w:numPr>
          <w:ilvl w:val="0"/>
          <w:numId w:val="38"/>
        </w:numPr>
        <w:spacing w:after="120" w:line="240" w:lineRule="exact"/>
        <w:ind w:left="1080" w:right="1210" w:firstLine="0"/>
        <w:jc w:val="both"/>
        <w:rPr>
          <w:lang w:val="en-GB"/>
        </w:rPr>
      </w:pPr>
      <w:bookmarkStart w:id="17" w:name="_Hlk84502831"/>
      <w:r w:rsidRPr="00972B61">
        <w:rPr>
          <w:lang w:val="en-GB"/>
        </w:rPr>
        <w:t xml:space="preserve">UNDP </w:t>
      </w:r>
      <w:r w:rsidR="009D2E5B" w:rsidRPr="00972B61">
        <w:rPr>
          <w:lang w:val="en-GB"/>
        </w:rPr>
        <w:t xml:space="preserve">will </w:t>
      </w:r>
      <w:r w:rsidRPr="00972B61">
        <w:rPr>
          <w:lang w:val="en-GB"/>
        </w:rPr>
        <w:t>promot</w:t>
      </w:r>
      <w:r w:rsidR="009D2E5B" w:rsidRPr="00972B61">
        <w:rPr>
          <w:lang w:val="en-GB"/>
        </w:rPr>
        <w:t>e</w:t>
      </w:r>
      <w:r w:rsidRPr="00972B61">
        <w:rPr>
          <w:lang w:val="en-GB"/>
        </w:rPr>
        <w:t xml:space="preserve"> a learning culture and will strengthen evaluation practices</w:t>
      </w:r>
      <w:r w:rsidR="00A21D54">
        <w:rPr>
          <w:lang w:val="en-GB"/>
        </w:rPr>
        <w:t>,</w:t>
      </w:r>
      <w:r w:rsidR="009E6CDB" w:rsidRPr="00972B61">
        <w:rPr>
          <w:lang w:val="en-GB"/>
        </w:rPr>
        <w:t xml:space="preserve"> which was identified as weakness in the last programme cycle</w:t>
      </w:r>
      <w:r w:rsidR="00C47BD4" w:rsidRPr="00972B61">
        <w:rPr>
          <w:lang w:val="en-GB"/>
        </w:rPr>
        <w:t>. E</w:t>
      </w:r>
      <w:r w:rsidRPr="00972B61">
        <w:rPr>
          <w:rFonts w:eastAsiaTheme="minorEastAsia"/>
          <w:color w:val="000000" w:themeColor="text1"/>
          <w:lang w:val="en-GB"/>
        </w:rPr>
        <w:t>valuation both at programme and project level</w:t>
      </w:r>
      <w:r w:rsidR="00A21D54">
        <w:rPr>
          <w:rFonts w:eastAsiaTheme="minorEastAsia"/>
          <w:color w:val="000000" w:themeColor="text1"/>
          <w:lang w:val="en-GB"/>
        </w:rPr>
        <w:t>s</w:t>
      </w:r>
      <w:r w:rsidRPr="00972B61">
        <w:rPr>
          <w:rFonts w:eastAsiaTheme="minorEastAsia"/>
          <w:color w:val="000000" w:themeColor="text1"/>
          <w:lang w:val="en-GB"/>
        </w:rPr>
        <w:t xml:space="preserve"> will be executed </w:t>
      </w:r>
      <w:r w:rsidR="006B70DE" w:rsidRPr="00972B61">
        <w:rPr>
          <w:rFonts w:eastAsiaTheme="minorEastAsia"/>
          <w:color w:val="000000" w:themeColor="text1"/>
          <w:lang w:val="en-GB"/>
        </w:rPr>
        <w:t>according to an e</w:t>
      </w:r>
      <w:r w:rsidRPr="00972B61">
        <w:rPr>
          <w:rFonts w:eastAsiaTheme="minorEastAsia"/>
          <w:color w:val="000000" w:themeColor="text1"/>
          <w:lang w:val="en-GB"/>
        </w:rPr>
        <w:t xml:space="preserve">valuation </w:t>
      </w:r>
      <w:r w:rsidR="006B70DE" w:rsidRPr="00972B61">
        <w:rPr>
          <w:rFonts w:eastAsiaTheme="minorEastAsia"/>
          <w:color w:val="000000" w:themeColor="text1"/>
          <w:lang w:val="en-GB"/>
        </w:rPr>
        <w:t>p</w:t>
      </w:r>
      <w:r w:rsidRPr="00972B61">
        <w:rPr>
          <w:rFonts w:eastAsiaTheme="minorEastAsia"/>
          <w:color w:val="000000" w:themeColor="text1"/>
          <w:lang w:val="en-GB"/>
        </w:rPr>
        <w:t>lan</w:t>
      </w:r>
      <w:r w:rsidRPr="00972B61">
        <w:rPr>
          <w:lang w:val="en-GB"/>
        </w:rPr>
        <w:t xml:space="preserve"> </w:t>
      </w:r>
      <w:r w:rsidR="00B34544" w:rsidRPr="00972B61">
        <w:rPr>
          <w:lang w:val="en-GB"/>
        </w:rPr>
        <w:t xml:space="preserve">and </w:t>
      </w:r>
      <w:r w:rsidRPr="00972B61">
        <w:rPr>
          <w:lang w:val="en-GB"/>
        </w:rPr>
        <w:t>reviewed annually</w:t>
      </w:r>
      <w:r w:rsidR="00B34544" w:rsidRPr="00972B61">
        <w:rPr>
          <w:lang w:val="en-GB"/>
        </w:rPr>
        <w:t xml:space="preserve"> </w:t>
      </w:r>
      <w:r w:rsidRPr="00972B61">
        <w:rPr>
          <w:lang w:val="en-GB"/>
        </w:rPr>
        <w:t xml:space="preserve">and when new projects are developed. UNDP will </w:t>
      </w:r>
      <w:r w:rsidR="00B34544" w:rsidRPr="00972B61">
        <w:rPr>
          <w:lang w:val="en-GB"/>
        </w:rPr>
        <w:t xml:space="preserve">enhance </w:t>
      </w:r>
      <w:bookmarkStart w:id="18" w:name="_Hlk84504653"/>
      <w:r w:rsidRPr="00972B61">
        <w:rPr>
          <w:lang w:val="en-GB"/>
        </w:rPr>
        <w:t xml:space="preserve">policy advice and advocacy </w:t>
      </w:r>
      <w:r w:rsidR="00B34544" w:rsidRPr="00972B61">
        <w:rPr>
          <w:lang w:val="en-GB"/>
        </w:rPr>
        <w:t xml:space="preserve">activities </w:t>
      </w:r>
      <w:bookmarkEnd w:id="18"/>
      <w:r w:rsidR="00B34544" w:rsidRPr="00972B61">
        <w:rPr>
          <w:lang w:val="en-GB"/>
        </w:rPr>
        <w:t>through</w:t>
      </w:r>
      <w:r w:rsidRPr="00972B61">
        <w:rPr>
          <w:rStyle w:val="normaltextrun"/>
          <w:color w:val="000000"/>
          <w:shd w:val="clear" w:color="auto" w:fill="FFFFFF"/>
          <w:lang w:val="en-GB"/>
        </w:rPr>
        <w:t xml:space="preserve"> a </w:t>
      </w:r>
      <w:r w:rsidRPr="00972B61">
        <w:rPr>
          <w:lang w:val="en-GB"/>
        </w:rPr>
        <w:t>systematic approach to knowledge management</w:t>
      </w:r>
      <w:r w:rsidR="00B72EDE" w:rsidRPr="00972B61">
        <w:rPr>
          <w:lang w:val="en-GB"/>
        </w:rPr>
        <w:t>, involving local communities, target groups and partners in monitoring and learning process</w:t>
      </w:r>
      <w:r w:rsidR="00B34544" w:rsidRPr="00972B61">
        <w:rPr>
          <w:lang w:val="en-GB"/>
        </w:rPr>
        <w:t xml:space="preserve">es. </w:t>
      </w:r>
      <w:r w:rsidR="00A21D54">
        <w:rPr>
          <w:lang w:val="en-GB"/>
        </w:rPr>
        <w:t xml:space="preserve">UNDP will enhance its </w:t>
      </w:r>
      <w:r w:rsidRPr="00972B61">
        <w:rPr>
          <w:lang w:val="en-GB"/>
        </w:rPr>
        <w:t>multi-year research agenda</w:t>
      </w:r>
      <w:r w:rsidR="00A21D54">
        <w:rPr>
          <w:lang w:val="en-GB"/>
        </w:rPr>
        <w:t>,</w:t>
      </w:r>
      <w:r w:rsidRPr="00972B61">
        <w:rPr>
          <w:lang w:val="en-GB"/>
        </w:rPr>
        <w:t xml:space="preserve"> </w:t>
      </w:r>
      <w:r w:rsidR="00A21D54">
        <w:rPr>
          <w:lang w:val="en-GB"/>
        </w:rPr>
        <w:t xml:space="preserve">based on which it will </w:t>
      </w:r>
      <w:r w:rsidRPr="00972B61">
        <w:rPr>
          <w:lang w:val="en-GB"/>
        </w:rPr>
        <w:t>produc</w:t>
      </w:r>
      <w:r w:rsidR="00B34544" w:rsidRPr="00972B61">
        <w:rPr>
          <w:lang w:val="en-GB"/>
        </w:rPr>
        <w:t>e</w:t>
      </w:r>
      <w:r w:rsidRPr="00972B61">
        <w:rPr>
          <w:lang w:val="en-GB"/>
        </w:rPr>
        <w:t xml:space="preserve"> </w:t>
      </w:r>
      <w:r w:rsidR="00B34544" w:rsidRPr="00972B61">
        <w:rPr>
          <w:lang w:val="en-GB"/>
        </w:rPr>
        <w:t xml:space="preserve">and share </w:t>
      </w:r>
      <w:r w:rsidRPr="00972B61">
        <w:rPr>
          <w:lang w:val="en-GB"/>
        </w:rPr>
        <w:t xml:space="preserve">reports and discussion papers on topics related to </w:t>
      </w:r>
      <w:r w:rsidR="00A21D54">
        <w:rPr>
          <w:lang w:val="en-GB"/>
        </w:rPr>
        <w:t>the Sustainable Development Goals</w:t>
      </w:r>
      <w:r w:rsidR="00B34544" w:rsidRPr="00972B61">
        <w:rPr>
          <w:lang w:val="en-GB"/>
        </w:rPr>
        <w:t xml:space="preserve">. </w:t>
      </w:r>
      <w:r w:rsidR="00A21D54">
        <w:rPr>
          <w:lang w:val="en-GB"/>
        </w:rPr>
        <w:t>P</w:t>
      </w:r>
      <w:r w:rsidR="00A21D54" w:rsidRPr="00972B61">
        <w:rPr>
          <w:lang w:val="en-GB"/>
        </w:rPr>
        <w:t xml:space="preserve">artnerships with academia and research institutions </w:t>
      </w:r>
      <w:r w:rsidR="00A21D54">
        <w:rPr>
          <w:lang w:val="en-GB"/>
        </w:rPr>
        <w:t>will underpin c</w:t>
      </w:r>
      <w:r w:rsidRPr="00972B61">
        <w:rPr>
          <w:lang w:val="en-GB"/>
        </w:rPr>
        <w:t xml:space="preserve">ollaborative discussion and debate. </w:t>
      </w:r>
      <w:bookmarkEnd w:id="15"/>
      <w:r w:rsidR="006D3576" w:rsidRPr="00972B61">
        <w:rPr>
          <w:lang w:val="en-GB"/>
        </w:rPr>
        <w:t>UNDP will support open data portals and real time data collection tools to strengthen accountability and transparency in the public domain.</w:t>
      </w:r>
    </w:p>
    <w:bookmarkEnd w:id="17"/>
    <w:p w14:paraId="00BBD3AD" w14:textId="77777777" w:rsidR="009F10DD" w:rsidRPr="00972B61" w:rsidRDefault="009F10DD" w:rsidP="006B70DE">
      <w:pPr>
        <w:ind w:left="284" w:hanging="360"/>
        <w:jc w:val="both"/>
        <w:rPr>
          <w:highlight w:val="yellow"/>
          <w:lang w:val="en-GB"/>
        </w:rPr>
      </w:pPr>
    </w:p>
    <w:p w14:paraId="75F7099D" w14:textId="7AE9A266" w:rsidR="009F10DD" w:rsidRPr="00972B61" w:rsidRDefault="009F10DD" w:rsidP="006B70DE">
      <w:pPr>
        <w:ind w:left="284" w:hanging="360"/>
        <w:jc w:val="both"/>
        <w:rPr>
          <w:highlight w:val="yellow"/>
          <w:lang w:val="en-GB"/>
        </w:rPr>
        <w:sectPr w:rsidR="009F10DD" w:rsidRPr="00972B61">
          <w:headerReference w:type="even" r:id="rId19"/>
          <w:footerReference w:type="first" r:id="rId20"/>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7353927E" w14:textId="4F4E16ED" w:rsidR="00DC3E1E" w:rsidRPr="00972B61" w:rsidRDefault="00DC3E1E" w:rsidP="00DC3E1E">
      <w:pPr>
        <w:keepNext/>
        <w:tabs>
          <w:tab w:val="left" w:pos="990"/>
        </w:tabs>
        <w:spacing w:after="120" w:line="240" w:lineRule="exact"/>
        <w:ind w:right="720"/>
        <w:jc w:val="both"/>
        <w:outlineLvl w:val="1"/>
        <w:rPr>
          <w:b/>
          <w:sz w:val="24"/>
          <w:szCs w:val="24"/>
          <w:lang w:val="en-GB"/>
        </w:rPr>
      </w:pPr>
      <w:bookmarkStart w:id="20" w:name="_Toc65717416"/>
      <w:bookmarkStart w:id="21" w:name="_Toc79746523"/>
      <w:r w:rsidRPr="00972B61">
        <w:rPr>
          <w:b/>
          <w:sz w:val="24"/>
          <w:szCs w:val="24"/>
          <w:lang w:val="en-GB"/>
        </w:rPr>
        <w:lastRenderedPageBreak/>
        <w:t>Annex. Results and resources framework for Mozambique (2022-2026)</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68"/>
        <w:gridCol w:w="2694"/>
        <w:gridCol w:w="4315"/>
        <w:gridCol w:w="2126"/>
        <w:gridCol w:w="1623"/>
      </w:tblGrid>
      <w:tr w:rsidR="00D973B7" w:rsidRPr="00972B61" w14:paraId="74EB3AEF" w14:textId="77777777" w:rsidTr="00DA48C2">
        <w:tc>
          <w:tcPr>
            <w:tcW w:w="5000" w:type="pct"/>
            <w:gridSpan w:val="5"/>
            <w:shd w:val="clear" w:color="auto" w:fill="DBE5F1" w:themeFill="accent1" w:themeFillTint="33"/>
            <w:tcMar>
              <w:top w:w="72" w:type="dxa"/>
              <w:left w:w="144" w:type="dxa"/>
              <w:bottom w:w="72" w:type="dxa"/>
              <w:right w:w="144" w:type="dxa"/>
            </w:tcMar>
          </w:tcPr>
          <w:p w14:paraId="706BDC31" w14:textId="71CD60EA" w:rsidR="00D973B7" w:rsidRPr="00972B61" w:rsidRDefault="00D973B7" w:rsidP="006B044C">
            <w:pPr>
              <w:rPr>
                <w:color w:val="000000" w:themeColor="text1"/>
                <w:sz w:val="16"/>
                <w:szCs w:val="16"/>
                <w:lang w:val="en-GB"/>
              </w:rPr>
            </w:pPr>
            <w:r w:rsidRPr="00972B61">
              <w:rPr>
                <w:b/>
                <w:bCs/>
                <w:color w:val="000000" w:themeColor="text1"/>
                <w:sz w:val="16"/>
                <w:szCs w:val="16"/>
                <w:lang w:val="en-GB"/>
              </w:rPr>
              <w:t>NATIONAL PRIORITY OR GOAL:</w:t>
            </w:r>
            <w:r w:rsidR="004C765C">
              <w:rPr>
                <w:b/>
                <w:bCs/>
                <w:color w:val="000000" w:themeColor="text1"/>
                <w:sz w:val="16"/>
                <w:szCs w:val="16"/>
                <w:lang w:val="en-GB"/>
              </w:rPr>
              <w:t xml:space="preserve"> </w:t>
            </w:r>
            <w:r w:rsidR="00223DF6" w:rsidRPr="00505311">
              <w:rPr>
                <w:color w:val="000000" w:themeColor="text1"/>
                <w:sz w:val="16"/>
                <w:szCs w:val="16"/>
                <w:lang w:val="en-GB"/>
              </w:rPr>
              <w:t>Five-year Government Plan</w:t>
            </w:r>
            <w:r w:rsidR="009D01C9">
              <w:rPr>
                <w:color w:val="000000" w:themeColor="text1"/>
                <w:sz w:val="16"/>
                <w:szCs w:val="16"/>
                <w:lang w:val="en-GB"/>
              </w:rPr>
              <w:t xml:space="preserve"> </w:t>
            </w:r>
            <w:r w:rsidRPr="00972B61">
              <w:rPr>
                <w:b/>
                <w:bCs/>
                <w:color w:val="000000" w:themeColor="text1"/>
                <w:sz w:val="16"/>
                <w:szCs w:val="16"/>
                <w:lang w:val="en-GB"/>
              </w:rPr>
              <w:t xml:space="preserve">Priority 1: </w:t>
            </w:r>
            <w:r w:rsidRPr="00303D74">
              <w:rPr>
                <w:color w:val="000000" w:themeColor="text1"/>
                <w:sz w:val="16"/>
                <w:szCs w:val="16"/>
                <w:lang w:val="en-GB"/>
              </w:rPr>
              <w:t>Develop human capital and social justice</w:t>
            </w:r>
            <w:r w:rsidR="002258D7">
              <w:rPr>
                <w:color w:val="000000" w:themeColor="text1"/>
                <w:sz w:val="16"/>
                <w:szCs w:val="16"/>
                <w:lang w:val="en-GB"/>
              </w:rPr>
              <w:t>.</w:t>
            </w:r>
          </w:p>
        </w:tc>
      </w:tr>
      <w:tr w:rsidR="00D973B7" w:rsidRPr="00972B61" w14:paraId="763E61B4" w14:textId="77777777" w:rsidTr="00E40F85">
        <w:trPr>
          <w:trHeight w:val="124"/>
        </w:trPr>
        <w:tc>
          <w:tcPr>
            <w:tcW w:w="5000" w:type="pct"/>
            <w:gridSpan w:val="5"/>
            <w:shd w:val="clear" w:color="auto" w:fill="DBE5F1" w:themeFill="accent1" w:themeFillTint="33"/>
            <w:tcMar>
              <w:top w:w="72" w:type="dxa"/>
              <w:left w:w="144" w:type="dxa"/>
              <w:bottom w:w="72" w:type="dxa"/>
              <w:right w:w="144" w:type="dxa"/>
            </w:tcMar>
          </w:tcPr>
          <w:p w14:paraId="7F40DBD4" w14:textId="4CF78DF3" w:rsidR="00D973B7" w:rsidRPr="00972B61" w:rsidRDefault="00D973B7" w:rsidP="00E40F85">
            <w:pPr>
              <w:rPr>
                <w:color w:val="000000" w:themeColor="text1"/>
                <w:sz w:val="16"/>
                <w:szCs w:val="16"/>
                <w:lang w:val="en-GB"/>
              </w:rPr>
            </w:pPr>
            <w:r w:rsidRPr="00972B61">
              <w:rPr>
                <w:b/>
                <w:bCs/>
                <w:color w:val="000000" w:themeColor="text1"/>
                <w:sz w:val="16"/>
                <w:szCs w:val="16"/>
                <w:lang w:val="en-GB"/>
              </w:rPr>
              <w:t xml:space="preserve">COOPERATION FRAMEWORK (OR EQUIVALENT) OUTCOME INVOLVING UNDP 1.1: </w:t>
            </w:r>
            <w:r w:rsidRPr="00303D74">
              <w:rPr>
                <w:color w:val="000000" w:themeColor="text1"/>
                <w:sz w:val="16"/>
                <w:szCs w:val="16"/>
                <w:lang w:val="en-GB"/>
              </w:rPr>
              <w:t>By 2026, more people, particularly the most vulnerable and marginalized, have a more equitable access to and utilization of quality, inclusive, resilient, gender and shock-responsive social protection and essential social services</w:t>
            </w:r>
            <w:r w:rsidR="002258D7" w:rsidRPr="00303D74">
              <w:rPr>
                <w:color w:val="000000" w:themeColor="text1"/>
                <w:sz w:val="16"/>
                <w:szCs w:val="16"/>
                <w:lang w:val="en-GB"/>
              </w:rPr>
              <w:t>.</w:t>
            </w:r>
          </w:p>
        </w:tc>
      </w:tr>
      <w:tr w:rsidR="00D973B7" w:rsidRPr="00972B61" w14:paraId="283F591C" w14:textId="77777777" w:rsidTr="00E40F85">
        <w:trPr>
          <w:trHeight w:val="124"/>
        </w:trPr>
        <w:tc>
          <w:tcPr>
            <w:tcW w:w="5000" w:type="pct"/>
            <w:gridSpan w:val="5"/>
            <w:shd w:val="clear" w:color="auto" w:fill="DBE5F1" w:themeFill="accent1" w:themeFillTint="33"/>
            <w:tcMar>
              <w:top w:w="72" w:type="dxa"/>
              <w:left w:w="144" w:type="dxa"/>
              <w:bottom w:w="72" w:type="dxa"/>
              <w:right w:w="144" w:type="dxa"/>
            </w:tcMar>
          </w:tcPr>
          <w:p w14:paraId="523722D0" w14:textId="6F0BF567" w:rsidR="00D973B7" w:rsidRPr="00972B61" w:rsidRDefault="00D973B7" w:rsidP="00E40F85">
            <w:pPr>
              <w:rPr>
                <w:b/>
                <w:bCs/>
                <w:color w:val="000000" w:themeColor="text1"/>
                <w:sz w:val="16"/>
                <w:szCs w:val="16"/>
                <w:lang w:val="en-GB"/>
              </w:rPr>
            </w:pPr>
            <w:r w:rsidRPr="00972B61">
              <w:rPr>
                <w:b/>
                <w:bCs/>
                <w:color w:val="000000" w:themeColor="text1"/>
                <w:sz w:val="16"/>
                <w:szCs w:val="16"/>
                <w:lang w:val="en-GB"/>
              </w:rPr>
              <w:t>RELATED STRATEGIC PLAN OUTCOME 1:</w:t>
            </w:r>
            <w:r w:rsidR="004C765C">
              <w:rPr>
                <w:b/>
                <w:bCs/>
                <w:color w:val="000000" w:themeColor="text1"/>
                <w:sz w:val="16"/>
                <w:szCs w:val="16"/>
                <w:lang w:val="en-GB"/>
              </w:rPr>
              <w:t xml:space="preserve"> </w:t>
            </w:r>
            <w:r w:rsidRPr="00303D74">
              <w:rPr>
                <w:color w:val="000000" w:themeColor="text1"/>
                <w:sz w:val="16"/>
                <w:szCs w:val="16"/>
                <w:lang w:val="en-GB"/>
              </w:rPr>
              <w:t>Structural transformation accelerated, particularly green, inclusive, and digital transitions</w:t>
            </w:r>
            <w:r w:rsidR="002258D7">
              <w:rPr>
                <w:color w:val="000000" w:themeColor="text1"/>
                <w:sz w:val="16"/>
                <w:szCs w:val="16"/>
                <w:lang w:val="en-GB"/>
              </w:rPr>
              <w:t>.</w:t>
            </w:r>
          </w:p>
        </w:tc>
      </w:tr>
      <w:tr w:rsidR="00D973B7" w:rsidRPr="00972B61" w14:paraId="4A61849C" w14:textId="77777777" w:rsidTr="00E40F85">
        <w:trPr>
          <w:trHeight w:val="322"/>
        </w:trPr>
        <w:tc>
          <w:tcPr>
            <w:tcW w:w="1023" w:type="pct"/>
            <w:shd w:val="clear" w:color="auto" w:fill="DBE5F1" w:themeFill="accent1" w:themeFillTint="33"/>
            <w:tcMar>
              <w:top w:w="72" w:type="dxa"/>
              <w:left w:w="144" w:type="dxa"/>
              <w:bottom w:w="72" w:type="dxa"/>
              <w:right w:w="144" w:type="dxa"/>
            </w:tcMar>
            <w:vAlign w:val="center"/>
          </w:tcPr>
          <w:p w14:paraId="214A4EF5" w14:textId="63826088" w:rsidR="00D973B7" w:rsidRPr="00972B61" w:rsidRDefault="007A6086" w:rsidP="00E40F85">
            <w:pPr>
              <w:jc w:val="center"/>
              <w:rPr>
                <w:color w:val="000000"/>
                <w:sz w:val="16"/>
                <w:szCs w:val="16"/>
                <w:lang w:val="en-GB"/>
              </w:rPr>
            </w:pPr>
            <w:r w:rsidRPr="00972B61">
              <w:rPr>
                <w:b/>
                <w:bCs/>
                <w:color w:val="000000"/>
                <w:sz w:val="16"/>
                <w:szCs w:val="16"/>
                <w:lang w:val="en-GB"/>
              </w:rPr>
              <w:t>Cooperation Framework outcome indicator(s), baselines, target(s)</w:t>
            </w:r>
          </w:p>
        </w:tc>
        <w:tc>
          <w:tcPr>
            <w:tcW w:w="996" w:type="pct"/>
            <w:shd w:val="clear" w:color="auto" w:fill="DBE5F1" w:themeFill="accent1" w:themeFillTint="33"/>
            <w:vAlign w:val="center"/>
          </w:tcPr>
          <w:p w14:paraId="3AC3C0EE" w14:textId="68DFDDC5" w:rsidR="00D973B7" w:rsidRPr="00972B61" w:rsidRDefault="007A6086" w:rsidP="00E40F85">
            <w:pPr>
              <w:jc w:val="center"/>
              <w:rPr>
                <w:b/>
                <w:color w:val="000000"/>
                <w:sz w:val="16"/>
                <w:szCs w:val="16"/>
                <w:lang w:val="en-GB"/>
              </w:rPr>
            </w:pPr>
            <w:r w:rsidRPr="00972B61">
              <w:rPr>
                <w:b/>
                <w:color w:val="000000"/>
                <w:sz w:val="16"/>
                <w:szCs w:val="16"/>
                <w:lang w:val="en-GB"/>
              </w:rPr>
              <w:t>Data source and frequency of data collection, and responsibilities</w:t>
            </w:r>
          </w:p>
        </w:tc>
        <w:tc>
          <w:tcPr>
            <w:tcW w:w="1595" w:type="pct"/>
            <w:shd w:val="clear" w:color="auto" w:fill="DBE5F1" w:themeFill="accent1" w:themeFillTint="33"/>
            <w:tcMar>
              <w:top w:w="72" w:type="dxa"/>
              <w:left w:w="144" w:type="dxa"/>
              <w:bottom w:w="72" w:type="dxa"/>
              <w:right w:w="144" w:type="dxa"/>
            </w:tcMar>
            <w:vAlign w:val="center"/>
          </w:tcPr>
          <w:p w14:paraId="5F8A25FC" w14:textId="77777777" w:rsidR="002258D7" w:rsidRDefault="007A6086" w:rsidP="00E40F85">
            <w:pPr>
              <w:jc w:val="center"/>
              <w:rPr>
                <w:b/>
                <w:bCs/>
                <w:color w:val="000000"/>
                <w:sz w:val="16"/>
                <w:szCs w:val="16"/>
                <w:lang w:val="en-GB"/>
              </w:rPr>
            </w:pPr>
            <w:r w:rsidRPr="00972B61">
              <w:rPr>
                <w:b/>
                <w:bCs/>
                <w:color w:val="000000"/>
                <w:sz w:val="16"/>
                <w:szCs w:val="16"/>
                <w:lang w:val="en-GB"/>
              </w:rPr>
              <w:t>Indicative country programme outputs</w:t>
            </w:r>
          </w:p>
          <w:p w14:paraId="02CD3F95" w14:textId="3D2C605F" w:rsidR="00D973B7" w:rsidRPr="00972B61" w:rsidRDefault="007A6086" w:rsidP="00E40F85">
            <w:pPr>
              <w:jc w:val="center"/>
              <w:rPr>
                <w:color w:val="000000"/>
                <w:sz w:val="16"/>
                <w:szCs w:val="16"/>
                <w:lang w:val="en-GB"/>
              </w:rPr>
            </w:pPr>
            <w:r w:rsidRPr="00972B61">
              <w:rPr>
                <w:color w:val="000000"/>
                <w:sz w:val="16"/>
                <w:szCs w:val="16"/>
                <w:lang w:val="en-GB"/>
              </w:rPr>
              <w:t>(including indicators, baselines targets)</w:t>
            </w:r>
          </w:p>
        </w:tc>
        <w:tc>
          <w:tcPr>
            <w:tcW w:w="786" w:type="pct"/>
            <w:shd w:val="clear" w:color="auto" w:fill="DBE5F1" w:themeFill="accent1" w:themeFillTint="33"/>
            <w:vAlign w:val="center"/>
          </w:tcPr>
          <w:p w14:paraId="170CF7CB" w14:textId="5FBC00DD" w:rsidR="00D973B7" w:rsidRPr="00972B61" w:rsidRDefault="007A6086" w:rsidP="00E40F85">
            <w:pPr>
              <w:jc w:val="center"/>
              <w:rPr>
                <w:b/>
                <w:bCs/>
                <w:color w:val="000000"/>
                <w:sz w:val="16"/>
                <w:szCs w:val="16"/>
                <w:lang w:val="en-GB"/>
              </w:rPr>
            </w:pPr>
            <w:r w:rsidRPr="00972B61">
              <w:rPr>
                <w:b/>
                <w:bCs/>
                <w:color w:val="000000"/>
                <w:sz w:val="16"/>
                <w:szCs w:val="16"/>
                <w:lang w:val="en-GB"/>
              </w:rPr>
              <w:t>Major partners/partnerships</w:t>
            </w:r>
          </w:p>
          <w:p w14:paraId="678AF738" w14:textId="7596DA4E" w:rsidR="00D973B7" w:rsidRPr="00972B61" w:rsidRDefault="007A6086" w:rsidP="00E40F85">
            <w:pPr>
              <w:jc w:val="center"/>
              <w:rPr>
                <w:b/>
                <w:bCs/>
                <w:color w:val="000000"/>
                <w:sz w:val="16"/>
                <w:szCs w:val="16"/>
                <w:lang w:val="en-GB"/>
              </w:rPr>
            </w:pPr>
            <w:r w:rsidRPr="00972B61">
              <w:rPr>
                <w:b/>
                <w:bCs/>
                <w:color w:val="000000"/>
                <w:sz w:val="16"/>
                <w:szCs w:val="16"/>
                <w:lang w:val="en-GB"/>
              </w:rPr>
              <w:t>frameworks</w:t>
            </w:r>
          </w:p>
        </w:tc>
        <w:tc>
          <w:tcPr>
            <w:tcW w:w="600" w:type="pct"/>
            <w:shd w:val="clear" w:color="auto" w:fill="DBE5F1" w:themeFill="accent1" w:themeFillTint="33"/>
            <w:tcMar>
              <w:top w:w="15" w:type="dxa"/>
              <w:left w:w="108" w:type="dxa"/>
              <w:bottom w:w="0" w:type="dxa"/>
              <w:right w:w="108" w:type="dxa"/>
            </w:tcMar>
            <w:vAlign w:val="center"/>
          </w:tcPr>
          <w:p w14:paraId="334EAA9F" w14:textId="77777777" w:rsidR="002258D7" w:rsidRDefault="006B044C" w:rsidP="00E40F85">
            <w:pPr>
              <w:jc w:val="center"/>
              <w:rPr>
                <w:b/>
                <w:bCs/>
                <w:color w:val="000000"/>
                <w:sz w:val="16"/>
                <w:szCs w:val="16"/>
                <w:lang w:val="en-GB"/>
              </w:rPr>
            </w:pPr>
            <w:r w:rsidRPr="00972B61">
              <w:rPr>
                <w:b/>
                <w:bCs/>
                <w:color w:val="000000"/>
                <w:sz w:val="16"/>
                <w:szCs w:val="16"/>
                <w:lang w:val="en-GB"/>
              </w:rPr>
              <w:t>E</w:t>
            </w:r>
            <w:r w:rsidR="007A6086" w:rsidRPr="00972B61">
              <w:rPr>
                <w:b/>
                <w:bCs/>
                <w:color w:val="000000"/>
                <w:sz w:val="16"/>
                <w:szCs w:val="16"/>
                <w:lang w:val="en-GB"/>
              </w:rPr>
              <w:t>stimated cost by outcome</w:t>
            </w:r>
          </w:p>
          <w:p w14:paraId="593B1355" w14:textId="7D05672A" w:rsidR="00D973B7" w:rsidRPr="00972B61" w:rsidRDefault="007A6086" w:rsidP="00E40F85">
            <w:pPr>
              <w:jc w:val="center"/>
              <w:rPr>
                <w:color w:val="0000FF"/>
                <w:sz w:val="16"/>
                <w:szCs w:val="16"/>
                <w:lang w:val="en-GB"/>
              </w:rPr>
            </w:pPr>
            <w:r w:rsidRPr="00303D74">
              <w:rPr>
                <w:color w:val="000000"/>
                <w:sz w:val="16"/>
                <w:szCs w:val="16"/>
                <w:lang w:val="en-GB"/>
              </w:rPr>
              <w:t>(</w:t>
            </w:r>
            <w:r w:rsidR="002258D7" w:rsidRPr="00F951C0">
              <w:rPr>
                <w:i/>
                <w:iCs/>
                <w:color w:val="000000"/>
                <w:sz w:val="16"/>
                <w:szCs w:val="16"/>
                <w:lang w:val="en-GB"/>
              </w:rPr>
              <w:t>United States dollars</w:t>
            </w:r>
            <w:r w:rsidRPr="00303D74">
              <w:rPr>
                <w:color w:val="000000"/>
                <w:sz w:val="16"/>
                <w:szCs w:val="16"/>
                <w:lang w:val="en-GB"/>
              </w:rPr>
              <w:t>)</w:t>
            </w:r>
          </w:p>
        </w:tc>
      </w:tr>
      <w:tr w:rsidR="00A82813" w:rsidRPr="00972B61" w14:paraId="7D7F303B" w14:textId="77777777" w:rsidTr="00DA48C2">
        <w:tc>
          <w:tcPr>
            <w:tcW w:w="1023" w:type="pct"/>
            <w:vMerge w:val="restart"/>
            <w:tcMar>
              <w:top w:w="72" w:type="dxa"/>
              <w:left w:w="144" w:type="dxa"/>
              <w:bottom w:w="72" w:type="dxa"/>
              <w:right w:w="144" w:type="dxa"/>
            </w:tcMar>
          </w:tcPr>
          <w:p w14:paraId="1A29419F" w14:textId="6BF46BC7" w:rsidR="00A82813" w:rsidRPr="00972B61" w:rsidRDefault="00A82813" w:rsidP="00E40F85">
            <w:pPr>
              <w:rPr>
                <w:color w:val="000000" w:themeColor="text1"/>
                <w:sz w:val="16"/>
                <w:szCs w:val="16"/>
                <w:lang w:val="en-GB"/>
              </w:rPr>
            </w:pPr>
            <w:r w:rsidRPr="00972B61">
              <w:rPr>
                <w:color w:val="000000" w:themeColor="text1"/>
                <w:sz w:val="16"/>
                <w:szCs w:val="16"/>
                <w:lang w:val="en-GB"/>
              </w:rPr>
              <w:t>1.7</w:t>
            </w:r>
            <w:r w:rsidR="002258D7">
              <w:rPr>
                <w:color w:val="000000" w:themeColor="text1"/>
                <w:sz w:val="16"/>
                <w:szCs w:val="16"/>
                <w:lang w:val="en-GB"/>
              </w:rPr>
              <w:t>.</w:t>
            </w:r>
            <w:r w:rsidRPr="00972B61">
              <w:rPr>
                <w:color w:val="000000" w:themeColor="text1"/>
                <w:sz w:val="16"/>
                <w:szCs w:val="16"/>
                <w:lang w:val="en-GB"/>
              </w:rPr>
              <w:t xml:space="preserve"> Proportion of ever-partnered women and girls aged 15 years and older subjected to physical, sexual or psychological violence by a current or former intimate partner in the previous 12 months, by form of violence and by age</w:t>
            </w:r>
          </w:p>
          <w:p w14:paraId="3BC72849" w14:textId="7337D2A9" w:rsidR="00A82813" w:rsidRPr="00972B61" w:rsidRDefault="00A82813" w:rsidP="00E40F85">
            <w:pPr>
              <w:rPr>
                <w:color w:val="000000" w:themeColor="text1"/>
                <w:sz w:val="16"/>
                <w:szCs w:val="16"/>
                <w:lang w:val="en-GB"/>
              </w:rPr>
            </w:pPr>
            <w:r w:rsidRPr="00972B61">
              <w:rPr>
                <w:color w:val="000000" w:themeColor="text1"/>
                <w:sz w:val="16"/>
                <w:szCs w:val="16"/>
                <w:lang w:val="en-GB"/>
              </w:rPr>
              <w:t>B</w:t>
            </w:r>
            <w:r w:rsidR="002258D7">
              <w:rPr>
                <w:color w:val="000000" w:themeColor="text1"/>
                <w:sz w:val="16"/>
                <w:szCs w:val="16"/>
                <w:lang w:val="en-GB"/>
              </w:rPr>
              <w:t xml:space="preserve">aseline </w:t>
            </w:r>
            <w:r w:rsidRPr="00972B61">
              <w:rPr>
                <w:color w:val="000000" w:themeColor="text1"/>
                <w:sz w:val="16"/>
                <w:szCs w:val="16"/>
                <w:lang w:val="en-GB"/>
              </w:rPr>
              <w:t xml:space="preserve">(2015): 16% </w:t>
            </w:r>
          </w:p>
          <w:p w14:paraId="626142D9" w14:textId="77777777" w:rsidR="00A82813" w:rsidRPr="00972B61" w:rsidRDefault="00A82813" w:rsidP="00E40F85">
            <w:pPr>
              <w:rPr>
                <w:color w:val="000000" w:themeColor="text1"/>
                <w:sz w:val="16"/>
                <w:szCs w:val="16"/>
                <w:lang w:val="en-GB"/>
              </w:rPr>
            </w:pPr>
            <w:r w:rsidRPr="00972B61">
              <w:rPr>
                <w:color w:val="000000" w:themeColor="text1"/>
                <w:sz w:val="16"/>
                <w:szCs w:val="16"/>
                <w:lang w:val="en-GB"/>
              </w:rPr>
              <w:t>Target (2026): 10%</w:t>
            </w:r>
          </w:p>
          <w:p w14:paraId="484E5FDD" w14:textId="77777777" w:rsidR="00A82813" w:rsidRPr="00972B61" w:rsidRDefault="00A82813" w:rsidP="00E40F85">
            <w:pPr>
              <w:rPr>
                <w:bCs/>
                <w:color w:val="000000" w:themeColor="text1"/>
                <w:sz w:val="16"/>
                <w:szCs w:val="16"/>
                <w:lang w:val="en-GB"/>
              </w:rPr>
            </w:pPr>
          </w:p>
          <w:p w14:paraId="518ADD6C" w14:textId="14CCAC65" w:rsidR="00A82813" w:rsidRPr="00972B61" w:rsidRDefault="00A82813" w:rsidP="00E40F85">
            <w:pPr>
              <w:rPr>
                <w:bCs/>
                <w:color w:val="000000"/>
                <w:sz w:val="16"/>
                <w:szCs w:val="16"/>
                <w:lang w:val="en-GB"/>
              </w:rPr>
            </w:pPr>
            <w:r w:rsidRPr="00972B61">
              <w:rPr>
                <w:bCs/>
                <w:color w:val="000000"/>
                <w:sz w:val="16"/>
                <w:szCs w:val="16"/>
                <w:lang w:val="en-GB"/>
              </w:rPr>
              <w:t>1.1</w:t>
            </w:r>
            <w:r w:rsidR="002258D7">
              <w:rPr>
                <w:bCs/>
                <w:color w:val="000000"/>
                <w:sz w:val="16"/>
                <w:szCs w:val="16"/>
                <w:lang w:val="en-GB"/>
              </w:rPr>
              <w:t>.</w:t>
            </w:r>
            <w:r w:rsidRPr="00972B61">
              <w:rPr>
                <w:bCs/>
                <w:color w:val="000000"/>
                <w:sz w:val="16"/>
                <w:szCs w:val="16"/>
                <w:lang w:val="en-GB"/>
              </w:rPr>
              <w:t xml:space="preserve"> Proportion of total government spending on essential services (education, health and social protection)</w:t>
            </w:r>
          </w:p>
          <w:p w14:paraId="6BF88C07" w14:textId="7B056633" w:rsidR="00B45D20" w:rsidRPr="00972B61" w:rsidRDefault="002258D7" w:rsidP="00E40F85">
            <w:pPr>
              <w:rPr>
                <w:bCs/>
                <w:color w:val="000000"/>
                <w:sz w:val="16"/>
                <w:szCs w:val="16"/>
                <w:lang w:val="en-GB"/>
              </w:rPr>
            </w:pPr>
            <w:r w:rsidRPr="00972B61">
              <w:rPr>
                <w:color w:val="000000" w:themeColor="text1"/>
                <w:sz w:val="16"/>
                <w:szCs w:val="16"/>
                <w:lang w:val="en-GB"/>
              </w:rPr>
              <w:t>B</w:t>
            </w:r>
            <w:r>
              <w:rPr>
                <w:color w:val="000000" w:themeColor="text1"/>
                <w:sz w:val="16"/>
                <w:szCs w:val="16"/>
                <w:lang w:val="en-GB"/>
              </w:rPr>
              <w:t>aseline</w:t>
            </w:r>
            <w:r w:rsidR="00A82813" w:rsidRPr="00972B61">
              <w:rPr>
                <w:bCs/>
                <w:color w:val="000000"/>
                <w:sz w:val="16"/>
                <w:szCs w:val="16"/>
                <w:lang w:val="en-GB"/>
              </w:rPr>
              <w:t xml:space="preserve"> (2016): </w:t>
            </w:r>
          </w:p>
          <w:p w14:paraId="575D6A6D" w14:textId="3B906934" w:rsidR="00A82813" w:rsidRPr="00972B61" w:rsidRDefault="002258D7" w:rsidP="00E40F85">
            <w:pPr>
              <w:rPr>
                <w:bCs/>
                <w:color w:val="000000"/>
                <w:sz w:val="16"/>
                <w:szCs w:val="16"/>
                <w:lang w:val="en-GB"/>
              </w:rPr>
            </w:pPr>
            <w:r>
              <w:rPr>
                <w:bCs/>
                <w:color w:val="000000"/>
                <w:sz w:val="16"/>
                <w:szCs w:val="16"/>
                <w:lang w:val="en-GB"/>
              </w:rPr>
              <w:t>(</w:t>
            </w:r>
            <w:r w:rsidR="00B27A24" w:rsidRPr="00972B61">
              <w:rPr>
                <w:bCs/>
                <w:color w:val="000000"/>
                <w:sz w:val="16"/>
                <w:szCs w:val="16"/>
                <w:lang w:val="en-GB"/>
              </w:rPr>
              <w:t xml:space="preserve">a) </w:t>
            </w:r>
            <w:r w:rsidR="00A82813" w:rsidRPr="00972B61">
              <w:rPr>
                <w:bCs/>
                <w:color w:val="000000"/>
                <w:sz w:val="16"/>
                <w:szCs w:val="16"/>
                <w:lang w:val="en-GB"/>
              </w:rPr>
              <w:t xml:space="preserve">17.7% </w:t>
            </w:r>
          </w:p>
          <w:p w14:paraId="4B1ED69F" w14:textId="2E20C935" w:rsidR="00B27A24" w:rsidRPr="00972B61" w:rsidRDefault="002258D7" w:rsidP="00E40F85">
            <w:pPr>
              <w:rPr>
                <w:bCs/>
                <w:color w:val="000000"/>
                <w:sz w:val="16"/>
                <w:szCs w:val="16"/>
                <w:lang w:val="en-GB"/>
              </w:rPr>
            </w:pPr>
            <w:r>
              <w:rPr>
                <w:bCs/>
                <w:color w:val="000000"/>
                <w:sz w:val="16"/>
                <w:szCs w:val="16"/>
                <w:lang w:val="en-GB"/>
              </w:rPr>
              <w:t>(</w:t>
            </w:r>
            <w:r w:rsidR="00B27A24" w:rsidRPr="00972B61">
              <w:rPr>
                <w:bCs/>
                <w:color w:val="000000"/>
                <w:sz w:val="16"/>
                <w:szCs w:val="16"/>
                <w:lang w:val="en-GB"/>
              </w:rPr>
              <w:t xml:space="preserve">b) </w:t>
            </w:r>
            <w:r w:rsidR="006934D8" w:rsidRPr="00972B61">
              <w:rPr>
                <w:bCs/>
                <w:color w:val="000000"/>
                <w:sz w:val="16"/>
                <w:szCs w:val="16"/>
                <w:lang w:val="en-GB"/>
              </w:rPr>
              <w:t>10</w:t>
            </w:r>
            <w:r w:rsidR="00B45D20" w:rsidRPr="00972B61">
              <w:rPr>
                <w:bCs/>
                <w:color w:val="000000"/>
                <w:sz w:val="16"/>
                <w:szCs w:val="16"/>
                <w:lang w:val="en-GB"/>
              </w:rPr>
              <w:t>.</w:t>
            </w:r>
            <w:r w:rsidR="006934D8" w:rsidRPr="00972B61">
              <w:rPr>
                <w:bCs/>
                <w:color w:val="000000"/>
                <w:sz w:val="16"/>
                <w:szCs w:val="16"/>
                <w:lang w:val="en-GB"/>
              </w:rPr>
              <w:t>02%</w:t>
            </w:r>
          </w:p>
          <w:p w14:paraId="79D24B6E" w14:textId="7BFDD817" w:rsidR="00B27A24" w:rsidRPr="00972B61" w:rsidRDefault="002258D7" w:rsidP="00E40F85">
            <w:pPr>
              <w:rPr>
                <w:bCs/>
                <w:color w:val="000000"/>
                <w:sz w:val="16"/>
                <w:szCs w:val="16"/>
                <w:lang w:val="en-GB"/>
              </w:rPr>
            </w:pPr>
            <w:r>
              <w:rPr>
                <w:bCs/>
                <w:color w:val="000000"/>
                <w:sz w:val="16"/>
                <w:szCs w:val="16"/>
                <w:lang w:val="en-GB"/>
              </w:rPr>
              <w:t>(</w:t>
            </w:r>
            <w:r w:rsidR="00B27A24" w:rsidRPr="00972B61">
              <w:rPr>
                <w:bCs/>
                <w:color w:val="000000"/>
                <w:sz w:val="16"/>
                <w:szCs w:val="16"/>
                <w:lang w:val="en-GB"/>
              </w:rPr>
              <w:t>c)</w:t>
            </w:r>
            <w:r w:rsidR="004C765C">
              <w:rPr>
                <w:bCs/>
                <w:color w:val="000000"/>
                <w:sz w:val="16"/>
                <w:szCs w:val="16"/>
                <w:lang w:val="en-GB"/>
              </w:rPr>
              <w:t xml:space="preserve"> </w:t>
            </w:r>
            <w:r w:rsidR="00B45D20" w:rsidRPr="00972B61">
              <w:rPr>
                <w:bCs/>
                <w:color w:val="000000"/>
                <w:sz w:val="16"/>
                <w:szCs w:val="16"/>
                <w:lang w:val="en-GB"/>
              </w:rPr>
              <w:t>2.00%</w:t>
            </w:r>
          </w:p>
          <w:p w14:paraId="0D9E7A24" w14:textId="5457F6C5" w:rsidR="00B45D20" w:rsidRPr="00972B61" w:rsidRDefault="00A82813" w:rsidP="00E40F85">
            <w:pPr>
              <w:rPr>
                <w:bCs/>
                <w:color w:val="000000"/>
                <w:sz w:val="16"/>
                <w:szCs w:val="16"/>
                <w:lang w:val="en-GB"/>
              </w:rPr>
            </w:pPr>
            <w:r w:rsidRPr="00972B61">
              <w:rPr>
                <w:bCs/>
                <w:color w:val="000000"/>
                <w:sz w:val="16"/>
                <w:szCs w:val="16"/>
                <w:lang w:val="en-GB"/>
              </w:rPr>
              <w:t>Target (2026):</w:t>
            </w:r>
            <w:r w:rsidR="004C765C">
              <w:rPr>
                <w:bCs/>
                <w:color w:val="000000"/>
                <w:sz w:val="16"/>
                <w:szCs w:val="16"/>
                <w:lang w:val="en-GB"/>
              </w:rPr>
              <w:t xml:space="preserve"> </w:t>
            </w:r>
          </w:p>
          <w:p w14:paraId="790DFC49" w14:textId="681A1A76" w:rsidR="00A82813" w:rsidRPr="00972B61" w:rsidRDefault="002258D7" w:rsidP="00E40F85">
            <w:pPr>
              <w:rPr>
                <w:bCs/>
                <w:color w:val="000000"/>
                <w:sz w:val="16"/>
                <w:szCs w:val="16"/>
                <w:lang w:val="en-GB"/>
              </w:rPr>
            </w:pPr>
            <w:r>
              <w:rPr>
                <w:bCs/>
                <w:color w:val="000000"/>
                <w:sz w:val="16"/>
                <w:szCs w:val="16"/>
                <w:lang w:val="en-GB"/>
              </w:rPr>
              <w:t>(</w:t>
            </w:r>
            <w:r w:rsidR="006772C3" w:rsidRPr="00972B61">
              <w:rPr>
                <w:bCs/>
                <w:color w:val="000000"/>
                <w:sz w:val="16"/>
                <w:szCs w:val="16"/>
                <w:lang w:val="en-GB"/>
              </w:rPr>
              <w:t>a)</w:t>
            </w:r>
            <w:r w:rsidR="00B45D20" w:rsidRPr="00972B61">
              <w:rPr>
                <w:bCs/>
                <w:color w:val="000000"/>
                <w:sz w:val="16"/>
                <w:szCs w:val="16"/>
                <w:lang w:val="en-GB"/>
              </w:rPr>
              <w:t xml:space="preserve"> </w:t>
            </w:r>
            <w:r w:rsidR="00A82813" w:rsidRPr="00972B61">
              <w:rPr>
                <w:bCs/>
                <w:color w:val="000000"/>
                <w:sz w:val="16"/>
                <w:szCs w:val="16"/>
                <w:lang w:val="en-GB"/>
              </w:rPr>
              <w:t>20%</w:t>
            </w:r>
          </w:p>
          <w:p w14:paraId="3CF0FE7A" w14:textId="4C7612D5" w:rsidR="006772C3" w:rsidRPr="00972B61" w:rsidRDefault="002258D7" w:rsidP="00E40F85">
            <w:pPr>
              <w:rPr>
                <w:bCs/>
                <w:color w:val="000000"/>
                <w:sz w:val="16"/>
                <w:szCs w:val="16"/>
                <w:lang w:val="en-GB"/>
              </w:rPr>
            </w:pPr>
            <w:r>
              <w:rPr>
                <w:bCs/>
                <w:color w:val="000000"/>
                <w:sz w:val="16"/>
                <w:szCs w:val="16"/>
                <w:lang w:val="en-GB"/>
              </w:rPr>
              <w:t>(</w:t>
            </w:r>
            <w:r w:rsidR="006772C3" w:rsidRPr="00972B61">
              <w:rPr>
                <w:bCs/>
                <w:color w:val="000000"/>
                <w:sz w:val="16"/>
                <w:szCs w:val="16"/>
                <w:lang w:val="en-GB"/>
              </w:rPr>
              <w:t>b)</w:t>
            </w:r>
            <w:r w:rsidR="00E737A4" w:rsidRPr="00972B61">
              <w:rPr>
                <w:bCs/>
                <w:color w:val="000000"/>
                <w:sz w:val="16"/>
                <w:szCs w:val="16"/>
                <w:lang w:val="en-GB"/>
              </w:rPr>
              <w:t xml:space="preserve"> 15%</w:t>
            </w:r>
          </w:p>
          <w:p w14:paraId="35C8C18C" w14:textId="548B4030" w:rsidR="006772C3" w:rsidRPr="00972B61" w:rsidRDefault="002258D7" w:rsidP="00E40F85">
            <w:pPr>
              <w:rPr>
                <w:bCs/>
                <w:color w:val="000000"/>
                <w:sz w:val="16"/>
                <w:szCs w:val="16"/>
                <w:lang w:val="en-GB"/>
              </w:rPr>
            </w:pPr>
            <w:r>
              <w:rPr>
                <w:bCs/>
                <w:color w:val="000000"/>
                <w:sz w:val="16"/>
                <w:szCs w:val="16"/>
                <w:lang w:val="en-GB"/>
              </w:rPr>
              <w:t>(</w:t>
            </w:r>
            <w:r w:rsidR="006772C3" w:rsidRPr="00972B61">
              <w:rPr>
                <w:bCs/>
                <w:color w:val="000000"/>
                <w:sz w:val="16"/>
                <w:szCs w:val="16"/>
                <w:lang w:val="en-GB"/>
              </w:rPr>
              <w:t>c)</w:t>
            </w:r>
            <w:r w:rsidR="00E737A4" w:rsidRPr="00972B61">
              <w:rPr>
                <w:bCs/>
                <w:color w:val="000000"/>
                <w:sz w:val="16"/>
                <w:szCs w:val="16"/>
                <w:lang w:val="en-GB"/>
              </w:rPr>
              <w:t xml:space="preserve"> 4.5%</w:t>
            </w:r>
          </w:p>
        </w:tc>
        <w:tc>
          <w:tcPr>
            <w:tcW w:w="996" w:type="pct"/>
            <w:vMerge w:val="restart"/>
          </w:tcPr>
          <w:p w14:paraId="6B1A7C4D" w14:textId="04466462" w:rsidR="00A82813" w:rsidRPr="00972B61" w:rsidRDefault="002471D3" w:rsidP="00E40F85">
            <w:pPr>
              <w:rPr>
                <w:color w:val="000000" w:themeColor="text1"/>
                <w:sz w:val="16"/>
                <w:szCs w:val="16"/>
                <w:lang w:val="en-GB"/>
              </w:rPr>
            </w:pPr>
            <w:r>
              <w:rPr>
                <w:color w:val="000000" w:themeColor="text1"/>
                <w:sz w:val="16"/>
                <w:szCs w:val="16"/>
                <w:lang w:val="en-GB"/>
              </w:rPr>
              <w:t xml:space="preserve"> </w:t>
            </w:r>
            <w:r w:rsidRPr="00505311">
              <w:rPr>
                <w:color w:val="000000" w:themeColor="text1"/>
                <w:sz w:val="16"/>
                <w:szCs w:val="16"/>
                <w:lang w:val="en-GB"/>
              </w:rPr>
              <w:t>Indicator Survey of Immunization</w:t>
            </w:r>
            <w:r w:rsidR="00505311">
              <w:rPr>
                <w:color w:val="000000" w:themeColor="text1"/>
                <w:sz w:val="16"/>
                <w:szCs w:val="16"/>
                <w:lang w:val="en-GB"/>
              </w:rPr>
              <w:t xml:space="preserve"> </w:t>
            </w:r>
            <w:r w:rsidR="00A82813" w:rsidRPr="00972B61">
              <w:rPr>
                <w:color w:val="000000" w:themeColor="text1"/>
                <w:sz w:val="16"/>
                <w:szCs w:val="16"/>
                <w:lang w:val="en-GB"/>
              </w:rPr>
              <w:t>Resp</w:t>
            </w:r>
            <w:r w:rsidR="0016602A">
              <w:rPr>
                <w:color w:val="000000" w:themeColor="text1"/>
                <w:sz w:val="16"/>
                <w:szCs w:val="16"/>
                <w:lang w:val="en-GB"/>
              </w:rPr>
              <w:t>onsible</w:t>
            </w:r>
            <w:r w:rsidR="00A82813" w:rsidRPr="00972B61">
              <w:rPr>
                <w:color w:val="000000" w:themeColor="text1"/>
                <w:sz w:val="16"/>
                <w:szCs w:val="16"/>
                <w:lang w:val="en-GB"/>
              </w:rPr>
              <w:t>: WHO</w:t>
            </w:r>
            <w:r w:rsidR="002258D7">
              <w:rPr>
                <w:color w:val="000000" w:themeColor="text1"/>
                <w:sz w:val="16"/>
                <w:szCs w:val="16"/>
                <w:lang w:val="en-GB"/>
              </w:rPr>
              <w:t xml:space="preserve">, </w:t>
            </w:r>
            <w:r w:rsidR="00A82813" w:rsidRPr="00972B61">
              <w:rPr>
                <w:color w:val="000000" w:themeColor="text1"/>
                <w:sz w:val="16"/>
                <w:szCs w:val="16"/>
                <w:lang w:val="en-GB"/>
              </w:rPr>
              <w:t>UN</w:t>
            </w:r>
            <w:r w:rsidR="002258D7">
              <w:rPr>
                <w:color w:val="000000" w:themeColor="text1"/>
                <w:sz w:val="16"/>
                <w:szCs w:val="16"/>
                <w:lang w:val="en-GB"/>
              </w:rPr>
              <w:t>-Women,</w:t>
            </w:r>
            <w:r w:rsidR="00A82813" w:rsidRPr="00972B61">
              <w:rPr>
                <w:color w:val="000000" w:themeColor="text1"/>
                <w:sz w:val="16"/>
                <w:szCs w:val="16"/>
                <w:lang w:val="en-GB"/>
              </w:rPr>
              <w:t xml:space="preserve"> UNFPA</w:t>
            </w:r>
            <w:r w:rsidR="002258D7">
              <w:rPr>
                <w:color w:val="000000" w:themeColor="text1"/>
                <w:sz w:val="16"/>
                <w:szCs w:val="16"/>
                <w:lang w:val="en-GB"/>
              </w:rPr>
              <w:t>, United Nations Office for Drugs and Crime (</w:t>
            </w:r>
            <w:r w:rsidR="00A82813" w:rsidRPr="00972B61">
              <w:rPr>
                <w:color w:val="000000" w:themeColor="text1"/>
                <w:sz w:val="16"/>
                <w:szCs w:val="16"/>
                <w:lang w:val="en-GB"/>
              </w:rPr>
              <w:t>UNODC</w:t>
            </w:r>
            <w:r w:rsidR="002258D7">
              <w:rPr>
                <w:color w:val="000000" w:themeColor="text1"/>
                <w:sz w:val="16"/>
                <w:szCs w:val="16"/>
                <w:lang w:val="en-GB"/>
              </w:rPr>
              <w:t xml:space="preserve">), </w:t>
            </w:r>
            <w:r w:rsidR="00A82813" w:rsidRPr="00972B61">
              <w:rPr>
                <w:color w:val="000000" w:themeColor="text1"/>
                <w:sz w:val="16"/>
                <w:szCs w:val="16"/>
                <w:lang w:val="en-GB"/>
              </w:rPr>
              <w:t>UNDP</w:t>
            </w:r>
            <w:r w:rsidR="002258D7">
              <w:rPr>
                <w:color w:val="000000" w:themeColor="text1"/>
                <w:sz w:val="16"/>
                <w:szCs w:val="16"/>
                <w:lang w:val="en-GB"/>
              </w:rPr>
              <w:t>, United Nations Department of Economic and Social Affairs (UN</w:t>
            </w:r>
            <w:r w:rsidR="00A82813" w:rsidRPr="00972B61">
              <w:rPr>
                <w:color w:val="000000" w:themeColor="text1"/>
                <w:sz w:val="16"/>
                <w:szCs w:val="16"/>
                <w:lang w:val="en-GB"/>
              </w:rPr>
              <w:t>DESA</w:t>
            </w:r>
            <w:r w:rsidR="002258D7">
              <w:rPr>
                <w:color w:val="000000" w:themeColor="text1"/>
                <w:sz w:val="16"/>
                <w:szCs w:val="16"/>
                <w:lang w:val="en-GB"/>
              </w:rPr>
              <w:t>)</w:t>
            </w:r>
          </w:p>
          <w:p w14:paraId="721F8E61" w14:textId="77777777" w:rsidR="00A82813" w:rsidRPr="00972B61" w:rsidRDefault="00A82813" w:rsidP="00E40F85">
            <w:pPr>
              <w:rPr>
                <w:color w:val="FF0000"/>
                <w:sz w:val="16"/>
                <w:szCs w:val="16"/>
                <w:lang w:val="en-GB"/>
              </w:rPr>
            </w:pPr>
          </w:p>
          <w:p w14:paraId="3FA61B8B" w14:textId="77777777" w:rsidR="00A82813" w:rsidRPr="00972B61" w:rsidRDefault="00A82813" w:rsidP="00E40F85">
            <w:pPr>
              <w:rPr>
                <w:color w:val="000000"/>
                <w:sz w:val="16"/>
                <w:szCs w:val="16"/>
                <w:lang w:val="en-GB"/>
              </w:rPr>
            </w:pPr>
            <w:r w:rsidRPr="00972B61">
              <w:rPr>
                <w:color w:val="000000"/>
                <w:sz w:val="16"/>
                <w:szCs w:val="16"/>
                <w:lang w:val="en-GB"/>
              </w:rPr>
              <w:t>Frequency: Annual</w:t>
            </w:r>
          </w:p>
          <w:p w14:paraId="627B8A85" w14:textId="77777777" w:rsidR="00A82813" w:rsidRPr="00972B61" w:rsidRDefault="00A82813" w:rsidP="00E40F85">
            <w:pPr>
              <w:rPr>
                <w:color w:val="000000"/>
                <w:sz w:val="16"/>
                <w:szCs w:val="16"/>
                <w:lang w:val="en-GB"/>
              </w:rPr>
            </w:pPr>
          </w:p>
          <w:p w14:paraId="387E0727" w14:textId="77777777" w:rsidR="00A82813" w:rsidRPr="00972B61" w:rsidRDefault="00A82813" w:rsidP="00E40F85">
            <w:pPr>
              <w:rPr>
                <w:color w:val="000000"/>
                <w:sz w:val="16"/>
                <w:szCs w:val="16"/>
                <w:lang w:val="en-GB"/>
              </w:rPr>
            </w:pPr>
          </w:p>
          <w:p w14:paraId="55E54027" w14:textId="77777777" w:rsidR="00A82813" w:rsidRPr="00972B61" w:rsidRDefault="00A82813" w:rsidP="00E40F85">
            <w:pPr>
              <w:rPr>
                <w:color w:val="000000"/>
                <w:sz w:val="16"/>
                <w:szCs w:val="16"/>
                <w:lang w:val="en-GB"/>
              </w:rPr>
            </w:pPr>
          </w:p>
          <w:p w14:paraId="56DB01F7" w14:textId="77777777" w:rsidR="00A82813" w:rsidRPr="00972B61" w:rsidRDefault="00A82813" w:rsidP="00E40F85">
            <w:pPr>
              <w:rPr>
                <w:color w:val="000000"/>
                <w:sz w:val="16"/>
                <w:szCs w:val="16"/>
                <w:lang w:val="en-GB"/>
              </w:rPr>
            </w:pPr>
          </w:p>
          <w:p w14:paraId="2AE74CDB" w14:textId="77777777" w:rsidR="00A82813" w:rsidRPr="00972B61" w:rsidRDefault="00A82813" w:rsidP="00E40F85">
            <w:pPr>
              <w:rPr>
                <w:color w:val="000000"/>
                <w:sz w:val="16"/>
                <w:szCs w:val="16"/>
                <w:lang w:val="en-GB"/>
              </w:rPr>
            </w:pPr>
            <w:r w:rsidRPr="00972B61">
              <w:rPr>
                <w:color w:val="000000"/>
                <w:sz w:val="16"/>
                <w:szCs w:val="16"/>
                <w:lang w:val="en-GB"/>
              </w:rPr>
              <w:t>MEF, General State Account</w:t>
            </w:r>
          </w:p>
          <w:p w14:paraId="067C2529" w14:textId="77777777" w:rsidR="00A82813" w:rsidRPr="00972B61" w:rsidRDefault="00A82813" w:rsidP="00E40F85">
            <w:pPr>
              <w:rPr>
                <w:color w:val="000000"/>
                <w:sz w:val="16"/>
                <w:szCs w:val="16"/>
                <w:lang w:val="en-GB"/>
              </w:rPr>
            </w:pPr>
          </w:p>
          <w:p w14:paraId="63AA40D4" w14:textId="57A33D45" w:rsidR="00A82813" w:rsidRPr="00972B61" w:rsidRDefault="0016602A" w:rsidP="00E40F85">
            <w:pPr>
              <w:rPr>
                <w:color w:val="000000"/>
                <w:sz w:val="16"/>
                <w:szCs w:val="16"/>
                <w:lang w:val="en-GB"/>
              </w:rPr>
            </w:pPr>
            <w:r w:rsidRPr="00972B61">
              <w:rPr>
                <w:color w:val="000000" w:themeColor="text1"/>
                <w:sz w:val="16"/>
                <w:szCs w:val="16"/>
                <w:lang w:val="en-GB"/>
              </w:rPr>
              <w:t>Resp</w:t>
            </w:r>
            <w:r>
              <w:rPr>
                <w:color w:val="000000" w:themeColor="text1"/>
                <w:sz w:val="16"/>
                <w:szCs w:val="16"/>
                <w:lang w:val="en-GB"/>
              </w:rPr>
              <w:t>onsible</w:t>
            </w:r>
            <w:r w:rsidR="00A82813" w:rsidRPr="00972B61">
              <w:rPr>
                <w:color w:val="000000"/>
                <w:sz w:val="16"/>
                <w:szCs w:val="16"/>
                <w:lang w:val="en-GB"/>
              </w:rPr>
              <w:t xml:space="preserve">: </w:t>
            </w:r>
            <w:r>
              <w:rPr>
                <w:color w:val="000000"/>
                <w:sz w:val="16"/>
                <w:szCs w:val="16"/>
                <w:lang w:val="en-GB"/>
              </w:rPr>
              <w:t>The United Nations Educational, Scientific and Cultural Organization (</w:t>
            </w:r>
            <w:r w:rsidR="00A82813" w:rsidRPr="00972B61">
              <w:rPr>
                <w:color w:val="000000"/>
                <w:sz w:val="16"/>
                <w:szCs w:val="16"/>
                <w:lang w:val="en-GB"/>
              </w:rPr>
              <w:t>UNESCO</w:t>
            </w:r>
            <w:r>
              <w:rPr>
                <w:color w:val="000000"/>
                <w:sz w:val="16"/>
                <w:szCs w:val="16"/>
                <w:lang w:val="en-GB"/>
              </w:rPr>
              <w:t>)</w:t>
            </w:r>
            <w:r w:rsidR="00A82813" w:rsidRPr="00972B61">
              <w:rPr>
                <w:color w:val="000000"/>
                <w:sz w:val="16"/>
                <w:szCs w:val="16"/>
                <w:lang w:val="en-GB"/>
              </w:rPr>
              <w:t xml:space="preserve"> (UNICEF</w:t>
            </w:r>
            <w:r>
              <w:rPr>
                <w:color w:val="000000"/>
                <w:sz w:val="16"/>
                <w:szCs w:val="16"/>
                <w:lang w:val="en-GB"/>
              </w:rPr>
              <w:t xml:space="preserve">, </w:t>
            </w:r>
            <w:r w:rsidR="00A82813" w:rsidRPr="00972B61">
              <w:rPr>
                <w:color w:val="000000"/>
                <w:sz w:val="16"/>
                <w:szCs w:val="16"/>
                <w:lang w:val="en-GB"/>
              </w:rPr>
              <w:t>WHO</w:t>
            </w:r>
            <w:r>
              <w:rPr>
                <w:color w:val="000000"/>
                <w:sz w:val="16"/>
                <w:szCs w:val="16"/>
                <w:lang w:val="en-GB"/>
              </w:rPr>
              <w:t xml:space="preserve">, </w:t>
            </w:r>
            <w:r w:rsidR="00A82813" w:rsidRPr="00972B61">
              <w:rPr>
                <w:color w:val="000000"/>
                <w:sz w:val="16"/>
                <w:szCs w:val="16"/>
                <w:lang w:val="en-GB"/>
              </w:rPr>
              <w:t>ILO)</w:t>
            </w:r>
          </w:p>
          <w:p w14:paraId="1585E1EE" w14:textId="77777777" w:rsidR="00A82813" w:rsidRPr="00972B61" w:rsidRDefault="00A82813" w:rsidP="00E40F85">
            <w:pPr>
              <w:rPr>
                <w:b/>
                <w:bCs/>
                <w:color w:val="000000"/>
                <w:sz w:val="16"/>
                <w:szCs w:val="16"/>
                <w:lang w:val="en-GB"/>
              </w:rPr>
            </w:pPr>
          </w:p>
          <w:p w14:paraId="462ED0EA" w14:textId="2A61B9B0" w:rsidR="00A82813" w:rsidRPr="00972B61" w:rsidRDefault="00A82813" w:rsidP="00DA48C2">
            <w:pPr>
              <w:rPr>
                <w:color w:val="000000"/>
                <w:sz w:val="16"/>
                <w:szCs w:val="16"/>
                <w:lang w:val="en-GB"/>
              </w:rPr>
            </w:pPr>
            <w:r w:rsidRPr="00972B61">
              <w:rPr>
                <w:color w:val="000000"/>
                <w:sz w:val="16"/>
                <w:szCs w:val="16"/>
                <w:lang w:val="en-GB"/>
              </w:rPr>
              <w:t xml:space="preserve">Frequency: Annual </w:t>
            </w:r>
          </w:p>
        </w:tc>
        <w:tc>
          <w:tcPr>
            <w:tcW w:w="1595" w:type="pct"/>
            <w:shd w:val="clear" w:color="auto" w:fill="auto"/>
            <w:tcMar>
              <w:top w:w="72" w:type="dxa"/>
              <w:left w:w="144" w:type="dxa"/>
              <w:bottom w:w="72" w:type="dxa"/>
              <w:right w:w="144" w:type="dxa"/>
            </w:tcMar>
          </w:tcPr>
          <w:p w14:paraId="0D11820B" w14:textId="659447BF" w:rsidR="00A82813" w:rsidRPr="00972B61" w:rsidRDefault="00A82813" w:rsidP="00A20F55">
            <w:pPr>
              <w:spacing w:after="60"/>
              <w:rPr>
                <w:b/>
                <w:bCs/>
                <w:color w:val="000000"/>
                <w:sz w:val="16"/>
                <w:szCs w:val="16"/>
                <w:lang w:val="en-GB"/>
              </w:rPr>
            </w:pPr>
            <w:r w:rsidRPr="00972B61">
              <w:rPr>
                <w:b/>
                <w:bCs/>
                <w:color w:val="000000"/>
                <w:sz w:val="16"/>
                <w:szCs w:val="16"/>
                <w:lang w:val="en-GB"/>
              </w:rPr>
              <w:t>Output 1.1.1</w:t>
            </w:r>
            <w:r w:rsidR="0016602A">
              <w:rPr>
                <w:b/>
                <w:bCs/>
                <w:color w:val="000000"/>
                <w:sz w:val="16"/>
                <w:szCs w:val="16"/>
                <w:lang w:val="en-GB"/>
              </w:rPr>
              <w:t>.</w:t>
            </w:r>
            <w:r w:rsidRPr="00972B61">
              <w:rPr>
                <w:color w:val="000000"/>
                <w:sz w:val="16"/>
                <w:szCs w:val="16"/>
                <w:lang w:val="en-GB"/>
              </w:rPr>
              <w:t xml:space="preserve"> </w:t>
            </w:r>
            <w:r w:rsidRPr="00972B61">
              <w:rPr>
                <w:b/>
                <w:bCs/>
                <w:color w:val="000000"/>
                <w:sz w:val="16"/>
                <w:szCs w:val="16"/>
                <w:lang w:val="en-GB"/>
              </w:rPr>
              <w:t xml:space="preserve">Effective prevention and response </w:t>
            </w:r>
            <w:r w:rsidR="00724E34">
              <w:rPr>
                <w:b/>
                <w:bCs/>
                <w:color w:val="000000"/>
                <w:sz w:val="16"/>
                <w:szCs w:val="16"/>
                <w:lang w:val="en-GB"/>
              </w:rPr>
              <w:t xml:space="preserve">mechanisms for </w:t>
            </w:r>
            <w:r w:rsidRPr="00972B61">
              <w:rPr>
                <w:b/>
                <w:bCs/>
                <w:color w:val="000000"/>
                <w:sz w:val="16"/>
                <w:szCs w:val="16"/>
                <w:lang w:val="en-GB"/>
              </w:rPr>
              <w:t xml:space="preserve">gender-based violence </w:t>
            </w:r>
            <w:r w:rsidR="00724E34">
              <w:rPr>
                <w:b/>
                <w:bCs/>
                <w:color w:val="000000"/>
                <w:sz w:val="16"/>
                <w:szCs w:val="16"/>
                <w:lang w:val="en-GB"/>
              </w:rPr>
              <w:t>established to promote</w:t>
            </w:r>
            <w:r w:rsidR="006006CA" w:rsidRPr="00972B61">
              <w:rPr>
                <w:b/>
                <w:bCs/>
                <w:color w:val="000000"/>
                <w:sz w:val="16"/>
                <w:szCs w:val="16"/>
                <w:lang w:val="en-GB"/>
              </w:rPr>
              <w:t xml:space="preserve"> </w:t>
            </w:r>
            <w:r w:rsidRPr="00972B61">
              <w:rPr>
                <w:b/>
                <w:bCs/>
                <w:color w:val="000000"/>
                <w:sz w:val="16"/>
                <w:szCs w:val="16"/>
                <w:lang w:val="en-GB"/>
              </w:rPr>
              <w:t>gender equality</w:t>
            </w:r>
          </w:p>
          <w:p w14:paraId="73B69C16" w14:textId="0F078DDE" w:rsidR="00A82813" w:rsidRPr="00972B61" w:rsidRDefault="00A82813" w:rsidP="00E40F85">
            <w:pPr>
              <w:pStyle w:val="ListParagraph"/>
              <w:numPr>
                <w:ilvl w:val="0"/>
                <w:numId w:val="28"/>
              </w:numPr>
              <w:ind w:left="133" w:hanging="141"/>
              <w:rPr>
                <w:color w:val="000000"/>
                <w:sz w:val="16"/>
                <w:szCs w:val="16"/>
                <w:lang w:val="en-GB"/>
              </w:rPr>
            </w:pPr>
            <w:r w:rsidRPr="00972B61">
              <w:rPr>
                <w:b/>
                <w:bCs/>
                <w:color w:val="000000"/>
                <w:sz w:val="16"/>
                <w:szCs w:val="16"/>
                <w:lang w:val="en-GB"/>
              </w:rPr>
              <w:t>Indicator 1.1.1.1</w:t>
            </w:r>
            <w:r w:rsidR="0016602A">
              <w:rPr>
                <w:b/>
                <w:bCs/>
                <w:color w:val="000000"/>
                <w:sz w:val="16"/>
                <w:szCs w:val="16"/>
                <w:lang w:val="en-GB"/>
              </w:rPr>
              <w:t>.</w:t>
            </w:r>
            <w:r w:rsidRPr="00972B61">
              <w:rPr>
                <w:b/>
                <w:bCs/>
                <w:color w:val="000000"/>
                <w:sz w:val="16"/>
                <w:szCs w:val="16"/>
                <w:lang w:val="en-GB"/>
              </w:rPr>
              <w:t xml:space="preserve"> </w:t>
            </w:r>
            <w:r w:rsidRPr="00972B61">
              <w:rPr>
                <w:color w:val="000000"/>
                <w:sz w:val="16"/>
                <w:szCs w:val="16"/>
                <w:lang w:val="en-GB"/>
              </w:rPr>
              <w:t>N</w:t>
            </w:r>
            <w:r w:rsidR="0016602A">
              <w:rPr>
                <w:color w:val="000000"/>
                <w:sz w:val="16"/>
                <w:szCs w:val="16"/>
                <w:lang w:val="en-GB"/>
              </w:rPr>
              <w:t>umber</w:t>
            </w:r>
            <w:r w:rsidRPr="00972B61">
              <w:rPr>
                <w:color w:val="000000"/>
                <w:sz w:val="16"/>
                <w:szCs w:val="16"/>
                <w:lang w:val="en-GB"/>
              </w:rPr>
              <w:t xml:space="preserve"> of gender</w:t>
            </w:r>
            <w:r w:rsidR="00724E34">
              <w:rPr>
                <w:color w:val="000000"/>
                <w:sz w:val="16"/>
                <w:szCs w:val="16"/>
                <w:lang w:val="en-GB"/>
              </w:rPr>
              <w:t>-sensitive</w:t>
            </w:r>
            <w:r w:rsidRPr="00972B61">
              <w:rPr>
                <w:color w:val="000000"/>
                <w:sz w:val="16"/>
                <w:szCs w:val="16"/>
                <w:lang w:val="en-GB"/>
              </w:rPr>
              <w:t xml:space="preserve"> strategies operationali</w:t>
            </w:r>
            <w:r w:rsidR="0016602A">
              <w:rPr>
                <w:color w:val="000000"/>
                <w:sz w:val="16"/>
                <w:szCs w:val="16"/>
                <w:lang w:val="en-GB"/>
              </w:rPr>
              <w:t>z</w:t>
            </w:r>
            <w:r w:rsidRPr="00972B61">
              <w:rPr>
                <w:color w:val="000000"/>
                <w:sz w:val="16"/>
                <w:szCs w:val="16"/>
                <w:lang w:val="en-GB"/>
              </w:rPr>
              <w:t>ed in the public sector.</w:t>
            </w:r>
          </w:p>
          <w:p w14:paraId="3F8EEBC2" w14:textId="77777777" w:rsidR="00A82813" w:rsidRPr="00972B61" w:rsidRDefault="00A82813" w:rsidP="00E40F85">
            <w:pPr>
              <w:ind w:left="133"/>
              <w:rPr>
                <w:color w:val="000000"/>
                <w:sz w:val="16"/>
                <w:szCs w:val="16"/>
                <w:lang w:val="en-GB"/>
              </w:rPr>
            </w:pPr>
            <w:r w:rsidRPr="00972B61">
              <w:rPr>
                <w:color w:val="000000"/>
                <w:sz w:val="16"/>
                <w:szCs w:val="16"/>
                <w:lang w:val="en-GB"/>
              </w:rPr>
              <w:t xml:space="preserve">Baseline (2020): 2 </w:t>
            </w:r>
          </w:p>
          <w:p w14:paraId="68F73D60" w14:textId="04916918" w:rsidR="00A82813" w:rsidRPr="00972B61" w:rsidRDefault="00A82813" w:rsidP="00E40F85">
            <w:pPr>
              <w:ind w:left="133"/>
              <w:rPr>
                <w:color w:val="000000"/>
                <w:sz w:val="16"/>
                <w:szCs w:val="16"/>
                <w:lang w:val="en-GB"/>
              </w:rPr>
            </w:pPr>
            <w:r w:rsidRPr="00972B61">
              <w:rPr>
                <w:color w:val="000000"/>
                <w:sz w:val="16"/>
                <w:szCs w:val="16"/>
                <w:lang w:val="en-GB"/>
              </w:rPr>
              <w:t>Target (2026):</w:t>
            </w:r>
            <w:r w:rsidR="004C765C">
              <w:rPr>
                <w:color w:val="000000"/>
                <w:sz w:val="16"/>
                <w:szCs w:val="16"/>
                <w:lang w:val="en-GB"/>
              </w:rPr>
              <w:t xml:space="preserve"> </w:t>
            </w:r>
            <w:r w:rsidRPr="00972B61">
              <w:rPr>
                <w:color w:val="000000"/>
                <w:sz w:val="16"/>
                <w:szCs w:val="16"/>
                <w:lang w:val="en-GB"/>
              </w:rPr>
              <w:t xml:space="preserve">6 </w:t>
            </w:r>
          </w:p>
          <w:p w14:paraId="6FFA8C26" w14:textId="74D9A15A" w:rsidR="00A82813" w:rsidRPr="00972B61" w:rsidRDefault="00A82813" w:rsidP="00E40F85">
            <w:pPr>
              <w:ind w:left="133"/>
              <w:rPr>
                <w:color w:val="000000"/>
                <w:sz w:val="16"/>
                <w:szCs w:val="16"/>
                <w:lang w:val="en-GB"/>
              </w:rPr>
            </w:pPr>
            <w:r w:rsidRPr="00972B61">
              <w:rPr>
                <w:color w:val="000000"/>
                <w:sz w:val="16"/>
                <w:szCs w:val="16"/>
                <w:lang w:val="en-GB"/>
              </w:rPr>
              <w:t xml:space="preserve">Data source: Institutional </w:t>
            </w:r>
            <w:r w:rsidR="0016602A">
              <w:rPr>
                <w:color w:val="000000"/>
                <w:sz w:val="16"/>
                <w:szCs w:val="16"/>
                <w:lang w:val="en-GB"/>
              </w:rPr>
              <w:t>r</w:t>
            </w:r>
            <w:r w:rsidRPr="00972B61">
              <w:rPr>
                <w:color w:val="000000"/>
                <w:sz w:val="16"/>
                <w:szCs w:val="16"/>
                <w:lang w:val="en-GB"/>
              </w:rPr>
              <w:t xml:space="preserve">eports </w:t>
            </w:r>
          </w:p>
          <w:p w14:paraId="79DF8CCE" w14:textId="77777777" w:rsidR="00A82813" w:rsidRPr="00972B61" w:rsidRDefault="00A82813" w:rsidP="00E40F85">
            <w:pPr>
              <w:spacing w:after="60"/>
              <w:ind w:left="130"/>
              <w:rPr>
                <w:color w:val="000000"/>
                <w:sz w:val="16"/>
                <w:szCs w:val="16"/>
                <w:lang w:val="en-GB"/>
              </w:rPr>
            </w:pPr>
            <w:r w:rsidRPr="00972B61">
              <w:rPr>
                <w:color w:val="000000"/>
                <w:sz w:val="16"/>
                <w:szCs w:val="16"/>
                <w:lang w:val="en-GB"/>
              </w:rPr>
              <w:t>Frequency: Annually</w:t>
            </w:r>
          </w:p>
          <w:p w14:paraId="1029B68C" w14:textId="7387DC4E" w:rsidR="00A82813" w:rsidRPr="00972B61" w:rsidRDefault="00A82813" w:rsidP="00E40F85">
            <w:pPr>
              <w:pStyle w:val="ListParagraph"/>
              <w:numPr>
                <w:ilvl w:val="0"/>
                <w:numId w:val="28"/>
              </w:numPr>
              <w:ind w:left="133" w:hanging="141"/>
              <w:rPr>
                <w:color w:val="000000"/>
                <w:sz w:val="16"/>
                <w:szCs w:val="16"/>
                <w:lang w:val="en-GB"/>
              </w:rPr>
            </w:pPr>
            <w:r w:rsidRPr="00972B61">
              <w:rPr>
                <w:b/>
                <w:bCs/>
                <w:color w:val="000000"/>
                <w:sz w:val="16"/>
                <w:szCs w:val="16"/>
                <w:lang w:val="en-GB"/>
              </w:rPr>
              <w:t>Indicator 1.1.1.2</w:t>
            </w:r>
            <w:r w:rsidR="0016602A">
              <w:rPr>
                <w:b/>
                <w:bCs/>
                <w:color w:val="000000"/>
                <w:sz w:val="16"/>
                <w:szCs w:val="16"/>
                <w:lang w:val="en-GB"/>
              </w:rPr>
              <w:t>.</w:t>
            </w:r>
            <w:r w:rsidRPr="00972B61">
              <w:rPr>
                <w:b/>
                <w:bCs/>
                <w:color w:val="000000"/>
                <w:sz w:val="16"/>
                <w:szCs w:val="16"/>
                <w:lang w:val="en-GB"/>
              </w:rPr>
              <w:t xml:space="preserve"> </w:t>
            </w:r>
            <w:r w:rsidRPr="00972B61">
              <w:rPr>
                <w:color w:val="000000"/>
                <w:sz w:val="16"/>
                <w:szCs w:val="16"/>
                <w:lang w:val="en-GB"/>
              </w:rPr>
              <w:t xml:space="preserve">Percentage of victims of </w:t>
            </w:r>
            <w:r w:rsidR="0016602A">
              <w:rPr>
                <w:color w:val="000000"/>
                <w:sz w:val="16"/>
                <w:szCs w:val="16"/>
                <w:lang w:val="en-GB"/>
              </w:rPr>
              <w:t xml:space="preserve">gender-based violence </w:t>
            </w:r>
            <w:r w:rsidRPr="00972B61">
              <w:rPr>
                <w:color w:val="000000"/>
                <w:sz w:val="16"/>
                <w:szCs w:val="16"/>
                <w:lang w:val="en-GB"/>
              </w:rPr>
              <w:t>who access integrated care services (disaggregated by age and location).</w:t>
            </w:r>
          </w:p>
          <w:p w14:paraId="2B4CC824" w14:textId="3E1B8B01" w:rsidR="00A82813" w:rsidRPr="00972B61" w:rsidRDefault="00A82813" w:rsidP="00E40F85">
            <w:pPr>
              <w:ind w:left="133"/>
              <w:rPr>
                <w:color w:val="000000"/>
                <w:sz w:val="16"/>
                <w:szCs w:val="16"/>
                <w:lang w:val="en-GB"/>
              </w:rPr>
            </w:pPr>
            <w:r w:rsidRPr="00972B61">
              <w:rPr>
                <w:color w:val="000000"/>
                <w:sz w:val="16"/>
                <w:szCs w:val="16"/>
                <w:lang w:val="en-GB"/>
              </w:rPr>
              <w:t>Baseline (2020): 3</w:t>
            </w:r>
          </w:p>
          <w:p w14:paraId="3BA6D828" w14:textId="41B08A24" w:rsidR="00A82813" w:rsidRPr="00972B61" w:rsidRDefault="00A82813" w:rsidP="00E40F85">
            <w:pPr>
              <w:ind w:left="133"/>
              <w:rPr>
                <w:color w:val="000000"/>
                <w:sz w:val="16"/>
                <w:szCs w:val="16"/>
                <w:lang w:val="en-GB"/>
              </w:rPr>
            </w:pPr>
            <w:r w:rsidRPr="00972B61">
              <w:rPr>
                <w:color w:val="000000"/>
                <w:sz w:val="16"/>
                <w:szCs w:val="16"/>
                <w:lang w:val="en-GB"/>
              </w:rPr>
              <w:t>Target (2026):</w:t>
            </w:r>
            <w:r w:rsidR="0016602A">
              <w:rPr>
                <w:color w:val="000000"/>
                <w:sz w:val="16"/>
                <w:szCs w:val="16"/>
                <w:lang w:val="en-GB"/>
              </w:rPr>
              <w:t xml:space="preserve"> </w:t>
            </w:r>
            <w:r w:rsidRPr="00972B61">
              <w:rPr>
                <w:color w:val="000000"/>
                <w:sz w:val="16"/>
                <w:szCs w:val="16"/>
                <w:lang w:val="en-GB"/>
              </w:rPr>
              <w:t>10</w:t>
            </w:r>
          </w:p>
          <w:p w14:paraId="0ABF5086" w14:textId="77777777" w:rsidR="00A82813" w:rsidRPr="00972B61" w:rsidRDefault="00A82813" w:rsidP="00E40F85">
            <w:pPr>
              <w:ind w:left="133"/>
              <w:rPr>
                <w:color w:val="000000"/>
                <w:sz w:val="16"/>
                <w:szCs w:val="16"/>
                <w:lang w:val="en-GB"/>
              </w:rPr>
            </w:pPr>
            <w:r w:rsidRPr="00972B61">
              <w:rPr>
                <w:color w:val="000000"/>
                <w:sz w:val="16"/>
                <w:szCs w:val="16"/>
                <w:lang w:val="en-GB"/>
              </w:rPr>
              <w:t>Data source: MINT</w:t>
            </w:r>
          </w:p>
          <w:p w14:paraId="6880DDEC" w14:textId="77777777" w:rsidR="00A82813" w:rsidRPr="00972B61" w:rsidRDefault="00A82813" w:rsidP="00E40F85">
            <w:pPr>
              <w:ind w:left="131"/>
              <w:rPr>
                <w:color w:val="000000"/>
                <w:sz w:val="16"/>
                <w:szCs w:val="16"/>
                <w:lang w:val="en-GB"/>
              </w:rPr>
            </w:pPr>
            <w:r w:rsidRPr="00972B61">
              <w:rPr>
                <w:color w:val="000000"/>
                <w:sz w:val="16"/>
                <w:szCs w:val="16"/>
                <w:lang w:val="en-GB"/>
              </w:rPr>
              <w:t>Frequency: Annual</w:t>
            </w:r>
          </w:p>
        </w:tc>
        <w:tc>
          <w:tcPr>
            <w:tcW w:w="786" w:type="pct"/>
            <w:vMerge w:val="restart"/>
            <w:shd w:val="clear" w:color="auto" w:fill="auto"/>
          </w:tcPr>
          <w:p w14:paraId="2E6A481D" w14:textId="37AED54E" w:rsidR="00AE1E8F" w:rsidRPr="00972B61" w:rsidRDefault="00CC57DF" w:rsidP="00AE1E8F">
            <w:pPr>
              <w:rPr>
                <w:color w:val="000000"/>
                <w:sz w:val="16"/>
                <w:szCs w:val="16"/>
                <w:lang w:val="en-GB"/>
              </w:rPr>
            </w:pPr>
            <w:r w:rsidRPr="00505311">
              <w:rPr>
                <w:color w:val="000000"/>
                <w:sz w:val="16"/>
                <w:szCs w:val="16"/>
                <w:lang w:val="en-GB"/>
              </w:rPr>
              <w:t>Ministry of Interior</w:t>
            </w:r>
            <w:r w:rsidR="00C326AF">
              <w:rPr>
                <w:color w:val="000000"/>
                <w:sz w:val="16"/>
                <w:szCs w:val="16"/>
                <w:lang w:val="en-GB"/>
              </w:rPr>
              <w:t xml:space="preserve"> (MINT)</w:t>
            </w:r>
            <w:r w:rsidR="00322236" w:rsidRPr="00505311">
              <w:rPr>
                <w:color w:val="000000"/>
                <w:sz w:val="16"/>
                <w:szCs w:val="16"/>
                <w:lang w:val="en-GB"/>
              </w:rPr>
              <w:t>; Ministry of Justice, Constitutional and Religious Affairs</w:t>
            </w:r>
            <w:r w:rsidR="00C326AF">
              <w:rPr>
                <w:color w:val="000000"/>
                <w:sz w:val="16"/>
                <w:szCs w:val="16"/>
                <w:lang w:val="en-GB"/>
              </w:rPr>
              <w:t xml:space="preserve"> (MJCR)</w:t>
            </w:r>
            <w:r w:rsidR="00AE1E8F" w:rsidRPr="00505311">
              <w:rPr>
                <w:color w:val="000000"/>
                <w:sz w:val="16"/>
                <w:szCs w:val="16"/>
                <w:lang w:val="en-GB"/>
              </w:rPr>
              <w:t>; Ministry of Gender, Children and Social Action</w:t>
            </w:r>
            <w:r w:rsidR="00C326AF">
              <w:rPr>
                <w:color w:val="000000"/>
                <w:sz w:val="16"/>
                <w:szCs w:val="16"/>
                <w:lang w:val="en-GB"/>
              </w:rPr>
              <w:t xml:space="preserve"> (</w:t>
            </w:r>
            <w:r w:rsidR="008A1B8F">
              <w:rPr>
                <w:color w:val="000000"/>
                <w:sz w:val="16"/>
                <w:szCs w:val="16"/>
                <w:lang w:val="en-GB"/>
              </w:rPr>
              <w:t>MGCAS)</w:t>
            </w:r>
            <w:r w:rsidR="00AE1E8F" w:rsidRPr="00505311">
              <w:rPr>
                <w:color w:val="000000"/>
                <w:sz w:val="16"/>
                <w:szCs w:val="16"/>
                <w:lang w:val="en-GB"/>
              </w:rPr>
              <w:t xml:space="preserve">; </w:t>
            </w:r>
            <w:r w:rsidR="00AE1E8F">
              <w:rPr>
                <w:color w:val="000000"/>
                <w:sz w:val="16"/>
                <w:szCs w:val="16"/>
                <w:lang w:val="en-GB"/>
              </w:rPr>
              <w:t>j</w:t>
            </w:r>
            <w:r w:rsidR="00AE1E8F" w:rsidRPr="00972B61">
              <w:rPr>
                <w:color w:val="000000"/>
                <w:sz w:val="16"/>
                <w:szCs w:val="16"/>
                <w:lang w:val="en-GB"/>
              </w:rPr>
              <w:t>ustice system institutions</w:t>
            </w:r>
            <w:r w:rsidR="00DE7840">
              <w:rPr>
                <w:color w:val="000000"/>
                <w:sz w:val="16"/>
                <w:szCs w:val="16"/>
                <w:lang w:val="en-GB"/>
              </w:rPr>
              <w:t>;</w:t>
            </w:r>
            <w:r w:rsidR="005A7672">
              <w:rPr>
                <w:color w:val="000000"/>
                <w:sz w:val="16"/>
                <w:szCs w:val="16"/>
                <w:lang w:val="en-GB"/>
              </w:rPr>
              <w:t xml:space="preserve"> </w:t>
            </w:r>
            <w:r w:rsidR="005A7672" w:rsidRPr="00505311">
              <w:rPr>
                <w:color w:val="000000"/>
                <w:sz w:val="16"/>
                <w:szCs w:val="16"/>
                <w:lang w:val="en-GB"/>
              </w:rPr>
              <w:t>Ministry of Economy and Finance</w:t>
            </w:r>
            <w:r w:rsidR="008A1B8F">
              <w:rPr>
                <w:color w:val="000000"/>
                <w:sz w:val="16"/>
                <w:szCs w:val="16"/>
                <w:lang w:val="en-GB"/>
              </w:rPr>
              <w:t xml:space="preserve"> (MEF)</w:t>
            </w:r>
            <w:r w:rsidR="005A7672" w:rsidRPr="00505311">
              <w:rPr>
                <w:color w:val="000000"/>
                <w:sz w:val="16"/>
                <w:szCs w:val="16"/>
                <w:lang w:val="en-GB"/>
              </w:rPr>
              <w:t>; National Institute of Statistics</w:t>
            </w:r>
            <w:r w:rsidR="00C326AF">
              <w:rPr>
                <w:color w:val="000000"/>
                <w:sz w:val="16"/>
                <w:szCs w:val="16"/>
                <w:lang w:val="en-GB"/>
              </w:rPr>
              <w:t xml:space="preserve"> (INE)</w:t>
            </w:r>
            <w:r w:rsidR="005A7672" w:rsidRPr="00505311">
              <w:rPr>
                <w:color w:val="000000"/>
                <w:sz w:val="16"/>
                <w:szCs w:val="16"/>
                <w:lang w:val="en-GB"/>
              </w:rPr>
              <w:t xml:space="preserve">; </w:t>
            </w:r>
            <w:r w:rsidR="00B84B50" w:rsidRPr="00505311">
              <w:rPr>
                <w:color w:val="000000"/>
                <w:sz w:val="16"/>
                <w:szCs w:val="16"/>
                <w:lang w:val="en-GB"/>
              </w:rPr>
              <w:t xml:space="preserve">University Eduardo Mondlane; </w:t>
            </w:r>
            <w:r w:rsidR="0009411F" w:rsidRPr="00505311">
              <w:rPr>
                <w:color w:val="000000"/>
                <w:sz w:val="16"/>
                <w:szCs w:val="16"/>
                <w:lang w:val="en-GB"/>
              </w:rPr>
              <w:t xml:space="preserve">Attorney General's Office; </w:t>
            </w:r>
            <w:r w:rsidR="004D7C7F" w:rsidRPr="004D7C7F">
              <w:rPr>
                <w:color w:val="000000"/>
                <w:sz w:val="16"/>
                <w:szCs w:val="16"/>
                <w:lang w:val="en-GB"/>
              </w:rPr>
              <w:t>civil society organizations</w:t>
            </w:r>
            <w:r w:rsidR="0009411F">
              <w:rPr>
                <w:color w:val="000000"/>
                <w:sz w:val="16"/>
                <w:szCs w:val="16"/>
                <w:lang w:val="en-GB"/>
              </w:rPr>
              <w:t xml:space="preserve"> and think thanks</w:t>
            </w:r>
          </w:p>
          <w:p w14:paraId="774E4C4C" w14:textId="35DA7877" w:rsidR="00CC57DF" w:rsidRDefault="00CC57DF" w:rsidP="00E40F85">
            <w:pPr>
              <w:rPr>
                <w:color w:val="000000"/>
                <w:sz w:val="16"/>
                <w:szCs w:val="16"/>
                <w:lang w:val="en-GB"/>
              </w:rPr>
            </w:pPr>
          </w:p>
          <w:p w14:paraId="3E0AFA6F" w14:textId="77777777" w:rsidR="00CC57DF" w:rsidRPr="00972B61" w:rsidRDefault="00CC57DF" w:rsidP="00E40F85">
            <w:pPr>
              <w:rPr>
                <w:color w:val="000000"/>
                <w:sz w:val="16"/>
                <w:szCs w:val="16"/>
                <w:lang w:val="en-GB"/>
              </w:rPr>
            </w:pPr>
          </w:p>
          <w:p w14:paraId="2F4D9404" w14:textId="03AAAD84" w:rsidR="00A82813" w:rsidRPr="00972B61" w:rsidRDefault="002A35BB" w:rsidP="00E40F85">
            <w:pPr>
              <w:rPr>
                <w:color w:val="000000"/>
                <w:sz w:val="16"/>
                <w:szCs w:val="16"/>
                <w:lang w:val="en-GB"/>
              </w:rPr>
            </w:pPr>
            <w:r>
              <w:rPr>
                <w:color w:val="000000"/>
                <w:sz w:val="16"/>
                <w:szCs w:val="16"/>
                <w:lang w:val="en-GB"/>
              </w:rPr>
              <w:t>World Health Organization (</w:t>
            </w:r>
            <w:r w:rsidR="00A82813" w:rsidRPr="00972B61">
              <w:rPr>
                <w:color w:val="000000"/>
                <w:sz w:val="16"/>
                <w:szCs w:val="16"/>
                <w:lang w:val="en-GB"/>
              </w:rPr>
              <w:t>WHO</w:t>
            </w:r>
            <w:r>
              <w:rPr>
                <w:color w:val="000000"/>
                <w:sz w:val="16"/>
                <w:szCs w:val="16"/>
                <w:lang w:val="en-GB"/>
              </w:rPr>
              <w:t>)</w:t>
            </w:r>
            <w:r w:rsidR="00A82813" w:rsidRPr="00972B61">
              <w:rPr>
                <w:color w:val="000000"/>
                <w:sz w:val="16"/>
                <w:szCs w:val="16"/>
                <w:lang w:val="en-GB"/>
              </w:rPr>
              <w:t>, UNICEF, UNFPA</w:t>
            </w:r>
          </w:p>
          <w:p w14:paraId="4E3420D0" w14:textId="77777777" w:rsidR="00A82813" w:rsidRPr="00972B61" w:rsidRDefault="00A82813" w:rsidP="00E40F85">
            <w:pPr>
              <w:rPr>
                <w:color w:val="000000"/>
                <w:sz w:val="16"/>
                <w:szCs w:val="16"/>
                <w:lang w:val="en-GB"/>
              </w:rPr>
            </w:pPr>
          </w:p>
        </w:tc>
        <w:tc>
          <w:tcPr>
            <w:tcW w:w="600" w:type="pct"/>
            <w:vMerge w:val="restart"/>
            <w:shd w:val="clear" w:color="auto" w:fill="auto"/>
            <w:tcMar>
              <w:top w:w="15" w:type="dxa"/>
              <w:left w:w="108" w:type="dxa"/>
              <w:bottom w:w="0" w:type="dxa"/>
              <w:right w:w="108" w:type="dxa"/>
            </w:tcMar>
          </w:tcPr>
          <w:p w14:paraId="40DBB0B7" w14:textId="59099576" w:rsidR="00A82813" w:rsidRPr="00972B61" w:rsidRDefault="00A82813" w:rsidP="00E40F85">
            <w:pPr>
              <w:spacing w:after="120"/>
              <w:rPr>
                <w:color w:val="000000"/>
                <w:sz w:val="16"/>
                <w:szCs w:val="16"/>
                <w:lang w:val="en-GB"/>
              </w:rPr>
            </w:pPr>
            <w:r w:rsidRPr="00972B61">
              <w:rPr>
                <w:color w:val="000000"/>
                <w:sz w:val="16"/>
                <w:szCs w:val="16"/>
                <w:lang w:val="en-GB"/>
              </w:rPr>
              <w:t xml:space="preserve">Regular: </w:t>
            </w:r>
            <w:r w:rsidR="00B65B61" w:rsidRPr="00972B61">
              <w:rPr>
                <w:color w:val="000000"/>
                <w:sz w:val="16"/>
                <w:szCs w:val="16"/>
                <w:lang w:val="en-GB"/>
              </w:rPr>
              <w:t>$</w:t>
            </w:r>
            <w:r w:rsidR="00B65B61" w:rsidRPr="00972B61">
              <w:rPr>
                <w:color w:val="000000"/>
                <w:sz w:val="16"/>
                <w:szCs w:val="16"/>
                <w:lang w:val="en-GB" w:eastAsia="en-GB"/>
              </w:rPr>
              <w:t>9,838,929</w:t>
            </w:r>
          </w:p>
          <w:p w14:paraId="6471D181" w14:textId="6CE50FF6" w:rsidR="00A82813" w:rsidRPr="00972B61" w:rsidRDefault="00A82813" w:rsidP="00E40F85">
            <w:pPr>
              <w:rPr>
                <w:color w:val="000000"/>
                <w:sz w:val="16"/>
                <w:szCs w:val="16"/>
                <w:lang w:val="en-GB"/>
              </w:rPr>
            </w:pPr>
            <w:r w:rsidRPr="00972B61">
              <w:rPr>
                <w:color w:val="000000"/>
                <w:sz w:val="16"/>
                <w:szCs w:val="16"/>
                <w:lang w:val="en-GB"/>
              </w:rPr>
              <w:t xml:space="preserve">Other: </w:t>
            </w:r>
            <w:r w:rsidR="00574A99" w:rsidRPr="00972B61">
              <w:rPr>
                <w:color w:val="000000"/>
                <w:sz w:val="16"/>
                <w:szCs w:val="16"/>
                <w:lang w:val="en-GB"/>
              </w:rPr>
              <w:t>$47,052,898</w:t>
            </w:r>
          </w:p>
        </w:tc>
      </w:tr>
      <w:tr w:rsidR="00A82813" w:rsidRPr="00972B61" w14:paraId="43D0C517" w14:textId="77777777" w:rsidTr="00DA48C2">
        <w:tc>
          <w:tcPr>
            <w:tcW w:w="1023" w:type="pct"/>
            <w:vMerge/>
            <w:tcMar>
              <w:top w:w="72" w:type="dxa"/>
              <w:left w:w="144" w:type="dxa"/>
              <w:bottom w:w="72" w:type="dxa"/>
              <w:right w:w="144" w:type="dxa"/>
            </w:tcMar>
          </w:tcPr>
          <w:p w14:paraId="136A36A1" w14:textId="77777777" w:rsidR="00A82813" w:rsidRPr="00972B61" w:rsidRDefault="00A82813" w:rsidP="00E40F85">
            <w:pPr>
              <w:rPr>
                <w:color w:val="000000"/>
                <w:sz w:val="16"/>
                <w:szCs w:val="16"/>
                <w:lang w:val="en-GB"/>
              </w:rPr>
            </w:pPr>
          </w:p>
        </w:tc>
        <w:tc>
          <w:tcPr>
            <w:tcW w:w="996" w:type="pct"/>
            <w:vMerge/>
          </w:tcPr>
          <w:p w14:paraId="6CBE873E" w14:textId="77777777" w:rsidR="00A82813" w:rsidRPr="00972B61" w:rsidRDefault="00A82813" w:rsidP="00E40F85">
            <w:pPr>
              <w:rPr>
                <w:color w:val="000000"/>
                <w:sz w:val="16"/>
                <w:szCs w:val="16"/>
                <w:lang w:val="en-GB"/>
              </w:rPr>
            </w:pPr>
          </w:p>
        </w:tc>
        <w:tc>
          <w:tcPr>
            <w:tcW w:w="1595" w:type="pct"/>
            <w:shd w:val="clear" w:color="auto" w:fill="auto"/>
            <w:tcMar>
              <w:top w:w="72" w:type="dxa"/>
              <w:left w:w="144" w:type="dxa"/>
              <w:bottom w:w="72" w:type="dxa"/>
              <w:right w:w="144" w:type="dxa"/>
            </w:tcMar>
          </w:tcPr>
          <w:p w14:paraId="64573DAC" w14:textId="6D206635" w:rsidR="00A82813" w:rsidRPr="00972B61" w:rsidRDefault="00A82813" w:rsidP="00E40F85">
            <w:pPr>
              <w:spacing w:after="60"/>
              <w:jc w:val="both"/>
              <w:rPr>
                <w:rStyle w:val="normaltextrun"/>
                <w:rFonts w:cstheme="minorHAnsi"/>
                <w:color w:val="000000" w:themeColor="text1"/>
                <w:sz w:val="16"/>
                <w:szCs w:val="16"/>
                <w:lang w:val="en-GB"/>
              </w:rPr>
            </w:pPr>
            <w:r w:rsidRPr="00972B61">
              <w:rPr>
                <w:b/>
                <w:bCs/>
                <w:color w:val="000000" w:themeColor="text1"/>
                <w:sz w:val="16"/>
                <w:szCs w:val="16"/>
                <w:lang w:val="en-GB"/>
              </w:rPr>
              <w:t>Output 1.1.2</w:t>
            </w:r>
            <w:r w:rsidR="0016602A">
              <w:rPr>
                <w:b/>
                <w:bCs/>
                <w:color w:val="000000" w:themeColor="text1"/>
                <w:sz w:val="16"/>
                <w:szCs w:val="16"/>
                <w:lang w:val="en-GB"/>
              </w:rPr>
              <w:t>.</w:t>
            </w:r>
            <w:r w:rsidRPr="00972B61">
              <w:rPr>
                <w:b/>
                <w:bCs/>
                <w:color w:val="000000" w:themeColor="text1"/>
                <w:sz w:val="16"/>
                <w:szCs w:val="16"/>
                <w:lang w:val="en-GB"/>
              </w:rPr>
              <w:t xml:space="preserve"> </w:t>
            </w:r>
            <w:r w:rsidRPr="00972B61">
              <w:rPr>
                <w:b/>
                <w:bCs/>
                <w:sz w:val="16"/>
                <w:szCs w:val="16"/>
                <w:lang w:val="en-GB"/>
              </w:rPr>
              <w:t>Equitable, resilient and sustainable systems for health and pandemic preparedness strengthened to address communicable and non-communicable diseases.</w:t>
            </w:r>
          </w:p>
          <w:p w14:paraId="01E5DBE9" w14:textId="23DB729F" w:rsidR="00A82813" w:rsidRPr="00972B61" w:rsidRDefault="00A82813" w:rsidP="00E40F85">
            <w:pPr>
              <w:pStyle w:val="ListParagraph"/>
              <w:numPr>
                <w:ilvl w:val="0"/>
                <w:numId w:val="27"/>
              </w:numPr>
              <w:ind w:left="136" w:hanging="142"/>
              <w:rPr>
                <w:rFonts w:cstheme="minorHAnsi"/>
                <w:bCs/>
                <w:color w:val="000000" w:themeColor="text1"/>
                <w:sz w:val="16"/>
                <w:szCs w:val="16"/>
                <w:lang w:val="en-GB"/>
              </w:rPr>
            </w:pPr>
            <w:r w:rsidRPr="00972B61">
              <w:rPr>
                <w:rStyle w:val="normaltextrun"/>
                <w:rFonts w:cstheme="minorHAnsi"/>
                <w:b/>
                <w:color w:val="000000" w:themeColor="text1"/>
                <w:sz w:val="16"/>
                <w:szCs w:val="16"/>
                <w:lang w:val="en-GB"/>
              </w:rPr>
              <w:t>Indicator 1.1.2.1</w:t>
            </w:r>
            <w:r w:rsidR="0016602A">
              <w:rPr>
                <w:rStyle w:val="normaltextrun"/>
                <w:rFonts w:cstheme="minorHAnsi"/>
                <w:b/>
                <w:color w:val="000000" w:themeColor="text1"/>
                <w:sz w:val="16"/>
                <w:szCs w:val="16"/>
                <w:lang w:val="en-GB"/>
              </w:rPr>
              <w:t>.</w:t>
            </w:r>
            <w:r w:rsidRPr="00972B61">
              <w:rPr>
                <w:rStyle w:val="normaltextrun"/>
                <w:color w:val="000000" w:themeColor="text1"/>
                <w:sz w:val="16"/>
                <w:szCs w:val="16"/>
                <w:lang w:val="en-GB"/>
              </w:rPr>
              <w:t xml:space="preserve"> </w:t>
            </w:r>
            <w:r w:rsidRPr="00972B61">
              <w:rPr>
                <w:rFonts w:cstheme="minorHAnsi"/>
                <w:bCs/>
                <w:color w:val="000000" w:themeColor="text1"/>
                <w:sz w:val="16"/>
                <w:szCs w:val="16"/>
                <w:lang w:val="en-GB"/>
              </w:rPr>
              <w:t>N</w:t>
            </w:r>
            <w:r w:rsidR="0016602A">
              <w:rPr>
                <w:rFonts w:cstheme="minorHAnsi"/>
                <w:bCs/>
                <w:color w:val="000000" w:themeColor="text1"/>
                <w:sz w:val="16"/>
                <w:szCs w:val="16"/>
                <w:lang w:val="en-GB"/>
              </w:rPr>
              <w:t>umber</w:t>
            </w:r>
            <w:r w:rsidRPr="00972B61">
              <w:rPr>
                <w:rFonts w:cstheme="minorHAnsi"/>
                <w:bCs/>
                <w:color w:val="000000" w:themeColor="text1"/>
                <w:sz w:val="16"/>
                <w:szCs w:val="16"/>
                <w:lang w:val="en-GB"/>
              </w:rPr>
              <w:t xml:space="preserve"> of </w:t>
            </w:r>
            <w:r w:rsidR="00CF3556" w:rsidRPr="00972B61">
              <w:rPr>
                <w:rFonts w:cstheme="minorHAnsi"/>
                <w:bCs/>
                <w:color w:val="000000" w:themeColor="text1"/>
                <w:sz w:val="16"/>
                <w:szCs w:val="16"/>
                <w:lang w:val="en-GB"/>
              </w:rPr>
              <w:t xml:space="preserve">resilient </w:t>
            </w:r>
            <w:r w:rsidR="00B9316A" w:rsidRPr="00972B61">
              <w:rPr>
                <w:rFonts w:cstheme="minorHAnsi"/>
                <w:bCs/>
                <w:color w:val="000000" w:themeColor="text1"/>
                <w:sz w:val="16"/>
                <w:szCs w:val="16"/>
                <w:lang w:val="en-GB"/>
              </w:rPr>
              <w:t>and adequately equipped MISAU</w:t>
            </w:r>
            <w:r w:rsidR="00505311">
              <w:rPr>
                <w:rFonts w:cstheme="minorHAnsi"/>
                <w:bCs/>
                <w:color w:val="000000" w:themeColor="text1"/>
                <w:sz w:val="16"/>
                <w:szCs w:val="16"/>
                <w:lang w:val="en-GB"/>
              </w:rPr>
              <w:t xml:space="preserve"> </w:t>
            </w:r>
            <w:r w:rsidRPr="00972B61">
              <w:rPr>
                <w:rFonts w:cstheme="minorHAnsi"/>
                <w:bCs/>
                <w:color w:val="000000" w:themeColor="text1"/>
                <w:sz w:val="16"/>
                <w:szCs w:val="16"/>
                <w:lang w:val="en-GB"/>
              </w:rPr>
              <w:t xml:space="preserve">warehouses </w:t>
            </w:r>
            <w:r w:rsidR="00B9316A" w:rsidRPr="00972B61">
              <w:rPr>
                <w:rFonts w:cstheme="minorHAnsi"/>
                <w:bCs/>
                <w:color w:val="000000" w:themeColor="text1"/>
                <w:sz w:val="16"/>
                <w:szCs w:val="16"/>
                <w:lang w:val="en-GB"/>
              </w:rPr>
              <w:t xml:space="preserve">with systems that </w:t>
            </w:r>
            <w:r w:rsidR="00CF3556" w:rsidRPr="00972B61">
              <w:rPr>
                <w:rFonts w:cstheme="minorHAnsi"/>
                <w:bCs/>
                <w:color w:val="000000" w:themeColor="text1"/>
                <w:sz w:val="16"/>
                <w:szCs w:val="16"/>
                <w:lang w:val="en-GB"/>
              </w:rPr>
              <w:t xml:space="preserve">ensure </w:t>
            </w:r>
            <w:r w:rsidR="00B9316A" w:rsidRPr="00972B61">
              <w:rPr>
                <w:rFonts w:cstheme="minorHAnsi"/>
                <w:bCs/>
                <w:color w:val="000000" w:themeColor="text1"/>
                <w:sz w:val="16"/>
                <w:szCs w:val="16"/>
                <w:lang w:val="en-GB"/>
              </w:rPr>
              <w:t>equitable</w:t>
            </w:r>
            <w:r w:rsidR="004C765C">
              <w:rPr>
                <w:rFonts w:cstheme="minorHAnsi"/>
                <w:bCs/>
                <w:color w:val="000000" w:themeColor="text1"/>
                <w:sz w:val="16"/>
                <w:szCs w:val="16"/>
                <w:lang w:val="en-GB"/>
              </w:rPr>
              <w:t xml:space="preserve"> </w:t>
            </w:r>
            <w:r w:rsidR="00CF3556" w:rsidRPr="00972B61">
              <w:rPr>
                <w:rFonts w:cstheme="minorHAnsi"/>
                <w:bCs/>
                <w:color w:val="000000" w:themeColor="text1"/>
                <w:sz w:val="16"/>
                <w:szCs w:val="16"/>
                <w:lang w:val="en-GB"/>
              </w:rPr>
              <w:t xml:space="preserve">access to </w:t>
            </w:r>
            <w:r w:rsidR="00B9316A" w:rsidRPr="00972B61">
              <w:rPr>
                <w:rFonts w:cstheme="minorHAnsi"/>
                <w:bCs/>
                <w:color w:val="000000" w:themeColor="text1"/>
                <w:sz w:val="16"/>
                <w:szCs w:val="16"/>
                <w:lang w:val="en-GB"/>
              </w:rPr>
              <w:t xml:space="preserve">medical </w:t>
            </w:r>
            <w:r w:rsidR="00CF3556" w:rsidRPr="00972B61">
              <w:rPr>
                <w:rFonts w:cstheme="minorHAnsi"/>
                <w:bCs/>
                <w:color w:val="000000" w:themeColor="text1"/>
                <w:sz w:val="16"/>
                <w:szCs w:val="16"/>
                <w:lang w:val="en-GB"/>
              </w:rPr>
              <w:t>supplies</w:t>
            </w:r>
            <w:r w:rsidR="00B9316A" w:rsidRPr="00972B61">
              <w:rPr>
                <w:rFonts w:cstheme="minorHAnsi"/>
                <w:bCs/>
                <w:color w:val="000000" w:themeColor="text1"/>
                <w:sz w:val="16"/>
                <w:szCs w:val="16"/>
                <w:lang w:val="en-GB"/>
              </w:rPr>
              <w:t>.</w:t>
            </w:r>
          </w:p>
          <w:p w14:paraId="6A3226C0" w14:textId="5BA385F8" w:rsidR="00A82813" w:rsidRPr="00972B61" w:rsidRDefault="00A82813" w:rsidP="00E40F85">
            <w:pPr>
              <w:ind w:left="279" w:hanging="141"/>
              <w:rPr>
                <w:bCs/>
                <w:color w:val="000000" w:themeColor="text1"/>
                <w:sz w:val="16"/>
                <w:szCs w:val="16"/>
                <w:lang w:val="en-GB"/>
              </w:rPr>
            </w:pPr>
            <w:r w:rsidRPr="00972B61">
              <w:rPr>
                <w:bCs/>
                <w:color w:val="000000" w:themeColor="text1"/>
                <w:sz w:val="16"/>
                <w:szCs w:val="16"/>
                <w:lang w:val="en-GB"/>
              </w:rPr>
              <w:t>Baseline (2020):</w:t>
            </w:r>
            <w:r w:rsidRPr="00972B61">
              <w:rPr>
                <w:bCs/>
                <w:sz w:val="16"/>
                <w:szCs w:val="16"/>
                <w:lang w:val="en-GB"/>
              </w:rPr>
              <w:t xml:space="preserve"> </w:t>
            </w:r>
            <w:r w:rsidRPr="00972B61">
              <w:rPr>
                <w:bCs/>
                <w:color w:val="000000" w:themeColor="text1"/>
                <w:sz w:val="16"/>
                <w:szCs w:val="16"/>
                <w:lang w:val="en-GB"/>
              </w:rPr>
              <w:t>1</w:t>
            </w:r>
          </w:p>
          <w:p w14:paraId="21057AEE" w14:textId="34C9047F" w:rsidR="00A82813" w:rsidRPr="00972B61" w:rsidRDefault="00A82813" w:rsidP="00E40F85">
            <w:pPr>
              <w:ind w:left="279" w:hanging="141"/>
              <w:rPr>
                <w:rStyle w:val="normaltextrun"/>
                <w:rFonts w:cstheme="minorHAnsi"/>
                <w:color w:val="000000" w:themeColor="text1"/>
                <w:sz w:val="16"/>
                <w:szCs w:val="16"/>
                <w:lang w:val="en-GB"/>
              </w:rPr>
            </w:pPr>
            <w:r w:rsidRPr="00972B61">
              <w:rPr>
                <w:rStyle w:val="normaltextrun"/>
                <w:rFonts w:cstheme="minorHAnsi"/>
                <w:color w:val="000000" w:themeColor="text1"/>
                <w:sz w:val="16"/>
                <w:szCs w:val="16"/>
                <w:lang w:val="en-GB"/>
              </w:rPr>
              <w:t>Target (2024):</w:t>
            </w:r>
            <w:r w:rsidR="004C765C">
              <w:rPr>
                <w:rStyle w:val="normaltextrun"/>
                <w:rFonts w:cstheme="minorHAnsi"/>
                <w:color w:val="000000" w:themeColor="text1"/>
                <w:sz w:val="16"/>
                <w:szCs w:val="16"/>
                <w:lang w:val="en-GB"/>
              </w:rPr>
              <w:t xml:space="preserve"> </w:t>
            </w:r>
            <w:r w:rsidRPr="00972B61">
              <w:rPr>
                <w:rStyle w:val="normaltextrun"/>
                <w:rFonts w:cstheme="minorHAnsi"/>
                <w:color w:val="000000" w:themeColor="text1"/>
                <w:sz w:val="16"/>
                <w:szCs w:val="16"/>
                <w:lang w:val="en-GB"/>
              </w:rPr>
              <w:t>2</w:t>
            </w:r>
          </w:p>
          <w:p w14:paraId="6A49CB82" w14:textId="1EFCB8AD" w:rsidR="00A82813" w:rsidRPr="00972B61" w:rsidRDefault="00A82813" w:rsidP="00E40F85">
            <w:pPr>
              <w:ind w:left="137"/>
              <w:rPr>
                <w:rStyle w:val="normaltextrun"/>
                <w:rFonts w:cstheme="minorHAnsi"/>
                <w:color w:val="000000" w:themeColor="text1"/>
                <w:sz w:val="16"/>
                <w:szCs w:val="16"/>
                <w:lang w:val="en-GB"/>
              </w:rPr>
            </w:pPr>
            <w:r w:rsidRPr="00972B61">
              <w:rPr>
                <w:rStyle w:val="normaltextrun"/>
                <w:rFonts w:cstheme="minorHAnsi"/>
                <w:color w:val="000000" w:themeColor="text1"/>
                <w:sz w:val="16"/>
                <w:szCs w:val="16"/>
                <w:lang w:val="en-GB"/>
              </w:rPr>
              <w:t xml:space="preserve">Data </w:t>
            </w:r>
            <w:r w:rsidR="0016602A">
              <w:rPr>
                <w:rStyle w:val="normaltextrun"/>
                <w:rFonts w:cstheme="minorHAnsi"/>
                <w:color w:val="000000" w:themeColor="text1"/>
                <w:sz w:val="16"/>
                <w:szCs w:val="16"/>
                <w:lang w:val="en-GB"/>
              </w:rPr>
              <w:t>s</w:t>
            </w:r>
            <w:r w:rsidRPr="00972B61">
              <w:rPr>
                <w:rStyle w:val="normaltextrun"/>
                <w:rFonts w:cstheme="minorHAnsi"/>
                <w:color w:val="000000" w:themeColor="text1"/>
                <w:sz w:val="16"/>
                <w:szCs w:val="16"/>
                <w:lang w:val="en-GB"/>
              </w:rPr>
              <w:t xml:space="preserve">ource: MISAU </w:t>
            </w:r>
          </w:p>
          <w:p w14:paraId="2C112C45" w14:textId="77777777" w:rsidR="00A82813" w:rsidRPr="00972B61" w:rsidRDefault="00A82813" w:rsidP="00E40F85">
            <w:pPr>
              <w:spacing w:after="60"/>
              <w:ind w:left="278" w:hanging="142"/>
              <w:rPr>
                <w:sz w:val="16"/>
                <w:szCs w:val="16"/>
                <w:lang w:val="en-GB"/>
              </w:rPr>
            </w:pPr>
            <w:r w:rsidRPr="00972B61">
              <w:rPr>
                <w:rStyle w:val="normaltextrun"/>
                <w:rFonts w:cstheme="minorHAnsi"/>
                <w:color w:val="000000" w:themeColor="text1"/>
                <w:sz w:val="16"/>
                <w:szCs w:val="16"/>
                <w:lang w:val="en-GB"/>
              </w:rPr>
              <w:t xml:space="preserve">Frequency: </w:t>
            </w:r>
            <w:r w:rsidRPr="00972B61">
              <w:rPr>
                <w:sz w:val="16"/>
                <w:szCs w:val="16"/>
                <w:lang w:val="en-GB"/>
              </w:rPr>
              <w:t>Annual</w:t>
            </w:r>
          </w:p>
          <w:p w14:paraId="29DC1814" w14:textId="7395BBB9" w:rsidR="00A82813" w:rsidRPr="00972B61" w:rsidRDefault="00A82813" w:rsidP="00E40F85">
            <w:pPr>
              <w:pStyle w:val="ListParagraph"/>
              <w:numPr>
                <w:ilvl w:val="0"/>
                <w:numId w:val="27"/>
              </w:numPr>
              <w:ind w:left="136" w:hanging="142"/>
              <w:jc w:val="both"/>
              <w:rPr>
                <w:rFonts w:cs="Arial"/>
                <w:color w:val="000000" w:themeColor="text1"/>
                <w:sz w:val="16"/>
                <w:szCs w:val="16"/>
                <w:lang w:val="en-GB"/>
              </w:rPr>
            </w:pPr>
            <w:r w:rsidRPr="00972B61">
              <w:rPr>
                <w:rFonts w:cstheme="minorHAnsi"/>
                <w:b/>
                <w:bCs/>
                <w:color w:val="000000" w:themeColor="text1"/>
                <w:sz w:val="16"/>
                <w:szCs w:val="16"/>
                <w:lang w:val="en-GB"/>
              </w:rPr>
              <w:t>Indicator 1.1.2.2</w:t>
            </w:r>
            <w:r w:rsidR="0016602A">
              <w:rPr>
                <w:rFonts w:cstheme="minorHAnsi"/>
                <w:b/>
                <w:bCs/>
                <w:color w:val="000000" w:themeColor="text1"/>
                <w:sz w:val="16"/>
                <w:szCs w:val="16"/>
                <w:lang w:val="en-GB"/>
              </w:rPr>
              <w:t>.</w:t>
            </w:r>
            <w:r w:rsidRPr="00972B61">
              <w:rPr>
                <w:rFonts w:cstheme="minorHAnsi"/>
                <w:color w:val="000000" w:themeColor="text1"/>
                <w:sz w:val="16"/>
                <w:szCs w:val="16"/>
                <w:lang w:val="en-GB"/>
              </w:rPr>
              <w:t xml:space="preserve"> Increase in </w:t>
            </w:r>
            <w:r w:rsidR="00B9316A" w:rsidRPr="00972B61">
              <w:rPr>
                <w:rFonts w:cstheme="minorHAnsi"/>
                <w:color w:val="000000" w:themeColor="text1"/>
                <w:sz w:val="16"/>
                <w:szCs w:val="16"/>
                <w:lang w:val="en-GB"/>
              </w:rPr>
              <w:t xml:space="preserve">resilient </w:t>
            </w:r>
            <w:r w:rsidRPr="00972B61">
              <w:rPr>
                <w:rFonts w:cstheme="minorHAnsi"/>
                <w:color w:val="000000" w:themeColor="text1"/>
                <w:sz w:val="16"/>
                <w:szCs w:val="16"/>
                <w:lang w:val="en-GB"/>
              </w:rPr>
              <w:t>public health laboratory testing capacity in selected provinces.</w:t>
            </w:r>
          </w:p>
          <w:p w14:paraId="7B9475E7" w14:textId="77777777" w:rsidR="00A82813" w:rsidRPr="00972B61" w:rsidRDefault="00A82813" w:rsidP="00E40F85">
            <w:pPr>
              <w:pStyle w:val="ListParagraph"/>
              <w:ind w:left="137"/>
              <w:jc w:val="both"/>
              <w:rPr>
                <w:rFonts w:cs="Arial"/>
                <w:color w:val="000000" w:themeColor="text1"/>
                <w:sz w:val="16"/>
                <w:szCs w:val="16"/>
                <w:lang w:val="en-GB"/>
              </w:rPr>
            </w:pPr>
            <w:r w:rsidRPr="00972B61">
              <w:rPr>
                <w:rFonts w:cs="Arial"/>
                <w:color w:val="000000" w:themeColor="text1"/>
                <w:sz w:val="16"/>
                <w:szCs w:val="16"/>
                <w:lang w:val="en-GB"/>
              </w:rPr>
              <w:t xml:space="preserve">Baseline: (2020) 1 </w:t>
            </w:r>
          </w:p>
          <w:p w14:paraId="097C196E" w14:textId="0CB393DB" w:rsidR="00A82813" w:rsidRPr="00972B61" w:rsidRDefault="00A82813" w:rsidP="00E40F85">
            <w:pPr>
              <w:pStyle w:val="ListParagraph"/>
              <w:ind w:left="137"/>
              <w:jc w:val="both"/>
              <w:rPr>
                <w:rFonts w:cstheme="minorHAnsi"/>
                <w:color w:val="000000" w:themeColor="text1"/>
                <w:sz w:val="16"/>
                <w:szCs w:val="16"/>
                <w:lang w:val="en-GB"/>
              </w:rPr>
            </w:pPr>
            <w:r w:rsidRPr="00972B61">
              <w:rPr>
                <w:rFonts w:cstheme="minorHAnsi"/>
                <w:color w:val="000000" w:themeColor="text1"/>
                <w:sz w:val="16"/>
                <w:szCs w:val="16"/>
                <w:lang w:val="en-GB"/>
              </w:rPr>
              <w:t>Target: (2006) 8</w:t>
            </w:r>
          </w:p>
          <w:p w14:paraId="78E843D6" w14:textId="54ED0CF9" w:rsidR="00A82813" w:rsidRPr="00972B61" w:rsidRDefault="00A82813" w:rsidP="00E40F85">
            <w:pPr>
              <w:ind w:left="137"/>
              <w:rPr>
                <w:rStyle w:val="normaltextrun"/>
                <w:rFonts w:cstheme="minorHAnsi"/>
                <w:color w:val="000000" w:themeColor="text1"/>
                <w:sz w:val="16"/>
                <w:szCs w:val="16"/>
                <w:lang w:val="en-GB"/>
              </w:rPr>
            </w:pPr>
            <w:r w:rsidRPr="00972B61">
              <w:rPr>
                <w:rStyle w:val="normaltextrun"/>
                <w:rFonts w:cstheme="minorHAnsi"/>
                <w:color w:val="000000" w:themeColor="text1"/>
                <w:sz w:val="16"/>
                <w:szCs w:val="16"/>
                <w:lang w:val="en-GB"/>
              </w:rPr>
              <w:t xml:space="preserve">Data </w:t>
            </w:r>
            <w:r w:rsidR="0016602A">
              <w:rPr>
                <w:rStyle w:val="normaltextrun"/>
                <w:rFonts w:cstheme="minorHAnsi"/>
                <w:color w:val="000000" w:themeColor="text1"/>
                <w:sz w:val="16"/>
                <w:szCs w:val="16"/>
                <w:lang w:val="en-GB"/>
              </w:rPr>
              <w:t>s</w:t>
            </w:r>
            <w:r w:rsidRPr="00972B61">
              <w:rPr>
                <w:rStyle w:val="normaltextrun"/>
                <w:rFonts w:cstheme="minorHAnsi"/>
                <w:color w:val="000000" w:themeColor="text1"/>
                <w:sz w:val="16"/>
                <w:szCs w:val="16"/>
                <w:lang w:val="en-GB"/>
              </w:rPr>
              <w:t xml:space="preserve">ource: MISAU </w:t>
            </w:r>
          </w:p>
          <w:p w14:paraId="37036278" w14:textId="1BB9FB7B" w:rsidR="00A82813" w:rsidRPr="00972B61" w:rsidRDefault="00A82813" w:rsidP="00E40F85">
            <w:pPr>
              <w:rPr>
                <w:sz w:val="16"/>
                <w:szCs w:val="16"/>
                <w:lang w:val="en-GB"/>
              </w:rPr>
            </w:pPr>
            <w:r w:rsidRPr="00972B61">
              <w:rPr>
                <w:rStyle w:val="normaltextrun"/>
                <w:rFonts w:cstheme="minorHAnsi"/>
                <w:color w:val="000000" w:themeColor="text1"/>
                <w:sz w:val="16"/>
                <w:szCs w:val="16"/>
                <w:lang w:val="en-GB"/>
              </w:rPr>
              <w:t xml:space="preserve"> </w:t>
            </w:r>
            <w:r w:rsidRPr="00972B61">
              <w:rPr>
                <w:rStyle w:val="normaltextrun"/>
                <w:rFonts w:cstheme="minorHAnsi"/>
                <w:color w:val="000000" w:themeColor="text1"/>
                <w:lang w:val="en-GB"/>
              </w:rPr>
              <w:t xml:space="preserve">  </w:t>
            </w:r>
            <w:r w:rsidRPr="00972B61">
              <w:rPr>
                <w:rStyle w:val="normaltextrun"/>
                <w:rFonts w:cstheme="minorHAnsi"/>
                <w:color w:val="000000" w:themeColor="text1"/>
                <w:sz w:val="16"/>
                <w:szCs w:val="16"/>
                <w:lang w:val="en-GB"/>
              </w:rPr>
              <w:t xml:space="preserve">Frequency: </w:t>
            </w:r>
            <w:r w:rsidRPr="00972B61">
              <w:rPr>
                <w:sz w:val="16"/>
                <w:szCs w:val="16"/>
                <w:lang w:val="en-GB"/>
              </w:rPr>
              <w:t>Annual</w:t>
            </w:r>
          </w:p>
        </w:tc>
        <w:tc>
          <w:tcPr>
            <w:tcW w:w="786" w:type="pct"/>
            <w:vMerge/>
          </w:tcPr>
          <w:p w14:paraId="17E55609" w14:textId="77777777" w:rsidR="00A82813" w:rsidRPr="00972B61" w:rsidRDefault="00A82813" w:rsidP="00E40F85">
            <w:pPr>
              <w:rPr>
                <w:color w:val="000000"/>
                <w:sz w:val="16"/>
                <w:szCs w:val="16"/>
                <w:lang w:val="en-GB"/>
              </w:rPr>
            </w:pPr>
          </w:p>
        </w:tc>
        <w:tc>
          <w:tcPr>
            <w:tcW w:w="600" w:type="pct"/>
            <w:vMerge/>
            <w:tcMar>
              <w:top w:w="15" w:type="dxa"/>
              <w:left w:w="108" w:type="dxa"/>
              <w:bottom w:w="0" w:type="dxa"/>
              <w:right w:w="108" w:type="dxa"/>
            </w:tcMar>
          </w:tcPr>
          <w:p w14:paraId="542252D6" w14:textId="77777777" w:rsidR="00A82813" w:rsidRPr="00972B61" w:rsidRDefault="00A82813" w:rsidP="00E40F85">
            <w:pPr>
              <w:rPr>
                <w:b/>
                <w:color w:val="000000"/>
                <w:sz w:val="16"/>
                <w:szCs w:val="16"/>
                <w:lang w:val="en-GB"/>
              </w:rPr>
            </w:pPr>
          </w:p>
        </w:tc>
      </w:tr>
      <w:tr w:rsidR="00A82813" w:rsidRPr="00972B61" w14:paraId="76B14A02" w14:textId="77777777" w:rsidTr="00DA48C2">
        <w:tc>
          <w:tcPr>
            <w:tcW w:w="1023" w:type="pct"/>
            <w:tcMar>
              <w:top w:w="72" w:type="dxa"/>
              <w:left w:w="144" w:type="dxa"/>
              <w:bottom w:w="72" w:type="dxa"/>
              <w:right w:w="144" w:type="dxa"/>
            </w:tcMar>
          </w:tcPr>
          <w:p w14:paraId="3B25EC08" w14:textId="77777777" w:rsidR="00A82813" w:rsidRPr="00972B61" w:rsidRDefault="00A82813" w:rsidP="00E40F85">
            <w:pPr>
              <w:rPr>
                <w:color w:val="000000"/>
                <w:sz w:val="16"/>
                <w:szCs w:val="16"/>
                <w:lang w:val="en-GB"/>
              </w:rPr>
            </w:pPr>
          </w:p>
        </w:tc>
        <w:tc>
          <w:tcPr>
            <w:tcW w:w="996" w:type="pct"/>
          </w:tcPr>
          <w:p w14:paraId="38DCBF3B" w14:textId="77777777" w:rsidR="00A82813" w:rsidRPr="00972B61" w:rsidRDefault="00A82813" w:rsidP="00E40F85">
            <w:pPr>
              <w:rPr>
                <w:color w:val="000000"/>
                <w:sz w:val="16"/>
                <w:szCs w:val="16"/>
                <w:lang w:val="en-GB"/>
              </w:rPr>
            </w:pPr>
          </w:p>
        </w:tc>
        <w:tc>
          <w:tcPr>
            <w:tcW w:w="1595" w:type="pct"/>
            <w:shd w:val="clear" w:color="auto" w:fill="auto"/>
            <w:tcMar>
              <w:top w:w="72" w:type="dxa"/>
              <w:left w:w="144" w:type="dxa"/>
              <w:bottom w:w="72" w:type="dxa"/>
              <w:right w:w="144" w:type="dxa"/>
            </w:tcMar>
          </w:tcPr>
          <w:p w14:paraId="07A1097D" w14:textId="0F219564" w:rsidR="00A82813" w:rsidRPr="00972B61" w:rsidRDefault="00A82813" w:rsidP="00C9415A">
            <w:pPr>
              <w:spacing w:after="120"/>
              <w:rPr>
                <w:b/>
                <w:bCs/>
                <w:color w:val="000000" w:themeColor="text1"/>
                <w:sz w:val="16"/>
                <w:szCs w:val="16"/>
                <w:lang w:val="en-GB"/>
              </w:rPr>
            </w:pPr>
            <w:r w:rsidRPr="00972B61">
              <w:rPr>
                <w:b/>
                <w:bCs/>
                <w:color w:val="000000" w:themeColor="text1"/>
                <w:sz w:val="16"/>
                <w:szCs w:val="16"/>
                <w:lang w:val="en-GB"/>
              </w:rPr>
              <w:t>Output 1.1.3</w:t>
            </w:r>
            <w:r w:rsidR="0016602A">
              <w:rPr>
                <w:b/>
                <w:bCs/>
                <w:color w:val="000000" w:themeColor="text1"/>
                <w:sz w:val="16"/>
                <w:szCs w:val="16"/>
                <w:lang w:val="en-GB"/>
              </w:rPr>
              <w:t>.</w:t>
            </w:r>
            <w:r w:rsidRPr="00972B61">
              <w:rPr>
                <w:b/>
                <w:bCs/>
                <w:color w:val="000000" w:themeColor="text1"/>
                <w:sz w:val="16"/>
                <w:szCs w:val="16"/>
                <w:lang w:val="en-GB"/>
              </w:rPr>
              <w:t xml:space="preserve"> Whole-of-government approaches that provide solutions to Mozambique’s main human development challenges strengthened.</w:t>
            </w:r>
          </w:p>
          <w:p w14:paraId="47F5A5B9" w14:textId="03864C1E" w:rsidR="00A82813" w:rsidRPr="00972B61" w:rsidRDefault="00A82813" w:rsidP="00C9415A">
            <w:pPr>
              <w:spacing w:after="60"/>
              <w:ind w:left="61"/>
              <w:jc w:val="both"/>
              <w:rPr>
                <w:rFonts w:cs="Arial"/>
                <w:color w:val="000000" w:themeColor="text1"/>
                <w:sz w:val="16"/>
                <w:szCs w:val="16"/>
                <w:lang w:val="en-GB"/>
              </w:rPr>
            </w:pPr>
            <w:r w:rsidRPr="00972B61">
              <w:rPr>
                <w:rFonts w:cstheme="minorHAnsi"/>
                <w:b/>
                <w:bCs/>
                <w:color w:val="000000" w:themeColor="text1"/>
                <w:sz w:val="16"/>
                <w:szCs w:val="16"/>
                <w:lang w:val="en-GB"/>
              </w:rPr>
              <w:t>Indicator 1.1.3.1</w:t>
            </w:r>
            <w:r w:rsidR="0016602A">
              <w:rPr>
                <w:rFonts w:cstheme="minorHAnsi"/>
                <w:b/>
                <w:bCs/>
                <w:color w:val="000000" w:themeColor="text1"/>
                <w:sz w:val="16"/>
                <w:szCs w:val="16"/>
                <w:lang w:val="en-GB"/>
              </w:rPr>
              <w:t>.</w:t>
            </w:r>
            <w:r w:rsidRPr="00972B61">
              <w:rPr>
                <w:rFonts w:cstheme="minorHAnsi"/>
                <w:b/>
                <w:bCs/>
                <w:color w:val="000000" w:themeColor="text1"/>
                <w:sz w:val="16"/>
                <w:szCs w:val="16"/>
                <w:lang w:val="en-GB"/>
              </w:rPr>
              <w:t xml:space="preserve"> </w:t>
            </w:r>
            <w:r w:rsidRPr="00972B61">
              <w:rPr>
                <w:rFonts w:cstheme="minorHAnsi"/>
                <w:color w:val="000000" w:themeColor="text1"/>
                <w:sz w:val="16"/>
                <w:szCs w:val="16"/>
                <w:lang w:val="en-GB"/>
              </w:rPr>
              <w:t>N</w:t>
            </w:r>
            <w:r w:rsidR="0016602A">
              <w:rPr>
                <w:rFonts w:cstheme="minorHAnsi"/>
                <w:color w:val="000000" w:themeColor="text1"/>
                <w:sz w:val="16"/>
                <w:szCs w:val="16"/>
                <w:lang w:val="en-GB"/>
              </w:rPr>
              <w:t>umber</w:t>
            </w:r>
            <w:r w:rsidRPr="00972B61">
              <w:rPr>
                <w:rFonts w:cstheme="minorHAnsi"/>
                <w:color w:val="000000" w:themeColor="text1"/>
                <w:sz w:val="16"/>
                <w:szCs w:val="16"/>
                <w:lang w:val="en-GB"/>
              </w:rPr>
              <w:t xml:space="preserve"> of whole-of-government policy processes supported at:</w:t>
            </w:r>
          </w:p>
          <w:p w14:paraId="35E39595" w14:textId="1EBE4199" w:rsidR="00A82813" w:rsidRPr="00972B61" w:rsidRDefault="0016602A" w:rsidP="00C9415A">
            <w:pPr>
              <w:spacing w:after="60"/>
              <w:ind w:left="61"/>
              <w:jc w:val="both"/>
              <w:rPr>
                <w:rFonts w:cs="Arial"/>
                <w:color w:val="000000" w:themeColor="text1"/>
                <w:sz w:val="16"/>
                <w:szCs w:val="16"/>
                <w:lang w:val="en-GB"/>
              </w:rPr>
            </w:pPr>
            <w:r>
              <w:rPr>
                <w:rFonts w:cstheme="minorHAnsi"/>
                <w:color w:val="000000" w:themeColor="text1"/>
                <w:sz w:val="16"/>
                <w:szCs w:val="16"/>
                <w:lang w:val="en-GB"/>
              </w:rPr>
              <w:t>(</w:t>
            </w:r>
            <w:r w:rsidR="00A82813" w:rsidRPr="00972B61">
              <w:rPr>
                <w:rFonts w:cstheme="minorHAnsi"/>
                <w:color w:val="000000" w:themeColor="text1"/>
                <w:sz w:val="16"/>
                <w:szCs w:val="16"/>
                <w:lang w:val="en-GB"/>
              </w:rPr>
              <w:t>a) national level</w:t>
            </w:r>
            <w:r w:rsidR="004C765C">
              <w:rPr>
                <w:rFonts w:cstheme="minorHAnsi"/>
                <w:color w:val="000000" w:themeColor="text1"/>
                <w:sz w:val="16"/>
                <w:szCs w:val="16"/>
                <w:lang w:val="en-GB"/>
              </w:rPr>
              <w:t xml:space="preserve"> </w:t>
            </w:r>
          </w:p>
          <w:p w14:paraId="76EE33C4" w14:textId="77777777" w:rsidR="00A82813" w:rsidRPr="00972B61" w:rsidRDefault="00A82813" w:rsidP="00C9415A">
            <w:pPr>
              <w:ind w:left="61"/>
              <w:jc w:val="both"/>
              <w:rPr>
                <w:rFonts w:cs="Arial"/>
                <w:color w:val="000000" w:themeColor="text1"/>
                <w:sz w:val="16"/>
                <w:szCs w:val="16"/>
                <w:lang w:val="en-GB"/>
              </w:rPr>
            </w:pPr>
            <w:r w:rsidRPr="00972B61">
              <w:rPr>
                <w:rFonts w:cs="Arial"/>
                <w:color w:val="000000" w:themeColor="text1"/>
                <w:sz w:val="16"/>
                <w:szCs w:val="16"/>
                <w:lang w:val="en-GB"/>
              </w:rPr>
              <w:t>Baseline: (2021): 0</w:t>
            </w:r>
          </w:p>
          <w:p w14:paraId="2B44E0B6" w14:textId="5BDB3C7C" w:rsidR="00A82813" w:rsidRPr="00972B61" w:rsidRDefault="00A82813" w:rsidP="00C9415A">
            <w:pPr>
              <w:spacing w:after="60"/>
              <w:ind w:left="62"/>
              <w:jc w:val="both"/>
              <w:rPr>
                <w:rFonts w:cstheme="minorHAnsi"/>
                <w:color w:val="000000" w:themeColor="text1"/>
                <w:sz w:val="16"/>
                <w:szCs w:val="16"/>
                <w:lang w:val="en-GB"/>
              </w:rPr>
            </w:pPr>
            <w:r w:rsidRPr="00972B61">
              <w:rPr>
                <w:rFonts w:cstheme="minorHAnsi"/>
                <w:color w:val="000000" w:themeColor="text1"/>
                <w:sz w:val="16"/>
                <w:szCs w:val="16"/>
                <w:lang w:val="en-GB"/>
              </w:rPr>
              <w:t>Target (2026):</w:t>
            </w:r>
            <w:r w:rsidR="0016602A">
              <w:rPr>
                <w:rFonts w:cstheme="minorHAnsi"/>
                <w:color w:val="000000" w:themeColor="text1"/>
                <w:sz w:val="16"/>
                <w:szCs w:val="16"/>
                <w:lang w:val="en-GB"/>
              </w:rPr>
              <w:t xml:space="preserve"> </w:t>
            </w:r>
            <w:r w:rsidRPr="00972B61">
              <w:rPr>
                <w:rFonts w:cstheme="minorHAnsi"/>
                <w:color w:val="000000" w:themeColor="text1"/>
                <w:sz w:val="16"/>
                <w:szCs w:val="16"/>
                <w:lang w:val="en-GB"/>
              </w:rPr>
              <w:t>2</w:t>
            </w:r>
          </w:p>
          <w:p w14:paraId="0C6D7F5C" w14:textId="04AC4D8C" w:rsidR="00A82813" w:rsidRPr="00972B61" w:rsidRDefault="0016602A" w:rsidP="00C9415A">
            <w:pPr>
              <w:ind w:left="61"/>
              <w:rPr>
                <w:color w:val="000000"/>
                <w:sz w:val="16"/>
                <w:szCs w:val="16"/>
                <w:lang w:val="en-GB"/>
              </w:rPr>
            </w:pPr>
            <w:r>
              <w:rPr>
                <w:color w:val="000000"/>
                <w:sz w:val="16"/>
                <w:szCs w:val="16"/>
                <w:lang w:val="en-GB"/>
              </w:rPr>
              <w:t>(</w:t>
            </w:r>
            <w:r w:rsidR="00A82813" w:rsidRPr="00972B61">
              <w:rPr>
                <w:color w:val="000000"/>
                <w:sz w:val="16"/>
                <w:szCs w:val="16"/>
                <w:lang w:val="en-GB"/>
              </w:rPr>
              <w:t>b) subnational level</w:t>
            </w:r>
          </w:p>
          <w:p w14:paraId="5FBBACB5" w14:textId="77777777" w:rsidR="00A82813" w:rsidRPr="00972B61" w:rsidRDefault="00A82813" w:rsidP="00C9415A">
            <w:pPr>
              <w:ind w:left="61"/>
              <w:rPr>
                <w:color w:val="000000"/>
                <w:sz w:val="16"/>
                <w:szCs w:val="16"/>
                <w:lang w:val="en-GB"/>
              </w:rPr>
            </w:pPr>
            <w:r w:rsidRPr="00972B61">
              <w:rPr>
                <w:color w:val="000000"/>
                <w:sz w:val="16"/>
                <w:szCs w:val="16"/>
                <w:lang w:val="en-GB"/>
              </w:rPr>
              <w:t>Baseline: (2021): 0</w:t>
            </w:r>
          </w:p>
          <w:p w14:paraId="3DDD961D" w14:textId="6127A7EF" w:rsidR="00A82813" w:rsidRPr="00972B61" w:rsidRDefault="00A82813" w:rsidP="00C9415A">
            <w:pPr>
              <w:spacing w:after="60"/>
              <w:ind w:left="62"/>
              <w:rPr>
                <w:color w:val="000000"/>
                <w:sz w:val="16"/>
                <w:szCs w:val="16"/>
                <w:lang w:val="en-GB"/>
              </w:rPr>
            </w:pPr>
            <w:r w:rsidRPr="00972B61">
              <w:rPr>
                <w:color w:val="000000"/>
                <w:sz w:val="16"/>
                <w:szCs w:val="16"/>
                <w:lang w:val="en-GB"/>
              </w:rPr>
              <w:t>Target (2026): 5</w:t>
            </w:r>
          </w:p>
          <w:p w14:paraId="78D4A1C3" w14:textId="5C3FC20F" w:rsidR="00A82813" w:rsidRPr="00972B61" w:rsidRDefault="00A82813" w:rsidP="00C9415A">
            <w:pPr>
              <w:ind w:left="61"/>
              <w:rPr>
                <w:color w:val="000000"/>
                <w:sz w:val="16"/>
                <w:szCs w:val="16"/>
                <w:lang w:val="en-GB"/>
              </w:rPr>
            </w:pPr>
            <w:r w:rsidRPr="00972B61">
              <w:rPr>
                <w:color w:val="000000"/>
                <w:sz w:val="16"/>
                <w:szCs w:val="16"/>
                <w:lang w:val="en-GB"/>
              </w:rPr>
              <w:t xml:space="preserve">Data </w:t>
            </w:r>
            <w:r w:rsidR="0016602A">
              <w:rPr>
                <w:color w:val="000000"/>
                <w:sz w:val="16"/>
                <w:szCs w:val="16"/>
                <w:lang w:val="en-GB"/>
              </w:rPr>
              <w:t>s</w:t>
            </w:r>
            <w:r w:rsidRPr="00972B61">
              <w:rPr>
                <w:color w:val="000000"/>
                <w:sz w:val="16"/>
                <w:szCs w:val="16"/>
                <w:lang w:val="en-GB"/>
              </w:rPr>
              <w:t xml:space="preserve">ource: </w:t>
            </w:r>
            <w:r w:rsidR="008C3521" w:rsidRPr="00AA530C">
              <w:rPr>
                <w:rFonts w:cstheme="minorHAnsi"/>
                <w:color w:val="000000" w:themeColor="text1"/>
                <w:sz w:val="16"/>
                <w:szCs w:val="16"/>
                <w:lang w:val="en-GB"/>
              </w:rPr>
              <w:t>Results-oriented annual repor</w:t>
            </w:r>
            <w:r w:rsidR="006B2039">
              <w:rPr>
                <w:rFonts w:cstheme="minorHAnsi"/>
                <w:color w:val="000000" w:themeColor="text1"/>
                <w:sz w:val="16"/>
                <w:szCs w:val="16"/>
                <w:lang w:val="en-GB"/>
              </w:rPr>
              <w:t>t</w:t>
            </w:r>
            <w:r w:rsidRPr="00972B61">
              <w:rPr>
                <w:color w:val="000000"/>
                <w:sz w:val="16"/>
                <w:szCs w:val="16"/>
                <w:lang w:val="en-GB"/>
              </w:rPr>
              <w:t xml:space="preserve"> World Bank</w:t>
            </w:r>
          </w:p>
          <w:p w14:paraId="104E9DC5" w14:textId="77777777" w:rsidR="00A82813" w:rsidRPr="00972B61" w:rsidRDefault="00A82813" w:rsidP="00C9415A">
            <w:pPr>
              <w:spacing w:after="60"/>
              <w:ind w:left="61"/>
              <w:jc w:val="both"/>
              <w:rPr>
                <w:b/>
                <w:bCs/>
                <w:color w:val="000000" w:themeColor="text1"/>
                <w:sz w:val="16"/>
                <w:szCs w:val="16"/>
                <w:lang w:val="en-GB"/>
              </w:rPr>
            </w:pPr>
            <w:r w:rsidRPr="00972B61">
              <w:rPr>
                <w:color w:val="000000"/>
                <w:sz w:val="16"/>
                <w:szCs w:val="16"/>
                <w:lang w:val="en-GB"/>
              </w:rPr>
              <w:t>Frequency: Annual</w:t>
            </w:r>
          </w:p>
        </w:tc>
        <w:tc>
          <w:tcPr>
            <w:tcW w:w="786" w:type="pct"/>
            <w:vMerge/>
            <w:shd w:val="clear" w:color="auto" w:fill="auto"/>
          </w:tcPr>
          <w:p w14:paraId="33073FA5" w14:textId="6BE8F6AD" w:rsidR="00A82813" w:rsidRPr="00972B61" w:rsidRDefault="00A82813" w:rsidP="00E40F85">
            <w:pPr>
              <w:rPr>
                <w:color w:val="000000"/>
                <w:sz w:val="16"/>
                <w:szCs w:val="16"/>
                <w:lang w:val="en-GB"/>
              </w:rPr>
            </w:pPr>
          </w:p>
        </w:tc>
        <w:tc>
          <w:tcPr>
            <w:tcW w:w="600" w:type="pct"/>
            <w:shd w:val="clear" w:color="auto" w:fill="auto"/>
            <w:tcMar>
              <w:top w:w="15" w:type="dxa"/>
              <w:left w:w="108" w:type="dxa"/>
              <w:bottom w:w="0" w:type="dxa"/>
              <w:right w:w="108" w:type="dxa"/>
            </w:tcMar>
          </w:tcPr>
          <w:p w14:paraId="382175CF" w14:textId="77777777" w:rsidR="00A82813" w:rsidRPr="00972B61" w:rsidRDefault="00A82813" w:rsidP="00E40F85">
            <w:pPr>
              <w:rPr>
                <w:b/>
                <w:color w:val="000000"/>
                <w:sz w:val="16"/>
                <w:szCs w:val="16"/>
                <w:lang w:val="en-GB"/>
              </w:rPr>
            </w:pPr>
          </w:p>
        </w:tc>
      </w:tr>
      <w:tr w:rsidR="00D973B7" w:rsidRPr="00972B61" w14:paraId="2F98BADF" w14:textId="77777777" w:rsidTr="00DA48C2">
        <w:tc>
          <w:tcPr>
            <w:tcW w:w="5000" w:type="pct"/>
            <w:gridSpan w:val="5"/>
            <w:shd w:val="clear" w:color="auto" w:fill="DBE5F1" w:themeFill="accent1" w:themeFillTint="33"/>
            <w:tcMar>
              <w:top w:w="72" w:type="dxa"/>
              <w:left w:w="144" w:type="dxa"/>
              <w:bottom w:w="72" w:type="dxa"/>
              <w:right w:w="144" w:type="dxa"/>
            </w:tcMar>
          </w:tcPr>
          <w:p w14:paraId="0A711754" w14:textId="5B751DE7" w:rsidR="00D973B7" w:rsidRPr="00972B61" w:rsidRDefault="00D973B7" w:rsidP="00E40F85">
            <w:pPr>
              <w:rPr>
                <w:color w:val="000000" w:themeColor="text1"/>
                <w:sz w:val="16"/>
                <w:szCs w:val="16"/>
                <w:lang w:val="en-GB"/>
              </w:rPr>
            </w:pPr>
            <w:r w:rsidRPr="00972B61">
              <w:rPr>
                <w:b/>
                <w:bCs/>
                <w:color w:val="000000" w:themeColor="text1"/>
                <w:sz w:val="16"/>
                <w:szCs w:val="16"/>
                <w:lang w:val="en-GB"/>
              </w:rPr>
              <w:t>NATIONAL PRIORITY OR GOAL:</w:t>
            </w:r>
            <w:r w:rsidR="004C765C">
              <w:rPr>
                <w:b/>
                <w:bCs/>
                <w:color w:val="000000" w:themeColor="text1"/>
                <w:sz w:val="16"/>
                <w:szCs w:val="16"/>
                <w:lang w:val="en-GB"/>
              </w:rPr>
              <w:t xml:space="preserve"> </w:t>
            </w:r>
            <w:r w:rsidRPr="00972B61">
              <w:rPr>
                <w:b/>
                <w:bCs/>
                <w:color w:val="000000" w:themeColor="text1"/>
                <w:sz w:val="16"/>
                <w:szCs w:val="16"/>
                <w:lang w:val="en-GB"/>
              </w:rPr>
              <w:t xml:space="preserve">PQG Priority 2: </w:t>
            </w:r>
            <w:r w:rsidRPr="00F4484E">
              <w:rPr>
                <w:color w:val="000000" w:themeColor="text1"/>
                <w:sz w:val="16"/>
                <w:szCs w:val="16"/>
                <w:lang w:val="en-GB"/>
              </w:rPr>
              <w:t>Boost economic growth, productivity and job generation</w:t>
            </w:r>
            <w:r w:rsidR="00A6510F">
              <w:rPr>
                <w:color w:val="000000" w:themeColor="text1"/>
                <w:sz w:val="16"/>
                <w:szCs w:val="16"/>
                <w:lang w:val="en-GB"/>
              </w:rPr>
              <w:t>.</w:t>
            </w:r>
            <w:r w:rsidR="004C765C">
              <w:rPr>
                <w:b/>
                <w:bCs/>
                <w:color w:val="000000" w:themeColor="text1"/>
                <w:sz w:val="16"/>
                <w:szCs w:val="16"/>
                <w:lang w:val="en-GB"/>
              </w:rPr>
              <w:t xml:space="preserve"> </w:t>
            </w:r>
          </w:p>
        </w:tc>
      </w:tr>
      <w:tr w:rsidR="00D973B7" w:rsidRPr="00972B61" w14:paraId="3E506661" w14:textId="77777777" w:rsidTr="00DA48C2">
        <w:tc>
          <w:tcPr>
            <w:tcW w:w="5000" w:type="pct"/>
            <w:gridSpan w:val="5"/>
            <w:shd w:val="clear" w:color="auto" w:fill="DBE5F1" w:themeFill="accent1" w:themeFillTint="33"/>
            <w:tcMar>
              <w:top w:w="72" w:type="dxa"/>
              <w:left w:w="144" w:type="dxa"/>
              <w:bottom w:w="72" w:type="dxa"/>
              <w:right w:w="144" w:type="dxa"/>
            </w:tcMar>
          </w:tcPr>
          <w:p w14:paraId="1145D02F" w14:textId="37090255" w:rsidR="00D973B7" w:rsidRPr="00972B61" w:rsidRDefault="00D973B7" w:rsidP="00E40F85">
            <w:pPr>
              <w:rPr>
                <w:color w:val="000000" w:themeColor="text1"/>
                <w:sz w:val="16"/>
                <w:szCs w:val="16"/>
                <w:lang w:val="en-GB"/>
              </w:rPr>
            </w:pPr>
            <w:r w:rsidRPr="00972B61">
              <w:rPr>
                <w:b/>
                <w:bCs/>
                <w:color w:val="000000" w:themeColor="text1"/>
                <w:sz w:val="16"/>
                <w:szCs w:val="16"/>
                <w:lang w:val="en-GB"/>
              </w:rPr>
              <w:t xml:space="preserve">COOPERATION FRAMEWORK (OR EQUIVALENT) OUTCOME INVOLVING UNDP 2.1: </w:t>
            </w:r>
            <w:r w:rsidRPr="00F4484E">
              <w:rPr>
                <w:color w:val="000000" w:themeColor="text1"/>
                <w:sz w:val="16"/>
                <w:szCs w:val="16"/>
                <w:lang w:val="en-GB"/>
              </w:rPr>
              <w:t>By 2026, more people, particularly women and youths, participate in</w:t>
            </w:r>
            <w:r w:rsidR="004C765C">
              <w:rPr>
                <w:color w:val="000000" w:themeColor="text1"/>
                <w:sz w:val="16"/>
                <w:szCs w:val="16"/>
                <w:lang w:val="en-GB"/>
              </w:rPr>
              <w:t xml:space="preserve"> </w:t>
            </w:r>
            <w:r w:rsidRPr="00F4484E">
              <w:rPr>
                <w:color w:val="000000" w:themeColor="text1"/>
                <w:sz w:val="16"/>
                <w:szCs w:val="16"/>
                <w:lang w:val="en-GB"/>
              </w:rPr>
              <w:t>benefit from a more diversified, inclusive, and sustainable economic growth based on increased production, productivity, and greater value-added chains.</w:t>
            </w:r>
          </w:p>
        </w:tc>
      </w:tr>
      <w:tr w:rsidR="00D973B7" w:rsidRPr="00972B61" w14:paraId="648ADBCF" w14:textId="77777777" w:rsidTr="00DA48C2">
        <w:tc>
          <w:tcPr>
            <w:tcW w:w="5000" w:type="pct"/>
            <w:gridSpan w:val="5"/>
            <w:shd w:val="clear" w:color="auto" w:fill="DBE5F1" w:themeFill="accent1" w:themeFillTint="33"/>
            <w:tcMar>
              <w:top w:w="72" w:type="dxa"/>
              <w:left w:w="144" w:type="dxa"/>
              <w:bottom w:w="72" w:type="dxa"/>
              <w:right w:w="144" w:type="dxa"/>
            </w:tcMar>
          </w:tcPr>
          <w:p w14:paraId="2D745FC5" w14:textId="57F0B4BB" w:rsidR="00D973B7" w:rsidRPr="00972B61" w:rsidRDefault="00D973B7" w:rsidP="00E40F85">
            <w:pPr>
              <w:rPr>
                <w:b/>
                <w:bCs/>
                <w:color w:val="000000" w:themeColor="text1"/>
                <w:sz w:val="16"/>
                <w:szCs w:val="16"/>
                <w:lang w:val="en-GB"/>
              </w:rPr>
            </w:pPr>
            <w:r w:rsidRPr="00972B61">
              <w:rPr>
                <w:b/>
                <w:bCs/>
                <w:color w:val="000000" w:themeColor="text1"/>
                <w:sz w:val="16"/>
                <w:szCs w:val="16"/>
                <w:lang w:val="en-GB"/>
              </w:rPr>
              <w:t xml:space="preserve">RELATED STRATEGIC PLAN OUTCOME 3: </w:t>
            </w:r>
            <w:r w:rsidRPr="00F4484E">
              <w:rPr>
                <w:color w:val="000000" w:themeColor="text1"/>
                <w:sz w:val="16"/>
                <w:szCs w:val="16"/>
                <w:lang w:val="en-GB"/>
              </w:rPr>
              <w:t>Resilience built to respond to systemic uncertainty and risk</w:t>
            </w:r>
            <w:r w:rsidR="00A6510F" w:rsidRPr="00F4484E">
              <w:rPr>
                <w:color w:val="000000" w:themeColor="text1"/>
                <w:sz w:val="16"/>
                <w:szCs w:val="16"/>
                <w:lang w:val="en-GB"/>
              </w:rPr>
              <w:t>.</w:t>
            </w:r>
          </w:p>
        </w:tc>
      </w:tr>
      <w:tr w:rsidR="00D973B7" w:rsidRPr="00972B61" w14:paraId="7B47D09E" w14:textId="77777777" w:rsidTr="00DA48C2">
        <w:tc>
          <w:tcPr>
            <w:tcW w:w="1023" w:type="pct"/>
            <w:vMerge w:val="restart"/>
            <w:tcMar>
              <w:top w:w="72" w:type="dxa"/>
              <w:left w:w="144" w:type="dxa"/>
              <w:bottom w:w="72" w:type="dxa"/>
              <w:right w:w="144" w:type="dxa"/>
            </w:tcMar>
          </w:tcPr>
          <w:p w14:paraId="46A3E99F" w14:textId="10EDE81C" w:rsidR="00D973B7" w:rsidRPr="00AA530C" w:rsidRDefault="00A6510F" w:rsidP="00AA530C">
            <w:pPr>
              <w:pStyle w:val="ListParagraph"/>
              <w:ind w:left="0"/>
              <w:rPr>
                <w:bCs/>
                <w:color w:val="000000"/>
                <w:sz w:val="16"/>
                <w:szCs w:val="16"/>
                <w:lang w:val="en-GB"/>
              </w:rPr>
            </w:pPr>
            <w:r>
              <w:rPr>
                <w:bCs/>
                <w:color w:val="000000"/>
                <w:sz w:val="16"/>
                <w:szCs w:val="16"/>
                <w:lang w:val="en-GB"/>
              </w:rPr>
              <w:t xml:space="preserve">1.2. </w:t>
            </w:r>
            <w:r w:rsidR="00D973B7" w:rsidRPr="00AA530C">
              <w:rPr>
                <w:bCs/>
                <w:color w:val="000000"/>
                <w:sz w:val="16"/>
                <w:szCs w:val="16"/>
                <w:lang w:val="en-GB"/>
              </w:rPr>
              <w:t>Average income of small-scale food producers, by sex</w:t>
            </w:r>
          </w:p>
          <w:p w14:paraId="194657A0" w14:textId="68C0E9B0" w:rsidR="00D973B7" w:rsidRPr="00505311" w:rsidRDefault="00A6510F" w:rsidP="00505311">
            <w:pPr>
              <w:pStyle w:val="CommentText"/>
            </w:pPr>
            <w:r>
              <w:rPr>
                <w:color w:val="000000" w:themeColor="text1"/>
                <w:sz w:val="16"/>
                <w:szCs w:val="16"/>
                <w:lang w:val="en-GB"/>
              </w:rPr>
              <w:t>Baseline</w:t>
            </w:r>
            <w:r w:rsidR="00D973B7" w:rsidRPr="00972B61">
              <w:rPr>
                <w:bCs/>
                <w:color w:val="000000"/>
                <w:sz w:val="16"/>
                <w:szCs w:val="16"/>
                <w:lang w:val="en-GB"/>
              </w:rPr>
              <w:t xml:space="preserve"> (2009): </w:t>
            </w:r>
            <w:r w:rsidR="00D973B7" w:rsidRPr="00972B61">
              <w:rPr>
                <w:color w:val="000000"/>
                <w:sz w:val="16"/>
                <w:szCs w:val="16"/>
                <w:lang w:val="en-GB"/>
              </w:rPr>
              <w:t>375</w:t>
            </w:r>
            <w:r w:rsidR="00B9663B">
              <w:rPr>
                <w:color w:val="000000"/>
                <w:sz w:val="16"/>
                <w:szCs w:val="16"/>
                <w:lang w:val="en-GB"/>
              </w:rPr>
              <w:t>.</w:t>
            </w:r>
            <w:r w:rsidR="00D973B7" w:rsidRPr="00972B61">
              <w:rPr>
                <w:color w:val="000000"/>
                <w:sz w:val="16"/>
                <w:szCs w:val="16"/>
                <w:lang w:val="en-GB"/>
              </w:rPr>
              <w:t>8092 (</w:t>
            </w:r>
            <w:r w:rsidR="00505311">
              <w:rPr>
                <w:color w:val="000000"/>
                <w:sz w:val="16"/>
                <w:szCs w:val="16"/>
                <w:lang w:val="en-GB"/>
              </w:rPr>
              <w:t>p</w:t>
            </w:r>
            <w:r w:rsidR="00D46DAB" w:rsidRPr="00505311">
              <w:rPr>
                <w:color w:val="000000"/>
                <w:sz w:val="16"/>
                <w:szCs w:val="16"/>
                <w:lang w:val="en-GB"/>
              </w:rPr>
              <w:t xml:space="preserve">urchasing </w:t>
            </w:r>
            <w:r w:rsidR="00505311">
              <w:rPr>
                <w:color w:val="000000"/>
                <w:sz w:val="16"/>
                <w:szCs w:val="16"/>
                <w:lang w:val="en-GB"/>
              </w:rPr>
              <w:t>p</w:t>
            </w:r>
            <w:r w:rsidR="00D46DAB" w:rsidRPr="00505311">
              <w:rPr>
                <w:color w:val="000000"/>
                <w:sz w:val="16"/>
                <w:szCs w:val="16"/>
                <w:lang w:val="en-GB"/>
              </w:rPr>
              <w:t xml:space="preserve">ower </w:t>
            </w:r>
            <w:r w:rsidR="00505311">
              <w:rPr>
                <w:color w:val="000000"/>
                <w:sz w:val="16"/>
                <w:szCs w:val="16"/>
                <w:lang w:val="en-GB"/>
              </w:rPr>
              <w:t>p</w:t>
            </w:r>
            <w:r w:rsidR="00D46DAB" w:rsidRPr="00505311">
              <w:rPr>
                <w:color w:val="000000"/>
                <w:sz w:val="16"/>
                <w:szCs w:val="16"/>
                <w:lang w:val="en-GB"/>
              </w:rPr>
              <w:t>ari</w:t>
            </w:r>
            <w:r w:rsidR="00C53A73">
              <w:rPr>
                <w:color w:val="000000"/>
                <w:sz w:val="16"/>
                <w:szCs w:val="16"/>
                <w:lang w:val="en-GB"/>
              </w:rPr>
              <w:t>t</w:t>
            </w:r>
            <w:r w:rsidR="00301F5A">
              <w:rPr>
                <w:color w:val="000000"/>
                <w:sz w:val="16"/>
                <w:szCs w:val="16"/>
                <w:lang w:val="en-GB"/>
              </w:rPr>
              <w:t xml:space="preserve">y </w:t>
            </w:r>
            <w:r w:rsidR="00D973B7" w:rsidRPr="00505311">
              <w:rPr>
                <w:color w:val="000000"/>
                <w:sz w:val="16"/>
                <w:szCs w:val="16"/>
                <w:lang w:val="en-GB"/>
              </w:rPr>
              <w:t>constant 2011 internationa</w:t>
            </w:r>
            <w:r w:rsidR="00B9663B" w:rsidRPr="00505311">
              <w:rPr>
                <w:color w:val="000000"/>
                <w:sz w:val="16"/>
                <w:szCs w:val="16"/>
                <w:lang w:val="en-GB"/>
              </w:rPr>
              <w:t>l, United States dollars</w:t>
            </w:r>
            <w:r w:rsidR="00D973B7" w:rsidRPr="00505311">
              <w:rPr>
                <w:color w:val="000000"/>
                <w:sz w:val="16"/>
                <w:szCs w:val="16"/>
                <w:lang w:val="en-GB"/>
              </w:rPr>
              <w:t>)</w:t>
            </w:r>
          </w:p>
          <w:p w14:paraId="3A9C46F4" w14:textId="54C4285B" w:rsidR="00D973B7" w:rsidRPr="00972B61" w:rsidRDefault="00D973B7" w:rsidP="00E40F85">
            <w:pPr>
              <w:pStyle w:val="ListParagraph"/>
              <w:ind w:left="-7"/>
              <w:rPr>
                <w:color w:val="000000"/>
                <w:sz w:val="16"/>
                <w:szCs w:val="16"/>
                <w:lang w:val="en-GB" w:eastAsia="en-GB"/>
              </w:rPr>
            </w:pPr>
            <w:r w:rsidRPr="00972B61">
              <w:rPr>
                <w:bCs/>
                <w:color w:val="000000"/>
                <w:sz w:val="16"/>
                <w:szCs w:val="16"/>
                <w:lang w:val="en-GB"/>
              </w:rPr>
              <w:t>Target: (2026):</w:t>
            </w:r>
            <w:r w:rsidR="00A6510F">
              <w:rPr>
                <w:color w:val="000000"/>
                <w:sz w:val="16"/>
                <w:szCs w:val="16"/>
                <w:lang w:val="en-GB"/>
              </w:rPr>
              <w:t xml:space="preserve"> $</w:t>
            </w:r>
            <w:r w:rsidRPr="00972B61">
              <w:rPr>
                <w:color w:val="000000"/>
                <w:sz w:val="16"/>
                <w:szCs w:val="16"/>
                <w:lang w:val="en-GB"/>
              </w:rPr>
              <w:t>659</w:t>
            </w:r>
          </w:p>
          <w:p w14:paraId="185AD077" w14:textId="77777777" w:rsidR="00D973B7" w:rsidRPr="00972B61" w:rsidRDefault="00D973B7" w:rsidP="00E40F85">
            <w:pPr>
              <w:pStyle w:val="ListParagraph"/>
              <w:ind w:left="-7"/>
              <w:rPr>
                <w:bCs/>
                <w:color w:val="000000"/>
                <w:sz w:val="16"/>
                <w:szCs w:val="16"/>
                <w:lang w:val="en-GB"/>
              </w:rPr>
            </w:pPr>
          </w:p>
          <w:p w14:paraId="6EFC2631" w14:textId="77777777" w:rsidR="00D973B7" w:rsidRPr="00972B61" w:rsidRDefault="00D973B7" w:rsidP="00E40F85">
            <w:pPr>
              <w:pStyle w:val="ListParagraph"/>
              <w:ind w:left="-7"/>
              <w:rPr>
                <w:bCs/>
                <w:color w:val="000000"/>
                <w:sz w:val="16"/>
                <w:szCs w:val="16"/>
                <w:lang w:val="en-GB"/>
              </w:rPr>
            </w:pPr>
          </w:p>
          <w:p w14:paraId="5A521225" w14:textId="1457E480" w:rsidR="00D973B7" w:rsidRPr="00972B61" w:rsidRDefault="00D973B7" w:rsidP="00E40F85">
            <w:pPr>
              <w:pStyle w:val="ListParagraph"/>
              <w:ind w:left="-7"/>
              <w:rPr>
                <w:bCs/>
                <w:color w:val="000000"/>
                <w:sz w:val="16"/>
                <w:szCs w:val="16"/>
                <w:lang w:val="en-GB"/>
              </w:rPr>
            </w:pPr>
            <w:r w:rsidRPr="00972B61">
              <w:rPr>
                <w:bCs/>
                <w:color w:val="000000"/>
                <w:sz w:val="16"/>
                <w:szCs w:val="16"/>
                <w:lang w:val="en-GB"/>
              </w:rPr>
              <w:t>2.5</w:t>
            </w:r>
            <w:r w:rsidR="00A6510F">
              <w:rPr>
                <w:bCs/>
                <w:color w:val="000000"/>
                <w:sz w:val="16"/>
                <w:szCs w:val="16"/>
                <w:lang w:val="en-GB"/>
              </w:rPr>
              <w:t>.</w:t>
            </w:r>
            <w:r w:rsidRPr="00972B61">
              <w:rPr>
                <w:bCs/>
                <w:color w:val="000000"/>
                <w:sz w:val="16"/>
                <w:szCs w:val="16"/>
                <w:lang w:val="en-GB"/>
              </w:rPr>
              <w:t xml:space="preserve"> Unemployment rate, by sex, and age</w:t>
            </w:r>
          </w:p>
          <w:p w14:paraId="198F0876" w14:textId="4BD1E2F9" w:rsidR="00D973B7" w:rsidRPr="00972B61" w:rsidRDefault="00B9663B" w:rsidP="00E40F85">
            <w:pPr>
              <w:pStyle w:val="ListParagraph"/>
              <w:ind w:left="-7"/>
              <w:rPr>
                <w:bCs/>
                <w:color w:val="000000"/>
                <w:sz w:val="16"/>
                <w:szCs w:val="16"/>
                <w:lang w:val="en-GB"/>
              </w:rPr>
            </w:pPr>
            <w:r>
              <w:rPr>
                <w:color w:val="000000" w:themeColor="text1"/>
                <w:sz w:val="16"/>
                <w:szCs w:val="16"/>
                <w:lang w:val="en-GB"/>
              </w:rPr>
              <w:t>Baseline</w:t>
            </w:r>
            <w:r w:rsidR="009662E1" w:rsidRPr="00972B61">
              <w:rPr>
                <w:bCs/>
                <w:color w:val="000000"/>
                <w:sz w:val="16"/>
                <w:szCs w:val="16"/>
                <w:lang w:val="en-GB"/>
              </w:rPr>
              <w:t xml:space="preserve"> (2015)</w:t>
            </w:r>
            <w:r w:rsidR="00D973B7" w:rsidRPr="00972B61">
              <w:rPr>
                <w:bCs/>
                <w:color w:val="000000"/>
                <w:sz w:val="16"/>
                <w:szCs w:val="16"/>
                <w:lang w:val="en-GB"/>
              </w:rPr>
              <w:t>: 20.7% (2015)</w:t>
            </w:r>
          </w:p>
          <w:p w14:paraId="1F444360" w14:textId="78D69FAB" w:rsidR="00D973B7" w:rsidRPr="00972B61" w:rsidRDefault="00D973B7" w:rsidP="00E40F85">
            <w:pPr>
              <w:pStyle w:val="ListParagraph"/>
              <w:ind w:left="-7"/>
              <w:rPr>
                <w:bCs/>
                <w:color w:val="000000"/>
                <w:sz w:val="16"/>
                <w:szCs w:val="16"/>
                <w:lang w:val="en-GB"/>
              </w:rPr>
            </w:pPr>
            <w:r w:rsidRPr="00972B61">
              <w:rPr>
                <w:bCs/>
                <w:color w:val="000000"/>
                <w:sz w:val="16"/>
                <w:szCs w:val="16"/>
                <w:lang w:val="en-GB"/>
              </w:rPr>
              <w:t>Target</w:t>
            </w:r>
            <w:r w:rsidR="009662E1" w:rsidRPr="00972B61">
              <w:rPr>
                <w:bCs/>
                <w:color w:val="000000"/>
                <w:sz w:val="16"/>
                <w:szCs w:val="16"/>
                <w:lang w:val="en-GB"/>
              </w:rPr>
              <w:t xml:space="preserve"> (2026)</w:t>
            </w:r>
            <w:r w:rsidRPr="00972B61">
              <w:rPr>
                <w:bCs/>
                <w:color w:val="000000"/>
                <w:sz w:val="16"/>
                <w:szCs w:val="16"/>
                <w:lang w:val="en-GB"/>
              </w:rPr>
              <w:t>: TBC</w:t>
            </w:r>
          </w:p>
          <w:p w14:paraId="6D696C22" w14:textId="77777777" w:rsidR="00D973B7" w:rsidRPr="00972B61" w:rsidRDefault="00D973B7" w:rsidP="00E40F85">
            <w:pPr>
              <w:rPr>
                <w:bCs/>
                <w:color w:val="000000"/>
                <w:sz w:val="16"/>
                <w:szCs w:val="16"/>
                <w:lang w:val="en-GB"/>
              </w:rPr>
            </w:pPr>
          </w:p>
        </w:tc>
        <w:tc>
          <w:tcPr>
            <w:tcW w:w="996" w:type="pct"/>
            <w:vMerge w:val="restart"/>
          </w:tcPr>
          <w:p w14:paraId="00664C77" w14:textId="4DFD42B9" w:rsidR="00D973B7" w:rsidRPr="00972B61" w:rsidRDefault="00477C40" w:rsidP="00E40F85">
            <w:pPr>
              <w:rPr>
                <w:color w:val="000000"/>
                <w:sz w:val="16"/>
                <w:szCs w:val="16"/>
                <w:lang w:val="en-GB"/>
              </w:rPr>
            </w:pPr>
            <w:r w:rsidRPr="00505311">
              <w:rPr>
                <w:color w:val="000000"/>
                <w:sz w:val="16"/>
                <w:szCs w:val="16"/>
                <w:lang w:val="en-GB"/>
              </w:rPr>
              <w:t>Ministry of Agriculture and Rural Development (</w:t>
            </w:r>
            <w:r w:rsidR="00D973B7" w:rsidRPr="00972B61">
              <w:rPr>
                <w:color w:val="000000"/>
                <w:sz w:val="16"/>
                <w:szCs w:val="16"/>
                <w:lang w:val="en-GB"/>
              </w:rPr>
              <w:t>MADER</w:t>
            </w:r>
            <w:r>
              <w:rPr>
                <w:color w:val="000000"/>
                <w:sz w:val="16"/>
                <w:szCs w:val="16"/>
                <w:lang w:val="en-GB"/>
              </w:rPr>
              <w:t>)</w:t>
            </w:r>
            <w:r w:rsidR="00FE21A9">
              <w:rPr>
                <w:color w:val="000000"/>
                <w:sz w:val="16"/>
                <w:szCs w:val="16"/>
                <w:lang w:val="en-GB"/>
              </w:rPr>
              <w:t>;</w:t>
            </w:r>
            <w:r w:rsidR="00D973B7" w:rsidRPr="00972B61">
              <w:rPr>
                <w:color w:val="000000"/>
                <w:sz w:val="16"/>
                <w:szCs w:val="16"/>
                <w:lang w:val="en-GB"/>
              </w:rPr>
              <w:t xml:space="preserve"> Integrated </w:t>
            </w:r>
            <w:r w:rsidR="00B9663B">
              <w:rPr>
                <w:color w:val="000000"/>
                <w:sz w:val="16"/>
                <w:szCs w:val="16"/>
                <w:lang w:val="en-GB"/>
              </w:rPr>
              <w:t>a</w:t>
            </w:r>
            <w:r w:rsidR="00D973B7" w:rsidRPr="00972B61">
              <w:rPr>
                <w:color w:val="000000"/>
                <w:sz w:val="16"/>
                <w:szCs w:val="16"/>
                <w:lang w:val="en-GB"/>
              </w:rPr>
              <w:t xml:space="preserve">griculture </w:t>
            </w:r>
            <w:r w:rsidR="00B9663B">
              <w:rPr>
                <w:color w:val="000000"/>
                <w:sz w:val="16"/>
                <w:szCs w:val="16"/>
                <w:lang w:val="en-GB"/>
              </w:rPr>
              <w:t>s</w:t>
            </w:r>
            <w:r w:rsidR="00D973B7" w:rsidRPr="00972B61">
              <w:rPr>
                <w:color w:val="000000"/>
                <w:sz w:val="16"/>
                <w:szCs w:val="16"/>
                <w:lang w:val="en-GB"/>
              </w:rPr>
              <w:t>urvey (IAI) 2015 and 2017</w:t>
            </w:r>
          </w:p>
          <w:p w14:paraId="6F902B4C" w14:textId="1DC556F1" w:rsidR="00D973B7" w:rsidRPr="00972B61" w:rsidRDefault="00D973B7" w:rsidP="00E40F85">
            <w:pPr>
              <w:rPr>
                <w:color w:val="000000"/>
                <w:sz w:val="16"/>
                <w:szCs w:val="16"/>
                <w:lang w:val="en-GB"/>
              </w:rPr>
            </w:pPr>
            <w:r w:rsidRPr="00972B61">
              <w:rPr>
                <w:color w:val="000000"/>
                <w:sz w:val="16"/>
                <w:szCs w:val="16"/>
                <w:lang w:val="en-GB"/>
              </w:rPr>
              <w:t xml:space="preserve">INE </w:t>
            </w:r>
            <w:r w:rsidR="00B9663B">
              <w:rPr>
                <w:color w:val="000000"/>
                <w:sz w:val="16"/>
                <w:szCs w:val="16"/>
                <w:lang w:val="en-GB"/>
              </w:rPr>
              <w:t>h</w:t>
            </w:r>
            <w:r w:rsidRPr="00972B61">
              <w:rPr>
                <w:color w:val="000000"/>
                <w:sz w:val="16"/>
                <w:szCs w:val="16"/>
                <w:lang w:val="en-GB"/>
              </w:rPr>
              <w:t xml:space="preserve">ousehold </w:t>
            </w:r>
            <w:r w:rsidR="00B9663B">
              <w:rPr>
                <w:color w:val="000000"/>
                <w:sz w:val="16"/>
                <w:szCs w:val="16"/>
                <w:lang w:val="en-GB"/>
              </w:rPr>
              <w:t>s</w:t>
            </w:r>
            <w:r w:rsidRPr="00972B61">
              <w:rPr>
                <w:color w:val="000000"/>
                <w:sz w:val="16"/>
                <w:szCs w:val="16"/>
                <w:lang w:val="en-GB"/>
              </w:rPr>
              <w:t>urvey</w:t>
            </w:r>
          </w:p>
          <w:p w14:paraId="08D9FA0D" w14:textId="67E49100" w:rsidR="00D973B7" w:rsidRPr="00972B61" w:rsidRDefault="00D973B7" w:rsidP="00E40F85">
            <w:pPr>
              <w:rPr>
                <w:color w:val="000000"/>
                <w:sz w:val="16"/>
                <w:szCs w:val="16"/>
                <w:lang w:val="en-GB"/>
              </w:rPr>
            </w:pPr>
            <w:r w:rsidRPr="00972B61">
              <w:rPr>
                <w:color w:val="000000"/>
                <w:sz w:val="16"/>
                <w:szCs w:val="16"/>
                <w:lang w:val="en-GB"/>
              </w:rPr>
              <w:t>Resp</w:t>
            </w:r>
            <w:r w:rsidR="00B9663B">
              <w:rPr>
                <w:color w:val="000000"/>
                <w:sz w:val="16"/>
                <w:szCs w:val="16"/>
                <w:lang w:val="en-GB"/>
              </w:rPr>
              <w:t>onsible</w:t>
            </w:r>
            <w:r w:rsidRPr="00972B61">
              <w:rPr>
                <w:color w:val="000000"/>
                <w:sz w:val="16"/>
                <w:szCs w:val="16"/>
                <w:lang w:val="en-GB"/>
              </w:rPr>
              <w:t xml:space="preserve">: </w:t>
            </w:r>
            <w:r w:rsidR="00B9663B">
              <w:rPr>
                <w:color w:val="000000"/>
                <w:sz w:val="16"/>
                <w:szCs w:val="16"/>
                <w:lang w:val="en-GB"/>
              </w:rPr>
              <w:t>Food and Agriculture Organization of the United Nations (</w:t>
            </w:r>
            <w:r w:rsidRPr="00972B61">
              <w:rPr>
                <w:color w:val="000000"/>
                <w:sz w:val="16"/>
                <w:szCs w:val="16"/>
                <w:lang w:val="en-GB"/>
              </w:rPr>
              <w:t>FAO</w:t>
            </w:r>
            <w:r w:rsidR="00B9663B">
              <w:rPr>
                <w:color w:val="000000"/>
                <w:sz w:val="16"/>
                <w:szCs w:val="16"/>
                <w:lang w:val="en-GB"/>
              </w:rPr>
              <w:t>)</w:t>
            </w:r>
          </w:p>
          <w:p w14:paraId="2D5A74C1" w14:textId="77777777" w:rsidR="00D973B7" w:rsidRPr="00972B61" w:rsidRDefault="00D973B7" w:rsidP="00E40F85">
            <w:pPr>
              <w:rPr>
                <w:color w:val="000000"/>
                <w:sz w:val="16"/>
                <w:szCs w:val="16"/>
                <w:lang w:val="en-GB"/>
              </w:rPr>
            </w:pPr>
            <w:r w:rsidRPr="00972B61">
              <w:rPr>
                <w:color w:val="000000"/>
                <w:sz w:val="16"/>
                <w:szCs w:val="16"/>
                <w:lang w:val="en-GB"/>
              </w:rPr>
              <w:t>Frequency: Annual</w:t>
            </w:r>
          </w:p>
          <w:p w14:paraId="023DD427" w14:textId="77777777" w:rsidR="00D973B7" w:rsidRPr="00972B61" w:rsidRDefault="00D973B7" w:rsidP="00E40F85">
            <w:pPr>
              <w:rPr>
                <w:color w:val="000000"/>
                <w:sz w:val="16"/>
                <w:szCs w:val="16"/>
                <w:lang w:val="en-GB"/>
              </w:rPr>
            </w:pPr>
          </w:p>
          <w:p w14:paraId="19008CF3" w14:textId="77777777" w:rsidR="00D973B7" w:rsidRPr="00972B61" w:rsidRDefault="00D973B7" w:rsidP="00E40F85">
            <w:pPr>
              <w:rPr>
                <w:color w:val="000000"/>
                <w:sz w:val="16"/>
                <w:szCs w:val="16"/>
                <w:lang w:val="en-GB"/>
              </w:rPr>
            </w:pPr>
          </w:p>
          <w:p w14:paraId="452C0345" w14:textId="4EDC5CD3" w:rsidR="00D973B7" w:rsidRPr="00972B61" w:rsidRDefault="00D973B7" w:rsidP="00E40F85">
            <w:pPr>
              <w:rPr>
                <w:color w:val="000000"/>
                <w:sz w:val="16"/>
                <w:szCs w:val="16"/>
                <w:lang w:val="en-GB"/>
              </w:rPr>
            </w:pPr>
            <w:r w:rsidRPr="00972B61">
              <w:rPr>
                <w:color w:val="000000"/>
                <w:sz w:val="16"/>
                <w:szCs w:val="16"/>
                <w:lang w:val="en-GB"/>
              </w:rPr>
              <w:t xml:space="preserve">INE </w:t>
            </w:r>
            <w:r w:rsidR="00B9663B">
              <w:rPr>
                <w:color w:val="000000"/>
                <w:sz w:val="16"/>
                <w:szCs w:val="16"/>
                <w:lang w:val="en-GB"/>
              </w:rPr>
              <w:t>h</w:t>
            </w:r>
            <w:r w:rsidRPr="00972B61">
              <w:rPr>
                <w:color w:val="000000"/>
                <w:sz w:val="16"/>
                <w:szCs w:val="16"/>
                <w:lang w:val="en-GB"/>
              </w:rPr>
              <w:t xml:space="preserve">ouseholds </w:t>
            </w:r>
            <w:r w:rsidR="00B9663B">
              <w:rPr>
                <w:color w:val="000000"/>
                <w:sz w:val="16"/>
                <w:szCs w:val="16"/>
                <w:lang w:val="en-GB"/>
              </w:rPr>
              <w:t>s</w:t>
            </w:r>
            <w:r w:rsidRPr="00972B61">
              <w:rPr>
                <w:color w:val="000000"/>
                <w:sz w:val="16"/>
                <w:szCs w:val="16"/>
                <w:lang w:val="en-GB"/>
              </w:rPr>
              <w:t xml:space="preserve">urvey </w:t>
            </w:r>
          </w:p>
          <w:p w14:paraId="4486595D" w14:textId="2F31902C" w:rsidR="00D973B7" w:rsidRPr="00972B61" w:rsidRDefault="00D973B7" w:rsidP="00E40F85">
            <w:pPr>
              <w:rPr>
                <w:color w:val="000000"/>
                <w:sz w:val="16"/>
                <w:szCs w:val="16"/>
                <w:lang w:val="en-GB"/>
              </w:rPr>
            </w:pPr>
            <w:r w:rsidRPr="00972B61">
              <w:rPr>
                <w:color w:val="000000"/>
                <w:sz w:val="16"/>
                <w:szCs w:val="16"/>
                <w:lang w:val="en-GB"/>
              </w:rPr>
              <w:t>Resp</w:t>
            </w:r>
            <w:r w:rsidR="00B9663B">
              <w:rPr>
                <w:color w:val="000000"/>
                <w:sz w:val="16"/>
                <w:szCs w:val="16"/>
                <w:lang w:val="en-GB"/>
              </w:rPr>
              <w:t>onsible</w:t>
            </w:r>
            <w:r w:rsidRPr="00972B61">
              <w:rPr>
                <w:color w:val="000000"/>
                <w:sz w:val="16"/>
                <w:szCs w:val="16"/>
                <w:lang w:val="en-GB"/>
              </w:rPr>
              <w:t>: ILO</w:t>
            </w:r>
          </w:p>
          <w:p w14:paraId="711F22D1" w14:textId="77777777" w:rsidR="00D973B7" w:rsidRPr="00972B61" w:rsidRDefault="00D973B7" w:rsidP="00E40F85">
            <w:pPr>
              <w:rPr>
                <w:color w:val="000000"/>
                <w:sz w:val="16"/>
                <w:szCs w:val="16"/>
                <w:lang w:val="en-GB"/>
              </w:rPr>
            </w:pPr>
          </w:p>
          <w:p w14:paraId="5287AA8E" w14:textId="77777777" w:rsidR="00D973B7" w:rsidRPr="00972B61" w:rsidRDefault="00D973B7" w:rsidP="00E40F85">
            <w:pPr>
              <w:rPr>
                <w:color w:val="000000"/>
                <w:sz w:val="16"/>
                <w:szCs w:val="16"/>
                <w:lang w:val="en-GB"/>
              </w:rPr>
            </w:pPr>
            <w:r w:rsidRPr="00972B61">
              <w:rPr>
                <w:color w:val="000000"/>
                <w:sz w:val="16"/>
                <w:szCs w:val="16"/>
                <w:lang w:val="en-GB"/>
              </w:rPr>
              <w:t>Frequency: Annual</w:t>
            </w:r>
          </w:p>
        </w:tc>
        <w:tc>
          <w:tcPr>
            <w:tcW w:w="1595" w:type="pct"/>
            <w:shd w:val="clear" w:color="auto" w:fill="auto"/>
            <w:tcMar>
              <w:top w:w="72" w:type="dxa"/>
              <w:left w:w="144" w:type="dxa"/>
              <w:bottom w:w="72" w:type="dxa"/>
              <w:right w:w="144" w:type="dxa"/>
            </w:tcMar>
          </w:tcPr>
          <w:p w14:paraId="39A6E287" w14:textId="6FAB416E" w:rsidR="00D973B7" w:rsidRPr="00972B61" w:rsidRDefault="00D973B7" w:rsidP="004C5C28">
            <w:pPr>
              <w:spacing w:after="60"/>
              <w:ind w:left="-6"/>
              <w:rPr>
                <w:b/>
                <w:bCs/>
                <w:color w:val="000000"/>
                <w:sz w:val="16"/>
                <w:szCs w:val="16"/>
                <w:lang w:val="en-GB"/>
              </w:rPr>
            </w:pPr>
            <w:r w:rsidRPr="00972B61">
              <w:rPr>
                <w:b/>
                <w:bCs/>
                <w:color w:val="000000"/>
                <w:sz w:val="16"/>
                <w:szCs w:val="16"/>
                <w:lang w:val="en-GB"/>
              </w:rPr>
              <w:t>Output 2.1.1</w:t>
            </w:r>
            <w:r w:rsidR="00B9663B">
              <w:rPr>
                <w:b/>
                <w:bCs/>
                <w:color w:val="000000"/>
                <w:sz w:val="16"/>
                <w:szCs w:val="16"/>
                <w:lang w:val="en-GB"/>
              </w:rPr>
              <w:t>.</w:t>
            </w:r>
            <w:r w:rsidRPr="00972B61">
              <w:rPr>
                <w:b/>
                <w:bCs/>
                <w:color w:val="000000"/>
                <w:sz w:val="16"/>
                <w:szCs w:val="16"/>
                <w:lang w:val="en-GB"/>
              </w:rPr>
              <w:t xml:space="preserve"> Resilien</w:t>
            </w:r>
            <w:r w:rsidR="00724E34">
              <w:rPr>
                <w:b/>
                <w:bCs/>
                <w:color w:val="000000"/>
                <w:sz w:val="16"/>
                <w:szCs w:val="16"/>
                <w:lang w:val="en-GB"/>
              </w:rPr>
              <w:t>ce</w:t>
            </w:r>
            <w:r w:rsidRPr="00972B61">
              <w:rPr>
                <w:b/>
                <w:bCs/>
                <w:color w:val="000000"/>
                <w:sz w:val="16"/>
                <w:szCs w:val="16"/>
                <w:lang w:val="en-GB"/>
              </w:rPr>
              <w:t xml:space="preserve"> and inclusive economic recovery of communities vulnerable to disasters strengthened</w:t>
            </w:r>
            <w:r w:rsidR="00B64BF7" w:rsidRPr="00972B61">
              <w:rPr>
                <w:b/>
                <w:bCs/>
                <w:color w:val="000000"/>
                <w:sz w:val="16"/>
                <w:szCs w:val="16"/>
                <w:lang w:val="en-GB"/>
              </w:rPr>
              <w:t>.</w:t>
            </w:r>
          </w:p>
          <w:p w14:paraId="524D1FD2" w14:textId="7E841F58" w:rsidR="00D973B7" w:rsidRPr="00972B61" w:rsidRDefault="00D973B7" w:rsidP="00E40F85">
            <w:pPr>
              <w:pStyle w:val="ListParagraph"/>
              <w:numPr>
                <w:ilvl w:val="0"/>
                <w:numId w:val="27"/>
              </w:numPr>
              <w:ind w:left="142" w:hanging="142"/>
              <w:rPr>
                <w:sz w:val="16"/>
                <w:szCs w:val="16"/>
                <w:lang w:val="en-GB"/>
              </w:rPr>
            </w:pPr>
            <w:r w:rsidRPr="00972B61">
              <w:rPr>
                <w:b/>
                <w:bCs/>
                <w:sz w:val="16"/>
                <w:szCs w:val="16"/>
                <w:lang w:val="en-GB"/>
              </w:rPr>
              <w:t>Indicator 2.1.1.1</w:t>
            </w:r>
            <w:r w:rsidR="00B9663B">
              <w:rPr>
                <w:b/>
                <w:bCs/>
                <w:sz w:val="16"/>
                <w:szCs w:val="16"/>
                <w:lang w:val="en-GB"/>
              </w:rPr>
              <w:t>.</w:t>
            </w:r>
            <w:r w:rsidRPr="00972B61">
              <w:rPr>
                <w:b/>
                <w:bCs/>
                <w:sz w:val="16"/>
                <w:szCs w:val="16"/>
                <w:lang w:val="en-GB"/>
              </w:rPr>
              <w:t xml:space="preserve"> </w:t>
            </w:r>
            <w:r w:rsidRPr="00972B61">
              <w:rPr>
                <w:sz w:val="16"/>
                <w:szCs w:val="16"/>
                <w:lang w:val="en-GB"/>
              </w:rPr>
              <w:t>N</w:t>
            </w:r>
            <w:r w:rsidR="00B9663B">
              <w:rPr>
                <w:sz w:val="16"/>
                <w:szCs w:val="16"/>
                <w:lang w:val="en-GB"/>
              </w:rPr>
              <w:t>umber</w:t>
            </w:r>
            <w:r w:rsidRPr="00972B61">
              <w:rPr>
                <w:sz w:val="16"/>
                <w:szCs w:val="16"/>
                <w:lang w:val="en-GB"/>
              </w:rPr>
              <w:t xml:space="preserve"> of vulnerable disaster</w:t>
            </w:r>
            <w:r w:rsidR="00B9663B">
              <w:rPr>
                <w:sz w:val="16"/>
                <w:szCs w:val="16"/>
                <w:lang w:val="en-GB"/>
              </w:rPr>
              <w:t>-</w:t>
            </w:r>
            <w:r w:rsidRPr="00972B61">
              <w:rPr>
                <w:sz w:val="16"/>
                <w:szCs w:val="16"/>
                <w:lang w:val="en-GB"/>
              </w:rPr>
              <w:t>affected people</w:t>
            </w:r>
            <w:r w:rsidR="006812F1" w:rsidRPr="00972B61">
              <w:rPr>
                <w:sz w:val="16"/>
                <w:szCs w:val="16"/>
                <w:lang w:val="en-GB"/>
              </w:rPr>
              <w:t>, including IDPs,</w:t>
            </w:r>
            <w:r w:rsidRPr="00972B61">
              <w:rPr>
                <w:sz w:val="16"/>
                <w:szCs w:val="16"/>
                <w:lang w:val="en-GB"/>
              </w:rPr>
              <w:t xml:space="preserve"> </w:t>
            </w:r>
            <w:r w:rsidR="00990035" w:rsidRPr="00972B61">
              <w:rPr>
                <w:sz w:val="16"/>
                <w:szCs w:val="16"/>
                <w:lang w:val="en-GB"/>
              </w:rPr>
              <w:t xml:space="preserve">receiving assistance </w:t>
            </w:r>
            <w:r w:rsidR="00757887" w:rsidRPr="00972B61">
              <w:rPr>
                <w:sz w:val="16"/>
                <w:szCs w:val="16"/>
                <w:lang w:val="en-GB"/>
              </w:rPr>
              <w:t>to recover and strengthen their livelihood resilience.</w:t>
            </w:r>
          </w:p>
          <w:p w14:paraId="73CA9FC4" w14:textId="2DB35E44" w:rsidR="00D973B7" w:rsidRPr="00972B61" w:rsidRDefault="00D973B7" w:rsidP="00E40F85">
            <w:pPr>
              <w:ind w:left="139"/>
              <w:rPr>
                <w:color w:val="000000" w:themeColor="text1"/>
                <w:sz w:val="16"/>
                <w:szCs w:val="16"/>
                <w:lang w:val="en-GB"/>
              </w:rPr>
            </w:pPr>
            <w:r w:rsidRPr="00972B61">
              <w:rPr>
                <w:sz w:val="16"/>
                <w:szCs w:val="16"/>
                <w:lang w:val="en-GB"/>
              </w:rPr>
              <w:t>Baseline (2020</w:t>
            </w:r>
            <w:r w:rsidRPr="00972B61">
              <w:rPr>
                <w:color w:val="000000" w:themeColor="text1"/>
                <w:sz w:val="16"/>
                <w:szCs w:val="16"/>
                <w:lang w:val="en-GB"/>
              </w:rPr>
              <w:t>)</w:t>
            </w:r>
            <w:r w:rsidR="00B9663B">
              <w:rPr>
                <w:color w:val="000000" w:themeColor="text1"/>
                <w:sz w:val="16"/>
                <w:szCs w:val="16"/>
                <w:lang w:val="en-GB"/>
              </w:rPr>
              <w:t xml:space="preserve">: </w:t>
            </w:r>
            <w:r w:rsidRPr="00972B61">
              <w:rPr>
                <w:color w:val="000000" w:themeColor="text1"/>
                <w:sz w:val="16"/>
                <w:szCs w:val="16"/>
                <w:lang w:val="en-GB"/>
              </w:rPr>
              <w:t>50,000</w:t>
            </w:r>
          </w:p>
          <w:p w14:paraId="3F60124C" w14:textId="17FA0EE7"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Target (2026)</w:t>
            </w:r>
            <w:r w:rsidR="00B9663B">
              <w:rPr>
                <w:color w:val="000000" w:themeColor="text1"/>
                <w:sz w:val="16"/>
                <w:szCs w:val="16"/>
                <w:lang w:val="en-GB"/>
              </w:rPr>
              <w:t xml:space="preserve">: </w:t>
            </w:r>
            <w:r w:rsidRPr="00972B61">
              <w:rPr>
                <w:color w:val="000000" w:themeColor="text1"/>
                <w:sz w:val="16"/>
                <w:szCs w:val="16"/>
                <w:lang w:val="en-GB"/>
              </w:rPr>
              <w:t>200,000 (50% women)</w:t>
            </w:r>
            <w:r w:rsidR="004C765C">
              <w:rPr>
                <w:color w:val="000000" w:themeColor="text1"/>
                <w:sz w:val="16"/>
                <w:szCs w:val="16"/>
                <w:lang w:val="en-GB"/>
              </w:rPr>
              <w:t xml:space="preserve"> </w:t>
            </w:r>
          </w:p>
          <w:p w14:paraId="63AABD42" w14:textId="4ED80EED"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Data source: GREPOC</w:t>
            </w:r>
          </w:p>
          <w:p w14:paraId="282B6A0A" w14:textId="77777777" w:rsidR="00D973B7" w:rsidRPr="00972B61" w:rsidRDefault="00D973B7" w:rsidP="004C5C28">
            <w:pPr>
              <w:ind w:left="142"/>
              <w:rPr>
                <w:color w:val="000000" w:themeColor="text1"/>
                <w:sz w:val="16"/>
                <w:szCs w:val="16"/>
                <w:lang w:val="en-GB"/>
              </w:rPr>
            </w:pPr>
            <w:r w:rsidRPr="00972B61">
              <w:rPr>
                <w:color w:val="000000" w:themeColor="text1"/>
                <w:sz w:val="16"/>
                <w:szCs w:val="16"/>
                <w:lang w:val="en-GB"/>
              </w:rPr>
              <w:t>Frequency: Annual</w:t>
            </w:r>
          </w:p>
          <w:p w14:paraId="248FCC0A" w14:textId="322B9C73" w:rsidR="00D973B7" w:rsidRPr="00972B61" w:rsidRDefault="00D973B7" w:rsidP="00E40F85">
            <w:pPr>
              <w:pStyle w:val="ListParagraph"/>
              <w:numPr>
                <w:ilvl w:val="0"/>
                <w:numId w:val="27"/>
              </w:numPr>
              <w:ind w:left="139" w:hanging="142"/>
              <w:rPr>
                <w:color w:val="000000" w:themeColor="text1"/>
                <w:sz w:val="16"/>
                <w:szCs w:val="16"/>
                <w:lang w:val="en-GB"/>
              </w:rPr>
            </w:pPr>
            <w:r w:rsidRPr="00972B61">
              <w:rPr>
                <w:b/>
                <w:bCs/>
                <w:sz w:val="16"/>
                <w:szCs w:val="16"/>
                <w:lang w:val="en-GB"/>
              </w:rPr>
              <w:t>Indicator 2.1.1.2</w:t>
            </w:r>
            <w:r w:rsidR="00B9663B">
              <w:rPr>
                <w:b/>
                <w:bCs/>
                <w:sz w:val="16"/>
                <w:szCs w:val="16"/>
                <w:lang w:val="en-GB"/>
              </w:rPr>
              <w:t>.</w:t>
            </w:r>
            <w:r w:rsidRPr="00972B61">
              <w:rPr>
                <w:b/>
                <w:bCs/>
                <w:sz w:val="16"/>
                <w:szCs w:val="16"/>
                <w:lang w:val="en-GB"/>
              </w:rPr>
              <w:t xml:space="preserve"> </w:t>
            </w:r>
            <w:r w:rsidRPr="00972B61">
              <w:rPr>
                <w:sz w:val="16"/>
                <w:szCs w:val="16"/>
                <w:lang w:val="en-GB"/>
              </w:rPr>
              <w:t>N</w:t>
            </w:r>
            <w:r w:rsidR="00B9663B">
              <w:rPr>
                <w:sz w:val="16"/>
                <w:szCs w:val="16"/>
                <w:lang w:val="en-GB"/>
              </w:rPr>
              <w:t>umber</w:t>
            </w:r>
            <w:r w:rsidRPr="00972B61">
              <w:rPr>
                <w:sz w:val="16"/>
                <w:szCs w:val="16"/>
                <w:lang w:val="en-GB"/>
              </w:rPr>
              <w:t xml:space="preserve"> of disaster</w:t>
            </w:r>
            <w:r w:rsidR="00B9663B">
              <w:rPr>
                <w:sz w:val="16"/>
                <w:szCs w:val="16"/>
                <w:lang w:val="en-GB"/>
              </w:rPr>
              <w:t>-</w:t>
            </w:r>
            <w:r w:rsidRPr="00972B61">
              <w:rPr>
                <w:sz w:val="16"/>
                <w:szCs w:val="16"/>
                <w:lang w:val="en-GB"/>
              </w:rPr>
              <w:t>affected vulnerable people</w:t>
            </w:r>
            <w:r w:rsidR="00B9663B">
              <w:rPr>
                <w:sz w:val="16"/>
                <w:szCs w:val="16"/>
                <w:lang w:val="en-GB"/>
              </w:rPr>
              <w:t>,</w:t>
            </w:r>
            <w:r w:rsidR="006812F1" w:rsidRPr="00972B61">
              <w:rPr>
                <w:sz w:val="16"/>
                <w:szCs w:val="16"/>
                <w:lang w:val="en-GB"/>
              </w:rPr>
              <w:t xml:space="preserve"> including IDPs,</w:t>
            </w:r>
            <w:r w:rsidRPr="00972B61">
              <w:rPr>
                <w:sz w:val="16"/>
                <w:szCs w:val="16"/>
                <w:lang w:val="en-GB"/>
              </w:rPr>
              <w:t xml:space="preserve"> that access resilient infrastructure important for livelihoods recovery and productivity (disaggregated by sex)</w:t>
            </w:r>
            <w:r w:rsidR="00B9663B">
              <w:rPr>
                <w:sz w:val="16"/>
                <w:szCs w:val="16"/>
                <w:lang w:val="en-GB"/>
              </w:rPr>
              <w:t>.</w:t>
            </w:r>
          </w:p>
          <w:p w14:paraId="3B935D45" w14:textId="6F1A63CB" w:rsidR="00D973B7" w:rsidRPr="00972B61" w:rsidRDefault="004C765C" w:rsidP="00E40F85">
            <w:pPr>
              <w:ind w:left="-3"/>
              <w:rPr>
                <w:color w:val="000000" w:themeColor="text1"/>
                <w:sz w:val="16"/>
                <w:szCs w:val="16"/>
                <w:lang w:val="en-GB"/>
              </w:rPr>
            </w:pPr>
            <w:r>
              <w:rPr>
                <w:color w:val="000000" w:themeColor="text1"/>
                <w:sz w:val="16"/>
                <w:szCs w:val="16"/>
                <w:lang w:val="en-GB"/>
              </w:rPr>
              <w:t xml:space="preserve"> </w:t>
            </w:r>
            <w:r w:rsidR="00D973B7" w:rsidRPr="00972B61">
              <w:rPr>
                <w:color w:val="000000" w:themeColor="text1"/>
                <w:sz w:val="16"/>
                <w:szCs w:val="16"/>
                <w:lang w:val="en-GB"/>
              </w:rPr>
              <w:t xml:space="preserve"> </w:t>
            </w:r>
            <w:r>
              <w:rPr>
                <w:color w:val="000000" w:themeColor="text1"/>
                <w:sz w:val="16"/>
                <w:szCs w:val="16"/>
                <w:lang w:val="en-GB"/>
              </w:rPr>
              <w:t xml:space="preserve"> </w:t>
            </w:r>
            <w:r w:rsidR="00D973B7" w:rsidRPr="00972B61">
              <w:rPr>
                <w:color w:val="000000" w:themeColor="text1"/>
                <w:sz w:val="16"/>
                <w:szCs w:val="16"/>
                <w:lang w:val="en-GB"/>
              </w:rPr>
              <w:t>Baseline (2020):</w:t>
            </w:r>
            <w:r w:rsidR="00B9663B">
              <w:rPr>
                <w:color w:val="000000" w:themeColor="text1"/>
                <w:sz w:val="16"/>
                <w:szCs w:val="16"/>
                <w:lang w:val="en-GB"/>
              </w:rPr>
              <w:t xml:space="preserve"> </w:t>
            </w:r>
            <w:r w:rsidR="00D973B7" w:rsidRPr="00972B61">
              <w:rPr>
                <w:color w:val="000000" w:themeColor="text1"/>
                <w:sz w:val="16"/>
                <w:szCs w:val="16"/>
                <w:lang w:val="en-GB"/>
              </w:rPr>
              <w:t>1,000</w:t>
            </w:r>
          </w:p>
          <w:p w14:paraId="1F6DFE67" w14:textId="4E1DBE78"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Target (2026):</w:t>
            </w:r>
            <w:r w:rsidR="00B9663B">
              <w:rPr>
                <w:color w:val="000000" w:themeColor="text1"/>
                <w:sz w:val="16"/>
                <w:szCs w:val="16"/>
                <w:lang w:val="en-GB"/>
              </w:rPr>
              <w:t xml:space="preserve"> </w:t>
            </w:r>
            <w:r w:rsidRPr="00972B61">
              <w:rPr>
                <w:color w:val="000000" w:themeColor="text1"/>
                <w:sz w:val="16"/>
                <w:szCs w:val="16"/>
                <w:lang w:val="en-GB"/>
              </w:rPr>
              <w:t>5,000 (50% women)</w:t>
            </w:r>
          </w:p>
          <w:p w14:paraId="59C58331" w14:textId="77777777"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Data source: MOPHRH, MEF, GREPOC</w:t>
            </w:r>
          </w:p>
          <w:p w14:paraId="0946DD79" w14:textId="77777777" w:rsidR="00D973B7" w:rsidRPr="00972B61" w:rsidRDefault="00D973B7" w:rsidP="004C5C28">
            <w:pPr>
              <w:ind w:left="142"/>
              <w:rPr>
                <w:sz w:val="16"/>
                <w:szCs w:val="16"/>
                <w:lang w:val="en-GB"/>
              </w:rPr>
            </w:pPr>
            <w:r w:rsidRPr="00972B61">
              <w:rPr>
                <w:color w:val="000000" w:themeColor="text1"/>
                <w:sz w:val="16"/>
                <w:szCs w:val="16"/>
                <w:lang w:val="en-GB"/>
              </w:rPr>
              <w:t>Frequency: Annual</w:t>
            </w:r>
          </w:p>
          <w:p w14:paraId="7EAB294B" w14:textId="183114A2" w:rsidR="00D973B7" w:rsidRPr="00972B61" w:rsidRDefault="00D973B7" w:rsidP="00E40F85">
            <w:pPr>
              <w:pStyle w:val="ListParagraph"/>
              <w:numPr>
                <w:ilvl w:val="0"/>
                <w:numId w:val="27"/>
              </w:numPr>
              <w:ind w:left="142" w:hanging="142"/>
              <w:rPr>
                <w:sz w:val="16"/>
                <w:szCs w:val="16"/>
                <w:lang w:val="en-GB"/>
              </w:rPr>
            </w:pPr>
            <w:r w:rsidRPr="00972B61">
              <w:rPr>
                <w:b/>
                <w:bCs/>
                <w:sz w:val="16"/>
                <w:szCs w:val="16"/>
                <w:lang w:val="en-GB"/>
              </w:rPr>
              <w:t>Indicator 2.1.1.3</w:t>
            </w:r>
            <w:r w:rsidR="00B9663B">
              <w:rPr>
                <w:b/>
                <w:bCs/>
                <w:sz w:val="16"/>
                <w:szCs w:val="16"/>
                <w:lang w:val="en-GB"/>
              </w:rPr>
              <w:t>.</w:t>
            </w:r>
            <w:r w:rsidRPr="00972B61">
              <w:rPr>
                <w:b/>
                <w:bCs/>
                <w:sz w:val="16"/>
                <w:szCs w:val="16"/>
                <w:lang w:val="en-GB"/>
              </w:rPr>
              <w:t xml:space="preserve"> </w:t>
            </w:r>
            <w:r w:rsidRPr="00972B61">
              <w:rPr>
                <w:sz w:val="16"/>
                <w:szCs w:val="16"/>
                <w:lang w:val="en-GB"/>
              </w:rPr>
              <w:t>N</w:t>
            </w:r>
            <w:r w:rsidR="00B9663B">
              <w:rPr>
                <w:sz w:val="16"/>
                <w:szCs w:val="16"/>
                <w:lang w:val="en-GB"/>
              </w:rPr>
              <w:t>umber</w:t>
            </w:r>
            <w:r w:rsidRPr="00972B61">
              <w:rPr>
                <w:sz w:val="16"/>
                <w:szCs w:val="16"/>
                <w:lang w:val="en-GB"/>
              </w:rPr>
              <w:t xml:space="preserve"> of functional local risk-management committees in</w:t>
            </w:r>
            <w:r w:rsidRPr="00972B61">
              <w:rPr>
                <w:color w:val="7030A0"/>
                <w:sz w:val="16"/>
                <w:szCs w:val="16"/>
                <w:lang w:val="en-GB"/>
              </w:rPr>
              <w:t xml:space="preserve"> </w:t>
            </w:r>
            <w:r w:rsidRPr="00972B61">
              <w:rPr>
                <w:sz w:val="16"/>
                <w:szCs w:val="16"/>
                <w:lang w:val="en-GB"/>
              </w:rPr>
              <w:t>targeted districts.</w:t>
            </w:r>
          </w:p>
          <w:p w14:paraId="075C273F" w14:textId="3F425BC8"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Baseline (2020)</w:t>
            </w:r>
            <w:r w:rsidR="00B9663B">
              <w:rPr>
                <w:color w:val="000000" w:themeColor="text1"/>
                <w:sz w:val="16"/>
                <w:szCs w:val="16"/>
                <w:lang w:val="en-GB"/>
              </w:rPr>
              <w:t xml:space="preserve">: </w:t>
            </w:r>
            <w:r w:rsidRPr="00972B61">
              <w:rPr>
                <w:color w:val="000000" w:themeColor="text1"/>
                <w:sz w:val="16"/>
                <w:szCs w:val="16"/>
                <w:lang w:val="en-GB"/>
              </w:rPr>
              <w:t>1,439</w:t>
            </w:r>
          </w:p>
          <w:p w14:paraId="755A5F3F" w14:textId="79F6FBD9"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Target (2026):</w:t>
            </w:r>
            <w:r w:rsidR="00B9663B">
              <w:rPr>
                <w:color w:val="000000" w:themeColor="text1"/>
                <w:sz w:val="16"/>
                <w:szCs w:val="16"/>
                <w:lang w:val="en-GB"/>
              </w:rPr>
              <w:t xml:space="preserve"> </w:t>
            </w:r>
            <w:r w:rsidRPr="00972B61">
              <w:rPr>
                <w:color w:val="000000" w:themeColor="text1"/>
                <w:sz w:val="16"/>
                <w:szCs w:val="16"/>
                <w:lang w:val="en-GB"/>
              </w:rPr>
              <w:t xml:space="preserve"> 2,939</w:t>
            </w:r>
          </w:p>
          <w:p w14:paraId="2704D90B" w14:textId="77777777" w:rsidR="00D973B7" w:rsidRPr="00972B61" w:rsidRDefault="00D973B7" w:rsidP="00E40F85">
            <w:pPr>
              <w:ind w:left="139"/>
              <w:jc w:val="both"/>
              <w:rPr>
                <w:color w:val="000000" w:themeColor="text1"/>
                <w:sz w:val="16"/>
                <w:szCs w:val="16"/>
                <w:lang w:val="en-GB"/>
              </w:rPr>
            </w:pPr>
            <w:r w:rsidRPr="00972B61">
              <w:rPr>
                <w:color w:val="000000" w:themeColor="text1"/>
                <w:sz w:val="16"/>
                <w:szCs w:val="16"/>
                <w:lang w:val="en-GB"/>
              </w:rPr>
              <w:t>Data source: INGD</w:t>
            </w:r>
          </w:p>
          <w:p w14:paraId="000736DE" w14:textId="7247D9C3" w:rsidR="00D973B7" w:rsidRPr="00972B61" w:rsidRDefault="00D973B7" w:rsidP="006B044C">
            <w:pPr>
              <w:ind w:left="142"/>
              <w:rPr>
                <w:color w:val="000000" w:themeColor="text1"/>
                <w:sz w:val="16"/>
                <w:szCs w:val="16"/>
                <w:lang w:val="en-GB"/>
              </w:rPr>
            </w:pPr>
            <w:r w:rsidRPr="00972B61">
              <w:rPr>
                <w:color w:val="000000" w:themeColor="text1"/>
                <w:sz w:val="16"/>
                <w:szCs w:val="16"/>
                <w:lang w:val="en-GB"/>
              </w:rPr>
              <w:t>Frequency: Annual</w:t>
            </w:r>
          </w:p>
        </w:tc>
        <w:tc>
          <w:tcPr>
            <w:tcW w:w="786" w:type="pct"/>
            <w:vMerge w:val="restart"/>
            <w:shd w:val="clear" w:color="auto" w:fill="auto"/>
          </w:tcPr>
          <w:p w14:paraId="258109DE" w14:textId="19111AB5" w:rsidR="00706D0F" w:rsidRPr="00505311" w:rsidRDefault="001E1FC7" w:rsidP="00505311">
            <w:pPr>
              <w:rPr>
                <w:color w:val="000000"/>
                <w:sz w:val="16"/>
                <w:szCs w:val="16"/>
                <w:lang w:val="en-GB"/>
              </w:rPr>
            </w:pPr>
            <w:r w:rsidRPr="00505311">
              <w:rPr>
                <w:color w:val="000000"/>
                <w:sz w:val="16"/>
                <w:szCs w:val="16"/>
                <w:lang w:val="en-GB"/>
              </w:rPr>
              <w:t>Ministry of Land and Environment (</w:t>
            </w:r>
            <w:r w:rsidR="00482D96" w:rsidRPr="00505311">
              <w:rPr>
                <w:color w:val="000000"/>
                <w:sz w:val="16"/>
                <w:szCs w:val="16"/>
                <w:lang w:val="en-GB"/>
              </w:rPr>
              <w:t xml:space="preserve">MTA); </w:t>
            </w:r>
            <w:r w:rsidR="00706D0F" w:rsidRPr="00505311">
              <w:rPr>
                <w:color w:val="000000"/>
                <w:sz w:val="16"/>
                <w:szCs w:val="16"/>
                <w:lang w:val="en-GB"/>
              </w:rPr>
              <w:t>I</w:t>
            </w:r>
            <w:r w:rsidR="000A1DCC" w:rsidRPr="00505311">
              <w:rPr>
                <w:color w:val="000000"/>
                <w:sz w:val="16"/>
                <w:szCs w:val="16"/>
                <w:lang w:val="en-GB"/>
              </w:rPr>
              <w:t>NGD</w:t>
            </w:r>
            <w:r w:rsidR="00482D96" w:rsidRPr="00505311">
              <w:rPr>
                <w:color w:val="000000"/>
                <w:sz w:val="16"/>
                <w:szCs w:val="16"/>
                <w:lang w:val="en-GB"/>
              </w:rPr>
              <w:t xml:space="preserve">/ National Centre for Emergency Operations (CENOE); </w:t>
            </w:r>
            <w:r w:rsidR="00706D0F" w:rsidRPr="00505311">
              <w:rPr>
                <w:color w:val="000000"/>
                <w:sz w:val="16"/>
                <w:szCs w:val="16"/>
                <w:lang w:val="en-GB"/>
              </w:rPr>
              <w:t xml:space="preserve"> Ministry of Public Works, Housing and Water Resources (MOPHRH</w:t>
            </w:r>
            <w:r w:rsidR="006C7C65" w:rsidRPr="00505311">
              <w:rPr>
                <w:color w:val="000000"/>
                <w:sz w:val="16"/>
                <w:szCs w:val="16"/>
                <w:lang w:val="en-GB"/>
              </w:rPr>
              <w:t>)/</w:t>
            </w:r>
            <w:r w:rsidR="00124065" w:rsidRPr="00505311">
              <w:rPr>
                <w:color w:val="000000"/>
                <w:sz w:val="16"/>
                <w:szCs w:val="16"/>
                <w:lang w:val="en-GB"/>
              </w:rPr>
              <w:t xml:space="preserve"> Cabinet for Reconstruction Post-Cyclones (GREPOC); </w:t>
            </w:r>
          </w:p>
          <w:p w14:paraId="3FCAF3BE" w14:textId="626454A6" w:rsidR="000A1DCC" w:rsidRPr="00972B61" w:rsidRDefault="000A1DCC" w:rsidP="00E40F85">
            <w:pPr>
              <w:rPr>
                <w:color w:val="000000"/>
                <w:sz w:val="16"/>
                <w:szCs w:val="16"/>
                <w:lang w:val="en-GB"/>
              </w:rPr>
            </w:pPr>
          </w:p>
          <w:p w14:paraId="0C332464" w14:textId="62DA6FBC" w:rsidR="00D973B7" w:rsidRPr="00972B61" w:rsidRDefault="00D973B7" w:rsidP="00E40F85">
            <w:pPr>
              <w:rPr>
                <w:color w:val="000000"/>
                <w:sz w:val="16"/>
                <w:szCs w:val="16"/>
                <w:lang w:val="en-GB"/>
              </w:rPr>
            </w:pPr>
            <w:r w:rsidRPr="00972B61">
              <w:rPr>
                <w:color w:val="000000"/>
                <w:sz w:val="16"/>
                <w:szCs w:val="16"/>
                <w:lang w:val="en-GB"/>
              </w:rPr>
              <w:t xml:space="preserve">UNICEF, </w:t>
            </w:r>
            <w:r w:rsidR="002A35BB">
              <w:rPr>
                <w:color w:val="000000"/>
                <w:sz w:val="16"/>
                <w:szCs w:val="16"/>
                <w:lang w:val="en-GB"/>
              </w:rPr>
              <w:t>World Food Programme (</w:t>
            </w:r>
            <w:r w:rsidRPr="00972B61">
              <w:rPr>
                <w:color w:val="000000"/>
                <w:sz w:val="16"/>
                <w:szCs w:val="16"/>
                <w:lang w:val="en-GB"/>
              </w:rPr>
              <w:t>WFP</w:t>
            </w:r>
            <w:r w:rsidR="002A35BB">
              <w:rPr>
                <w:color w:val="000000"/>
                <w:sz w:val="16"/>
                <w:szCs w:val="16"/>
                <w:lang w:val="en-GB"/>
              </w:rPr>
              <w:t>)</w:t>
            </w:r>
            <w:r w:rsidRPr="00972B61">
              <w:rPr>
                <w:color w:val="000000"/>
                <w:sz w:val="16"/>
                <w:szCs w:val="16"/>
                <w:lang w:val="en-GB"/>
              </w:rPr>
              <w:t xml:space="preserve">, </w:t>
            </w:r>
            <w:r w:rsidR="002A35BB">
              <w:rPr>
                <w:color w:val="000000"/>
                <w:sz w:val="16"/>
                <w:szCs w:val="16"/>
                <w:lang w:val="en-GB"/>
              </w:rPr>
              <w:t>United Nations Food and Agriculture Organization (</w:t>
            </w:r>
            <w:r w:rsidRPr="00972B61">
              <w:rPr>
                <w:color w:val="000000"/>
                <w:sz w:val="16"/>
                <w:szCs w:val="16"/>
                <w:lang w:val="en-GB"/>
              </w:rPr>
              <w:t>FAO</w:t>
            </w:r>
            <w:r w:rsidR="002A35BB">
              <w:rPr>
                <w:color w:val="000000"/>
                <w:sz w:val="16"/>
                <w:szCs w:val="16"/>
                <w:lang w:val="en-GB"/>
              </w:rPr>
              <w:t>)</w:t>
            </w:r>
            <w:r w:rsidRPr="00972B61">
              <w:rPr>
                <w:color w:val="000000"/>
                <w:sz w:val="16"/>
                <w:szCs w:val="16"/>
                <w:lang w:val="en-GB"/>
              </w:rPr>
              <w:t>, UN-</w:t>
            </w:r>
            <w:r w:rsidR="00B9663B">
              <w:rPr>
                <w:color w:val="000000"/>
                <w:sz w:val="16"/>
                <w:szCs w:val="16"/>
                <w:lang w:val="en-GB"/>
              </w:rPr>
              <w:t>Women</w:t>
            </w:r>
            <w:r w:rsidRPr="00972B61">
              <w:rPr>
                <w:color w:val="000000"/>
                <w:sz w:val="16"/>
                <w:szCs w:val="16"/>
                <w:lang w:val="en-GB"/>
              </w:rPr>
              <w:t xml:space="preserve">, </w:t>
            </w:r>
            <w:r w:rsidR="00B9663B">
              <w:rPr>
                <w:color w:val="000000"/>
                <w:sz w:val="16"/>
                <w:szCs w:val="16"/>
                <w:lang w:val="en-GB"/>
              </w:rPr>
              <w:t>the United Nations Human Settlements Programme (</w:t>
            </w:r>
            <w:r w:rsidRPr="00972B61">
              <w:rPr>
                <w:color w:val="000000"/>
                <w:sz w:val="16"/>
                <w:szCs w:val="16"/>
                <w:lang w:val="en-GB"/>
              </w:rPr>
              <w:t>UN-HABITAT</w:t>
            </w:r>
            <w:r w:rsidR="00B9663B">
              <w:rPr>
                <w:color w:val="000000"/>
                <w:sz w:val="16"/>
                <w:szCs w:val="16"/>
                <w:lang w:val="en-GB"/>
              </w:rPr>
              <w:t>),</w:t>
            </w:r>
            <w:r w:rsidRPr="00972B61">
              <w:rPr>
                <w:color w:val="000000"/>
                <w:sz w:val="16"/>
                <w:szCs w:val="16"/>
                <w:lang w:val="en-GB"/>
              </w:rPr>
              <w:t xml:space="preserve"> </w:t>
            </w:r>
            <w:r w:rsidR="006D1EA8">
              <w:rPr>
                <w:color w:val="000000"/>
                <w:sz w:val="16"/>
                <w:szCs w:val="16"/>
                <w:lang w:val="en-GB"/>
              </w:rPr>
              <w:t xml:space="preserve">Office </w:t>
            </w:r>
            <w:r w:rsidR="006E3F35">
              <w:rPr>
                <w:color w:val="000000"/>
                <w:sz w:val="16"/>
                <w:szCs w:val="16"/>
                <w:lang w:val="en-GB"/>
              </w:rPr>
              <w:t>for the Coordination of Humanitarian Affairs (</w:t>
            </w:r>
            <w:r w:rsidRPr="00972B61">
              <w:rPr>
                <w:color w:val="000000"/>
                <w:sz w:val="16"/>
                <w:szCs w:val="16"/>
                <w:lang w:val="en-GB"/>
              </w:rPr>
              <w:t>OCHA</w:t>
            </w:r>
            <w:r w:rsidR="006E3F35">
              <w:rPr>
                <w:color w:val="000000"/>
                <w:sz w:val="16"/>
                <w:szCs w:val="16"/>
                <w:lang w:val="en-GB"/>
              </w:rPr>
              <w:t>)</w:t>
            </w:r>
          </w:p>
          <w:p w14:paraId="432BB948" w14:textId="2C19921C" w:rsidR="00D973B7" w:rsidRPr="00972B61" w:rsidRDefault="00D973B7" w:rsidP="00E40F85">
            <w:pPr>
              <w:rPr>
                <w:color w:val="000000"/>
                <w:sz w:val="16"/>
                <w:szCs w:val="16"/>
                <w:lang w:val="en-GB"/>
              </w:rPr>
            </w:pPr>
          </w:p>
        </w:tc>
        <w:tc>
          <w:tcPr>
            <w:tcW w:w="600" w:type="pct"/>
            <w:vMerge w:val="restart"/>
            <w:shd w:val="clear" w:color="auto" w:fill="auto"/>
            <w:tcMar>
              <w:top w:w="15" w:type="dxa"/>
              <w:left w:w="108" w:type="dxa"/>
              <w:bottom w:w="0" w:type="dxa"/>
              <w:right w:w="108" w:type="dxa"/>
            </w:tcMar>
          </w:tcPr>
          <w:p w14:paraId="7F6FDF96" w14:textId="7465D9EE" w:rsidR="00D973B7" w:rsidRPr="00972B61" w:rsidRDefault="00D973B7" w:rsidP="00E40F85">
            <w:pPr>
              <w:spacing w:after="120"/>
              <w:rPr>
                <w:color w:val="000000"/>
                <w:sz w:val="16"/>
                <w:szCs w:val="16"/>
                <w:lang w:val="en-GB"/>
              </w:rPr>
            </w:pPr>
            <w:r w:rsidRPr="00972B61">
              <w:rPr>
                <w:color w:val="000000"/>
                <w:sz w:val="16"/>
                <w:szCs w:val="16"/>
                <w:lang w:val="en-GB"/>
              </w:rPr>
              <w:t xml:space="preserve">Regular: </w:t>
            </w:r>
            <w:r w:rsidR="007845BC" w:rsidRPr="00972B61">
              <w:rPr>
                <w:color w:val="000000"/>
                <w:sz w:val="16"/>
                <w:szCs w:val="16"/>
                <w:lang w:val="en-GB"/>
              </w:rPr>
              <w:t>$</w:t>
            </w:r>
            <w:r w:rsidR="007845BC" w:rsidRPr="00972B61">
              <w:rPr>
                <w:color w:val="000000"/>
                <w:sz w:val="16"/>
                <w:szCs w:val="16"/>
                <w:lang w:val="en-GB" w:eastAsia="en-GB"/>
              </w:rPr>
              <w:t>7,374,975</w:t>
            </w:r>
          </w:p>
          <w:p w14:paraId="2552022B" w14:textId="73EA53E7" w:rsidR="00D973B7" w:rsidRPr="00972B61" w:rsidRDefault="00D973B7" w:rsidP="00E40F85">
            <w:pPr>
              <w:rPr>
                <w:color w:val="000000" w:themeColor="text1"/>
                <w:sz w:val="16"/>
                <w:szCs w:val="16"/>
                <w:lang w:val="en-GB" w:eastAsia="en-GB"/>
              </w:rPr>
            </w:pPr>
            <w:r w:rsidRPr="00972B61">
              <w:rPr>
                <w:color w:val="000000" w:themeColor="text1"/>
                <w:sz w:val="16"/>
                <w:szCs w:val="16"/>
                <w:lang w:val="en-GB"/>
              </w:rPr>
              <w:t xml:space="preserve">Other: </w:t>
            </w:r>
            <w:r w:rsidR="0013767D" w:rsidRPr="00972B61">
              <w:rPr>
                <w:color w:val="000000"/>
                <w:sz w:val="16"/>
                <w:szCs w:val="16"/>
                <w:lang w:val="en-GB"/>
              </w:rPr>
              <w:t>$32,490,558</w:t>
            </w:r>
          </w:p>
          <w:p w14:paraId="095E21EA" w14:textId="77777777" w:rsidR="00D973B7" w:rsidRPr="00972B61" w:rsidRDefault="00D973B7" w:rsidP="00E40F85">
            <w:pPr>
              <w:rPr>
                <w:b/>
                <w:color w:val="C0504D" w:themeColor="accent2"/>
                <w:sz w:val="16"/>
                <w:szCs w:val="16"/>
                <w:lang w:val="en-GB"/>
              </w:rPr>
            </w:pPr>
          </w:p>
        </w:tc>
      </w:tr>
      <w:tr w:rsidR="00D973B7" w:rsidRPr="00972B61" w14:paraId="1C81275A" w14:textId="77777777" w:rsidTr="00DA48C2">
        <w:tc>
          <w:tcPr>
            <w:tcW w:w="1023" w:type="pct"/>
            <w:vMerge/>
            <w:tcMar>
              <w:top w:w="72" w:type="dxa"/>
              <w:left w:w="144" w:type="dxa"/>
              <w:bottom w:w="72" w:type="dxa"/>
              <w:right w:w="144" w:type="dxa"/>
            </w:tcMar>
          </w:tcPr>
          <w:p w14:paraId="0D1B2999" w14:textId="77777777" w:rsidR="00D973B7" w:rsidRPr="00972B61" w:rsidRDefault="00D973B7" w:rsidP="00E40F85">
            <w:pPr>
              <w:rPr>
                <w:color w:val="000000"/>
                <w:sz w:val="16"/>
                <w:szCs w:val="16"/>
                <w:lang w:val="en-GB"/>
              </w:rPr>
            </w:pPr>
          </w:p>
        </w:tc>
        <w:tc>
          <w:tcPr>
            <w:tcW w:w="996" w:type="pct"/>
            <w:vMerge/>
          </w:tcPr>
          <w:p w14:paraId="66179125" w14:textId="77777777" w:rsidR="00D973B7" w:rsidRPr="00972B61" w:rsidRDefault="00D973B7" w:rsidP="00E40F85">
            <w:pPr>
              <w:rPr>
                <w:color w:val="000000"/>
                <w:sz w:val="16"/>
                <w:szCs w:val="16"/>
                <w:lang w:val="en-GB"/>
              </w:rPr>
            </w:pPr>
          </w:p>
        </w:tc>
        <w:tc>
          <w:tcPr>
            <w:tcW w:w="1595" w:type="pct"/>
            <w:tcMar>
              <w:top w:w="72" w:type="dxa"/>
              <w:left w:w="144" w:type="dxa"/>
              <w:bottom w:w="72" w:type="dxa"/>
              <w:right w:w="144" w:type="dxa"/>
            </w:tcMar>
          </w:tcPr>
          <w:p w14:paraId="31282BFB" w14:textId="5749A6DD" w:rsidR="00D973B7" w:rsidRPr="00972B61" w:rsidRDefault="00D973B7" w:rsidP="00E40F85">
            <w:pPr>
              <w:spacing w:after="60"/>
              <w:rPr>
                <w:b/>
                <w:bCs/>
                <w:sz w:val="16"/>
                <w:szCs w:val="16"/>
                <w:lang w:val="en-GB"/>
              </w:rPr>
            </w:pPr>
            <w:r w:rsidRPr="00972B61">
              <w:rPr>
                <w:b/>
                <w:bCs/>
                <w:sz w:val="16"/>
                <w:szCs w:val="16"/>
                <w:lang w:val="en-GB"/>
              </w:rPr>
              <w:t>Output 2.1.2</w:t>
            </w:r>
            <w:r w:rsidR="00B9663B">
              <w:rPr>
                <w:b/>
                <w:bCs/>
                <w:sz w:val="16"/>
                <w:szCs w:val="16"/>
                <w:lang w:val="en-GB"/>
              </w:rPr>
              <w:t>.</w:t>
            </w:r>
            <w:r w:rsidRPr="00972B61">
              <w:rPr>
                <w:b/>
                <w:bCs/>
                <w:sz w:val="16"/>
                <w:szCs w:val="16"/>
                <w:lang w:val="en-GB"/>
              </w:rPr>
              <w:t xml:space="preserve"> Livelihoods of most the vulnerable communities</w:t>
            </w:r>
            <w:r w:rsidR="006812F1" w:rsidRPr="00972B61">
              <w:rPr>
                <w:b/>
                <w:bCs/>
                <w:sz w:val="16"/>
                <w:szCs w:val="16"/>
                <w:lang w:val="en-GB"/>
              </w:rPr>
              <w:t>, including IDPs</w:t>
            </w:r>
            <w:r w:rsidR="0099051C" w:rsidRPr="00972B61">
              <w:rPr>
                <w:b/>
                <w:bCs/>
                <w:sz w:val="16"/>
                <w:szCs w:val="16"/>
                <w:lang w:val="en-GB"/>
              </w:rPr>
              <w:t>,</w:t>
            </w:r>
            <w:r w:rsidRPr="00972B61">
              <w:rPr>
                <w:b/>
                <w:bCs/>
                <w:sz w:val="16"/>
                <w:szCs w:val="16"/>
                <w:lang w:val="en-GB"/>
              </w:rPr>
              <w:t xml:space="preserve"> in areas</w:t>
            </w:r>
            <w:r w:rsidR="00B64BF7" w:rsidRPr="00972B61">
              <w:rPr>
                <w:b/>
                <w:bCs/>
                <w:sz w:val="16"/>
                <w:szCs w:val="16"/>
                <w:lang w:val="en-GB"/>
              </w:rPr>
              <w:t xml:space="preserve"> affected by violent extremism</w:t>
            </w:r>
            <w:r w:rsidRPr="00972B61">
              <w:rPr>
                <w:b/>
                <w:bCs/>
                <w:sz w:val="16"/>
                <w:szCs w:val="16"/>
                <w:lang w:val="en-GB"/>
              </w:rPr>
              <w:t>, especially in the informal economy, diversified and strengthened.</w:t>
            </w:r>
          </w:p>
          <w:p w14:paraId="6D2C1978" w14:textId="7CE12BDE" w:rsidR="00D973B7" w:rsidRPr="00972B61" w:rsidRDefault="00D973B7" w:rsidP="00E40F85">
            <w:pPr>
              <w:pStyle w:val="ListParagraph"/>
              <w:numPr>
                <w:ilvl w:val="0"/>
                <w:numId w:val="27"/>
              </w:numPr>
              <w:ind w:left="134" w:hanging="160"/>
              <w:rPr>
                <w:b/>
                <w:bCs/>
                <w:sz w:val="16"/>
                <w:szCs w:val="16"/>
                <w:lang w:val="en-GB"/>
              </w:rPr>
            </w:pPr>
            <w:r w:rsidRPr="00972B61">
              <w:rPr>
                <w:b/>
                <w:bCs/>
                <w:sz w:val="16"/>
                <w:szCs w:val="16"/>
                <w:lang w:val="en-GB"/>
              </w:rPr>
              <w:t>Indicator 2.1.2.1</w:t>
            </w:r>
            <w:r w:rsidR="00B9663B">
              <w:rPr>
                <w:b/>
                <w:bCs/>
                <w:sz w:val="16"/>
                <w:szCs w:val="16"/>
                <w:lang w:val="en-GB"/>
              </w:rPr>
              <w:t>.</w:t>
            </w:r>
            <w:r w:rsidRPr="00972B61">
              <w:rPr>
                <w:b/>
                <w:bCs/>
                <w:sz w:val="16"/>
                <w:szCs w:val="16"/>
                <w:lang w:val="en-GB"/>
              </w:rPr>
              <w:t xml:space="preserve"> </w:t>
            </w:r>
            <w:r w:rsidRPr="00972B61">
              <w:rPr>
                <w:sz w:val="16"/>
                <w:szCs w:val="16"/>
                <w:lang w:val="en-GB"/>
              </w:rPr>
              <w:t>N</w:t>
            </w:r>
            <w:r w:rsidR="00B9663B">
              <w:rPr>
                <w:sz w:val="16"/>
                <w:szCs w:val="16"/>
                <w:lang w:val="en-GB"/>
              </w:rPr>
              <w:t>umber</w:t>
            </w:r>
            <w:r w:rsidRPr="00972B61">
              <w:rPr>
                <w:sz w:val="16"/>
                <w:szCs w:val="16"/>
                <w:lang w:val="en-GB"/>
              </w:rPr>
              <w:t xml:space="preserve"> of beneficiaries of livelihood support interventions (disaggregated by sex</w:t>
            </w:r>
            <w:r w:rsidR="006812F1" w:rsidRPr="00972B61">
              <w:rPr>
                <w:sz w:val="16"/>
                <w:szCs w:val="16"/>
                <w:lang w:val="en-GB"/>
              </w:rPr>
              <w:t>, and IDPs</w:t>
            </w:r>
            <w:r w:rsidRPr="00972B61">
              <w:rPr>
                <w:sz w:val="16"/>
                <w:szCs w:val="16"/>
                <w:lang w:val="en-GB"/>
              </w:rPr>
              <w:t>)</w:t>
            </w:r>
            <w:r w:rsidR="00B9663B">
              <w:rPr>
                <w:sz w:val="16"/>
                <w:szCs w:val="16"/>
                <w:lang w:val="en-GB"/>
              </w:rPr>
              <w:t>.</w:t>
            </w:r>
          </w:p>
          <w:p w14:paraId="4FD9EFE7" w14:textId="32600EAD" w:rsidR="00D973B7" w:rsidRPr="00972B61" w:rsidRDefault="00D973B7" w:rsidP="00E40F85">
            <w:pPr>
              <w:ind w:left="134"/>
              <w:rPr>
                <w:color w:val="000000" w:themeColor="text1"/>
                <w:sz w:val="16"/>
                <w:szCs w:val="16"/>
                <w:lang w:val="en-GB"/>
              </w:rPr>
            </w:pPr>
            <w:r w:rsidRPr="00972B61">
              <w:rPr>
                <w:sz w:val="16"/>
                <w:szCs w:val="16"/>
                <w:lang w:val="en-GB"/>
              </w:rPr>
              <w:t xml:space="preserve">Baseline </w:t>
            </w:r>
            <w:r w:rsidRPr="00972B61">
              <w:rPr>
                <w:color w:val="000000" w:themeColor="text1"/>
                <w:sz w:val="16"/>
                <w:szCs w:val="16"/>
                <w:lang w:val="en-GB"/>
              </w:rPr>
              <w:t>(2020): 0</w:t>
            </w:r>
          </w:p>
          <w:p w14:paraId="76D54C8D" w14:textId="62736592" w:rsidR="00D973B7" w:rsidRPr="00972B61" w:rsidRDefault="00D973B7" w:rsidP="00E40F85">
            <w:pPr>
              <w:ind w:left="134"/>
              <w:rPr>
                <w:color w:val="000000" w:themeColor="text1"/>
                <w:sz w:val="16"/>
                <w:szCs w:val="16"/>
                <w:lang w:val="en-GB"/>
              </w:rPr>
            </w:pPr>
            <w:r w:rsidRPr="00972B61">
              <w:rPr>
                <w:color w:val="000000" w:themeColor="text1"/>
                <w:sz w:val="16"/>
                <w:szCs w:val="16"/>
                <w:lang w:val="en-GB"/>
              </w:rPr>
              <w:t>Target (2026): 1,000 (600 women)</w:t>
            </w:r>
          </w:p>
          <w:p w14:paraId="6FE6C30B" w14:textId="000C7194" w:rsidR="00D973B7" w:rsidRPr="00972B61" w:rsidRDefault="00D973B7" w:rsidP="00E40F85">
            <w:pPr>
              <w:ind w:left="134"/>
              <w:rPr>
                <w:color w:val="000000" w:themeColor="text1"/>
                <w:sz w:val="16"/>
                <w:szCs w:val="16"/>
                <w:lang w:val="en-GB"/>
              </w:rPr>
            </w:pPr>
            <w:r w:rsidRPr="00972B61">
              <w:rPr>
                <w:color w:val="000000" w:themeColor="text1"/>
                <w:sz w:val="16"/>
                <w:szCs w:val="16"/>
                <w:lang w:val="en-GB"/>
              </w:rPr>
              <w:t>Data source:</w:t>
            </w:r>
            <w:r w:rsidR="004C765C">
              <w:rPr>
                <w:color w:val="000000" w:themeColor="text1"/>
                <w:sz w:val="16"/>
                <w:szCs w:val="16"/>
                <w:lang w:val="en-GB"/>
              </w:rPr>
              <w:t xml:space="preserve"> results-oriented annual report (ROAR)</w:t>
            </w:r>
          </w:p>
          <w:p w14:paraId="02D566B9" w14:textId="77777777" w:rsidR="00D973B7" w:rsidRPr="00972B61" w:rsidRDefault="00D973B7" w:rsidP="00E40F85">
            <w:pPr>
              <w:spacing w:after="60"/>
              <w:ind w:left="136"/>
              <w:rPr>
                <w:color w:val="000000"/>
                <w:sz w:val="16"/>
                <w:szCs w:val="16"/>
                <w:lang w:val="en-GB"/>
              </w:rPr>
            </w:pPr>
            <w:r w:rsidRPr="00972B61">
              <w:rPr>
                <w:color w:val="000000"/>
                <w:sz w:val="16"/>
                <w:szCs w:val="16"/>
                <w:lang w:val="en-GB"/>
              </w:rPr>
              <w:t>Frequency: Annual</w:t>
            </w:r>
          </w:p>
          <w:p w14:paraId="4FD28612" w14:textId="772303BD" w:rsidR="00D973B7" w:rsidRPr="00972B61" w:rsidRDefault="00D973B7" w:rsidP="00E40F85">
            <w:pPr>
              <w:ind w:left="134"/>
              <w:rPr>
                <w:sz w:val="16"/>
                <w:szCs w:val="16"/>
                <w:lang w:val="en-GB"/>
              </w:rPr>
            </w:pPr>
            <w:r w:rsidRPr="00972B61">
              <w:rPr>
                <w:b/>
                <w:bCs/>
                <w:sz w:val="16"/>
                <w:szCs w:val="16"/>
                <w:lang w:val="en-GB"/>
              </w:rPr>
              <w:t>Indicator 2.1.2.2</w:t>
            </w:r>
            <w:r w:rsidR="00B9663B">
              <w:rPr>
                <w:sz w:val="16"/>
                <w:szCs w:val="16"/>
                <w:lang w:val="en-GB"/>
              </w:rPr>
              <w:t>.</w:t>
            </w:r>
            <w:r w:rsidRPr="00972B61">
              <w:rPr>
                <w:sz w:val="16"/>
                <w:szCs w:val="16"/>
                <w:lang w:val="en-GB"/>
              </w:rPr>
              <w:t xml:space="preserve"> Number of MSMEs benefitting from support interventions</w:t>
            </w:r>
            <w:r w:rsidR="00B9663B">
              <w:rPr>
                <w:sz w:val="16"/>
                <w:szCs w:val="16"/>
                <w:lang w:val="en-GB"/>
              </w:rPr>
              <w:t>.</w:t>
            </w:r>
            <w:r w:rsidRPr="00972B61">
              <w:rPr>
                <w:sz w:val="16"/>
                <w:szCs w:val="16"/>
                <w:lang w:val="en-GB"/>
              </w:rPr>
              <w:t xml:space="preserve"> </w:t>
            </w:r>
          </w:p>
          <w:p w14:paraId="5A6E4997" w14:textId="4C36ED95" w:rsidR="00D973B7" w:rsidRPr="00972B61" w:rsidRDefault="00D973B7" w:rsidP="00E40F85">
            <w:pPr>
              <w:ind w:left="134"/>
              <w:rPr>
                <w:sz w:val="16"/>
                <w:szCs w:val="16"/>
                <w:lang w:val="en-GB"/>
              </w:rPr>
            </w:pPr>
            <w:r w:rsidRPr="00972B61">
              <w:rPr>
                <w:sz w:val="16"/>
                <w:szCs w:val="16"/>
                <w:lang w:val="en-GB"/>
              </w:rPr>
              <w:t xml:space="preserve">Baseline (2020): 0 </w:t>
            </w:r>
          </w:p>
          <w:p w14:paraId="540A09A9" w14:textId="7EDEE376" w:rsidR="00D973B7" w:rsidRPr="00972B61" w:rsidRDefault="00D973B7" w:rsidP="00E40F85">
            <w:pPr>
              <w:ind w:left="134"/>
              <w:rPr>
                <w:sz w:val="16"/>
                <w:szCs w:val="16"/>
                <w:lang w:val="en-GB"/>
              </w:rPr>
            </w:pPr>
            <w:r w:rsidRPr="00972B61">
              <w:rPr>
                <w:sz w:val="16"/>
                <w:szCs w:val="16"/>
                <w:lang w:val="en-GB"/>
              </w:rPr>
              <w:t>Target (2026): 100 (60 MSMEs owned by women)</w:t>
            </w:r>
          </w:p>
          <w:p w14:paraId="20217023" w14:textId="77777777" w:rsidR="00D973B7" w:rsidRPr="00972B61" w:rsidRDefault="00D973B7" w:rsidP="00E40F85">
            <w:pPr>
              <w:ind w:left="134"/>
              <w:rPr>
                <w:sz w:val="16"/>
                <w:szCs w:val="16"/>
                <w:lang w:val="en-GB"/>
              </w:rPr>
            </w:pPr>
            <w:r w:rsidRPr="00972B61">
              <w:rPr>
                <w:sz w:val="16"/>
                <w:szCs w:val="16"/>
                <w:lang w:val="en-GB"/>
              </w:rPr>
              <w:t>Data source: ROAR</w:t>
            </w:r>
          </w:p>
          <w:p w14:paraId="3DD7BD17" w14:textId="77777777" w:rsidR="00D973B7" w:rsidRPr="00972B61" w:rsidRDefault="00D973B7" w:rsidP="006B044C">
            <w:pPr>
              <w:ind w:left="136"/>
              <w:rPr>
                <w:sz w:val="16"/>
                <w:szCs w:val="16"/>
                <w:lang w:val="en-GB"/>
              </w:rPr>
            </w:pPr>
            <w:r w:rsidRPr="00972B61">
              <w:rPr>
                <w:sz w:val="16"/>
                <w:szCs w:val="16"/>
                <w:lang w:val="en-GB"/>
              </w:rPr>
              <w:t xml:space="preserve">Frequency: Annual </w:t>
            </w:r>
          </w:p>
        </w:tc>
        <w:tc>
          <w:tcPr>
            <w:tcW w:w="786" w:type="pct"/>
            <w:vMerge/>
          </w:tcPr>
          <w:p w14:paraId="187DF50C" w14:textId="77777777" w:rsidR="00D973B7" w:rsidRPr="00972B61" w:rsidRDefault="00D973B7" w:rsidP="00E40F85">
            <w:pPr>
              <w:rPr>
                <w:color w:val="000000"/>
                <w:sz w:val="16"/>
                <w:szCs w:val="16"/>
                <w:lang w:val="en-GB"/>
              </w:rPr>
            </w:pPr>
          </w:p>
        </w:tc>
        <w:tc>
          <w:tcPr>
            <w:tcW w:w="600" w:type="pct"/>
            <w:vMerge/>
            <w:tcMar>
              <w:top w:w="15" w:type="dxa"/>
              <w:left w:w="108" w:type="dxa"/>
              <w:bottom w:w="0" w:type="dxa"/>
              <w:right w:w="108" w:type="dxa"/>
            </w:tcMar>
          </w:tcPr>
          <w:p w14:paraId="332E9118" w14:textId="77777777" w:rsidR="00D973B7" w:rsidRPr="00972B61" w:rsidRDefault="00D973B7" w:rsidP="00E40F85">
            <w:pPr>
              <w:rPr>
                <w:b/>
                <w:color w:val="000000"/>
                <w:sz w:val="16"/>
                <w:szCs w:val="16"/>
                <w:lang w:val="en-GB"/>
              </w:rPr>
            </w:pPr>
          </w:p>
        </w:tc>
      </w:tr>
      <w:tr w:rsidR="00D973B7" w:rsidRPr="00972B61" w14:paraId="5338267B" w14:textId="77777777" w:rsidTr="00DA48C2">
        <w:tc>
          <w:tcPr>
            <w:tcW w:w="5000" w:type="pct"/>
            <w:gridSpan w:val="5"/>
            <w:shd w:val="clear" w:color="auto" w:fill="DBE5F1" w:themeFill="accent1" w:themeFillTint="33"/>
            <w:tcMar>
              <w:top w:w="72" w:type="dxa"/>
              <w:left w:w="144" w:type="dxa"/>
              <w:bottom w:w="72" w:type="dxa"/>
              <w:right w:w="144" w:type="dxa"/>
            </w:tcMar>
          </w:tcPr>
          <w:p w14:paraId="136F4146" w14:textId="70321B5E" w:rsidR="00F96E09" w:rsidRPr="00F96E09" w:rsidRDefault="00D973B7" w:rsidP="00F951C0">
            <w:pPr>
              <w:ind w:left="3724" w:hanging="3724"/>
              <w:rPr>
                <w:b/>
                <w:color w:val="000000"/>
                <w:sz w:val="16"/>
                <w:szCs w:val="16"/>
                <w:lang w:val="en-GB"/>
              </w:rPr>
            </w:pPr>
            <w:r w:rsidRPr="00972B61">
              <w:rPr>
                <w:b/>
                <w:color w:val="000000"/>
                <w:sz w:val="16"/>
                <w:szCs w:val="16"/>
                <w:lang w:val="en-GB"/>
              </w:rPr>
              <w:t xml:space="preserve">NATIONAL PRIORITY OR GOAL: </w:t>
            </w:r>
            <w:r w:rsidR="00F96E09">
              <w:rPr>
                <w:b/>
                <w:color w:val="000000"/>
                <w:sz w:val="16"/>
                <w:szCs w:val="16"/>
                <w:lang w:val="en-GB"/>
              </w:rPr>
              <w:t xml:space="preserve"> </w:t>
            </w:r>
            <w:r w:rsidRPr="00972B61">
              <w:rPr>
                <w:b/>
                <w:color w:val="000000"/>
                <w:sz w:val="16"/>
                <w:szCs w:val="16"/>
                <w:lang w:val="en-GB"/>
              </w:rPr>
              <w:t xml:space="preserve">PQG Priority </w:t>
            </w:r>
            <w:r w:rsidR="00F96E09">
              <w:rPr>
                <w:b/>
                <w:color w:val="000000"/>
                <w:sz w:val="16"/>
                <w:szCs w:val="16"/>
                <w:lang w:val="en-GB"/>
              </w:rPr>
              <w:t>3</w:t>
            </w:r>
            <w:r w:rsidRPr="00972B61">
              <w:rPr>
                <w:b/>
                <w:color w:val="000000"/>
                <w:sz w:val="16"/>
                <w:szCs w:val="16"/>
                <w:lang w:val="en-GB"/>
              </w:rPr>
              <w:t xml:space="preserve">: </w:t>
            </w:r>
            <w:r w:rsidRPr="00F951C0">
              <w:rPr>
                <w:bCs/>
                <w:color w:val="000000"/>
                <w:sz w:val="16"/>
                <w:szCs w:val="16"/>
                <w:lang w:val="en-GB"/>
              </w:rPr>
              <w:t xml:space="preserve">Strengthen </w:t>
            </w:r>
            <w:r w:rsidR="00F96E09">
              <w:rPr>
                <w:bCs/>
                <w:color w:val="000000"/>
                <w:sz w:val="16"/>
                <w:szCs w:val="16"/>
                <w:lang w:val="en-GB"/>
              </w:rPr>
              <w:t>s</w:t>
            </w:r>
            <w:r w:rsidRPr="00F951C0">
              <w:rPr>
                <w:bCs/>
                <w:color w:val="000000"/>
                <w:sz w:val="16"/>
                <w:szCs w:val="16"/>
                <w:lang w:val="en-GB"/>
              </w:rPr>
              <w:t xml:space="preserve">ustainable </w:t>
            </w:r>
            <w:r w:rsidR="00F96E09">
              <w:rPr>
                <w:bCs/>
                <w:color w:val="000000"/>
                <w:sz w:val="16"/>
                <w:szCs w:val="16"/>
                <w:lang w:val="en-GB"/>
              </w:rPr>
              <w:t>m</w:t>
            </w:r>
            <w:r w:rsidRPr="00F951C0">
              <w:rPr>
                <w:bCs/>
                <w:color w:val="000000"/>
                <w:sz w:val="16"/>
                <w:szCs w:val="16"/>
                <w:lang w:val="en-GB"/>
              </w:rPr>
              <w:t xml:space="preserve">anagement of </w:t>
            </w:r>
            <w:r w:rsidR="00F96E09">
              <w:rPr>
                <w:bCs/>
                <w:color w:val="000000"/>
                <w:sz w:val="16"/>
                <w:szCs w:val="16"/>
                <w:lang w:val="en-GB"/>
              </w:rPr>
              <w:t>n</w:t>
            </w:r>
            <w:r w:rsidRPr="00F951C0">
              <w:rPr>
                <w:bCs/>
                <w:color w:val="000000"/>
                <w:sz w:val="16"/>
                <w:szCs w:val="16"/>
                <w:lang w:val="en-GB"/>
              </w:rPr>
              <w:t xml:space="preserve">atural </w:t>
            </w:r>
            <w:r w:rsidR="00F96E09">
              <w:rPr>
                <w:bCs/>
                <w:color w:val="000000"/>
                <w:sz w:val="16"/>
                <w:szCs w:val="16"/>
                <w:lang w:val="en-GB"/>
              </w:rPr>
              <w:t>r</w:t>
            </w:r>
            <w:r w:rsidRPr="00F951C0">
              <w:rPr>
                <w:bCs/>
                <w:color w:val="000000"/>
                <w:sz w:val="16"/>
                <w:szCs w:val="16"/>
                <w:lang w:val="en-GB"/>
              </w:rPr>
              <w:t xml:space="preserve">esources and the </w:t>
            </w:r>
            <w:r w:rsidR="00F96E09">
              <w:rPr>
                <w:bCs/>
                <w:color w:val="000000"/>
                <w:sz w:val="16"/>
                <w:szCs w:val="16"/>
                <w:lang w:val="en-GB"/>
              </w:rPr>
              <w:t>e</w:t>
            </w:r>
            <w:r w:rsidRPr="00F951C0">
              <w:rPr>
                <w:bCs/>
                <w:color w:val="000000"/>
                <w:sz w:val="16"/>
                <w:szCs w:val="16"/>
                <w:lang w:val="en-GB"/>
              </w:rPr>
              <w:t>nvironment (</w:t>
            </w:r>
            <w:r w:rsidR="00F96E09">
              <w:rPr>
                <w:bCs/>
                <w:color w:val="000000"/>
                <w:sz w:val="16"/>
                <w:szCs w:val="16"/>
                <w:lang w:val="en-GB"/>
              </w:rPr>
              <w:t>s</w:t>
            </w:r>
            <w:r w:rsidRPr="00F951C0">
              <w:rPr>
                <w:bCs/>
                <w:color w:val="000000"/>
                <w:sz w:val="16"/>
                <w:szCs w:val="16"/>
                <w:lang w:val="en-GB"/>
              </w:rPr>
              <w:t xml:space="preserve">trategic </w:t>
            </w:r>
            <w:r w:rsidR="00F96E09">
              <w:rPr>
                <w:bCs/>
                <w:color w:val="000000"/>
                <w:sz w:val="16"/>
                <w:szCs w:val="16"/>
                <w:lang w:val="en-GB"/>
              </w:rPr>
              <w:t>o</w:t>
            </w:r>
            <w:r w:rsidRPr="00F951C0">
              <w:rPr>
                <w:bCs/>
                <w:color w:val="000000"/>
                <w:sz w:val="16"/>
                <w:szCs w:val="16"/>
                <w:lang w:val="en-GB"/>
              </w:rPr>
              <w:t>bjectives  ii, iii, iv)</w:t>
            </w:r>
            <w:r w:rsidR="00F96E09">
              <w:rPr>
                <w:bCs/>
                <w:color w:val="000000"/>
                <w:sz w:val="16"/>
                <w:szCs w:val="16"/>
                <w:lang w:val="en-GB"/>
              </w:rPr>
              <w:t>;</w:t>
            </w:r>
          </w:p>
          <w:p w14:paraId="2ECEEBC8" w14:textId="5EBEFAE5" w:rsidR="00D973B7" w:rsidRPr="00972B61" w:rsidRDefault="00D973B7" w:rsidP="00F951C0">
            <w:pPr>
              <w:ind w:firstLine="2644"/>
              <w:rPr>
                <w:b/>
                <w:color w:val="000000"/>
                <w:sz w:val="16"/>
                <w:szCs w:val="16"/>
                <w:lang w:val="en-GB"/>
              </w:rPr>
            </w:pPr>
            <w:r w:rsidRPr="00F96E09">
              <w:rPr>
                <w:b/>
                <w:color w:val="000000"/>
                <w:sz w:val="16"/>
                <w:szCs w:val="16"/>
                <w:lang w:val="en-GB"/>
              </w:rPr>
              <w:t xml:space="preserve">Pillar </w:t>
            </w:r>
            <w:r w:rsidR="00F96E09" w:rsidRPr="00F951C0">
              <w:rPr>
                <w:b/>
                <w:color w:val="000000"/>
                <w:sz w:val="16"/>
                <w:szCs w:val="16"/>
                <w:lang w:val="en-GB"/>
              </w:rPr>
              <w:t>3</w:t>
            </w:r>
            <w:r w:rsidRPr="00F96E09">
              <w:rPr>
                <w:b/>
                <w:color w:val="000000"/>
                <w:sz w:val="16"/>
                <w:szCs w:val="16"/>
                <w:lang w:val="en-GB"/>
              </w:rPr>
              <w:t>:</w:t>
            </w:r>
            <w:r w:rsidRPr="00F951C0">
              <w:rPr>
                <w:bCs/>
                <w:color w:val="000000"/>
                <w:sz w:val="16"/>
                <w:szCs w:val="16"/>
                <w:lang w:val="en-GB"/>
              </w:rPr>
              <w:t xml:space="preserve"> Strengthening </w:t>
            </w:r>
            <w:r w:rsidR="00F96E09">
              <w:rPr>
                <w:bCs/>
                <w:color w:val="000000"/>
                <w:sz w:val="16"/>
                <w:szCs w:val="16"/>
                <w:lang w:val="en-GB"/>
              </w:rPr>
              <w:t>i</w:t>
            </w:r>
            <w:r w:rsidRPr="00F951C0">
              <w:rPr>
                <w:bCs/>
                <w:color w:val="000000"/>
                <w:sz w:val="16"/>
                <w:szCs w:val="16"/>
                <w:lang w:val="en-GB"/>
              </w:rPr>
              <w:t xml:space="preserve">nternational </w:t>
            </w:r>
            <w:r w:rsidR="00F96E09">
              <w:rPr>
                <w:bCs/>
                <w:color w:val="000000"/>
                <w:sz w:val="16"/>
                <w:szCs w:val="16"/>
                <w:lang w:val="en-GB"/>
              </w:rPr>
              <w:t>c</w:t>
            </w:r>
            <w:r w:rsidRPr="00F951C0">
              <w:rPr>
                <w:bCs/>
                <w:color w:val="000000"/>
                <w:sz w:val="16"/>
                <w:szCs w:val="16"/>
                <w:lang w:val="en-GB"/>
              </w:rPr>
              <w:t>ooperation</w:t>
            </w:r>
            <w:r w:rsidR="00F96E09">
              <w:rPr>
                <w:bCs/>
                <w:color w:val="000000"/>
                <w:sz w:val="16"/>
                <w:szCs w:val="16"/>
                <w:lang w:val="en-GB"/>
              </w:rPr>
              <w:t>.</w:t>
            </w:r>
          </w:p>
        </w:tc>
      </w:tr>
      <w:tr w:rsidR="00D973B7" w:rsidRPr="00972B61" w14:paraId="3FD05EA9" w14:textId="77777777" w:rsidTr="00DA48C2">
        <w:tc>
          <w:tcPr>
            <w:tcW w:w="5000" w:type="pct"/>
            <w:gridSpan w:val="5"/>
            <w:shd w:val="clear" w:color="auto" w:fill="DBE5F1" w:themeFill="accent1" w:themeFillTint="33"/>
            <w:tcMar>
              <w:top w:w="72" w:type="dxa"/>
              <w:left w:w="144" w:type="dxa"/>
              <w:bottom w:w="72" w:type="dxa"/>
              <w:right w:w="144" w:type="dxa"/>
            </w:tcMar>
          </w:tcPr>
          <w:p w14:paraId="2C2919D2" w14:textId="77777777" w:rsidR="00D973B7" w:rsidRPr="00972B61" w:rsidRDefault="00D973B7" w:rsidP="00E40F85">
            <w:pPr>
              <w:rPr>
                <w:color w:val="000000"/>
                <w:sz w:val="16"/>
                <w:szCs w:val="16"/>
                <w:lang w:val="en-GB"/>
              </w:rPr>
            </w:pPr>
            <w:r w:rsidRPr="00972B61">
              <w:rPr>
                <w:b/>
                <w:bCs/>
                <w:color w:val="000000"/>
                <w:sz w:val="16"/>
                <w:szCs w:val="16"/>
                <w:lang w:val="en-GB"/>
              </w:rPr>
              <w:t xml:space="preserve">COOPERATION FRAMEWORK OUTCOME 3.1: </w:t>
            </w:r>
            <w:r w:rsidRPr="00F951C0">
              <w:rPr>
                <w:color w:val="000000"/>
                <w:sz w:val="16"/>
                <w:szCs w:val="16"/>
                <w:lang w:val="en-GB"/>
              </w:rPr>
              <w:t>By 2026, more people, especially the most vulnerable, are resilient to climate change and disasters, and benefit from more sustainable management of environment and natural resources and resilient infrastructures and human settlements, with positive effects on national GDP.</w:t>
            </w:r>
          </w:p>
        </w:tc>
      </w:tr>
      <w:tr w:rsidR="00D973B7" w:rsidRPr="00972B61" w14:paraId="36232524" w14:textId="77777777" w:rsidTr="00DA48C2">
        <w:tc>
          <w:tcPr>
            <w:tcW w:w="5000" w:type="pct"/>
            <w:gridSpan w:val="5"/>
            <w:shd w:val="clear" w:color="auto" w:fill="DBE5F1" w:themeFill="accent1" w:themeFillTint="33"/>
            <w:tcMar>
              <w:top w:w="72" w:type="dxa"/>
              <w:left w:w="144" w:type="dxa"/>
              <w:bottom w:w="72" w:type="dxa"/>
              <w:right w:w="144" w:type="dxa"/>
            </w:tcMar>
          </w:tcPr>
          <w:p w14:paraId="37CC5D46" w14:textId="36C62B2E" w:rsidR="00D973B7" w:rsidRPr="00972B61" w:rsidRDefault="00D973B7" w:rsidP="00E40F85">
            <w:pPr>
              <w:rPr>
                <w:b/>
                <w:color w:val="000000"/>
                <w:sz w:val="16"/>
                <w:szCs w:val="16"/>
                <w:lang w:val="en-GB"/>
              </w:rPr>
            </w:pPr>
            <w:r w:rsidRPr="00972B61">
              <w:rPr>
                <w:b/>
                <w:color w:val="000000"/>
                <w:sz w:val="16"/>
                <w:szCs w:val="16"/>
                <w:lang w:val="en-GB"/>
              </w:rPr>
              <w:t xml:space="preserve">RELATED STRATEGIC PLAN OUTCOME 3: </w:t>
            </w:r>
            <w:r w:rsidRPr="00F951C0">
              <w:rPr>
                <w:bCs/>
                <w:color w:val="000000"/>
                <w:sz w:val="16"/>
                <w:szCs w:val="16"/>
                <w:lang w:val="en-GB"/>
              </w:rPr>
              <w:t>Resilience built to respond to systemic uncertainty and risk</w:t>
            </w:r>
            <w:r w:rsidR="00F96E09" w:rsidRPr="00F951C0">
              <w:rPr>
                <w:bCs/>
                <w:color w:val="000000"/>
                <w:sz w:val="16"/>
                <w:szCs w:val="16"/>
                <w:lang w:val="en-GB"/>
              </w:rPr>
              <w:t>.</w:t>
            </w:r>
          </w:p>
        </w:tc>
      </w:tr>
      <w:tr w:rsidR="00D973B7" w:rsidRPr="00972B61" w14:paraId="7E97E4FF" w14:textId="77777777" w:rsidTr="00DA48C2">
        <w:tc>
          <w:tcPr>
            <w:tcW w:w="1023" w:type="pct"/>
            <w:vMerge w:val="restart"/>
            <w:tcMar>
              <w:top w:w="72" w:type="dxa"/>
              <w:left w:w="144" w:type="dxa"/>
              <w:bottom w:w="72" w:type="dxa"/>
              <w:right w:w="144" w:type="dxa"/>
            </w:tcMar>
          </w:tcPr>
          <w:p w14:paraId="58D44FA2" w14:textId="6B73481E" w:rsidR="00D973B7" w:rsidRPr="00972B61" w:rsidRDefault="00D973B7" w:rsidP="00E40F85">
            <w:pPr>
              <w:rPr>
                <w:color w:val="000000"/>
                <w:sz w:val="16"/>
                <w:szCs w:val="16"/>
                <w:lang w:val="en-GB"/>
              </w:rPr>
            </w:pPr>
            <w:r w:rsidRPr="00972B61">
              <w:rPr>
                <w:color w:val="000000"/>
                <w:sz w:val="16"/>
                <w:szCs w:val="16"/>
                <w:lang w:val="en-GB"/>
              </w:rPr>
              <w:t>3.1</w:t>
            </w:r>
            <w:r w:rsidR="00F96E09">
              <w:rPr>
                <w:color w:val="000000"/>
                <w:sz w:val="16"/>
                <w:szCs w:val="16"/>
                <w:lang w:val="en-GB"/>
              </w:rPr>
              <w:t>.</w:t>
            </w:r>
            <w:r w:rsidRPr="00972B61">
              <w:rPr>
                <w:color w:val="000000"/>
                <w:sz w:val="16"/>
                <w:szCs w:val="16"/>
                <w:lang w:val="en-GB"/>
              </w:rPr>
              <w:t xml:space="preserve"> Direct economic loss attributed to disasters in relation to global gross domestic product (GDP)</w:t>
            </w:r>
          </w:p>
          <w:p w14:paraId="63FFD27D" w14:textId="74D95C49" w:rsidR="00D973B7" w:rsidRPr="00972B61" w:rsidRDefault="00D973B7" w:rsidP="00E40F85">
            <w:pPr>
              <w:rPr>
                <w:color w:val="000000"/>
                <w:sz w:val="16"/>
                <w:szCs w:val="16"/>
                <w:lang w:val="en-GB"/>
              </w:rPr>
            </w:pPr>
            <w:r w:rsidRPr="00972B61">
              <w:rPr>
                <w:color w:val="000000"/>
                <w:sz w:val="16"/>
                <w:szCs w:val="16"/>
                <w:lang w:val="en-GB"/>
              </w:rPr>
              <w:t>B</w:t>
            </w:r>
            <w:r w:rsidR="00F96E09">
              <w:rPr>
                <w:color w:val="000000"/>
                <w:sz w:val="16"/>
                <w:szCs w:val="16"/>
                <w:lang w:val="en-GB"/>
              </w:rPr>
              <w:t>aseline</w:t>
            </w:r>
            <w:r w:rsidR="009662E1" w:rsidRPr="00972B61">
              <w:rPr>
                <w:color w:val="000000"/>
                <w:sz w:val="16"/>
                <w:szCs w:val="16"/>
                <w:lang w:val="en-GB"/>
              </w:rPr>
              <w:t xml:space="preserve"> (2015)</w:t>
            </w:r>
            <w:r w:rsidRPr="00972B61">
              <w:rPr>
                <w:color w:val="000000"/>
                <w:sz w:val="16"/>
                <w:szCs w:val="16"/>
                <w:lang w:val="en-GB"/>
              </w:rPr>
              <w:t>: 2.7%</w:t>
            </w:r>
          </w:p>
          <w:p w14:paraId="683B010A" w14:textId="5C840D1C" w:rsidR="00D973B7" w:rsidRPr="00972B61" w:rsidRDefault="00D973B7" w:rsidP="00E40F85">
            <w:pPr>
              <w:rPr>
                <w:color w:val="000000"/>
                <w:sz w:val="16"/>
                <w:szCs w:val="16"/>
                <w:lang w:val="en-GB"/>
              </w:rPr>
            </w:pPr>
            <w:r w:rsidRPr="00972B61">
              <w:rPr>
                <w:color w:val="000000"/>
                <w:sz w:val="16"/>
                <w:szCs w:val="16"/>
                <w:lang w:val="en-GB"/>
              </w:rPr>
              <w:t>Target</w:t>
            </w:r>
            <w:r w:rsidR="0099051C" w:rsidRPr="00972B61">
              <w:rPr>
                <w:color w:val="000000"/>
                <w:sz w:val="16"/>
                <w:szCs w:val="16"/>
                <w:lang w:val="en-GB"/>
              </w:rPr>
              <w:t>: 2%</w:t>
            </w:r>
            <w:r w:rsidR="009662E1" w:rsidRPr="00972B61">
              <w:rPr>
                <w:color w:val="000000"/>
                <w:sz w:val="16"/>
                <w:szCs w:val="16"/>
                <w:lang w:val="en-GB"/>
              </w:rPr>
              <w:t xml:space="preserve"> (</w:t>
            </w:r>
            <w:r w:rsidR="00B56F7A" w:rsidRPr="00972B61">
              <w:rPr>
                <w:color w:val="000000"/>
                <w:sz w:val="16"/>
                <w:szCs w:val="16"/>
                <w:lang w:val="en-GB"/>
              </w:rPr>
              <w:t>TBD</w:t>
            </w:r>
            <w:r w:rsidR="009662E1" w:rsidRPr="00972B61">
              <w:rPr>
                <w:color w:val="000000"/>
                <w:sz w:val="16"/>
                <w:szCs w:val="16"/>
                <w:lang w:val="en-GB"/>
              </w:rPr>
              <w:t>)</w:t>
            </w:r>
            <w:r w:rsidRPr="00972B61">
              <w:rPr>
                <w:color w:val="000000"/>
                <w:sz w:val="16"/>
                <w:szCs w:val="16"/>
                <w:lang w:val="en-GB"/>
              </w:rPr>
              <w:t>:</w:t>
            </w:r>
          </w:p>
          <w:p w14:paraId="3AA3D199" w14:textId="77777777" w:rsidR="00D973B7" w:rsidRPr="00972B61" w:rsidRDefault="00D973B7" w:rsidP="00E40F85">
            <w:pPr>
              <w:rPr>
                <w:color w:val="000000"/>
                <w:sz w:val="16"/>
                <w:szCs w:val="16"/>
                <w:lang w:val="en-GB"/>
              </w:rPr>
            </w:pPr>
          </w:p>
          <w:p w14:paraId="39ACA2D0" w14:textId="48D1B86E" w:rsidR="00D973B7" w:rsidRPr="00972B61" w:rsidRDefault="00D973B7" w:rsidP="00E40F85">
            <w:pPr>
              <w:rPr>
                <w:color w:val="000000"/>
                <w:sz w:val="16"/>
                <w:szCs w:val="16"/>
                <w:lang w:val="en-GB"/>
              </w:rPr>
            </w:pPr>
            <w:r w:rsidRPr="00972B61">
              <w:rPr>
                <w:color w:val="000000"/>
                <w:sz w:val="16"/>
                <w:szCs w:val="16"/>
                <w:lang w:val="en-GB"/>
              </w:rPr>
              <w:t>3.2</w:t>
            </w:r>
            <w:r w:rsidR="00F96E09">
              <w:rPr>
                <w:color w:val="000000"/>
                <w:sz w:val="16"/>
                <w:szCs w:val="16"/>
                <w:lang w:val="en-GB"/>
              </w:rPr>
              <w:t>.</w:t>
            </w:r>
            <w:r w:rsidRPr="00972B61">
              <w:rPr>
                <w:color w:val="000000"/>
                <w:sz w:val="16"/>
                <w:szCs w:val="16"/>
                <w:lang w:val="en-GB"/>
              </w:rPr>
              <w:t xml:space="preserve"> Percentage of producers practicing conservation farming techniques</w:t>
            </w:r>
          </w:p>
          <w:p w14:paraId="2EEEE34D" w14:textId="1FB295C2" w:rsidR="00D973B7" w:rsidRPr="00972B61" w:rsidRDefault="00F96E09" w:rsidP="00E40F85">
            <w:pPr>
              <w:rPr>
                <w:color w:val="000000"/>
                <w:sz w:val="16"/>
                <w:szCs w:val="16"/>
                <w:lang w:val="en-GB"/>
              </w:rPr>
            </w:pPr>
            <w:r w:rsidRPr="00972B61">
              <w:rPr>
                <w:color w:val="000000"/>
                <w:sz w:val="16"/>
                <w:szCs w:val="16"/>
                <w:lang w:val="en-GB"/>
              </w:rPr>
              <w:t>B</w:t>
            </w:r>
            <w:r>
              <w:rPr>
                <w:color w:val="000000"/>
                <w:sz w:val="16"/>
                <w:szCs w:val="16"/>
                <w:lang w:val="en-GB"/>
              </w:rPr>
              <w:t>aseline</w:t>
            </w:r>
            <w:r w:rsidR="009662E1" w:rsidRPr="00972B61">
              <w:rPr>
                <w:color w:val="000000"/>
                <w:sz w:val="16"/>
                <w:szCs w:val="16"/>
                <w:lang w:val="en-GB"/>
              </w:rPr>
              <w:t xml:space="preserve"> (2014</w:t>
            </w:r>
            <w:r w:rsidR="00BF7D5B" w:rsidRPr="00972B61">
              <w:rPr>
                <w:color w:val="000000"/>
                <w:sz w:val="16"/>
                <w:szCs w:val="16"/>
                <w:lang w:val="en-GB"/>
              </w:rPr>
              <w:t>)</w:t>
            </w:r>
            <w:r w:rsidR="00D973B7" w:rsidRPr="00972B61">
              <w:rPr>
                <w:color w:val="000000"/>
                <w:sz w:val="16"/>
                <w:szCs w:val="16"/>
                <w:lang w:val="en-GB"/>
              </w:rPr>
              <w:t xml:space="preserve">: 19% </w:t>
            </w:r>
          </w:p>
          <w:p w14:paraId="1D92BD5E" w14:textId="0FED8A3F" w:rsidR="00D973B7" w:rsidRPr="00972B61" w:rsidRDefault="00D973B7" w:rsidP="00E40F85">
            <w:pPr>
              <w:rPr>
                <w:color w:val="000000"/>
                <w:sz w:val="16"/>
                <w:szCs w:val="16"/>
                <w:lang w:val="en-GB"/>
              </w:rPr>
            </w:pPr>
            <w:r w:rsidRPr="00972B61">
              <w:rPr>
                <w:color w:val="000000"/>
                <w:sz w:val="16"/>
                <w:szCs w:val="16"/>
                <w:lang w:val="en-GB"/>
              </w:rPr>
              <w:t>Target</w:t>
            </w:r>
            <w:r w:rsidR="009662E1" w:rsidRPr="00972B61">
              <w:rPr>
                <w:color w:val="000000"/>
                <w:sz w:val="16"/>
                <w:szCs w:val="16"/>
                <w:lang w:val="en-GB"/>
              </w:rPr>
              <w:t xml:space="preserve"> )</w:t>
            </w:r>
            <w:r w:rsidRPr="00972B61">
              <w:rPr>
                <w:color w:val="000000"/>
                <w:sz w:val="16"/>
                <w:szCs w:val="16"/>
                <w:lang w:val="en-GB"/>
              </w:rPr>
              <w:t>: TBC</w:t>
            </w:r>
            <w:r w:rsidR="00F96E09">
              <w:rPr>
                <w:color w:val="000000"/>
                <w:sz w:val="16"/>
                <w:szCs w:val="16"/>
                <w:lang w:val="en-GB"/>
              </w:rPr>
              <w:t xml:space="preserve"> </w:t>
            </w:r>
          </w:p>
          <w:p w14:paraId="21778210" w14:textId="77777777" w:rsidR="00D973B7" w:rsidRPr="00972B61" w:rsidRDefault="00D973B7" w:rsidP="00E40F85">
            <w:pPr>
              <w:rPr>
                <w:color w:val="000000"/>
                <w:sz w:val="16"/>
                <w:szCs w:val="16"/>
                <w:lang w:val="en-GB"/>
              </w:rPr>
            </w:pPr>
          </w:p>
          <w:p w14:paraId="00C55B29" w14:textId="697A64D9" w:rsidR="00D973B7" w:rsidRPr="00972B61" w:rsidRDefault="00D973B7" w:rsidP="00E40F85">
            <w:pPr>
              <w:rPr>
                <w:color w:val="000000"/>
                <w:sz w:val="16"/>
                <w:szCs w:val="16"/>
                <w:lang w:val="en-GB"/>
              </w:rPr>
            </w:pPr>
            <w:r w:rsidRPr="00972B61">
              <w:rPr>
                <w:color w:val="000000"/>
                <w:sz w:val="16"/>
                <w:szCs w:val="16"/>
                <w:lang w:val="en-GB"/>
              </w:rPr>
              <w:t>3.6</w:t>
            </w:r>
            <w:r w:rsidR="00F96E09">
              <w:rPr>
                <w:color w:val="000000"/>
                <w:sz w:val="16"/>
                <w:szCs w:val="16"/>
                <w:lang w:val="en-GB"/>
              </w:rPr>
              <w:t>.</w:t>
            </w:r>
            <w:r w:rsidRPr="00972B61">
              <w:rPr>
                <w:color w:val="000000"/>
                <w:sz w:val="16"/>
                <w:szCs w:val="16"/>
                <w:lang w:val="en-GB"/>
              </w:rPr>
              <w:t xml:space="preserve"> Percentage of degraded land over total available land: </w:t>
            </w:r>
            <w:r w:rsidR="00F96E09">
              <w:rPr>
                <w:color w:val="000000"/>
                <w:sz w:val="16"/>
                <w:szCs w:val="16"/>
                <w:lang w:val="en-GB"/>
              </w:rPr>
              <w:t>t</w:t>
            </w:r>
            <w:r w:rsidRPr="00972B61">
              <w:rPr>
                <w:color w:val="000000"/>
                <w:sz w:val="16"/>
                <w:szCs w:val="16"/>
                <w:lang w:val="en-GB"/>
              </w:rPr>
              <w:t xml:space="preserve">rends in </w:t>
            </w:r>
            <w:r w:rsidR="00F96E09">
              <w:rPr>
                <w:color w:val="000000"/>
                <w:sz w:val="16"/>
                <w:szCs w:val="16"/>
                <w:lang w:val="en-GB"/>
              </w:rPr>
              <w:t>l</w:t>
            </w:r>
            <w:r w:rsidRPr="00972B61">
              <w:rPr>
                <w:color w:val="000000"/>
                <w:sz w:val="16"/>
                <w:szCs w:val="16"/>
                <w:lang w:val="en-GB"/>
              </w:rPr>
              <w:t xml:space="preserve">and </w:t>
            </w:r>
            <w:r w:rsidR="00F96E09">
              <w:rPr>
                <w:color w:val="000000"/>
                <w:sz w:val="16"/>
                <w:szCs w:val="16"/>
                <w:lang w:val="en-GB"/>
              </w:rPr>
              <w:t>c</w:t>
            </w:r>
            <w:r w:rsidRPr="00972B61">
              <w:rPr>
                <w:color w:val="000000"/>
                <w:sz w:val="16"/>
                <w:szCs w:val="16"/>
                <w:lang w:val="en-GB"/>
              </w:rPr>
              <w:t xml:space="preserve">over, </w:t>
            </w:r>
            <w:r w:rsidR="00F96E09">
              <w:rPr>
                <w:color w:val="000000"/>
                <w:sz w:val="16"/>
                <w:szCs w:val="16"/>
                <w:lang w:val="en-GB"/>
              </w:rPr>
              <w:t>l</w:t>
            </w:r>
            <w:r w:rsidRPr="00972B61">
              <w:rPr>
                <w:color w:val="000000"/>
                <w:sz w:val="16"/>
                <w:szCs w:val="16"/>
                <w:lang w:val="en-GB"/>
              </w:rPr>
              <w:t xml:space="preserve">and </w:t>
            </w:r>
            <w:r w:rsidR="00F96E09">
              <w:rPr>
                <w:color w:val="000000"/>
                <w:sz w:val="16"/>
                <w:szCs w:val="16"/>
                <w:lang w:val="en-GB"/>
              </w:rPr>
              <w:t>p</w:t>
            </w:r>
            <w:r w:rsidRPr="00972B61">
              <w:rPr>
                <w:color w:val="000000"/>
                <w:sz w:val="16"/>
                <w:szCs w:val="16"/>
                <w:lang w:val="en-GB"/>
              </w:rPr>
              <w:t xml:space="preserve">roductivity and </w:t>
            </w:r>
            <w:r w:rsidR="00F96E09">
              <w:rPr>
                <w:color w:val="000000"/>
                <w:sz w:val="16"/>
                <w:szCs w:val="16"/>
                <w:lang w:val="en-GB"/>
              </w:rPr>
              <w:t>c</w:t>
            </w:r>
            <w:r w:rsidRPr="00972B61">
              <w:rPr>
                <w:color w:val="000000"/>
                <w:sz w:val="16"/>
                <w:szCs w:val="16"/>
                <w:lang w:val="en-GB"/>
              </w:rPr>
              <w:t xml:space="preserve">arbon </w:t>
            </w:r>
            <w:r w:rsidR="00F96E09">
              <w:rPr>
                <w:color w:val="000000"/>
                <w:sz w:val="16"/>
                <w:szCs w:val="16"/>
                <w:lang w:val="en-GB"/>
              </w:rPr>
              <w:t>s</w:t>
            </w:r>
            <w:r w:rsidRPr="00972B61">
              <w:rPr>
                <w:color w:val="000000"/>
                <w:sz w:val="16"/>
                <w:szCs w:val="16"/>
                <w:lang w:val="en-GB"/>
              </w:rPr>
              <w:t>tocks</w:t>
            </w:r>
          </w:p>
          <w:p w14:paraId="2E46E1FA" w14:textId="332E6113" w:rsidR="00D973B7" w:rsidRPr="00972B61" w:rsidRDefault="00F96E09" w:rsidP="00E40F85">
            <w:pPr>
              <w:rPr>
                <w:color w:val="000000"/>
                <w:sz w:val="16"/>
                <w:szCs w:val="16"/>
                <w:lang w:val="en-GB" w:eastAsia="en-GB"/>
              </w:rPr>
            </w:pPr>
            <w:r w:rsidRPr="00972B61">
              <w:rPr>
                <w:color w:val="000000"/>
                <w:sz w:val="16"/>
                <w:szCs w:val="16"/>
                <w:lang w:val="en-GB"/>
              </w:rPr>
              <w:t>B</w:t>
            </w:r>
            <w:r>
              <w:rPr>
                <w:color w:val="000000"/>
                <w:sz w:val="16"/>
                <w:szCs w:val="16"/>
                <w:lang w:val="en-GB"/>
              </w:rPr>
              <w:t>aseline</w:t>
            </w:r>
            <w:r w:rsidRPr="00972B61" w:rsidDel="00F96E09">
              <w:rPr>
                <w:color w:val="000000"/>
                <w:sz w:val="16"/>
                <w:szCs w:val="16"/>
                <w:lang w:val="en-GB"/>
              </w:rPr>
              <w:t xml:space="preserve"> </w:t>
            </w:r>
            <w:r w:rsidR="009662E1" w:rsidRPr="00972B61">
              <w:rPr>
                <w:color w:val="000000"/>
                <w:sz w:val="16"/>
                <w:szCs w:val="16"/>
                <w:lang w:val="en-GB"/>
              </w:rPr>
              <w:t>(2020)</w:t>
            </w:r>
            <w:r w:rsidR="00D973B7" w:rsidRPr="00972B61">
              <w:rPr>
                <w:color w:val="000000"/>
                <w:sz w:val="16"/>
                <w:szCs w:val="16"/>
                <w:lang w:val="en-GB"/>
              </w:rPr>
              <w:t>: 42% degraded (plus 19% actively degrading)</w:t>
            </w:r>
          </w:p>
          <w:p w14:paraId="7058027E" w14:textId="44398A49" w:rsidR="00D973B7" w:rsidRPr="00972B61" w:rsidRDefault="00D973B7" w:rsidP="00E40F85">
            <w:pPr>
              <w:rPr>
                <w:color w:val="000000"/>
                <w:sz w:val="16"/>
                <w:szCs w:val="16"/>
                <w:lang w:val="en-GB"/>
              </w:rPr>
            </w:pPr>
            <w:r w:rsidRPr="00972B61">
              <w:rPr>
                <w:color w:val="000000"/>
                <w:sz w:val="16"/>
                <w:szCs w:val="16"/>
                <w:lang w:val="en-GB"/>
              </w:rPr>
              <w:t>Target</w:t>
            </w:r>
            <w:r w:rsidR="009662E1" w:rsidRPr="00972B61">
              <w:rPr>
                <w:color w:val="000000"/>
                <w:sz w:val="16"/>
                <w:szCs w:val="16"/>
                <w:lang w:val="en-GB"/>
              </w:rPr>
              <w:t xml:space="preserve"> (2026)</w:t>
            </w:r>
            <w:r w:rsidRPr="00972B61">
              <w:rPr>
                <w:color w:val="000000"/>
                <w:sz w:val="16"/>
                <w:szCs w:val="16"/>
                <w:lang w:val="en-GB"/>
              </w:rPr>
              <w:t>: 42% (TBC)</w:t>
            </w:r>
          </w:p>
        </w:tc>
        <w:tc>
          <w:tcPr>
            <w:tcW w:w="996" w:type="pct"/>
            <w:vMerge w:val="restart"/>
          </w:tcPr>
          <w:p w14:paraId="7B649CD6" w14:textId="3169E7E3" w:rsidR="00D973B7" w:rsidRPr="00972B61" w:rsidRDefault="0075400C" w:rsidP="00E40F85">
            <w:pPr>
              <w:rPr>
                <w:color w:val="000000"/>
                <w:sz w:val="16"/>
                <w:szCs w:val="16"/>
                <w:lang w:val="en-GB"/>
              </w:rPr>
            </w:pPr>
            <w:r w:rsidRPr="00972B61">
              <w:rPr>
                <w:color w:val="000000"/>
                <w:sz w:val="16"/>
                <w:szCs w:val="16"/>
                <w:lang w:val="en-GB"/>
              </w:rPr>
              <w:t>ING</w:t>
            </w:r>
            <w:r>
              <w:rPr>
                <w:color w:val="000000"/>
                <w:sz w:val="16"/>
                <w:szCs w:val="16"/>
                <w:lang w:val="en-GB"/>
              </w:rPr>
              <w:t>D</w:t>
            </w:r>
          </w:p>
          <w:p w14:paraId="5DE1A61E" w14:textId="536AA292" w:rsidR="00D973B7" w:rsidRPr="00972B61" w:rsidRDefault="00D973B7" w:rsidP="00E40F85">
            <w:pPr>
              <w:rPr>
                <w:color w:val="000000"/>
                <w:sz w:val="16"/>
                <w:szCs w:val="16"/>
                <w:lang w:val="en-GB"/>
              </w:rPr>
            </w:pPr>
            <w:r w:rsidRPr="00972B61">
              <w:rPr>
                <w:color w:val="000000"/>
                <w:sz w:val="16"/>
                <w:szCs w:val="16"/>
                <w:lang w:val="en-GB"/>
              </w:rPr>
              <w:t>Resp</w:t>
            </w:r>
            <w:r w:rsidR="00F96E09">
              <w:rPr>
                <w:color w:val="000000"/>
                <w:sz w:val="16"/>
                <w:szCs w:val="16"/>
                <w:lang w:val="en-GB"/>
              </w:rPr>
              <w:t>onsible:</w:t>
            </w:r>
            <w:r w:rsidRPr="00972B61">
              <w:rPr>
                <w:color w:val="000000"/>
                <w:sz w:val="16"/>
                <w:szCs w:val="16"/>
                <w:lang w:val="en-GB"/>
              </w:rPr>
              <w:t xml:space="preserve"> UNDP</w:t>
            </w:r>
          </w:p>
          <w:p w14:paraId="34AEA7CA" w14:textId="77777777" w:rsidR="00D973B7" w:rsidRPr="00972B61" w:rsidRDefault="00D973B7" w:rsidP="00E40F85">
            <w:pPr>
              <w:rPr>
                <w:color w:val="000000"/>
                <w:sz w:val="16"/>
                <w:szCs w:val="16"/>
                <w:lang w:val="en-GB"/>
              </w:rPr>
            </w:pPr>
          </w:p>
          <w:p w14:paraId="2B67B086" w14:textId="77777777" w:rsidR="00D973B7" w:rsidRPr="00972B61" w:rsidRDefault="00D973B7" w:rsidP="00E40F85">
            <w:pPr>
              <w:rPr>
                <w:color w:val="000000"/>
                <w:sz w:val="16"/>
                <w:szCs w:val="16"/>
                <w:lang w:val="en-GB"/>
              </w:rPr>
            </w:pPr>
            <w:r w:rsidRPr="00972B61">
              <w:rPr>
                <w:color w:val="000000"/>
                <w:sz w:val="16"/>
                <w:szCs w:val="16"/>
                <w:lang w:val="en-GB"/>
              </w:rPr>
              <w:t>Frequency: Annual</w:t>
            </w:r>
          </w:p>
          <w:p w14:paraId="43EBCABD" w14:textId="77777777" w:rsidR="00D973B7" w:rsidRPr="00972B61" w:rsidRDefault="00D973B7" w:rsidP="00E40F85">
            <w:pPr>
              <w:rPr>
                <w:color w:val="000000"/>
                <w:sz w:val="16"/>
                <w:szCs w:val="16"/>
                <w:lang w:val="en-GB"/>
              </w:rPr>
            </w:pPr>
          </w:p>
          <w:p w14:paraId="47CD8821" w14:textId="77777777" w:rsidR="00D973B7" w:rsidRPr="00972B61" w:rsidRDefault="00D973B7" w:rsidP="00E40F85">
            <w:pPr>
              <w:rPr>
                <w:color w:val="000000"/>
                <w:sz w:val="16"/>
                <w:szCs w:val="16"/>
                <w:lang w:val="en-GB"/>
              </w:rPr>
            </w:pPr>
          </w:p>
          <w:p w14:paraId="32EC412A" w14:textId="77777777" w:rsidR="00D973B7" w:rsidRPr="00972B61" w:rsidRDefault="00D973B7" w:rsidP="00E40F85">
            <w:pPr>
              <w:rPr>
                <w:color w:val="000000"/>
                <w:sz w:val="16"/>
                <w:szCs w:val="16"/>
                <w:lang w:val="en-GB"/>
              </w:rPr>
            </w:pPr>
            <w:r w:rsidRPr="00972B61">
              <w:rPr>
                <w:color w:val="000000"/>
                <w:sz w:val="16"/>
                <w:szCs w:val="16"/>
                <w:lang w:val="en-GB"/>
              </w:rPr>
              <w:t>MADER</w:t>
            </w:r>
          </w:p>
          <w:p w14:paraId="2C8CC6AB" w14:textId="77777777" w:rsidR="00D973B7" w:rsidRPr="00972B61" w:rsidRDefault="00D973B7" w:rsidP="00E40F85">
            <w:pPr>
              <w:rPr>
                <w:color w:val="000000"/>
                <w:sz w:val="16"/>
                <w:szCs w:val="16"/>
                <w:lang w:val="en-GB"/>
              </w:rPr>
            </w:pPr>
            <w:r w:rsidRPr="00972B61">
              <w:rPr>
                <w:color w:val="000000"/>
                <w:sz w:val="16"/>
                <w:szCs w:val="16"/>
                <w:lang w:val="en-GB"/>
              </w:rPr>
              <w:t>Resp. FAO</w:t>
            </w:r>
          </w:p>
          <w:p w14:paraId="2FAE62DE" w14:textId="77777777" w:rsidR="00D973B7" w:rsidRPr="00972B61" w:rsidRDefault="00D973B7" w:rsidP="00E40F85">
            <w:pPr>
              <w:rPr>
                <w:color w:val="000000"/>
                <w:sz w:val="16"/>
                <w:szCs w:val="16"/>
                <w:lang w:val="en-GB"/>
              </w:rPr>
            </w:pPr>
          </w:p>
          <w:p w14:paraId="5013A2D5" w14:textId="77777777" w:rsidR="00D973B7" w:rsidRPr="00972B61" w:rsidRDefault="00D973B7" w:rsidP="00E40F85">
            <w:pPr>
              <w:rPr>
                <w:color w:val="000000"/>
                <w:sz w:val="16"/>
                <w:szCs w:val="16"/>
                <w:lang w:val="en-GB"/>
              </w:rPr>
            </w:pPr>
            <w:r w:rsidRPr="00972B61">
              <w:rPr>
                <w:color w:val="000000"/>
                <w:sz w:val="16"/>
                <w:szCs w:val="16"/>
                <w:lang w:val="en-GB"/>
              </w:rPr>
              <w:t xml:space="preserve">Frequency: Annual </w:t>
            </w:r>
          </w:p>
          <w:p w14:paraId="1C5AAA76" w14:textId="77777777" w:rsidR="00D973B7" w:rsidRPr="00972B61" w:rsidRDefault="00D973B7" w:rsidP="00E40F85">
            <w:pPr>
              <w:rPr>
                <w:color w:val="000000"/>
                <w:sz w:val="16"/>
                <w:szCs w:val="16"/>
                <w:lang w:val="en-GB"/>
              </w:rPr>
            </w:pPr>
          </w:p>
          <w:p w14:paraId="551AAFAF" w14:textId="5E35406D" w:rsidR="00AE20AE" w:rsidRDefault="00D973B7" w:rsidP="00505311">
            <w:r w:rsidRPr="00AE20AE">
              <w:rPr>
                <w:color w:val="000000"/>
                <w:sz w:val="16"/>
                <w:szCs w:val="16"/>
                <w:lang w:val="en-GB"/>
              </w:rPr>
              <w:t>MTA</w:t>
            </w:r>
            <w:r w:rsidR="00AE20AE" w:rsidRPr="00AE20AE">
              <w:rPr>
                <w:color w:val="000000"/>
                <w:sz w:val="16"/>
                <w:szCs w:val="16"/>
                <w:lang w:val="en-GB"/>
              </w:rPr>
              <w:t>/</w:t>
            </w:r>
            <w:r w:rsidR="00AE20AE">
              <w:t xml:space="preserve"> </w:t>
            </w:r>
            <w:r w:rsidR="00AE20AE" w:rsidRPr="00505311">
              <w:rPr>
                <w:color w:val="000000"/>
                <w:sz w:val="16"/>
                <w:szCs w:val="16"/>
                <w:lang w:val="en-GB"/>
              </w:rPr>
              <w:t>National Directorate for Forests</w:t>
            </w:r>
          </w:p>
          <w:p w14:paraId="5D4A259E" w14:textId="7BD2B9F7" w:rsidR="00D973B7" w:rsidRPr="00972B61" w:rsidRDefault="00D973B7" w:rsidP="00E40F85">
            <w:pPr>
              <w:rPr>
                <w:color w:val="000000"/>
                <w:sz w:val="16"/>
                <w:szCs w:val="16"/>
                <w:lang w:val="en-GB"/>
              </w:rPr>
            </w:pPr>
            <w:r w:rsidRPr="00972B61">
              <w:rPr>
                <w:color w:val="000000"/>
                <w:sz w:val="16"/>
                <w:szCs w:val="16"/>
                <w:lang w:val="en-GB"/>
              </w:rPr>
              <w:t xml:space="preserve"> (DINAF)</w:t>
            </w:r>
          </w:p>
          <w:p w14:paraId="0091F372" w14:textId="58687BC2" w:rsidR="00D973B7" w:rsidRPr="00972B61" w:rsidRDefault="00D973B7" w:rsidP="00E40F85">
            <w:pPr>
              <w:rPr>
                <w:color w:val="000000"/>
                <w:sz w:val="16"/>
                <w:szCs w:val="16"/>
                <w:lang w:val="en-GB"/>
              </w:rPr>
            </w:pPr>
            <w:r w:rsidRPr="00972B61">
              <w:rPr>
                <w:color w:val="000000"/>
                <w:sz w:val="16"/>
                <w:szCs w:val="16"/>
                <w:lang w:val="en-GB"/>
              </w:rPr>
              <w:t>Resp</w:t>
            </w:r>
            <w:r w:rsidR="00F96E09">
              <w:rPr>
                <w:color w:val="000000"/>
                <w:sz w:val="16"/>
                <w:szCs w:val="16"/>
                <w:lang w:val="en-GB"/>
              </w:rPr>
              <w:t>onsible</w:t>
            </w:r>
            <w:r w:rsidRPr="00972B61">
              <w:rPr>
                <w:color w:val="000000"/>
                <w:sz w:val="16"/>
                <w:szCs w:val="16"/>
                <w:lang w:val="en-GB"/>
              </w:rPr>
              <w:t>: UNEP</w:t>
            </w:r>
          </w:p>
          <w:p w14:paraId="7A35161B" w14:textId="77777777" w:rsidR="00D973B7" w:rsidRPr="00972B61" w:rsidRDefault="00D973B7" w:rsidP="00E40F85">
            <w:pPr>
              <w:rPr>
                <w:color w:val="000000"/>
                <w:sz w:val="16"/>
                <w:szCs w:val="16"/>
                <w:lang w:val="en-GB"/>
              </w:rPr>
            </w:pPr>
          </w:p>
          <w:p w14:paraId="619E04C4" w14:textId="77777777" w:rsidR="00D973B7" w:rsidRPr="00972B61" w:rsidRDefault="00D973B7" w:rsidP="00E40F85">
            <w:pPr>
              <w:rPr>
                <w:color w:val="000000"/>
                <w:sz w:val="16"/>
                <w:szCs w:val="16"/>
                <w:lang w:val="en-GB"/>
              </w:rPr>
            </w:pPr>
            <w:r w:rsidRPr="00972B61">
              <w:rPr>
                <w:color w:val="000000"/>
                <w:sz w:val="16"/>
                <w:szCs w:val="16"/>
                <w:lang w:val="en-GB"/>
              </w:rPr>
              <w:t>Frequency: Annual</w:t>
            </w:r>
          </w:p>
        </w:tc>
        <w:tc>
          <w:tcPr>
            <w:tcW w:w="1595" w:type="pct"/>
            <w:tcMar>
              <w:top w:w="72" w:type="dxa"/>
              <w:left w:w="144" w:type="dxa"/>
              <w:bottom w:w="72" w:type="dxa"/>
              <w:right w:w="144" w:type="dxa"/>
            </w:tcMar>
          </w:tcPr>
          <w:p w14:paraId="7C9CB9DC" w14:textId="37E72D0F" w:rsidR="001B4D43" w:rsidRPr="00972B61" w:rsidRDefault="00D973B7" w:rsidP="00A20F55">
            <w:pPr>
              <w:spacing w:after="60"/>
              <w:rPr>
                <w:b/>
                <w:bCs/>
                <w:sz w:val="16"/>
                <w:szCs w:val="16"/>
                <w:lang w:val="en-GB"/>
              </w:rPr>
            </w:pPr>
            <w:r w:rsidRPr="00972B61">
              <w:rPr>
                <w:b/>
                <w:bCs/>
                <w:sz w:val="16"/>
                <w:szCs w:val="16"/>
                <w:lang w:val="en-GB"/>
              </w:rPr>
              <w:t>Output 3.1.1</w:t>
            </w:r>
            <w:r w:rsidR="00F96E09">
              <w:rPr>
                <w:b/>
                <w:bCs/>
                <w:sz w:val="16"/>
                <w:szCs w:val="16"/>
                <w:lang w:val="en-GB"/>
              </w:rPr>
              <w:t>.</w:t>
            </w:r>
            <w:r w:rsidRPr="00972B61">
              <w:rPr>
                <w:b/>
                <w:bCs/>
                <w:sz w:val="16"/>
                <w:szCs w:val="16"/>
                <w:lang w:val="en-GB"/>
              </w:rPr>
              <w:t xml:space="preserve"> </w:t>
            </w:r>
            <w:r w:rsidR="001D34E5" w:rsidRPr="00972B61">
              <w:rPr>
                <w:b/>
                <w:bCs/>
                <w:sz w:val="16"/>
                <w:szCs w:val="16"/>
                <w:lang w:val="en-GB"/>
              </w:rPr>
              <w:t>Regulatory instruments promote solutions to reduce climate and disaster risks and promote the sustainable management of natural resources.</w:t>
            </w:r>
          </w:p>
          <w:p w14:paraId="7852F484" w14:textId="0AA1720C" w:rsidR="00D973B7" w:rsidRPr="00972B61" w:rsidRDefault="00D973B7" w:rsidP="00E40F85">
            <w:pPr>
              <w:pStyle w:val="ListParagraph"/>
              <w:numPr>
                <w:ilvl w:val="0"/>
                <w:numId w:val="27"/>
              </w:numPr>
              <w:spacing w:after="60"/>
              <w:ind w:left="142" w:hanging="142"/>
              <w:rPr>
                <w:sz w:val="16"/>
                <w:szCs w:val="16"/>
                <w:lang w:val="en-GB"/>
              </w:rPr>
            </w:pPr>
            <w:r w:rsidRPr="00972B61">
              <w:rPr>
                <w:b/>
                <w:bCs/>
                <w:sz w:val="16"/>
                <w:szCs w:val="16"/>
                <w:lang w:val="en-GB"/>
              </w:rPr>
              <w:t>Indicator 3.1.1.1</w:t>
            </w:r>
            <w:r w:rsidR="00F96E09">
              <w:rPr>
                <w:b/>
                <w:bCs/>
                <w:sz w:val="16"/>
                <w:szCs w:val="16"/>
                <w:lang w:val="en-GB"/>
              </w:rPr>
              <w:t>.</w:t>
            </w:r>
            <w:r w:rsidRPr="00972B61">
              <w:rPr>
                <w:b/>
                <w:bCs/>
                <w:sz w:val="16"/>
                <w:szCs w:val="16"/>
                <w:lang w:val="en-GB"/>
              </w:rPr>
              <w:t xml:space="preserve"> </w:t>
            </w:r>
            <w:r w:rsidRPr="00972B61">
              <w:rPr>
                <w:sz w:val="16"/>
                <w:szCs w:val="16"/>
                <w:lang w:val="en-GB"/>
              </w:rPr>
              <w:t>N</w:t>
            </w:r>
            <w:r w:rsidR="00F96E09">
              <w:rPr>
                <w:sz w:val="16"/>
                <w:szCs w:val="16"/>
                <w:lang w:val="en-GB"/>
              </w:rPr>
              <w:t>umber</w:t>
            </w:r>
            <w:r w:rsidRPr="00972B61">
              <w:rPr>
                <w:sz w:val="16"/>
                <w:szCs w:val="16"/>
                <w:lang w:val="en-GB"/>
              </w:rPr>
              <w:t xml:space="preserve"> of local adaptation plans that explicitly consider the needs on women </w:t>
            </w:r>
            <w:r w:rsidR="00F96E09">
              <w:rPr>
                <w:sz w:val="16"/>
                <w:szCs w:val="16"/>
                <w:lang w:val="en-GB"/>
              </w:rPr>
              <w:t xml:space="preserve">and </w:t>
            </w:r>
            <w:r w:rsidRPr="00972B61">
              <w:rPr>
                <w:sz w:val="16"/>
                <w:szCs w:val="16"/>
                <w:lang w:val="en-GB"/>
              </w:rPr>
              <w:t>children, implemented in targeted districts.</w:t>
            </w:r>
          </w:p>
          <w:p w14:paraId="217B5BC0" w14:textId="77777777"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 xml:space="preserve">Baseline (2020): 17 </w:t>
            </w:r>
          </w:p>
          <w:p w14:paraId="147B8887" w14:textId="4400A6E2"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Target (2026): 22</w:t>
            </w:r>
          </w:p>
          <w:p w14:paraId="62316A39" w14:textId="77777777"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 xml:space="preserve">Data source: MTA, INGD </w:t>
            </w:r>
          </w:p>
          <w:p w14:paraId="1CC4FBFA" w14:textId="77777777" w:rsidR="00D973B7" w:rsidRPr="00972B61" w:rsidRDefault="00D973B7" w:rsidP="00A20F55">
            <w:pPr>
              <w:spacing w:after="60"/>
              <w:ind w:left="139"/>
              <w:rPr>
                <w:color w:val="000000" w:themeColor="text1"/>
                <w:sz w:val="16"/>
                <w:szCs w:val="16"/>
                <w:lang w:val="en-GB"/>
              </w:rPr>
            </w:pPr>
            <w:r w:rsidRPr="00972B61">
              <w:rPr>
                <w:color w:val="000000" w:themeColor="text1"/>
                <w:sz w:val="16"/>
                <w:szCs w:val="16"/>
                <w:lang w:val="en-GB"/>
              </w:rPr>
              <w:t>Frequency: Annual</w:t>
            </w:r>
          </w:p>
          <w:p w14:paraId="4C03758B" w14:textId="76209694" w:rsidR="00D973B7" w:rsidRPr="00972B61" w:rsidRDefault="00D973B7" w:rsidP="00E40F85">
            <w:pPr>
              <w:pStyle w:val="ListParagraph"/>
              <w:numPr>
                <w:ilvl w:val="0"/>
                <w:numId w:val="27"/>
              </w:numPr>
              <w:spacing w:after="60"/>
              <w:ind w:left="131" w:hanging="141"/>
              <w:rPr>
                <w:sz w:val="16"/>
                <w:szCs w:val="16"/>
                <w:lang w:val="en-GB"/>
              </w:rPr>
            </w:pPr>
            <w:r w:rsidRPr="00972B61">
              <w:rPr>
                <w:b/>
                <w:bCs/>
                <w:sz w:val="16"/>
                <w:szCs w:val="16"/>
                <w:lang w:val="en-GB"/>
              </w:rPr>
              <w:t>Indicator 3.1.1.2</w:t>
            </w:r>
            <w:r w:rsidR="00F96E09">
              <w:rPr>
                <w:b/>
                <w:bCs/>
                <w:sz w:val="16"/>
                <w:szCs w:val="16"/>
                <w:lang w:val="en-GB"/>
              </w:rPr>
              <w:t>.</w:t>
            </w:r>
            <w:r w:rsidRPr="00972B61">
              <w:rPr>
                <w:b/>
                <w:bCs/>
                <w:sz w:val="16"/>
                <w:szCs w:val="16"/>
                <w:lang w:val="en-GB"/>
              </w:rPr>
              <w:t xml:space="preserve"> </w:t>
            </w:r>
            <w:r w:rsidRPr="00972B61">
              <w:rPr>
                <w:sz w:val="16"/>
                <w:szCs w:val="16"/>
                <w:lang w:val="en-GB"/>
              </w:rPr>
              <w:t>N</w:t>
            </w:r>
            <w:r w:rsidR="00F96E09">
              <w:rPr>
                <w:sz w:val="16"/>
                <w:szCs w:val="16"/>
                <w:lang w:val="en-GB"/>
              </w:rPr>
              <w:t>umber</w:t>
            </w:r>
            <w:r w:rsidRPr="00972B61">
              <w:rPr>
                <w:sz w:val="16"/>
                <w:szCs w:val="16"/>
                <w:lang w:val="en-GB"/>
              </w:rPr>
              <w:t xml:space="preserve"> of gender-sensitive normative instruments on natural resources, environment, climate change and disaster resilience.</w:t>
            </w:r>
          </w:p>
          <w:p w14:paraId="3BC13987" w14:textId="538D957B" w:rsidR="00D973B7" w:rsidRPr="00972B61" w:rsidRDefault="00D973B7" w:rsidP="00E40F85">
            <w:pPr>
              <w:ind w:left="131"/>
              <w:rPr>
                <w:sz w:val="16"/>
                <w:szCs w:val="16"/>
                <w:lang w:val="en-GB"/>
              </w:rPr>
            </w:pPr>
            <w:r w:rsidRPr="00972B61">
              <w:rPr>
                <w:sz w:val="16"/>
                <w:szCs w:val="16"/>
                <w:lang w:val="en-GB"/>
              </w:rPr>
              <w:t xml:space="preserve">Baseline (2020): 3 </w:t>
            </w:r>
          </w:p>
          <w:p w14:paraId="7EC8B652" w14:textId="61488349" w:rsidR="00D973B7" w:rsidRPr="00972B61" w:rsidRDefault="00D973B7" w:rsidP="00E40F85">
            <w:pPr>
              <w:ind w:left="131"/>
              <w:rPr>
                <w:sz w:val="16"/>
                <w:szCs w:val="16"/>
                <w:lang w:val="en-GB"/>
              </w:rPr>
            </w:pPr>
            <w:r w:rsidRPr="00972B61">
              <w:rPr>
                <w:sz w:val="16"/>
                <w:szCs w:val="16"/>
                <w:lang w:val="en-GB"/>
              </w:rPr>
              <w:t>Target   (2026): 6</w:t>
            </w:r>
          </w:p>
          <w:p w14:paraId="75077686" w14:textId="0E92F43C" w:rsidR="00D973B7" w:rsidRPr="00972B61" w:rsidRDefault="00D973B7" w:rsidP="00E40F85">
            <w:pPr>
              <w:ind w:left="130"/>
              <w:rPr>
                <w:sz w:val="16"/>
                <w:szCs w:val="16"/>
                <w:lang w:val="en-GB"/>
              </w:rPr>
            </w:pPr>
            <w:r w:rsidRPr="00972B61">
              <w:rPr>
                <w:sz w:val="16"/>
                <w:szCs w:val="16"/>
                <w:lang w:val="en-GB"/>
              </w:rPr>
              <w:t xml:space="preserve">Data </w:t>
            </w:r>
            <w:r w:rsidR="00F96E09">
              <w:rPr>
                <w:sz w:val="16"/>
                <w:szCs w:val="16"/>
                <w:lang w:val="en-GB"/>
              </w:rPr>
              <w:t>s</w:t>
            </w:r>
            <w:r w:rsidRPr="00972B61">
              <w:rPr>
                <w:sz w:val="16"/>
                <w:szCs w:val="16"/>
                <w:lang w:val="en-GB"/>
              </w:rPr>
              <w:t xml:space="preserve">ource: MTA/ANAC, INGD </w:t>
            </w:r>
          </w:p>
          <w:p w14:paraId="3A5AF3EF" w14:textId="77777777" w:rsidR="00D973B7" w:rsidRPr="00972B61" w:rsidRDefault="00D973B7" w:rsidP="00E40F85">
            <w:pPr>
              <w:spacing w:after="60"/>
              <w:ind w:left="130"/>
              <w:rPr>
                <w:sz w:val="16"/>
                <w:szCs w:val="16"/>
                <w:lang w:val="en-GB"/>
              </w:rPr>
            </w:pPr>
            <w:r w:rsidRPr="00972B61">
              <w:rPr>
                <w:sz w:val="16"/>
                <w:szCs w:val="16"/>
                <w:lang w:val="en-GB"/>
              </w:rPr>
              <w:t>Frequency: Annual</w:t>
            </w:r>
          </w:p>
          <w:p w14:paraId="4E4CD80A" w14:textId="52B7EFBB" w:rsidR="00D973B7" w:rsidRPr="00972B61" w:rsidRDefault="00D973B7" w:rsidP="00E40F85">
            <w:pPr>
              <w:pStyle w:val="ListParagraph"/>
              <w:numPr>
                <w:ilvl w:val="0"/>
                <w:numId w:val="27"/>
              </w:numPr>
              <w:ind w:left="131" w:hanging="142"/>
              <w:rPr>
                <w:sz w:val="16"/>
                <w:szCs w:val="16"/>
                <w:lang w:val="en-GB"/>
              </w:rPr>
            </w:pPr>
            <w:r w:rsidRPr="00972B61">
              <w:rPr>
                <w:b/>
                <w:bCs/>
                <w:sz w:val="16"/>
                <w:szCs w:val="16"/>
                <w:lang w:val="en-GB"/>
              </w:rPr>
              <w:t>Indicator 3.1.1.3</w:t>
            </w:r>
            <w:r w:rsidR="00F96E09">
              <w:rPr>
                <w:b/>
                <w:bCs/>
                <w:sz w:val="16"/>
                <w:szCs w:val="16"/>
                <w:lang w:val="en-GB"/>
              </w:rPr>
              <w:t>.</w:t>
            </w:r>
            <w:r w:rsidRPr="00972B61">
              <w:rPr>
                <w:b/>
                <w:bCs/>
                <w:sz w:val="16"/>
                <w:szCs w:val="16"/>
                <w:lang w:val="en-GB"/>
              </w:rPr>
              <w:t xml:space="preserve"> </w:t>
            </w:r>
            <w:r w:rsidRPr="00972B61">
              <w:rPr>
                <w:sz w:val="16"/>
                <w:szCs w:val="16"/>
                <w:lang w:val="en-GB"/>
              </w:rPr>
              <w:t>N</w:t>
            </w:r>
            <w:r w:rsidR="00F96E09">
              <w:rPr>
                <w:sz w:val="16"/>
                <w:szCs w:val="16"/>
                <w:lang w:val="en-GB"/>
              </w:rPr>
              <w:t xml:space="preserve">umber </w:t>
            </w:r>
            <w:r w:rsidRPr="00972B61">
              <w:rPr>
                <w:sz w:val="16"/>
                <w:szCs w:val="16"/>
                <w:lang w:val="en-GB"/>
              </w:rPr>
              <w:t>of innovative finance instruments developed and implemented for natural resource management and climate action.</w:t>
            </w:r>
          </w:p>
          <w:p w14:paraId="7508C4A8" w14:textId="55F9FDCA" w:rsidR="00D973B7" w:rsidRPr="00972B61" w:rsidRDefault="00D973B7" w:rsidP="00E40F85">
            <w:pPr>
              <w:ind w:left="132"/>
              <w:rPr>
                <w:sz w:val="16"/>
                <w:szCs w:val="16"/>
                <w:lang w:val="en-GB"/>
              </w:rPr>
            </w:pPr>
            <w:r w:rsidRPr="00972B61">
              <w:rPr>
                <w:sz w:val="16"/>
                <w:szCs w:val="16"/>
                <w:lang w:val="en-GB"/>
              </w:rPr>
              <w:t>Baseline (2020): 2</w:t>
            </w:r>
          </w:p>
          <w:p w14:paraId="6C6D56BE" w14:textId="209FB9C2" w:rsidR="00D973B7" w:rsidRPr="00972B61" w:rsidRDefault="00D973B7" w:rsidP="00E40F85">
            <w:pPr>
              <w:ind w:left="132"/>
              <w:rPr>
                <w:sz w:val="16"/>
                <w:szCs w:val="16"/>
                <w:lang w:val="en-GB"/>
              </w:rPr>
            </w:pPr>
            <w:r w:rsidRPr="00972B61">
              <w:rPr>
                <w:sz w:val="16"/>
                <w:szCs w:val="16"/>
                <w:lang w:val="en-GB"/>
              </w:rPr>
              <w:t>Target   (2026): 4</w:t>
            </w:r>
          </w:p>
          <w:p w14:paraId="39A59EA6" w14:textId="46F1B154" w:rsidR="00D973B7" w:rsidRPr="00972B61" w:rsidRDefault="00D973B7" w:rsidP="00E40F85">
            <w:pPr>
              <w:ind w:left="132"/>
              <w:rPr>
                <w:sz w:val="16"/>
                <w:szCs w:val="16"/>
                <w:lang w:val="en-GB"/>
              </w:rPr>
            </w:pPr>
            <w:r w:rsidRPr="00972B61">
              <w:rPr>
                <w:sz w:val="16"/>
                <w:szCs w:val="16"/>
                <w:lang w:val="en-GB"/>
              </w:rPr>
              <w:lastRenderedPageBreak/>
              <w:t>Data source: MEF, MTA,</w:t>
            </w:r>
            <w:r w:rsidR="00586F5C">
              <w:rPr>
                <w:sz w:val="16"/>
                <w:szCs w:val="16"/>
                <w:lang w:val="en-GB"/>
              </w:rPr>
              <w:t xml:space="preserve"> </w:t>
            </w:r>
            <w:r w:rsidR="00586F5C" w:rsidRPr="00505311">
              <w:rPr>
                <w:sz w:val="16"/>
                <w:szCs w:val="16"/>
                <w:lang w:val="en-GB"/>
              </w:rPr>
              <w:t>National Fund for Sustainable Development (</w:t>
            </w:r>
            <w:r w:rsidRPr="00972B61">
              <w:rPr>
                <w:sz w:val="16"/>
                <w:szCs w:val="16"/>
                <w:lang w:val="en-GB"/>
              </w:rPr>
              <w:t>FNDS</w:t>
            </w:r>
            <w:r w:rsidR="00586F5C">
              <w:rPr>
                <w:sz w:val="16"/>
                <w:szCs w:val="16"/>
                <w:lang w:val="en-GB"/>
              </w:rPr>
              <w:t>)</w:t>
            </w:r>
          </w:p>
          <w:p w14:paraId="21C4283D" w14:textId="77777777" w:rsidR="00D973B7" w:rsidRPr="00972B61" w:rsidRDefault="00D973B7" w:rsidP="00E40F85">
            <w:pPr>
              <w:rPr>
                <w:b/>
                <w:bCs/>
                <w:sz w:val="16"/>
                <w:szCs w:val="16"/>
                <w:lang w:val="en-GB"/>
              </w:rPr>
            </w:pPr>
            <w:r w:rsidRPr="00972B61">
              <w:rPr>
                <w:sz w:val="16"/>
                <w:szCs w:val="16"/>
                <w:lang w:val="en-GB"/>
              </w:rPr>
              <w:t xml:space="preserve">   Frequency: Annual</w:t>
            </w:r>
          </w:p>
        </w:tc>
        <w:tc>
          <w:tcPr>
            <w:tcW w:w="786" w:type="pct"/>
            <w:vMerge w:val="restart"/>
          </w:tcPr>
          <w:p w14:paraId="125D61AA" w14:textId="6A77D41A" w:rsidR="0064155D" w:rsidRPr="00972B61" w:rsidRDefault="00D973B7" w:rsidP="00E40F85">
            <w:pPr>
              <w:rPr>
                <w:color w:val="000000"/>
                <w:sz w:val="16"/>
                <w:szCs w:val="16"/>
                <w:lang w:val="en-GB"/>
              </w:rPr>
            </w:pPr>
            <w:r w:rsidRPr="00972B61">
              <w:rPr>
                <w:color w:val="000000"/>
                <w:sz w:val="16"/>
                <w:szCs w:val="16"/>
                <w:lang w:val="en-GB"/>
              </w:rPr>
              <w:lastRenderedPageBreak/>
              <w:t>MTA</w:t>
            </w:r>
            <w:r w:rsidR="00F96E09">
              <w:rPr>
                <w:color w:val="000000"/>
                <w:sz w:val="16"/>
                <w:szCs w:val="16"/>
                <w:lang w:val="en-GB"/>
              </w:rPr>
              <w:t xml:space="preserve">, </w:t>
            </w:r>
            <w:r w:rsidR="00BD7A34" w:rsidRPr="00505311">
              <w:rPr>
                <w:color w:val="000000"/>
                <w:sz w:val="16"/>
                <w:szCs w:val="16"/>
                <w:lang w:val="en-GB"/>
              </w:rPr>
              <w:t>National Administration of Conservation Areas (ANAC)</w:t>
            </w:r>
            <w:r w:rsidR="00BD7A34" w:rsidRPr="00972B61">
              <w:rPr>
                <w:color w:val="000000"/>
                <w:sz w:val="16"/>
                <w:szCs w:val="16"/>
                <w:lang w:val="en-GB"/>
              </w:rPr>
              <w:t xml:space="preserve"> </w:t>
            </w:r>
          </w:p>
          <w:p w14:paraId="5F705BDF" w14:textId="77777777" w:rsidR="0064155D" w:rsidRPr="00972B61" w:rsidRDefault="0064155D" w:rsidP="00E40F85">
            <w:pPr>
              <w:rPr>
                <w:color w:val="000000"/>
                <w:sz w:val="16"/>
                <w:szCs w:val="16"/>
                <w:lang w:val="en-GB"/>
              </w:rPr>
            </w:pPr>
          </w:p>
          <w:p w14:paraId="5F19870B" w14:textId="2838F61A" w:rsidR="00D973B7" w:rsidRPr="00972B61" w:rsidRDefault="002A35BB" w:rsidP="00E40F85">
            <w:pPr>
              <w:rPr>
                <w:color w:val="000000"/>
                <w:sz w:val="16"/>
                <w:szCs w:val="16"/>
                <w:lang w:val="en-GB"/>
              </w:rPr>
            </w:pPr>
            <w:r>
              <w:rPr>
                <w:color w:val="000000"/>
                <w:sz w:val="16"/>
                <w:szCs w:val="16"/>
                <w:lang w:val="en-GB"/>
              </w:rPr>
              <w:t>United Nations Environment Programme (</w:t>
            </w:r>
            <w:r w:rsidR="00D973B7" w:rsidRPr="00972B61">
              <w:rPr>
                <w:color w:val="000000"/>
                <w:sz w:val="16"/>
                <w:szCs w:val="16"/>
                <w:lang w:val="en-GB"/>
              </w:rPr>
              <w:t>UNEP</w:t>
            </w:r>
            <w:r>
              <w:rPr>
                <w:color w:val="000000"/>
                <w:sz w:val="16"/>
                <w:szCs w:val="16"/>
                <w:lang w:val="en-GB"/>
              </w:rPr>
              <w:t>)</w:t>
            </w:r>
            <w:r w:rsidR="00D973B7" w:rsidRPr="00972B61">
              <w:rPr>
                <w:color w:val="000000"/>
                <w:sz w:val="16"/>
                <w:szCs w:val="16"/>
                <w:lang w:val="en-GB"/>
              </w:rPr>
              <w:t>, UN-</w:t>
            </w:r>
            <w:r w:rsidR="00F96E09">
              <w:rPr>
                <w:color w:val="000000"/>
                <w:sz w:val="16"/>
                <w:szCs w:val="16"/>
                <w:lang w:val="en-GB"/>
              </w:rPr>
              <w:t>Women</w:t>
            </w:r>
            <w:r w:rsidR="00D973B7" w:rsidRPr="00972B61">
              <w:rPr>
                <w:color w:val="000000"/>
                <w:sz w:val="16"/>
                <w:szCs w:val="16"/>
                <w:lang w:val="en-GB"/>
              </w:rPr>
              <w:t xml:space="preserve">, </w:t>
            </w:r>
            <w:r w:rsidR="000B12B8" w:rsidRPr="00972B61">
              <w:rPr>
                <w:color w:val="000000"/>
                <w:sz w:val="16"/>
                <w:szCs w:val="16"/>
                <w:lang w:val="en-GB"/>
              </w:rPr>
              <w:t>WHO</w:t>
            </w:r>
          </w:p>
          <w:p w14:paraId="4B3CD2CE" w14:textId="52345A8C" w:rsidR="00D973B7" w:rsidRPr="00972B61" w:rsidRDefault="00D973B7" w:rsidP="00E40F85">
            <w:pPr>
              <w:rPr>
                <w:color w:val="000000"/>
                <w:sz w:val="16"/>
                <w:szCs w:val="16"/>
                <w:lang w:val="en-GB"/>
              </w:rPr>
            </w:pPr>
          </w:p>
        </w:tc>
        <w:tc>
          <w:tcPr>
            <w:tcW w:w="600" w:type="pct"/>
            <w:vMerge w:val="restart"/>
            <w:tcMar>
              <w:top w:w="15" w:type="dxa"/>
              <w:left w:w="108" w:type="dxa"/>
              <w:bottom w:w="0" w:type="dxa"/>
              <w:right w:w="108" w:type="dxa"/>
            </w:tcMar>
          </w:tcPr>
          <w:p w14:paraId="07268328" w14:textId="316CEDFE" w:rsidR="0025162A" w:rsidRPr="00972B61" w:rsidRDefault="00D973B7" w:rsidP="00783D89">
            <w:pPr>
              <w:rPr>
                <w:color w:val="000000"/>
                <w:sz w:val="16"/>
                <w:szCs w:val="16"/>
                <w:lang w:val="en-GB" w:eastAsia="en-GB"/>
              </w:rPr>
            </w:pPr>
            <w:r w:rsidRPr="00972B61">
              <w:rPr>
                <w:color w:val="000000"/>
                <w:sz w:val="16"/>
                <w:szCs w:val="16"/>
                <w:lang w:val="en-GB"/>
              </w:rPr>
              <w:t xml:space="preserve">Regular: </w:t>
            </w:r>
            <w:r w:rsidR="0025162A" w:rsidRPr="00972B61">
              <w:rPr>
                <w:color w:val="000000"/>
                <w:sz w:val="16"/>
                <w:szCs w:val="16"/>
                <w:lang w:val="en-GB"/>
              </w:rPr>
              <w:t>$16,693,558</w:t>
            </w:r>
          </w:p>
          <w:p w14:paraId="59C2FF26" w14:textId="20FF8F3B" w:rsidR="00D973B7" w:rsidRPr="00972B61" w:rsidRDefault="00D973B7" w:rsidP="00783D89">
            <w:pPr>
              <w:rPr>
                <w:color w:val="000000"/>
                <w:sz w:val="16"/>
                <w:szCs w:val="16"/>
                <w:lang w:val="en-GB"/>
              </w:rPr>
            </w:pPr>
          </w:p>
          <w:p w14:paraId="28C32AD3" w14:textId="5D1D817A" w:rsidR="00D973B7" w:rsidRPr="00972B61" w:rsidRDefault="00D973B7" w:rsidP="00E40F85">
            <w:pPr>
              <w:spacing w:after="120"/>
              <w:rPr>
                <w:color w:val="000000"/>
                <w:sz w:val="16"/>
                <w:szCs w:val="16"/>
                <w:lang w:val="en-GB"/>
              </w:rPr>
            </w:pPr>
            <w:r w:rsidRPr="00972B61">
              <w:rPr>
                <w:color w:val="000000"/>
                <w:sz w:val="16"/>
                <w:szCs w:val="16"/>
                <w:lang w:val="en-GB"/>
              </w:rPr>
              <w:t>Other:</w:t>
            </w:r>
            <w:r w:rsidR="004D42F5" w:rsidRPr="00972B61">
              <w:rPr>
                <w:color w:val="000000"/>
                <w:sz w:val="16"/>
                <w:szCs w:val="16"/>
                <w:lang w:val="en-GB"/>
              </w:rPr>
              <w:t xml:space="preserve"> </w:t>
            </w:r>
            <w:r w:rsidR="00174DD1" w:rsidRPr="00972B61">
              <w:rPr>
                <w:color w:val="000000"/>
                <w:sz w:val="16"/>
                <w:szCs w:val="16"/>
                <w:lang w:val="en-GB"/>
              </w:rPr>
              <w:t>$52,432,420</w:t>
            </w:r>
          </w:p>
          <w:p w14:paraId="624EA835" w14:textId="77777777" w:rsidR="00D973B7" w:rsidRPr="00972B61" w:rsidRDefault="00D973B7" w:rsidP="00E40F85">
            <w:pPr>
              <w:spacing w:after="120"/>
              <w:rPr>
                <w:b/>
                <w:color w:val="000000"/>
                <w:sz w:val="16"/>
                <w:szCs w:val="16"/>
                <w:lang w:val="en-GB"/>
              </w:rPr>
            </w:pPr>
          </w:p>
        </w:tc>
      </w:tr>
      <w:tr w:rsidR="00D973B7" w:rsidRPr="00972B61" w14:paraId="50BD90BA" w14:textId="77777777" w:rsidTr="00DA48C2">
        <w:tc>
          <w:tcPr>
            <w:tcW w:w="1023" w:type="pct"/>
            <w:vMerge/>
            <w:tcMar>
              <w:top w:w="72" w:type="dxa"/>
              <w:left w:w="144" w:type="dxa"/>
              <w:bottom w:w="72" w:type="dxa"/>
              <w:right w:w="144" w:type="dxa"/>
            </w:tcMar>
          </w:tcPr>
          <w:p w14:paraId="2439127C" w14:textId="77777777" w:rsidR="00D973B7" w:rsidRPr="00972B61" w:rsidRDefault="00D973B7" w:rsidP="00E40F85">
            <w:pPr>
              <w:rPr>
                <w:color w:val="000000"/>
                <w:sz w:val="16"/>
                <w:szCs w:val="16"/>
                <w:lang w:val="en-GB"/>
              </w:rPr>
            </w:pPr>
          </w:p>
        </w:tc>
        <w:tc>
          <w:tcPr>
            <w:tcW w:w="996" w:type="pct"/>
            <w:vMerge/>
          </w:tcPr>
          <w:p w14:paraId="3C86DEA9" w14:textId="77777777" w:rsidR="00D973B7" w:rsidRPr="00972B61" w:rsidRDefault="00D973B7" w:rsidP="00E40F85">
            <w:pPr>
              <w:rPr>
                <w:color w:val="000000"/>
                <w:sz w:val="16"/>
                <w:szCs w:val="16"/>
                <w:lang w:val="en-GB"/>
              </w:rPr>
            </w:pPr>
          </w:p>
        </w:tc>
        <w:tc>
          <w:tcPr>
            <w:tcW w:w="1595" w:type="pct"/>
            <w:tcMar>
              <w:top w:w="72" w:type="dxa"/>
              <w:left w:w="144" w:type="dxa"/>
              <w:bottom w:w="72" w:type="dxa"/>
              <w:right w:w="144" w:type="dxa"/>
            </w:tcMar>
          </w:tcPr>
          <w:p w14:paraId="1D18DB67" w14:textId="2AF45899" w:rsidR="00D973B7" w:rsidRPr="00972B61" w:rsidRDefault="00D973B7" w:rsidP="009662E1">
            <w:pPr>
              <w:spacing w:after="60"/>
              <w:rPr>
                <w:b/>
                <w:bCs/>
                <w:sz w:val="16"/>
                <w:szCs w:val="16"/>
                <w:lang w:val="en-GB"/>
              </w:rPr>
            </w:pPr>
            <w:r w:rsidRPr="00972B61">
              <w:rPr>
                <w:b/>
                <w:bCs/>
                <w:sz w:val="16"/>
                <w:szCs w:val="16"/>
                <w:lang w:val="en-GB"/>
              </w:rPr>
              <w:t>O</w:t>
            </w:r>
            <w:r w:rsidR="00A20F55">
              <w:rPr>
                <w:b/>
                <w:bCs/>
                <w:sz w:val="16"/>
                <w:szCs w:val="16"/>
                <w:lang w:val="en-GB"/>
              </w:rPr>
              <w:t xml:space="preserve">utput </w:t>
            </w:r>
            <w:r w:rsidRPr="00972B61">
              <w:rPr>
                <w:b/>
                <w:bCs/>
                <w:sz w:val="16"/>
                <w:szCs w:val="16"/>
                <w:lang w:val="en-GB"/>
              </w:rPr>
              <w:t>3.1.2</w:t>
            </w:r>
            <w:r w:rsidR="00F96E09">
              <w:rPr>
                <w:b/>
                <w:bCs/>
                <w:sz w:val="16"/>
                <w:szCs w:val="16"/>
                <w:lang w:val="en-GB"/>
              </w:rPr>
              <w:t>.</w:t>
            </w:r>
            <w:r w:rsidRPr="00972B61">
              <w:rPr>
                <w:b/>
                <w:bCs/>
                <w:sz w:val="16"/>
                <w:szCs w:val="16"/>
                <w:lang w:val="en-GB"/>
              </w:rPr>
              <w:t xml:space="preserve"> Solutions scaled up for biodiversity conservation and transparent and inclusive management of the environment and natural resources.</w:t>
            </w:r>
          </w:p>
          <w:p w14:paraId="5DA5C85F" w14:textId="1D490236" w:rsidR="00D973B7" w:rsidRPr="00972B61" w:rsidRDefault="00D973B7" w:rsidP="00E40F85">
            <w:pPr>
              <w:pStyle w:val="ListParagraph"/>
              <w:numPr>
                <w:ilvl w:val="0"/>
                <w:numId w:val="27"/>
              </w:numPr>
              <w:ind w:left="142" w:hanging="142"/>
              <w:rPr>
                <w:sz w:val="16"/>
                <w:szCs w:val="16"/>
                <w:lang w:val="en-GB"/>
              </w:rPr>
            </w:pPr>
            <w:r w:rsidRPr="00972B61">
              <w:rPr>
                <w:b/>
                <w:bCs/>
                <w:sz w:val="16"/>
                <w:szCs w:val="16"/>
                <w:lang w:val="en-GB"/>
              </w:rPr>
              <w:t>Indicator 3.1.2.1</w:t>
            </w:r>
            <w:r w:rsidR="00F96E09">
              <w:rPr>
                <w:b/>
                <w:bCs/>
                <w:sz w:val="16"/>
                <w:szCs w:val="16"/>
                <w:lang w:val="en-GB"/>
              </w:rPr>
              <w:t>.</w:t>
            </w:r>
            <w:r w:rsidRPr="00972B61">
              <w:rPr>
                <w:b/>
                <w:bCs/>
                <w:sz w:val="16"/>
                <w:szCs w:val="16"/>
                <w:lang w:val="en-GB"/>
              </w:rPr>
              <w:t xml:space="preserve"> </w:t>
            </w:r>
            <w:r w:rsidRPr="00972B61">
              <w:rPr>
                <w:sz w:val="16"/>
                <w:szCs w:val="16"/>
                <w:lang w:val="en-GB"/>
              </w:rPr>
              <w:t>N</w:t>
            </w:r>
            <w:r w:rsidR="00F96E09">
              <w:rPr>
                <w:sz w:val="16"/>
                <w:szCs w:val="16"/>
                <w:lang w:val="en-GB"/>
              </w:rPr>
              <w:t>umber</w:t>
            </w:r>
            <w:r w:rsidRPr="00972B61">
              <w:rPr>
                <w:sz w:val="16"/>
                <w:szCs w:val="16"/>
                <w:lang w:val="en-GB"/>
              </w:rPr>
              <w:t xml:space="preserve"> of communities in conservation areas implementing initiatives on sustainable management of the environment, natural resources, and biodiversity conservation</w:t>
            </w:r>
            <w:r w:rsidR="00F96E09">
              <w:rPr>
                <w:sz w:val="16"/>
                <w:szCs w:val="16"/>
                <w:lang w:val="en-GB"/>
              </w:rPr>
              <w:t>.</w:t>
            </w:r>
          </w:p>
          <w:p w14:paraId="3C04C911" w14:textId="440CC357" w:rsidR="00D973B7" w:rsidRPr="00972B61" w:rsidRDefault="00D973B7" w:rsidP="00E40F85">
            <w:pPr>
              <w:ind w:left="139"/>
              <w:rPr>
                <w:color w:val="000000" w:themeColor="text1"/>
                <w:sz w:val="16"/>
                <w:szCs w:val="16"/>
                <w:lang w:val="en-GB"/>
              </w:rPr>
            </w:pPr>
            <w:r w:rsidRPr="00972B61">
              <w:rPr>
                <w:sz w:val="16"/>
                <w:szCs w:val="16"/>
                <w:lang w:val="en-GB"/>
              </w:rPr>
              <w:t xml:space="preserve">Baseline </w:t>
            </w:r>
            <w:r w:rsidRPr="00972B61">
              <w:rPr>
                <w:color w:val="000000" w:themeColor="text1"/>
                <w:sz w:val="16"/>
                <w:szCs w:val="16"/>
                <w:lang w:val="en-GB"/>
              </w:rPr>
              <w:t>(2020): 77</w:t>
            </w:r>
          </w:p>
          <w:p w14:paraId="1EA261E0" w14:textId="2B278D2B"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Target   (2026): 144</w:t>
            </w:r>
          </w:p>
          <w:p w14:paraId="569199E7" w14:textId="77777777"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Data source: MTA, ANAC</w:t>
            </w:r>
          </w:p>
          <w:p w14:paraId="2ACA105B" w14:textId="77777777" w:rsidR="00D973B7" w:rsidRPr="00972B61" w:rsidRDefault="00D973B7" w:rsidP="00E40F85">
            <w:pPr>
              <w:spacing w:after="60"/>
              <w:ind w:left="142"/>
              <w:rPr>
                <w:color w:val="000000" w:themeColor="text1"/>
                <w:sz w:val="16"/>
                <w:szCs w:val="16"/>
                <w:lang w:val="en-GB"/>
              </w:rPr>
            </w:pPr>
            <w:r w:rsidRPr="00972B61">
              <w:rPr>
                <w:color w:val="000000" w:themeColor="text1"/>
                <w:sz w:val="16"/>
                <w:szCs w:val="16"/>
                <w:lang w:val="en-GB"/>
              </w:rPr>
              <w:t>Frequency: Annual</w:t>
            </w:r>
          </w:p>
          <w:p w14:paraId="24E239F1" w14:textId="66278242" w:rsidR="00D973B7" w:rsidRPr="00972B61" w:rsidRDefault="00D973B7" w:rsidP="00E40F85">
            <w:pPr>
              <w:pStyle w:val="ListParagraph"/>
              <w:numPr>
                <w:ilvl w:val="0"/>
                <w:numId w:val="27"/>
              </w:numPr>
              <w:ind w:left="142" w:hanging="142"/>
              <w:rPr>
                <w:sz w:val="16"/>
                <w:szCs w:val="16"/>
                <w:lang w:val="en-GB"/>
              </w:rPr>
            </w:pPr>
            <w:r w:rsidRPr="00972B61">
              <w:rPr>
                <w:b/>
                <w:bCs/>
                <w:sz w:val="16"/>
                <w:szCs w:val="16"/>
                <w:lang w:val="en-GB"/>
              </w:rPr>
              <w:t>Indicator 3.1.2.2</w:t>
            </w:r>
            <w:r w:rsidR="00F96E09">
              <w:rPr>
                <w:b/>
                <w:bCs/>
                <w:sz w:val="16"/>
                <w:szCs w:val="16"/>
                <w:lang w:val="en-GB"/>
              </w:rPr>
              <w:t>.</w:t>
            </w:r>
            <w:r w:rsidRPr="00972B61">
              <w:rPr>
                <w:b/>
                <w:bCs/>
                <w:sz w:val="16"/>
                <w:szCs w:val="16"/>
                <w:lang w:val="en-GB"/>
              </w:rPr>
              <w:t xml:space="preserve"> </w:t>
            </w:r>
            <w:r w:rsidRPr="00972B61">
              <w:rPr>
                <w:sz w:val="16"/>
                <w:szCs w:val="16"/>
                <w:lang w:val="en-GB"/>
              </w:rPr>
              <w:t>N</w:t>
            </w:r>
            <w:r w:rsidR="00F96E09">
              <w:rPr>
                <w:sz w:val="16"/>
                <w:szCs w:val="16"/>
                <w:lang w:val="en-GB"/>
              </w:rPr>
              <w:t>umber</w:t>
            </w:r>
            <w:r w:rsidRPr="00972B61">
              <w:rPr>
                <w:sz w:val="16"/>
                <w:szCs w:val="16"/>
                <w:lang w:val="en-GB"/>
              </w:rPr>
              <w:t xml:space="preserve"> of ecosystem-based enterprises </w:t>
            </w:r>
            <w:r w:rsidR="00AD1B46" w:rsidRPr="00972B61">
              <w:rPr>
                <w:sz w:val="16"/>
                <w:szCs w:val="16"/>
                <w:lang w:val="en-GB"/>
              </w:rPr>
              <w:t xml:space="preserve">that support sustainable </w:t>
            </w:r>
            <w:r w:rsidRPr="00972B61">
              <w:rPr>
                <w:sz w:val="16"/>
                <w:szCs w:val="16"/>
                <w:lang w:val="en-GB"/>
              </w:rPr>
              <w:t>natural resources management established in target areas (disaggregated by enterprises headed by women)</w:t>
            </w:r>
            <w:r w:rsidR="00F96E09">
              <w:rPr>
                <w:sz w:val="16"/>
                <w:szCs w:val="16"/>
                <w:lang w:val="en-GB"/>
              </w:rPr>
              <w:t>.</w:t>
            </w:r>
          </w:p>
          <w:p w14:paraId="15D5A5F3" w14:textId="14BD0023" w:rsidR="00D973B7" w:rsidRPr="00972B61" w:rsidRDefault="00D973B7" w:rsidP="00E40F85">
            <w:pPr>
              <w:ind w:left="139"/>
              <w:rPr>
                <w:color w:val="000000" w:themeColor="text1"/>
                <w:sz w:val="16"/>
                <w:szCs w:val="16"/>
                <w:lang w:val="en-GB"/>
              </w:rPr>
            </w:pPr>
            <w:r w:rsidRPr="00972B61">
              <w:rPr>
                <w:sz w:val="16"/>
                <w:szCs w:val="16"/>
                <w:lang w:val="en-GB"/>
              </w:rPr>
              <w:t>Baseline  (2020</w:t>
            </w:r>
            <w:r w:rsidRPr="00972B61">
              <w:rPr>
                <w:color w:val="000000" w:themeColor="text1"/>
                <w:sz w:val="16"/>
                <w:szCs w:val="16"/>
                <w:lang w:val="en-GB"/>
              </w:rPr>
              <w:t>): 4</w:t>
            </w:r>
          </w:p>
          <w:p w14:paraId="404C151F" w14:textId="31BAF03E"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Target     (2026): 8</w:t>
            </w:r>
          </w:p>
          <w:p w14:paraId="41D328CB" w14:textId="77777777" w:rsidR="00D973B7" w:rsidRPr="00972B61" w:rsidRDefault="00D973B7" w:rsidP="00E40F85">
            <w:pPr>
              <w:ind w:left="139"/>
              <w:rPr>
                <w:color w:val="000000" w:themeColor="text1"/>
                <w:sz w:val="16"/>
                <w:szCs w:val="16"/>
                <w:lang w:val="en-GB"/>
              </w:rPr>
            </w:pPr>
            <w:r w:rsidRPr="00972B61">
              <w:rPr>
                <w:color w:val="000000" w:themeColor="text1"/>
                <w:sz w:val="16"/>
                <w:szCs w:val="16"/>
                <w:lang w:val="en-GB"/>
              </w:rPr>
              <w:t>Data source: MTA, ANAC</w:t>
            </w:r>
          </w:p>
          <w:p w14:paraId="5CD0C81D" w14:textId="77777777" w:rsidR="00D973B7" w:rsidRPr="00972B61" w:rsidRDefault="00D973B7" w:rsidP="00E40F85">
            <w:pPr>
              <w:spacing w:after="60"/>
              <w:rPr>
                <w:color w:val="000000" w:themeColor="text1"/>
                <w:sz w:val="16"/>
                <w:szCs w:val="16"/>
                <w:lang w:val="en-GB"/>
              </w:rPr>
            </w:pPr>
            <w:r w:rsidRPr="00972B61">
              <w:rPr>
                <w:color w:val="000000" w:themeColor="text1"/>
                <w:sz w:val="16"/>
                <w:szCs w:val="16"/>
                <w:lang w:val="en-GB"/>
              </w:rPr>
              <w:t xml:space="preserve">   Frequency: Annual</w:t>
            </w:r>
          </w:p>
        </w:tc>
        <w:tc>
          <w:tcPr>
            <w:tcW w:w="786" w:type="pct"/>
            <w:vMerge/>
          </w:tcPr>
          <w:p w14:paraId="5099EE9B" w14:textId="77777777" w:rsidR="00D973B7" w:rsidRPr="00972B61" w:rsidRDefault="00D973B7" w:rsidP="00E40F85">
            <w:pPr>
              <w:rPr>
                <w:color w:val="000000"/>
                <w:sz w:val="16"/>
                <w:szCs w:val="16"/>
                <w:lang w:val="en-GB"/>
              </w:rPr>
            </w:pPr>
          </w:p>
        </w:tc>
        <w:tc>
          <w:tcPr>
            <w:tcW w:w="600" w:type="pct"/>
            <w:vMerge/>
            <w:tcMar>
              <w:top w:w="15" w:type="dxa"/>
              <w:left w:w="108" w:type="dxa"/>
              <w:bottom w:w="0" w:type="dxa"/>
              <w:right w:w="108" w:type="dxa"/>
            </w:tcMar>
          </w:tcPr>
          <w:p w14:paraId="3C6383A1" w14:textId="77777777" w:rsidR="00D973B7" w:rsidRPr="00972B61" w:rsidRDefault="00D973B7" w:rsidP="00E40F85">
            <w:pPr>
              <w:rPr>
                <w:b/>
                <w:color w:val="000000"/>
                <w:sz w:val="16"/>
                <w:szCs w:val="16"/>
                <w:lang w:val="en-GB"/>
              </w:rPr>
            </w:pPr>
          </w:p>
        </w:tc>
      </w:tr>
      <w:tr w:rsidR="00D973B7" w:rsidRPr="00972B61" w14:paraId="500A0553" w14:textId="77777777" w:rsidTr="00DA48C2">
        <w:tc>
          <w:tcPr>
            <w:tcW w:w="5000" w:type="pct"/>
            <w:gridSpan w:val="5"/>
            <w:shd w:val="clear" w:color="auto" w:fill="DBE5F1" w:themeFill="accent1" w:themeFillTint="33"/>
            <w:tcMar>
              <w:top w:w="72" w:type="dxa"/>
              <w:left w:w="144" w:type="dxa"/>
              <w:bottom w:w="72" w:type="dxa"/>
              <w:right w:w="144" w:type="dxa"/>
            </w:tcMar>
          </w:tcPr>
          <w:p w14:paraId="1366163A" w14:textId="30979C53" w:rsidR="00D973B7" w:rsidRPr="00972B61" w:rsidRDefault="00D973B7" w:rsidP="00E40F85">
            <w:pPr>
              <w:rPr>
                <w:b/>
                <w:color w:val="000000" w:themeColor="text1"/>
                <w:sz w:val="16"/>
                <w:szCs w:val="16"/>
                <w:lang w:val="en-GB"/>
              </w:rPr>
            </w:pPr>
            <w:r w:rsidRPr="00972B61">
              <w:rPr>
                <w:b/>
                <w:bCs/>
                <w:color w:val="000000" w:themeColor="text1"/>
                <w:sz w:val="16"/>
                <w:szCs w:val="16"/>
                <w:lang w:val="en-GB"/>
              </w:rPr>
              <w:t xml:space="preserve">NATIONAL PRIORITY OR GOAL:   </w:t>
            </w:r>
            <w:r w:rsidRPr="00972B61">
              <w:rPr>
                <w:b/>
                <w:color w:val="000000" w:themeColor="text1"/>
                <w:sz w:val="16"/>
                <w:szCs w:val="16"/>
                <w:lang w:val="en-GB"/>
              </w:rPr>
              <w:t xml:space="preserve">PQG Priority 1: </w:t>
            </w:r>
            <w:r w:rsidRPr="00F951C0">
              <w:rPr>
                <w:bCs/>
                <w:color w:val="000000" w:themeColor="text1"/>
                <w:sz w:val="16"/>
                <w:szCs w:val="16"/>
                <w:lang w:val="en-GB"/>
              </w:rPr>
              <w:t>Develop human capital and social justice (</w:t>
            </w:r>
            <w:r w:rsidR="00F96E09">
              <w:rPr>
                <w:bCs/>
                <w:color w:val="000000" w:themeColor="text1"/>
                <w:sz w:val="16"/>
                <w:szCs w:val="16"/>
                <w:lang w:val="en-GB"/>
              </w:rPr>
              <w:t>s</w:t>
            </w:r>
            <w:r w:rsidRPr="00F951C0">
              <w:rPr>
                <w:bCs/>
                <w:color w:val="000000" w:themeColor="text1"/>
                <w:sz w:val="16"/>
                <w:szCs w:val="16"/>
                <w:lang w:val="en-GB"/>
              </w:rPr>
              <w:t>trategic goals i, ii, iii, iv)</w:t>
            </w:r>
            <w:r w:rsidR="00F96E09">
              <w:rPr>
                <w:bCs/>
                <w:color w:val="000000" w:themeColor="text1"/>
                <w:sz w:val="16"/>
                <w:szCs w:val="16"/>
                <w:lang w:val="en-GB"/>
              </w:rPr>
              <w:t>;</w:t>
            </w:r>
          </w:p>
          <w:p w14:paraId="4E6F5CB3" w14:textId="4354F35E" w:rsidR="00D973B7" w:rsidRPr="00972B61" w:rsidRDefault="00D973B7" w:rsidP="00E40F85">
            <w:pPr>
              <w:ind w:left="2695"/>
              <w:rPr>
                <w:b/>
                <w:color w:val="000000" w:themeColor="text1"/>
                <w:sz w:val="16"/>
                <w:szCs w:val="16"/>
                <w:lang w:val="en-GB"/>
              </w:rPr>
            </w:pPr>
            <w:r w:rsidRPr="00972B61">
              <w:rPr>
                <w:b/>
                <w:color w:val="000000" w:themeColor="text1"/>
                <w:sz w:val="16"/>
                <w:szCs w:val="16"/>
                <w:lang w:val="en-GB"/>
              </w:rPr>
              <w:t xml:space="preserve">Pillar I: </w:t>
            </w:r>
            <w:r w:rsidRPr="00F951C0">
              <w:rPr>
                <w:bCs/>
                <w:color w:val="000000" w:themeColor="text1"/>
                <w:sz w:val="16"/>
                <w:szCs w:val="16"/>
                <w:lang w:val="en-GB"/>
              </w:rPr>
              <w:t>Strengthening democracy and preserving unity and national cohesion</w:t>
            </w:r>
            <w:r w:rsidR="00F96E09">
              <w:rPr>
                <w:bCs/>
                <w:color w:val="000000" w:themeColor="text1"/>
                <w:sz w:val="16"/>
                <w:szCs w:val="16"/>
                <w:lang w:val="en-GB"/>
              </w:rPr>
              <w:t>;</w:t>
            </w:r>
          </w:p>
          <w:p w14:paraId="2144309F" w14:textId="2D094779" w:rsidR="00D973B7" w:rsidRPr="00972B61" w:rsidRDefault="00D973B7" w:rsidP="00E40F85">
            <w:pPr>
              <w:ind w:left="2695"/>
              <w:rPr>
                <w:color w:val="000000" w:themeColor="text1"/>
                <w:sz w:val="16"/>
                <w:szCs w:val="16"/>
                <w:lang w:val="en-GB"/>
              </w:rPr>
            </w:pPr>
            <w:r w:rsidRPr="00972B61">
              <w:rPr>
                <w:b/>
                <w:color w:val="000000" w:themeColor="text1"/>
                <w:sz w:val="16"/>
                <w:szCs w:val="16"/>
                <w:lang w:val="en-GB"/>
              </w:rPr>
              <w:t xml:space="preserve">Pillar II: </w:t>
            </w:r>
            <w:r w:rsidRPr="00F951C0">
              <w:rPr>
                <w:bCs/>
                <w:color w:val="000000" w:themeColor="text1"/>
                <w:sz w:val="16"/>
                <w:szCs w:val="16"/>
                <w:lang w:val="en-GB"/>
              </w:rPr>
              <w:t xml:space="preserve">Good </w:t>
            </w:r>
            <w:r w:rsidR="00F96E09" w:rsidRPr="00F951C0">
              <w:rPr>
                <w:bCs/>
                <w:color w:val="000000" w:themeColor="text1"/>
                <w:sz w:val="16"/>
                <w:szCs w:val="16"/>
                <w:lang w:val="en-GB"/>
              </w:rPr>
              <w:t>g</w:t>
            </w:r>
            <w:r w:rsidRPr="00F951C0">
              <w:rPr>
                <w:bCs/>
                <w:color w:val="000000" w:themeColor="text1"/>
                <w:sz w:val="16"/>
                <w:szCs w:val="16"/>
                <w:lang w:val="en-GB"/>
              </w:rPr>
              <w:t>overnance and decentralization</w:t>
            </w:r>
            <w:r w:rsidR="00F96E09">
              <w:rPr>
                <w:bCs/>
                <w:color w:val="000000" w:themeColor="text1"/>
                <w:sz w:val="16"/>
                <w:szCs w:val="16"/>
                <w:lang w:val="en-GB"/>
              </w:rPr>
              <w:t>.</w:t>
            </w:r>
          </w:p>
        </w:tc>
      </w:tr>
      <w:tr w:rsidR="00D973B7" w:rsidRPr="00972B61" w14:paraId="2C687837" w14:textId="77777777" w:rsidTr="00DA48C2">
        <w:tc>
          <w:tcPr>
            <w:tcW w:w="5000" w:type="pct"/>
            <w:gridSpan w:val="5"/>
            <w:shd w:val="clear" w:color="auto" w:fill="DBE5F1" w:themeFill="accent1" w:themeFillTint="33"/>
            <w:tcMar>
              <w:top w:w="72" w:type="dxa"/>
              <w:left w:w="144" w:type="dxa"/>
              <w:bottom w:w="72" w:type="dxa"/>
              <w:right w:w="144" w:type="dxa"/>
            </w:tcMar>
          </w:tcPr>
          <w:p w14:paraId="2B7B1885" w14:textId="77777777" w:rsidR="00D973B7" w:rsidRPr="00972B61" w:rsidRDefault="00D973B7" w:rsidP="00E40F85">
            <w:pPr>
              <w:rPr>
                <w:color w:val="000000" w:themeColor="text1"/>
                <w:sz w:val="16"/>
                <w:szCs w:val="16"/>
                <w:lang w:val="en-GB"/>
              </w:rPr>
            </w:pPr>
            <w:r w:rsidRPr="00972B61">
              <w:rPr>
                <w:b/>
                <w:bCs/>
                <w:color w:val="000000" w:themeColor="text1"/>
                <w:sz w:val="16"/>
                <w:szCs w:val="16"/>
                <w:lang w:val="en-GB"/>
              </w:rPr>
              <w:t xml:space="preserve">COOPERATION FRAMEWORK OUTCOME 4.1: </w:t>
            </w:r>
            <w:r w:rsidRPr="00F951C0">
              <w:rPr>
                <w:color w:val="000000" w:themeColor="text1"/>
                <w:sz w:val="16"/>
                <w:szCs w:val="16"/>
                <w:lang w:val="en-GB"/>
              </w:rPr>
              <w:t>By 2026, more people, especially the most vulnerable and marginalized, are protected, enjoy their rights, and benefit from a secure, peaceful environment, enabled by inclusive governance systems, and independent and accountable institutions abiding by the rule of law.</w:t>
            </w:r>
          </w:p>
        </w:tc>
      </w:tr>
      <w:tr w:rsidR="00D973B7" w:rsidRPr="00972B61" w14:paraId="172EDBDF" w14:textId="77777777" w:rsidTr="00DA48C2">
        <w:tc>
          <w:tcPr>
            <w:tcW w:w="5000" w:type="pct"/>
            <w:gridSpan w:val="5"/>
            <w:shd w:val="clear" w:color="auto" w:fill="DBE5F1" w:themeFill="accent1" w:themeFillTint="33"/>
            <w:tcMar>
              <w:top w:w="72" w:type="dxa"/>
              <w:left w:w="144" w:type="dxa"/>
              <w:bottom w:w="72" w:type="dxa"/>
              <w:right w:w="144" w:type="dxa"/>
            </w:tcMar>
          </w:tcPr>
          <w:p w14:paraId="3ED89DE9" w14:textId="5807BD21" w:rsidR="00D973B7" w:rsidRPr="00972B61" w:rsidRDefault="00D973B7" w:rsidP="00E40F85">
            <w:pPr>
              <w:rPr>
                <w:b/>
                <w:bCs/>
                <w:color w:val="000000" w:themeColor="text1"/>
                <w:sz w:val="16"/>
                <w:szCs w:val="16"/>
                <w:lang w:val="en-GB"/>
              </w:rPr>
            </w:pPr>
            <w:r w:rsidRPr="00972B61">
              <w:rPr>
                <w:b/>
                <w:bCs/>
                <w:color w:val="000000" w:themeColor="text1"/>
                <w:sz w:val="16"/>
                <w:szCs w:val="16"/>
                <w:lang w:val="en-GB"/>
              </w:rPr>
              <w:t xml:space="preserve">RELATED STRATEGIC PLAN OUTCOME 2: </w:t>
            </w:r>
            <w:r w:rsidRPr="00F951C0">
              <w:rPr>
                <w:color w:val="000000" w:themeColor="text1"/>
                <w:sz w:val="16"/>
                <w:szCs w:val="16"/>
                <w:lang w:val="en-GB"/>
              </w:rPr>
              <w:t>No</w:t>
            </w:r>
            <w:r w:rsidR="00F96E09">
              <w:rPr>
                <w:color w:val="000000" w:themeColor="text1"/>
                <w:sz w:val="16"/>
                <w:szCs w:val="16"/>
                <w:lang w:val="en-GB"/>
              </w:rPr>
              <w:t xml:space="preserve"> </w:t>
            </w:r>
            <w:r w:rsidRPr="00F951C0">
              <w:rPr>
                <w:color w:val="000000" w:themeColor="text1"/>
                <w:sz w:val="16"/>
                <w:szCs w:val="16"/>
                <w:lang w:val="en-GB"/>
              </w:rPr>
              <w:t>one left behind centring on equitable access to opportunities and a rights-based approach to human agency and human development</w:t>
            </w:r>
            <w:r w:rsidR="00F96E09">
              <w:rPr>
                <w:color w:val="000000" w:themeColor="text1"/>
                <w:sz w:val="16"/>
                <w:szCs w:val="16"/>
                <w:lang w:val="en-GB"/>
              </w:rPr>
              <w:t>.</w:t>
            </w:r>
          </w:p>
        </w:tc>
      </w:tr>
      <w:tr w:rsidR="00A82813" w:rsidRPr="00972B61" w14:paraId="066D21AF" w14:textId="77777777" w:rsidTr="00DA48C2">
        <w:tc>
          <w:tcPr>
            <w:tcW w:w="1023" w:type="pct"/>
            <w:vMerge w:val="restart"/>
            <w:tcMar>
              <w:top w:w="72" w:type="dxa"/>
              <w:left w:w="144" w:type="dxa"/>
              <w:bottom w:w="72" w:type="dxa"/>
              <w:right w:w="144" w:type="dxa"/>
            </w:tcMar>
          </w:tcPr>
          <w:p w14:paraId="6A1E84C4" w14:textId="0CEE0254" w:rsidR="00A82813" w:rsidRPr="00972B61" w:rsidRDefault="00A82813" w:rsidP="00E40F85">
            <w:pPr>
              <w:spacing w:after="60"/>
              <w:rPr>
                <w:color w:val="000000"/>
                <w:sz w:val="16"/>
                <w:szCs w:val="16"/>
                <w:lang w:val="en-GB"/>
              </w:rPr>
            </w:pPr>
            <w:r w:rsidRPr="00972B61">
              <w:rPr>
                <w:color w:val="000000"/>
                <w:sz w:val="16"/>
                <w:szCs w:val="16"/>
                <w:lang w:val="en-GB"/>
              </w:rPr>
              <w:t>4.3</w:t>
            </w:r>
            <w:r w:rsidR="00F96E09">
              <w:rPr>
                <w:color w:val="000000"/>
                <w:sz w:val="16"/>
                <w:szCs w:val="16"/>
                <w:lang w:val="en-GB"/>
              </w:rPr>
              <w:t>.</w:t>
            </w:r>
            <w:r w:rsidRPr="00972B61">
              <w:rPr>
                <w:color w:val="000000"/>
                <w:sz w:val="16"/>
                <w:szCs w:val="16"/>
                <w:lang w:val="en-GB"/>
              </w:rPr>
              <w:t xml:space="preserve"> Proportion of seats held by women in</w:t>
            </w:r>
            <w:r w:rsidR="00F96E09">
              <w:rPr>
                <w:color w:val="000000"/>
                <w:sz w:val="16"/>
                <w:szCs w:val="16"/>
                <w:lang w:val="en-GB"/>
              </w:rPr>
              <w:t>:</w:t>
            </w:r>
            <w:r w:rsidRPr="00972B61">
              <w:rPr>
                <w:color w:val="000000"/>
                <w:sz w:val="16"/>
                <w:szCs w:val="16"/>
                <w:lang w:val="en-GB"/>
              </w:rPr>
              <w:t xml:space="preserve"> (a) national parliaments and (b) local governments</w:t>
            </w:r>
            <w:r w:rsidR="00F96E09">
              <w:rPr>
                <w:color w:val="000000"/>
                <w:sz w:val="16"/>
                <w:szCs w:val="16"/>
                <w:lang w:val="en-GB"/>
              </w:rPr>
              <w:t>.</w:t>
            </w:r>
          </w:p>
          <w:p w14:paraId="2FD854AE" w14:textId="3BEF8277" w:rsidR="00A82813" w:rsidRPr="00972B61" w:rsidRDefault="00F96E09" w:rsidP="00E40F85">
            <w:pPr>
              <w:rPr>
                <w:color w:val="000000"/>
                <w:sz w:val="16"/>
                <w:szCs w:val="16"/>
                <w:lang w:val="en-GB"/>
              </w:rPr>
            </w:pPr>
            <w:r w:rsidRPr="00972B61">
              <w:rPr>
                <w:color w:val="000000"/>
                <w:sz w:val="16"/>
                <w:szCs w:val="16"/>
                <w:lang w:val="en-GB"/>
              </w:rPr>
              <w:t>B</w:t>
            </w:r>
            <w:r>
              <w:rPr>
                <w:color w:val="000000"/>
                <w:sz w:val="16"/>
                <w:szCs w:val="16"/>
                <w:lang w:val="en-GB"/>
              </w:rPr>
              <w:t>aseline</w:t>
            </w:r>
            <w:r w:rsidR="00A82813" w:rsidRPr="00972B61">
              <w:rPr>
                <w:color w:val="000000"/>
                <w:sz w:val="16"/>
                <w:szCs w:val="16"/>
                <w:lang w:val="en-GB"/>
              </w:rPr>
              <w:t xml:space="preserve"> (2019): </w:t>
            </w:r>
          </w:p>
          <w:p w14:paraId="19356C42" w14:textId="281D28B9" w:rsidR="00A82813" w:rsidRPr="00972B61" w:rsidRDefault="00F96E09" w:rsidP="00E40F85">
            <w:pPr>
              <w:spacing w:after="60"/>
              <w:rPr>
                <w:color w:val="000000"/>
                <w:sz w:val="16"/>
                <w:szCs w:val="16"/>
                <w:lang w:val="en-GB"/>
              </w:rPr>
            </w:pPr>
            <w:r>
              <w:rPr>
                <w:color w:val="000000"/>
                <w:sz w:val="16"/>
                <w:szCs w:val="16"/>
                <w:lang w:val="en-GB"/>
              </w:rPr>
              <w:t>(</w:t>
            </w:r>
            <w:r w:rsidR="00A82813" w:rsidRPr="00972B61">
              <w:rPr>
                <w:color w:val="000000"/>
                <w:sz w:val="16"/>
                <w:szCs w:val="16"/>
                <w:lang w:val="en-GB"/>
              </w:rPr>
              <w:t>a</w:t>
            </w:r>
            <w:r>
              <w:rPr>
                <w:color w:val="000000"/>
                <w:sz w:val="16"/>
                <w:szCs w:val="16"/>
                <w:lang w:val="en-GB"/>
              </w:rPr>
              <w:t>)</w:t>
            </w:r>
            <w:r w:rsidR="00A82813" w:rsidRPr="00972B61">
              <w:rPr>
                <w:color w:val="000000"/>
                <w:sz w:val="16"/>
                <w:szCs w:val="16"/>
                <w:lang w:val="en-GB"/>
              </w:rPr>
              <w:t xml:space="preserve"> 42% Parliament</w:t>
            </w:r>
            <w:r w:rsidR="00A82813" w:rsidRPr="00972B61">
              <w:rPr>
                <w:color w:val="000000"/>
                <w:sz w:val="16"/>
                <w:szCs w:val="16"/>
                <w:lang w:val="en-GB"/>
              </w:rPr>
              <w:br/>
            </w:r>
            <w:r>
              <w:rPr>
                <w:color w:val="000000"/>
                <w:sz w:val="16"/>
                <w:szCs w:val="16"/>
                <w:lang w:val="en-GB"/>
              </w:rPr>
              <w:t>(</w:t>
            </w:r>
            <w:r w:rsidR="00A82813" w:rsidRPr="00972B61">
              <w:rPr>
                <w:color w:val="000000"/>
                <w:sz w:val="16"/>
                <w:szCs w:val="16"/>
                <w:lang w:val="en-GB"/>
              </w:rPr>
              <w:t>b</w:t>
            </w:r>
            <w:r>
              <w:rPr>
                <w:color w:val="000000"/>
                <w:sz w:val="16"/>
                <w:szCs w:val="16"/>
                <w:lang w:val="en-GB"/>
              </w:rPr>
              <w:t>)</w:t>
            </w:r>
            <w:r w:rsidR="00A82813" w:rsidRPr="00972B61">
              <w:rPr>
                <w:color w:val="000000"/>
                <w:sz w:val="16"/>
                <w:szCs w:val="16"/>
                <w:lang w:val="en-GB"/>
              </w:rPr>
              <w:t xml:space="preserve"> 11% local </w:t>
            </w:r>
            <w:r>
              <w:rPr>
                <w:color w:val="000000"/>
                <w:sz w:val="16"/>
                <w:szCs w:val="16"/>
                <w:lang w:val="en-GB"/>
              </w:rPr>
              <w:t>g</w:t>
            </w:r>
            <w:r w:rsidR="00A82813" w:rsidRPr="00972B61">
              <w:rPr>
                <w:color w:val="000000"/>
                <w:sz w:val="16"/>
                <w:szCs w:val="16"/>
                <w:lang w:val="en-GB"/>
              </w:rPr>
              <w:t>overnment</w:t>
            </w:r>
          </w:p>
          <w:p w14:paraId="3186D9AC" w14:textId="3F518276" w:rsidR="00A82813" w:rsidRPr="00972B61" w:rsidDel="009B0561" w:rsidRDefault="00A82813" w:rsidP="00E40F85">
            <w:pPr>
              <w:rPr>
                <w:color w:val="000000"/>
                <w:sz w:val="16"/>
                <w:szCs w:val="16"/>
                <w:lang w:val="en-GB"/>
              </w:rPr>
            </w:pPr>
            <w:r w:rsidRPr="00972B61">
              <w:rPr>
                <w:color w:val="000000"/>
                <w:sz w:val="16"/>
                <w:szCs w:val="16"/>
                <w:lang w:val="en-GB"/>
              </w:rPr>
              <w:t xml:space="preserve">Target (2024): </w:t>
            </w:r>
          </w:p>
          <w:p w14:paraId="1D597015" w14:textId="6B680D2C" w:rsidR="00A82813" w:rsidRPr="00972B61" w:rsidRDefault="00F96E09" w:rsidP="00E40F85">
            <w:pPr>
              <w:rPr>
                <w:color w:val="000000"/>
                <w:sz w:val="16"/>
                <w:szCs w:val="16"/>
                <w:lang w:val="en-GB"/>
              </w:rPr>
            </w:pPr>
            <w:r>
              <w:rPr>
                <w:color w:val="000000"/>
                <w:sz w:val="16"/>
                <w:szCs w:val="16"/>
                <w:lang w:val="en-GB"/>
              </w:rPr>
              <w:t>(</w:t>
            </w:r>
            <w:r w:rsidR="00A82813" w:rsidRPr="00972B61">
              <w:rPr>
                <w:color w:val="000000"/>
                <w:sz w:val="16"/>
                <w:szCs w:val="16"/>
                <w:lang w:val="en-GB"/>
              </w:rPr>
              <w:t>a</w:t>
            </w:r>
            <w:r>
              <w:rPr>
                <w:color w:val="000000"/>
                <w:sz w:val="16"/>
                <w:szCs w:val="16"/>
                <w:lang w:val="en-GB"/>
              </w:rPr>
              <w:t>)</w:t>
            </w:r>
            <w:r w:rsidR="00A82813" w:rsidRPr="00972B61">
              <w:rPr>
                <w:color w:val="000000"/>
                <w:sz w:val="16"/>
                <w:szCs w:val="16"/>
                <w:lang w:val="en-GB"/>
              </w:rPr>
              <w:t xml:space="preserve"> 20% Parliament</w:t>
            </w:r>
            <w:r w:rsidR="00A82813" w:rsidRPr="00972B61">
              <w:rPr>
                <w:color w:val="000000"/>
                <w:sz w:val="16"/>
                <w:szCs w:val="16"/>
                <w:lang w:val="en-GB"/>
              </w:rPr>
              <w:br/>
            </w:r>
            <w:r>
              <w:rPr>
                <w:color w:val="000000"/>
                <w:sz w:val="16"/>
                <w:szCs w:val="16"/>
                <w:lang w:val="en-GB"/>
              </w:rPr>
              <w:t>(</w:t>
            </w:r>
            <w:r w:rsidR="00A82813" w:rsidRPr="00972B61">
              <w:rPr>
                <w:color w:val="000000"/>
                <w:sz w:val="16"/>
                <w:szCs w:val="16"/>
                <w:lang w:val="en-GB"/>
              </w:rPr>
              <w:t>b</w:t>
            </w:r>
            <w:r>
              <w:rPr>
                <w:color w:val="000000"/>
                <w:sz w:val="16"/>
                <w:szCs w:val="16"/>
                <w:lang w:val="en-GB"/>
              </w:rPr>
              <w:t>)</w:t>
            </w:r>
            <w:r w:rsidR="00A82813" w:rsidRPr="00972B61">
              <w:rPr>
                <w:color w:val="000000"/>
                <w:sz w:val="16"/>
                <w:szCs w:val="16"/>
                <w:lang w:val="en-GB"/>
              </w:rPr>
              <w:t xml:space="preserve"> 11% </w:t>
            </w:r>
            <w:r>
              <w:rPr>
                <w:color w:val="000000"/>
                <w:sz w:val="16"/>
                <w:szCs w:val="16"/>
                <w:lang w:val="en-GB"/>
              </w:rPr>
              <w:t>l</w:t>
            </w:r>
            <w:r w:rsidR="00A82813" w:rsidRPr="00972B61">
              <w:rPr>
                <w:color w:val="000000"/>
                <w:sz w:val="16"/>
                <w:szCs w:val="16"/>
                <w:lang w:val="en-GB"/>
              </w:rPr>
              <w:t xml:space="preserve">ocal </w:t>
            </w:r>
            <w:r>
              <w:rPr>
                <w:color w:val="000000"/>
                <w:sz w:val="16"/>
                <w:szCs w:val="16"/>
                <w:lang w:val="en-GB"/>
              </w:rPr>
              <w:t>g</w:t>
            </w:r>
            <w:r w:rsidR="00A82813" w:rsidRPr="00972B61">
              <w:rPr>
                <w:color w:val="000000"/>
                <w:sz w:val="16"/>
                <w:szCs w:val="16"/>
                <w:lang w:val="en-GB"/>
              </w:rPr>
              <w:t xml:space="preserve">overnment </w:t>
            </w:r>
          </w:p>
          <w:p w14:paraId="3A32C191" w14:textId="77777777" w:rsidR="00A82813" w:rsidRPr="00972B61" w:rsidRDefault="00A82813" w:rsidP="00E40F85">
            <w:pPr>
              <w:rPr>
                <w:color w:val="000000"/>
                <w:sz w:val="16"/>
                <w:szCs w:val="16"/>
                <w:lang w:val="en-GB" w:eastAsia="en-GB"/>
              </w:rPr>
            </w:pPr>
          </w:p>
          <w:p w14:paraId="7D207006" w14:textId="5EB9A080" w:rsidR="00A82813" w:rsidRPr="00972B61" w:rsidRDefault="00A82813" w:rsidP="00E40F85">
            <w:pPr>
              <w:rPr>
                <w:color w:val="000000"/>
                <w:sz w:val="16"/>
                <w:szCs w:val="16"/>
                <w:lang w:val="en-GB"/>
              </w:rPr>
            </w:pPr>
            <w:r w:rsidRPr="00972B61">
              <w:rPr>
                <w:color w:val="000000"/>
                <w:sz w:val="16"/>
                <w:szCs w:val="16"/>
                <w:lang w:val="en-GB"/>
              </w:rPr>
              <w:t>4.6</w:t>
            </w:r>
            <w:r w:rsidR="00F96E09">
              <w:rPr>
                <w:color w:val="000000"/>
                <w:sz w:val="16"/>
                <w:szCs w:val="16"/>
                <w:lang w:val="en-GB"/>
              </w:rPr>
              <w:t>.</w:t>
            </w:r>
            <w:r w:rsidRPr="00972B61">
              <w:rPr>
                <w:color w:val="000000"/>
                <w:sz w:val="16"/>
                <w:szCs w:val="16"/>
                <w:lang w:val="en-GB"/>
              </w:rPr>
              <w:t xml:space="preserve"> Percentage of districts with fully functioning courts</w:t>
            </w:r>
          </w:p>
          <w:p w14:paraId="607698C7" w14:textId="11CE382A" w:rsidR="00A82813" w:rsidRPr="00972B61" w:rsidRDefault="00F96E09" w:rsidP="00E40F85">
            <w:pPr>
              <w:rPr>
                <w:color w:val="000000"/>
                <w:sz w:val="16"/>
                <w:szCs w:val="16"/>
                <w:lang w:val="en-GB"/>
              </w:rPr>
            </w:pPr>
            <w:r w:rsidRPr="00972B61">
              <w:rPr>
                <w:color w:val="000000"/>
                <w:sz w:val="16"/>
                <w:szCs w:val="16"/>
                <w:lang w:val="en-GB"/>
              </w:rPr>
              <w:t>B</w:t>
            </w:r>
            <w:r>
              <w:rPr>
                <w:color w:val="000000"/>
                <w:sz w:val="16"/>
                <w:szCs w:val="16"/>
                <w:lang w:val="en-GB"/>
              </w:rPr>
              <w:t>aseline</w:t>
            </w:r>
            <w:r w:rsidR="00A82813" w:rsidRPr="00972B61">
              <w:rPr>
                <w:color w:val="000000"/>
                <w:sz w:val="16"/>
                <w:szCs w:val="16"/>
                <w:lang w:val="en-GB"/>
              </w:rPr>
              <w:t xml:space="preserve"> (2020): 84%</w:t>
            </w:r>
          </w:p>
          <w:p w14:paraId="40912BE5" w14:textId="688A483E" w:rsidR="00A82813" w:rsidRPr="00972B61" w:rsidRDefault="00A82813" w:rsidP="00E40F85">
            <w:pPr>
              <w:rPr>
                <w:color w:val="000000"/>
                <w:sz w:val="16"/>
                <w:szCs w:val="16"/>
                <w:lang w:val="en-GB"/>
              </w:rPr>
            </w:pPr>
            <w:r w:rsidRPr="00972B61">
              <w:rPr>
                <w:color w:val="000000"/>
                <w:sz w:val="16"/>
                <w:szCs w:val="16"/>
                <w:lang w:val="en-GB"/>
              </w:rPr>
              <w:t xml:space="preserve">Target (2026): 90% </w:t>
            </w:r>
          </w:p>
        </w:tc>
        <w:tc>
          <w:tcPr>
            <w:tcW w:w="996" w:type="pct"/>
            <w:vMerge w:val="restart"/>
          </w:tcPr>
          <w:p w14:paraId="1C4DBEB8" w14:textId="77777777" w:rsidR="00A82813" w:rsidRPr="00972B61" w:rsidRDefault="00A82813" w:rsidP="00E40F85">
            <w:pPr>
              <w:rPr>
                <w:color w:val="000000"/>
                <w:sz w:val="16"/>
                <w:szCs w:val="16"/>
                <w:lang w:val="en-GB"/>
              </w:rPr>
            </w:pPr>
            <w:r w:rsidRPr="00972B61">
              <w:rPr>
                <w:color w:val="000000"/>
                <w:sz w:val="16"/>
                <w:szCs w:val="16"/>
                <w:lang w:val="en-GB"/>
              </w:rPr>
              <w:t xml:space="preserve">Parliament/MAEFP </w:t>
            </w:r>
          </w:p>
          <w:p w14:paraId="6D9A5A1B" w14:textId="2F4D5B61" w:rsidR="00A82813" w:rsidRPr="00972B61" w:rsidRDefault="00A82813" w:rsidP="00E40F85">
            <w:pPr>
              <w:rPr>
                <w:color w:val="000000"/>
                <w:sz w:val="16"/>
                <w:szCs w:val="16"/>
                <w:lang w:val="en-GB"/>
              </w:rPr>
            </w:pPr>
            <w:r w:rsidRPr="00972B61">
              <w:rPr>
                <w:color w:val="000000"/>
                <w:sz w:val="16"/>
                <w:szCs w:val="16"/>
                <w:lang w:val="en-GB"/>
              </w:rPr>
              <w:t>Resp</w:t>
            </w:r>
            <w:r w:rsidR="00F96E09">
              <w:rPr>
                <w:color w:val="000000"/>
                <w:sz w:val="16"/>
                <w:szCs w:val="16"/>
                <w:lang w:val="en-GB"/>
              </w:rPr>
              <w:t>onsible</w:t>
            </w:r>
            <w:r w:rsidRPr="00972B61">
              <w:rPr>
                <w:color w:val="000000"/>
                <w:sz w:val="16"/>
                <w:szCs w:val="16"/>
                <w:lang w:val="en-GB"/>
              </w:rPr>
              <w:t>: UN</w:t>
            </w:r>
            <w:r w:rsidR="00F96E09">
              <w:rPr>
                <w:color w:val="000000"/>
                <w:sz w:val="16"/>
                <w:szCs w:val="16"/>
                <w:lang w:val="en-GB"/>
              </w:rPr>
              <w:t>-</w:t>
            </w:r>
            <w:r w:rsidRPr="00972B61">
              <w:rPr>
                <w:color w:val="000000"/>
                <w:sz w:val="16"/>
                <w:szCs w:val="16"/>
                <w:lang w:val="en-GB"/>
              </w:rPr>
              <w:t>Women</w:t>
            </w:r>
          </w:p>
          <w:p w14:paraId="557F9FAA" w14:textId="77777777" w:rsidR="00A82813" w:rsidRPr="00972B61" w:rsidRDefault="00A82813" w:rsidP="00E40F85">
            <w:pPr>
              <w:rPr>
                <w:color w:val="000000"/>
                <w:sz w:val="16"/>
                <w:szCs w:val="16"/>
                <w:lang w:val="en-GB"/>
              </w:rPr>
            </w:pPr>
          </w:p>
          <w:p w14:paraId="1C1D1F4B" w14:textId="77777777" w:rsidR="00A82813" w:rsidRPr="00972B61" w:rsidRDefault="00A82813" w:rsidP="00E40F85">
            <w:pPr>
              <w:rPr>
                <w:color w:val="000000"/>
                <w:sz w:val="16"/>
                <w:szCs w:val="16"/>
                <w:lang w:val="en-GB"/>
              </w:rPr>
            </w:pPr>
            <w:r w:rsidRPr="00972B61">
              <w:rPr>
                <w:color w:val="000000"/>
                <w:sz w:val="16"/>
                <w:szCs w:val="16"/>
                <w:lang w:val="en-GB"/>
              </w:rPr>
              <w:t>Frequency: 5 years</w:t>
            </w:r>
          </w:p>
          <w:p w14:paraId="24462E41" w14:textId="77777777" w:rsidR="00A82813" w:rsidRPr="00972B61" w:rsidRDefault="00A82813" w:rsidP="00E40F85">
            <w:pPr>
              <w:rPr>
                <w:color w:val="000000"/>
                <w:sz w:val="16"/>
                <w:szCs w:val="16"/>
                <w:lang w:val="en-GB"/>
              </w:rPr>
            </w:pPr>
          </w:p>
          <w:p w14:paraId="33693B52" w14:textId="77777777" w:rsidR="00A82813" w:rsidRPr="00972B61" w:rsidRDefault="00A82813" w:rsidP="00E40F85">
            <w:pPr>
              <w:rPr>
                <w:color w:val="000000"/>
                <w:sz w:val="16"/>
                <w:szCs w:val="16"/>
                <w:lang w:val="en-GB"/>
              </w:rPr>
            </w:pPr>
          </w:p>
          <w:p w14:paraId="67158C1B" w14:textId="77777777" w:rsidR="00A82813" w:rsidRPr="00972B61" w:rsidRDefault="00A82813" w:rsidP="00E40F85">
            <w:pPr>
              <w:rPr>
                <w:color w:val="000000"/>
                <w:sz w:val="16"/>
                <w:szCs w:val="16"/>
                <w:lang w:val="en-GB"/>
              </w:rPr>
            </w:pPr>
          </w:p>
          <w:p w14:paraId="40ACE769" w14:textId="77777777" w:rsidR="00A82813" w:rsidRPr="00972B61" w:rsidRDefault="00A82813" w:rsidP="00E40F85">
            <w:pPr>
              <w:rPr>
                <w:color w:val="000000"/>
                <w:sz w:val="16"/>
                <w:szCs w:val="16"/>
                <w:lang w:val="en-GB"/>
              </w:rPr>
            </w:pPr>
          </w:p>
          <w:p w14:paraId="44368DCC" w14:textId="77777777" w:rsidR="00A82813" w:rsidRPr="00972B61" w:rsidRDefault="00A82813" w:rsidP="00E40F85">
            <w:pPr>
              <w:rPr>
                <w:color w:val="000000"/>
                <w:sz w:val="16"/>
                <w:szCs w:val="16"/>
                <w:lang w:val="en-GB"/>
              </w:rPr>
            </w:pPr>
          </w:p>
          <w:p w14:paraId="69A8DC9A" w14:textId="77777777" w:rsidR="00A82813" w:rsidRPr="00972B61" w:rsidRDefault="00A82813" w:rsidP="00E40F85">
            <w:pPr>
              <w:rPr>
                <w:color w:val="000000"/>
                <w:sz w:val="16"/>
                <w:szCs w:val="16"/>
                <w:lang w:val="en-GB" w:eastAsia="en-GB"/>
              </w:rPr>
            </w:pPr>
            <w:r w:rsidRPr="00972B61">
              <w:rPr>
                <w:color w:val="000000"/>
                <w:sz w:val="16"/>
                <w:szCs w:val="16"/>
                <w:lang w:val="en-GB"/>
              </w:rPr>
              <w:t>MJACR</w:t>
            </w:r>
          </w:p>
          <w:p w14:paraId="0E23FF2D" w14:textId="376EB90A" w:rsidR="00A82813" w:rsidRPr="00972B61" w:rsidRDefault="00A82813" w:rsidP="00E40F85">
            <w:pPr>
              <w:rPr>
                <w:color w:val="000000"/>
                <w:sz w:val="16"/>
                <w:szCs w:val="16"/>
                <w:lang w:val="en-GB" w:eastAsia="en-GB"/>
              </w:rPr>
            </w:pPr>
            <w:r w:rsidRPr="00972B61">
              <w:rPr>
                <w:color w:val="000000"/>
                <w:sz w:val="16"/>
                <w:szCs w:val="16"/>
                <w:lang w:val="en-GB" w:eastAsia="en-GB"/>
              </w:rPr>
              <w:t>Resp</w:t>
            </w:r>
            <w:r w:rsidR="00F96E09">
              <w:rPr>
                <w:color w:val="000000"/>
                <w:sz w:val="16"/>
                <w:szCs w:val="16"/>
                <w:lang w:val="en-GB" w:eastAsia="en-GB"/>
              </w:rPr>
              <w:t>onsible</w:t>
            </w:r>
            <w:r w:rsidRPr="00972B61">
              <w:rPr>
                <w:color w:val="000000"/>
                <w:sz w:val="16"/>
                <w:szCs w:val="16"/>
                <w:lang w:val="en-GB" w:eastAsia="en-GB"/>
              </w:rPr>
              <w:t>: UNDP</w:t>
            </w:r>
          </w:p>
          <w:p w14:paraId="16012529" w14:textId="77777777" w:rsidR="00A82813" w:rsidRPr="00972B61" w:rsidRDefault="00A82813" w:rsidP="00E40F85">
            <w:pPr>
              <w:rPr>
                <w:color w:val="000000"/>
                <w:sz w:val="16"/>
                <w:szCs w:val="16"/>
                <w:lang w:val="en-GB" w:eastAsia="en-GB"/>
              </w:rPr>
            </w:pPr>
          </w:p>
          <w:p w14:paraId="44FB5822" w14:textId="77777777" w:rsidR="00A82813" w:rsidRPr="00972B61" w:rsidRDefault="00A82813" w:rsidP="00E40F85">
            <w:pPr>
              <w:rPr>
                <w:color w:val="000000"/>
                <w:sz w:val="16"/>
                <w:szCs w:val="16"/>
                <w:lang w:val="en-GB" w:eastAsia="en-GB"/>
              </w:rPr>
            </w:pPr>
            <w:r w:rsidRPr="00972B61">
              <w:rPr>
                <w:color w:val="000000"/>
                <w:sz w:val="16"/>
                <w:szCs w:val="16"/>
                <w:lang w:val="en-GB" w:eastAsia="en-GB"/>
              </w:rPr>
              <w:t>Frequency: Annual</w:t>
            </w:r>
          </w:p>
        </w:tc>
        <w:tc>
          <w:tcPr>
            <w:tcW w:w="1595" w:type="pct"/>
            <w:shd w:val="clear" w:color="auto" w:fill="auto"/>
            <w:tcMar>
              <w:top w:w="72" w:type="dxa"/>
              <w:left w:w="144" w:type="dxa"/>
              <w:bottom w:w="72" w:type="dxa"/>
              <w:right w:w="144" w:type="dxa"/>
            </w:tcMar>
          </w:tcPr>
          <w:p w14:paraId="7970D9B4" w14:textId="40240555" w:rsidR="00A82813" w:rsidRPr="00F951C0" w:rsidRDefault="00A82813" w:rsidP="00E40F85">
            <w:pPr>
              <w:spacing w:after="60"/>
              <w:rPr>
                <w:b/>
                <w:bCs/>
                <w:color w:val="000000"/>
                <w:sz w:val="16"/>
                <w:szCs w:val="16"/>
                <w:lang w:val="en-GB"/>
              </w:rPr>
            </w:pPr>
            <w:r w:rsidRPr="00F96E09">
              <w:rPr>
                <w:b/>
                <w:bCs/>
                <w:color w:val="000000" w:themeColor="text1"/>
                <w:sz w:val="16"/>
                <w:szCs w:val="16"/>
                <w:lang w:val="en-GB"/>
              </w:rPr>
              <w:t>O</w:t>
            </w:r>
            <w:r w:rsidR="00C9415A">
              <w:rPr>
                <w:b/>
                <w:bCs/>
                <w:color w:val="000000" w:themeColor="text1"/>
                <w:sz w:val="16"/>
                <w:szCs w:val="16"/>
                <w:lang w:val="en-GB"/>
              </w:rPr>
              <w:t>utput</w:t>
            </w:r>
            <w:r w:rsidRPr="00F96E09">
              <w:rPr>
                <w:b/>
                <w:bCs/>
                <w:color w:val="000000" w:themeColor="text1"/>
                <w:sz w:val="16"/>
                <w:szCs w:val="16"/>
                <w:lang w:val="en-GB"/>
              </w:rPr>
              <w:t xml:space="preserve"> 4.1.1</w:t>
            </w:r>
            <w:r w:rsidR="00F96E09" w:rsidRPr="00F96E09">
              <w:rPr>
                <w:b/>
                <w:bCs/>
                <w:color w:val="000000" w:themeColor="text1"/>
                <w:sz w:val="16"/>
                <w:szCs w:val="16"/>
                <w:lang w:val="en-GB"/>
              </w:rPr>
              <w:t>.</w:t>
            </w:r>
            <w:r w:rsidRPr="00F951C0">
              <w:rPr>
                <w:b/>
                <w:bCs/>
                <w:color w:val="000000" w:themeColor="text1"/>
                <w:sz w:val="16"/>
                <w:szCs w:val="16"/>
                <w:lang w:val="en-GB"/>
              </w:rPr>
              <w:t xml:space="preserve"> Democratic processes and civic space are more inclusive, engage women, youth, vulnerable and marginalized groups and promote peace and social cohesion.</w:t>
            </w:r>
          </w:p>
          <w:p w14:paraId="71F1B6E9" w14:textId="656A9D70" w:rsidR="0043122D" w:rsidRPr="00972B61" w:rsidRDefault="0043122D" w:rsidP="00F951C0">
            <w:pPr>
              <w:pStyle w:val="ListParagraph"/>
              <w:numPr>
                <w:ilvl w:val="0"/>
                <w:numId w:val="28"/>
              </w:numPr>
              <w:ind w:left="147" w:hanging="142"/>
              <w:rPr>
                <w:color w:val="000000"/>
                <w:sz w:val="16"/>
                <w:szCs w:val="16"/>
                <w:lang w:val="en-GB"/>
              </w:rPr>
            </w:pPr>
            <w:r w:rsidRPr="00972B61">
              <w:rPr>
                <w:b/>
                <w:bCs/>
                <w:color w:val="000000"/>
                <w:sz w:val="16"/>
                <w:szCs w:val="16"/>
                <w:lang w:val="en-GB"/>
              </w:rPr>
              <w:t>Indicator 4.1.1.1</w:t>
            </w:r>
            <w:r w:rsidR="00961C02">
              <w:rPr>
                <w:b/>
                <w:bCs/>
                <w:color w:val="000000"/>
                <w:sz w:val="16"/>
                <w:szCs w:val="16"/>
                <w:lang w:val="en-GB"/>
              </w:rPr>
              <w:t>.</w:t>
            </w:r>
            <w:r w:rsidRPr="00972B61">
              <w:rPr>
                <w:color w:val="000000"/>
                <w:sz w:val="16"/>
                <w:szCs w:val="16"/>
                <w:lang w:val="en-GB"/>
              </w:rPr>
              <w:t xml:space="preserve"> Percentage of </w:t>
            </w:r>
            <w:r w:rsidR="005D18C3" w:rsidRPr="00505311">
              <w:rPr>
                <w:color w:val="000000"/>
                <w:sz w:val="16"/>
                <w:szCs w:val="16"/>
                <w:lang w:val="en-GB"/>
              </w:rPr>
              <w:t>Electoral Management Board</w:t>
            </w:r>
            <w:r w:rsidR="005D18C3" w:rsidRPr="00972B61">
              <w:rPr>
                <w:color w:val="000000"/>
                <w:sz w:val="16"/>
                <w:szCs w:val="16"/>
                <w:lang w:val="en-GB"/>
              </w:rPr>
              <w:t xml:space="preserve"> </w:t>
            </w:r>
            <w:r w:rsidR="005D18C3">
              <w:rPr>
                <w:color w:val="000000"/>
                <w:sz w:val="16"/>
                <w:szCs w:val="16"/>
                <w:lang w:val="en-GB"/>
              </w:rPr>
              <w:t>(</w:t>
            </w:r>
            <w:r w:rsidRPr="00972B61">
              <w:rPr>
                <w:color w:val="000000"/>
                <w:sz w:val="16"/>
                <w:szCs w:val="16"/>
                <w:lang w:val="en-GB"/>
              </w:rPr>
              <w:t>EMB</w:t>
            </w:r>
            <w:r w:rsidR="005D18C3">
              <w:rPr>
                <w:color w:val="000000"/>
                <w:sz w:val="16"/>
                <w:szCs w:val="16"/>
                <w:lang w:val="en-GB"/>
              </w:rPr>
              <w:t>)</w:t>
            </w:r>
            <w:r w:rsidRPr="00972B61">
              <w:rPr>
                <w:color w:val="000000"/>
                <w:sz w:val="16"/>
                <w:szCs w:val="16"/>
                <w:lang w:val="en-GB"/>
              </w:rPr>
              <w:t xml:space="preserve"> staff trained to conduct inclusive, credible and peaceful elections.</w:t>
            </w:r>
          </w:p>
          <w:p w14:paraId="610308EC" w14:textId="77777777" w:rsidR="0043122D" w:rsidRPr="00972B61" w:rsidRDefault="0043122D" w:rsidP="00F951C0">
            <w:pPr>
              <w:ind w:left="147"/>
              <w:rPr>
                <w:color w:val="000000"/>
                <w:sz w:val="16"/>
                <w:szCs w:val="16"/>
                <w:lang w:val="en-GB"/>
              </w:rPr>
            </w:pPr>
            <w:r w:rsidRPr="00972B61">
              <w:rPr>
                <w:color w:val="000000"/>
                <w:sz w:val="16"/>
                <w:szCs w:val="16"/>
                <w:lang w:val="en-GB"/>
              </w:rPr>
              <w:t xml:space="preserve">Baseline (2019): 70%  </w:t>
            </w:r>
          </w:p>
          <w:p w14:paraId="4C7A1E60" w14:textId="29E817B5" w:rsidR="0043122D" w:rsidRPr="00972B61" w:rsidRDefault="0043122D" w:rsidP="00F951C0">
            <w:pPr>
              <w:ind w:left="147"/>
              <w:rPr>
                <w:color w:val="000000"/>
                <w:sz w:val="16"/>
                <w:szCs w:val="16"/>
                <w:lang w:val="en-GB"/>
              </w:rPr>
            </w:pPr>
            <w:r w:rsidRPr="00972B61">
              <w:rPr>
                <w:color w:val="000000"/>
                <w:sz w:val="16"/>
                <w:szCs w:val="16"/>
                <w:lang w:val="en-GB"/>
              </w:rPr>
              <w:t>Target (2024):90%</w:t>
            </w:r>
          </w:p>
          <w:p w14:paraId="03EC1E26" w14:textId="77777777" w:rsidR="0043122D" w:rsidRPr="00972B61" w:rsidRDefault="0043122D" w:rsidP="00C9415A">
            <w:pPr>
              <w:ind w:left="144"/>
              <w:rPr>
                <w:color w:val="000000"/>
                <w:sz w:val="16"/>
                <w:szCs w:val="16"/>
                <w:lang w:val="en-GB"/>
              </w:rPr>
            </w:pPr>
            <w:r w:rsidRPr="00972B61">
              <w:rPr>
                <w:color w:val="000000"/>
                <w:sz w:val="16"/>
                <w:szCs w:val="16"/>
                <w:lang w:val="en-GB"/>
              </w:rPr>
              <w:t>Source: CNE/STAE/UNDP trainings reports</w:t>
            </w:r>
          </w:p>
          <w:p w14:paraId="3695FDE2" w14:textId="107906DF" w:rsidR="00A82813" w:rsidRPr="00972B61" w:rsidRDefault="0043122D" w:rsidP="00C9415A">
            <w:pPr>
              <w:pStyle w:val="ListParagraph"/>
              <w:numPr>
                <w:ilvl w:val="0"/>
                <w:numId w:val="40"/>
              </w:numPr>
              <w:shd w:val="clear" w:color="auto" w:fill="FFFFFF"/>
              <w:ind w:left="144" w:hanging="142"/>
              <w:rPr>
                <w:color w:val="000000" w:themeColor="text1"/>
                <w:sz w:val="24"/>
                <w:szCs w:val="24"/>
                <w:lang w:val="en-GB" w:eastAsia="en-GB"/>
              </w:rPr>
            </w:pPr>
            <w:r w:rsidRPr="00972B61">
              <w:rPr>
                <w:b/>
                <w:bCs/>
                <w:color w:val="000000" w:themeColor="text1"/>
                <w:sz w:val="16"/>
                <w:szCs w:val="16"/>
                <w:lang w:val="en-GB"/>
              </w:rPr>
              <w:t>I</w:t>
            </w:r>
            <w:r w:rsidR="00A82813" w:rsidRPr="00972B61">
              <w:rPr>
                <w:b/>
                <w:bCs/>
                <w:color w:val="000000" w:themeColor="text1"/>
                <w:sz w:val="16"/>
                <w:szCs w:val="16"/>
                <w:lang w:val="en-GB"/>
              </w:rPr>
              <w:t>ndicator 4.1.1.2</w:t>
            </w:r>
            <w:r w:rsidR="00961C02">
              <w:rPr>
                <w:b/>
                <w:bCs/>
                <w:color w:val="000000" w:themeColor="text1"/>
                <w:sz w:val="16"/>
                <w:szCs w:val="16"/>
                <w:lang w:val="en-GB"/>
              </w:rPr>
              <w:t>.</w:t>
            </w:r>
            <w:r w:rsidR="00961C02">
              <w:rPr>
                <w:color w:val="000000" w:themeColor="text1"/>
                <w:sz w:val="16"/>
                <w:szCs w:val="16"/>
                <w:lang w:val="en-GB"/>
              </w:rPr>
              <w:t xml:space="preserve"> </w:t>
            </w:r>
            <w:r w:rsidR="00A82813" w:rsidRPr="00972B61">
              <w:rPr>
                <w:color w:val="000000" w:themeColor="text1"/>
                <w:sz w:val="16"/>
                <w:szCs w:val="16"/>
                <w:lang w:val="en-GB" w:eastAsia="en-GB"/>
              </w:rPr>
              <w:t>N</w:t>
            </w:r>
            <w:r w:rsidR="00961C02">
              <w:rPr>
                <w:color w:val="000000" w:themeColor="text1"/>
                <w:sz w:val="16"/>
                <w:szCs w:val="16"/>
                <w:lang w:val="en-GB" w:eastAsia="en-GB"/>
              </w:rPr>
              <w:t>umber</w:t>
            </w:r>
            <w:r w:rsidR="00A82813" w:rsidRPr="00972B61">
              <w:rPr>
                <w:color w:val="000000" w:themeColor="text1"/>
                <w:sz w:val="16"/>
                <w:szCs w:val="16"/>
                <w:lang w:val="en-GB" w:eastAsia="en-GB"/>
              </w:rPr>
              <w:t xml:space="preserve"> of institutions and civil society organizations that actively promote peace and social cohesion        </w:t>
            </w:r>
          </w:p>
          <w:p w14:paraId="333994BA" w14:textId="77777777" w:rsidR="00A82813" w:rsidRPr="00972B61" w:rsidRDefault="00A82813" w:rsidP="00C9415A">
            <w:pPr>
              <w:pStyle w:val="ListParagraph"/>
              <w:shd w:val="clear" w:color="auto" w:fill="FFFFFF"/>
              <w:ind w:left="144"/>
              <w:jc w:val="both"/>
              <w:rPr>
                <w:color w:val="000000" w:themeColor="text1"/>
                <w:sz w:val="24"/>
                <w:szCs w:val="24"/>
                <w:lang w:val="en-GB" w:eastAsia="en-GB"/>
              </w:rPr>
            </w:pPr>
            <w:r w:rsidRPr="00972B61">
              <w:rPr>
                <w:color w:val="000000" w:themeColor="text1"/>
                <w:sz w:val="16"/>
                <w:szCs w:val="16"/>
                <w:lang w:val="en-GB" w:eastAsia="en-GB"/>
              </w:rPr>
              <w:t>Baseline: (2021):  0</w:t>
            </w:r>
          </w:p>
          <w:p w14:paraId="430B844E" w14:textId="28AF935F" w:rsidR="00A82813" w:rsidRPr="00972B61" w:rsidRDefault="00A82813" w:rsidP="00C9415A">
            <w:pPr>
              <w:shd w:val="clear" w:color="auto" w:fill="FFFFFF"/>
              <w:ind w:left="144"/>
              <w:jc w:val="both"/>
              <w:rPr>
                <w:color w:val="000000" w:themeColor="text1"/>
                <w:sz w:val="24"/>
                <w:szCs w:val="24"/>
                <w:lang w:val="en-GB" w:eastAsia="en-GB"/>
              </w:rPr>
            </w:pPr>
            <w:r w:rsidRPr="00972B61">
              <w:rPr>
                <w:color w:val="000000" w:themeColor="text1"/>
                <w:sz w:val="16"/>
                <w:szCs w:val="16"/>
                <w:lang w:val="en-GB" w:eastAsia="en-GB"/>
              </w:rPr>
              <w:lastRenderedPageBreak/>
              <w:t>Target: (2026): 5</w:t>
            </w:r>
          </w:p>
          <w:p w14:paraId="2BDF6AEC" w14:textId="32EF5C7D" w:rsidR="00A82813" w:rsidRPr="00972B61" w:rsidRDefault="00A82813" w:rsidP="00C9415A">
            <w:pPr>
              <w:shd w:val="clear" w:color="auto" w:fill="FFFFFF"/>
              <w:ind w:left="144"/>
              <w:jc w:val="both"/>
              <w:rPr>
                <w:color w:val="000000" w:themeColor="text1"/>
                <w:sz w:val="24"/>
                <w:szCs w:val="24"/>
                <w:lang w:val="en-GB" w:eastAsia="en-GB"/>
              </w:rPr>
            </w:pPr>
            <w:r w:rsidRPr="00972B61">
              <w:rPr>
                <w:color w:val="000000" w:themeColor="text1"/>
                <w:sz w:val="16"/>
                <w:szCs w:val="16"/>
                <w:lang w:val="en-GB" w:eastAsia="en-GB"/>
              </w:rPr>
              <w:t xml:space="preserve">Source: CSO </w:t>
            </w:r>
            <w:r w:rsidR="00961C02">
              <w:rPr>
                <w:color w:val="000000" w:themeColor="text1"/>
                <w:sz w:val="16"/>
                <w:szCs w:val="16"/>
                <w:lang w:val="en-GB" w:eastAsia="en-GB"/>
              </w:rPr>
              <w:t>r</w:t>
            </w:r>
            <w:r w:rsidRPr="00972B61">
              <w:rPr>
                <w:color w:val="000000" w:themeColor="text1"/>
                <w:sz w:val="16"/>
                <w:szCs w:val="16"/>
                <w:lang w:val="en-GB" w:eastAsia="en-GB"/>
              </w:rPr>
              <w:t>eports</w:t>
            </w:r>
          </w:p>
          <w:p w14:paraId="35159742" w14:textId="77777777" w:rsidR="00A82813" w:rsidRPr="00972B61" w:rsidRDefault="00A82813" w:rsidP="00C9415A">
            <w:pPr>
              <w:shd w:val="clear" w:color="auto" w:fill="FFFFFF"/>
              <w:ind w:left="144"/>
              <w:jc w:val="both"/>
              <w:rPr>
                <w:color w:val="000000" w:themeColor="text1"/>
                <w:sz w:val="24"/>
                <w:szCs w:val="24"/>
                <w:lang w:val="en-GB" w:eastAsia="en-GB"/>
              </w:rPr>
            </w:pPr>
            <w:r w:rsidRPr="00972B61">
              <w:rPr>
                <w:color w:val="000000" w:themeColor="text1"/>
                <w:sz w:val="16"/>
                <w:szCs w:val="16"/>
                <w:lang w:val="en-GB" w:eastAsia="en-GB"/>
              </w:rPr>
              <w:t>Frequency: Annual</w:t>
            </w:r>
          </w:p>
        </w:tc>
        <w:tc>
          <w:tcPr>
            <w:tcW w:w="786" w:type="pct"/>
            <w:vMerge w:val="restart"/>
            <w:shd w:val="clear" w:color="auto" w:fill="auto"/>
          </w:tcPr>
          <w:p w14:paraId="1858894F" w14:textId="2B6AD34D" w:rsidR="00A82813" w:rsidRPr="00972B61" w:rsidRDefault="00A82813" w:rsidP="00E40F85">
            <w:pPr>
              <w:rPr>
                <w:color w:val="000000"/>
                <w:sz w:val="16"/>
                <w:szCs w:val="16"/>
                <w:lang w:val="en-GB"/>
              </w:rPr>
            </w:pPr>
            <w:r w:rsidRPr="00972B61">
              <w:rPr>
                <w:b/>
                <w:bCs/>
                <w:color w:val="000000"/>
                <w:sz w:val="16"/>
                <w:szCs w:val="16"/>
                <w:lang w:val="en-GB"/>
              </w:rPr>
              <w:lastRenderedPageBreak/>
              <w:t>Government</w:t>
            </w:r>
            <w:r w:rsidRPr="00972B61">
              <w:rPr>
                <w:color w:val="000000"/>
                <w:sz w:val="16"/>
                <w:szCs w:val="16"/>
                <w:lang w:val="en-GB"/>
              </w:rPr>
              <w:t xml:space="preserve">: MEF, </w:t>
            </w:r>
            <w:r w:rsidR="00DA72FB" w:rsidRPr="00505311">
              <w:rPr>
                <w:color w:val="000000"/>
                <w:sz w:val="16"/>
                <w:szCs w:val="16"/>
                <w:lang w:val="en-GB"/>
              </w:rPr>
              <w:t>Ministry of State Administration and Public Service (MAEFP)</w:t>
            </w:r>
            <w:r w:rsidR="00DA72FB" w:rsidRPr="00972B61">
              <w:rPr>
                <w:color w:val="000000"/>
                <w:sz w:val="16"/>
                <w:szCs w:val="16"/>
                <w:lang w:val="en-GB"/>
              </w:rPr>
              <w:t xml:space="preserve"> </w:t>
            </w:r>
            <w:r w:rsidRPr="00972B61">
              <w:rPr>
                <w:color w:val="000000"/>
                <w:sz w:val="16"/>
                <w:szCs w:val="16"/>
                <w:lang w:val="en-GB"/>
              </w:rPr>
              <w:t xml:space="preserve">, MGCAS, </w:t>
            </w:r>
            <w:r w:rsidR="00CB5840" w:rsidRPr="00505311">
              <w:rPr>
                <w:color w:val="000000"/>
                <w:sz w:val="16"/>
                <w:szCs w:val="16"/>
                <w:lang w:val="en-GB"/>
              </w:rPr>
              <w:t xml:space="preserve">National Elections Commission </w:t>
            </w:r>
            <w:r w:rsidRPr="00972B61">
              <w:rPr>
                <w:color w:val="000000"/>
                <w:sz w:val="16"/>
                <w:szCs w:val="16"/>
                <w:lang w:val="en-GB"/>
              </w:rPr>
              <w:t>(CNE), Technical Secretariat for Electoral Administration (STAE)</w:t>
            </w:r>
          </w:p>
          <w:p w14:paraId="1798565F" w14:textId="77777777" w:rsidR="00A82813" w:rsidRPr="00972B61" w:rsidRDefault="00A82813" w:rsidP="00E40F85">
            <w:pPr>
              <w:rPr>
                <w:color w:val="000000"/>
                <w:sz w:val="16"/>
                <w:szCs w:val="16"/>
                <w:lang w:val="en-GB"/>
              </w:rPr>
            </w:pPr>
          </w:p>
          <w:p w14:paraId="4A36369B" w14:textId="786DDE94" w:rsidR="00A82813" w:rsidRPr="00972B61" w:rsidRDefault="00A82813" w:rsidP="00E40F85">
            <w:pPr>
              <w:rPr>
                <w:color w:val="000000"/>
                <w:sz w:val="16"/>
                <w:szCs w:val="16"/>
                <w:lang w:val="en-GB"/>
              </w:rPr>
            </w:pPr>
            <w:r w:rsidRPr="00972B61">
              <w:rPr>
                <w:color w:val="000000" w:themeColor="text1"/>
                <w:sz w:val="16"/>
                <w:szCs w:val="16"/>
                <w:lang w:val="en-GB"/>
              </w:rPr>
              <w:t>UN</w:t>
            </w:r>
            <w:r w:rsidR="00961C02">
              <w:rPr>
                <w:color w:val="000000" w:themeColor="text1"/>
                <w:sz w:val="16"/>
                <w:szCs w:val="16"/>
                <w:lang w:val="en-GB"/>
              </w:rPr>
              <w:t>-Women</w:t>
            </w:r>
            <w:r w:rsidRPr="00972B61">
              <w:rPr>
                <w:color w:val="000000" w:themeColor="text1"/>
                <w:sz w:val="16"/>
                <w:szCs w:val="16"/>
                <w:lang w:val="en-GB"/>
              </w:rPr>
              <w:t xml:space="preserve">, </w:t>
            </w:r>
            <w:r w:rsidR="00961C02">
              <w:rPr>
                <w:color w:val="000000" w:themeColor="text1"/>
                <w:sz w:val="16"/>
                <w:szCs w:val="16"/>
                <w:lang w:val="en-GB"/>
              </w:rPr>
              <w:t xml:space="preserve">International </w:t>
            </w:r>
            <w:r w:rsidR="006E3F35">
              <w:rPr>
                <w:color w:val="000000" w:themeColor="text1"/>
                <w:sz w:val="16"/>
                <w:szCs w:val="16"/>
                <w:lang w:val="en-GB"/>
              </w:rPr>
              <w:t>O</w:t>
            </w:r>
            <w:r w:rsidR="00961C02">
              <w:rPr>
                <w:color w:val="000000" w:themeColor="text1"/>
                <w:sz w:val="16"/>
                <w:szCs w:val="16"/>
                <w:lang w:val="en-GB"/>
              </w:rPr>
              <w:t>rganization for Migration (</w:t>
            </w:r>
            <w:r w:rsidRPr="00972B61">
              <w:rPr>
                <w:color w:val="000000" w:themeColor="text1"/>
                <w:sz w:val="16"/>
                <w:szCs w:val="16"/>
                <w:lang w:val="en-GB"/>
              </w:rPr>
              <w:t>IOM</w:t>
            </w:r>
            <w:r w:rsidR="00961C02">
              <w:rPr>
                <w:color w:val="000000" w:themeColor="text1"/>
                <w:sz w:val="16"/>
                <w:szCs w:val="16"/>
                <w:lang w:val="en-GB"/>
              </w:rPr>
              <w:t>)</w:t>
            </w:r>
            <w:r w:rsidRPr="00972B61">
              <w:rPr>
                <w:color w:val="000000" w:themeColor="text1"/>
                <w:sz w:val="16"/>
                <w:szCs w:val="16"/>
                <w:lang w:val="en-GB"/>
              </w:rPr>
              <w:t xml:space="preserve">, UNHCR, OCHA </w:t>
            </w:r>
          </w:p>
          <w:p w14:paraId="64B702F1" w14:textId="6DC20BE3" w:rsidR="00A82813" w:rsidRPr="00972B61" w:rsidRDefault="00A82813" w:rsidP="00E40F85">
            <w:pPr>
              <w:rPr>
                <w:color w:val="000000"/>
                <w:sz w:val="16"/>
                <w:szCs w:val="16"/>
                <w:lang w:val="en-GB"/>
              </w:rPr>
            </w:pPr>
          </w:p>
        </w:tc>
        <w:tc>
          <w:tcPr>
            <w:tcW w:w="600" w:type="pct"/>
            <w:vMerge w:val="restart"/>
            <w:shd w:val="clear" w:color="auto" w:fill="auto"/>
            <w:tcMar>
              <w:top w:w="15" w:type="dxa"/>
              <w:left w:w="108" w:type="dxa"/>
              <w:bottom w:w="0" w:type="dxa"/>
              <w:right w:w="108" w:type="dxa"/>
            </w:tcMar>
          </w:tcPr>
          <w:p w14:paraId="63DC8CE8" w14:textId="276BBF05" w:rsidR="00C612DE" w:rsidRPr="00972B61" w:rsidRDefault="00A82813" w:rsidP="00C612DE">
            <w:pPr>
              <w:rPr>
                <w:color w:val="000000"/>
                <w:sz w:val="16"/>
                <w:szCs w:val="16"/>
                <w:lang w:val="en-GB" w:eastAsia="en-GB"/>
              </w:rPr>
            </w:pPr>
            <w:r w:rsidRPr="00972B61">
              <w:rPr>
                <w:color w:val="000000"/>
                <w:sz w:val="16"/>
                <w:szCs w:val="16"/>
                <w:lang w:val="en-GB"/>
              </w:rPr>
              <w:t xml:space="preserve">Regular: </w:t>
            </w:r>
            <w:r w:rsidR="00C612DE" w:rsidRPr="00972B61">
              <w:rPr>
                <w:color w:val="000000"/>
                <w:sz w:val="16"/>
                <w:szCs w:val="16"/>
                <w:lang w:val="en-GB"/>
              </w:rPr>
              <w:t>$19,341,538</w:t>
            </w:r>
          </w:p>
          <w:p w14:paraId="737164AE" w14:textId="54308148" w:rsidR="00A82813" w:rsidRPr="00972B61" w:rsidRDefault="00A82813" w:rsidP="00E40F85">
            <w:pPr>
              <w:rPr>
                <w:color w:val="000000"/>
                <w:sz w:val="16"/>
                <w:szCs w:val="16"/>
                <w:lang w:val="en-GB" w:eastAsia="en-GB"/>
              </w:rPr>
            </w:pPr>
          </w:p>
          <w:p w14:paraId="01892C17" w14:textId="0F9AE8BF" w:rsidR="00A82813" w:rsidRPr="00972B61" w:rsidRDefault="00A82813" w:rsidP="00E40F85">
            <w:pPr>
              <w:rPr>
                <w:color w:val="000000"/>
                <w:sz w:val="16"/>
                <w:szCs w:val="16"/>
                <w:lang w:val="en-GB"/>
              </w:rPr>
            </w:pPr>
            <w:r w:rsidRPr="00972B61">
              <w:rPr>
                <w:color w:val="000000"/>
                <w:sz w:val="16"/>
                <w:szCs w:val="16"/>
                <w:lang w:val="en-GB"/>
              </w:rPr>
              <w:t>Other:</w:t>
            </w:r>
            <w:r w:rsidR="00783D89" w:rsidRPr="00972B61">
              <w:rPr>
                <w:color w:val="000000"/>
                <w:sz w:val="16"/>
                <w:szCs w:val="16"/>
                <w:lang w:val="en-GB"/>
              </w:rPr>
              <w:t xml:space="preserve"> </w:t>
            </w:r>
            <w:r w:rsidR="006537F9" w:rsidRPr="00972B61">
              <w:rPr>
                <w:color w:val="000000"/>
                <w:sz w:val="16"/>
                <w:szCs w:val="16"/>
                <w:lang w:val="en-GB"/>
              </w:rPr>
              <w:t>$</w:t>
            </w:r>
            <w:r w:rsidR="006537F9" w:rsidRPr="00972B61">
              <w:rPr>
                <w:sz w:val="16"/>
                <w:szCs w:val="16"/>
                <w:lang w:val="en-GB"/>
              </w:rPr>
              <w:t>33,249,050</w:t>
            </w:r>
          </w:p>
        </w:tc>
      </w:tr>
      <w:tr w:rsidR="00A82813" w:rsidRPr="00972B61" w14:paraId="2191C6FE" w14:textId="77777777" w:rsidTr="00DA48C2">
        <w:tc>
          <w:tcPr>
            <w:tcW w:w="1023" w:type="pct"/>
            <w:vMerge/>
            <w:tcMar>
              <w:top w:w="72" w:type="dxa"/>
              <w:left w:w="144" w:type="dxa"/>
              <w:bottom w:w="72" w:type="dxa"/>
              <w:right w:w="144" w:type="dxa"/>
            </w:tcMar>
          </w:tcPr>
          <w:p w14:paraId="23B1FA50" w14:textId="77777777" w:rsidR="00A82813" w:rsidRPr="00972B61" w:rsidRDefault="00A82813" w:rsidP="00E40F85">
            <w:pPr>
              <w:rPr>
                <w:color w:val="FF0000"/>
                <w:sz w:val="16"/>
                <w:szCs w:val="16"/>
                <w:lang w:val="en-GB"/>
              </w:rPr>
            </w:pPr>
          </w:p>
        </w:tc>
        <w:tc>
          <w:tcPr>
            <w:tcW w:w="996" w:type="pct"/>
            <w:vMerge/>
          </w:tcPr>
          <w:p w14:paraId="7DDC95D3" w14:textId="77777777" w:rsidR="00A82813" w:rsidRPr="00972B61" w:rsidRDefault="00A82813" w:rsidP="00E40F85">
            <w:pPr>
              <w:pStyle w:val="ListParagraph"/>
              <w:numPr>
                <w:ilvl w:val="0"/>
                <w:numId w:val="25"/>
              </w:numPr>
              <w:rPr>
                <w:color w:val="FF0000"/>
                <w:sz w:val="16"/>
                <w:szCs w:val="16"/>
                <w:lang w:val="en-GB"/>
              </w:rPr>
            </w:pPr>
          </w:p>
        </w:tc>
        <w:tc>
          <w:tcPr>
            <w:tcW w:w="1595" w:type="pct"/>
            <w:shd w:val="clear" w:color="auto" w:fill="auto"/>
            <w:tcMar>
              <w:top w:w="72" w:type="dxa"/>
              <w:left w:w="144" w:type="dxa"/>
              <w:bottom w:w="72" w:type="dxa"/>
              <w:right w:w="144" w:type="dxa"/>
            </w:tcMar>
          </w:tcPr>
          <w:p w14:paraId="126CBA80" w14:textId="4AE4C698" w:rsidR="00A82813" w:rsidRPr="00972B61" w:rsidRDefault="00A82813" w:rsidP="00E40F85">
            <w:pPr>
              <w:spacing w:after="60"/>
              <w:rPr>
                <w:color w:val="000000"/>
                <w:sz w:val="16"/>
                <w:szCs w:val="16"/>
                <w:lang w:val="en-GB"/>
              </w:rPr>
            </w:pPr>
            <w:r w:rsidRPr="00972B61">
              <w:rPr>
                <w:b/>
                <w:bCs/>
                <w:color w:val="000000"/>
                <w:sz w:val="16"/>
                <w:szCs w:val="16"/>
                <w:lang w:val="en-GB"/>
              </w:rPr>
              <w:t>O</w:t>
            </w:r>
            <w:r w:rsidR="00C9415A">
              <w:rPr>
                <w:b/>
                <w:bCs/>
                <w:color w:val="000000"/>
                <w:sz w:val="16"/>
                <w:szCs w:val="16"/>
                <w:lang w:val="en-GB"/>
              </w:rPr>
              <w:t>utput</w:t>
            </w:r>
            <w:r w:rsidRPr="00972B61">
              <w:rPr>
                <w:b/>
                <w:bCs/>
                <w:color w:val="000000"/>
                <w:sz w:val="16"/>
                <w:szCs w:val="16"/>
                <w:lang w:val="en-GB"/>
              </w:rPr>
              <w:t xml:space="preserve"> 4.1.2</w:t>
            </w:r>
            <w:r w:rsidR="00961C02">
              <w:rPr>
                <w:color w:val="000000"/>
                <w:sz w:val="16"/>
                <w:szCs w:val="16"/>
                <w:lang w:val="en-GB"/>
              </w:rPr>
              <w:t>.</w:t>
            </w:r>
            <w:r w:rsidRPr="00972B61">
              <w:rPr>
                <w:color w:val="000000"/>
                <w:sz w:val="16"/>
                <w:szCs w:val="16"/>
                <w:lang w:val="en-GB"/>
              </w:rPr>
              <w:t xml:space="preserve"> </w:t>
            </w:r>
            <w:r w:rsidRPr="004D485B">
              <w:rPr>
                <w:b/>
                <w:bCs/>
                <w:color w:val="000000"/>
                <w:sz w:val="16"/>
                <w:szCs w:val="16"/>
                <w:lang w:val="en-GB"/>
              </w:rPr>
              <w:t>Decentralized institutions are strengthened to promote inclusion, transparency and accountability.</w:t>
            </w:r>
          </w:p>
          <w:p w14:paraId="703B7F83" w14:textId="192B54C6" w:rsidR="00A82813" w:rsidRPr="00972B61" w:rsidRDefault="00A82813" w:rsidP="004F6570">
            <w:pPr>
              <w:pStyle w:val="ListParagraph"/>
              <w:numPr>
                <w:ilvl w:val="0"/>
                <w:numId w:val="28"/>
              </w:numPr>
              <w:ind w:left="144" w:hanging="147"/>
              <w:rPr>
                <w:color w:val="000000"/>
                <w:sz w:val="16"/>
                <w:szCs w:val="16"/>
                <w:lang w:val="en-GB"/>
              </w:rPr>
            </w:pPr>
            <w:r w:rsidRPr="00972B61">
              <w:rPr>
                <w:b/>
                <w:bCs/>
                <w:color w:val="000000"/>
                <w:sz w:val="16"/>
                <w:szCs w:val="16"/>
                <w:lang w:val="en-GB"/>
              </w:rPr>
              <w:t>Indicator 4.1.2.2</w:t>
            </w:r>
            <w:r w:rsidR="00961C02">
              <w:rPr>
                <w:b/>
                <w:bCs/>
                <w:color w:val="000000"/>
                <w:sz w:val="16"/>
                <w:szCs w:val="16"/>
                <w:lang w:val="en-GB"/>
              </w:rPr>
              <w:t>.</w:t>
            </w:r>
            <w:r w:rsidRPr="00972B61">
              <w:rPr>
                <w:b/>
                <w:bCs/>
                <w:color w:val="000000"/>
                <w:sz w:val="16"/>
                <w:szCs w:val="16"/>
                <w:lang w:val="en-GB"/>
              </w:rPr>
              <w:t xml:space="preserve"> </w:t>
            </w:r>
            <w:r w:rsidRPr="00972B61">
              <w:rPr>
                <w:color w:val="000000"/>
                <w:sz w:val="16"/>
                <w:szCs w:val="16"/>
                <w:lang w:val="en-GB"/>
              </w:rPr>
              <w:t xml:space="preserve">Increase in level of satisfaction of users with the quality of services provided by the </w:t>
            </w:r>
            <w:r w:rsidR="00961C02">
              <w:rPr>
                <w:color w:val="000000"/>
                <w:sz w:val="16"/>
                <w:szCs w:val="16"/>
                <w:lang w:val="en-GB"/>
              </w:rPr>
              <w:t>p</w:t>
            </w:r>
            <w:r w:rsidRPr="00972B61">
              <w:rPr>
                <w:color w:val="000000"/>
                <w:sz w:val="16"/>
                <w:szCs w:val="16"/>
                <w:lang w:val="en-GB"/>
              </w:rPr>
              <w:t xml:space="preserve">ublic </w:t>
            </w:r>
            <w:r w:rsidR="00961C02">
              <w:rPr>
                <w:color w:val="000000"/>
                <w:sz w:val="16"/>
                <w:szCs w:val="16"/>
                <w:lang w:val="en-GB"/>
              </w:rPr>
              <w:t>a</w:t>
            </w:r>
            <w:r w:rsidRPr="00972B61">
              <w:rPr>
                <w:color w:val="000000"/>
                <w:sz w:val="16"/>
                <w:szCs w:val="16"/>
                <w:lang w:val="en-GB"/>
              </w:rPr>
              <w:t>dministration</w:t>
            </w:r>
            <w:r w:rsidR="00961C02">
              <w:rPr>
                <w:color w:val="000000"/>
                <w:sz w:val="16"/>
                <w:szCs w:val="16"/>
                <w:lang w:val="en-GB"/>
              </w:rPr>
              <w:t>.</w:t>
            </w:r>
          </w:p>
          <w:p w14:paraId="3597BB94" w14:textId="2E5FE9B3" w:rsidR="00A82813" w:rsidRPr="00972B61" w:rsidRDefault="00A82813" w:rsidP="004F6570">
            <w:pPr>
              <w:ind w:left="144"/>
              <w:rPr>
                <w:color w:val="000000"/>
                <w:sz w:val="16"/>
                <w:szCs w:val="16"/>
                <w:lang w:val="en-GB"/>
              </w:rPr>
            </w:pPr>
            <w:r w:rsidRPr="00972B61">
              <w:rPr>
                <w:color w:val="000000"/>
                <w:sz w:val="16"/>
                <w:szCs w:val="16"/>
                <w:lang w:val="en-GB"/>
              </w:rPr>
              <w:t xml:space="preserve">Baseline (2019): 2.9 </w:t>
            </w:r>
          </w:p>
          <w:p w14:paraId="1903E154" w14:textId="30955397" w:rsidR="00A82813" w:rsidRPr="00972B61" w:rsidRDefault="00A82813" w:rsidP="004D485B">
            <w:pPr>
              <w:ind w:left="147"/>
              <w:rPr>
                <w:color w:val="000000"/>
                <w:sz w:val="16"/>
                <w:szCs w:val="16"/>
                <w:lang w:val="en-GB"/>
              </w:rPr>
            </w:pPr>
            <w:r w:rsidRPr="00972B61">
              <w:rPr>
                <w:color w:val="000000"/>
                <w:sz w:val="16"/>
                <w:szCs w:val="16"/>
                <w:lang w:val="en-GB"/>
              </w:rPr>
              <w:t xml:space="preserve">Target (2026): 4 </w:t>
            </w:r>
          </w:p>
          <w:p w14:paraId="44E80EB6" w14:textId="77777777" w:rsidR="00A82813" w:rsidRPr="00972B61" w:rsidRDefault="00A82813" w:rsidP="004D485B">
            <w:pPr>
              <w:ind w:left="147"/>
              <w:rPr>
                <w:color w:val="000000"/>
                <w:sz w:val="16"/>
                <w:szCs w:val="16"/>
                <w:lang w:val="en-GB"/>
              </w:rPr>
            </w:pPr>
            <w:r w:rsidRPr="00972B61">
              <w:rPr>
                <w:color w:val="000000"/>
                <w:sz w:val="16"/>
                <w:szCs w:val="16"/>
                <w:lang w:val="en-GB"/>
              </w:rPr>
              <w:t xml:space="preserve">Data source: MAEFP </w:t>
            </w:r>
          </w:p>
          <w:p w14:paraId="158922A1" w14:textId="77777777" w:rsidR="00A82813" w:rsidRPr="00972B61" w:rsidRDefault="00A82813" w:rsidP="004F6570">
            <w:pPr>
              <w:spacing w:after="60"/>
              <w:ind w:left="147"/>
              <w:rPr>
                <w:color w:val="000000"/>
                <w:sz w:val="16"/>
                <w:szCs w:val="16"/>
                <w:lang w:val="en-GB"/>
              </w:rPr>
            </w:pPr>
            <w:r w:rsidRPr="00972B61">
              <w:rPr>
                <w:color w:val="000000"/>
                <w:sz w:val="16"/>
                <w:szCs w:val="16"/>
                <w:lang w:val="en-GB"/>
              </w:rPr>
              <w:t>Frequency: Annual</w:t>
            </w:r>
          </w:p>
          <w:p w14:paraId="49022B0B" w14:textId="7ACE330B" w:rsidR="00A82813" w:rsidRPr="00972B61" w:rsidRDefault="00A82813" w:rsidP="004D485B">
            <w:pPr>
              <w:numPr>
                <w:ilvl w:val="0"/>
                <w:numId w:val="26"/>
              </w:numPr>
              <w:spacing w:line="256" w:lineRule="auto"/>
              <w:ind w:left="147" w:hanging="147"/>
              <w:rPr>
                <w:rFonts w:cstheme="minorHAnsi"/>
                <w:sz w:val="16"/>
                <w:szCs w:val="16"/>
                <w:lang w:val="en-GB"/>
              </w:rPr>
            </w:pPr>
            <w:r w:rsidRPr="00972B61">
              <w:rPr>
                <w:b/>
                <w:bCs/>
                <w:color w:val="000000"/>
                <w:sz w:val="16"/>
                <w:szCs w:val="16"/>
                <w:lang w:val="en-GB"/>
              </w:rPr>
              <w:t>Indicator 4.1.2.2</w:t>
            </w:r>
            <w:r w:rsidR="00961C02">
              <w:rPr>
                <w:b/>
                <w:bCs/>
                <w:color w:val="000000"/>
                <w:sz w:val="16"/>
                <w:szCs w:val="16"/>
                <w:lang w:val="en-GB"/>
              </w:rPr>
              <w:t>.</w:t>
            </w:r>
            <w:r w:rsidRPr="00972B61">
              <w:rPr>
                <w:color w:val="000000"/>
                <w:sz w:val="16"/>
                <w:szCs w:val="16"/>
                <w:lang w:val="en-GB"/>
              </w:rPr>
              <w:t xml:space="preserve"> </w:t>
            </w:r>
            <w:r w:rsidR="00961C02">
              <w:rPr>
                <w:color w:val="000000"/>
                <w:sz w:val="16"/>
                <w:szCs w:val="16"/>
                <w:lang w:val="en-GB"/>
              </w:rPr>
              <w:t xml:space="preserve">Number </w:t>
            </w:r>
            <w:r w:rsidRPr="00972B61">
              <w:rPr>
                <w:rFonts w:cstheme="minorHAnsi"/>
                <w:sz w:val="16"/>
                <w:szCs w:val="16"/>
                <w:lang w:val="en-GB"/>
              </w:rPr>
              <w:t>of SDG</w:t>
            </w:r>
            <w:r w:rsidR="00961C02">
              <w:rPr>
                <w:rFonts w:cstheme="minorHAnsi"/>
                <w:sz w:val="16"/>
                <w:szCs w:val="16"/>
                <w:lang w:val="en-GB"/>
              </w:rPr>
              <w:t>-</w:t>
            </w:r>
            <w:r w:rsidRPr="00972B61">
              <w:rPr>
                <w:rFonts w:cstheme="minorHAnsi"/>
                <w:sz w:val="16"/>
                <w:szCs w:val="16"/>
                <w:lang w:val="en-GB"/>
              </w:rPr>
              <w:t xml:space="preserve">aligned </w:t>
            </w:r>
            <w:r w:rsidR="00961C02">
              <w:rPr>
                <w:rFonts w:cstheme="minorHAnsi"/>
                <w:sz w:val="16"/>
                <w:szCs w:val="16"/>
                <w:lang w:val="en-GB"/>
              </w:rPr>
              <w:t>p</w:t>
            </w:r>
            <w:r w:rsidRPr="00972B61">
              <w:rPr>
                <w:rFonts w:cstheme="minorHAnsi"/>
                <w:sz w:val="16"/>
                <w:szCs w:val="16"/>
                <w:lang w:val="en-GB"/>
              </w:rPr>
              <w:t xml:space="preserve">rovincial  </w:t>
            </w:r>
            <w:r w:rsidR="00961C02">
              <w:rPr>
                <w:rFonts w:cstheme="minorHAnsi"/>
                <w:sz w:val="16"/>
                <w:szCs w:val="16"/>
                <w:lang w:val="en-GB"/>
              </w:rPr>
              <w:t>s</w:t>
            </w:r>
            <w:r w:rsidRPr="00972B61">
              <w:rPr>
                <w:rFonts w:cstheme="minorHAnsi"/>
                <w:sz w:val="16"/>
                <w:szCs w:val="16"/>
                <w:lang w:val="en-GB"/>
              </w:rPr>
              <w:t xml:space="preserve">trategic </w:t>
            </w:r>
            <w:r w:rsidR="00961C02">
              <w:rPr>
                <w:rFonts w:cstheme="minorHAnsi"/>
                <w:sz w:val="16"/>
                <w:szCs w:val="16"/>
                <w:lang w:val="en-GB"/>
              </w:rPr>
              <w:t>p</w:t>
            </w:r>
            <w:r w:rsidRPr="00972B61">
              <w:rPr>
                <w:rFonts w:cstheme="minorHAnsi"/>
                <w:sz w:val="16"/>
                <w:szCs w:val="16"/>
                <w:lang w:val="en-GB"/>
              </w:rPr>
              <w:t>lans and budgets approved and inclusively implemented.</w:t>
            </w:r>
          </w:p>
          <w:p w14:paraId="733A1371" w14:textId="538916DE" w:rsidR="00A82813" w:rsidRPr="00972B61" w:rsidRDefault="00A82813" w:rsidP="004D485B">
            <w:pPr>
              <w:spacing w:line="256" w:lineRule="auto"/>
              <w:ind w:left="147"/>
              <w:jc w:val="both"/>
              <w:rPr>
                <w:rFonts w:cstheme="minorHAnsi"/>
                <w:sz w:val="16"/>
                <w:szCs w:val="16"/>
                <w:lang w:val="en-GB"/>
              </w:rPr>
            </w:pPr>
            <w:r w:rsidRPr="00972B61">
              <w:rPr>
                <w:rFonts w:cstheme="minorHAnsi"/>
                <w:sz w:val="16"/>
                <w:szCs w:val="16"/>
                <w:lang w:val="en-GB"/>
              </w:rPr>
              <w:t>Baseline (2021): 0</w:t>
            </w:r>
          </w:p>
          <w:p w14:paraId="1608DD13" w14:textId="4D3F35D0" w:rsidR="00A82813" w:rsidRPr="00972B61" w:rsidRDefault="00A82813" w:rsidP="004D485B">
            <w:pPr>
              <w:spacing w:line="256" w:lineRule="auto"/>
              <w:ind w:left="147"/>
              <w:jc w:val="both"/>
              <w:rPr>
                <w:rFonts w:cstheme="minorHAnsi"/>
                <w:sz w:val="16"/>
                <w:szCs w:val="16"/>
                <w:lang w:val="en-GB"/>
              </w:rPr>
            </w:pPr>
            <w:r w:rsidRPr="00972B61">
              <w:rPr>
                <w:rFonts w:cstheme="minorHAnsi"/>
                <w:sz w:val="16"/>
                <w:szCs w:val="16"/>
                <w:lang w:val="en-GB"/>
              </w:rPr>
              <w:t>Target: (2026): 2 plans, 8 budgets</w:t>
            </w:r>
          </w:p>
          <w:p w14:paraId="6D15E1AA" w14:textId="5FA50310" w:rsidR="00A82813" w:rsidRPr="00972B61" w:rsidRDefault="00A82813" w:rsidP="004D485B">
            <w:pPr>
              <w:spacing w:line="256" w:lineRule="auto"/>
              <w:ind w:left="147"/>
              <w:jc w:val="both"/>
              <w:rPr>
                <w:rFonts w:cstheme="minorHAnsi"/>
                <w:sz w:val="16"/>
                <w:szCs w:val="16"/>
                <w:lang w:val="en-GB"/>
              </w:rPr>
            </w:pPr>
            <w:r w:rsidRPr="00972B61">
              <w:rPr>
                <w:rFonts w:cstheme="minorHAnsi"/>
                <w:sz w:val="16"/>
                <w:szCs w:val="16"/>
                <w:lang w:val="en-GB"/>
              </w:rPr>
              <w:t xml:space="preserve">Source: Provincial </w:t>
            </w:r>
            <w:r w:rsidR="00961C02">
              <w:rPr>
                <w:rFonts w:cstheme="minorHAnsi"/>
                <w:sz w:val="16"/>
                <w:szCs w:val="16"/>
                <w:lang w:val="en-GB"/>
              </w:rPr>
              <w:t>p</w:t>
            </w:r>
            <w:r w:rsidRPr="00972B61">
              <w:rPr>
                <w:rFonts w:cstheme="minorHAnsi"/>
                <w:sz w:val="16"/>
                <w:szCs w:val="16"/>
                <w:lang w:val="en-GB"/>
              </w:rPr>
              <w:t>lans/</w:t>
            </w:r>
            <w:r w:rsidR="00961C02">
              <w:rPr>
                <w:rFonts w:cstheme="minorHAnsi"/>
                <w:sz w:val="16"/>
                <w:szCs w:val="16"/>
                <w:lang w:val="en-GB"/>
              </w:rPr>
              <w:t>b</w:t>
            </w:r>
            <w:r w:rsidRPr="00972B61">
              <w:rPr>
                <w:rFonts w:cstheme="minorHAnsi"/>
                <w:sz w:val="16"/>
                <w:szCs w:val="16"/>
                <w:lang w:val="en-GB"/>
              </w:rPr>
              <w:t>udgets</w:t>
            </w:r>
          </w:p>
          <w:p w14:paraId="7B7F26B3" w14:textId="77777777" w:rsidR="00A82813" w:rsidRPr="00972B61" w:rsidRDefault="00A82813" w:rsidP="004D485B">
            <w:pPr>
              <w:spacing w:after="60"/>
              <w:ind w:left="147"/>
              <w:rPr>
                <w:rFonts w:cstheme="minorHAnsi"/>
                <w:sz w:val="16"/>
                <w:szCs w:val="16"/>
                <w:lang w:val="en-GB"/>
              </w:rPr>
            </w:pPr>
            <w:r w:rsidRPr="00972B61">
              <w:rPr>
                <w:rFonts w:cstheme="minorHAnsi"/>
                <w:sz w:val="16"/>
                <w:szCs w:val="16"/>
                <w:lang w:val="en-GB"/>
              </w:rPr>
              <w:t>Frequency: Annual</w:t>
            </w:r>
          </w:p>
        </w:tc>
        <w:tc>
          <w:tcPr>
            <w:tcW w:w="786" w:type="pct"/>
            <w:vMerge/>
            <w:shd w:val="clear" w:color="auto" w:fill="auto"/>
          </w:tcPr>
          <w:p w14:paraId="083B360F" w14:textId="484EF222" w:rsidR="00A82813" w:rsidRPr="00972B61" w:rsidRDefault="00A82813" w:rsidP="00E40F85">
            <w:pPr>
              <w:rPr>
                <w:color w:val="000000"/>
                <w:sz w:val="16"/>
                <w:szCs w:val="16"/>
                <w:lang w:val="en-GB"/>
              </w:rPr>
            </w:pPr>
          </w:p>
        </w:tc>
        <w:tc>
          <w:tcPr>
            <w:tcW w:w="600" w:type="pct"/>
            <w:vMerge/>
            <w:tcMar>
              <w:top w:w="15" w:type="dxa"/>
              <w:left w:w="108" w:type="dxa"/>
              <w:bottom w:w="0" w:type="dxa"/>
              <w:right w:w="108" w:type="dxa"/>
            </w:tcMar>
          </w:tcPr>
          <w:p w14:paraId="6295A2C2" w14:textId="77777777" w:rsidR="00A82813" w:rsidRPr="00972B61" w:rsidRDefault="00A82813" w:rsidP="00E40F85">
            <w:pPr>
              <w:spacing w:after="120"/>
              <w:rPr>
                <w:color w:val="000000"/>
                <w:sz w:val="16"/>
                <w:szCs w:val="16"/>
                <w:lang w:val="en-GB"/>
              </w:rPr>
            </w:pPr>
          </w:p>
        </w:tc>
      </w:tr>
      <w:tr w:rsidR="00A82813" w:rsidRPr="00972B61" w14:paraId="4BF73916" w14:textId="77777777" w:rsidTr="00DA48C2">
        <w:tc>
          <w:tcPr>
            <w:tcW w:w="1023" w:type="pct"/>
            <w:vMerge/>
            <w:tcMar>
              <w:top w:w="72" w:type="dxa"/>
              <w:left w:w="144" w:type="dxa"/>
              <w:bottom w:w="72" w:type="dxa"/>
              <w:right w:w="144" w:type="dxa"/>
            </w:tcMar>
          </w:tcPr>
          <w:p w14:paraId="708BC1EE" w14:textId="77777777" w:rsidR="00A82813" w:rsidRPr="00972B61" w:rsidRDefault="00A82813" w:rsidP="00E40F85">
            <w:pPr>
              <w:rPr>
                <w:color w:val="000000"/>
                <w:sz w:val="16"/>
                <w:szCs w:val="16"/>
                <w:lang w:val="en-GB"/>
              </w:rPr>
            </w:pPr>
          </w:p>
        </w:tc>
        <w:tc>
          <w:tcPr>
            <w:tcW w:w="996" w:type="pct"/>
            <w:vMerge/>
          </w:tcPr>
          <w:p w14:paraId="3C9BC87D" w14:textId="77777777" w:rsidR="00A82813" w:rsidRPr="00972B61" w:rsidRDefault="00A82813" w:rsidP="00E40F85">
            <w:pPr>
              <w:rPr>
                <w:color w:val="000000"/>
                <w:sz w:val="16"/>
                <w:szCs w:val="16"/>
                <w:lang w:val="en-GB"/>
              </w:rPr>
            </w:pPr>
          </w:p>
        </w:tc>
        <w:tc>
          <w:tcPr>
            <w:tcW w:w="1595" w:type="pct"/>
            <w:shd w:val="clear" w:color="auto" w:fill="auto"/>
            <w:tcMar>
              <w:top w:w="72" w:type="dxa"/>
              <w:left w:w="144" w:type="dxa"/>
              <w:bottom w:w="72" w:type="dxa"/>
              <w:right w:w="144" w:type="dxa"/>
            </w:tcMar>
          </w:tcPr>
          <w:p w14:paraId="3F673528" w14:textId="736799B8" w:rsidR="00A82813" w:rsidRPr="00972B61" w:rsidRDefault="00A82813" w:rsidP="00E40F85">
            <w:pPr>
              <w:spacing w:after="60"/>
              <w:rPr>
                <w:color w:val="000000"/>
                <w:sz w:val="16"/>
                <w:szCs w:val="16"/>
                <w:lang w:val="en-GB"/>
              </w:rPr>
            </w:pPr>
            <w:r w:rsidRPr="00972B61">
              <w:rPr>
                <w:b/>
                <w:bCs/>
                <w:color w:val="000000"/>
                <w:sz w:val="16"/>
                <w:szCs w:val="16"/>
                <w:lang w:val="en-GB"/>
              </w:rPr>
              <w:t>O</w:t>
            </w:r>
            <w:r w:rsidR="004F6570">
              <w:rPr>
                <w:b/>
                <w:bCs/>
                <w:color w:val="000000"/>
                <w:sz w:val="16"/>
                <w:szCs w:val="16"/>
                <w:lang w:val="en-GB"/>
              </w:rPr>
              <w:t>utput</w:t>
            </w:r>
            <w:r w:rsidRPr="00972B61">
              <w:rPr>
                <w:b/>
                <w:bCs/>
                <w:color w:val="000000"/>
                <w:sz w:val="16"/>
                <w:szCs w:val="16"/>
                <w:lang w:val="en-GB"/>
              </w:rPr>
              <w:t xml:space="preserve"> 4.1.3</w:t>
            </w:r>
            <w:r w:rsidR="00961C02">
              <w:rPr>
                <w:b/>
                <w:bCs/>
                <w:color w:val="000000"/>
                <w:sz w:val="16"/>
                <w:szCs w:val="16"/>
                <w:lang w:val="en-GB"/>
              </w:rPr>
              <w:t>.</w:t>
            </w:r>
            <w:r w:rsidRPr="00972B61">
              <w:rPr>
                <w:color w:val="000000"/>
                <w:sz w:val="16"/>
                <w:szCs w:val="16"/>
                <w:lang w:val="en-GB"/>
              </w:rPr>
              <w:t xml:space="preserve"> </w:t>
            </w:r>
            <w:r w:rsidRPr="004D485B">
              <w:rPr>
                <w:b/>
                <w:bCs/>
                <w:color w:val="000000"/>
                <w:sz w:val="16"/>
                <w:szCs w:val="16"/>
                <w:lang w:val="en-GB"/>
              </w:rPr>
              <w:t>Access to justice and the protection of human rights enhanced</w:t>
            </w:r>
            <w:r w:rsidR="00961C02">
              <w:rPr>
                <w:b/>
                <w:bCs/>
                <w:color w:val="000000"/>
                <w:sz w:val="16"/>
                <w:szCs w:val="16"/>
                <w:lang w:val="en-GB"/>
              </w:rPr>
              <w:t>,</w:t>
            </w:r>
            <w:r w:rsidRPr="004D485B">
              <w:rPr>
                <w:b/>
                <w:bCs/>
                <w:color w:val="000000"/>
                <w:sz w:val="16"/>
                <w:szCs w:val="16"/>
                <w:lang w:val="en-GB"/>
              </w:rPr>
              <w:t xml:space="preserve"> particularly for women </w:t>
            </w:r>
            <w:r w:rsidR="00961C02">
              <w:rPr>
                <w:b/>
                <w:bCs/>
                <w:color w:val="000000"/>
                <w:sz w:val="16"/>
                <w:szCs w:val="16"/>
                <w:lang w:val="en-GB"/>
              </w:rPr>
              <w:t xml:space="preserve">and </w:t>
            </w:r>
            <w:r w:rsidRPr="004D485B">
              <w:rPr>
                <w:b/>
                <w:bCs/>
                <w:color w:val="000000"/>
                <w:sz w:val="16"/>
                <w:szCs w:val="16"/>
                <w:lang w:val="en-GB"/>
              </w:rPr>
              <w:t>vulnerable groups.</w:t>
            </w:r>
          </w:p>
          <w:p w14:paraId="756F1FE3" w14:textId="3280D276" w:rsidR="00A82813" w:rsidRPr="00972B61" w:rsidRDefault="00A82813" w:rsidP="004D485B">
            <w:pPr>
              <w:pStyle w:val="ListParagraph"/>
              <w:numPr>
                <w:ilvl w:val="0"/>
                <w:numId w:val="39"/>
              </w:numPr>
              <w:ind w:left="147" w:hanging="147"/>
              <w:rPr>
                <w:color w:val="000000"/>
                <w:sz w:val="16"/>
                <w:szCs w:val="16"/>
                <w:lang w:val="en-GB"/>
              </w:rPr>
            </w:pPr>
            <w:r w:rsidRPr="00972B61">
              <w:rPr>
                <w:b/>
                <w:bCs/>
                <w:color w:val="000000"/>
                <w:sz w:val="16"/>
                <w:szCs w:val="16"/>
                <w:lang w:val="en-GB"/>
              </w:rPr>
              <w:t>Indicator 4.1.3.1</w:t>
            </w:r>
            <w:r w:rsidR="00961C02">
              <w:rPr>
                <w:b/>
                <w:bCs/>
                <w:color w:val="000000"/>
                <w:sz w:val="16"/>
                <w:szCs w:val="16"/>
                <w:lang w:val="en-GB"/>
              </w:rPr>
              <w:t>.</w:t>
            </w:r>
            <w:r w:rsidRPr="00972B61">
              <w:rPr>
                <w:color w:val="000000"/>
                <w:sz w:val="16"/>
                <w:szCs w:val="16"/>
                <w:lang w:val="en-GB"/>
              </w:rPr>
              <w:t xml:space="preserve"> Extent to which the NHRC is compliant with the Paris </w:t>
            </w:r>
            <w:r w:rsidR="00961C02">
              <w:rPr>
                <w:color w:val="000000"/>
                <w:sz w:val="16"/>
                <w:szCs w:val="16"/>
                <w:lang w:val="en-GB"/>
              </w:rPr>
              <w:t>p</w:t>
            </w:r>
            <w:r w:rsidRPr="00972B61">
              <w:rPr>
                <w:color w:val="000000"/>
                <w:sz w:val="16"/>
                <w:szCs w:val="16"/>
                <w:lang w:val="en-GB"/>
              </w:rPr>
              <w:t>rinciples.</w:t>
            </w:r>
          </w:p>
          <w:p w14:paraId="432737EF" w14:textId="0DCE57A2" w:rsidR="00A82813" w:rsidRPr="00972B61" w:rsidRDefault="00A82813" w:rsidP="004D485B">
            <w:pPr>
              <w:ind w:left="147"/>
              <w:rPr>
                <w:color w:val="000000"/>
                <w:sz w:val="16"/>
                <w:szCs w:val="16"/>
                <w:lang w:val="en-GB"/>
              </w:rPr>
            </w:pPr>
            <w:r w:rsidRPr="00972B61">
              <w:rPr>
                <w:color w:val="000000"/>
                <w:sz w:val="16"/>
                <w:szCs w:val="16"/>
                <w:lang w:val="en-GB"/>
              </w:rPr>
              <w:t xml:space="preserve">Baseline (2020): C Status </w:t>
            </w:r>
            <w:r w:rsidR="009360E0" w:rsidRPr="00505311">
              <w:rPr>
                <w:color w:val="000000"/>
                <w:sz w:val="16"/>
                <w:szCs w:val="16"/>
                <w:lang w:val="en-GB"/>
              </w:rPr>
              <w:t xml:space="preserve">Global </w:t>
            </w:r>
            <w:r w:rsidR="00505311">
              <w:rPr>
                <w:color w:val="000000"/>
                <w:sz w:val="16"/>
                <w:szCs w:val="16"/>
                <w:lang w:val="en-GB"/>
              </w:rPr>
              <w:t>A</w:t>
            </w:r>
            <w:r w:rsidR="009360E0" w:rsidRPr="00505311">
              <w:rPr>
                <w:color w:val="000000"/>
                <w:sz w:val="16"/>
                <w:szCs w:val="16"/>
                <w:lang w:val="en-GB"/>
              </w:rPr>
              <w:t xml:space="preserve">lliance of </w:t>
            </w:r>
            <w:r w:rsidR="00505311">
              <w:rPr>
                <w:color w:val="000000"/>
                <w:sz w:val="16"/>
                <w:szCs w:val="16"/>
                <w:lang w:val="en-GB"/>
              </w:rPr>
              <w:t>N</w:t>
            </w:r>
            <w:r w:rsidR="009360E0" w:rsidRPr="00505311">
              <w:rPr>
                <w:color w:val="000000"/>
                <w:sz w:val="16"/>
                <w:szCs w:val="16"/>
                <w:lang w:val="en-GB"/>
              </w:rPr>
              <w:t xml:space="preserve">ational </w:t>
            </w:r>
            <w:r w:rsidR="00505311">
              <w:rPr>
                <w:color w:val="000000"/>
                <w:sz w:val="16"/>
                <w:szCs w:val="16"/>
                <w:lang w:val="en-GB"/>
              </w:rPr>
              <w:t>H</w:t>
            </w:r>
            <w:r w:rsidR="009360E0" w:rsidRPr="00505311">
              <w:rPr>
                <w:color w:val="000000"/>
                <w:sz w:val="16"/>
                <w:szCs w:val="16"/>
                <w:lang w:val="en-GB"/>
              </w:rPr>
              <w:t xml:space="preserve">uman </w:t>
            </w:r>
            <w:r w:rsidR="00505311">
              <w:rPr>
                <w:color w:val="000000"/>
                <w:sz w:val="16"/>
                <w:szCs w:val="16"/>
                <w:lang w:val="en-GB"/>
              </w:rPr>
              <w:t>R</w:t>
            </w:r>
            <w:r w:rsidR="009360E0" w:rsidRPr="00505311">
              <w:rPr>
                <w:color w:val="000000"/>
                <w:sz w:val="16"/>
                <w:szCs w:val="16"/>
                <w:lang w:val="en-GB"/>
              </w:rPr>
              <w:t xml:space="preserve">ights </w:t>
            </w:r>
            <w:r w:rsidR="00505311">
              <w:rPr>
                <w:color w:val="000000"/>
                <w:sz w:val="16"/>
                <w:szCs w:val="16"/>
                <w:lang w:val="en-GB"/>
              </w:rPr>
              <w:t>I</w:t>
            </w:r>
            <w:r w:rsidR="009360E0" w:rsidRPr="00505311">
              <w:rPr>
                <w:color w:val="000000"/>
                <w:sz w:val="16"/>
                <w:szCs w:val="16"/>
                <w:lang w:val="en-GB"/>
              </w:rPr>
              <w:t>nstitutions</w:t>
            </w:r>
            <w:r w:rsidR="009360E0" w:rsidRPr="00972B61">
              <w:rPr>
                <w:color w:val="000000"/>
                <w:sz w:val="16"/>
                <w:szCs w:val="16"/>
                <w:lang w:val="en-GB"/>
              </w:rPr>
              <w:t xml:space="preserve"> </w:t>
            </w:r>
            <w:r w:rsidR="009360E0">
              <w:rPr>
                <w:color w:val="000000"/>
                <w:sz w:val="16"/>
                <w:szCs w:val="16"/>
                <w:lang w:val="en-GB"/>
              </w:rPr>
              <w:t>(</w:t>
            </w:r>
            <w:r w:rsidRPr="00972B61">
              <w:rPr>
                <w:color w:val="000000"/>
                <w:sz w:val="16"/>
                <w:szCs w:val="16"/>
                <w:lang w:val="en-GB"/>
              </w:rPr>
              <w:t>GANRHI</w:t>
            </w:r>
            <w:r w:rsidR="009360E0">
              <w:rPr>
                <w:color w:val="000000"/>
                <w:sz w:val="16"/>
                <w:szCs w:val="16"/>
                <w:lang w:val="en-GB"/>
              </w:rPr>
              <w:t>)</w:t>
            </w:r>
          </w:p>
          <w:p w14:paraId="52999807" w14:textId="67D40DFB" w:rsidR="00A82813" w:rsidRPr="00972B61" w:rsidRDefault="00A82813" w:rsidP="004D485B">
            <w:pPr>
              <w:ind w:left="147"/>
              <w:rPr>
                <w:color w:val="000000"/>
                <w:sz w:val="16"/>
                <w:szCs w:val="16"/>
                <w:lang w:val="en-GB"/>
              </w:rPr>
            </w:pPr>
            <w:r w:rsidRPr="00972B61">
              <w:rPr>
                <w:color w:val="000000"/>
                <w:sz w:val="16"/>
                <w:szCs w:val="16"/>
                <w:lang w:val="en-GB"/>
              </w:rPr>
              <w:t>Target (2026): B Status GANRHI</w:t>
            </w:r>
          </w:p>
          <w:p w14:paraId="696A13F7" w14:textId="77777777" w:rsidR="00A82813" w:rsidRPr="00972B61" w:rsidRDefault="00A82813" w:rsidP="004D485B">
            <w:pPr>
              <w:ind w:left="147"/>
              <w:rPr>
                <w:color w:val="000000"/>
                <w:sz w:val="16"/>
                <w:szCs w:val="16"/>
                <w:lang w:val="en-GB"/>
              </w:rPr>
            </w:pPr>
            <w:r w:rsidRPr="00972B61">
              <w:rPr>
                <w:color w:val="000000"/>
                <w:sz w:val="16"/>
                <w:szCs w:val="16"/>
                <w:lang w:val="en-GB"/>
              </w:rPr>
              <w:t>Source: NHRC</w:t>
            </w:r>
          </w:p>
          <w:p w14:paraId="258CD940" w14:textId="77777777" w:rsidR="00A82813" w:rsidRPr="00972B61" w:rsidRDefault="00A82813" w:rsidP="004D485B">
            <w:pPr>
              <w:spacing w:after="60"/>
              <w:ind w:left="147"/>
              <w:rPr>
                <w:color w:val="000000"/>
                <w:sz w:val="16"/>
                <w:szCs w:val="16"/>
                <w:lang w:val="en-GB"/>
              </w:rPr>
            </w:pPr>
            <w:r w:rsidRPr="00972B61">
              <w:rPr>
                <w:color w:val="000000"/>
                <w:sz w:val="16"/>
                <w:szCs w:val="16"/>
                <w:lang w:val="en-GB"/>
              </w:rPr>
              <w:t>Frequency: Annual</w:t>
            </w:r>
          </w:p>
          <w:p w14:paraId="27774305" w14:textId="06640C6B" w:rsidR="00A82813" w:rsidRPr="00972B61" w:rsidRDefault="00A82813" w:rsidP="004D485B">
            <w:pPr>
              <w:pStyle w:val="ListParagraph"/>
              <w:numPr>
                <w:ilvl w:val="0"/>
                <w:numId w:val="39"/>
              </w:numPr>
              <w:ind w:left="147" w:hanging="147"/>
              <w:rPr>
                <w:color w:val="000000"/>
                <w:sz w:val="16"/>
                <w:szCs w:val="16"/>
                <w:lang w:val="en-GB"/>
              </w:rPr>
            </w:pPr>
            <w:r w:rsidRPr="00972B61">
              <w:rPr>
                <w:b/>
                <w:bCs/>
                <w:color w:val="000000"/>
                <w:sz w:val="16"/>
                <w:szCs w:val="16"/>
                <w:lang w:val="en-GB"/>
              </w:rPr>
              <w:t>Indicator 4.1.3.2:</w:t>
            </w:r>
            <w:r w:rsidRPr="00972B61">
              <w:rPr>
                <w:color w:val="000000"/>
                <w:sz w:val="16"/>
                <w:szCs w:val="16"/>
                <w:lang w:val="en-GB"/>
              </w:rPr>
              <w:t xml:space="preserve"> Increase in the n</w:t>
            </w:r>
            <w:r w:rsidR="00961C02">
              <w:rPr>
                <w:color w:val="000000"/>
                <w:sz w:val="16"/>
                <w:szCs w:val="16"/>
                <w:lang w:val="en-GB"/>
              </w:rPr>
              <w:t xml:space="preserve">umber </w:t>
            </w:r>
            <w:r w:rsidRPr="00972B61">
              <w:rPr>
                <w:color w:val="000000"/>
                <w:sz w:val="16"/>
                <w:szCs w:val="16"/>
                <w:lang w:val="en-GB"/>
              </w:rPr>
              <w:t>of citizens, including marginali</w:t>
            </w:r>
            <w:r w:rsidR="00961C02">
              <w:rPr>
                <w:color w:val="000000"/>
                <w:sz w:val="16"/>
                <w:szCs w:val="16"/>
                <w:lang w:val="en-GB"/>
              </w:rPr>
              <w:t>z</w:t>
            </w:r>
            <w:r w:rsidRPr="00972B61">
              <w:rPr>
                <w:color w:val="000000"/>
                <w:sz w:val="16"/>
                <w:szCs w:val="16"/>
                <w:lang w:val="en-GB"/>
              </w:rPr>
              <w:t>ed groups, receiving free legal advice (disaggregated by sex).</w:t>
            </w:r>
          </w:p>
          <w:p w14:paraId="2552D755" w14:textId="473D0DB5" w:rsidR="00A82813" w:rsidRPr="00972B61" w:rsidRDefault="00A82813" w:rsidP="004D485B">
            <w:pPr>
              <w:ind w:left="147"/>
              <w:rPr>
                <w:color w:val="000000"/>
                <w:sz w:val="16"/>
                <w:szCs w:val="16"/>
                <w:lang w:val="en-GB"/>
              </w:rPr>
            </w:pPr>
            <w:r w:rsidRPr="00972B61">
              <w:rPr>
                <w:color w:val="000000"/>
                <w:sz w:val="16"/>
                <w:szCs w:val="16"/>
                <w:lang w:val="en-GB"/>
              </w:rPr>
              <w:t>Baseline (2020): 161,226 (</w:t>
            </w:r>
            <w:r w:rsidR="00FD69C8" w:rsidRPr="00972B61">
              <w:rPr>
                <w:color w:val="000000"/>
                <w:sz w:val="16"/>
                <w:szCs w:val="16"/>
                <w:lang w:val="en-GB"/>
              </w:rPr>
              <w:t>28% women)</w:t>
            </w:r>
          </w:p>
          <w:p w14:paraId="761B9A6A" w14:textId="27764D4F" w:rsidR="00A82813" w:rsidRPr="00972B61" w:rsidRDefault="00A82813" w:rsidP="004D485B">
            <w:pPr>
              <w:ind w:left="147"/>
              <w:rPr>
                <w:color w:val="000000"/>
                <w:sz w:val="16"/>
                <w:szCs w:val="16"/>
                <w:lang w:val="en-GB"/>
              </w:rPr>
            </w:pPr>
            <w:r w:rsidRPr="00972B61">
              <w:rPr>
                <w:color w:val="000000"/>
                <w:sz w:val="16"/>
                <w:szCs w:val="16"/>
                <w:lang w:val="en-GB"/>
              </w:rPr>
              <w:t>Target (2026): 350,000</w:t>
            </w:r>
            <w:r w:rsidR="00FD69C8" w:rsidRPr="00972B61">
              <w:rPr>
                <w:color w:val="000000"/>
                <w:sz w:val="16"/>
                <w:szCs w:val="16"/>
                <w:lang w:val="en-GB"/>
              </w:rPr>
              <w:t xml:space="preserve"> (40% women)</w:t>
            </w:r>
          </w:p>
          <w:p w14:paraId="1BFFB9BD" w14:textId="4812B178" w:rsidR="00A82813" w:rsidRPr="00972B61" w:rsidRDefault="00A82813" w:rsidP="004D485B">
            <w:pPr>
              <w:ind w:left="147"/>
              <w:rPr>
                <w:color w:val="000000"/>
                <w:sz w:val="16"/>
                <w:szCs w:val="16"/>
                <w:lang w:val="en-GB"/>
              </w:rPr>
            </w:pPr>
            <w:r w:rsidRPr="00972B61">
              <w:rPr>
                <w:color w:val="000000"/>
                <w:sz w:val="16"/>
                <w:szCs w:val="16"/>
                <w:lang w:val="en-GB"/>
              </w:rPr>
              <w:t>Source: IPAJ</w:t>
            </w:r>
          </w:p>
          <w:p w14:paraId="3C854A6C" w14:textId="5FACD06B" w:rsidR="00A82813" w:rsidRPr="00972B61" w:rsidRDefault="00A82813" w:rsidP="004D485B">
            <w:pPr>
              <w:spacing w:after="60"/>
              <w:ind w:left="147"/>
              <w:rPr>
                <w:color w:val="000000"/>
                <w:sz w:val="16"/>
                <w:szCs w:val="16"/>
                <w:lang w:val="en-GB"/>
              </w:rPr>
            </w:pPr>
            <w:r w:rsidRPr="00972B61">
              <w:rPr>
                <w:color w:val="000000"/>
                <w:sz w:val="16"/>
                <w:szCs w:val="16"/>
                <w:lang w:val="en-GB"/>
              </w:rPr>
              <w:t>Frequency: Annual</w:t>
            </w:r>
          </w:p>
          <w:p w14:paraId="6084E501" w14:textId="3A524F7E" w:rsidR="00A82813" w:rsidRPr="00972B61" w:rsidRDefault="00A82813" w:rsidP="004D485B">
            <w:pPr>
              <w:pStyle w:val="ListParagraph"/>
              <w:numPr>
                <w:ilvl w:val="0"/>
                <w:numId w:val="39"/>
              </w:numPr>
              <w:ind w:left="147" w:hanging="147"/>
              <w:rPr>
                <w:color w:val="000000"/>
                <w:sz w:val="16"/>
                <w:szCs w:val="16"/>
                <w:lang w:val="en-GB"/>
              </w:rPr>
            </w:pPr>
            <w:r w:rsidRPr="00972B61">
              <w:rPr>
                <w:b/>
                <w:bCs/>
                <w:color w:val="000000"/>
                <w:sz w:val="16"/>
                <w:szCs w:val="16"/>
                <w:lang w:val="en-GB"/>
              </w:rPr>
              <w:t>Indicator 4.</w:t>
            </w:r>
            <w:r w:rsidR="004F6570">
              <w:rPr>
                <w:b/>
                <w:bCs/>
                <w:color w:val="000000"/>
                <w:sz w:val="16"/>
                <w:szCs w:val="16"/>
                <w:lang w:val="en-GB"/>
              </w:rPr>
              <w:t>1</w:t>
            </w:r>
            <w:r w:rsidRPr="00972B61">
              <w:rPr>
                <w:b/>
                <w:bCs/>
                <w:color w:val="000000"/>
                <w:sz w:val="16"/>
                <w:szCs w:val="16"/>
                <w:lang w:val="en-GB"/>
              </w:rPr>
              <w:t>.3.3:</w:t>
            </w:r>
            <w:r w:rsidRPr="00972B61">
              <w:rPr>
                <w:color w:val="000000"/>
                <w:sz w:val="16"/>
                <w:szCs w:val="16"/>
                <w:lang w:val="en-GB"/>
              </w:rPr>
              <w:t xml:space="preserve"> Unsentenced detainees as a proportion of overall prison population</w:t>
            </w:r>
          </w:p>
          <w:p w14:paraId="6552340C" w14:textId="03C471F7" w:rsidR="00A82813" w:rsidRPr="00972B61" w:rsidRDefault="00A82813" w:rsidP="004D485B">
            <w:pPr>
              <w:ind w:left="147"/>
              <w:rPr>
                <w:color w:val="000000"/>
                <w:sz w:val="16"/>
                <w:szCs w:val="16"/>
                <w:lang w:val="en-GB"/>
              </w:rPr>
            </w:pPr>
            <w:r w:rsidRPr="00972B61">
              <w:rPr>
                <w:color w:val="000000"/>
                <w:sz w:val="16"/>
                <w:szCs w:val="16"/>
                <w:lang w:val="en-GB"/>
              </w:rPr>
              <w:t xml:space="preserve">Baseline (2019) 33% </w:t>
            </w:r>
          </w:p>
          <w:p w14:paraId="1DA3A4A7" w14:textId="3A0602C0" w:rsidR="00A82813" w:rsidRPr="00972B61" w:rsidRDefault="00A82813" w:rsidP="004D485B">
            <w:pPr>
              <w:ind w:left="147"/>
              <w:rPr>
                <w:color w:val="000000"/>
                <w:sz w:val="16"/>
                <w:szCs w:val="16"/>
                <w:lang w:val="en-GB"/>
              </w:rPr>
            </w:pPr>
            <w:r w:rsidRPr="00972B61">
              <w:rPr>
                <w:color w:val="000000"/>
                <w:sz w:val="16"/>
                <w:szCs w:val="16"/>
                <w:lang w:val="en-GB"/>
              </w:rPr>
              <w:t>Target (2026)</w:t>
            </w:r>
            <w:r w:rsidR="00961C02">
              <w:rPr>
                <w:color w:val="000000"/>
                <w:sz w:val="16"/>
                <w:szCs w:val="16"/>
                <w:lang w:val="en-GB"/>
              </w:rPr>
              <w:t xml:space="preserve"> </w:t>
            </w:r>
            <w:r w:rsidRPr="00972B61">
              <w:rPr>
                <w:color w:val="000000"/>
                <w:sz w:val="16"/>
                <w:szCs w:val="16"/>
                <w:lang w:val="en-GB"/>
              </w:rPr>
              <w:t xml:space="preserve">24% </w:t>
            </w:r>
          </w:p>
          <w:p w14:paraId="29F04A8C" w14:textId="65FA9425" w:rsidR="00A82813" w:rsidRPr="00972B61" w:rsidRDefault="00A82813" w:rsidP="004D485B">
            <w:pPr>
              <w:ind w:left="147"/>
              <w:rPr>
                <w:color w:val="000000"/>
                <w:sz w:val="16"/>
                <w:szCs w:val="16"/>
                <w:lang w:val="en-GB"/>
              </w:rPr>
            </w:pPr>
            <w:r w:rsidRPr="00972B61">
              <w:rPr>
                <w:color w:val="000000"/>
                <w:sz w:val="16"/>
                <w:szCs w:val="16"/>
                <w:lang w:val="en-GB"/>
              </w:rPr>
              <w:t xml:space="preserve">Source: MJCR </w:t>
            </w:r>
          </w:p>
          <w:p w14:paraId="069A5E2D" w14:textId="02C05D29" w:rsidR="00961C02" w:rsidRPr="00972B61" w:rsidRDefault="00A82813" w:rsidP="004F6570">
            <w:pPr>
              <w:ind w:left="147"/>
              <w:rPr>
                <w:color w:val="000000"/>
                <w:sz w:val="16"/>
                <w:szCs w:val="16"/>
                <w:lang w:val="en-GB"/>
              </w:rPr>
            </w:pPr>
            <w:r w:rsidRPr="00972B61">
              <w:rPr>
                <w:color w:val="000000"/>
                <w:sz w:val="16"/>
                <w:szCs w:val="16"/>
                <w:lang w:val="en-GB"/>
              </w:rPr>
              <w:t>Frequency: Annual</w:t>
            </w:r>
          </w:p>
        </w:tc>
        <w:tc>
          <w:tcPr>
            <w:tcW w:w="786" w:type="pct"/>
            <w:vMerge/>
            <w:shd w:val="clear" w:color="auto" w:fill="auto"/>
          </w:tcPr>
          <w:p w14:paraId="35CA8D6F" w14:textId="77777777" w:rsidR="00A82813" w:rsidRPr="00972B61" w:rsidRDefault="00A82813" w:rsidP="00E40F85">
            <w:pPr>
              <w:rPr>
                <w:color w:val="000000"/>
                <w:sz w:val="16"/>
                <w:szCs w:val="16"/>
                <w:lang w:val="en-GB"/>
              </w:rPr>
            </w:pPr>
          </w:p>
        </w:tc>
        <w:tc>
          <w:tcPr>
            <w:tcW w:w="600" w:type="pct"/>
            <w:vMerge/>
            <w:tcMar>
              <w:top w:w="15" w:type="dxa"/>
              <w:left w:w="108" w:type="dxa"/>
              <w:bottom w:w="0" w:type="dxa"/>
              <w:right w:w="108" w:type="dxa"/>
            </w:tcMar>
          </w:tcPr>
          <w:p w14:paraId="36A0A56E" w14:textId="77777777" w:rsidR="00A82813" w:rsidRPr="00972B61" w:rsidRDefault="00A82813" w:rsidP="00E40F85">
            <w:pPr>
              <w:rPr>
                <w:color w:val="C0504D" w:themeColor="accent2"/>
                <w:sz w:val="16"/>
                <w:szCs w:val="16"/>
                <w:lang w:val="en-GB"/>
              </w:rPr>
            </w:pPr>
          </w:p>
        </w:tc>
      </w:tr>
    </w:tbl>
    <w:p w14:paraId="0DB18218" w14:textId="4BFFD39E" w:rsidR="004640F4" w:rsidRPr="00972B61" w:rsidRDefault="009D6FFF" w:rsidP="009D6FFF">
      <w:pPr>
        <w:jc w:val="center"/>
        <w:rPr>
          <w:b/>
          <w:bCs/>
          <w:color w:val="000000"/>
          <w:lang w:val="en-GB"/>
        </w:rPr>
      </w:pPr>
      <w:r w:rsidRPr="00972B61">
        <w:rPr>
          <w:noProof/>
          <w:lang w:val="en-GB"/>
        </w:rPr>
        <w:drawing>
          <wp:inline distT="0" distB="0" distL="0" distR="0" wp14:anchorId="3066440B" wp14:editId="5E4D2632">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p w14:paraId="7C3CCADB" w14:textId="2418A063" w:rsidR="00E1660D" w:rsidRPr="00972B61" w:rsidRDefault="00E1660D" w:rsidP="001B3C30">
      <w:pPr>
        <w:rPr>
          <w:b/>
          <w:bCs/>
          <w:color w:val="000000"/>
          <w:lang w:val="en-GB"/>
        </w:rPr>
      </w:pPr>
    </w:p>
    <w:sectPr w:rsidR="00E1660D" w:rsidRPr="00972B61">
      <w:headerReference w:type="even" r:id="rId22"/>
      <w:headerReference w:type="default" r:id="rId23"/>
      <w:footerReference w:type="even" r:id="rId24"/>
      <w:footerReference w:type="default" r:id="rId25"/>
      <w:footerReference w:type="first"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C95F" w14:textId="77777777" w:rsidR="00510BED" w:rsidRDefault="00510BED">
      <w:r>
        <w:separator/>
      </w:r>
    </w:p>
  </w:endnote>
  <w:endnote w:type="continuationSeparator" w:id="0">
    <w:p w14:paraId="07E1B7E2" w14:textId="77777777" w:rsidR="00510BED" w:rsidRDefault="00510BED">
      <w:r>
        <w:continuationSeparator/>
      </w:r>
    </w:p>
  </w:endnote>
  <w:endnote w:type="continuationNotice" w:id="1">
    <w:p w14:paraId="40E786F3" w14:textId="77777777" w:rsidR="00510BED" w:rsidRDefault="00510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2DF7" w14:textId="77777777" w:rsidR="004C765C" w:rsidRDefault="004C765C" w:rsidP="0083339E">
    <w:pPr>
      <w:pStyle w:val="Footer"/>
      <w:ind w:firstLine="810"/>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B76E" w14:textId="6B999800" w:rsidR="004C765C" w:rsidRPr="0083339E" w:rsidRDefault="004C765C" w:rsidP="0083339E">
    <w:pPr>
      <w:pStyle w:val="Footer"/>
      <w:ind w:right="936"/>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4C765C" w14:paraId="586875EB" w14:textId="77777777" w:rsidTr="00F25F9C">
      <w:tc>
        <w:tcPr>
          <w:tcW w:w="3280" w:type="dxa"/>
        </w:tcPr>
        <w:p w14:paraId="5964444A" w14:textId="7CCA739A" w:rsidR="004C765C" w:rsidRDefault="004C765C" w:rsidP="00F25F9C">
          <w:pPr>
            <w:pStyle w:val="Header"/>
            <w:ind w:left="-115"/>
          </w:pPr>
        </w:p>
      </w:tc>
      <w:tc>
        <w:tcPr>
          <w:tcW w:w="3280" w:type="dxa"/>
        </w:tcPr>
        <w:p w14:paraId="3DAE8213" w14:textId="52EED5FC" w:rsidR="004C765C" w:rsidRDefault="004C765C" w:rsidP="00F25F9C">
          <w:pPr>
            <w:pStyle w:val="Header"/>
            <w:jc w:val="center"/>
          </w:pPr>
        </w:p>
      </w:tc>
      <w:tc>
        <w:tcPr>
          <w:tcW w:w="3280" w:type="dxa"/>
        </w:tcPr>
        <w:p w14:paraId="539CC236" w14:textId="7A3E72AD" w:rsidR="004C765C" w:rsidRDefault="004C765C" w:rsidP="00F25F9C">
          <w:pPr>
            <w:pStyle w:val="Header"/>
            <w:ind w:right="-115"/>
            <w:jc w:val="right"/>
          </w:pPr>
        </w:p>
      </w:tc>
    </w:tr>
  </w:tbl>
  <w:p w14:paraId="1BD84B41" w14:textId="221A1799" w:rsidR="004C765C" w:rsidRDefault="004C765C" w:rsidP="00F25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8CC1" w14:textId="77777777" w:rsidR="004C765C" w:rsidRDefault="004C765C" w:rsidP="00E361DF">
    <w:pPr>
      <w:pStyle w:val="Footer"/>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A428" w14:textId="77777777" w:rsidR="004C765C" w:rsidRPr="0083339E" w:rsidRDefault="004C765C" w:rsidP="00E361DF">
    <w:pPr>
      <w:pStyle w:val="Footer"/>
      <w:ind w:right="36"/>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10"/>
      <w:gridCol w:w="4510"/>
      <w:gridCol w:w="4510"/>
    </w:tblGrid>
    <w:tr w:rsidR="004C765C" w14:paraId="76DFA47F" w14:textId="77777777" w:rsidTr="00C52143">
      <w:tc>
        <w:tcPr>
          <w:tcW w:w="4510" w:type="dxa"/>
        </w:tcPr>
        <w:p w14:paraId="03BF10B6" w14:textId="77777777" w:rsidR="004C765C" w:rsidRDefault="004C765C" w:rsidP="00C52143">
          <w:pPr>
            <w:pStyle w:val="Header"/>
            <w:ind w:left="-115"/>
          </w:pPr>
        </w:p>
      </w:tc>
      <w:tc>
        <w:tcPr>
          <w:tcW w:w="4510" w:type="dxa"/>
        </w:tcPr>
        <w:p w14:paraId="53F0C758" w14:textId="77777777" w:rsidR="004C765C" w:rsidRDefault="004C765C" w:rsidP="00C52143">
          <w:pPr>
            <w:pStyle w:val="Header"/>
            <w:jc w:val="center"/>
          </w:pPr>
        </w:p>
      </w:tc>
      <w:tc>
        <w:tcPr>
          <w:tcW w:w="4510" w:type="dxa"/>
        </w:tcPr>
        <w:p w14:paraId="571C61C5" w14:textId="77777777" w:rsidR="004C765C" w:rsidRDefault="004C765C" w:rsidP="00C52143">
          <w:pPr>
            <w:pStyle w:val="Header"/>
            <w:ind w:right="-115"/>
            <w:jc w:val="right"/>
          </w:pPr>
        </w:p>
      </w:tc>
    </w:tr>
  </w:tbl>
  <w:p w14:paraId="7CB6857C" w14:textId="77777777" w:rsidR="004C765C" w:rsidRDefault="004C765C" w:rsidP="00C5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021DA" w14:textId="77777777" w:rsidR="00510BED" w:rsidRDefault="00510BED">
      <w:r>
        <w:separator/>
      </w:r>
    </w:p>
  </w:footnote>
  <w:footnote w:type="continuationSeparator" w:id="0">
    <w:p w14:paraId="706BC8A6" w14:textId="77777777" w:rsidR="00510BED" w:rsidRDefault="00510BED">
      <w:r>
        <w:continuationSeparator/>
      </w:r>
    </w:p>
  </w:footnote>
  <w:footnote w:type="continuationNotice" w:id="1">
    <w:p w14:paraId="2581DF87" w14:textId="77777777" w:rsidR="00510BED" w:rsidRDefault="00510BED"/>
  </w:footnote>
  <w:footnote w:id="2">
    <w:p w14:paraId="6188FB30" w14:textId="560EC5CA" w:rsidR="004C765C" w:rsidRPr="005E79D8" w:rsidRDefault="004C765C" w:rsidP="0073669C">
      <w:pPr>
        <w:rPr>
          <w:sz w:val="16"/>
          <w:szCs w:val="16"/>
          <w:lang w:val="en-GB"/>
        </w:rPr>
      </w:pPr>
      <w:r w:rsidRPr="002F784F">
        <w:rPr>
          <w:rStyle w:val="FootnoteReference"/>
          <w:sz w:val="16"/>
          <w:szCs w:val="16"/>
          <w:lang w:val="en-GB"/>
        </w:rPr>
        <w:footnoteRef/>
      </w:r>
      <w:r w:rsidRPr="005E79D8">
        <w:rPr>
          <w:sz w:val="16"/>
          <w:szCs w:val="16"/>
          <w:lang w:val="en-GB"/>
        </w:rPr>
        <w:t xml:space="preserve"> The Armed Conflict Location and Event Data Project (ACLED) database (</w:t>
      </w:r>
      <w:hyperlink r:id="rId1" w:history="1">
        <w:r w:rsidRPr="005E79D8">
          <w:rPr>
            <w:rStyle w:val="Hyperlink"/>
            <w:sz w:val="16"/>
            <w:szCs w:val="16"/>
            <w:lang w:val="en-GB"/>
          </w:rPr>
          <w:t>www.acleddata.com</w:t>
        </w:r>
      </w:hyperlink>
      <w:r w:rsidRPr="005E79D8">
        <w:rPr>
          <w:sz w:val="16"/>
          <w:szCs w:val="16"/>
          <w:lang w:val="en-GB"/>
        </w:rPr>
        <w:t xml:space="preserve">).  </w:t>
      </w:r>
    </w:p>
  </w:footnote>
  <w:footnote w:id="3">
    <w:p w14:paraId="478596A2" w14:textId="77777777" w:rsidR="004C765C" w:rsidRPr="0006619B" w:rsidRDefault="004C765C" w:rsidP="0073669C">
      <w:pPr>
        <w:pStyle w:val="FootnoteText"/>
        <w:rPr>
          <w:rFonts w:ascii="Times New Roman" w:hAnsi="Times New Roman"/>
          <w:sz w:val="16"/>
          <w:szCs w:val="16"/>
          <w:lang w:val="en-GB"/>
        </w:rPr>
      </w:pPr>
      <w:r w:rsidRPr="00F7207E">
        <w:rPr>
          <w:rStyle w:val="FootnoteReference"/>
          <w:rFonts w:ascii="Times New Roman" w:hAnsi="Times New Roman"/>
          <w:sz w:val="16"/>
          <w:szCs w:val="16"/>
          <w:lang w:val="en-GB"/>
        </w:rPr>
        <w:footnoteRef/>
      </w:r>
      <w:r w:rsidRPr="00F7207E">
        <w:rPr>
          <w:rFonts w:ascii="Times New Roman" w:hAnsi="Times New Roman"/>
          <w:sz w:val="16"/>
          <w:szCs w:val="16"/>
          <w:lang w:val="en-GB"/>
        </w:rPr>
        <w:t xml:space="preserve"> </w:t>
      </w:r>
      <w:r w:rsidRPr="0006619B">
        <w:rPr>
          <w:rFonts w:ascii="Times New Roman" w:hAnsi="Times New Roman"/>
          <w:sz w:val="16"/>
          <w:szCs w:val="16"/>
          <w:lang w:val="en-GB"/>
        </w:rPr>
        <w:t>Word Bank (2017), Country Partnership Framework.</w:t>
      </w:r>
    </w:p>
  </w:footnote>
  <w:footnote w:id="4">
    <w:p w14:paraId="7D4D17EB" w14:textId="17CC0513" w:rsidR="004C765C" w:rsidRPr="0006619B" w:rsidRDefault="004C765C">
      <w:pPr>
        <w:pStyle w:val="FootnoteText"/>
        <w:rPr>
          <w:rFonts w:ascii="Times New Roman" w:hAnsi="Times New Roman"/>
          <w:sz w:val="16"/>
          <w:szCs w:val="16"/>
          <w:lang w:val="en-GB"/>
        </w:rPr>
      </w:pPr>
      <w:r w:rsidRPr="00F7207E">
        <w:rPr>
          <w:rStyle w:val="FootnoteReference"/>
          <w:rFonts w:ascii="Times New Roman" w:hAnsi="Times New Roman"/>
          <w:sz w:val="16"/>
          <w:szCs w:val="16"/>
          <w:lang w:val="en-GB"/>
        </w:rPr>
        <w:footnoteRef/>
      </w:r>
      <w:r w:rsidRPr="0006619B">
        <w:rPr>
          <w:rFonts w:ascii="Times New Roman" w:hAnsi="Times New Roman"/>
          <w:sz w:val="16"/>
          <w:szCs w:val="16"/>
          <w:lang w:val="en-GB"/>
        </w:rPr>
        <w:t xml:space="preserve"> Office of the United Nations Resident Coordinator, Mozambique, “Final evaluation of the UNDAF”, March 2021.</w:t>
      </w:r>
    </w:p>
  </w:footnote>
  <w:footnote w:id="5">
    <w:p w14:paraId="53CFF905" w14:textId="2EA0D166" w:rsidR="004C765C" w:rsidRPr="00A1146C" w:rsidRDefault="004C765C">
      <w:pPr>
        <w:pStyle w:val="FootnoteText"/>
        <w:rPr>
          <w:rFonts w:ascii="Times New Roman" w:hAnsi="Times New Roman"/>
          <w:sz w:val="16"/>
          <w:szCs w:val="16"/>
          <w:lang w:val="en-GB"/>
        </w:rPr>
      </w:pPr>
      <w:r w:rsidRPr="00A1146C">
        <w:rPr>
          <w:rStyle w:val="FootnoteReference"/>
          <w:rFonts w:ascii="Times New Roman" w:hAnsi="Times New Roman"/>
          <w:sz w:val="16"/>
          <w:szCs w:val="16"/>
          <w:lang w:val="en-GB"/>
        </w:rPr>
        <w:footnoteRef/>
      </w:r>
      <w:r w:rsidRPr="00A1146C">
        <w:rPr>
          <w:rFonts w:ascii="Times New Roman" w:hAnsi="Times New Roman"/>
          <w:sz w:val="16"/>
          <w:szCs w:val="16"/>
          <w:lang w:val="en-GB"/>
        </w:rPr>
        <w:t xml:space="preserve"> (a) structural transformation accelerated, particularly green, inclusive, and digital transitions; (b) no one left behind, centring on equitable access to opportunities and a rights-based approach to human agency and human development; (c) resilience built to respond to systemic uncertainty and risk.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4C765C" w14:paraId="1D97D059" w14:textId="77777777" w:rsidTr="00F25F9C">
      <w:tc>
        <w:tcPr>
          <w:tcW w:w="3280" w:type="dxa"/>
        </w:tcPr>
        <w:p w14:paraId="022F67E6" w14:textId="36F3BEB7" w:rsidR="004C765C" w:rsidRDefault="004C765C" w:rsidP="00F25F9C">
          <w:pPr>
            <w:pStyle w:val="Header"/>
            <w:ind w:left="-115"/>
          </w:pPr>
        </w:p>
      </w:tc>
      <w:tc>
        <w:tcPr>
          <w:tcW w:w="3280" w:type="dxa"/>
        </w:tcPr>
        <w:p w14:paraId="662E5F5D" w14:textId="208EB397" w:rsidR="004C765C" w:rsidRDefault="004C765C" w:rsidP="00F25F9C">
          <w:pPr>
            <w:pStyle w:val="Header"/>
            <w:jc w:val="center"/>
          </w:pPr>
        </w:p>
      </w:tc>
      <w:tc>
        <w:tcPr>
          <w:tcW w:w="3280" w:type="dxa"/>
        </w:tcPr>
        <w:p w14:paraId="59B8315A" w14:textId="2E73F155" w:rsidR="004C765C" w:rsidRDefault="004C765C" w:rsidP="00F25F9C">
          <w:pPr>
            <w:pStyle w:val="Header"/>
            <w:ind w:right="-115"/>
            <w:jc w:val="right"/>
          </w:pPr>
        </w:p>
      </w:tc>
    </w:tr>
  </w:tbl>
  <w:p w14:paraId="048701A2" w14:textId="54DE4B99" w:rsidR="004C765C" w:rsidRDefault="004C765C" w:rsidP="00F2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4C765C" w:rsidRPr="00617935" w14:paraId="2B0DA694" w14:textId="77777777" w:rsidTr="008742EA">
      <w:trPr>
        <w:trHeight w:hRule="exact" w:val="864"/>
      </w:trPr>
      <w:tc>
        <w:tcPr>
          <w:tcW w:w="4838" w:type="dxa"/>
          <w:shd w:val="clear" w:color="auto" w:fill="auto"/>
          <w:vAlign w:val="bottom"/>
        </w:tcPr>
        <w:p w14:paraId="6F9424B1" w14:textId="77777777" w:rsidR="004C765C" w:rsidRPr="00617935" w:rsidRDefault="004C765C" w:rsidP="00064DE7">
          <w:pPr>
            <w:tabs>
              <w:tab w:val="center" w:pos="4320"/>
              <w:tab w:val="right" w:pos="8640"/>
            </w:tabs>
            <w:spacing w:after="80"/>
            <w:rPr>
              <w:b/>
              <w:noProof/>
              <w:sz w:val="17"/>
            </w:rPr>
          </w:pPr>
        </w:p>
      </w:tc>
      <w:tc>
        <w:tcPr>
          <w:tcW w:w="4782" w:type="dxa"/>
          <w:shd w:val="clear" w:color="auto" w:fill="auto"/>
          <w:vAlign w:val="bottom"/>
        </w:tcPr>
        <w:p w14:paraId="2150926A" w14:textId="0324001F" w:rsidR="004C765C" w:rsidRPr="00617935" w:rsidRDefault="004C765C" w:rsidP="00064DE7">
          <w:pPr>
            <w:tabs>
              <w:tab w:val="center" w:pos="4320"/>
              <w:tab w:val="right" w:pos="8640"/>
            </w:tabs>
            <w:jc w:val="right"/>
            <w:rPr>
              <w:b/>
              <w:noProof/>
              <w:sz w:val="17"/>
            </w:rPr>
          </w:pPr>
          <w:r w:rsidRPr="00617935">
            <w:rPr>
              <w:b/>
              <w:noProof/>
              <w:sz w:val="17"/>
            </w:rPr>
            <w:t>DP/DCP/</w:t>
          </w:r>
          <w:r>
            <w:rPr>
              <w:b/>
              <w:noProof/>
              <w:sz w:val="17"/>
            </w:rPr>
            <w:t>MOZ</w:t>
          </w:r>
          <w:r w:rsidRPr="00617935">
            <w:rPr>
              <w:b/>
              <w:noProof/>
              <w:sz w:val="17"/>
            </w:rPr>
            <w:t>/4</w:t>
          </w:r>
        </w:p>
      </w:tc>
    </w:tr>
  </w:tbl>
  <w:p w14:paraId="1DDF28B2" w14:textId="77777777" w:rsidR="004C765C" w:rsidRPr="00064DE7" w:rsidRDefault="004C765C">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C765C" w:rsidRPr="00F10E78" w14:paraId="4C6BF72D" w14:textId="77777777" w:rsidTr="008742EA">
      <w:trPr>
        <w:trHeight w:hRule="exact" w:val="864"/>
      </w:trPr>
      <w:tc>
        <w:tcPr>
          <w:tcW w:w="1267" w:type="dxa"/>
          <w:tcBorders>
            <w:bottom w:val="single" w:sz="4" w:space="0" w:color="auto"/>
          </w:tcBorders>
          <w:shd w:val="clear" w:color="auto" w:fill="auto"/>
          <w:vAlign w:val="bottom"/>
        </w:tcPr>
        <w:p w14:paraId="7FD6E8B8" w14:textId="77777777" w:rsidR="004C765C" w:rsidRPr="00F10E78" w:rsidRDefault="004C765C" w:rsidP="00F10E7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2AAEAC7" w14:textId="77777777" w:rsidR="004C765C" w:rsidRPr="00F10E78" w:rsidRDefault="004C765C" w:rsidP="00F10E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F10E78">
            <w:rPr>
              <w:spacing w:val="2"/>
              <w:w w:val="96"/>
              <w:kern w:val="14"/>
              <w:sz w:val="28"/>
            </w:rPr>
            <w:t>United Nations</w:t>
          </w:r>
        </w:p>
      </w:tc>
      <w:tc>
        <w:tcPr>
          <w:tcW w:w="245" w:type="dxa"/>
          <w:tcBorders>
            <w:bottom w:val="single" w:sz="4" w:space="0" w:color="auto"/>
          </w:tcBorders>
          <w:shd w:val="clear" w:color="auto" w:fill="auto"/>
          <w:vAlign w:val="bottom"/>
        </w:tcPr>
        <w:p w14:paraId="21FDD1F3" w14:textId="77777777" w:rsidR="004C765C" w:rsidRPr="00F10E78" w:rsidRDefault="004C765C" w:rsidP="00F10E78">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16C2248" w14:textId="29A5F816" w:rsidR="004C765C" w:rsidRPr="00F10E78" w:rsidRDefault="004C765C" w:rsidP="00F10E78">
          <w:pPr>
            <w:suppressAutoHyphens/>
            <w:spacing w:after="80"/>
            <w:jc w:val="right"/>
            <w:rPr>
              <w:spacing w:val="4"/>
              <w:w w:val="103"/>
              <w:kern w:val="14"/>
              <w:position w:val="-4"/>
            </w:rPr>
          </w:pPr>
          <w:r w:rsidRPr="00F10E78">
            <w:rPr>
              <w:spacing w:val="4"/>
              <w:w w:val="103"/>
              <w:kern w:val="14"/>
              <w:position w:val="-4"/>
              <w:sz w:val="40"/>
            </w:rPr>
            <w:t>DP</w:t>
          </w:r>
          <w:r w:rsidRPr="00F10E78">
            <w:rPr>
              <w:spacing w:val="4"/>
              <w:w w:val="103"/>
              <w:kern w:val="14"/>
              <w:position w:val="-4"/>
            </w:rPr>
            <w:t>/DCP/</w:t>
          </w:r>
          <w:r>
            <w:rPr>
              <w:spacing w:val="4"/>
              <w:w w:val="103"/>
              <w:kern w:val="14"/>
              <w:position w:val="-4"/>
            </w:rPr>
            <w:t>MOZ</w:t>
          </w:r>
          <w:r w:rsidRPr="00F10E78">
            <w:rPr>
              <w:spacing w:val="4"/>
              <w:w w:val="103"/>
              <w:kern w:val="14"/>
              <w:position w:val="-4"/>
            </w:rPr>
            <w:t>/</w:t>
          </w:r>
          <w:r>
            <w:rPr>
              <w:spacing w:val="4"/>
              <w:w w:val="103"/>
              <w:kern w:val="14"/>
              <w:position w:val="-4"/>
            </w:rPr>
            <w:t>4</w:t>
          </w:r>
        </w:p>
      </w:tc>
    </w:tr>
    <w:tr w:rsidR="004C765C" w:rsidRPr="00F10E78" w14:paraId="019BDE57" w14:textId="77777777" w:rsidTr="008742EA">
      <w:trPr>
        <w:gridAfter w:val="1"/>
        <w:wAfter w:w="28" w:type="dxa"/>
        <w:trHeight w:hRule="exact" w:val="2880"/>
      </w:trPr>
      <w:tc>
        <w:tcPr>
          <w:tcW w:w="1267" w:type="dxa"/>
          <w:tcBorders>
            <w:top w:val="single" w:sz="4" w:space="0" w:color="auto"/>
            <w:bottom w:val="single" w:sz="12" w:space="0" w:color="auto"/>
          </w:tcBorders>
          <w:shd w:val="clear" w:color="auto" w:fill="auto"/>
        </w:tcPr>
        <w:p w14:paraId="64F65D13" w14:textId="77777777" w:rsidR="004C765C" w:rsidRPr="00F10E78" w:rsidRDefault="004C765C" w:rsidP="00F10E78">
          <w:pPr>
            <w:tabs>
              <w:tab w:val="center" w:pos="4320"/>
              <w:tab w:val="right" w:pos="8640"/>
            </w:tabs>
            <w:spacing w:before="109"/>
            <w:rPr>
              <w:noProof/>
              <w:sz w:val="17"/>
            </w:rPr>
          </w:pPr>
          <w:r w:rsidRPr="00F10E78">
            <w:rPr>
              <w:noProof/>
              <w:sz w:val="17"/>
            </w:rPr>
            <w:t xml:space="preserve"> </w:t>
          </w:r>
          <w:r w:rsidRPr="00F10E78">
            <w:rPr>
              <w:noProof/>
              <w:sz w:val="17"/>
            </w:rPr>
            <w:drawing>
              <wp:inline distT="0" distB="0" distL="0" distR="0" wp14:anchorId="53AD572B" wp14:editId="3BF5E2DE">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5A5D9909" w14:textId="77777777" w:rsidR="004C765C" w:rsidRPr="00F10E78" w:rsidRDefault="004C765C" w:rsidP="00F10E78">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1D59599" w14:textId="0E03CAD0" w:rsidR="004C765C" w:rsidRPr="00F10E78" w:rsidRDefault="004C765C" w:rsidP="00F10E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F3381B">
            <w:rPr>
              <w:b/>
              <w:sz w:val="34"/>
            </w:rPr>
            <w:t>Executive Board of the</w:t>
          </w:r>
          <w:r w:rsidRPr="00F3381B">
            <w:rPr>
              <w:b/>
              <w:sz w:val="34"/>
            </w:rPr>
            <w:br/>
            <w:t>United Nations Development</w:t>
          </w:r>
          <w:r w:rsidRPr="00F3381B">
            <w:rPr>
              <w:b/>
              <w:sz w:val="34"/>
            </w:rPr>
            <w:br/>
            <w:t>Programme, the United Nations</w:t>
          </w:r>
          <w:r>
            <w:rPr>
              <w:b/>
              <w:sz w:val="34"/>
            </w:rPr>
            <w:t xml:space="preserve"> </w:t>
          </w:r>
          <w:r w:rsidRPr="00F3381B">
            <w:rPr>
              <w:b/>
              <w:sz w:val="34"/>
            </w:rPr>
            <w:t>Population Fund and the United Nations Office for Project Services</w:t>
          </w:r>
        </w:p>
      </w:tc>
      <w:tc>
        <w:tcPr>
          <w:tcW w:w="245" w:type="dxa"/>
          <w:tcBorders>
            <w:top w:val="single" w:sz="4" w:space="0" w:color="auto"/>
            <w:bottom w:val="single" w:sz="12" w:space="0" w:color="auto"/>
          </w:tcBorders>
          <w:shd w:val="clear" w:color="auto" w:fill="auto"/>
        </w:tcPr>
        <w:p w14:paraId="49D8B818" w14:textId="77777777" w:rsidR="004C765C" w:rsidRPr="00F10E78" w:rsidRDefault="004C765C" w:rsidP="00F10E78">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A1B3C53" w14:textId="77777777" w:rsidR="004C765C" w:rsidRPr="00F10E78" w:rsidRDefault="004C765C" w:rsidP="00F10E78">
          <w:pPr>
            <w:suppressAutoHyphens/>
            <w:spacing w:before="240" w:line="240" w:lineRule="exact"/>
            <w:rPr>
              <w:spacing w:val="4"/>
              <w:w w:val="103"/>
              <w:kern w:val="14"/>
            </w:rPr>
          </w:pPr>
          <w:r w:rsidRPr="00F10E78">
            <w:rPr>
              <w:spacing w:val="4"/>
              <w:w w:val="103"/>
              <w:kern w:val="14"/>
            </w:rPr>
            <w:t>Distr.: General</w:t>
          </w:r>
        </w:p>
        <w:p w14:paraId="21E5FA32" w14:textId="33CC6BC5" w:rsidR="004C765C" w:rsidRPr="00F10E78" w:rsidRDefault="00FD0A7B" w:rsidP="00F10E78">
          <w:pPr>
            <w:suppressAutoHyphens/>
            <w:spacing w:line="240" w:lineRule="exact"/>
            <w:rPr>
              <w:spacing w:val="4"/>
              <w:w w:val="103"/>
              <w:kern w:val="14"/>
            </w:rPr>
          </w:pPr>
          <w:r>
            <w:rPr>
              <w:spacing w:val="4"/>
              <w:w w:val="103"/>
              <w:kern w:val="14"/>
            </w:rPr>
            <w:t>12</w:t>
          </w:r>
          <w:r w:rsidR="004C765C" w:rsidRPr="00F10E78">
            <w:rPr>
              <w:spacing w:val="4"/>
              <w:w w:val="103"/>
              <w:kern w:val="14"/>
            </w:rPr>
            <w:t xml:space="preserve"> </w:t>
          </w:r>
          <w:r w:rsidR="004C765C">
            <w:rPr>
              <w:spacing w:val="4"/>
              <w:w w:val="103"/>
              <w:kern w:val="14"/>
            </w:rPr>
            <w:t xml:space="preserve">November </w:t>
          </w:r>
          <w:r w:rsidR="004C765C" w:rsidRPr="00F10E78">
            <w:rPr>
              <w:spacing w:val="4"/>
              <w:w w:val="103"/>
              <w:kern w:val="14"/>
            </w:rPr>
            <w:t>2021</w:t>
          </w:r>
        </w:p>
        <w:p w14:paraId="0EBC12EE" w14:textId="77777777" w:rsidR="004C765C" w:rsidRPr="00F10E78" w:rsidRDefault="004C765C" w:rsidP="00F10E78">
          <w:pPr>
            <w:suppressAutoHyphens/>
            <w:spacing w:line="240" w:lineRule="exact"/>
            <w:rPr>
              <w:spacing w:val="4"/>
              <w:w w:val="103"/>
              <w:kern w:val="14"/>
            </w:rPr>
          </w:pPr>
        </w:p>
        <w:p w14:paraId="602EE1DE" w14:textId="77777777" w:rsidR="004C765C" w:rsidRPr="00F10E78" w:rsidRDefault="004C765C" w:rsidP="00F10E78">
          <w:pPr>
            <w:suppressAutoHyphens/>
            <w:spacing w:line="240" w:lineRule="exact"/>
            <w:rPr>
              <w:spacing w:val="4"/>
              <w:w w:val="103"/>
              <w:kern w:val="14"/>
            </w:rPr>
          </w:pPr>
          <w:r w:rsidRPr="00F10E78">
            <w:rPr>
              <w:spacing w:val="4"/>
              <w:w w:val="103"/>
              <w:kern w:val="14"/>
            </w:rPr>
            <w:t>Original: English</w:t>
          </w:r>
        </w:p>
      </w:tc>
    </w:tr>
  </w:tbl>
  <w:p w14:paraId="2296F446" w14:textId="77777777" w:rsidR="004C765C" w:rsidRPr="00E66A91" w:rsidRDefault="004C765C" w:rsidP="00F10E78">
    <w:pPr>
      <w:pStyle w:val="Header"/>
      <w:rPr>
        <w:sz w:val="2"/>
        <w:szCs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4C765C" w:rsidRPr="00657A41" w14:paraId="38EA6E77" w14:textId="77777777" w:rsidTr="008742EA">
      <w:trPr>
        <w:trHeight w:hRule="exact" w:val="864"/>
      </w:trPr>
      <w:tc>
        <w:tcPr>
          <w:tcW w:w="4748" w:type="dxa"/>
          <w:shd w:val="clear" w:color="auto" w:fill="auto"/>
          <w:vAlign w:val="bottom"/>
        </w:tcPr>
        <w:p w14:paraId="7EEC4018" w14:textId="71E731EC" w:rsidR="004C765C" w:rsidRPr="00657A41" w:rsidRDefault="004C765C" w:rsidP="00064DE7">
          <w:pPr>
            <w:tabs>
              <w:tab w:val="center" w:pos="4320"/>
              <w:tab w:val="right" w:pos="8640"/>
            </w:tabs>
            <w:spacing w:after="80"/>
            <w:rPr>
              <w:b/>
              <w:noProof/>
              <w:sz w:val="17"/>
            </w:rPr>
          </w:pPr>
          <w:bookmarkStart w:id="19" w:name="_Hlk72161445"/>
          <w:r w:rsidRPr="00657A41">
            <w:rPr>
              <w:b/>
              <w:noProof/>
              <w:sz w:val="17"/>
            </w:rPr>
            <w:t>DP/DCP/</w:t>
          </w:r>
          <w:r>
            <w:rPr>
              <w:b/>
              <w:noProof/>
              <w:sz w:val="17"/>
            </w:rPr>
            <w:t>MOZ</w:t>
          </w:r>
          <w:r w:rsidRPr="00657A41">
            <w:rPr>
              <w:b/>
              <w:noProof/>
              <w:sz w:val="17"/>
            </w:rPr>
            <w:t>/4</w:t>
          </w:r>
        </w:p>
      </w:tc>
      <w:tc>
        <w:tcPr>
          <w:tcW w:w="4522" w:type="dxa"/>
          <w:shd w:val="clear" w:color="auto" w:fill="auto"/>
          <w:vAlign w:val="bottom"/>
        </w:tcPr>
        <w:p w14:paraId="4863D4E0" w14:textId="77777777" w:rsidR="004C765C" w:rsidRPr="00657A41" w:rsidRDefault="004C765C" w:rsidP="00064DE7">
          <w:pPr>
            <w:tabs>
              <w:tab w:val="center" w:pos="4320"/>
              <w:tab w:val="right" w:pos="8640"/>
            </w:tabs>
            <w:jc w:val="right"/>
            <w:rPr>
              <w:b/>
              <w:noProof/>
              <w:sz w:val="17"/>
            </w:rPr>
          </w:pPr>
        </w:p>
      </w:tc>
    </w:tr>
    <w:bookmarkEnd w:id="19"/>
  </w:tbl>
  <w:p w14:paraId="33F8140D" w14:textId="7CB5AE06" w:rsidR="004C765C" w:rsidRPr="00064DE7" w:rsidRDefault="004C765C" w:rsidP="00F25F9C">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30F2" w14:textId="5CE65DE7" w:rsidR="004C765C" w:rsidRDefault="004C765C">
    <w:pPr>
      <w:pStyle w:val="Header"/>
    </w:pPr>
    <w:r>
      <w:rPr>
        <w:noProof/>
      </w:rPr>
      <mc:AlternateContent>
        <mc:Choice Requires="wps">
          <w:drawing>
            <wp:anchor distT="0" distB="0" distL="114300" distR="114300" simplePos="0" relativeHeight="251658752" behindDoc="0" locked="0" layoutInCell="0" allowOverlap="1" wp14:anchorId="07F81AF1" wp14:editId="0D33F183">
              <wp:simplePos x="0" y="0"/>
              <wp:positionH relativeFrom="margin">
                <wp:align>left</wp:align>
              </wp:positionH>
              <wp:positionV relativeFrom="paragraph">
                <wp:posOffset>-304800</wp:posOffset>
              </wp:positionV>
              <wp:extent cx="854075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0" cy="640080"/>
                      </a:xfrm>
                      <a:prstGeom prst="rect">
                        <a:avLst/>
                      </a:prstGeom>
                      <a:solidFill>
                        <a:srgbClr val="FFFFFF"/>
                      </a:solidFill>
                      <a:ln>
                        <a:noFill/>
                      </a:ln>
                    </wps:spPr>
                    <wps:txbx>
                      <w:txbxContent>
                        <w:tbl>
                          <w:tblPr>
                            <w:tblW w:w="136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842"/>
                          </w:tblGrid>
                          <w:tr w:rsidR="004C765C" w14:paraId="5C25C3CD" w14:textId="77777777" w:rsidTr="00E361DF">
                            <w:trPr>
                              <w:trHeight w:hRule="exact" w:val="864"/>
                            </w:trPr>
                            <w:tc>
                              <w:tcPr>
                                <w:tcW w:w="4838" w:type="dxa"/>
                                <w:tcBorders>
                                  <w:bottom w:val="single" w:sz="4" w:space="0" w:color="auto"/>
                                </w:tcBorders>
                                <w:vAlign w:val="bottom"/>
                              </w:tcPr>
                              <w:p w14:paraId="0EF9BDDA" w14:textId="52C9196B" w:rsidR="004C765C" w:rsidRDefault="004C765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DP/DCP/MOZ/4</w:t>
                                </w:r>
                              </w:p>
                            </w:tc>
                            <w:tc>
                              <w:tcPr>
                                <w:tcW w:w="8842" w:type="dxa"/>
                                <w:tcBorders>
                                  <w:bottom w:val="single" w:sz="4" w:space="0" w:color="auto"/>
                                </w:tcBorders>
                                <w:vAlign w:val="bottom"/>
                              </w:tcPr>
                              <w:p w14:paraId="1DF5074C" w14:textId="77777777" w:rsidR="004C765C" w:rsidRDefault="004C765C">
                                <w:pPr>
                                  <w:pStyle w:val="Header"/>
                                  <w:rPr>
                                    <w:rFonts w:ascii="Times New Roman" w:hAnsi="Times New Roman"/>
                                    <w:sz w:val="17"/>
                                    <w:szCs w:val="17"/>
                                    <w:lang w:val="en-US" w:eastAsia="en-US"/>
                                  </w:rPr>
                                </w:pPr>
                              </w:p>
                            </w:tc>
                          </w:tr>
                        </w:tbl>
                        <w:p w14:paraId="2FD57D78" w14:textId="77777777" w:rsidR="004C765C" w:rsidRDefault="004C76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7F81AF1" id="_x0000_t202" coordsize="21600,21600" o:spt="202" path="m,l,21600r21600,l21600,xe">
              <v:stroke joinstyle="miter"/>
              <v:path gradientshapeok="t" o:connecttype="rect"/>
            </v:shapetype>
            <v:shape id="Text Box 3" o:spid="_x0000_s1026" type="#_x0000_t202" style="position:absolute;margin-left:0;margin-top:-24pt;width:672.5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" o:allowincell="f" stroked="f">
              <v:textbox inset="0,0,0,0">
                <w:txbxContent>
                  <w:tbl>
                    <w:tblPr>
                      <w:tblW w:w="136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842"/>
                    </w:tblGrid>
                    <w:tr w:rsidR="004C765C" w14:paraId="5C25C3CD" w14:textId="77777777" w:rsidTr="00E361DF">
                      <w:trPr>
                        <w:trHeight w:hRule="exact" w:val="864"/>
                      </w:trPr>
                      <w:tc>
                        <w:tcPr>
                          <w:tcW w:w="4838" w:type="dxa"/>
                          <w:tcBorders>
                            <w:bottom w:val="single" w:sz="4" w:space="0" w:color="auto"/>
                          </w:tcBorders>
                          <w:vAlign w:val="bottom"/>
                        </w:tcPr>
                        <w:p w14:paraId="0EF9BDDA" w14:textId="52C9196B" w:rsidR="004C765C" w:rsidRDefault="004C765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DP/DCP/MOZ/4</w:t>
                          </w:r>
                        </w:p>
                      </w:tc>
                      <w:tc>
                        <w:tcPr>
                          <w:tcW w:w="8842" w:type="dxa"/>
                          <w:tcBorders>
                            <w:bottom w:val="single" w:sz="4" w:space="0" w:color="auto"/>
                          </w:tcBorders>
                          <w:vAlign w:val="bottom"/>
                        </w:tcPr>
                        <w:p w14:paraId="1DF5074C" w14:textId="77777777" w:rsidR="004C765C" w:rsidRDefault="004C765C">
                          <w:pPr>
                            <w:pStyle w:val="Header"/>
                            <w:rPr>
                              <w:rFonts w:ascii="Times New Roman" w:hAnsi="Times New Roman"/>
                              <w:sz w:val="17"/>
                              <w:szCs w:val="17"/>
                              <w:lang w:val="en-US" w:eastAsia="en-US"/>
                            </w:rPr>
                          </w:pPr>
                        </w:p>
                      </w:tc>
                    </w:tr>
                  </w:tbl>
                  <w:p w14:paraId="2FD57D78" w14:textId="77777777" w:rsidR="004C765C" w:rsidRDefault="004C765C"/>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832"/>
    </w:tblGrid>
    <w:tr w:rsidR="004C765C" w:rsidRPr="00617935" w14:paraId="1978C4D2" w14:textId="77777777" w:rsidTr="00E361DF">
      <w:trPr>
        <w:trHeight w:hRule="exact" w:val="864"/>
      </w:trPr>
      <w:tc>
        <w:tcPr>
          <w:tcW w:w="4668" w:type="dxa"/>
          <w:shd w:val="clear" w:color="auto" w:fill="auto"/>
          <w:vAlign w:val="bottom"/>
        </w:tcPr>
        <w:p w14:paraId="3A706F5C" w14:textId="77777777" w:rsidR="004C765C" w:rsidRPr="00617935" w:rsidRDefault="004C765C" w:rsidP="00064DE7">
          <w:pPr>
            <w:tabs>
              <w:tab w:val="center" w:pos="4320"/>
              <w:tab w:val="right" w:pos="8640"/>
            </w:tabs>
            <w:spacing w:after="80"/>
            <w:rPr>
              <w:b/>
              <w:noProof/>
              <w:sz w:val="17"/>
            </w:rPr>
          </w:pPr>
        </w:p>
      </w:tc>
      <w:tc>
        <w:tcPr>
          <w:tcW w:w="8832" w:type="dxa"/>
          <w:shd w:val="clear" w:color="auto" w:fill="auto"/>
          <w:vAlign w:val="bottom"/>
        </w:tcPr>
        <w:p w14:paraId="066CDD77" w14:textId="77777777" w:rsidR="004C765C" w:rsidRPr="00617935" w:rsidRDefault="004C765C" w:rsidP="00064DE7">
          <w:pPr>
            <w:tabs>
              <w:tab w:val="center" w:pos="4320"/>
              <w:tab w:val="right" w:pos="8640"/>
            </w:tabs>
            <w:jc w:val="right"/>
            <w:rPr>
              <w:b/>
              <w:noProof/>
              <w:sz w:val="17"/>
            </w:rPr>
          </w:pPr>
          <w:r w:rsidRPr="00617935">
            <w:rPr>
              <w:b/>
              <w:noProof/>
              <w:sz w:val="17"/>
            </w:rPr>
            <w:t>DP/DCP/</w:t>
          </w:r>
          <w:r>
            <w:rPr>
              <w:b/>
              <w:noProof/>
              <w:sz w:val="17"/>
            </w:rPr>
            <w:t>MOZ</w:t>
          </w:r>
          <w:r w:rsidRPr="00617935">
            <w:rPr>
              <w:b/>
              <w:noProof/>
              <w:sz w:val="17"/>
            </w:rPr>
            <w:t>/4</w:t>
          </w:r>
        </w:p>
      </w:tc>
    </w:tr>
  </w:tbl>
  <w:p w14:paraId="492374AB" w14:textId="77777777" w:rsidR="004C765C" w:rsidRPr="00064DE7" w:rsidRDefault="004C765C">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B54"/>
    <w:multiLevelType w:val="hybridMultilevel"/>
    <w:tmpl w:val="1436A1C2"/>
    <w:lvl w:ilvl="0" w:tplc="0BCC0F50">
      <w:start w:val="38"/>
      <w:numFmt w:val="decimal"/>
      <w:lvlText w:val="%1."/>
      <w:lvlJc w:val="left"/>
      <w:pPr>
        <w:ind w:left="502" w:hanging="360"/>
      </w:pPr>
      <w:rPr>
        <w:rFonts w:ascii="Times New Roman" w:eastAsiaTheme="minorHAnsi" w:hAnsi="Times New Roman" w:cs="Times New Roman" w:hint="default"/>
      </w:rPr>
    </w:lvl>
    <w:lvl w:ilvl="1" w:tplc="08090019" w:tentative="1">
      <w:start w:val="1"/>
      <w:numFmt w:val="lowerLetter"/>
      <w:lvlText w:val="%2."/>
      <w:lvlJc w:val="left"/>
      <w:pPr>
        <w:ind w:left="315" w:hanging="360"/>
      </w:p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1" w15:restartNumberingAfterBreak="0">
    <w:nsid w:val="005B44C0"/>
    <w:multiLevelType w:val="hybridMultilevel"/>
    <w:tmpl w:val="D4BE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0414F"/>
    <w:multiLevelType w:val="hybridMultilevel"/>
    <w:tmpl w:val="7592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3415"/>
    <w:multiLevelType w:val="hybridMultilevel"/>
    <w:tmpl w:val="27845A7E"/>
    <w:lvl w:ilvl="0" w:tplc="1EBA33BA">
      <w:start w:val="39"/>
      <w:numFmt w:val="decimal"/>
      <w:lvlText w:val="%1."/>
      <w:lvlJc w:val="left"/>
      <w:pPr>
        <w:ind w:left="360" w:hanging="360"/>
      </w:pPr>
      <w:rPr>
        <w:rFonts w:ascii="Times New Roman" w:eastAsiaTheme="minorHAnsi" w:hAnsi="Times New Roman"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95AF2"/>
    <w:multiLevelType w:val="hybridMultilevel"/>
    <w:tmpl w:val="5E207F42"/>
    <w:lvl w:ilvl="0" w:tplc="53D0E66A">
      <w:start w:val="10"/>
      <w:numFmt w:val="decimal"/>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14555"/>
    <w:multiLevelType w:val="hybridMultilevel"/>
    <w:tmpl w:val="290E5834"/>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F9B6EDB"/>
    <w:multiLevelType w:val="multilevel"/>
    <w:tmpl w:val="7CEE5A60"/>
    <w:lvl w:ilvl="0">
      <w:start w:val="1"/>
      <w:numFmt w:val="upperRoman"/>
      <w:lvlText w:val="%1."/>
      <w:lvlJc w:val="left"/>
      <w:pPr>
        <w:ind w:left="1987" w:hanging="720"/>
      </w:pPr>
      <w:rPr>
        <w:rFonts w:hint="default"/>
      </w:rPr>
    </w:lvl>
    <w:lvl w:ilvl="1">
      <w:start w:val="2"/>
      <w:numFmt w:val="decimal"/>
      <w:isLgl/>
      <w:lvlText w:val="%1.%2"/>
      <w:lvlJc w:val="left"/>
      <w:pPr>
        <w:ind w:left="1627" w:hanging="360"/>
      </w:pPr>
      <w:rPr>
        <w:rFonts w:hint="default"/>
      </w:rPr>
    </w:lvl>
    <w:lvl w:ilvl="2">
      <w:start w:val="1"/>
      <w:numFmt w:val="decimal"/>
      <w:isLgl/>
      <w:lvlText w:val="%1.%2.%3"/>
      <w:lvlJc w:val="left"/>
      <w:pPr>
        <w:ind w:left="1627" w:hanging="36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1987" w:hanging="72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347" w:hanging="1080"/>
      </w:pPr>
      <w:rPr>
        <w:rFonts w:hint="default"/>
      </w:rPr>
    </w:lvl>
    <w:lvl w:ilvl="8">
      <w:start w:val="1"/>
      <w:numFmt w:val="decimal"/>
      <w:isLgl/>
      <w:lvlText w:val="%1.%2.%3.%4.%5.%6.%7.%8.%9"/>
      <w:lvlJc w:val="left"/>
      <w:pPr>
        <w:ind w:left="2347" w:hanging="1080"/>
      </w:pPr>
      <w:rPr>
        <w:rFonts w:hint="default"/>
      </w:rPr>
    </w:lvl>
  </w:abstractNum>
  <w:abstractNum w:abstractNumId="7" w15:restartNumberingAfterBreak="0">
    <w:nsid w:val="149D6D33"/>
    <w:multiLevelType w:val="hybridMultilevel"/>
    <w:tmpl w:val="860010EA"/>
    <w:lvl w:ilvl="0" w:tplc="91E2389C">
      <w:start w:val="12"/>
      <w:numFmt w:val="decimal"/>
      <w:lvlText w:val="%1."/>
      <w:lvlJc w:val="left"/>
      <w:pPr>
        <w:ind w:left="16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B3B45"/>
    <w:multiLevelType w:val="hybridMultilevel"/>
    <w:tmpl w:val="3B78C1CC"/>
    <w:lvl w:ilvl="0" w:tplc="30E4E4DA">
      <w:start w:val="1"/>
      <w:numFmt w:val="lowerLetter"/>
      <w:lvlText w:val="(%1)"/>
      <w:lvlJc w:val="left"/>
      <w:pPr>
        <w:ind w:left="720" w:hanging="360"/>
      </w:pPr>
      <w:rPr>
        <w:rFonts w:hint="default"/>
        <w:u w:val="no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E9A212C"/>
    <w:multiLevelType w:val="hybridMultilevel"/>
    <w:tmpl w:val="DED2C82C"/>
    <w:lvl w:ilvl="0" w:tplc="58F89BD2">
      <w:start w:val="11"/>
      <w:numFmt w:val="decimal"/>
      <w:lvlText w:val="%1."/>
      <w:lvlJc w:val="left"/>
      <w:pPr>
        <w:ind w:left="16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948DD"/>
    <w:multiLevelType w:val="hybridMultilevel"/>
    <w:tmpl w:val="14FAF9F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15:restartNumberingAfterBreak="0">
    <w:nsid w:val="2596162B"/>
    <w:multiLevelType w:val="hybridMultilevel"/>
    <w:tmpl w:val="4ED0E4D4"/>
    <w:lvl w:ilvl="0" w:tplc="BC521F5E">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05BE1"/>
    <w:multiLevelType w:val="hybridMultilevel"/>
    <w:tmpl w:val="7D64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848B0"/>
    <w:multiLevelType w:val="hybridMultilevel"/>
    <w:tmpl w:val="7DC2EF7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3446884"/>
    <w:multiLevelType w:val="hybridMultilevel"/>
    <w:tmpl w:val="DA20A32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56690"/>
    <w:multiLevelType w:val="hybridMultilevel"/>
    <w:tmpl w:val="0448BD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3D0474AD"/>
    <w:multiLevelType w:val="hybridMultilevel"/>
    <w:tmpl w:val="AC6AF2F8"/>
    <w:lvl w:ilvl="0" w:tplc="00563BC6">
      <w:start w:val="28"/>
      <w:numFmt w:val="decimal"/>
      <w:lvlText w:val="%1."/>
      <w:lvlJc w:val="left"/>
      <w:pPr>
        <w:ind w:left="1627" w:hanging="360"/>
      </w:pPr>
      <w:rPr>
        <w:rFonts w:ascii="Times New Roman" w:eastAsiaTheme="minorHAnsi" w:hAnsi="Times New Roman"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E0C96"/>
    <w:multiLevelType w:val="hybridMultilevel"/>
    <w:tmpl w:val="16D8C848"/>
    <w:lvl w:ilvl="0" w:tplc="0016ADC0">
      <w:start w:val="1"/>
      <w:numFmt w:val="decimal"/>
      <w:lvlText w:val="%1."/>
      <w:lvlJc w:val="left"/>
      <w:pPr>
        <w:ind w:left="644" w:hanging="360"/>
      </w:pPr>
      <w:rPr>
        <w:rFonts w:ascii="Times New Roman" w:hAnsi="Times New Roman" w:cs="Times New Roman" w:hint="default"/>
        <w:b w:val="0"/>
        <w:bCs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2091847"/>
    <w:multiLevelType w:val="hybridMultilevel"/>
    <w:tmpl w:val="0BF64D3E"/>
    <w:lvl w:ilvl="0" w:tplc="9D1261E2">
      <w:start w:val="37"/>
      <w:numFmt w:val="decimal"/>
      <w:lvlText w:val="%1."/>
      <w:lvlJc w:val="left"/>
      <w:pPr>
        <w:ind w:left="1627" w:hanging="360"/>
      </w:pPr>
      <w:rPr>
        <w:rFonts w:ascii="Times New Roman" w:eastAsiaTheme="minorHAnsi" w:hAnsi="Times New Roman"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A456ED4"/>
    <w:multiLevelType w:val="hybridMultilevel"/>
    <w:tmpl w:val="6E66A682"/>
    <w:lvl w:ilvl="0" w:tplc="5352C294">
      <w:start w:val="1"/>
      <w:numFmt w:val="decimal"/>
      <w:lvlText w:val="%1."/>
      <w:lvlJc w:val="left"/>
      <w:pPr>
        <w:ind w:left="786" w:hanging="360"/>
      </w:pPr>
      <w:rPr>
        <w:rFonts w:asciiTheme="minorHAnsi" w:eastAsiaTheme="minorHAnsi" w:hAnsiTheme="minorHAnsi" w:cstheme="minorBid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CC7263D"/>
    <w:multiLevelType w:val="hybridMultilevel"/>
    <w:tmpl w:val="575CEB6C"/>
    <w:lvl w:ilvl="0" w:tplc="2DFEB574">
      <w:start w:val="4"/>
      <w:numFmt w:val="upperRoman"/>
      <w:lvlText w:val="%1."/>
      <w:lvlJc w:val="left"/>
      <w:pPr>
        <w:ind w:left="2347"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3C273E"/>
    <w:multiLevelType w:val="hybridMultilevel"/>
    <w:tmpl w:val="72D4A4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B5B78"/>
    <w:multiLevelType w:val="hybridMultilevel"/>
    <w:tmpl w:val="4844C6DA"/>
    <w:lvl w:ilvl="0" w:tplc="449455F0">
      <w:start w:val="6"/>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50D24"/>
    <w:multiLevelType w:val="hybridMultilevel"/>
    <w:tmpl w:val="AF8E6E2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563745FD"/>
    <w:multiLevelType w:val="hybridMultilevel"/>
    <w:tmpl w:val="8130A984"/>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CC7C472A">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6773F6"/>
    <w:multiLevelType w:val="hybridMultilevel"/>
    <w:tmpl w:val="993E4F5C"/>
    <w:lvl w:ilvl="0" w:tplc="952A03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F7C21"/>
    <w:multiLevelType w:val="hybridMultilevel"/>
    <w:tmpl w:val="0E3A37B8"/>
    <w:lvl w:ilvl="0" w:tplc="ED5C94D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642D42"/>
    <w:multiLevelType w:val="hybridMultilevel"/>
    <w:tmpl w:val="CF58DDC8"/>
    <w:lvl w:ilvl="0" w:tplc="E8E66D9E">
      <w:start w:val="38"/>
      <w:numFmt w:val="decimal"/>
      <w:lvlText w:val="%1."/>
      <w:lvlJc w:val="left"/>
      <w:pPr>
        <w:ind w:left="1627" w:hanging="360"/>
      </w:pPr>
      <w:rPr>
        <w:rFonts w:ascii="Times New Roman" w:eastAsiaTheme="minorHAnsi" w:hAnsi="Times New Roman"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10498"/>
    <w:multiLevelType w:val="hybridMultilevel"/>
    <w:tmpl w:val="CD12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91D0E"/>
    <w:multiLevelType w:val="hybridMultilevel"/>
    <w:tmpl w:val="9BD498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44A3838"/>
    <w:multiLevelType w:val="hybridMultilevel"/>
    <w:tmpl w:val="7FE02D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75F7701"/>
    <w:multiLevelType w:val="hybridMultilevel"/>
    <w:tmpl w:val="50121856"/>
    <w:lvl w:ilvl="0" w:tplc="C55625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E0CC1"/>
    <w:multiLevelType w:val="hybridMultilevel"/>
    <w:tmpl w:val="AC364182"/>
    <w:lvl w:ilvl="0" w:tplc="7C762B92">
      <w:start w:val="1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AF3588"/>
    <w:multiLevelType w:val="hybridMultilevel"/>
    <w:tmpl w:val="DD7A52D8"/>
    <w:lvl w:ilvl="0" w:tplc="18C6AF40">
      <w:start w:val="32"/>
      <w:numFmt w:val="decimal"/>
      <w:lvlText w:val="%1."/>
      <w:lvlJc w:val="left"/>
      <w:pPr>
        <w:ind w:left="644" w:hanging="360"/>
      </w:pPr>
      <w:rPr>
        <w:rFonts w:ascii="Times New Roman" w:hAnsi="Times New Roman" w:cs="Times New Roman"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54A6A"/>
    <w:multiLevelType w:val="hybridMultilevel"/>
    <w:tmpl w:val="F3627A5C"/>
    <w:lvl w:ilvl="0" w:tplc="2CCC0520">
      <w:start w:val="11"/>
      <w:numFmt w:val="decimal"/>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E7669AA"/>
    <w:multiLevelType w:val="hybridMultilevel"/>
    <w:tmpl w:val="371E0184"/>
    <w:lvl w:ilvl="0" w:tplc="B652DD38">
      <w:start w:val="11"/>
      <w:numFmt w:val="decimal"/>
      <w:lvlText w:val="%1."/>
      <w:lvlJc w:val="left"/>
      <w:pPr>
        <w:ind w:left="16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37818"/>
    <w:multiLevelType w:val="hybridMultilevel"/>
    <w:tmpl w:val="01E4D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DC7DC0"/>
    <w:multiLevelType w:val="hybridMultilevel"/>
    <w:tmpl w:val="4844C6DA"/>
    <w:lvl w:ilvl="0" w:tplc="449455F0">
      <w:start w:val="6"/>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370E0"/>
    <w:multiLevelType w:val="hybridMultilevel"/>
    <w:tmpl w:val="417C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06285A"/>
    <w:multiLevelType w:val="hybridMultilevel"/>
    <w:tmpl w:val="9530D996"/>
    <w:lvl w:ilvl="0" w:tplc="0BCC0F50">
      <w:start w:val="38"/>
      <w:numFmt w:val="decimal"/>
      <w:lvlText w:val="%1."/>
      <w:lvlJc w:val="left"/>
      <w:pPr>
        <w:ind w:left="426" w:hanging="360"/>
      </w:pPr>
      <w:rPr>
        <w:rFonts w:ascii="Times New Roman" w:eastAsiaTheme="minorHAnsi"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F7871DB"/>
    <w:multiLevelType w:val="hybridMultilevel"/>
    <w:tmpl w:val="EEC483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7"/>
  </w:num>
  <w:num w:numId="2">
    <w:abstractNumId w:val="6"/>
  </w:num>
  <w:num w:numId="3">
    <w:abstractNumId w:val="17"/>
  </w:num>
  <w:num w:numId="4">
    <w:abstractNumId w:val="2"/>
  </w:num>
  <w:num w:numId="5">
    <w:abstractNumId w:val="11"/>
  </w:num>
  <w:num w:numId="6">
    <w:abstractNumId w:val="15"/>
  </w:num>
  <w:num w:numId="7">
    <w:abstractNumId w:val="26"/>
  </w:num>
  <w:num w:numId="8">
    <w:abstractNumId w:val="24"/>
  </w:num>
  <w:num w:numId="9">
    <w:abstractNumId w:val="38"/>
  </w:num>
  <w:num w:numId="10">
    <w:abstractNumId w:val="20"/>
  </w:num>
  <w:num w:numId="11">
    <w:abstractNumId w:val="21"/>
  </w:num>
  <w:num w:numId="12">
    <w:abstractNumId w:val="13"/>
  </w:num>
  <w:num w:numId="13">
    <w:abstractNumId w:val="30"/>
  </w:num>
  <w:num w:numId="14">
    <w:abstractNumId w:val="33"/>
  </w:num>
  <w:num w:numId="15">
    <w:abstractNumId w:val="31"/>
  </w:num>
  <w:num w:numId="16">
    <w:abstractNumId w:val="34"/>
  </w:num>
  <w:num w:numId="17">
    <w:abstractNumId w:val="0"/>
  </w:num>
  <w:num w:numId="18">
    <w:abstractNumId w:val="41"/>
  </w:num>
  <w:num w:numId="19">
    <w:abstractNumId w:val="7"/>
  </w:num>
  <w:num w:numId="20">
    <w:abstractNumId w:val="3"/>
  </w:num>
  <w:num w:numId="21">
    <w:abstractNumId w:val="36"/>
  </w:num>
  <w:num w:numId="22">
    <w:abstractNumId w:val="35"/>
  </w:num>
  <w:num w:numId="23">
    <w:abstractNumId w:val="9"/>
  </w:num>
  <w:num w:numId="24">
    <w:abstractNumId w:val="42"/>
  </w:num>
  <w:num w:numId="25">
    <w:abstractNumId w:val="25"/>
  </w:num>
  <w:num w:numId="26">
    <w:abstractNumId w:val="29"/>
  </w:num>
  <w:num w:numId="27">
    <w:abstractNumId w:val="14"/>
  </w:num>
  <w:num w:numId="28">
    <w:abstractNumId w:val="1"/>
  </w:num>
  <w:num w:numId="29">
    <w:abstractNumId w:val="4"/>
  </w:num>
  <w:num w:numId="30">
    <w:abstractNumId w:val="18"/>
  </w:num>
  <w:num w:numId="31">
    <w:abstractNumId w:val="28"/>
  </w:num>
  <w:num w:numId="32">
    <w:abstractNumId w:val="22"/>
  </w:num>
  <w:num w:numId="33">
    <w:abstractNumId w:val="5"/>
  </w:num>
  <w:num w:numId="34">
    <w:abstractNumId w:val="14"/>
  </w:num>
  <w:num w:numId="35">
    <w:abstractNumId w:val="27"/>
  </w:num>
  <w:num w:numId="36">
    <w:abstractNumId w:val="10"/>
  </w:num>
  <w:num w:numId="37">
    <w:abstractNumId w:val="39"/>
  </w:num>
  <w:num w:numId="38">
    <w:abstractNumId w:val="16"/>
  </w:num>
  <w:num w:numId="39">
    <w:abstractNumId w:val="12"/>
  </w:num>
  <w:num w:numId="40">
    <w:abstractNumId w:val="32"/>
  </w:num>
  <w:num w:numId="41">
    <w:abstractNumId w:val="23"/>
  </w:num>
  <w:num w:numId="42">
    <w:abstractNumId w:val="19"/>
  </w:num>
  <w:num w:numId="43">
    <w:abstractNumId w:val="8"/>
  </w:num>
  <w:num w:numId="4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zMLIwNjawsDQxNDVX0lEKTi0uzszPAykwrQUAQD05oCwAAAA="/>
  </w:docVars>
  <w:rsids>
    <w:rsidRoot w:val="00C10832"/>
    <w:rsid w:val="00000FDA"/>
    <w:rsid w:val="00001730"/>
    <w:rsid w:val="00001DF7"/>
    <w:rsid w:val="0000399B"/>
    <w:rsid w:val="00004FB6"/>
    <w:rsid w:val="0000762C"/>
    <w:rsid w:val="00011470"/>
    <w:rsid w:val="00012F0C"/>
    <w:rsid w:val="0001625F"/>
    <w:rsid w:val="000200AE"/>
    <w:rsid w:val="000243F2"/>
    <w:rsid w:val="0002464F"/>
    <w:rsid w:val="00025EFE"/>
    <w:rsid w:val="000262B6"/>
    <w:rsid w:val="000270CD"/>
    <w:rsid w:val="00032B5A"/>
    <w:rsid w:val="0003617A"/>
    <w:rsid w:val="00042B7E"/>
    <w:rsid w:val="00043AFD"/>
    <w:rsid w:val="000472E5"/>
    <w:rsid w:val="000478BE"/>
    <w:rsid w:val="00050ADA"/>
    <w:rsid w:val="000558A7"/>
    <w:rsid w:val="00056830"/>
    <w:rsid w:val="000614B6"/>
    <w:rsid w:val="00061AED"/>
    <w:rsid w:val="00062338"/>
    <w:rsid w:val="0006298B"/>
    <w:rsid w:val="00062E44"/>
    <w:rsid w:val="00064615"/>
    <w:rsid w:val="00064C57"/>
    <w:rsid w:val="00064DE7"/>
    <w:rsid w:val="0006610C"/>
    <w:rsid w:val="0006619B"/>
    <w:rsid w:val="00071F86"/>
    <w:rsid w:val="00072183"/>
    <w:rsid w:val="00073C00"/>
    <w:rsid w:val="00076781"/>
    <w:rsid w:val="00077342"/>
    <w:rsid w:val="00080C3C"/>
    <w:rsid w:val="00081137"/>
    <w:rsid w:val="000814ED"/>
    <w:rsid w:val="00083963"/>
    <w:rsid w:val="00084360"/>
    <w:rsid w:val="000853B6"/>
    <w:rsid w:val="00086470"/>
    <w:rsid w:val="00087268"/>
    <w:rsid w:val="00087CEB"/>
    <w:rsid w:val="000903B3"/>
    <w:rsid w:val="0009049A"/>
    <w:rsid w:val="0009151E"/>
    <w:rsid w:val="0009411F"/>
    <w:rsid w:val="00094F5C"/>
    <w:rsid w:val="000A02F1"/>
    <w:rsid w:val="000A1C96"/>
    <w:rsid w:val="000A1DCC"/>
    <w:rsid w:val="000A29E4"/>
    <w:rsid w:val="000A2B43"/>
    <w:rsid w:val="000A2C71"/>
    <w:rsid w:val="000A2FD5"/>
    <w:rsid w:val="000A42A1"/>
    <w:rsid w:val="000A52DD"/>
    <w:rsid w:val="000A546F"/>
    <w:rsid w:val="000A6002"/>
    <w:rsid w:val="000A7C6B"/>
    <w:rsid w:val="000B12B8"/>
    <w:rsid w:val="000B52BE"/>
    <w:rsid w:val="000B77FF"/>
    <w:rsid w:val="000C1D11"/>
    <w:rsid w:val="000C222A"/>
    <w:rsid w:val="000C2A9F"/>
    <w:rsid w:val="000C3447"/>
    <w:rsid w:val="000C53EB"/>
    <w:rsid w:val="000C5E3E"/>
    <w:rsid w:val="000C6DAD"/>
    <w:rsid w:val="000C77FB"/>
    <w:rsid w:val="000D2054"/>
    <w:rsid w:val="000D2091"/>
    <w:rsid w:val="000D3666"/>
    <w:rsid w:val="000D5117"/>
    <w:rsid w:val="000D5E07"/>
    <w:rsid w:val="000D6E56"/>
    <w:rsid w:val="000D6FFD"/>
    <w:rsid w:val="000D73FC"/>
    <w:rsid w:val="000D7F47"/>
    <w:rsid w:val="000E1ABF"/>
    <w:rsid w:val="000E23D6"/>
    <w:rsid w:val="000E4298"/>
    <w:rsid w:val="000E4E2F"/>
    <w:rsid w:val="000E5E05"/>
    <w:rsid w:val="000E69E7"/>
    <w:rsid w:val="000E6D04"/>
    <w:rsid w:val="000F2060"/>
    <w:rsid w:val="000F49AB"/>
    <w:rsid w:val="000F4B04"/>
    <w:rsid w:val="000F6491"/>
    <w:rsid w:val="000F7028"/>
    <w:rsid w:val="000F7121"/>
    <w:rsid w:val="001031DE"/>
    <w:rsid w:val="001032EC"/>
    <w:rsid w:val="001036D5"/>
    <w:rsid w:val="00104BF1"/>
    <w:rsid w:val="00105B33"/>
    <w:rsid w:val="001060FE"/>
    <w:rsid w:val="0010653A"/>
    <w:rsid w:val="00107D50"/>
    <w:rsid w:val="00113E57"/>
    <w:rsid w:val="0012106C"/>
    <w:rsid w:val="00122348"/>
    <w:rsid w:val="00123C51"/>
    <w:rsid w:val="00124065"/>
    <w:rsid w:val="00124407"/>
    <w:rsid w:val="001244A1"/>
    <w:rsid w:val="001247B7"/>
    <w:rsid w:val="00125785"/>
    <w:rsid w:val="001260F5"/>
    <w:rsid w:val="00127FA4"/>
    <w:rsid w:val="0013267F"/>
    <w:rsid w:val="001356E9"/>
    <w:rsid w:val="00136E45"/>
    <w:rsid w:val="0013767D"/>
    <w:rsid w:val="0013786D"/>
    <w:rsid w:val="00137893"/>
    <w:rsid w:val="00137C6F"/>
    <w:rsid w:val="00140810"/>
    <w:rsid w:val="001422B8"/>
    <w:rsid w:val="00145AB9"/>
    <w:rsid w:val="001503A2"/>
    <w:rsid w:val="0015181D"/>
    <w:rsid w:val="00153E13"/>
    <w:rsid w:val="00155362"/>
    <w:rsid w:val="00155FC3"/>
    <w:rsid w:val="00160A33"/>
    <w:rsid w:val="00160A73"/>
    <w:rsid w:val="0016117A"/>
    <w:rsid w:val="00161BC2"/>
    <w:rsid w:val="0016213E"/>
    <w:rsid w:val="0016602A"/>
    <w:rsid w:val="001662B1"/>
    <w:rsid w:val="0016670F"/>
    <w:rsid w:val="00167817"/>
    <w:rsid w:val="00167FE6"/>
    <w:rsid w:val="00173402"/>
    <w:rsid w:val="001742E4"/>
    <w:rsid w:val="00174DD1"/>
    <w:rsid w:val="00175D7C"/>
    <w:rsid w:val="00175D96"/>
    <w:rsid w:val="00176273"/>
    <w:rsid w:val="001824EF"/>
    <w:rsid w:val="0018382E"/>
    <w:rsid w:val="00186F29"/>
    <w:rsid w:val="001916EE"/>
    <w:rsid w:val="00191C9A"/>
    <w:rsid w:val="00193752"/>
    <w:rsid w:val="0019521C"/>
    <w:rsid w:val="00197C3A"/>
    <w:rsid w:val="001A4A10"/>
    <w:rsid w:val="001A7A33"/>
    <w:rsid w:val="001B01D8"/>
    <w:rsid w:val="001B2660"/>
    <w:rsid w:val="001B3C30"/>
    <w:rsid w:val="001B4D43"/>
    <w:rsid w:val="001B4D76"/>
    <w:rsid w:val="001B5952"/>
    <w:rsid w:val="001B7E00"/>
    <w:rsid w:val="001C270A"/>
    <w:rsid w:val="001C2B79"/>
    <w:rsid w:val="001C2F0A"/>
    <w:rsid w:val="001C3887"/>
    <w:rsid w:val="001C3ABA"/>
    <w:rsid w:val="001C4201"/>
    <w:rsid w:val="001C498B"/>
    <w:rsid w:val="001C5DD0"/>
    <w:rsid w:val="001C78BC"/>
    <w:rsid w:val="001D01F1"/>
    <w:rsid w:val="001D1E5D"/>
    <w:rsid w:val="001D295C"/>
    <w:rsid w:val="001D3247"/>
    <w:rsid w:val="001D34E5"/>
    <w:rsid w:val="001D3A80"/>
    <w:rsid w:val="001D3CBC"/>
    <w:rsid w:val="001D514C"/>
    <w:rsid w:val="001D5509"/>
    <w:rsid w:val="001E0755"/>
    <w:rsid w:val="001E1C61"/>
    <w:rsid w:val="001E1F0D"/>
    <w:rsid w:val="001E1FC7"/>
    <w:rsid w:val="001E252E"/>
    <w:rsid w:val="001E41B8"/>
    <w:rsid w:val="001E44C8"/>
    <w:rsid w:val="001F1DF7"/>
    <w:rsid w:val="001F54D1"/>
    <w:rsid w:val="00200A19"/>
    <w:rsid w:val="00200A84"/>
    <w:rsid w:val="00206519"/>
    <w:rsid w:val="00207CAC"/>
    <w:rsid w:val="00211119"/>
    <w:rsid w:val="002129DA"/>
    <w:rsid w:val="00213DC1"/>
    <w:rsid w:val="00215336"/>
    <w:rsid w:val="00216793"/>
    <w:rsid w:val="002219BC"/>
    <w:rsid w:val="00223DF6"/>
    <w:rsid w:val="00224D04"/>
    <w:rsid w:val="00225099"/>
    <w:rsid w:val="002258D7"/>
    <w:rsid w:val="00230F2E"/>
    <w:rsid w:val="002318A0"/>
    <w:rsid w:val="00234EFE"/>
    <w:rsid w:val="00235A6F"/>
    <w:rsid w:val="002360D5"/>
    <w:rsid w:val="0024199C"/>
    <w:rsid w:val="00241AC7"/>
    <w:rsid w:val="002420ED"/>
    <w:rsid w:val="002437EF"/>
    <w:rsid w:val="00245BC4"/>
    <w:rsid w:val="00246A1A"/>
    <w:rsid w:val="00247061"/>
    <w:rsid w:val="002471D3"/>
    <w:rsid w:val="00250507"/>
    <w:rsid w:val="0025142E"/>
    <w:rsid w:val="0025162A"/>
    <w:rsid w:val="00251A0A"/>
    <w:rsid w:val="00254122"/>
    <w:rsid w:val="00256273"/>
    <w:rsid w:val="00257C08"/>
    <w:rsid w:val="00260D39"/>
    <w:rsid w:val="00261A36"/>
    <w:rsid w:val="00261B65"/>
    <w:rsid w:val="002653B7"/>
    <w:rsid w:val="0026735C"/>
    <w:rsid w:val="002750A8"/>
    <w:rsid w:val="002752B4"/>
    <w:rsid w:val="002758EA"/>
    <w:rsid w:val="00277D97"/>
    <w:rsid w:val="00282817"/>
    <w:rsid w:val="00283945"/>
    <w:rsid w:val="002931CE"/>
    <w:rsid w:val="002933C6"/>
    <w:rsid w:val="00295CAF"/>
    <w:rsid w:val="002A2405"/>
    <w:rsid w:val="002A2AC1"/>
    <w:rsid w:val="002A2B88"/>
    <w:rsid w:val="002A35BB"/>
    <w:rsid w:val="002A3805"/>
    <w:rsid w:val="002A495F"/>
    <w:rsid w:val="002A6DA5"/>
    <w:rsid w:val="002B1D2E"/>
    <w:rsid w:val="002B3CC8"/>
    <w:rsid w:val="002B7AA7"/>
    <w:rsid w:val="002C45C7"/>
    <w:rsid w:val="002C47E2"/>
    <w:rsid w:val="002C4D41"/>
    <w:rsid w:val="002C755A"/>
    <w:rsid w:val="002C769B"/>
    <w:rsid w:val="002D161A"/>
    <w:rsid w:val="002D4ED6"/>
    <w:rsid w:val="002D63E1"/>
    <w:rsid w:val="002E02C3"/>
    <w:rsid w:val="002E4519"/>
    <w:rsid w:val="002F02CA"/>
    <w:rsid w:val="002F3FC3"/>
    <w:rsid w:val="002F5EBF"/>
    <w:rsid w:val="002F5F4E"/>
    <w:rsid w:val="002F6117"/>
    <w:rsid w:val="002F755A"/>
    <w:rsid w:val="002F784F"/>
    <w:rsid w:val="002F7C60"/>
    <w:rsid w:val="00301F5A"/>
    <w:rsid w:val="00302119"/>
    <w:rsid w:val="003024AA"/>
    <w:rsid w:val="003032FA"/>
    <w:rsid w:val="00303D74"/>
    <w:rsid w:val="00303DAA"/>
    <w:rsid w:val="00304768"/>
    <w:rsid w:val="003069BF"/>
    <w:rsid w:val="00306DDE"/>
    <w:rsid w:val="0031028A"/>
    <w:rsid w:val="00311CC7"/>
    <w:rsid w:val="00311F24"/>
    <w:rsid w:val="00313ABC"/>
    <w:rsid w:val="00316942"/>
    <w:rsid w:val="00317100"/>
    <w:rsid w:val="00321793"/>
    <w:rsid w:val="003221CB"/>
    <w:rsid w:val="00322236"/>
    <w:rsid w:val="00323865"/>
    <w:rsid w:val="003239F1"/>
    <w:rsid w:val="00324208"/>
    <w:rsid w:val="003248AA"/>
    <w:rsid w:val="00324BBB"/>
    <w:rsid w:val="00324CCF"/>
    <w:rsid w:val="003271B6"/>
    <w:rsid w:val="0033286D"/>
    <w:rsid w:val="003353F8"/>
    <w:rsid w:val="003369B9"/>
    <w:rsid w:val="0034253C"/>
    <w:rsid w:val="003440C5"/>
    <w:rsid w:val="003445E7"/>
    <w:rsid w:val="00345CA0"/>
    <w:rsid w:val="00347A48"/>
    <w:rsid w:val="00347F1E"/>
    <w:rsid w:val="00350E3C"/>
    <w:rsid w:val="003540F9"/>
    <w:rsid w:val="00360634"/>
    <w:rsid w:val="0036081D"/>
    <w:rsid w:val="00362C9F"/>
    <w:rsid w:val="003639F1"/>
    <w:rsid w:val="00364348"/>
    <w:rsid w:val="003654F7"/>
    <w:rsid w:val="00365625"/>
    <w:rsid w:val="003702E1"/>
    <w:rsid w:val="003716F8"/>
    <w:rsid w:val="00372D3E"/>
    <w:rsid w:val="00373D2C"/>
    <w:rsid w:val="003748B2"/>
    <w:rsid w:val="0037562A"/>
    <w:rsid w:val="003770C6"/>
    <w:rsid w:val="00377CA6"/>
    <w:rsid w:val="00382533"/>
    <w:rsid w:val="00382643"/>
    <w:rsid w:val="00385DDA"/>
    <w:rsid w:val="0038677D"/>
    <w:rsid w:val="00387166"/>
    <w:rsid w:val="00390E57"/>
    <w:rsid w:val="00391360"/>
    <w:rsid w:val="00391921"/>
    <w:rsid w:val="003940CB"/>
    <w:rsid w:val="0039493A"/>
    <w:rsid w:val="003957BB"/>
    <w:rsid w:val="003A1322"/>
    <w:rsid w:val="003A2446"/>
    <w:rsid w:val="003A66D8"/>
    <w:rsid w:val="003A7295"/>
    <w:rsid w:val="003B1037"/>
    <w:rsid w:val="003B10B4"/>
    <w:rsid w:val="003B3AFA"/>
    <w:rsid w:val="003B50C7"/>
    <w:rsid w:val="003C1B92"/>
    <w:rsid w:val="003C3278"/>
    <w:rsid w:val="003C36CB"/>
    <w:rsid w:val="003C4645"/>
    <w:rsid w:val="003C52F6"/>
    <w:rsid w:val="003C6DF1"/>
    <w:rsid w:val="003C7A50"/>
    <w:rsid w:val="003D1CA5"/>
    <w:rsid w:val="003D2CB5"/>
    <w:rsid w:val="003D3803"/>
    <w:rsid w:val="003D3914"/>
    <w:rsid w:val="003D3C49"/>
    <w:rsid w:val="003D4830"/>
    <w:rsid w:val="003D55DE"/>
    <w:rsid w:val="003D64FA"/>
    <w:rsid w:val="003E0993"/>
    <w:rsid w:val="003E1496"/>
    <w:rsid w:val="003E1EF8"/>
    <w:rsid w:val="003E391F"/>
    <w:rsid w:val="003E3B61"/>
    <w:rsid w:val="003E5086"/>
    <w:rsid w:val="003E5BB8"/>
    <w:rsid w:val="003F0DC0"/>
    <w:rsid w:val="003F11A5"/>
    <w:rsid w:val="003F6338"/>
    <w:rsid w:val="003F6843"/>
    <w:rsid w:val="00400AAA"/>
    <w:rsid w:val="00401268"/>
    <w:rsid w:val="00405FF0"/>
    <w:rsid w:val="00406674"/>
    <w:rsid w:val="00406DF6"/>
    <w:rsid w:val="00410081"/>
    <w:rsid w:val="00411005"/>
    <w:rsid w:val="0041264B"/>
    <w:rsid w:val="00413694"/>
    <w:rsid w:val="00413924"/>
    <w:rsid w:val="004144E3"/>
    <w:rsid w:val="00414FC1"/>
    <w:rsid w:val="004157A1"/>
    <w:rsid w:val="004223DA"/>
    <w:rsid w:val="004228A1"/>
    <w:rsid w:val="00423BA5"/>
    <w:rsid w:val="00424076"/>
    <w:rsid w:val="004254EA"/>
    <w:rsid w:val="00426155"/>
    <w:rsid w:val="00426B3C"/>
    <w:rsid w:val="0043122D"/>
    <w:rsid w:val="004316C9"/>
    <w:rsid w:val="00431D6C"/>
    <w:rsid w:val="00432362"/>
    <w:rsid w:val="004348B4"/>
    <w:rsid w:val="00435178"/>
    <w:rsid w:val="00435AE6"/>
    <w:rsid w:val="00437671"/>
    <w:rsid w:val="00452A24"/>
    <w:rsid w:val="00452B75"/>
    <w:rsid w:val="0045494F"/>
    <w:rsid w:val="0045499D"/>
    <w:rsid w:val="00455916"/>
    <w:rsid w:val="00455F2E"/>
    <w:rsid w:val="004571FF"/>
    <w:rsid w:val="00461583"/>
    <w:rsid w:val="004640F4"/>
    <w:rsid w:val="00464F03"/>
    <w:rsid w:val="004656CF"/>
    <w:rsid w:val="00466E30"/>
    <w:rsid w:val="004679FC"/>
    <w:rsid w:val="004729B9"/>
    <w:rsid w:val="00475572"/>
    <w:rsid w:val="00477C40"/>
    <w:rsid w:val="00480362"/>
    <w:rsid w:val="00480546"/>
    <w:rsid w:val="00480E97"/>
    <w:rsid w:val="00481547"/>
    <w:rsid w:val="004819B3"/>
    <w:rsid w:val="00482D96"/>
    <w:rsid w:val="00485089"/>
    <w:rsid w:val="004856C3"/>
    <w:rsid w:val="0048675C"/>
    <w:rsid w:val="00486CCD"/>
    <w:rsid w:val="00486E81"/>
    <w:rsid w:val="00487448"/>
    <w:rsid w:val="00487B5D"/>
    <w:rsid w:val="004903DC"/>
    <w:rsid w:val="00492973"/>
    <w:rsid w:val="00496F76"/>
    <w:rsid w:val="004A1E62"/>
    <w:rsid w:val="004A2410"/>
    <w:rsid w:val="004A48E9"/>
    <w:rsid w:val="004A4BC9"/>
    <w:rsid w:val="004A540E"/>
    <w:rsid w:val="004A76C9"/>
    <w:rsid w:val="004B3176"/>
    <w:rsid w:val="004B3C89"/>
    <w:rsid w:val="004B4019"/>
    <w:rsid w:val="004B5767"/>
    <w:rsid w:val="004B5B1C"/>
    <w:rsid w:val="004B7596"/>
    <w:rsid w:val="004C1BC7"/>
    <w:rsid w:val="004C3070"/>
    <w:rsid w:val="004C4195"/>
    <w:rsid w:val="004C4A7D"/>
    <w:rsid w:val="004C51C9"/>
    <w:rsid w:val="004C5C28"/>
    <w:rsid w:val="004C6417"/>
    <w:rsid w:val="004C765C"/>
    <w:rsid w:val="004D05AC"/>
    <w:rsid w:val="004D2C95"/>
    <w:rsid w:val="004D3260"/>
    <w:rsid w:val="004D326F"/>
    <w:rsid w:val="004D35CB"/>
    <w:rsid w:val="004D42F5"/>
    <w:rsid w:val="004D485B"/>
    <w:rsid w:val="004D7C7F"/>
    <w:rsid w:val="004E0C41"/>
    <w:rsid w:val="004E13CD"/>
    <w:rsid w:val="004E6154"/>
    <w:rsid w:val="004F25CB"/>
    <w:rsid w:val="004F6570"/>
    <w:rsid w:val="005009FE"/>
    <w:rsid w:val="00503315"/>
    <w:rsid w:val="00503C8C"/>
    <w:rsid w:val="00505311"/>
    <w:rsid w:val="00506E0A"/>
    <w:rsid w:val="00507849"/>
    <w:rsid w:val="00510BED"/>
    <w:rsid w:val="005117C3"/>
    <w:rsid w:val="00511E7E"/>
    <w:rsid w:val="00512229"/>
    <w:rsid w:val="0051459E"/>
    <w:rsid w:val="005152B4"/>
    <w:rsid w:val="00515613"/>
    <w:rsid w:val="00515A25"/>
    <w:rsid w:val="005163A4"/>
    <w:rsid w:val="005164D5"/>
    <w:rsid w:val="00517D4B"/>
    <w:rsid w:val="005219E5"/>
    <w:rsid w:val="005241F4"/>
    <w:rsid w:val="005246B4"/>
    <w:rsid w:val="0052568B"/>
    <w:rsid w:val="0052656F"/>
    <w:rsid w:val="00526C26"/>
    <w:rsid w:val="005316A4"/>
    <w:rsid w:val="00534336"/>
    <w:rsid w:val="00536F1A"/>
    <w:rsid w:val="005372C6"/>
    <w:rsid w:val="00540FB2"/>
    <w:rsid w:val="00543866"/>
    <w:rsid w:val="00543BF5"/>
    <w:rsid w:val="00545031"/>
    <w:rsid w:val="00545FFE"/>
    <w:rsid w:val="005466FD"/>
    <w:rsid w:val="0054770E"/>
    <w:rsid w:val="00547C43"/>
    <w:rsid w:val="00551409"/>
    <w:rsid w:val="00552121"/>
    <w:rsid w:val="005529A1"/>
    <w:rsid w:val="005531D4"/>
    <w:rsid w:val="005540C7"/>
    <w:rsid w:val="00554E89"/>
    <w:rsid w:val="00556570"/>
    <w:rsid w:val="0055688C"/>
    <w:rsid w:val="005569D0"/>
    <w:rsid w:val="0056064E"/>
    <w:rsid w:val="00563786"/>
    <w:rsid w:val="00571620"/>
    <w:rsid w:val="0057187A"/>
    <w:rsid w:val="00571E77"/>
    <w:rsid w:val="00572E34"/>
    <w:rsid w:val="0057365B"/>
    <w:rsid w:val="00573E48"/>
    <w:rsid w:val="00574A99"/>
    <w:rsid w:val="00575D09"/>
    <w:rsid w:val="00577ED9"/>
    <w:rsid w:val="0058408A"/>
    <w:rsid w:val="005843E9"/>
    <w:rsid w:val="0058593F"/>
    <w:rsid w:val="00585D82"/>
    <w:rsid w:val="00586F5C"/>
    <w:rsid w:val="00591478"/>
    <w:rsid w:val="00593286"/>
    <w:rsid w:val="0059337B"/>
    <w:rsid w:val="00594D62"/>
    <w:rsid w:val="00594ECF"/>
    <w:rsid w:val="00595C02"/>
    <w:rsid w:val="005A549D"/>
    <w:rsid w:val="005A59C1"/>
    <w:rsid w:val="005A7672"/>
    <w:rsid w:val="005A78DD"/>
    <w:rsid w:val="005B2F3E"/>
    <w:rsid w:val="005B3906"/>
    <w:rsid w:val="005B5299"/>
    <w:rsid w:val="005C0815"/>
    <w:rsid w:val="005C144C"/>
    <w:rsid w:val="005C1931"/>
    <w:rsid w:val="005C3550"/>
    <w:rsid w:val="005C3FEF"/>
    <w:rsid w:val="005C71F1"/>
    <w:rsid w:val="005C756B"/>
    <w:rsid w:val="005D1084"/>
    <w:rsid w:val="005D1695"/>
    <w:rsid w:val="005D18C3"/>
    <w:rsid w:val="005D2FD3"/>
    <w:rsid w:val="005D60E8"/>
    <w:rsid w:val="005D62BA"/>
    <w:rsid w:val="005D6BE0"/>
    <w:rsid w:val="005E1A56"/>
    <w:rsid w:val="005E34AD"/>
    <w:rsid w:val="005E3FF3"/>
    <w:rsid w:val="005E41DA"/>
    <w:rsid w:val="005E455A"/>
    <w:rsid w:val="005E4CC0"/>
    <w:rsid w:val="005E4D45"/>
    <w:rsid w:val="005E535D"/>
    <w:rsid w:val="005E79D8"/>
    <w:rsid w:val="005F0EAD"/>
    <w:rsid w:val="005F1856"/>
    <w:rsid w:val="005F63B0"/>
    <w:rsid w:val="005F6895"/>
    <w:rsid w:val="006006CA"/>
    <w:rsid w:val="00601EE4"/>
    <w:rsid w:val="006022C6"/>
    <w:rsid w:val="00602742"/>
    <w:rsid w:val="00603DC8"/>
    <w:rsid w:val="006077E2"/>
    <w:rsid w:val="00607909"/>
    <w:rsid w:val="00610D69"/>
    <w:rsid w:val="00612D47"/>
    <w:rsid w:val="00613154"/>
    <w:rsid w:val="00613AF3"/>
    <w:rsid w:val="00620749"/>
    <w:rsid w:val="006209FB"/>
    <w:rsid w:val="006220C0"/>
    <w:rsid w:val="0062244A"/>
    <w:rsid w:val="006239AC"/>
    <w:rsid w:val="006240E8"/>
    <w:rsid w:val="00624119"/>
    <w:rsid w:val="006250A1"/>
    <w:rsid w:val="00627F51"/>
    <w:rsid w:val="006315B0"/>
    <w:rsid w:val="006322F3"/>
    <w:rsid w:val="0063383E"/>
    <w:rsid w:val="00633BCB"/>
    <w:rsid w:val="00636254"/>
    <w:rsid w:val="00636346"/>
    <w:rsid w:val="00637288"/>
    <w:rsid w:val="00637B22"/>
    <w:rsid w:val="006404FF"/>
    <w:rsid w:val="006406F1"/>
    <w:rsid w:val="006407A0"/>
    <w:rsid w:val="0064155D"/>
    <w:rsid w:val="00641561"/>
    <w:rsid w:val="00644844"/>
    <w:rsid w:val="00644FBC"/>
    <w:rsid w:val="00645247"/>
    <w:rsid w:val="006455A2"/>
    <w:rsid w:val="00650D39"/>
    <w:rsid w:val="006537F9"/>
    <w:rsid w:val="00653CF4"/>
    <w:rsid w:val="0065540B"/>
    <w:rsid w:val="006559DE"/>
    <w:rsid w:val="00655D1A"/>
    <w:rsid w:val="00656649"/>
    <w:rsid w:val="00656EBC"/>
    <w:rsid w:val="00657499"/>
    <w:rsid w:val="00657CEF"/>
    <w:rsid w:val="006600AC"/>
    <w:rsid w:val="0066637E"/>
    <w:rsid w:val="00670595"/>
    <w:rsid w:val="006720F4"/>
    <w:rsid w:val="00672524"/>
    <w:rsid w:val="00672F6D"/>
    <w:rsid w:val="00676D99"/>
    <w:rsid w:val="006772C3"/>
    <w:rsid w:val="006812F1"/>
    <w:rsid w:val="00681F92"/>
    <w:rsid w:val="0068303D"/>
    <w:rsid w:val="00683828"/>
    <w:rsid w:val="00683ABC"/>
    <w:rsid w:val="00685A11"/>
    <w:rsid w:val="0068785F"/>
    <w:rsid w:val="006934D8"/>
    <w:rsid w:val="006940F5"/>
    <w:rsid w:val="0069528B"/>
    <w:rsid w:val="00695FF5"/>
    <w:rsid w:val="006964A3"/>
    <w:rsid w:val="00697B20"/>
    <w:rsid w:val="006A48CA"/>
    <w:rsid w:val="006A58CD"/>
    <w:rsid w:val="006A79AA"/>
    <w:rsid w:val="006B044C"/>
    <w:rsid w:val="006B1382"/>
    <w:rsid w:val="006B1F04"/>
    <w:rsid w:val="006B2039"/>
    <w:rsid w:val="006B5277"/>
    <w:rsid w:val="006B5BD6"/>
    <w:rsid w:val="006B70DE"/>
    <w:rsid w:val="006C09BC"/>
    <w:rsid w:val="006C0E70"/>
    <w:rsid w:val="006C24DE"/>
    <w:rsid w:val="006C3043"/>
    <w:rsid w:val="006C504C"/>
    <w:rsid w:val="006C512D"/>
    <w:rsid w:val="006C69F7"/>
    <w:rsid w:val="006C7524"/>
    <w:rsid w:val="006C79F0"/>
    <w:rsid w:val="006C7C65"/>
    <w:rsid w:val="006D0B80"/>
    <w:rsid w:val="006D12E3"/>
    <w:rsid w:val="006D13B9"/>
    <w:rsid w:val="006D1EA8"/>
    <w:rsid w:val="006D2465"/>
    <w:rsid w:val="006D3576"/>
    <w:rsid w:val="006D4A3C"/>
    <w:rsid w:val="006D5549"/>
    <w:rsid w:val="006D5E08"/>
    <w:rsid w:val="006D7463"/>
    <w:rsid w:val="006E0E10"/>
    <w:rsid w:val="006E10D2"/>
    <w:rsid w:val="006E2E09"/>
    <w:rsid w:val="006E3F35"/>
    <w:rsid w:val="006E4502"/>
    <w:rsid w:val="006E72B0"/>
    <w:rsid w:val="006E7D33"/>
    <w:rsid w:val="006F04B5"/>
    <w:rsid w:val="006F3CDD"/>
    <w:rsid w:val="006F44A5"/>
    <w:rsid w:val="006F467D"/>
    <w:rsid w:val="006F559F"/>
    <w:rsid w:val="006F6197"/>
    <w:rsid w:val="00700383"/>
    <w:rsid w:val="00700CA9"/>
    <w:rsid w:val="00702712"/>
    <w:rsid w:val="007036E7"/>
    <w:rsid w:val="00704904"/>
    <w:rsid w:val="00704E05"/>
    <w:rsid w:val="00706D0F"/>
    <w:rsid w:val="00711133"/>
    <w:rsid w:val="0071190B"/>
    <w:rsid w:val="00713800"/>
    <w:rsid w:val="00715843"/>
    <w:rsid w:val="007204FC"/>
    <w:rsid w:val="00721E97"/>
    <w:rsid w:val="00724E34"/>
    <w:rsid w:val="007268B5"/>
    <w:rsid w:val="00732E14"/>
    <w:rsid w:val="00733408"/>
    <w:rsid w:val="007350E3"/>
    <w:rsid w:val="00736321"/>
    <w:rsid w:val="0073669C"/>
    <w:rsid w:val="00736D33"/>
    <w:rsid w:val="00741E03"/>
    <w:rsid w:val="00741E5F"/>
    <w:rsid w:val="007443B9"/>
    <w:rsid w:val="007467A1"/>
    <w:rsid w:val="0074687E"/>
    <w:rsid w:val="00747C3F"/>
    <w:rsid w:val="007500B0"/>
    <w:rsid w:val="00750F54"/>
    <w:rsid w:val="0075400C"/>
    <w:rsid w:val="00757887"/>
    <w:rsid w:val="0077352C"/>
    <w:rsid w:val="00774353"/>
    <w:rsid w:val="007752AB"/>
    <w:rsid w:val="007809D0"/>
    <w:rsid w:val="00781BF0"/>
    <w:rsid w:val="00783D89"/>
    <w:rsid w:val="007845BC"/>
    <w:rsid w:val="007846BC"/>
    <w:rsid w:val="007865CE"/>
    <w:rsid w:val="00790F35"/>
    <w:rsid w:val="00793CC3"/>
    <w:rsid w:val="0079457E"/>
    <w:rsid w:val="0079596D"/>
    <w:rsid w:val="00795D49"/>
    <w:rsid w:val="00797465"/>
    <w:rsid w:val="007A1923"/>
    <w:rsid w:val="007A1EFE"/>
    <w:rsid w:val="007A21C0"/>
    <w:rsid w:val="007A28C6"/>
    <w:rsid w:val="007A4931"/>
    <w:rsid w:val="007A5A04"/>
    <w:rsid w:val="007A5AF5"/>
    <w:rsid w:val="007A6086"/>
    <w:rsid w:val="007A6866"/>
    <w:rsid w:val="007A6904"/>
    <w:rsid w:val="007A7FB3"/>
    <w:rsid w:val="007B400D"/>
    <w:rsid w:val="007B45BD"/>
    <w:rsid w:val="007B59BC"/>
    <w:rsid w:val="007B5AD4"/>
    <w:rsid w:val="007C07DD"/>
    <w:rsid w:val="007C1FF8"/>
    <w:rsid w:val="007C3FDD"/>
    <w:rsid w:val="007C49DB"/>
    <w:rsid w:val="007C67B9"/>
    <w:rsid w:val="007C6D7A"/>
    <w:rsid w:val="007D0775"/>
    <w:rsid w:val="007D2779"/>
    <w:rsid w:val="007D27B3"/>
    <w:rsid w:val="007D4827"/>
    <w:rsid w:val="007D59A1"/>
    <w:rsid w:val="007D694C"/>
    <w:rsid w:val="007E0A5D"/>
    <w:rsid w:val="007E3332"/>
    <w:rsid w:val="007E3DAC"/>
    <w:rsid w:val="007E42AB"/>
    <w:rsid w:val="007E6259"/>
    <w:rsid w:val="007E62CB"/>
    <w:rsid w:val="007E6CB2"/>
    <w:rsid w:val="007E7DE4"/>
    <w:rsid w:val="007F08AA"/>
    <w:rsid w:val="007F0E12"/>
    <w:rsid w:val="007F175D"/>
    <w:rsid w:val="007F218F"/>
    <w:rsid w:val="007F29C5"/>
    <w:rsid w:val="007F2DC7"/>
    <w:rsid w:val="007F2E18"/>
    <w:rsid w:val="007F42A0"/>
    <w:rsid w:val="007F5C3D"/>
    <w:rsid w:val="008004BB"/>
    <w:rsid w:val="00803B13"/>
    <w:rsid w:val="008049DE"/>
    <w:rsid w:val="00805E16"/>
    <w:rsid w:val="00806045"/>
    <w:rsid w:val="008125FF"/>
    <w:rsid w:val="00812936"/>
    <w:rsid w:val="008139C0"/>
    <w:rsid w:val="008169BB"/>
    <w:rsid w:val="00820952"/>
    <w:rsid w:val="0082119F"/>
    <w:rsid w:val="00823EC8"/>
    <w:rsid w:val="00824225"/>
    <w:rsid w:val="00825030"/>
    <w:rsid w:val="008256C5"/>
    <w:rsid w:val="008270DD"/>
    <w:rsid w:val="0082714F"/>
    <w:rsid w:val="00827228"/>
    <w:rsid w:val="00827611"/>
    <w:rsid w:val="008318BB"/>
    <w:rsid w:val="0083339E"/>
    <w:rsid w:val="008348D1"/>
    <w:rsid w:val="00834A92"/>
    <w:rsid w:val="00834C0F"/>
    <w:rsid w:val="008368E9"/>
    <w:rsid w:val="0084133B"/>
    <w:rsid w:val="00841617"/>
    <w:rsid w:val="008418F9"/>
    <w:rsid w:val="0084694B"/>
    <w:rsid w:val="00846D3C"/>
    <w:rsid w:val="0084754B"/>
    <w:rsid w:val="00847E2A"/>
    <w:rsid w:val="0085567B"/>
    <w:rsid w:val="0085728D"/>
    <w:rsid w:val="00860E0F"/>
    <w:rsid w:val="00864723"/>
    <w:rsid w:val="00864ED6"/>
    <w:rsid w:val="00865D95"/>
    <w:rsid w:val="008670B5"/>
    <w:rsid w:val="00867EB0"/>
    <w:rsid w:val="00871660"/>
    <w:rsid w:val="00872A43"/>
    <w:rsid w:val="008742EA"/>
    <w:rsid w:val="0087563D"/>
    <w:rsid w:val="008772B8"/>
    <w:rsid w:val="008812C8"/>
    <w:rsid w:val="00883003"/>
    <w:rsid w:val="008856B8"/>
    <w:rsid w:val="00886583"/>
    <w:rsid w:val="0088684E"/>
    <w:rsid w:val="00892574"/>
    <w:rsid w:val="00893C4A"/>
    <w:rsid w:val="00895AE3"/>
    <w:rsid w:val="00895D25"/>
    <w:rsid w:val="00897558"/>
    <w:rsid w:val="00897C0F"/>
    <w:rsid w:val="00897E88"/>
    <w:rsid w:val="008A1B8F"/>
    <w:rsid w:val="008A1D54"/>
    <w:rsid w:val="008A2844"/>
    <w:rsid w:val="008A6779"/>
    <w:rsid w:val="008B2846"/>
    <w:rsid w:val="008B2909"/>
    <w:rsid w:val="008B3D98"/>
    <w:rsid w:val="008B4FCF"/>
    <w:rsid w:val="008B64B7"/>
    <w:rsid w:val="008B6820"/>
    <w:rsid w:val="008B78D8"/>
    <w:rsid w:val="008C1919"/>
    <w:rsid w:val="008C275B"/>
    <w:rsid w:val="008C3521"/>
    <w:rsid w:val="008C38BA"/>
    <w:rsid w:val="008C648E"/>
    <w:rsid w:val="008C672E"/>
    <w:rsid w:val="008C7358"/>
    <w:rsid w:val="008D049C"/>
    <w:rsid w:val="008D1222"/>
    <w:rsid w:val="008D4A49"/>
    <w:rsid w:val="008D5F6C"/>
    <w:rsid w:val="008D5FA9"/>
    <w:rsid w:val="008D638B"/>
    <w:rsid w:val="008D64EF"/>
    <w:rsid w:val="008E170F"/>
    <w:rsid w:val="008E4909"/>
    <w:rsid w:val="008E4DAC"/>
    <w:rsid w:val="008E514C"/>
    <w:rsid w:val="008E6C16"/>
    <w:rsid w:val="008F04FA"/>
    <w:rsid w:val="008F64B3"/>
    <w:rsid w:val="008F7FE1"/>
    <w:rsid w:val="00902186"/>
    <w:rsid w:val="00903898"/>
    <w:rsid w:val="00904447"/>
    <w:rsid w:val="0091343A"/>
    <w:rsid w:val="00923A7B"/>
    <w:rsid w:val="009244F4"/>
    <w:rsid w:val="009245EF"/>
    <w:rsid w:val="00925A76"/>
    <w:rsid w:val="00927EA8"/>
    <w:rsid w:val="00934BBA"/>
    <w:rsid w:val="009355B2"/>
    <w:rsid w:val="009360E0"/>
    <w:rsid w:val="00936849"/>
    <w:rsid w:val="00937C6B"/>
    <w:rsid w:val="00941BEE"/>
    <w:rsid w:val="00944222"/>
    <w:rsid w:val="00951179"/>
    <w:rsid w:val="00951482"/>
    <w:rsid w:val="00956928"/>
    <w:rsid w:val="00961238"/>
    <w:rsid w:val="00961C02"/>
    <w:rsid w:val="009662E1"/>
    <w:rsid w:val="00966E99"/>
    <w:rsid w:val="00970D42"/>
    <w:rsid w:val="00971108"/>
    <w:rsid w:val="00972B61"/>
    <w:rsid w:val="00974F50"/>
    <w:rsid w:val="00975502"/>
    <w:rsid w:val="00975F5D"/>
    <w:rsid w:val="00976F9F"/>
    <w:rsid w:val="009844C6"/>
    <w:rsid w:val="00990035"/>
    <w:rsid w:val="0099051C"/>
    <w:rsid w:val="009916C2"/>
    <w:rsid w:val="00992589"/>
    <w:rsid w:val="00992774"/>
    <w:rsid w:val="00992944"/>
    <w:rsid w:val="00992953"/>
    <w:rsid w:val="0099350D"/>
    <w:rsid w:val="00994B47"/>
    <w:rsid w:val="00995482"/>
    <w:rsid w:val="0099709A"/>
    <w:rsid w:val="00997C2A"/>
    <w:rsid w:val="009A1B56"/>
    <w:rsid w:val="009A66B0"/>
    <w:rsid w:val="009A66E4"/>
    <w:rsid w:val="009A6B6E"/>
    <w:rsid w:val="009B0BC6"/>
    <w:rsid w:val="009B421B"/>
    <w:rsid w:val="009C0856"/>
    <w:rsid w:val="009C102A"/>
    <w:rsid w:val="009C2CF2"/>
    <w:rsid w:val="009C7CBC"/>
    <w:rsid w:val="009D01C9"/>
    <w:rsid w:val="009D0C7C"/>
    <w:rsid w:val="009D1378"/>
    <w:rsid w:val="009D2E5B"/>
    <w:rsid w:val="009D3AFB"/>
    <w:rsid w:val="009D6FFF"/>
    <w:rsid w:val="009D7DAF"/>
    <w:rsid w:val="009E0E56"/>
    <w:rsid w:val="009E1271"/>
    <w:rsid w:val="009E16D0"/>
    <w:rsid w:val="009E1F68"/>
    <w:rsid w:val="009E2A6D"/>
    <w:rsid w:val="009E5C41"/>
    <w:rsid w:val="009E6CDB"/>
    <w:rsid w:val="009F10DD"/>
    <w:rsid w:val="009F147C"/>
    <w:rsid w:val="009F3B01"/>
    <w:rsid w:val="009F435E"/>
    <w:rsid w:val="009F5AAB"/>
    <w:rsid w:val="00A00F43"/>
    <w:rsid w:val="00A0203C"/>
    <w:rsid w:val="00A02FEA"/>
    <w:rsid w:val="00A03AC1"/>
    <w:rsid w:val="00A05D7A"/>
    <w:rsid w:val="00A05F43"/>
    <w:rsid w:val="00A06260"/>
    <w:rsid w:val="00A067CA"/>
    <w:rsid w:val="00A1146C"/>
    <w:rsid w:val="00A1434C"/>
    <w:rsid w:val="00A14390"/>
    <w:rsid w:val="00A15368"/>
    <w:rsid w:val="00A16C46"/>
    <w:rsid w:val="00A176E6"/>
    <w:rsid w:val="00A176F3"/>
    <w:rsid w:val="00A20F55"/>
    <w:rsid w:val="00A21D54"/>
    <w:rsid w:val="00A2655F"/>
    <w:rsid w:val="00A277E5"/>
    <w:rsid w:val="00A326B9"/>
    <w:rsid w:val="00A32FD2"/>
    <w:rsid w:val="00A341EA"/>
    <w:rsid w:val="00A34A6B"/>
    <w:rsid w:val="00A350B6"/>
    <w:rsid w:val="00A37C87"/>
    <w:rsid w:val="00A400AF"/>
    <w:rsid w:val="00A42096"/>
    <w:rsid w:val="00A42E86"/>
    <w:rsid w:val="00A436DA"/>
    <w:rsid w:val="00A43EB4"/>
    <w:rsid w:val="00A44297"/>
    <w:rsid w:val="00A45FB3"/>
    <w:rsid w:val="00A503EF"/>
    <w:rsid w:val="00A53577"/>
    <w:rsid w:val="00A55894"/>
    <w:rsid w:val="00A56E37"/>
    <w:rsid w:val="00A63561"/>
    <w:rsid w:val="00A64EF4"/>
    <w:rsid w:val="00A64FF2"/>
    <w:rsid w:val="00A6510F"/>
    <w:rsid w:val="00A655F3"/>
    <w:rsid w:val="00A65609"/>
    <w:rsid w:val="00A70362"/>
    <w:rsid w:val="00A72F3B"/>
    <w:rsid w:val="00A742A1"/>
    <w:rsid w:val="00A7641E"/>
    <w:rsid w:val="00A76F5D"/>
    <w:rsid w:val="00A77C73"/>
    <w:rsid w:val="00A80892"/>
    <w:rsid w:val="00A82813"/>
    <w:rsid w:val="00A829C7"/>
    <w:rsid w:val="00A86707"/>
    <w:rsid w:val="00A879FE"/>
    <w:rsid w:val="00A91A01"/>
    <w:rsid w:val="00A951C2"/>
    <w:rsid w:val="00A962AA"/>
    <w:rsid w:val="00A96986"/>
    <w:rsid w:val="00AA15CB"/>
    <w:rsid w:val="00AA3E18"/>
    <w:rsid w:val="00AA530C"/>
    <w:rsid w:val="00AB039D"/>
    <w:rsid w:val="00AB11BA"/>
    <w:rsid w:val="00AB19F8"/>
    <w:rsid w:val="00AB21A8"/>
    <w:rsid w:val="00AB2910"/>
    <w:rsid w:val="00AB495A"/>
    <w:rsid w:val="00AC139B"/>
    <w:rsid w:val="00AC2087"/>
    <w:rsid w:val="00AC2E8F"/>
    <w:rsid w:val="00AC3A21"/>
    <w:rsid w:val="00AC6E21"/>
    <w:rsid w:val="00AC72AC"/>
    <w:rsid w:val="00AD026C"/>
    <w:rsid w:val="00AD0D0D"/>
    <w:rsid w:val="00AD1B46"/>
    <w:rsid w:val="00AD298D"/>
    <w:rsid w:val="00AD3E5D"/>
    <w:rsid w:val="00AD5520"/>
    <w:rsid w:val="00AE1C95"/>
    <w:rsid w:val="00AE1E8F"/>
    <w:rsid w:val="00AE20AE"/>
    <w:rsid w:val="00AE2866"/>
    <w:rsid w:val="00AE3BC4"/>
    <w:rsid w:val="00AE4E37"/>
    <w:rsid w:val="00AE5F2F"/>
    <w:rsid w:val="00AE7880"/>
    <w:rsid w:val="00AF0442"/>
    <w:rsid w:val="00AF15E2"/>
    <w:rsid w:val="00AF248C"/>
    <w:rsid w:val="00AF24EA"/>
    <w:rsid w:val="00AF3858"/>
    <w:rsid w:val="00AF5A33"/>
    <w:rsid w:val="00AF7AD3"/>
    <w:rsid w:val="00B02945"/>
    <w:rsid w:val="00B05173"/>
    <w:rsid w:val="00B05EF9"/>
    <w:rsid w:val="00B14138"/>
    <w:rsid w:val="00B15312"/>
    <w:rsid w:val="00B15FB5"/>
    <w:rsid w:val="00B16259"/>
    <w:rsid w:val="00B164AD"/>
    <w:rsid w:val="00B171CB"/>
    <w:rsid w:val="00B17D3D"/>
    <w:rsid w:val="00B20C1F"/>
    <w:rsid w:val="00B215B8"/>
    <w:rsid w:val="00B2225C"/>
    <w:rsid w:val="00B2289B"/>
    <w:rsid w:val="00B24A77"/>
    <w:rsid w:val="00B257BB"/>
    <w:rsid w:val="00B2646C"/>
    <w:rsid w:val="00B27A24"/>
    <w:rsid w:val="00B34544"/>
    <w:rsid w:val="00B34E08"/>
    <w:rsid w:val="00B35B21"/>
    <w:rsid w:val="00B35E91"/>
    <w:rsid w:val="00B35EBA"/>
    <w:rsid w:val="00B379B3"/>
    <w:rsid w:val="00B40399"/>
    <w:rsid w:val="00B41B5D"/>
    <w:rsid w:val="00B422C9"/>
    <w:rsid w:val="00B43FA8"/>
    <w:rsid w:val="00B458CC"/>
    <w:rsid w:val="00B45D20"/>
    <w:rsid w:val="00B45DF6"/>
    <w:rsid w:val="00B47094"/>
    <w:rsid w:val="00B47491"/>
    <w:rsid w:val="00B47A54"/>
    <w:rsid w:val="00B47B90"/>
    <w:rsid w:val="00B50A31"/>
    <w:rsid w:val="00B5275B"/>
    <w:rsid w:val="00B54EAE"/>
    <w:rsid w:val="00B552BA"/>
    <w:rsid w:val="00B55C57"/>
    <w:rsid w:val="00B567AD"/>
    <w:rsid w:val="00B56A06"/>
    <w:rsid w:val="00B56F7A"/>
    <w:rsid w:val="00B61400"/>
    <w:rsid w:val="00B61522"/>
    <w:rsid w:val="00B62AE8"/>
    <w:rsid w:val="00B6343F"/>
    <w:rsid w:val="00B64BF7"/>
    <w:rsid w:val="00B65B61"/>
    <w:rsid w:val="00B66A31"/>
    <w:rsid w:val="00B72EDE"/>
    <w:rsid w:val="00B7436A"/>
    <w:rsid w:val="00B7689B"/>
    <w:rsid w:val="00B83D73"/>
    <w:rsid w:val="00B84B50"/>
    <w:rsid w:val="00B84FEF"/>
    <w:rsid w:val="00B8600F"/>
    <w:rsid w:val="00B8620F"/>
    <w:rsid w:val="00B86CF9"/>
    <w:rsid w:val="00B87A0A"/>
    <w:rsid w:val="00B9316A"/>
    <w:rsid w:val="00B93F88"/>
    <w:rsid w:val="00B94998"/>
    <w:rsid w:val="00B9656B"/>
    <w:rsid w:val="00B9663B"/>
    <w:rsid w:val="00BA23C4"/>
    <w:rsid w:val="00BA2AFB"/>
    <w:rsid w:val="00BA4BD9"/>
    <w:rsid w:val="00BA5C2A"/>
    <w:rsid w:val="00BA6BFE"/>
    <w:rsid w:val="00BA6EB6"/>
    <w:rsid w:val="00BA7102"/>
    <w:rsid w:val="00BA74CA"/>
    <w:rsid w:val="00BB0C10"/>
    <w:rsid w:val="00BB2EEA"/>
    <w:rsid w:val="00BB31F0"/>
    <w:rsid w:val="00BB40A8"/>
    <w:rsid w:val="00BB4313"/>
    <w:rsid w:val="00BB5A7C"/>
    <w:rsid w:val="00BB5D6B"/>
    <w:rsid w:val="00BB5E5D"/>
    <w:rsid w:val="00BB6ACD"/>
    <w:rsid w:val="00BB6E4F"/>
    <w:rsid w:val="00BC2450"/>
    <w:rsid w:val="00BC284B"/>
    <w:rsid w:val="00BC2E95"/>
    <w:rsid w:val="00BC407F"/>
    <w:rsid w:val="00BC59D7"/>
    <w:rsid w:val="00BC75A2"/>
    <w:rsid w:val="00BC7806"/>
    <w:rsid w:val="00BD1527"/>
    <w:rsid w:val="00BD163A"/>
    <w:rsid w:val="00BD1CCB"/>
    <w:rsid w:val="00BD300C"/>
    <w:rsid w:val="00BD5415"/>
    <w:rsid w:val="00BD5CC2"/>
    <w:rsid w:val="00BD5D47"/>
    <w:rsid w:val="00BD7A34"/>
    <w:rsid w:val="00BE0DA7"/>
    <w:rsid w:val="00BE16CB"/>
    <w:rsid w:val="00BE2891"/>
    <w:rsid w:val="00BE3AD6"/>
    <w:rsid w:val="00BE52A1"/>
    <w:rsid w:val="00BE6B3C"/>
    <w:rsid w:val="00BE759E"/>
    <w:rsid w:val="00BE7831"/>
    <w:rsid w:val="00BE7B4D"/>
    <w:rsid w:val="00BF084D"/>
    <w:rsid w:val="00BF23F2"/>
    <w:rsid w:val="00BF391B"/>
    <w:rsid w:val="00BF3928"/>
    <w:rsid w:val="00BF53DD"/>
    <w:rsid w:val="00BF6DCF"/>
    <w:rsid w:val="00BF7D41"/>
    <w:rsid w:val="00BF7D5B"/>
    <w:rsid w:val="00C015DF"/>
    <w:rsid w:val="00C029B2"/>
    <w:rsid w:val="00C035BF"/>
    <w:rsid w:val="00C0455D"/>
    <w:rsid w:val="00C06AFE"/>
    <w:rsid w:val="00C10832"/>
    <w:rsid w:val="00C10EBE"/>
    <w:rsid w:val="00C1228B"/>
    <w:rsid w:val="00C13E16"/>
    <w:rsid w:val="00C151E7"/>
    <w:rsid w:val="00C15EC1"/>
    <w:rsid w:val="00C22C45"/>
    <w:rsid w:val="00C237A8"/>
    <w:rsid w:val="00C267E8"/>
    <w:rsid w:val="00C31838"/>
    <w:rsid w:val="00C31AF6"/>
    <w:rsid w:val="00C3218B"/>
    <w:rsid w:val="00C326AF"/>
    <w:rsid w:val="00C33DEB"/>
    <w:rsid w:val="00C37068"/>
    <w:rsid w:val="00C40141"/>
    <w:rsid w:val="00C422B1"/>
    <w:rsid w:val="00C4383A"/>
    <w:rsid w:val="00C43B35"/>
    <w:rsid w:val="00C43CDB"/>
    <w:rsid w:val="00C45A5D"/>
    <w:rsid w:val="00C45A85"/>
    <w:rsid w:val="00C45A88"/>
    <w:rsid w:val="00C47653"/>
    <w:rsid w:val="00C47BD4"/>
    <w:rsid w:val="00C52143"/>
    <w:rsid w:val="00C52AC6"/>
    <w:rsid w:val="00C53A73"/>
    <w:rsid w:val="00C549E3"/>
    <w:rsid w:val="00C55A16"/>
    <w:rsid w:val="00C55FC4"/>
    <w:rsid w:val="00C5790C"/>
    <w:rsid w:val="00C60A05"/>
    <w:rsid w:val="00C612DE"/>
    <w:rsid w:val="00C6165F"/>
    <w:rsid w:val="00C652C2"/>
    <w:rsid w:val="00C6638E"/>
    <w:rsid w:val="00C672F4"/>
    <w:rsid w:val="00C67E57"/>
    <w:rsid w:val="00C70184"/>
    <w:rsid w:val="00C70A1C"/>
    <w:rsid w:val="00C773F7"/>
    <w:rsid w:val="00C77FC0"/>
    <w:rsid w:val="00C80C03"/>
    <w:rsid w:val="00C824E5"/>
    <w:rsid w:val="00C8366D"/>
    <w:rsid w:val="00C84F49"/>
    <w:rsid w:val="00C8529B"/>
    <w:rsid w:val="00C85595"/>
    <w:rsid w:val="00C8649C"/>
    <w:rsid w:val="00C86F50"/>
    <w:rsid w:val="00C870D0"/>
    <w:rsid w:val="00C870E0"/>
    <w:rsid w:val="00C91E4C"/>
    <w:rsid w:val="00C932FE"/>
    <w:rsid w:val="00C9415A"/>
    <w:rsid w:val="00CA1F45"/>
    <w:rsid w:val="00CA28C8"/>
    <w:rsid w:val="00CA41AA"/>
    <w:rsid w:val="00CA48CA"/>
    <w:rsid w:val="00CA624A"/>
    <w:rsid w:val="00CA6DE1"/>
    <w:rsid w:val="00CA77F8"/>
    <w:rsid w:val="00CB0A2A"/>
    <w:rsid w:val="00CB1EB2"/>
    <w:rsid w:val="00CB4BB0"/>
    <w:rsid w:val="00CB5840"/>
    <w:rsid w:val="00CB653E"/>
    <w:rsid w:val="00CB685A"/>
    <w:rsid w:val="00CB792B"/>
    <w:rsid w:val="00CC0308"/>
    <w:rsid w:val="00CC0B20"/>
    <w:rsid w:val="00CC26FF"/>
    <w:rsid w:val="00CC57DF"/>
    <w:rsid w:val="00CC5B25"/>
    <w:rsid w:val="00CD002C"/>
    <w:rsid w:val="00CD1980"/>
    <w:rsid w:val="00CD555A"/>
    <w:rsid w:val="00CD7FA7"/>
    <w:rsid w:val="00CE13A6"/>
    <w:rsid w:val="00CE2C20"/>
    <w:rsid w:val="00CE358F"/>
    <w:rsid w:val="00CE5A6A"/>
    <w:rsid w:val="00CF173B"/>
    <w:rsid w:val="00CF3556"/>
    <w:rsid w:val="00CF35CF"/>
    <w:rsid w:val="00D00C73"/>
    <w:rsid w:val="00D014D9"/>
    <w:rsid w:val="00D0474D"/>
    <w:rsid w:val="00D047D5"/>
    <w:rsid w:val="00D056BE"/>
    <w:rsid w:val="00D0719D"/>
    <w:rsid w:val="00D07528"/>
    <w:rsid w:val="00D07945"/>
    <w:rsid w:val="00D10E97"/>
    <w:rsid w:val="00D11B9A"/>
    <w:rsid w:val="00D131A7"/>
    <w:rsid w:val="00D133B0"/>
    <w:rsid w:val="00D149FB"/>
    <w:rsid w:val="00D15F4E"/>
    <w:rsid w:val="00D16184"/>
    <w:rsid w:val="00D1713E"/>
    <w:rsid w:val="00D17B81"/>
    <w:rsid w:val="00D17D78"/>
    <w:rsid w:val="00D21772"/>
    <w:rsid w:val="00D23527"/>
    <w:rsid w:val="00D25963"/>
    <w:rsid w:val="00D26DEF"/>
    <w:rsid w:val="00D307B5"/>
    <w:rsid w:val="00D31905"/>
    <w:rsid w:val="00D3572F"/>
    <w:rsid w:val="00D3638D"/>
    <w:rsid w:val="00D373A8"/>
    <w:rsid w:val="00D4186B"/>
    <w:rsid w:val="00D426BE"/>
    <w:rsid w:val="00D449F9"/>
    <w:rsid w:val="00D44C74"/>
    <w:rsid w:val="00D45749"/>
    <w:rsid w:val="00D46DAB"/>
    <w:rsid w:val="00D47F55"/>
    <w:rsid w:val="00D507FD"/>
    <w:rsid w:val="00D50ACA"/>
    <w:rsid w:val="00D52039"/>
    <w:rsid w:val="00D535AF"/>
    <w:rsid w:val="00D54077"/>
    <w:rsid w:val="00D5466C"/>
    <w:rsid w:val="00D556E7"/>
    <w:rsid w:val="00D6019A"/>
    <w:rsid w:val="00D6052D"/>
    <w:rsid w:val="00D6062C"/>
    <w:rsid w:val="00D6247B"/>
    <w:rsid w:val="00D63473"/>
    <w:rsid w:val="00D66200"/>
    <w:rsid w:val="00D70128"/>
    <w:rsid w:val="00D735D4"/>
    <w:rsid w:val="00D7475E"/>
    <w:rsid w:val="00D82CB6"/>
    <w:rsid w:val="00D835B4"/>
    <w:rsid w:val="00D865A0"/>
    <w:rsid w:val="00D86631"/>
    <w:rsid w:val="00D9151A"/>
    <w:rsid w:val="00D92CCF"/>
    <w:rsid w:val="00D933F2"/>
    <w:rsid w:val="00D94115"/>
    <w:rsid w:val="00D9547C"/>
    <w:rsid w:val="00D973B7"/>
    <w:rsid w:val="00DA02A8"/>
    <w:rsid w:val="00DA13EC"/>
    <w:rsid w:val="00DA1DB3"/>
    <w:rsid w:val="00DA310B"/>
    <w:rsid w:val="00DA48C2"/>
    <w:rsid w:val="00DA5295"/>
    <w:rsid w:val="00DA570A"/>
    <w:rsid w:val="00DA60CB"/>
    <w:rsid w:val="00DA72FB"/>
    <w:rsid w:val="00DA78AC"/>
    <w:rsid w:val="00DB0803"/>
    <w:rsid w:val="00DB466D"/>
    <w:rsid w:val="00DB4D0B"/>
    <w:rsid w:val="00DB581D"/>
    <w:rsid w:val="00DB7668"/>
    <w:rsid w:val="00DC037A"/>
    <w:rsid w:val="00DC0412"/>
    <w:rsid w:val="00DC2340"/>
    <w:rsid w:val="00DC2C99"/>
    <w:rsid w:val="00DC3AB4"/>
    <w:rsid w:val="00DC3CF7"/>
    <w:rsid w:val="00DC3E1E"/>
    <w:rsid w:val="00DC4800"/>
    <w:rsid w:val="00DD0989"/>
    <w:rsid w:val="00DD23D8"/>
    <w:rsid w:val="00DD3E7E"/>
    <w:rsid w:val="00DD466D"/>
    <w:rsid w:val="00DD6E97"/>
    <w:rsid w:val="00DD7087"/>
    <w:rsid w:val="00DD7130"/>
    <w:rsid w:val="00DD7F90"/>
    <w:rsid w:val="00DE0290"/>
    <w:rsid w:val="00DE178F"/>
    <w:rsid w:val="00DE417D"/>
    <w:rsid w:val="00DE5E9E"/>
    <w:rsid w:val="00DE6822"/>
    <w:rsid w:val="00DE6904"/>
    <w:rsid w:val="00DE6E87"/>
    <w:rsid w:val="00DE7840"/>
    <w:rsid w:val="00DF1518"/>
    <w:rsid w:val="00DF32C2"/>
    <w:rsid w:val="00DF3714"/>
    <w:rsid w:val="00DF45B3"/>
    <w:rsid w:val="00E00D0C"/>
    <w:rsid w:val="00E011FA"/>
    <w:rsid w:val="00E01832"/>
    <w:rsid w:val="00E0233F"/>
    <w:rsid w:val="00E039F1"/>
    <w:rsid w:val="00E04164"/>
    <w:rsid w:val="00E0514E"/>
    <w:rsid w:val="00E06925"/>
    <w:rsid w:val="00E13020"/>
    <w:rsid w:val="00E148CE"/>
    <w:rsid w:val="00E1660D"/>
    <w:rsid w:val="00E22FF2"/>
    <w:rsid w:val="00E23EF0"/>
    <w:rsid w:val="00E241F0"/>
    <w:rsid w:val="00E26ED8"/>
    <w:rsid w:val="00E31465"/>
    <w:rsid w:val="00E3163A"/>
    <w:rsid w:val="00E361DF"/>
    <w:rsid w:val="00E37412"/>
    <w:rsid w:val="00E40F85"/>
    <w:rsid w:val="00E420D0"/>
    <w:rsid w:val="00E45DE1"/>
    <w:rsid w:val="00E45E86"/>
    <w:rsid w:val="00E506D4"/>
    <w:rsid w:val="00E52744"/>
    <w:rsid w:val="00E5358E"/>
    <w:rsid w:val="00E550D6"/>
    <w:rsid w:val="00E6658B"/>
    <w:rsid w:val="00E66A26"/>
    <w:rsid w:val="00E66A91"/>
    <w:rsid w:val="00E737A4"/>
    <w:rsid w:val="00E73D85"/>
    <w:rsid w:val="00E74743"/>
    <w:rsid w:val="00E74A37"/>
    <w:rsid w:val="00E753BF"/>
    <w:rsid w:val="00E75D74"/>
    <w:rsid w:val="00E76B87"/>
    <w:rsid w:val="00E773A6"/>
    <w:rsid w:val="00E833B4"/>
    <w:rsid w:val="00E8406F"/>
    <w:rsid w:val="00E85A9D"/>
    <w:rsid w:val="00E903A4"/>
    <w:rsid w:val="00E90877"/>
    <w:rsid w:val="00E9182B"/>
    <w:rsid w:val="00E927C7"/>
    <w:rsid w:val="00E93335"/>
    <w:rsid w:val="00E953DC"/>
    <w:rsid w:val="00E95499"/>
    <w:rsid w:val="00E9678A"/>
    <w:rsid w:val="00EA01D2"/>
    <w:rsid w:val="00EA0AB9"/>
    <w:rsid w:val="00EA0EBB"/>
    <w:rsid w:val="00EA2794"/>
    <w:rsid w:val="00EA3D21"/>
    <w:rsid w:val="00EA45B6"/>
    <w:rsid w:val="00EA45F9"/>
    <w:rsid w:val="00EA6AB8"/>
    <w:rsid w:val="00EB00DA"/>
    <w:rsid w:val="00EB13DF"/>
    <w:rsid w:val="00EB58F6"/>
    <w:rsid w:val="00EC16B6"/>
    <w:rsid w:val="00EC327A"/>
    <w:rsid w:val="00EC37BE"/>
    <w:rsid w:val="00EC4734"/>
    <w:rsid w:val="00EC48D7"/>
    <w:rsid w:val="00EC5032"/>
    <w:rsid w:val="00EC513E"/>
    <w:rsid w:val="00ED13AE"/>
    <w:rsid w:val="00ED22CE"/>
    <w:rsid w:val="00ED2F8C"/>
    <w:rsid w:val="00ED35CF"/>
    <w:rsid w:val="00ED6384"/>
    <w:rsid w:val="00EE2548"/>
    <w:rsid w:val="00EE2725"/>
    <w:rsid w:val="00EE51E0"/>
    <w:rsid w:val="00EE6783"/>
    <w:rsid w:val="00EE6871"/>
    <w:rsid w:val="00EF02AC"/>
    <w:rsid w:val="00EF7440"/>
    <w:rsid w:val="00F013DC"/>
    <w:rsid w:val="00F032B2"/>
    <w:rsid w:val="00F0381D"/>
    <w:rsid w:val="00F038BC"/>
    <w:rsid w:val="00F041F0"/>
    <w:rsid w:val="00F06ADD"/>
    <w:rsid w:val="00F072FA"/>
    <w:rsid w:val="00F0790E"/>
    <w:rsid w:val="00F10E78"/>
    <w:rsid w:val="00F13695"/>
    <w:rsid w:val="00F14902"/>
    <w:rsid w:val="00F1640D"/>
    <w:rsid w:val="00F16DC6"/>
    <w:rsid w:val="00F17BCE"/>
    <w:rsid w:val="00F214A2"/>
    <w:rsid w:val="00F248FF"/>
    <w:rsid w:val="00F25178"/>
    <w:rsid w:val="00F25F9C"/>
    <w:rsid w:val="00F30E3B"/>
    <w:rsid w:val="00F31B30"/>
    <w:rsid w:val="00F3561E"/>
    <w:rsid w:val="00F37CE0"/>
    <w:rsid w:val="00F401CA"/>
    <w:rsid w:val="00F4115D"/>
    <w:rsid w:val="00F44025"/>
    <w:rsid w:val="00F4484E"/>
    <w:rsid w:val="00F4504C"/>
    <w:rsid w:val="00F50583"/>
    <w:rsid w:val="00F514DA"/>
    <w:rsid w:val="00F51916"/>
    <w:rsid w:val="00F56043"/>
    <w:rsid w:val="00F5670F"/>
    <w:rsid w:val="00F57016"/>
    <w:rsid w:val="00F57CA4"/>
    <w:rsid w:val="00F57D5C"/>
    <w:rsid w:val="00F60063"/>
    <w:rsid w:val="00F6443B"/>
    <w:rsid w:val="00F64DB9"/>
    <w:rsid w:val="00F67053"/>
    <w:rsid w:val="00F670FC"/>
    <w:rsid w:val="00F67A1E"/>
    <w:rsid w:val="00F67C57"/>
    <w:rsid w:val="00F70C8F"/>
    <w:rsid w:val="00F7207E"/>
    <w:rsid w:val="00F73922"/>
    <w:rsid w:val="00F73ABE"/>
    <w:rsid w:val="00F743F4"/>
    <w:rsid w:val="00F75EAC"/>
    <w:rsid w:val="00F77640"/>
    <w:rsid w:val="00F800E2"/>
    <w:rsid w:val="00F81041"/>
    <w:rsid w:val="00F82EE5"/>
    <w:rsid w:val="00F833A4"/>
    <w:rsid w:val="00F83D01"/>
    <w:rsid w:val="00F84480"/>
    <w:rsid w:val="00F859DF"/>
    <w:rsid w:val="00F85DC1"/>
    <w:rsid w:val="00F860D5"/>
    <w:rsid w:val="00F86E32"/>
    <w:rsid w:val="00F9127B"/>
    <w:rsid w:val="00F92A6E"/>
    <w:rsid w:val="00F93385"/>
    <w:rsid w:val="00F951C0"/>
    <w:rsid w:val="00F95267"/>
    <w:rsid w:val="00F96E09"/>
    <w:rsid w:val="00F973BE"/>
    <w:rsid w:val="00F97A42"/>
    <w:rsid w:val="00F97C39"/>
    <w:rsid w:val="00FA09E2"/>
    <w:rsid w:val="00FA135D"/>
    <w:rsid w:val="00FA1F6C"/>
    <w:rsid w:val="00FA2FD4"/>
    <w:rsid w:val="00FA3F18"/>
    <w:rsid w:val="00FA62DA"/>
    <w:rsid w:val="00FB11BD"/>
    <w:rsid w:val="00FB21E1"/>
    <w:rsid w:val="00FB3C30"/>
    <w:rsid w:val="00FB568B"/>
    <w:rsid w:val="00FB7D89"/>
    <w:rsid w:val="00FC1B51"/>
    <w:rsid w:val="00FC494C"/>
    <w:rsid w:val="00FC55EF"/>
    <w:rsid w:val="00FC6951"/>
    <w:rsid w:val="00FC7089"/>
    <w:rsid w:val="00FD0A7B"/>
    <w:rsid w:val="00FD3F0E"/>
    <w:rsid w:val="00FD564A"/>
    <w:rsid w:val="00FD69C8"/>
    <w:rsid w:val="00FD70E3"/>
    <w:rsid w:val="00FE1FC7"/>
    <w:rsid w:val="00FE21A9"/>
    <w:rsid w:val="00FE7479"/>
    <w:rsid w:val="00FF0431"/>
    <w:rsid w:val="00FF04AF"/>
    <w:rsid w:val="00FF0EF0"/>
    <w:rsid w:val="00FF1CEE"/>
    <w:rsid w:val="00FF49E5"/>
    <w:rsid w:val="00FF7CEE"/>
    <w:rsid w:val="016BA1C2"/>
    <w:rsid w:val="017FCC3E"/>
    <w:rsid w:val="01C3DB35"/>
    <w:rsid w:val="02C27963"/>
    <w:rsid w:val="02C7EED3"/>
    <w:rsid w:val="030C6ACA"/>
    <w:rsid w:val="0378465A"/>
    <w:rsid w:val="037A79B5"/>
    <w:rsid w:val="03ACBF17"/>
    <w:rsid w:val="03B5E5DC"/>
    <w:rsid w:val="0415311B"/>
    <w:rsid w:val="0417383D"/>
    <w:rsid w:val="045488F7"/>
    <w:rsid w:val="045D6356"/>
    <w:rsid w:val="048C00D1"/>
    <w:rsid w:val="049241C8"/>
    <w:rsid w:val="04BD740B"/>
    <w:rsid w:val="04DC95F8"/>
    <w:rsid w:val="04EE5CC0"/>
    <w:rsid w:val="0502E9F3"/>
    <w:rsid w:val="05B91B7E"/>
    <w:rsid w:val="05C06DB1"/>
    <w:rsid w:val="072F6C2E"/>
    <w:rsid w:val="074D9FE7"/>
    <w:rsid w:val="07610CA4"/>
    <w:rsid w:val="07887E9A"/>
    <w:rsid w:val="080327C7"/>
    <w:rsid w:val="08137B7A"/>
    <w:rsid w:val="0815B8E5"/>
    <w:rsid w:val="0877FAC6"/>
    <w:rsid w:val="08AE29EE"/>
    <w:rsid w:val="09364B2C"/>
    <w:rsid w:val="09594557"/>
    <w:rsid w:val="096B491F"/>
    <w:rsid w:val="09F80EB4"/>
    <w:rsid w:val="0A1EEED3"/>
    <w:rsid w:val="0A4CC136"/>
    <w:rsid w:val="0A7C5497"/>
    <w:rsid w:val="0AC3B1AF"/>
    <w:rsid w:val="0AF1DA47"/>
    <w:rsid w:val="0B16B843"/>
    <w:rsid w:val="0BA4C0DC"/>
    <w:rsid w:val="0BA55C54"/>
    <w:rsid w:val="0BF9D143"/>
    <w:rsid w:val="0C223D9C"/>
    <w:rsid w:val="0CA9AA62"/>
    <w:rsid w:val="0CFEC2B6"/>
    <w:rsid w:val="0D152B52"/>
    <w:rsid w:val="0D5703A9"/>
    <w:rsid w:val="0D649A7E"/>
    <w:rsid w:val="0D762F64"/>
    <w:rsid w:val="0DB46301"/>
    <w:rsid w:val="0E5AD580"/>
    <w:rsid w:val="0E9AC013"/>
    <w:rsid w:val="0EBC24F6"/>
    <w:rsid w:val="0EC63A10"/>
    <w:rsid w:val="0EDB9D6A"/>
    <w:rsid w:val="0EF8CD37"/>
    <w:rsid w:val="0F4078D3"/>
    <w:rsid w:val="0F55ED86"/>
    <w:rsid w:val="0FAE44DA"/>
    <w:rsid w:val="0FCEB378"/>
    <w:rsid w:val="0FED276F"/>
    <w:rsid w:val="103CB8D8"/>
    <w:rsid w:val="103CF25F"/>
    <w:rsid w:val="1050B126"/>
    <w:rsid w:val="108E181B"/>
    <w:rsid w:val="10B83F2A"/>
    <w:rsid w:val="10C08A4B"/>
    <w:rsid w:val="10E7A430"/>
    <w:rsid w:val="10FF982A"/>
    <w:rsid w:val="116636D7"/>
    <w:rsid w:val="11926069"/>
    <w:rsid w:val="11C63377"/>
    <w:rsid w:val="12061BCD"/>
    <w:rsid w:val="122323D3"/>
    <w:rsid w:val="12E6BF5F"/>
    <w:rsid w:val="12EC15FC"/>
    <w:rsid w:val="12ED2BDD"/>
    <w:rsid w:val="1317E2FA"/>
    <w:rsid w:val="13A0DD84"/>
    <w:rsid w:val="13B8FA25"/>
    <w:rsid w:val="13F086C8"/>
    <w:rsid w:val="141054CA"/>
    <w:rsid w:val="14711780"/>
    <w:rsid w:val="147E561E"/>
    <w:rsid w:val="14CAFED0"/>
    <w:rsid w:val="154233CE"/>
    <w:rsid w:val="15948F1E"/>
    <w:rsid w:val="15CE13A4"/>
    <w:rsid w:val="15CE6A28"/>
    <w:rsid w:val="160ABF89"/>
    <w:rsid w:val="1624CC9F"/>
    <w:rsid w:val="166091E8"/>
    <w:rsid w:val="166EFF09"/>
    <w:rsid w:val="1684CE81"/>
    <w:rsid w:val="169A97EE"/>
    <w:rsid w:val="16A21563"/>
    <w:rsid w:val="16AE77AC"/>
    <w:rsid w:val="1784F4BD"/>
    <w:rsid w:val="17C09D00"/>
    <w:rsid w:val="17CF3401"/>
    <w:rsid w:val="1847B9A1"/>
    <w:rsid w:val="191730FF"/>
    <w:rsid w:val="198FCF96"/>
    <w:rsid w:val="19A504D4"/>
    <w:rsid w:val="19B8059E"/>
    <w:rsid w:val="19CAAC48"/>
    <w:rsid w:val="19CE598F"/>
    <w:rsid w:val="19D5234C"/>
    <w:rsid w:val="19DC0110"/>
    <w:rsid w:val="1A010565"/>
    <w:rsid w:val="1A26876C"/>
    <w:rsid w:val="1A33D87C"/>
    <w:rsid w:val="1A7C6211"/>
    <w:rsid w:val="1B5B57DD"/>
    <w:rsid w:val="1B640A53"/>
    <w:rsid w:val="1B823393"/>
    <w:rsid w:val="1BA9F8D9"/>
    <w:rsid w:val="1BB4C1E4"/>
    <w:rsid w:val="1BDA42B9"/>
    <w:rsid w:val="1C5C48C0"/>
    <w:rsid w:val="1C684991"/>
    <w:rsid w:val="1C952A28"/>
    <w:rsid w:val="1CC2857A"/>
    <w:rsid w:val="1CCD3860"/>
    <w:rsid w:val="1CD8A61C"/>
    <w:rsid w:val="1D4D8030"/>
    <w:rsid w:val="1D715AAD"/>
    <w:rsid w:val="1DAFC37F"/>
    <w:rsid w:val="1DBF3D5D"/>
    <w:rsid w:val="1DFE325F"/>
    <w:rsid w:val="1E15D16E"/>
    <w:rsid w:val="1E6651D6"/>
    <w:rsid w:val="1EB2BDEB"/>
    <w:rsid w:val="1EB2F85A"/>
    <w:rsid w:val="1EC8619B"/>
    <w:rsid w:val="1F3A6A78"/>
    <w:rsid w:val="20AEAFFB"/>
    <w:rsid w:val="20E76441"/>
    <w:rsid w:val="2106479B"/>
    <w:rsid w:val="2152E294"/>
    <w:rsid w:val="2174B376"/>
    <w:rsid w:val="21D17F27"/>
    <w:rsid w:val="22073A06"/>
    <w:rsid w:val="2220B3D7"/>
    <w:rsid w:val="226A3CD1"/>
    <w:rsid w:val="22E9AD73"/>
    <w:rsid w:val="234CEE70"/>
    <w:rsid w:val="235CFD89"/>
    <w:rsid w:val="238A7B34"/>
    <w:rsid w:val="23A1A19F"/>
    <w:rsid w:val="2479E082"/>
    <w:rsid w:val="24C1DD81"/>
    <w:rsid w:val="24C5E92A"/>
    <w:rsid w:val="256E4F4F"/>
    <w:rsid w:val="25AD8720"/>
    <w:rsid w:val="25C21624"/>
    <w:rsid w:val="2625C7F0"/>
    <w:rsid w:val="26611A68"/>
    <w:rsid w:val="266E1DFB"/>
    <w:rsid w:val="269803BE"/>
    <w:rsid w:val="26D95F93"/>
    <w:rsid w:val="2732EB58"/>
    <w:rsid w:val="274362A7"/>
    <w:rsid w:val="27AA455F"/>
    <w:rsid w:val="27B18AD1"/>
    <w:rsid w:val="27BC7351"/>
    <w:rsid w:val="280F079F"/>
    <w:rsid w:val="28306703"/>
    <w:rsid w:val="2847CC64"/>
    <w:rsid w:val="2855AEA3"/>
    <w:rsid w:val="288F3387"/>
    <w:rsid w:val="289A482C"/>
    <w:rsid w:val="28C971B6"/>
    <w:rsid w:val="28DAC67E"/>
    <w:rsid w:val="29ABC47D"/>
    <w:rsid w:val="29BA04E5"/>
    <w:rsid w:val="29EAF5F2"/>
    <w:rsid w:val="2A650930"/>
    <w:rsid w:val="2AD20E86"/>
    <w:rsid w:val="2B4D7C79"/>
    <w:rsid w:val="2BE32DCC"/>
    <w:rsid w:val="2C60C55B"/>
    <w:rsid w:val="2C74A229"/>
    <w:rsid w:val="2C837872"/>
    <w:rsid w:val="2CC9A6E8"/>
    <w:rsid w:val="2CF89411"/>
    <w:rsid w:val="2D1E7049"/>
    <w:rsid w:val="2D660E31"/>
    <w:rsid w:val="2D7A930C"/>
    <w:rsid w:val="2DDCE9D6"/>
    <w:rsid w:val="2DE043EB"/>
    <w:rsid w:val="2E20147F"/>
    <w:rsid w:val="2E380FA8"/>
    <w:rsid w:val="2E882C4C"/>
    <w:rsid w:val="2F348800"/>
    <w:rsid w:val="2F879778"/>
    <w:rsid w:val="2FCF7D97"/>
    <w:rsid w:val="2FE4F492"/>
    <w:rsid w:val="30557A9D"/>
    <w:rsid w:val="30D24538"/>
    <w:rsid w:val="31610982"/>
    <w:rsid w:val="317F21BA"/>
    <w:rsid w:val="31859096"/>
    <w:rsid w:val="31BE2E50"/>
    <w:rsid w:val="322A289A"/>
    <w:rsid w:val="3237977C"/>
    <w:rsid w:val="32CFF03C"/>
    <w:rsid w:val="339F223E"/>
    <w:rsid w:val="33D0A7FF"/>
    <w:rsid w:val="33D9328E"/>
    <w:rsid w:val="3420FB15"/>
    <w:rsid w:val="3422722E"/>
    <w:rsid w:val="3449557F"/>
    <w:rsid w:val="3498A60B"/>
    <w:rsid w:val="34A6BF60"/>
    <w:rsid w:val="34AF261F"/>
    <w:rsid w:val="35C086DC"/>
    <w:rsid w:val="3626F84F"/>
    <w:rsid w:val="367F5F90"/>
    <w:rsid w:val="3736C7A4"/>
    <w:rsid w:val="374A7FCE"/>
    <w:rsid w:val="37C4C3D6"/>
    <w:rsid w:val="37CF4896"/>
    <w:rsid w:val="37D63700"/>
    <w:rsid w:val="38374D07"/>
    <w:rsid w:val="386D2695"/>
    <w:rsid w:val="38955649"/>
    <w:rsid w:val="38AD7214"/>
    <w:rsid w:val="38F46C38"/>
    <w:rsid w:val="38FB9E6D"/>
    <w:rsid w:val="390EDCFB"/>
    <w:rsid w:val="397E4D07"/>
    <w:rsid w:val="39A5562E"/>
    <w:rsid w:val="39D2FFFC"/>
    <w:rsid w:val="39E7DAF8"/>
    <w:rsid w:val="3A44F3C2"/>
    <w:rsid w:val="3A4CA573"/>
    <w:rsid w:val="3A935F4E"/>
    <w:rsid w:val="3B5E1FD3"/>
    <w:rsid w:val="3C37354E"/>
    <w:rsid w:val="3C471FE7"/>
    <w:rsid w:val="3C58FD6D"/>
    <w:rsid w:val="3C69318D"/>
    <w:rsid w:val="3CD1CE3F"/>
    <w:rsid w:val="3CDE3D0C"/>
    <w:rsid w:val="3D17FA96"/>
    <w:rsid w:val="3D38F534"/>
    <w:rsid w:val="3D514A00"/>
    <w:rsid w:val="3D7592E4"/>
    <w:rsid w:val="3D91453A"/>
    <w:rsid w:val="3DC593CE"/>
    <w:rsid w:val="3E1794CB"/>
    <w:rsid w:val="3E338B1A"/>
    <w:rsid w:val="3E863CB9"/>
    <w:rsid w:val="3E9BBC94"/>
    <w:rsid w:val="3ED11A79"/>
    <w:rsid w:val="3EE27AEE"/>
    <w:rsid w:val="3FD1D5F1"/>
    <w:rsid w:val="3FEF9441"/>
    <w:rsid w:val="401C283A"/>
    <w:rsid w:val="402694A3"/>
    <w:rsid w:val="4033089F"/>
    <w:rsid w:val="4048122C"/>
    <w:rsid w:val="4061D721"/>
    <w:rsid w:val="407C66B0"/>
    <w:rsid w:val="40E655C0"/>
    <w:rsid w:val="40FD37B1"/>
    <w:rsid w:val="4110DF23"/>
    <w:rsid w:val="413AEC03"/>
    <w:rsid w:val="41CDEE58"/>
    <w:rsid w:val="41CED900"/>
    <w:rsid w:val="41F7CEE0"/>
    <w:rsid w:val="41FAB173"/>
    <w:rsid w:val="423A92C9"/>
    <w:rsid w:val="424BD765"/>
    <w:rsid w:val="42764EF6"/>
    <w:rsid w:val="42D33F52"/>
    <w:rsid w:val="435416D0"/>
    <w:rsid w:val="443E3B61"/>
    <w:rsid w:val="4442B725"/>
    <w:rsid w:val="4453A8BD"/>
    <w:rsid w:val="449A217E"/>
    <w:rsid w:val="449BCE9D"/>
    <w:rsid w:val="45003F91"/>
    <w:rsid w:val="4503CB8E"/>
    <w:rsid w:val="45060605"/>
    <w:rsid w:val="451ACC9D"/>
    <w:rsid w:val="452F6FA2"/>
    <w:rsid w:val="4533615C"/>
    <w:rsid w:val="46384CD5"/>
    <w:rsid w:val="465C432F"/>
    <w:rsid w:val="4675BD15"/>
    <w:rsid w:val="468DAEC3"/>
    <w:rsid w:val="46A04E81"/>
    <w:rsid w:val="472F357A"/>
    <w:rsid w:val="473E5D29"/>
    <w:rsid w:val="47653383"/>
    <w:rsid w:val="48209F3A"/>
    <w:rsid w:val="48483BC9"/>
    <w:rsid w:val="48CA46C9"/>
    <w:rsid w:val="490B5221"/>
    <w:rsid w:val="497AFFD4"/>
    <w:rsid w:val="499E3074"/>
    <w:rsid w:val="49C0C288"/>
    <w:rsid w:val="49DAB640"/>
    <w:rsid w:val="4A1F59FF"/>
    <w:rsid w:val="4A893879"/>
    <w:rsid w:val="4AC97365"/>
    <w:rsid w:val="4AE14C30"/>
    <w:rsid w:val="4AFCC744"/>
    <w:rsid w:val="4B085DDA"/>
    <w:rsid w:val="4B1538C1"/>
    <w:rsid w:val="4B1B6085"/>
    <w:rsid w:val="4B9EB126"/>
    <w:rsid w:val="4BB98345"/>
    <w:rsid w:val="4C18B62A"/>
    <w:rsid w:val="4C6543C6"/>
    <w:rsid w:val="4CAB9C76"/>
    <w:rsid w:val="4CF41648"/>
    <w:rsid w:val="4D0AF3B6"/>
    <w:rsid w:val="4D16B6AD"/>
    <w:rsid w:val="4DD83C93"/>
    <w:rsid w:val="4E24EBD9"/>
    <w:rsid w:val="4E9433AB"/>
    <w:rsid w:val="4F0E1BBC"/>
    <w:rsid w:val="4F273885"/>
    <w:rsid w:val="4F3636E4"/>
    <w:rsid w:val="4F4B3AF5"/>
    <w:rsid w:val="4F9A01BA"/>
    <w:rsid w:val="4FD37D13"/>
    <w:rsid w:val="4FEFFE5A"/>
    <w:rsid w:val="4FF96A02"/>
    <w:rsid w:val="4FF99603"/>
    <w:rsid w:val="50407956"/>
    <w:rsid w:val="506A44DC"/>
    <w:rsid w:val="50919764"/>
    <w:rsid w:val="50E84A56"/>
    <w:rsid w:val="51110CE4"/>
    <w:rsid w:val="51502FED"/>
    <w:rsid w:val="5165E53C"/>
    <w:rsid w:val="51C92639"/>
    <w:rsid w:val="52446E05"/>
    <w:rsid w:val="526CE151"/>
    <w:rsid w:val="529D07BD"/>
    <w:rsid w:val="52B0087E"/>
    <w:rsid w:val="531DE658"/>
    <w:rsid w:val="532D6B23"/>
    <w:rsid w:val="535A0A7B"/>
    <w:rsid w:val="53C22162"/>
    <w:rsid w:val="54440B21"/>
    <w:rsid w:val="54850568"/>
    <w:rsid w:val="55F4E899"/>
    <w:rsid w:val="5628331D"/>
    <w:rsid w:val="5639565F"/>
    <w:rsid w:val="5646C8E0"/>
    <w:rsid w:val="57FD16F9"/>
    <w:rsid w:val="5803069F"/>
    <w:rsid w:val="5824EF76"/>
    <w:rsid w:val="583A7E79"/>
    <w:rsid w:val="58671754"/>
    <w:rsid w:val="589D2ED5"/>
    <w:rsid w:val="58A11BFD"/>
    <w:rsid w:val="58AFD9A3"/>
    <w:rsid w:val="5A1C612F"/>
    <w:rsid w:val="5A6BC96B"/>
    <w:rsid w:val="5AA81731"/>
    <w:rsid w:val="5AC65327"/>
    <w:rsid w:val="5ADDE9D6"/>
    <w:rsid w:val="5B1A4D2C"/>
    <w:rsid w:val="5B44E8C7"/>
    <w:rsid w:val="5B8B4798"/>
    <w:rsid w:val="5BB83190"/>
    <w:rsid w:val="5BC90B02"/>
    <w:rsid w:val="5C391BFE"/>
    <w:rsid w:val="5C4E28F1"/>
    <w:rsid w:val="5C663A48"/>
    <w:rsid w:val="5D505559"/>
    <w:rsid w:val="5D553598"/>
    <w:rsid w:val="5E4A9240"/>
    <w:rsid w:val="5E546C34"/>
    <w:rsid w:val="5E654620"/>
    <w:rsid w:val="5EE120F9"/>
    <w:rsid w:val="5EF4D92F"/>
    <w:rsid w:val="5F124068"/>
    <w:rsid w:val="5F140117"/>
    <w:rsid w:val="5F17FEE4"/>
    <w:rsid w:val="5F3EA348"/>
    <w:rsid w:val="5F68F6DE"/>
    <w:rsid w:val="5FCB7C28"/>
    <w:rsid w:val="60177C78"/>
    <w:rsid w:val="6034DB90"/>
    <w:rsid w:val="60451A54"/>
    <w:rsid w:val="604C3473"/>
    <w:rsid w:val="60831C52"/>
    <w:rsid w:val="61058151"/>
    <w:rsid w:val="61199DB3"/>
    <w:rsid w:val="6159D2C6"/>
    <w:rsid w:val="616FBC08"/>
    <w:rsid w:val="618C0CF6"/>
    <w:rsid w:val="61D0ABF1"/>
    <w:rsid w:val="62095328"/>
    <w:rsid w:val="625A16AA"/>
    <w:rsid w:val="6277DE70"/>
    <w:rsid w:val="62940C6C"/>
    <w:rsid w:val="63809200"/>
    <w:rsid w:val="639ACDE7"/>
    <w:rsid w:val="63A45940"/>
    <w:rsid w:val="64537D0A"/>
    <w:rsid w:val="6482E2C3"/>
    <w:rsid w:val="64E11808"/>
    <w:rsid w:val="64FBFCFB"/>
    <w:rsid w:val="65190181"/>
    <w:rsid w:val="65256FD4"/>
    <w:rsid w:val="654E534D"/>
    <w:rsid w:val="6584BBE9"/>
    <w:rsid w:val="6587D045"/>
    <w:rsid w:val="6677678C"/>
    <w:rsid w:val="674DDBE8"/>
    <w:rsid w:val="678AA56B"/>
    <w:rsid w:val="678E7FCD"/>
    <w:rsid w:val="67AFC0EB"/>
    <w:rsid w:val="6828A299"/>
    <w:rsid w:val="68E15D7A"/>
    <w:rsid w:val="6904E7C2"/>
    <w:rsid w:val="69073678"/>
    <w:rsid w:val="6913BEC9"/>
    <w:rsid w:val="69350CB5"/>
    <w:rsid w:val="69936613"/>
    <w:rsid w:val="69AFBD7F"/>
    <w:rsid w:val="6A3663A7"/>
    <w:rsid w:val="6B2D438E"/>
    <w:rsid w:val="6B899274"/>
    <w:rsid w:val="6C065A25"/>
    <w:rsid w:val="6C6F1525"/>
    <w:rsid w:val="6C963449"/>
    <w:rsid w:val="6CA98597"/>
    <w:rsid w:val="6DC0D0A4"/>
    <w:rsid w:val="6E168947"/>
    <w:rsid w:val="6E2CD6B0"/>
    <w:rsid w:val="6E32B267"/>
    <w:rsid w:val="6EF30867"/>
    <w:rsid w:val="6EF90230"/>
    <w:rsid w:val="6F00011F"/>
    <w:rsid w:val="6F2AAA6F"/>
    <w:rsid w:val="6FB58B6E"/>
    <w:rsid w:val="6FF07D55"/>
    <w:rsid w:val="70590BC4"/>
    <w:rsid w:val="706B7366"/>
    <w:rsid w:val="709DAEBF"/>
    <w:rsid w:val="70ED88B5"/>
    <w:rsid w:val="70F2DC22"/>
    <w:rsid w:val="711761D0"/>
    <w:rsid w:val="7131DA7E"/>
    <w:rsid w:val="71ED074C"/>
    <w:rsid w:val="72169748"/>
    <w:rsid w:val="72E483D4"/>
    <w:rsid w:val="731421B1"/>
    <w:rsid w:val="7342F960"/>
    <w:rsid w:val="734797F1"/>
    <w:rsid w:val="738FDF80"/>
    <w:rsid w:val="73E50A94"/>
    <w:rsid w:val="73E540C1"/>
    <w:rsid w:val="74F81DAB"/>
    <w:rsid w:val="753EE974"/>
    <w:rsid w:val="7578CC67"/>
    <w:rsid w:val="75DE2799"/>
    <w:rsid w:val="76F9C0C1"/>
    <w:rsid w:val="771C6B31"/>
    <w:rsid w:val="773CA2E9"/>
    <w:rsid w:val="77597286"/>
    <w:rsid w:val="7797D06D"/>
    <w:rsid w:val="78114AAA"/>
    <w:rsid w:val="7864AD21"/>
    <w:rsid w:val="78A7864B"/>
    <w:rsid w:val="79654318"/>
    <w:rsid w:val="796E4DB1"/>
    <w:rsid w:val="799AA374"/>
    <w:rsid w:val="79A90BA4"/>
    <w:rsid w:val="79BA8209"/>
    <w:rsid w:val="79C834CF"/>
    <w:rsid w:val="79C9869D"/>
    <w:rsid w:val="79F5B71C"/>
    <w:rsid w:val="7A31AC14"/>
    <w:rsid w:val="7ACAD4AF"/>
    <w:rsid w:val="7B32377E"/>
    <w:rsid w:val="7B8F57EE"/>
    <w:rsid w:val="7BC65736"/>
    <w:rsid w:val="7BCEA825"/>
    <w:rsid w:val="7BDBFD59"/>
    <w:rsid w:val="7BE5757F"/>
    <w:rsid w:val="7C2349E1"/>
    <w:rsid w:val="7C2645FC"/>
    <w:rsid w:val="7C298F37"/>
    <w:rsid w:val="7C415615"/>
    <w:rsid w:val="7C5A99D4"/>
    <w:rsid w:val="7CC76F92"/>
    <w:rsid w:val="7CD7A241"/>
    <w:rsid w:val="7CEEAEA0"/>
    <w:rsid w:val="7CF54CEB"/>
    <w:rsid w:val="7D40E7CD"/>
    <w:rsid w:val="7D6F70F7"/>
    <w:rsid w:val="7D853F44"/>
    <w:rsid w:val="7E037756"/>
    <w:rsid w:val="7E5A78C9"/>
    <w:rsid w:val="7ED3765F"/>
    <w:rsid w:val="7EE001A8"/>
    <w:rsid w:val="7F6637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8DC9D71"/>
  <w15:docId w15:val="{DD2607E6-D7B8-49EC-990A-EA0DD827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E8F"/>
    <w:rPr>
      <w:lang w:val="en-US" w:eastAsia="en-US"/>
    </w:rPr>
  </w:style>
  <w:style w:type="paragraph" w:styleId="Heading1">
    <w:name w:val="heading 1"/>
    <w:basedOn w:val="Normal"/>
    <w:next w:val="Normal"/>
    <w:link w:val="Heading1Char"/>
    <w:qFormat/>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4">
    <w:name w:val="heading 4"/>
    <w:basedOn w:val="Normal"/>
    <w:next w:val="Normal"/>
    <w:link w:val="Heading4Char"/>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z w:val="22"/>
      <w:lang w:val="x-none" w:eastAsia="x-none"/>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qFormat/>
    <w:pPr>
      <w:widowControl w:val="0"/>
    </w:pPr>
    <w:rPr>
      <w:rFonts w:ascii="Courier" w:hAnsi="Courier"/>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Pr>
      <w:rFonts w:cs="Times New Roman"/>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pPr>
      <w:ind w:left="720"/>
    </w:pPr>
  </w:style>
  <w:style w:type="paragraph" w:styleId="DocumentMap">
    <w:name w:val="Document Map"/>
    <w:basedOn w:val="Normal"/>
    <w:link w:val="DocumentMapChar"/>
    <w:semiHidden/>
    <w:rPr>
      <w:rFonts w:ascii="Tahoma" w:hAnsi="Tahoma"/>
      <w:sz w:val="16"/>
      <w:szCs w:val="16"/>
      <w:lang w:val="x-none" w:eastAsia="x-none"/>
    </w:rPr>
  </w:style>
  <w:style w:type="character" w:customStyle="1" w:styleId="DocumentMapChar">
    <w:name w:val="Document Map Char"/>
    <w:link w:val="DocumentMap"/>
    <w:locked/>
    <w:rPr>
      <w:rFonts w:ascii="Tahoma" w:hAnsi="Tahoma" w:cs="Tahoma"/>
      <w:sz w:val="16"/>
      <w:szCs w:val="16"/>
    </w:rPr>
  </w:style>
  <w:style w:type="character" w:styleId="CommentReference">
    <w:name w:val="annotation reference"/>
    <w:uiPriority w:val="99"/>
    <w:semiHidden/>
    <w:rPr>
      <w:rFonts w:cs="Times New Roman"/>
      <w:sz w:val="6"/>
      <w:szCs w:val="6"/>
    </w:rPr>
  </w:style>
  <w:style w:type="character" w:customStyle="1" w:styleId="FooterChar">
    <w:name w:val="Footer Char"/>
    <w:link w:val="Footer"/>
    <w:uiPriority w:val="99"/>
    <w:locked/>
    <w:rPr>
      <w:rFonts w:cs="Times New Roman"/>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lang w:val="x-none" w:eastAsia="x-none"/>
    </w:rPr>
  </w:style>
  <w:style w:type="character" w:customStyle="1" w:styleId="CommentSubjectChar">
    <w:name w:val="Comment Subject Char"/>
    <w:link w:val="CommentSubject"/>
    <w:uiPriority w:val="99"/>
    <w:rPr>
      <w:b/>
      <w:bCs/>
    </w:rPr>
  </w:style>
  <w:style w:type="character" w:customStyle="1" w:styleId="Heading1Char">
    <w:name w:val="Heading 1 Char"/>
    <w:link w:val="Heading1"/>
    <w:rPr>
      <w:rFonts w:ascii="Courier" w:hAnsi="Courier"/>
      <w:b/>
      <w:spacing w:val="-3"/>
      <w:sz w:val="28"/>
    </w:rPr>
  </w:style>
  <w:style w:type="character" w:customStyle="1" w:styleId="HeaderChar">
    <w:name w:val="Header Char"/>
    <w:link w:val="Header"/>
    <w:uiPriority w:val="99"/>
    <w:rPr>
      <w:rFonts w:ascii="Courier" w:hAnsi="Courier"/>
      <w:sz w:val="22"/>
    </w:rPr>
  </w:style>
  <w:style w:type="character" w:styleId="PageNumber">
    <w:name w:val="page number"/>
    <w:basedOn w:val="DefaultParagraphFont"/>
    <w:semiHidden/>
  </w:style>
  <w:style w:type="character" w:customStyle="1" w:styleId="SubtitleChar">
    <w:name w:val="Subtitle Char"/>
    <w:basedOn w:val="DefaultParagraphFont"/>
    <w:link w:val="Subtitle"/>
    <w:rPr>
      <w:rFonts w:ascii="Arial" w:hAnsi="Arial" w:cs="Arial"/>
      <w:sz w:val="24"/>
      <w:szCs w:val="24"/>
      <w:lang w:val="en-US" w:eastAsia="en-US"/>
    </w:rPr>
  </w:style>
  <w:style w:type="paragraph" w:styleId="BodyText">
    <w:name w:val="Body Text"/>
    <w:basedOn w:val="Normal"/>
    <w:link w:val="BodyTextChar"/>
    <w:semiHidden/>
    <w:rPr>
      <w:b/>
      <w:bCs/>
      <w:sz w:val="24"/>
    </w:rPr>
  </w:style>
  <w:style w:type="character" w:customStyle="1" w:styleId="BodyTextChar">
    <w:name w:val="Body Text Char"/>
    <w:basedOn w:val="DefaultParagraphFont"/>
    <w:link w:val="BodyText"/>
    <w:semiHidden/>
    <w:rPr>
      <w:b/>
      <w:bCs/>
      <w:sz w:val="24"/>
      <w:lang w:val="en-US" w:eastAsia="en-US"/>
    </w:rPr>
  </w:style>
  <w:style w:type="paragraph" w:styleId="BodyText2">
    <w:name w:val="Body Text 2"/>
    <w:basedOn w:val="Normal"/>
    <w:link w:val="BodyText2Char"/>
    <w:semiHidden/>
    <w:rPr>
      <w:sz w:val="24"/>
    </w:rPr>
  </w:style>
  <w:style w:type="character" w:customStyle="1" w:styleId="BodyText2Char">
    <w:name w:val="Body Text 2 Char"/>
    <w:basedOn w:val="DefaultParagraphFont"/>
    <w:link w:val="BodyText2"/>
    <w:semiHidden/>
    <w:rPr>
      <w:sz w:val="24"/>
      <w:lang w:val="en-US" w:eastAsia="en-US"/>
    </w:rPr>
  </w:style>
  <w:style w:type="paragraph" w:styleId="BodyText3">
    <w:name w:val="Body Text 3"/>
    <w:basedOn w:val="Normal"/>
    <w:link w:val="BodyText3Char"/>
    <w:semiHidden/>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Pr>
      <w:sz w:val="24"/>
      <w:lang w:val="en-US" w:eastAsia="en-US"/>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Pr>
      <w:lang w:val="en-US" w:eastAsia="en-US"/>
    </w:rPr>
  </w:style>
  <w:style w:type="paragraph" w:styleId="Revision">
    <w:name w:val="Revision"/>
    <w:hidden/>
    <w:uiPriority w:val="99"/>
    <w:semiHidden/>
    <w:rPr>
      <w:lang w:val="en-US" w:eastAsia="en-US"/>
    </w:rPr>
  </w:style>
  <w:style w:type="character" w:styleId="FollowedHyperlink">
    <w:name w:val="FollowedHyperlink"/>
    <w:basedOn w:val="DefaultParagraphFont"/>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locked/>
    <w:rPr>
      <w:b/>
      <w:bCs/>
      <w:i w:val="0"/>
      <w:iCs w:val="0"/>
    </w:rPr>
  </w:style>
  <w:style w:type="character" w:customStyle="1" w:styleId="st1">
    <w:name w:val="st1"/>
    <w:basedOn w:val="DefaultParagraphFont"/>
  </w:style>
  <w:style w:type="character" w:customStyle="1" w:styleId="Heading4Char">
    <w:name w:val="Heading 4 Char"/>
    <w:basedOn w:val="DefaultParagraphFont"/>
    <w:link w:val="Heading4"/>
    <w:rPr>
      <w:rFonts w:ascii="Arial" w:hAnsi="Arial"/>
      <w:b/>
      <w:sz w:val="22"/>
      <w:lang w:val="en-US" w:eastAsia="en-US"/>
    </w:rPr>
  </w:style>
  <w:style w:type="character" w:customStyle="1" w:styleId="Heading2Char">
    <w:name w:val="Heading 2 Char"/>
    <w:basedOn w:val="DefaultParagraphFont"/>
    <w:link w:val="Heading2"/>
    <w:rsid w:val="00BF7D41"/>
    <w:rPr>
      <w:rFonts w:ascii="Arial" w:hAnsi="Arial"/>
      <w:b/>
      <w:sz w:val="28"/>
      <w:lang w:val="en-US" w:eastAsia="en-US"/>
    </w:rPr>
  </w:style>
  <w:style w:type="character" w:customStyle="1" w:styleId="BalloonTextChar">
    <w:name w:val="Balloon Text Char"/>
    <w:basedOn w:val="DefaultParagraphFont"/>
    <w:link w:val="BalloonText"/>
    <w:uiPriority w:val="99"/>
    <w:semiHidden/>
    <w:rsid w:val="00BF7D41"/>
    <w:rPr>
      <w:rFonts w:ascii="Tahoma" w:hAnsi="Tahoma" w:cs="Tahoma"/>
      <w:sz w:val="16"/>
      <w:szCs w:val="16"/>
      <w:lang w:val="en-US" w:eastAsia="en-US"/>
    </w:rPr>
  </w:style>
  <w:style w:type="paragraph" w:customStyle="1" w:styleId="Char2">
    <w:name w:val="Char2"/>
    <w:basedOn w:val="Normal"/>
    <w:link w:val="FootnoteReference"/>
    <w:uiPriority w:val="99"/>
    <w:rsid w:val="00BF7D41"/>
    <w:pPr>
      <w:spacing w:after="160" w:line="240" w:lineRule="exact"/>
    </w:pPr>
    <w:rPr>
      <w:vertAlign w:val="superscript"/>
      <w:lang w:val="en-GB" w:eastAsia="en-GB"/>
    </w:rPr>
  </w:style>
  <w:style w:type="character" w:customStyle="1" w:styleId="normaltextrun">
    <w:name w:val="normaltextrun"/>
    <w:basedOn w:val="DefaultParagraphFont"/>
    <w:rsid w:val="001E0755"/>
  </w:style>
  <w:style w:type="character" w:customStyle="1" w:styleId="eop">
    <w:name w:val="eop"/>
    <w:basedOn w:val="DefaultParagraphFont"/>
    <w:rsid w:val="001E0755"/>
  </w:style>
  <w:style w:type="paragraph" w:customStyle="1" w:styleId="paragraph">
    <w:name w:val="paragraph"/>
    <w:basedOn w:val="Normal"/>
    <w:rsid w:val="001E0755"/>
    <w:pPr>
      <w:spacing w:before="100" w:beforeAutospacing="1" w:after="100" w:afterAutospacing="1"/>
    </w:pPr>
    <w:rPr>
      <w:sz w:val="24"/>
      <w:szCs w:val="24"/>
      <w:lang w:val="en-ZW" w:eastAsia="en-ZW"/>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71E77"/>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locked/>
    <w:rsid w:val="00DA7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1537567">
      <w:bodyDiv w:val="1"/>
      <w:marLeft w:val="0"/>
      <w:marRight w:val="0"/>
      <w:marTop w:val="0"/>
      <w:marBottom w:val="0"/>
      <w:divBdr>
        <w:top w:val="none" w:sz="0" w:space="0" w:color="auto"/>
        <w:left w:val="none" w:sz="0" w:space="0" w:color="auto"/>
        <w:bottom w:val="none" w:sz="0" w:space="0" w:color="auto"/>
        <w:right w:val="none" w:sz="0" w:space="0" w:color="auto"/>
      </w:divBdr>
      <w:divsChild>
        <w:div w:id="1124663519">
          <w:marLeft w:val="0"/>
          <w:marRight w:val="0"/>
          <w:marTop w:val="0"/>
          <w:marBottom w:val="0"/>
          <w:divBdr>
            <w:top w:val="none" w:sz="0" w:space="0" w:color="auto"/>
            <w:left w:val="none" w:sz="0" w:space="0" w:color="auto"/>
            <w:bottom w:val="none" w:sz="0" w:space="0" w:color="auto"/>
            <w:right w:val="none" w:sz="0" w:space="0" w:color="auto"/>
          </w:divBdr>
          <w:divsChild>
            <w:div w:id="1220361879">
              <w:marLeft w:val="0"/>
              <w:marRight w:val="0"/>
              <w:marTop w:val="0"/>
              <w:marBottom w:val="0"/>
              <w:divBdr>
                <w:top w:val="none" w:sz="0" w:space="0" w:color="auto"/>
                <w:left w:val="none" w:sz="0" w:space="0" w:color="auto"/>
                <w:bottom w:val="none" w:sz="0" w:space="0" w:color="auto"/>
                <w:right w:val="none" w:sz="0" w:space="0" w:color="auto"/>
              </w:divBdr>
              <w:divsChild>
                <w:div w:id="2034067639">
                  <w:marLeft w:val="0"/>
                  <w:marRight w:val="0"/>
                  <w:marTop w:val="0"/>
                  <w:marBottom w:val="0"/>
                  <w:divBdr>
                    <w:top w:val="none" w:sz="0" w:space="0" w:color="auto"/>
                    <w:left w:val="none" w:sz="0" w:space="0" w:color="auto"/>
                    <w:bottom w:val="none" w:sz="0" w:space="0" w:color="auto"/>
                    <w:right w:val="none" w:sz="0" w:space="0" w:color="auto"/>
                  </w:divBdr>
                  <w:divsChild>
                    <w:div w:id="973095984">
                      <w:marLeft w:val="0"/>
                      <w:marRight w:val="0"/>
                      <w:marTop w:val="0"/>
                      <w:marBottom w:val="0"/>
                      <w:divBdr>
                        <w:top w:val="none" w:sz="0" w:space="0" w:color="auto"/>
                        <w:left w:val="none" w:sz="0" w:space="0" w:color="auto"/>
                        <w:bottom w:val="none" w:sz="0" w:space="0" w:color="auto"/>
                        <w:right w:val="none" w:sz="0" w:space="0" w:color="auto"/>
                      </w:divBdr>
                      <w:divsChild>
                        <w:div w:id="1004090540">
                          <w:marLeft w:val="0"/>
                          <w:marRight w:val="0"/>
                          <w:marTop w:val="0"/>
                          <w:marBottom w:val="0"/>
                          <w:divBdr>
                            <w:top w:val="none" w:sz="0" w:space="0" w:color="auto"/>
                            <w:left w:val="none" w:sz="0" w:space="0" w:color="auto"/>
                            <w:bottom w:val="none" w:sz="0" w:space="0" w:color="auto"/>
                            <w:right w:val="none" w:sz="0" w:space="0" w:color="auto"/>
                          </w:divBdr>
                          <w:divsChild>
                            <w:div w:id="883717850">
                              <w:marLeft w:val="0"/>
                              <w:marRight w:val="0"/>
                              <w:marTop w:val="0"/>
                              <w:marBottom w:val="0"/>
                              <w:divBdr>
                                <w:top w:val="none" w:sz="0" w:space="0" w:color="auto"/>
                                <w:left w:val="none" w:sz="0" w:space="0" w:color="auto"/>
                                <w:bottom w:val="none" w:sz="0" w:space="0" w:color="auto"/>
                                <w:right w:val="none" w:sz="0" w:space="0" w:color="auto"/>
                              </w:divBdr>
                              <w:divsChild>
                                <w:div w:id="1847401078">
                                  <w:marLeft w:val="0"/>
                                  <w:marRight w:val="0"/>
                                  <w:marTop w:val="0"/>
                                  <w:marBottom w:val="0"/>
                                  <w:divBdr>
                                    <w:top w:val="none" w:sz="0" w:space="0" w:color="auto"/>
                                    <w:left w:val="none" w:sz="0" w:space="0" w:color="auto"/>
                                    <w:bottom w:val="none" w:sz="0" w:space="0" w:color="auto"/>
                                    <w:right w:val="none" w:sz="0" w:space="0" w:color="auto"/>
                                  </w:divBdr>
                                  <w:divsChild>
                                    <w:div w:id="390227384">
                                      <w:marLeft w:val="0"/>
                                      <w:marRight w:val="0"/>
                                      <w:marTop w:val="0"/>
                                      <w:marBottom w:val="0"/>
                                      <w:divBdr>
                                        <w:top w:val="none" w:sz="0" w:space="0" w:color="auto"/>
                                        <w:left w:val="none" w:sz="0" w:space="0" w:color="auto"/>
                                        <w:bottom w:val="none" w:sz="0" w:space="0" w:color="auto"/>
                                        <w:right w:val="none" w:sz="0" w:space="0" w:color="auto"/>
                                      </w:divBdr>
                                      <w:divsChild>
                                        <w:div w:id="873346973">
                                          <w:marLeft w:val="0"/>
                                          <w:marRight w:val="0"/>
                                          <w:marTop w:val="0"/>
                                          <w:marBottom w:val="0"/>
                                          <w:divBdr>
                                            <w:top w:val="none" w:sz="0" w:space="0" w:color="auto"/>
                                            <w:left w:val="none" w:sz="0" w:space="0" w:color="auto"/>
                                            <w:bottom w:val="none" w:sz="0" w:space="0" w:color="auto"/>
                                            <w:right w:val="none" w:sz="0" w:space="0" w:color="auto"/>
                                          </w:divBdr>
                                          <w:divsChild>
                                            <w:div w:id="62025060">
                                              <w:marLeft w:val="0"/>
                                              <w:marRight w:val="0"/>
                                              <w:marTop w:val="0"/>
                                              <w:marBottom w:val="495"/>
                                              <w:divBdr>
                                                <w:top w:val="none" w:sz="0" w:space="0" w:color="auto"/>
                                                <w:left w:val="none" w:sz="0" w:space="0" w:color="auto"/>
                                                <w:bottom w:val="none" w:sz="0" w:space="0" w:color="auto"/>
                                                <w:right w:val="none" w:sz="0" w:space="0" w:color="auto"/>
                                              </w:divBdr>
                                              <w:divsChild>
                                                <w:div w:id="321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8852">
      <w:bodyDiv w:val="1"/>
      <w:marLeft w:val="0"/>
      <w:marRight w:val="0"/>
      <w:marTop w:val="0"/>
      <w:marBottom w:val="0"/>
      <w:divBdr>
        <w:top w:val="none" w:sz="0" w:space="0" w:color="auto"/>
        <w:left w:val="none" w:sz="0" w:space="0" w:color="auto"/>
        <w:bottom w:val="none" w:sz="0" w:space="0" w:color="auto"/>
        <w:right w:val="none" w:sz="0" w:space="0" w:color="auto"/>
      </w:divBdr>
    </w:div>
    <w:div w:id="92165379">
      <w:bodyDiv w:val="1"/>
      <w:marLeft w:val="0"/>
      <w:marRight w:val="0"/>
      <w:marTop w:val="0"/>
      <w:marBottom w:val="0"/>
      <w:divBdr>
        <w:top w:val="none" w:sz="0" w:space="0" w:color="auto"/>
        <w:left w:val="none" w:sz="0" w:space="0" w:color="auto"/>
        <w:bottom w:val="none" w:sz="0" w:space="0" w:color="auto"/>
        <w:right w:val="none" w:sz="0" w:space="0" w:color="auto"/>
      </w:divBdr>
    </w:div>
    <w:div w:id="131219437">
      <w:bodyDiv w:val="1"/>
      <w:marLeft w:val="0"/>
      <w:marRight w:val="0"/>
      <w:marTop w:val="0"/>
      <w:marBottom w:val="0"/>
      <w:divBdr>
        <w:top w:val="none" w:sz="0" w:space="0" w:color="auto"/>
        <w:left w:val="none" w:sz="0" w:space="0" w:color="auto"/>
        <w:bottom w:val="none" w:sz="0" w:space="0" w:color="auto"/>
        <w:right w:val="none" w:sz="0" w:space="0" w:color="auto"/>
      </w:divBdr>
    </w:div>
    <w:div w:id="196283582">
      <w:bodyDiv w:val="1"/>
      <w:marLeft w:val="0"/>
      <w:marRight w:val="0"/>
      <w:marTop w:val="0"/>
      <w:marBottom w:val="0"/>
      <w:divBdr>
        <w:top w:val="none" w:sz="0" w:space="0" w:color="auto"/>
        <w:left w:val="none" w:sz="0" w:space="0" w:color="auto"/>
        <w:bottom w:val="none" w:sz="0" w:space="0" w:color="auto"/>
        <w:right w:val="none" w:sz="0" w:space="0" w:color="auto"/>
      </w:divBdr>
    </w:div>
    <w:div w:id="276182604">
      <w:bodyDiv w:val="1"/>
      <w:marLeft w:val="0"/>
      <w:marRight w:val="0"/>
      <w:marTop w:val="0"/>
      <w:marBottom w:val="0"/>
      <w:divBdr>
        <w:top w:val="none" w:sz="0" w:space="0" w:color="auto"/>
        <w:left w:val="none" w:sz="0" w:space="0" w:color="auto"/>
        <w:bottom w:val="none" w:sz="0" w:space="0" w:color="auto"/>
        <w:right w:val="none" w:sz="0" w:space="0" w:color="auto"/>
      </w:divBdr>
    </w:div>
    <w:div w:id="277372114">
      <w:bodyDiv w:val="1"/>
      <w:marLeft w:val="0"/>
      <w:marRight w:val="0"/>
      <w:marTop w:val="0"/>
      <w:marBottom w:val="0"/>
      <w:divBdr>
        <w:top w:val="none" w:sz="0" w:space="0" w:color="auto"/>
        <w:left w:val="none" w:sz="0" w:space="0" w:color="auto"/>
        <w:bottom w:val="none" w:sz="0" w:space="0" w:color="auto"/>
        <w:right w:val="none" w:sz="0" w:space="0" w:color="auto"/>
      </w:divBdr>
    </w:div>
    <w:div w:id="519979006">
      <w:bodyDiv w:val="1"/>
      <w:marLeft w:val="0"/>
      <w:marRight w:val="0"/>
      <w:marTop w:val="0"/>
      <w:marBottom w:val="0"/>
      <w:divBdr>
        <w:top w:val="none" w:sz="0" w:space="0" w:color="auto"/>
        <w:left w:val="none" w:sz="0" w:space="0" w:color="auto"/>
        <w:bottom w:val="none" w:sz="0" w:space="0" w:color="auto"/>
        <w:right w:val="none" w:sz="0" w:space="0" w:color="auto"/>
      </w:divBdr>
    </w:div>
    <w:div w:id="564994671">
      <w:bodyDiv w:val="1"/>
      <w:marLeft w:val="0"/>
      <w:marRight w:val="0"/>
      <w:marTop w:val="0"/>
      <w:marBottom w:val="0"/>
      <w:divBdr>
        <w:top w:val="none" w:sz="0" w:space="0" w:color="auto"/>
        <w:left w:val="none" w:sz="0" w:space="0" w:color="auto"/>
        <w:bottom w:val="none" w:sz="0" w:space="0" w:color="auto"/>
        <w:right w:val="none" w:sz="0" w:space="0" w:color="auto"/>
      </w:divBdr>
    </w:div>
    <w:div w:id="863058968">
      <w:bodyDiv w:val="1"/>
      <w:marLeft w:val="0"/>
      <w:marRight w:val="0"/>
      <w:marTop w:val="0"/>
      <w:marBottom w:val="0"/>
      <w:divBdr>
        <w:top w:val="none" w:sz="0" w:space="0" w:color="auto"/>
        <w:left w:val="none" w:sz="0" w:space="0" w:color="auto"/>
        <w:bottom w:val="none" w:sz="0" w:space="0" w:color="auto"/>
        <w:right w:val="none" w:sz="0" w:space="0" w:color="auto"/>
      </w:divBdr>
    </w:div>
    <w:div w:id="117592491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2885907">
      <w:bodyDiv w:val="1"/>
      <w:marLeft w:val="0"/>
      <w:marRight w:val="0"/>
      <w:marTop w:val="0"/>
      <w:marBottom w:val="0"/>
      <w:divBdr>
        <w:top w:val="none" w:sz="0" w:space="0" w:color="auto"/>
        <w:left w:val="none" w:sz="0" w:space="0" w:color="auto"/>
        <w:bottom w:val="none" w:sz="0" w:space="0" w:color="auto"/>
        <w:right w:val="none" w:sz="0" w:space="0" w:color="auto"/>
      </w:divBdr>
    </w:div>
    <w:div w:id="1237283941">
      <w:bodyDiv w:val="1"/>
      <w:marLeft w:val="0"/>
      <w:marRight w:val="0"/>
      <w:marTop w:val="0"/>
      <w:marBottom w:val="0"/>
      <w:divBdr>
        <w:top w:val="none" w:sz="0" w:space="0" w:color="auto"/>
        <w:left w:val="none" w:sz="0" w:space="0" w:color="auto"/>
        <w:bottom w:val="none" w:sz="0" w:space="0" w:color="auto"/>
        <w:right w:val="none" w:sz="0" w:space="0" w:color="auto"/>
      </w:divBdr>
    </w:div>
    <w:div w:id="1371877615">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5608935">
      <w:bodyDiv w:val="1"/>
      <w:marLeft w:val="0"/>
      <w:marRight w:val="0"/>
      <w:marTop w:val="0"/>
      <w:marBottom w:val="0"/>
      <w:divBdr>
        <w:top w:val="none" w:sz="0" w:space="0" w:color="auto"/>
        <w:left w:val="none" w:sz="0" w:space="0" w:color="auto"/>
        <w:bottom w:val="none" w:sz="0" w:space="0" w:color="auto"/>
        <w:right w:val="none" w:sz="0" w:space="0" w:color="auto"/>
      </w:divBdr>
    </w:div>
    <w:div w:id="1561552183">
      <w:bodyDiv w:val="1"/>
      <w:marLeft w:val="0"/>
      <w:marRight w:val="0"/>
      <w:marTop w:val="0"/>
      <w:marBottom w:val="0"/>
      <w:divBdr>
        <w:top w:val="none" w:sz="0" w:space="0" w:color="auto"/>
        <w:left w:val="none" w:sz="0" w:space="0" w:color="auto"/>
        <w:bottom w:val="none" w:sz="0" w:space="0" w:color="auto"/>
        <w:right w:val="none" w:sz="0" w:space="0" w:color="auto"/>
      </w:divBdr>
    </w:div>
    <w:div w:id="1657143390">
      <w:bodyDiv w:val="1"/>
      <w:marLeft w:val="0"/>
      <w:marRight w:val="0"/>
      <w:marTop w:val="0"/>
      <w:marBottom w:val="0"/>
      <w:divBdr>
        <w:top w:val="none" w:sz="0" w:space="0" w:color="auto"/>
        <w:left w:val="none" w:sz="0" w:space="0" w:color="auto"/>
        <w:bottom w:val="none" w:sz="0" w:space="0" w:color="auto"/>
        <w:right w:val="none" w:sz="0" w:space="0" w:color="auto"/>
      </w:divBdr>
    </w:div>
    <w:div w:id="1693919971">
      <w:bodyDiv w:val="1"/>
      <w:marLeft w:val="0"/>
      <w:marRight w:val="0"/>
      <w:marTop w:val="0"/>
      <w:marBottom w:val="0"/>
      <w:divBdr>
        <w:top w:val="none" w:sz="0" w:space="0" w:color="auto"/>
        <w:left w:val="none" w:sz="0" w:space="0" w:color="auto"/>
        <w:bottom w:val="none" w:sz="0" w:space="0" w:color="auto"/>
        <w:right w:val="none" w:sz="0" w:space="0" w:color="auto"/>
      </w:divBdr>
    </w:div>
    <w:div w:id="190194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SitePages/POPPSubject.aspx?SBJID=7&amp;Menu=BusinessUnit"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leddat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UNITOFFICE-440-2140</_dlc_DocId>
    <_dlc_DocIdUrl xmlns="5ebeba3d-fd60-4dcb-8548-a9fd3c51d9ff">
      <Url>https://intranet.undp.org/unit/office/exo/sp2014/SP201417/_layouts/15/DocIdRedir.aspx?ID=UNITOFFICE-440-2140</Url>
      <Description>UNITOFFICE-440-2140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BC15B1-72A9-4AF7-B3E1-A2760662E9F1}">
  <ds:schemaRefs>
    <ds:schemaRef ds:uri="http://schemas.openxmlformats.org/officeDocument/2006/bibliography"/>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3A995C8A-8416-4D4A-AFCC-6BCD669DA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1DD2A-DA4E-4687-8626-20D4636A00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6534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2021-03-25T19:14:00Z</cp:lastPrinted>
  <dcterms:created xsi:type="dcterms:W3CDTF">2021-11-07T20:41:00Z</dcterms:created>
  <dcterms:modified xsi:type="dcterms:W3CDTF">2021-11-12T21:40:00Z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5cc6d94e-2221-4fbc-bb01-8af9439e27aa</vt:lpwstr>
  </property>
</Properties>
</file>