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8555" w14:textId="5A3DC6C0" w:rsidR="00DC297C" w:rsidRPr="002601BB" w:rsidRDefault="00237EE1" w:rsidP="00DC297C">
      <w:pPr>
        <w:rPr>
          <w:b/>
          <w:color w:val="000000"/>
          <w:lang w:val="en-GB"/>
        </w:rPr>
      </w:pPr>
      <w:r w:rsidRPr="002601BB">
        <w:rPr>
          <w:b/>
          <w:color w:val="000000"/>
          <w:lang w:val="en-GB"/>
        </w:rPr>
        <w:t>First</w:t>
      </w:r>
      <w:r w:rsidR="00DC297C" w:rsidRPr="002601BB">
        <w:rPr>
          <w:b/>
          <w:color w:val="000000"/>
          <w:lang w:val="en-GB"/>
        </w:rPr>
        <w:t xml:space="preserve"> regular session 202</w:t>
      </w:r>
      <w:r w:rsidRPr="002601BB">
        <w:rPr>
          <w:b/>
          <w:color w:val="000000"/>
          <w:lang w:val="en-GB"/>
        </w:rPr>
        <w:t>3</w:t>
      </w:r>
    </w:p>
    <w:p w14:paraId="6EEFF7E6" w14:textId="62F816CF" w:rsidR="00DC297C" w:rsidRPr="002601BB" w:rsidRDefault="00237EE1" w:rsidP="00DC29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2601BB">
        <w:rPr>
          <w:color w:val="000000"/>
          <w:lang w:val="en-GB"/>
        </w:rPr>
        <w:t>30 January</w:t>
      </w:r>
      <w:r w:rsidR="00E84E4A">
        <w:rPr>
          <w:color w:val="000000"/>
          <w:lang w:val="en-GB"/>
        </w:rPr>
        <w:t xml:space="preserve"> to </w:t>
      </w:r>
      <w:r w:rsidRPr="002601BB">
        <w:rPr>
          <w:color w:val="000000"/>
          <w:lang w:val="en-GB"/>
        </w:rPr>
        <w:t>3 February</w:t>
      </w:r>
      <w:r w:rsidR="00DC297C" w:rsidRPr="002601BB">
        <w:rPr>
          <w:color w:val="000000"/>
          <w:lang w:val="en-GB"/>
        </w:rPr>
        <w:t xml:space="preserve"> 202</w:t>
      </w:r>
      <w:r w:rsidRPr="002601BB">
        <w:rPr>
          <w:color w:val="000000"/>
          <w:lang w:val="en-GB"/>
        </w:rPr>
        <w:t>3</w:t>
      </w:r>
      <w:r w:rsidR="00DC297C" w:rsidRPr="002601BB">
        <w:rPr>
          <w:color w:val="000000"/>
          <w:lang w:val="en-GB"/>
        </w:rPr>
        <w:t>, New York</w:t>
      </w:r>
    </w:p>
    <w:p w14:paraId="070633A9" w14:textId="5E87FA68" w:rsidR="00DC297C" w:rsidRPr="002601BB" w:rsidRDefault="00DC297C" w:rsidP="00DC29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2601BB">
        <w:rPr>
          <w:color w:val="000000"/>
          <w:lang w:val="en-GB"/>
        </w:rPr>
        <w:t xml:space="preserve">Item </w:t>
      </w:r>
      <w:r w:rsidR="00264A09" w:rsidRPr="002601BB">
        <w:rPr>
          <w:color w:val="000000"/>
          <w:lang w:val="en-GB"/>
        </w:rPr>
        <w:t>7</w:t>
      </w:r>
      <w:r w:rsidRPr="002601BB">
        <w:rPr>
          <w:color w:val="000000"/>
          <w:lang w:val="en-GB"/>
        </w:rPr>
        <w:t xml:space="preserve"> of the provisional agenda</w:t>
      </w:r>
    </w:p>
    <w:p w14:paraId="13F88CAD" w14:textId="77777777" w:rsidR="00DC297C" w:rsidRPr="002601BB" w:rsidRDefault="00DC297C" w:rsidP="00DC297C">
      <w:pPr>
        <w:ind w:right="1260"/>
        <w:rPr>
          <w:b/>
          <w:color w:val="000000"/>
          <w:lang w:val="en-GB"/>
        </w:rPr>
      </w:pPr>
      <w:r w:rsidRPr="002601BB">
        <w:rPr>
          <w:b/>
          <w:color w:val="000000"/>
          <w:lang w:val="en-GB"/>
        </w:rPr>
        <w:t>Country programmes and related matters</w:t>
      </w:r>
    </w:p>
    <w:p w14:paraId="2440D39D" w14:textId="413977C1" w:rsidR="00964A4E" w:rsidRPr="002601BB" w:rsidRDefault="00964A4E" w:rsidP="00EA0169">
      <w:pPr>
        <w:rPr>
          <w:b/>
          <w:color w:val="000000"/>
          <w:lang w:val="en-GB"/>
        </w:rPr>
      </w:pPr>
    </w:p>
    <w:p w14:paraId="2440D3A9" w14:textId="77777777" w:rsidR="00785474" w:rsidRPr="002601BB" w:rsidRDefault="00785474" w:rsidP="00D9153B">
      <w:pPr>
        <w:pStyle w:val="SingleTxt"/>
        <w:spacing w:after="0" w:line="120" w:lineRule="exact"/>
        <w:rPr>
          <w:color w:val="000000"/>
          <w:sz w:val="10"/>
        </w:rPr>
      </w:pPr>
    </w:p>
    <w:p w14:paraId="2440D3AA" w14:textId="77777777" w:rsidR="00785474" w:rsidRPr="002601BB" w:rsidRDefault="00785474" w:rsidP="00D9153B">
      <w:pPr>
        <w:pStyle w:val="SingleTxt"/>
        <w:spacing w:after="0" w:line="120" w:lineRule="exact"/>
        <w:rPr>
          <w:color w:val="000000"/>
          <w:sz w:val="10"/>
        </w:rPr>
      </w:pPr>
    </w:p>
    <w:p w14:paraId="2440D3AB" w14:textId="77777777" w:rsidR="00785474" w:rsidRPr="002601BB" w:rsidRDefault="00785474" w:rsidP="00D9153B">
      <w:pPr>
        <w:pStyle w:val="SingleTxt"/>
        <w:spacing w:after="0" w:line="120" w:lineRule="exact"/>
        <w:rPr>
          <w:color w:val="000000"/>
          <w:sz w:val="10"/>
        </w:rPr>
      </w:pPr>
    </w:p>
    <w:p w14:paraId="46F7F8C9" w14:textId="42D3CE76" w:rsidR="00DC297C" w:rsidRPr="002601BB" w:rsidRDefault="00785474" w:rsidP="002601B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260" w:right="328"/>
        <w:outlineLvl w:val="0"/>
        <w:rPr>
          <w:b/>
          <w:bCs/>
          <w:color w:val="000000"/>
          <w:kern w:val="14"/>
          <w:sz w:val="28"/>
          <w:szCs w:val="28"/>
          <w:lang w:val="en-GB"/>
        </w:rPr>
      </w:pPr>
      <w:r w:rsidRPr="002601BB">
        <w:rPr>
          <w:b/>
          <w:bCs/>
          <w:color w:val="000000"/>
          <w:sz w:val="28"/>
          <w:szCs w:val="28"/>
          <w:lang w:val="en-GB"/>
        </w:rPr>
        <w:t>Draft country programme document for</w:t>
      </w:r>
      <w:r w:rsidR="00BF10D2" w:rsidRPr="002601BB">
        <w:rPr>
          <w:b/>
          <w:bCs/>
          <w:color w:val="000000"/>
          <w:sz w:val="28"/>
          <w:szCs w:val="28"/>
          <w:lang w:val="en-GB"/>
        </w:rPr>
        <w:t xml:space="preserve"> Costa Rica </w:t>
      </w:r>
      <w:r w:rsidR="00DC297C" w:rsidRPr="002601BB">
        <w:rPr>
          <w:b/>
          <w:bCs/>
          <w:color w:val="000000"/>
          <w:sz w:val="28"/>
          <w:szCs w:val="28"/>
          <w:lang w:val="en-GB"/>
        </w:rPr>
        <w:t>(</w:t>
      </w:r>
      <w:r w:rsidR="00BF10D2" w:rsidRPr="002601BB">
        <w:rPr>
          <w:b/>
          <w:bCs/>
          <w:color w:val="000000"/>
          <w:sz w:val="28"/>
          <w:szCs w:val="28"/>
          <w:lang w:val="en-GB"/>
        </w:rPr>
        <w:t>2023-2027</w:t>
      </w:r>
      <w:r w:rsidR="00DC297C" w:rsidRPr="002601BB">
        <w:rPr>
          <w:b/>
          <w:bCs/>
          <w:color w:val="000000"/>
          <w:sz w:val="28"/>
          <w:szCs w:val="28"/>
          <w:lang w:val="en-GB"/>
        </w:rPr>
        <w:t>)</w:t>
      </w:r>
      <w:r w:rsidRPr="002601BB">
        <w:rPr>
          <w:b/>
          <w:bCs/>
          <w:color w:val="000000"/>
          <w:sz w:val="28"/>
          <w:szCs w:val="28"/>
          <w:lang w:val="en-GB"/>
        </w:rPr>
        <w:br/>
      </w:r>
    </w:p>
    <w:p w14:paraId="3210058C" w14:textId="77777777" w:rsidR="00DC297C" w:rsidRPr="002601BB" w:rsidRDefault="00DC297C" w:rsidP="00DC29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2601BB">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DC297C" w:rsidRPr="002601BB" w14:paraId="36DB8D97" w14:textId="77777777" w:rsidTr="00924B03">
        <w:tc>
          <w:tcPr>
            <w:tcW w:w="1260" w:type="dxa"/>
            <w:shd w:val="clear" w:color="auto" w:fill="auto"/>
          </w:tcPr>
          <w:p w14:paraId="2BB18D20" w14:textId="77777777" w:rsidR="00DC297C" w:rsidRPr="002601BB" w:rsidRDefault="00DC297C" w:rsidP="00924B03">
            <w:pPr>
              <w:tabs>
                <w:tab w:val="left" w:pos="1620"/>
              </w:tabs>
              <w:suppressAutoHyphens/>
              <w:spacing w:after="120"/>
              <w:jc w:val="right"/>
              <w:rPr>
                <w:i/>
                <w:color w:val="000000"/>
                <w:spacing w:val="4"/>
                <w:w w:val="103"/>
                <w:kern w:val="14"/>
                <w:sz w:val="14"/>
                <w:lang w:val="en-GB"/>
              </w:rPr>
            </w:pPr>
            <w:r w:rsidRPr="002601BB">
              <w:rPr>
                <w:i/>
                <w:color w:val="000000"/>
                <w:spacing w:val="4"/>
                <w:w w:val="103"/>
                <w:kern w:val="14"/>
                <w:sz w:val="14"/>
                <w:lang w:val="en-GB"/>
              </w:rPr>
              <w:t>Chapter</w:t>
            </w:r>
          </w:p>
        </w:tc>
        <w:tc>
          <w:tcPr>
            <w:tcW w:w="8280" w:type="dxa"/>
            <w:gridSpan w:val="2"/>
            <w:shd w:val="clear" w:color="auto" w:fill="auto"/>
          </w:tcPr>
          <w:p w14:paraId="557FC01E" w14:textId="77777777" w:rsidR="00DC297C" w:rsidRPr="002601BB" w:rsidRDefault="00DC297C" w:rsidP="00924B03">
            <w:pPr>
              <w:tabs>
                <w:tab w:val="left" w:pos="1620"/>
              </w:tabs>
              <w:suppressAutoHyphens/>
              <w:spacing w:after="120"/>
              <w:rPr>
                <w:i/>
                <w:color w:val="000000"/>
                <w:spacing w:val="4"/>
                <w:w w:val="103"/>
                <w:kern w:val="14"/>
                <w:sz w:val="14"/>
                <w:lang w:val="en-GB"/>
              </w:rPr>
            </w:pPr>
          </w:p>
        </w:tc>
        <w:tc>
          <w:tcPr>
            <w:tcW w:w="362" w:type="dxa"/>
            <w:shd w:val="clear" w:color="auto" w:fill="auto"/>
          </w:tcPr>
          <w:p w14:paraId="20FA2148" w14:textId="77777777" w:rsidR="00DC297C" w:rsidRPr="002601BB" w:rsidRDefault="00DC297C" w:rsidP="00924B03">
            <w:pPr>
              <w:tabs>
                <w:tab w:val="left" w:pos="1620"/>
              </w:tabs>
              <w:suppressAutoHyphens/>
              <w:spacing w:after="120"/>
              <w:jc w:val="right"/>
              <w:rPr>
                <w:i/>
                <w:color w:val="000000"/>
                <w:spacing w:val="4"/>
                <w:w w:val="103"/>
                <w:kern w:val="14"/>
                <w:sz w:val="14"/>
                <w:lang w:val="en-GB"/>
              </w:rPr>
            </w:pPr>
            <w:r w:rsidRPr="002601BB">
              <w:rPr>
                <w:i/>
                <w:color w:val="000000"/>
                <w:kern w:val="14"/>
                <w:sz w:val="14"/>
                <w:lang w:val="en-GB"/>
              </w:rPr>
              <w:t>Page</w:t>
            </w:r>
          </w:p>
        </w:tc>
      </w:tr>
      <w:tr w:rsidR="00DC297C" w:rsidRPr="002601BB" w14:paraId="1A0F7350" w14:textId="77777777" w:rsidTr="00924B03">
        <w:tc>
          <w:tcPr>
            <w:tcW w:w="9540" w:type="dxa"/>
            <w:gridSpan w:val="3"/>
            <w:shd w:val="clear" w:color="auto" w:fill="auto"/>
          </w:tcPr>
          <w:p w14:paraId="1FD3A9CE" w14:textId="77777777" w:rsidR="00DC297C" w:rsidRPr="002601BB" w:rsidRDefault="00DC297C" w:rsidP="0074417D">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2601BB">
              <w:rPr>
                <w:color w:val="000000"/>
                <w:kern w:val="14"/>
                <w:lang w:val="en-GB"/>
              </w:rPr>
              <w:tab/>
              <w:t>UNDP within the United Nations Sustainable Development Cooperation Framework</w:t>
            </w:r>
            <w:r w:rsidRPr="002601BB">
              <w:rPr>
                <w:color w:val="000000"/>
                <w:sz w:val="24"/>
                <w:lang w:val="en-GB"/>
              </w:rPr>
              <w:tab/>
            </w:r>
          </w:p>
        </w:tc>
        <w:tc>
          <w:tcPr>
            <w:tcW w:w="362" w:type="dxa"/>
            <w:vMerge w:val="restart"/>
            <w:shd w:val="clear" w:color="auto" w:fill="auto"/>
            <w:vAlign w:val="bottom"/>
          </w:tcPr>
          <w:p w14:paraId="16261669" w14:textId="77777777" w:rsidR="00DC297C" w:rsidRPr="002601BB" w:rsidRDefault="00DC297C" w:rsidP="00924B03">
            <w:pPr>
              <w:tabs>
                <w:tab w:val="left" w:pos="1620"/>
              </w:tabs>
              <w:suppressAutoHyphens/>
              <w:spacing w:after="120" w:line="240" w:lineRule="exact"/>
              <w:jc w:val="right"/>
              <w:rPr>
                <w:color w:val="000000"/>
                <w:spacing w:val="4"/>
                <w:w w:val="103"/>
                <w:kern w:val="14"/>
                <w:lang w:val="en-GB"/>
              </w:rPr>
            </w:pPr>
            <w:r w:rsidRPr="002601BB">
              <w:rPr>
                <w:color w:val="000000"/>
                <w:kern w:val="14"/>
                <w:lang w:val="en-GB"/>
              </w:rPr>
              <w:t>2</w:t>
            </w:r>
          </w:p>
          <w:p w14:paraId="4E367410" w14:textId="77777777" w:rsidR="00DC297C" w:rsidRPr="002601BB" w:rsidRDefault="00DC297C" w:rsidP="00924B03">
            <w:pPr>
              <w:tabs>
                <w:tab w:val="left" w:pos="1620"/>
              </w:tabs>
              <w:suppressAutoHyphens/>
              <w:spacing w:after="120" w:line="240" w:lineRule="exact"/>
              <w:jc w:val="right"/>
              <w:rPr>
                <w:color w:val="000000"/>
                <w:spacing w:val="4"/>
                <w:w w:val="103"/>
                <w:kern w:val="14"/>
                <w:lang w:val="en-GB"/>
              </w:rPr>
            </w:pPr>
            <w:r w:rsidRPr="002601BB">
              <w:rPr>
                <w:color w:val="000000"/>
                <w:spacing w:val="4"/>
                <w:w w:val="103"/>
                <w:kern w:val="14"/>
                <w:lang w:val="en-GB"/>
              </w:rPr>
              <w:t>4</w:t>
            </w:r>
          </w:p>
        </w:tc>
      </w:tr>
      <w:tr w:rsidR="00DC297C" w:rsidRPr="002601BB" w14:paraId="0647203E" w14:textId="77777777" w:rsidTr="00924B03">
        <w:tc>
          <w:tcPr>
            <w:tcW w:w="9540" w:type="dxa"/>
            <w:gridSpan w:val="3"/>
            <w:shd w:val="clear" w:color="auto" w:fill="auto"/>
          </w:tcPr>
          <w:p w14:paraId="5DC7944F" w14:textId="77777777" w:rsidR="00DC297C" w:rsidRPr="002601BB" w:rsidRDefault="00DC297C" w:rsidP="0074417D">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2601BB">
              <w:rPr>
                <w:color w:val="000000"/>
                <w:kern w:val="14"/>
                <w:lang w:val="en-GB"/>
              </w:rPr>
              <w:tab/>
              <w:t>Programme priorities and partnerships</w:t>
            </w:r>
            <w:r w:rsidRPr="002601BB">
              <w:rPr>
                <w:color w:val="000000"/>
                <w:lang w:val="en-GB"/>
              </w:rPr>
              <w:t>………………………………………………….</w:t>
            </w:r>
            <w:r w:rsidRPr="002601BB">
              <w:rPr>
                <w:color w:val="000000"/>
                <w:lang w:val="en-GB"/>
              </w:rPr>
              <w:tab/>
              <w:t>……….…</w:t>
            </w:r>
          </w:p>
        </w:tc>
        <w:tc>
          <w:tcPr>
            <w:tcW w:w="362" w:type="dxa"/>
            <w:vMerge/>
            <w:shd w:val="clear" w:color="auto" w:fill="auto"/>
            <w:vAlign w:val="bottom"/>
          </w:tcPr>
          <w:p w14:paraId="4C918925" w14:textId="77777777" w:rsidR="00DC297C" w:rsidRPr="002601BB" w:rsidRDefault="00DC297C" w:rsidP="00924B03">
            <w:pPr>
              <w:tabs>
                <w:tab w:val="left" w:pos="1620"/>
              </w:tabs>
              <w:suppressAutoHyphens/>
              <w:spacing w:after="120" w:line="240" w:lineRule="exact"/>
              <w:jc w:val="right"/>
              <w:rPr>
                <w:color w:val="000000"/>
                <w:spacing w:val="4"/>
                <w:w w:val="103"/>
                <w:kern w:val="14"/>
                <w:lang w:val="en-GB"/>
              </w:rPr>
            </w:pPr>
          </w:p>
        </w:tc>
      </w:tr>
      <w:tr w:rsidR="00DC297C" w:rsidRPr="002601BB" w14:paraId="1742EFE8" w14:textId="77777777" w:rsidTr="00924B03">
        <w:tc>
          <w:tcPr>
            <w:tcW w:w="9540" w:type="dxa"/>
            <w:gridSpan w:val="3"/>
            <w:shd w:val="clear" w:color="auto" w:fill="auto"/>
          </w:tcPr>
          <w:p w14:paraId="71ACAF28" w14:textId="77777777" w:rsidR="00DC297C" w:rsidRPr="002601BB" w:rsidRDefault="00DC297C" w:rsidP="0074417D">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2601BB">
              <w:rPr>
                <w:color w:val="000000"/>
                <w:kern w:val="14"/>
                <w:lang w:val="en-GB"/>
              </w:rPr>
              <w:tab/>
              <w:t xml:space="preserve">Programme and risk management </w:t>
            </w:r>
            <w:r w:rsidRPr="002601BB">
              <w:rPr>
                <w:color w:val="000000"/>
                <w:lang w:val="en-GB"/>
              </w:rPr>
              <w:t>……………………………………………….…………………</w:t>
            </w:r>
          </w:p>
        </w:tc>
        <w:tc>
          <w:tcPr>
            <w:tcW w:w="362" w:type="dxa"/>
            <w:vMerge w:val="restart"/>
            <w:shd w:val="clear" w:color="auto" w:fill="auto"/>
            <w:vAlign w:val="bottom"/>
          </w:tcPr>
          <w:p w14:paraId="08C87A0F" w14:textId="5B5E0D32" w:rsidR="00DC297C" w:rsidRPr="002601BB" w:rsidRDefault="0083785B" w:rsidP="00924B0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7</w:t>
            </w:r>
          </w:p>
          <w:p w14:paraId="0DFF53EA" w14:textId="5A7B70C9" w:rsidR="00DC297C" w:rsidRPr="002601BB" w:rsidRDefault="0083785B" w:rsidP="00924B0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r w:rsidR="00DC297C" w:rsidRPr="002601BB" w14:paraId="3C3F30FC" w14:textId="77777777" w:rsidTr="00924B03">
        <w:tc>
          <w:tcPr>
            <w:tcW w:w="9540" w:type="dxa"/>
            <w:gridSpan w:val="3"/>
            <w:shd w:val="clear" w:color="auto" w:fill="auto"/>
          </w:tcPr>
          <w:p w14:paraId="7DFA5E16" w14:textId="77777777" w:rsidR="00DC297C" w:rsidRPr="002601BB" w:rsidRDefault="00DC297C" w:rsidP="0074417D">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2601BB">
              <w:rPr>
                <w:color w:val="000000"/>
                <w:kern w:val="14"/>
                <w:lang w:val="en-GB"/>
              </w:rPr>
              <w:tab/>
              <w:t>Monitoring and evaluation</w:t>
            </w:r>
            <w:r w:rsidRPr="002601BB">
              <w:rPr>
                <w:color w:val="000000"/>
                <w:sz w:val="24"/>
                <w:lang w:val="en-GB"/>
              </w:rPr>
              <w:tab/>
            </w:r>
            <w:r w:rsidRPr="002601BB">
              <w:rPr>
                <w:color w:val="000000"/>
                <w:lang w:val="en-GB"/>
              </w:rPr>
              <w:t>…………………………………………………….……………………</w:t>
            </w:r>
          </w:p>
        </w:tc>
        <w:tc>
          <w:tcPr>
            <w:tcW w:w="362" w:type="dxa"/>
            <w:vMerge/>
            <w:shd w:val="clear" w:color="auto" w:fill="auto"/>
            <w:vAlign w:val="bottom"/>
          </w:tcPr>
          <w:p w14:paraId="08F864C9" w14:textId="77777777" w:rsidR="00DC297C" w:rsidRPr="002601BB" w:rsidRDefault="00DC297C" w:rsidP="00924B03">
            <w:pPr>
              <w:tabs>
                <w:tab w:val="left" w:pos="1620"/>
              </w:tabs>
              <w:suppressAutoHyphens/>
              <w:spacing w:after="120" w:line="240" w:lineRule="exact"/>
              <w:jc w:val="right"/>
              <w:rPr>
                <w:color w:val="000000"/>
                <w:spacing w:val="4"/>
                <w:w w:val="103"/>
                <w:kern w:val="14"/>
                <w:lang w:val="en-GB"/>
              </w:rPr>
            </w:pPr>
          </w:p>
        </w:tc>
      </w:tr>
      <w:tr w:rsidR="00DC297C" w:rsidRPr="002601BB" w14:paraId="55E51078" w14:textId="77777777" w:rsidTr="00924B03">
        <w:tc>
          <w:tcPr>
            <w:tcW w:w="9369" w:type="dxa"/>
            <w:gridSpan w:val="2"/>
            <w:shd w:val="clear" w:color="auto" w:fill="auto"/>
          </w:tcPr>
          <w:p w14:paraId="5F4715B4" w14:textId="77777777" w:rsidR="00DC297C" w:rsidRPr="002601BB" w:rsidRDefault="00DC297C" w:rsidP="00924B0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2601BB">
              <w:rPr>
                <w:color w:val="000000"/>
                <w:kern w:val="14"/>
                <w:lang w:val="en-GB"/>
              </w:rPr>
              <w:t>Annex</w:t>
            </w:r>
          </w:p>
        </w:tc>
        <w:tc>
          <w:tcPr>
            <w:tcW w:w="533" w:type="dxa"/>
            <w:gridSpan w:val="2"/>
            <w:shd w:val="clear" w:color="auto" w:fill="auto"/>
            <w:vAlign w:val="bottom"/>
          </w:tcPr>
          <w:p w14:paraId="45187248" w14:textId="77777777" w:rsidR="00DC297C" w:rsidRPr="002601BB" w:rsidRDefault="00DC297C" w:rsidP="00924B03">
            <w:pPr>
              <w:tabs>
                <w:tab w:val="left" w:pos="1620"/>
              </w:tabs>
              <w:suppressAutoHyphens/>
              <w:spacing w:after="120" w:line="240" w:lineRule="exact"/>
              <w:jc w:val="right"/>
              <w:rPr>
                <w:color w:val="000000"/>
                <w:spacing w:val="4"/>
                <w:w w:val="103"/>
                <w:kern w:val="14"/>
                <w:lang w:val="en-GB"/>
              </w:rPr>
            </w:pPr>
          </w:p>
        </w:tc>
      </w:tr>
      <w:tr w:rsidR="00DC297C" w:rsidRPr="002601BB" w14:paraId="60991045" w14:textId="77777777" w:rsidTr="00924B03">
        <w:tc>
          <w:tcPr>
            <w:tcW w:w="9369" w:type="dxa"/>
            <w:gridSpan w:val="2"/>
            <w:shd w:val="clear" w:color="auto" w:fill="auto"/>
          </w:tcPr>
          <w:p w14:paraId="4FB59D0A" w14:textId="67C7A3F1" w:rsidR="00DC297C" w:rsidRPr="002601BB" w:rsidRDefault="00DC297C" w:rsidP="00924B0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2601BB">
              <w:rPr>
                <w:color w:val="000000"/>
                <w:kern w:val="14"/>
                <w:lang w:val="en-GB"/>
              </w:rPr>
              <w:t>Results and resources framework for Costa Rica (2023-2027)</w:t>
            </w:r>
            <w:r w:rsidRPr="002601BB">
              <w:rPr>
                <w:color w:val="000000"/>
                <w:sz w:val="24"/>
                <w:lang w:val="en-GB"/>
              </w:rPr>
              <w:tab/>
            </w:r>
          </w:p>
        </w:tc>
        <w:tc>
          <w:tcPr>
            <w:tcW w:w="533" w:type="dxa"/>
            <w:gridSpan w:val="2"/>
            <w:shd w:val="clear" w:color="auto" w:fill="auto"/>
            <w:vAlign w:val="bottom"/>
          </w:tcPr>
          <w:p w14:paraId="0556737C" w14:textId="776A7896" w:rsidR="00DC297C" w:rsidRPr="002601BB" w:rsidRDefault="0083785B" w:rsidP="00924B0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10</w:t>
            </w:r>
          </w:p>
        </w:tc>
      </w:tr>
    </w:tbl>
    <w:p w14:paraId="2440D3D7" w14:textId="033FB550" w:rsidR="00A918A7" w:rsidRPr="002601BB" w:rsidRDefault="00785474" w:rsidP="0074417D">
      <w:pPr>
        <w:pStyle w:val="Heading2"/>
        <w:numPr>
          <w:ilvl w:val="0"/>
          <w:numId w:val="3"/>
        </w:numPr>
        <w:ind w:left="1440" w:right="1267" w:hanging="360"/>
        <w:jc w:val="both"/>
        <w:rPr>
          <w:rFonts w:ascii="Times New Roman" w:hAnsi="Times New Roman"/>
          <w:color w:val="000000"/>
          <w:sz w:val="20"/>
          <w:lang w:val="en-GB"/>
        </w:rPr>
      </w:pPr>
      <w:r w:rsidRPr="002601BB">
        <w:rPr>
          <w:lang w:val="en-GB"/>
        </w:rPr>
        <w:br w:type="page"/>
      </w:r>
      <w:r w:rsidR="00C1565C" w:rsidRPr="002601BB">
        <w:rPr>
          <w:rFonts w:ascii="Times New Roman" w:hAnsi="Times New Roman"/>
          <w:color w:val="000000"/>
          <w:sz w:val="24"/>
          <w:lang w:val="en-GB"/>
        </w:rPr>
        <w:lastRenderedPageBreak/>
        <w:t>UNDP within the United Nations Sustainable Development Cooperation Framework</w:t>
      </w:r>
    </w:p>
    <w:p w14:paraId="7910FD0C" w14:textId="77777777" w:rsidR="007026CB" w:rsidRPr="002601BB" w:rsidRDefault="007026CB" w:rsidP="00B0447C">
      <w:pPr>
        <w:ind w:left="1440" w:right="1210"/>
        <w:jc w:val="both"/>
        <w:rPr>
          <w:lang w:val="en-GB"/>
        </w:rPr>
      </w:pPr>
    </w:p>
    <w:p w14:paraId="531F5A40" w14:textId="5A851C74" w:rsidR="003A2328" w:rsidRPr="002601BB" w:rsidRDefault="00516445" w:rsidP="0074417D">
      <w:pPr>
        <w:pStyle w:val="ListParagraph"/>
        <w:numPr>
          <w:ilvl w:val="0"/>
          <w:numId w:val="1"/>
        </w:numPr>
        <w:tabs>
          <w:tab w:val="left" w:pos="1800"/>
        </w:tabs>
        <w:spacing w:after="120" w:line="259" w:lineRule="auto"/>
        <w:ind w:left="1440" w:right="1210" w:firstLine="0"/>
        <w:contextualSpacing/>
        <w:jc w:val="both"/>
        <w:rPr>
          <w:lang w:val="en-GB"/>
        </w:rPr>
      </w:pPr>
      <w:r w:rsidRPr="002601BB">
        <w:rPr>
          <w:lang w:val="en-GB"/>
        </w:rPr>
        <w:t xml:space="preserve">This country programme document describes how UNDP will contribute to achieving the results agreed </w:t>
      </w:r>
      <w:r w:rsidR="00B332D6">
        <w:rPr>
          <w:lang w:val="en-GB"/>
        </w:rPr>
        <w:t xml:space="preserve">on </w:t>
      </w:r>
      <w:r w:rsidRPr="002601BB">
        <w:rPr>
          <w:lang w:val="en-GB"/>
        </w:rPr>
        <w:t xml:space="preserve">in the United Nations Sustainable Development Cooperation Framework </w:t>
      </w:r>
      <w:r w:rsidR="002601BB" w:rsidRPr="002601BB">
        <w:rPr>
          <w:lang w:val="en-GB"/>
        </w:rPr>
        <w:t>(UNSDCF)</w:t>
      </w:r>
      <w:r w:rsidR="002601BB">
        <w:rPr>
          <w:lang w:val="en-GB"/>
        </w:rPr>
        <w:t xml:space="preserve"> </w:t>
      </w:r>
      <w:r w:rsidRPr="002601BB">
        <w:rPr>
          <w:lang w:val="en-GB"/>
        </w:rPr>
        <w:t>for Costa Rica, 2023-2027.</w:t>
      </w:r>
      <w:r w:rsidR="00E80022" w:rsidRPr="002601BB">
        <w:rPr>
          <w:lang w:val="en-GB"/>
        </w:rPr>
        <w:t xml:space="preserve"> </w:t>
      </w:r>
      <w:r w:rsidR="00B332D6">
        <w:rPr>
          <w:lang w:val="en-GB"/>
        </w:rPr>
        <w:t>T</w:t>
      </w:r>
      <w:r w:rsidR="002601BB">
        <w:rPr>
          <w:lang w:val="en-GB"/>
        </w:rPr>
        <w:t xml:space="preserve">he country programme and UNSDCF </w:t>
      </w:r>
      <w:r w:rsidRPr="002601BB">
        <w:rPr>
          <w:lang w:val="en-GB"/>
        </w:rPr>
        <w:t xml:space="preserve">were developed </w:t>
      </w:r>
      <w:r w:rsidR="004D5026" w:rsidRPr="002601BB">
        <w:rPr>
          <w:lang w:val="en-GB"/>
        </w:rPr>
        <w:t xml:space="preserve">through </w:t>
      </w:r>
      <w:r w:rsidRPr="002601BB">
        <w:rPr>
          <w:lang w:val="en-GB"/>
        </w:rPr>
        <w:t xml:space="preserve">a participatory </w:t>
      </w:r>
      <w:r w:rsidR="004D5026" w:rsidRPr="002601BB">
        <w:rPr>
          <w:lang w:val="en-GB"/>
        </w:rPr>
        <w:t xml:space="preserve">process aligned </w:t>
      </w:r>
      <w:r w:rsidR="00E80022" w:rsidRPr="002601BB">
        <w:rPr>
          <w:lang w:val="en-GB"/>
        </w:rPr>
        <w:t xml:space="preserve">with </w:t>
      </w:r>
      <w:r w:rsidRPr="002601BB">
        <w:rPr>
          <w:lang w:val="en-GB"/>
        </w:rPr>
        <w:t>national priorities.</w:t>
      </w:r>
      <w:r w:rsidR="00E80022" w:rsidRPr="002601BB">
        <w:rPr>
          <w:lang w:val="en-GB"/>
        </w:rPr>
        <w:t xml:space="preserve"> </w:t>
      </w:r>
      <w:r w:rsidRPr="002601BB">
        <w:rPr>
          <w:lang w:val="en-GB"/>
        </w:rPr>
        <w:t>More than 30</w:t>
      </w:r>
      <w:r w:rsidR="002601BB">
        <w:rPr>
          <w:lang w:val="en-GB"/>
        </w:rPr>
        <w:t> </w:t>
      </w:r>
      <w:r w:rsidRPr="002601BB">
        <w:rPr>
          <w:lang w:val="en-GB"/>
        </w:rPr>
        <w:t xml:space="preserve">dialogues, forums and technical consultations were held </w:t>
      </w:r>
      <w:r w:rsidR="00A028A3" w:rsidRPr="002601BB">
        <w:rPr>
          <w:lang w:val="en-GB"/>
        </w:rPr>
        <w:t xml:space="preserve">and </w:t>
      </w:r>
      <w:r w:rsidRPr="002601BB">
        <w:rPr>
          <w:lang w:val="en-GB"/>
        </w:rPr>
        <w:t>includ</w:t>
      </w:r>
      <w:r w:rsidR="00A028A3" w:rsidRPr="002601BB">
        <w:rPr>
          <w:lang w:val="en-GB"/>
        </w:rPr>
        <w:t>ed</w:t>
      </w:r>
      <w:r w:rsidR="00196A46" w:rsidRPr="002601BB">
        <w:rPr>
          <w:lang w:val="en-GB"/>
        </w:rPr>
        <w:t xml:space="preserve"> n</w:t>
      </w:r>
      <w:r w:rsidRPr="002601BB">
        <w:rPr>
          <w:lang w:val="en-GB"/>
        </w:rPr>
        <w:t xml:space="preserve">ational </w:t>
      </w:r>
      <w:r w:rsidR="00196A46" w:rsidRPr="002601BB">
        <w:rPr>
          <w:lang w:val="en-GB"/>
        </w:rPr>
        <w:t>and local g</w:t>
      </w:r>
      <w:r w:rsidRPr="002601BB">
        <w:rPr>
          <w:lang w:val="en-GB"/>
        </w:rPr>
        <w:t>overnment</w:t>
      </w:r>
      <w:r w:rsidR="00196A46" w:rsidRPr="002601BB">
        <w:rPr>
          <w:lang w:val="en-GB"/>
        </w:rPr>
        <w:t>s</w:t>
      </w:r>
      <w:r w:rsidRPr="002601BB">
        <w:rPr>
          <w:lang w:val="en-GB"/>
        </w:rPr>
        <w:t>,</w:t>
      </w:r>
      <w:r w:rsidR="0016569F" w:rsidRPr="002601BB">
        <w:rPr>
          <w:lang w:val="en-GB"/>
        </w:rPr>
        <w:t xml:space="preserve"> international financial institu</w:t>
      </w:r>
      <w:r w:rsidR="0035068F" w:rsidRPr="002601BB">
        <w:rPr>
          <w:lang w:val="en-GB"/>
        </w:rPr>
        <w:t>t</w:t>
      </w:r>
      <w:r w:rsidR="00FF4881" w:rsidRPr="002601BB">
        <w:rPr>
          <w:lang w:val="en-GB"/>
        </w:rPr>
        <w:t>ions</w:t>
      </w:r>
      <w:r w:rsidRPr="002601BB">
        <w:rPr>
          <w:lang w:val="en-GB"/>
        </w:rPr>
        <w:t xml:space="preserve">, </w:t>
      </w:r>
      <w:r w:rsidR="00196A46" w:rsidRPr="002601BB">
        <w:rPr>
          <w:lang w:val="en-GB"/>
        </w:rPr>
        <w:t>c</w:t>
      </w:r>
      <w:r w:rsidRPr="002601BB">
        <w:rPr>
          <w:lang w:val="en-GB"/>
        </w:rPr>
        <w:t xml:space="preserve">ivil </w:t>
      </w:r>
      <w:r w:rsidR="00196A46" w:rsidRPr="002601BB">
        <w:rPr>
          <w:lang w:val="en-GB"/>
        </w:rPr>
        <w:t>s</w:t>
      </w:r>
      <w:r w:rsidRPr="002601BB">
        <w:rPr>
          <w:lang w:val="en-GB"/>
        </w:rPr>
        <w:t>ociety</w:t>
      </w:r>
      <w:r w:rsidR="00196A46" w:rsidRPr="002601BB">
        <w:rPr>
          <w:lang w:val="en-GB"/>
        </w:rPr>
        <w:t xml:space="preserve"> </w:t>
      </w:r>
      <w:r w:rsidR="00E80022" w:rsidRPr="002601BB">
        <w:rPr>
          <w:lang w:val="en-GB"/>
        </w:rPr>
        <w:t>organi</w:t>
      </w:r>
      <w:r w:rsidR="002601BB">
        <w:rPr>
          <w:lang w:val="en-GB"/>
        </w:rPr>
        <w:t>z</w:t>
      </w:r>
      <w:r w:rsidR="00E80022" w:rsidRPr="002601BB">
        <w:rPr>
          <w:lang w:val="en-GB"/>
        </w:rPr>
        <w:t>ations</w:t>
      </w:r>
      <w:r w:rsidR="00196A46" w:rsidRPr="002601BB">
        <w:rPr>
          <w:lang w:val="en-GB"/>
        </w:rPr>
        <w:t xml:space="preserve">, </w:t>
      </w:r>
      <w:r w:rsidR="00AE555C" w:rsidRPr="002601BB">
        <w:rPr>
          <w:lang w:val="en-GB"/>
        </w:rPr>
        <w:t xml:space="preserve">the </w:t>
      </w:r>
      <w:r w:rsidR="00196A46" w:rsidRPr="002601BB">
        <w:rPr>
          <w:lang w:val="en-GB"/>
        </w:rPr>
        <w:t>private sector</w:t>
      </w:r>
      <w:r w:rsidR="007A41A9" w:rsidRPr="002601BB">
        <w:rPr>
          <w:lang w:val="en-GB"/>
        </w:rPr>
        <w:t xml:space="preserve">, </w:t>
      </w:r>
      <w:r w:rsidR="00E60DBF" w:rsidRPr="002601BB">
        <w:rPr>
          <w:lang w:val="en-GB"/>
        </w:rPr>
        <w:t>women</w:t>
      </w:r>
      <w:r w:rsidR="002601BB">
        <w:rPr>
          <w:lang w:val="en-GB"/>
        </w:rPr>
        <w:t>’s groups</w:t>
      </w:r>
      <w:r w:rsidR="00E60DBF" w:rsidRPr="002601BB">
        <w:rPr>
          <w:lang w:val="en-GB"/>
        </w:rPr>
        <w:t>,</w:t>
      </w:r>
      <w:r w:rsidR="002754FB" w:rsidRPr="002601BB">
        <w:rPr>
          <w:lang w:val="en-GB"/>
        </w:rPr>
        <w:t xml:space="preserve"> </w:t>
      </w:r>
      <w:r w:rsidR="00196A46" w:rsidRPr="002601BB">
        <w:rPr>
          <w:lang w:val="en-GB"/>
        </w:rPr>
        <w:t xml:space="preserve">and </w:t>
      </w:r>
      <w:r w:rsidR="002754FB" w:rsidRPr="002601BB">
        <w:rPr>
          <w:lang w:val="en-GB"/>
        </w:rPr>
        <w:t xml:space="preserve">groups of interest such as indigenous groups, </w:t>
      </w:r>
      <w:r w:rsidR="00B2531D" w:rsidRPr="002601BB">
        <w:rPr>
          <w:lang w:val="en-GB"/>
        </w:rPr>
        <w:t xml:space="preserve">lesbian, gay, bisexual, transgender, queer, intersex, asexual and </w:t>
      </w:r>
      <w:r w:rsidR="00A72CF1" w:rsidRPr="002601BB">
        <w:rPr>
          <w:lang w:val="en-GB"/>
        </w:rPr>
        <w:t>other sexual and gender diversities</w:t>
      </w:r>
      <w:r w:rsidRPr="002601BB">
        <w:rPr>
          <w:lang w:val="en-GB"/>
        </w:rPr>
        <w:t>.</w:t>
      </w:r>
    </w:p>
    <w:p w14:paraId="56D631F9" w14:textId="77777777" w:rsidR="003A2328" w:rsidRPr="002601BB" w:rsidRDefault="003A2328" w:rsidP="001D3052">
      <w:pPr>
        <w:pStyle w:val="ListParagraph"/>
        <w:tabs>
          <w:tab w:val="left" w:pos="1620"/>
        </w:tabs>
        <w:spacing w:after="160" w:line="259" w:lineRule="auto"/>
        <w:ind w:left="1260" w:right="1750"/>
        <w:contextualSpacing/>
        <w:jc w:val="both"/>
        <w:rPr>
          <w:sz w:val="12"/>
          <w:szCs w:val="12"/>
          <w:lang w:val="en-GB"/>
        </w:rPr>
      </w:pPr>
    </w:p>
    <w:p w14:paraId="25E98A2E" w14:textId="2C78E0DE" w:rsidR="001F492F"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w:t>
      </w:r>
      <w:r w:rsidR="00F14C35" w:rsidRPr="002601BB">
        <w:rPr>
          <w:lang w:val="en-GB"/>
        </w:rPr>
        <w:t>UNSDCF</w:t>
      </w:r>
      <w:r w:rsidR="002601BB">
        <w:rPr>
          <w:lang w:val="en-GB"/>
        </w:rPr>
        <w:t xml:space="preserve">, </w:t>
      </w:r>
      <w:r w:rsidRPr="002601BB">
        <w:rPr>
          <w:lang w:val="en-GB"/>
        </w:rPr>
        <w:t>2023-2027</w:t>
      </w:r>
      <w:r w:rsidR="00924B03">
        <w:rPr>
          <w:lang w:val="en-GB"/>
        </w:rPr>
        <w:t>,</w:t>
      </w:r>
      <w:r w:rsidRPr="002601BB">
        <w:rPr>
          <w:lang w:val="en-GB"/>
        </w:rPr>
        <w:t xml:space="preserve"> will work towards reversing the high level of soci</w:t>
      </w:r>
      <w:r w:rsidR="00A045AB" w:rsidRPr="002601BB">
        <w:rPr>
          <w:lang w:val="en-GB"/>
        </w:rPr>
        <w:t>o</w:t>
      </w:r>
      <w:r w:rsidRPr="002601BB">
        <w:rPr>
          <w:lang w:val="en-GB"/>
        </w:rPr>
        <w:t xml:space="preserve">economic inequalities in </w:t>
      </w:r>
      <w:r w:rsidR="00924B03">
        <w:rPr>
          <w:lang w:val="en-GB"/>
        </w:rPr>
        <w:t>Costa Rica</w:t>
      </w:r>
      <w:r w:rsidR="00F14C35" w:rsidRPr="002601BB">
        <w:rPr>
          <w:lang w:val="en-GB"/>
        </w:rPr>
        <w:t xml:space="preserve">, </w:t>
      </w:r>
      <w:r w:rsidRPr="002601BB">
        <w:rPr>
          <w:lang w:val="en-GB"/>
        </w:rPr>
        <w:t xml:space="preserve">enhancing the country’s resilience and capacity to respond to </w:t>
      </w:r>
      <w:r w:rsidR="00AE555C" w:rsidRPr="002601BB">
        <w:rPr>
          <w:lang w:val="en-GB"/>
        </w:rPr>
        <w:t xml:space="preserve">a </w:t>
      </w:r>
      <w:r w:rsidRPr="002601BB">
        <w:rPr>
          <w:lang w:val="en-GB"/>
        </w:rPr>
        <w:t xml:space="preserve">crisis, </w:t>
      </w:r>
      <w:r w:rsidR="007F7C91" w:rsidRPr="002601BB">
        <w:rPr>
          <w:lang w:val="en-GB"/>
        </w:rPr>
        <w:t xml:space="preserve">promoting </w:t>
      </w:r>
      <w:r w:rsidRPr="002601BB">
        <w:rPr>
          <w:lang w:val="en-GB"/>
        </w:rPr>
        <w:t xml:space="preserve">economic activities compatible with sustainable </w:t>
      </w:r>
      <w:r w:rsidR="009C3DFB" w:rsidRPr="002601BB">
        <w:rPr>
          <w:lang w:val="en-GB"/>
        </w:rPr>
        <w:t>development</w:t>
      </w:r>
      <w:r w:rsidRPr="002601BB">
        <w:rPr>
          <w:lang w:val="en-GB"/>
        </w:rPr>
        <w:t xml:space="preserve">, and </w:t>
      </w:r>
      <w:r w:rsidR="007F7C91" w:rsidRPr="002601BB">
        <w:rPr>
          <w:lang w:val="en-GB"/>
        </w:rPr>
        <w:t xml:space="preserve">reducing </w:t>
      </w:r>
      <w:r w:rsidRPr="002601BB">
        <w:rPr>
          <w:lang w:val="en-GB"/>
        </w:rPr>
        <w:t>levels of unemployment</w:t>
      </w:r>
      <w:r w:rsidR="00E6062F" w:rsidRPr="002601BB">
        <w:rPr>
          <w:lang w:val="en-GB"/>
        </w:rPr>
        <w:t xml:space="preserve"> and labour informality</w:t>
      </w:r>
      <w:r w:rsidRPr="002601BB">
        <w:rPr>
          <w:lang w:val="en-GB"/>
        </w:rPr>
        <w:t>, particularly, outside of the Great Metropolitan Region.</w:t>
      </w:r>
      <w:r w:rsidR="00E80022" w:rsidRPr="002601BB">
        <w:rPr>
          <w:lang w:val="en-GB"/>
        </w:rPr>
        <w:t xml:space="preserve"> </w:t>
      </w:r>
      <w:r w:rsidRPr="002601BB">
        <w:rPr>
          <w:lang w:val="en-GB"/>
        </w:rPr>
        <w:t xml:space="preserve">The </w:t>
      </w:r>
      <w:r w:rsidR="00F14C35" w:rsidRPr="002601BB">
        <w:rPr>
          <w:lang w:val="en-GB"/>
        </w:rPr>
        <w:t>UNSDCF</w:t>
      </w:r>
      <w:r w:rsidRPr="002601BB">
        <w:rPr>
          <w:lang w:val="en-GB"/>
        </w:rPr>
        <w:t xml:space="preserve"> will </w:t>
      </w:r>
      <w:r w:rsidR="00924B03">
        <w:rPr>
          <w:lang w:val="en-GB"/>
        </w:rPr>
        <w:t xml:space="preserve">prioritize </w:t>
      </w:r>
      <w:r w:rsidRPr="002601BB">
        <w:rPr>
          <w:lang w:val="en-GB"/>
        </w:rPr>
        <w:t>improv</w:t>
      </w:r>
      <w:r w:rsidR="00924B03">
        <w:rPr>
          <w:lang w:val="en-GB"/>
        </w:rPr>
        <w:t xml:space="preserve">ing </w:t>
      </w:r>
      <w:r w:rsidRPr="002601BB">
        <w:rPr>
          <w:lang w:val="en-GB"/>
        </w:rPr>
        <w:t>the lives of women, indigenous</w:t>
      </w:r>
      <w:r w:rsidR="00924B03">
        <w:rPr>
          <w:lang w:val="en-GB"/>
        </w:rPr>
        <w:t xml:space="preserve"> peoples</w:t>
      </w:r>
      <w:r w:rsidRPr="002601BB">
        <w:rPr>
          <w:lang w:val="en-GB"/>
        </w:rPr>
        <w:t>, afro-descendant,</w:t>
      </w:r>
      <w:r w:rsidR="009E2AEB" w:rsidRPr="002601BB">
        <w:rPr>
          <w:lang w:val="en-GB"/>
        </w:rPr>
        <w:t xml:space="preserve"> migrants,</w:t>
      </w:r>
      <w:r w:rsidRPr="002601BB">
        <w:rPr>
          <w:lang w:val="en-GB"/>
        </w:rPr>
        <w:t xml:space="preserve"> </w:t>
      </w:r>
      <w:r w:rsidR="001732BF" w:rsidRPr="002601BB">
        <w:rPr>
          <w:lang w:val="en-GB"/>
        </w:rPr>
        <w:t>lesbians, gay, bisexual, transgender, queer, intersex,</w:t>
      </w:r>
      <w:r w:rsidR="00924B03">
        <w:rPr>
          <w:lang w:val="en-GB"/>
        </w:rPr>
        <w:t xml:space="preserve"> </w:t>
      </w:r>
      <w:r w:rsidR="001732BF" w:rsidRPr="002601BB">
        <w:rPr>
          <w:lang w:val="en-GB"/>
        </w:rPr>
        <w:t>asexual, and others (</w:t>
      </w:r>
      <w:r w:rsidRPr="002601BB">
        <w:rPr>
          <w:lang w:val="en-GB"/>
        </w:rPr>
        <w:t>LGB</w:t>
      </w:r>
      <w:r w:rsidR="00E92953" w:rsidRPr="002601BB">
        <w:rPr>
          <w:lang w:val="en-GB"/>
        </w:rPr>
        <w:t>TQ</w:t>
      </w:r>
      <w:r w:rsidR="00604DAD" w:rsidRPr="002601BB">
        <w:rPr>
          <w:lang w:val="en-GB"/>
        </w:rPr>
        <w:t>I</w:t>
      </w:r>
      <w:r w:rsidR="0048267E" w:rsidRPr="002601BB">
        <w:rPr>
          <w:lang w:val="en-GB"/>
        </w:rPr>
        <w:t>A</w:t>
      </w:r>
      <w:r w:rsidRPr="002601BB">
        <w:rPr>
          <w:lang w:val="en-GB"/>
        </w:rPr>
        <w:t>+</w:t>
      </w:r>
      <w:r w:rsidR="001732BF" w:rsidRPr="002601BB">
        <w:rPr>
          <w:lang w:val="en-GB"/>
        </w:rPr>
        <w:t>)</w:t>
      </w:r>
      <w:r w:rsidRPr="002601BB">
        <w:rPr>
          <w:lang w:val="en-GB"/>
        </w:rPr>
        <w:t xml:space="preserve"> </w:t>
      </w:r>
      <w:r w:rsidR="00237EEB" w:rsidRPr="002601BB">
        <w:rPr>
          <w:lang w:val="en-GB"/>
        </w:rPr>
        <w:t>persons</w:t>
      </w:r>
      <w:r w:rsidR="00A03190" w:rsidRPr="002601BB">
        <w:rPr>
          <w:lang w:val="en-GB"/>
        </w:rPr>
        <w:t xml:space="preserve">, older </w:t>
      </w:r>
      <w:r w:rsidR="00D85570" w:rsidRPr="002601BB">
        <w:rPr>
          <w:lang w:val="en-GB"/>
        </w:rPr>
        <w:t>persons,</w:t>
      </w:r>
      <w:r w:rsidRPr="002601BB">
        <w:rPr>
          <w:lang w:val="en-GB"/>
        </w:rPr>
        <w:t xml:space="preserve"> and people with disabilities, specifically those living in rural, co</w:t>
      </w:r>
      <w:r w:rsidR="007F7C91" w:rsidRPr="002601BB">
        <w:rPr>
          <w:lang w:val="en-GB"/>
        </w:rPr>
        <w:t>a</w:t>
      </w:r>
      <w:r w:rsidRPr="002601BB">
        <w:rPr>
          <w:lang w:val="en-GB"/>
        </w:rPr>
        <w:t>stal and transboundary territories which have been left out.</w:t>
      </w:r>
      <w:r w:rsidR="00E80022" w:rsidRPr="002601BB">
        <w:rPr>
          <w:lang w:val="en-GB"/>
        </w:rPr>
        <w:t xml:space="preserve"> </w:t>
      </w:r>
      <w:r w:rsidRPr="002601BB">
        <w:rPr>
          <w:lang w:val="en-GB"/>
        </w:rPr>
        <w:t xml:space="preserve">The </w:t>
      </w:r>
      <w:r w:rsidR="00244CCF" w:rsidRPr="002601BB">
        <w:rPr>
          <w:lang w:val="en-GB"/>
        </w:rPr>
        <w:t xml:space="preserve">UNSDCF </w:t>
      </w:r>
      <w:r w:rsidRPr="002601BB">
        <w:rPr>
          <w:lang w:val="en-GB"/>
        </w:rPr>
        <w:t xml:space="preserve">envisions the </w:t>
      </w:r>
      <w:r w:rsidR="00DB12BF" w:rsidRPr="002601BB">
        <w:rPr>
          <w:lang w:val="en-GB"/>
        </w:rPr>
        <w:t>United Nations</w:t>
      </w:r>
      <w:r w:rsidRPr="002601BB">
        <w:rPr>
          <w:lang w:val="en-GB"/>
        </w:rPr>
        <w:t xml:space="preserve"> system working at the intersection of inclusion, economic empowerment, resilience and human rights</w:t>
      </w:r>
      <w:r w:rsidR="007F7ED9" w:rsidRPr="002601BB">
        <w:rPr>
          <w:lang w:val="en-GB"/>
        </w:rPr>
        <w:t xml:space="preserve"> for a </w:t>
      </w:r>
      <w:r w:rsidR="00C633E9" w:rsidRPr="002601BB">
        <w:rPr>
          <w:lang w:val="en-GB"/>
        </w:rPr>
        <w:t>middle</w:t>
      </w:r>
      <w:r w:rsidR="00FC3F08" w:rsidRPr="002601BB">
        <w:rPr>
          <w:lang w:val="en-GB"/>
        </w:rPr>
        <w:t>-</w:t>
      </w:r>
      <w:r w:rsidR="00C633E9" w:rsidRPr="002601BB">
        <w:rPr>
          <w:lang w:val="en-GB"/>
        </w:rPr>
        <w:t xml:space="preserve">income </w:t>
      </w:r>
      <w:r w:rsidR="007F7ED9" w:rsidRPr="002601BB">
        <w:rPr>
          <w:lang w:val="en-GB"/>
        </w:rPr>
        <w:t xml:space="preserve">country </w:t>
      </w:r>
      <w:r w:rsidR="00C633E9" w:rsidRPr="002601BB">
        <w:rPr>
          <w:lang w:val="en-GB"/>
        </w:rPr>
        <w:t xml:space="preserve">belonging to the </w:t>
      </w:r>
      <w:r w:rsidR="008B4222" w:rsidRPr="002601BB">
        <w:rPr>
          <w:lang w:val="en-GB"/>
        </w:rPr>
        <w:t>Organisation for Economic Co-operation and Developmen</w:t>
      </w:r>
      <w:r w:rsidR="00D9271B" w:rsidRPr="002601BB">
        <w:rPr>
          <w:lang w:val="en-GB"/>
        </w:rPr>
        <w:t>t</w:t>
      </w:r>
      <w:r w:rsidR="00AA5989" w:rsidRPr="002601BB">
        <w:rPr>
          <w:lang w:val="en-GB"/>
        </w:rPr>
        <w:t>.</w:t>
      </w:r>
      <w:r w:rsidRPr="002601BB">
        <w:rPr>
          <w:lang w:val="en-GB"/>
        </w:rPr>
        <w:t xml:space="preserve"> Working with the United Nations </w:t>
      </w:r>
      <w:r w:rsidR="00924B03">
        <w:rPr>
          <w:lang w:val="en-GB"/>
        </w:rPr>
        <w:t>c</w:t>
      </w:r>
      <w:r w:rsidRPr="002601BB">
        <w:rPr>
          <w:lang w:val="en-GB"/>
        </w:rPr>
        <w:t xml:space="preserve">ountry </w:t>
      </w:r>
      <w:r w:rsidR="00924B03">
        <w:rPr>
          <w:lang w:val="en-GB"/>
        </w:rPr>
        <w:t>t</w:t>
      </w:r>
      <w:r w:rsidRPr="002601BB">
        <w:rPr>
          <w:lang w:val="en-GB"/>
        </w:rPr>
        <w:t xml:space="preserve">eam, UNDP will </w:t>
      </w:r>
      <w:r w:rsidR="00CE1F70" w:rsidRPr="002601BB">
        <w:rPr>
          <w:lang w:val="en-GB"/>
        </w:rPr>
        <w:t xml:space="preserve">support the integration of </w:t>
      </w:r>
      <w:r w:rsidRPr="002601BB">
        <w:rPr>
          <w:lang w:val="en-GB"/>
        </w:rPr>
        <w:t>the S</w:t>
      </w:r>
      <w:r w:rsidR="00C57E4E" w:rsidRPr="002601BB">
        <w:rPr>
          <w:lang w:val="en-GB"/>
        </w:rPr>
        <w:t xml:space="preserve">ustainable </w:t>
      </w:r>
      <w:r w:rsidRPr="002601BB">
        <w:rPr>
          <w:lang w:val="en-GB"/>
        </w:rPr>
        <w:t>D</w:t>
      </w:r>
      <w:r w:rsidR="00C57E4E" w:rsidRPr="002601BB">
        <w:rPr>
          <w:lang w:val="en-GB"/>
        </w:rPr>
        <w:t xml:space="preserve">evelopment </w:t>
      </w:r>
      <w:r w:rsidRPr="002601BB">
        <w:rPr>
          <w:lang w:val="en-GB"/>
        </w:rPr>
        <w:t>G</w:t>
      </w:r>
      <w:r w:rsidR="00C57E4E" w:rsidRPr="002601BB">
        <w:rPr>
          <w:lang w:val="en-GB"/>
        </w:rPr>
        <w:t>oals (the Goal</w:t>
      </w:r>
      <w:r w:rsidRPr="002601BB">
        <w:rPr>
          <w:lang w:val="en-GB"/>
        </w:rPr>
        <w:t>s</w:t>
      </w:r>
      <w:r w:rsidR="00F9651B" w:rsidRPr="002601BB">
        <w:rPr>
          <w:lang w:val="en-GB"/>
        </w:rPr>
        <w:t>, hereafter</w:t>
      </w:r>
      <w:r w:rsidR="00C57E4E" w:rsidRPr="002601BB">
        <w:rPr>
          <w:lang w:val="en-GB"/>
        </w:rPr>
        <w:t>)</w:t>
      </w:r>
      <w:r w:rsidRPr="002601BB">
        <w:rPr>
          <w:lang w:val="en-GB"/>
        </w:rPr>
        <w:t xml:space="preserve"> into public policies and programming related </w:t>
      </w:r>
      <w:r w:rsidR="007F7C91" w:rsidRPr="002601BB">
        <w:rPr>
          <w:lang w:val="en-GB"/>
        </w:rPr>
        <w:t xml:space="preserve">to </w:t>
      </w:r>
      <w:r w:rsidRPr="002601BB">
        <w:rPr>
          <w:lang w:val="en-GB"/>
        </w:rPr>
        <w:t>inclusion,</w:t>
      </w:r>
      <w:r w:rsidR="007539BE" w:rsidRPr="002601BB">
        <w:rPr>
          <w:lang w:val="en-GB"/>
        </w:rPr>
        <w:t xml:space="preserve"> gender equality,</w:t>
      </w:r>
      <w:r w:rsidRPr="002601BB">
        <w:rPr>
          <w:lang w:val="en-GB"/>
        </w:rPr>
        <w:t xml:space="preserve"> </w:t>
      </w:r>
      <w:r w:rsidR="007F7C91" w:rsidRPr="002601BB">
        <w:rPr>
          <w:lang w:val="en-GB"/>
        </w:rPr>
        <w:t xml:space="preserve">a </w:t>
      </w:r>
      <w:r w:rsidRPr="002601BB">
        <w:rPr>
          <w:lang w:val="en-GB"/>
        </w:rPr>
        <w:t xml:space="preserve">transition towards a green, blue and purple economy, and preparedness for recovery and response to multiple risks and crises. </w:t>
      </w:r>
    </w:p>
    <w:p w14:paraId="0B66CDA0"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01EB3315" w14:textId="54CA66B7" w:rsidR="001F492F"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Despite a longstanding tradition as a peaceful country, with high social investment</w:t>
      </w:r>
      <w:r w:rsidR="00C23DAD" w:rsidRPr="002601BB">
        <w:rPr>
          <w:lang w:val="en-GB"/>
        </w:rPr>
        <w:t xml:space="preserve">, a </w:t>
      </w:r>
      <w:r w:rsidR="003A0498" w:rsidRPr="002601BB">
        <w:rPr>
          <w:lang w:val="en-GB"/>
        </w:rPr>
        <w:t xml:space="preserve">high </w:t>
      </w:r>
      <w:r w:rsidR="00290DBB">
        <w:rPr>
          <w:lang w:val="en-GB"/>
        </w:rPr>
        <w:t>h</w:t>
      </w:r>
      <w:r w:rsidR="00C23DAD" w:rsidRPr="002601BB">
        <w:rPr>
          <w:lang w:val="en-GB"/>
        </w:rPr>
        <w:t xml:space="preserve">uman </w:t>
      </w:r>
      <w:r w:rsidR="00290DBB">
        <w:rPr>
          <w:lang w:val="en-GB"/>
        </w:rPr>
        <w:t>d</w:t>
      </w:r>
      <w:r w:rsidR="00C23DAD" w:rsidRPr="002601BB">
        <w:rPr>
          <w:lang w:val="en-GB"/>
        </w:rPr>
        <w:t xml:space="preserve">evelopment </w:t>
      </w:r>
      <w:r w:rsidR="00290DBB">
        <w:rPr>
          <w:lang w:val="en-GB"/>
        </w:rPr>
        <w:t>i</w:t>
      </w:r>
      <w:r w:rsidR="00C23DAD" w:rsidRPr="002601BB">
        <w:rPr>
          <w:lang w:val="en-GB"/>
        </w:rPr>
        <w:t>ndex of 0.810 (20</w:t>
      </w:r>
      <w:r w:rsidR="008519BB" w:rsidRPr="002601BB">
        <w:rPr>
          <w:lang w:val="en-GB"/>
        </w:rPr>
        <w:t>20</w:t>
      </w:r>
      <w:r w:rsidR="00C23DAD" w:rsidRPr="002601BB">
        <w:rPr>
          <w:lang w:val="en-GB"/>
        </w:rPr>
        <w:t>)</w:t>
      </w:r>
      <w:r w:rsidR="0011218D">
        <w:rPr>
          <w:lang w:val="en-GB"/>
        </w:rPr>
        <w:t>,</w:t>
      </w:r>
      <w:r w:rsidR="00290DBB">
        <w:rPr>
          <w:lang w:val="en-GB"/>
        </w:rPr>
        <w:t xml:space="preserve"> </w:t>
      </w:r>
      <w:r w:rsidR="00FE6F30" w:rsidRPr="002601BB">
        <w:rPr>
          <w:lang w:val="en-GB"/>
        </w:rPr>
        <w:t xml:space="preserve">ranking </w:t>
      </w:r>
      <w:r w:rsidR="00290DBB">
        <w:rPr>
          <w:lang w:val="en-GB"/>
        </w:rPr>
        <w:t xml:space="preserve">of </w:t>
      </w:r>
      <w:r w:rsidR="00C23DAD" w:rsidRPr="002601BB">
        <w:rPr>
          <w:lang w:val="en-GB"/>
        </w:rPr>
        <w:t>6</w:t>
      </w:r>
      <w:r w:rsidR="008519BB" w:rsidRPr="002601BB">
        <w:rPr>
          <w:lang w:val="en-GB"/>
        </w:rPr>
        <w:t>2</w:t>
      </w:r>
      <w:r w:rsidR="00C23DAD" w:rsidRPr="002601BB">
        <w:rPr>
          <w:lang w:val="en-GB"/>
        </w:rPr>
        <w:t xml:space="preserve"> out of 189</w:t>
      </w:r>
      <w:r w:rsidR="00692325" w:rsidRPr="002601BB">
        <w:rPr>
          <w:lang w:val="en-GB"/>
        </w:rPr>
        <w:t>,</w:t>
      </w:r>
      <w:r w:rsidRPr="002601BB">
        <w:rPr>
          <w:lang w:val="en-GB"/>
        </w:rPr>
        <w:t xml:space="preserve"> and </w:t>
      </w:r>
      <w:r w:rsidR="00692325" w:rsidRPr="002601BB">
        <w:rPr>
          <w:lang w:val="en-GB"/>
        </w:rPr>
        <w:t xml:space="preserve">decades of </w:t>
      </w:r>
      <w:r w:rsidRPr="002601BB">
        <w:rPr>
          <w:lang w:val="en-GB"/>
        </w:rPr>
        <w:t xml:space="preserve">uninterrupted democracy, </w:t>
      </w:r>
      <w:r w:rsidR="00E04C50" w:rsidRPr="002601BB">
        <w:rPr>
          <w:lang w:val="en-GB"/>
        </w:rPr>
        <w:t xml:space="preserve">Costa Rica </w:t>
      </w:r>
      <w:r w:rsidR="00AF51DA" w:rsidRPr="002601BB">
        <w:rPr>
          <w:lang w:val="en-GB"/>
        </w:rPr>
        <w:t>faces</w:t>
      </w:r>
      <w:r w:rsidR="0031176E" w:rsidRPr="002601BB">
        <w:rPr>
          <w:lang w:val="en-GB"/>
        </w:rPr>
        <w:t xml:space="preserve"> </w:t>
      </w:r>
      <w:r w:rsidR="00417B54" w:rsidRPr="002601BB">
        <w:rPr>
          <w:lang w:val="en-GB"/>
        </w:rPr>
        <w:t>increasing</w:t>
      </w:r>
      <w:r w:rsidR="005125E7" w:rsidRPr="002601BB">
        <w:rPr>
          <w:lang w:val="en-GB"/>
        </w:rPr>
        <w:t xml:space="preserve"> </w:t>
      </w:r>
      <w:r w:rsidR="00AF51DA" w:rsidRPr="002601BB">
        <w:rPr>
          <w:lang w:val="en-GB"/>
        </w:rPr>
        <w:t>income inequality</w:t>
      </w:r>
      <w:r w:rsidR="00417B54" w:rsidRPr="002601BB">
        <w:rPr>
          <w:lang w:val="en-GB"/>
        </w:rPr>
        <w:t>; its Gini index went from 0.507 in 2010 to 0.524 in 2021</w:t>
      </w:r>
      <w:r w:rsidRPr="002601BB">
        <w:rPr>
          <w:lang w:val="en-GB"/>
        </w:rPr>
        <w:t>.</w:t>
      </w:r>
      <w:r w:rsidR="00290DBB">
        <w:rPr>
          <w:rStyle w:val="FootnoteReference"/>
          <w:lang w:val="en-GB"/>
        </w:rPr>
        <w:footnoteReference w:id="2"/>
      </w:r>
      <w:r w:rsidR="00E80022" w:rsidRPr="002601BB">
        <w:rPr>
          <w:lang w:val="en-GB"/>
        </w:rPr>
        <w:t xml:space="preserve"> </w:t>
      </w:r>
      <w:r w:rsidRPr="002601BB">
        <w:rPr>
          <w:lang w:val="en-GB"/>
        </w:rPr>
        <w:t>By 2021</w:t>
      </w:r>
      <w:r w:rsidR="00290DBB">
        <w:rPr>
          <w:lang w:val="en-GB"/>
        </w:rPr>
        <w:t xml:space="preserve">, </w:t>
      </w:r>
      <w:r w:rsidRPr="002601BB">
        <w:rPr>
          <w:lang w:val="en-GB"/>
        </w:rPr>
        <w:t>16.4</w:t>
      </w:r>
      <w:r w:rsidR="0048267E" w:rsidRPr="002601BB">
        <w:rPr>
          <w:lang w:val="en-GB"/>
        </w:rPr>
        <w:t xml:space="preserve"> per</w:t>
      </w:r>
      <w:r w:rsidR="00A772B0" w:rsidRPr="002601BB">
        <w:rPr>
          <w:lang w:val="en-GB"/>
        </w:rPr>
        <w:t xml:space="preserve"> </w:t>
      </w:r>
      <w:r w:rsidR="0048267E" w:rsidRPr="002601BB">
        <w:rPr>
          <w:lang w:val="en-GB"/>
        </w:rPr>
        <w:t>cent</w:t>
      </w:r>
      <w:r w:rsidRPr="002601BB">
        <w:rPr>
          <w:lang w:val="en-GB"/>
        </w:rPr>
        <w:t xml:space="preserve"> of households were multidimensionally poor</w:t>
      </w:r>
      <w:r w:rsidR="00290DBB">
        <w:rPr>
          <w:rStyle w:val="FootnoteReference"/>
          <w:lang w:val="en-GB"/>
        </w:rPr>
        <w:footnoteReference w:id="3"/>
      </w:r>
      <w:r w:rsidR="009C5C30">
        <w:rPr>
          <w:lang w:val="en-GB"/>
        </w:rPr>
        <w:t>,</w:t>
      </w:r>
      <w:r w:rsidRPr="002601BB">
        <w:rPr>
          <w:lang w:val="en-GB"/>
        </w:rPr>
        <w:t xml:space="preserve"> and income poverty affected 2</w:t>
      </w:r>
      <w:r w:rsidR="00DC0C0B" w:rsidRPr="002601BB">
        <w:rPr>
          <w:lang w:val="en-GB"/>
        </w:rPr>
        <w:t>6</w:t>
      </w:r>
      <w:r w:rsidR="0048267E" w:rsidRPr="002601BB">
        <w:rPr>
          <w:lang w:val="en-GB"/>
        </w:rPr>
        <w:t xml:space="preserve"> per</w:t>
      </w:r>
      <w:r w:rsidR="00A772B0" w:rsidRPr="002601BB">
        <w:rPr>
          <w:lang w:val="en-GB"/>
        </w:rPr>
        <w:t xml:space="preserve"> </w:t>
      </w:r>
      <w:r w:rsidR="0048267E" w:rsidRPr="002601BB">
        <w:rPr>
          <w:lang w:val="en-GB"/>
        </w:rPr>
        <w:t>cent</w:t>
      </w:r>
      <w:r w:rsidRPr="002601BB">
        <w:rPr>
          <w:lang w:val="en-GB"/>
        </w:rPr>
        <w:t xml:space="preserve"> of </w:t>
      </w:r>
      <w:r w:rsidR="00DC0C0B" w:rsidRPr="002601BB">
        <w:rPr>
          <w:lang w:val="en-GB"/>
        </w:rPr>
        <w:t>households</w:t>
      </w:r>
      <w:r w:rsidRPr="002601BB">
        <w:rPr>
          <w:lang w:val="en-GB"/>
        </w:rPr>
        <w:t xml:space="preserve">, </w:t>
      </w:r>
      <w:r w:rsidR="00CB6E2A">
        <w:rPr>
          <w:lang w:val="en-GB"/>
        </w:rPr>
        <w:t>four</w:t>
      </w:r>
      <w:r w:rsidR="00290DBB">
        <w:rPr>
          <w:lang w:val="en-GB"/>
        </w:rPr>
        <w:t> </w:t>
      </w:r>
      <w:r w:rsidR="0048267E" w:rsidRPr="002601BB">
        <w:rPr>
          <w:lang w:val="en-GB"/>
        </w:rPr>
        <w:t>percent</w:t>
      </w:r>
      <w:r w:rsidR="007029EE" w:rsidRPr="002601BB">
        <w:rPr>
          <w:lang w:val="en-GB"/>
        </w:rPr>
        <w:t>age points</w:t>
      </w:r>
      <w:r w:rsidRPr="002601BB">
        <w:rPr>
          <w:lang w:val="en-GB"/>
        </w:rPr>
        <w:t xml:space="preserve"> more than in 2019.</w:t>
      </w:r>
      <w:r w:rsidR="00E80022" w:rsidRPr="002601BB">
        <w:rPr>
          <w:lang w:val="en-GB"/>
        </w:rPr>
        <w:t xml:space="preserve"> </w:t>
      </w:r>
      <w:r w:rsidR="00290DBB">
        <w:rPr>
          <w:lang w:val="en-GB"/>
        </w:rPr>
        <w:t>L</w:t>
      </w:r>
      <w:r w:rsidR="007D43E4" w:rsidRPr="002601BB">
        <w:rPr>
          <w:lang w:val="en-GB"/>
        </w:rPr>
        <w:t>ow growth</w:t>
      </w:r>
      <w:r w:rsidR="006A6BB2" w:rsidRPr="002601BB">
        <w:rPr>
          <w:lang w:val="en-GB"/>
        </w:rPr>
        <w:t>, a high level of labour informality (45</w:t>
      </w:r>
      <w:r w:rsidR="00290DBB">
        <w:rPr>
          <w:lang w:val="en-GB"/>
        </w:rPr>
        <w:t> per cent</w:t>
      </w:r>
      <w:r w:rsidR="006A6BB2" w:rsidRPr="002601BB">
        <w:rPr>
          <w:lang w:val="en-GB"/>
        </w:rPr>
        <w:t>)</w:t>
      </w:r>
      <w:r w:rsidR="00290DBB">
        <w:rPr>
          <w:lang w:val="en-GB"/>
        </w:rPr>
        <w:t>,</w:t>
      </w:r>
      <w:r w:rsidR="006A6BB2" w:rsidRPr="002601BB">
        <w:rPr>
          <w:lang w:val="en-GB"/>
        </w:rPr>
        <w:t xml:space="preserve"> </w:t>
      </w:r>
      <w:r w:rsidR="007D43E4" w:rsidRPr="002601BB">
        <w:rPr>
          <w:lang w:val="en-GB"/>
        </w:rPr>
        <w:t xml:space="preserve">and </w:t>
      </w:r>
      <w:r w:rsidR="00290DBB">
        <w:rPr>
          <w:lang w:val="en-GB"/>
        </w:rPr>
        <w:t xml:space="preserve">the country’s </w:t>
      </w:r>
      <w:r w:rsidR="007D43E4" w:rsidRPr="002601BB">
        <w:rPr>
          <w:lang w:val="en-GB"/>
        </w:rPr>
        <w:t xml:space="preserve">economic model </w:t>
      </w:r>
      <w:r w:rsidR="00290DBB">
        <w:rPr>
          <w:lang w:val="en-GB"/>
        </w:rPr>
        <w:t xml:space="preserve">together </w:t>
      </w:r>
      <w:r w:rsidR="004657B6" w:rsidRPr="002601BB">
        <w:rPr>
          <w:lang w:val="en-GB"/>
        </w:rPr>
        <w:t xml:space="preserve">disproportionately affect </w:t>
      </w:r>
      <w:r w:rsidR="00297527" w:rsidRPr="002601BB">
        <w:rPr>
          <w:lang w:val="en-GB"/>
        </w:rPr>
        <w:t xml:space="preserve">women and </w:t>
      </w:r>
      <w:r w:rsidR="00E80022" w:rsidRPr="002601BB">
        <w:rPr>
          <w:lang w:val="en-GB"/>
        </w:rPr>
        <w:t>marginali</w:t>
      </w:r>
      <w:r w:rsidR="00290DBB">
        <w:rPr>
          <w:lang w:val="en-GB"/>
        </w:rPr>
        <w:t>z</w:t>
      </w:r>
      <w:r w:rsidR="00E80022" w:rsidRPr="002601BB">
        <w:rPr>
          <w:lang w:val="en-GB"/>
        </w:rPr>
        <w:t xml:space="preserve">ed </w:t>
      </w:r>
      <w:r w:rsidR="004657B6" w:rsidRPr="002601BB">
        <w:rPr>
          <w:lang w:val="en-GB"/>
        </w:rPr>
        <w:t>groups</w:t>
      </w:r>
      <w:r w:rsidR="00FC7627" w:rsidRPr="002601BB">
        <w:rPr>
          <w:lang w:val="en-GB"/>
        </w:rPr>
        <w:t xml:space="preserve"> negatively</w:t>
      </w:r>
      <w:r w:rsidR="00CC08C8">
        <w:rPr>
          <w:lang w:val="en-GB"/>
        </w:rPr>
        <w:t xml:space="preserve"> – </w:t>
      </w:r>
      <w:r w:rsidR="004657B6" w:rsidRPr="002601BB">
        <w:rPr>
          <w:lang w:val="en-GB"/>
        </w:rPr>
        <w:t xml:space="preserve">particularly those living in </w:t>
      </w:r>
      <w:r w:rsidRPr="002601BB">
        <w:rPr>
          <w:lang w:val="en-GB"/>
        </w:rPr>
        <w:t>rural, co</w:t>
      </w:r>
      <w:r w:rsidR="00FC7627" w:rsidRPr="002601BB">
        <w:rPr>
          <w:lang w:val="en-GB"/>
        </w:rPr>
        <w:t>a</w:t>
      </w:r>
      <w:r w:rsidRPr="002601BB">
        <w:rPr>
          <w:lang w:val="en-GB"/>
        </w:rPr>
        <w:t>stal and transboundary territories</w:t>
      </w:r>
      <w:r w:rsidR="00CC08C8">
        <w:rPr>
          <w:lang w:val="en-GB"/>
        </w:rPr>
        <w:t xml:space="preserve"> – </w:t>
      </w:r>
      <w:r w:rsidRPr="002601BB">
        <w:rPr>
          <w:lang w:val="en-GB"/>
        </w:rPr>
        <w:t xml:space="preserve">as well as </w:t>
      </w:r>
      <w:r w:rsidR="004657B6" w:rsidRPr="002601BB">
        <w:rPr>
          <w:lang w:val="en-GB"/>
        </w:rPr>
        <w:t xml:space="preserve">vulnerable groups, such as </w:t>
      </w:r>
      <w:r w:rsidRPr="002601BB">
        <w:rPr>
          <w:lang w:val="en-GB"/>
        </w:rPr>
        <w:t xml:space="preserve">indigenous </w:t>
      </w:r>
      <w:r w:rsidR="004657B6" w:rsidRPr="002601BB">
        <w:rPr>
          <w:lang w:val="en-GB"/>
        </w:rPr>
        <w:t xml:space="preserve">peoples </w:t>
      </w:r>
      <w:r w:rsidRPr="002601BB">
        <w:rPr>
          <w:lang w:val="en-GB"/>
        </w:rPr>
        <w:t>and afro-descendants.</w:t>
      </w:r>
      <w:r w:rsidR="00E80022" w:rsidRPr="002601BB">
        <w:rPr>
          <w:lang w:val="en-GB"/>
        </w:rPr>
        <w:t xml:space="preserve"> </w:t>
      </w:r>
      <w:r w:rsidR="005237EF" w:rsidRPr="002601BB">
        <w:rPr>
          <w:lang w:val="en-GB"/>
        </w:rPr>
        <w:t xml:space="preserve">Women have been particularly impacted by the </w:t>
      </w:r>
      <w:r w:rsidR="007B5A50" w:rsidRPr="002601BB">
        <w:rPr>
          <w:color w:val="212121"/>
          <w:shd w:val="clear" w:color="auto" w:fill="FFFFFF"/>
          <w:lang w:val="en-GB"/>
        </w:rPr>
        <w:t xml:space="preserve">economic and social effects of the </w:t>
      </w:r>
      <w:r w:rsidR="00CC08C8">
        <w:rPr>
          <w:color w:val="212121"/>
          <w:shd w:val="clear" w:color="auto" w:fill="FFFFFF"/>
          <w:lang w:val="en-GB"/>
        </w:rPr>
        <w:t xml:space="preserve">COVID-19 </w:t>
      </w:r>
      <w:r w:rsidR="007B5A50" w:rsidRPr="002601BB">
        <w:rPr>
          <w:color w:val="212121"/>
          <w:shd w:val="clear" w:color="auto" w:fill="FFFFFF"/>
          <w:lang w:val="en-GB"/>
        </w:rPr>
        <w:t xml:space="preserve">pandemic, </w:t>
      </w:r>
      <w:r w:rsidR="00CC08C8">
        <w:rPr>
          <w:color w:val="212121"/>
          <w:shd w:val="clear" w:color="auto" w:fill="FFFFFF"/>
          <w:lang w:val="en-GB"/>
        </w:rPr>
        <w:t xml:space="preserve">which has </w:t>
      </w:r>
      <w:r w:rsidR="007B5A50" w:rsidRPr="002601BB">
        <w:rPr>
          <w:color w:val="212121"/>
          <w:shd w:val="clear" w:color="auto" w:fill="FFFFFF"/>
          <w:lang w:val="en-GB"/>
        </w:rPr>
        <w:t>widen</w:t>
      </w:r>
      <w:r w:rsidR="00CC08C8">
        <w:rPr>
          <w:color w:val="212121"/>
          <w:shd w:val="clear" w:color="auto" w:fill="FFFFFF"/>
          <w:lang w:val="en-GB"/>
        </w:rPr>
        <w:t>ed</w:t>
      </w:r>
      <w:r w:rsidR="007B5A50" w:rsidRPr="002601BB">
        <w:rPr>
          <w:color w:val="212121"/>
          <w:shd w:val="clear" w:color="auto" w:fill="FFFFFF"/>
          <w:lang w:val="en-GB"/>
        </w:rPr>
        <w:t xml:space="preserve"> </w:t>
      </w:r>
      <w:r w:rsidR="005237EF" w:rsidRPr="002601BB">
        <w:rPr>
          <w:color w:val="212121"/>
          <w:shd w:val="clear" w:color="auto" w:fill="FFFFFF"/>
          <w:lang w:val="en-GB"/>
        </w:rPr>
        <w:t xml:space="preserve">economic </w:t>
      </w:r>
      <w:r w:rsidR="00CA2EC0" w:rsidRPr="002601BB">
        <w:rPr>
          <w:color w:val="212121"/>
          <w:shd w:val="clear" w:color="auto" w:fill="FFFFFF"/>
          <w:lang w:val="en-GB"/>
        </w:rPr>
        <w:t xml:space="preserve">gender </w:t>
      </w:r>
      <w:r w:rsidR="007B5A50" w:rsidRPr="002601BB">
        <w:rPr>
          <w:color w:val="212121"/>
          <w:shd w:val="clear" w:color="auto" w:fill="FFFFFF"/>
          <w:lang w:val="en-GB"/>
        </w:rPr>
        <w:t xml:space="preserve">gaps </w:t>
      </w:r>
      <w:r w:rsidR="005237EF" w:rsidRPr="002601BB">
        <w:rPr>
          <w:color w:val="212121"/>
          <w:shd w:val="clear" w:color="auto" w:fill="FFFFFF"/>
          <w:lang w:val="en-GB"/>
        </w:rPr>
        <w:t>and</w:t>
      </w:r>
      <w:r w:rsidR="00C77EE5" w:rsidRPr="002601BB">
        <w:rPr>
          <w:lang w:val="en-GB"/>
        </w:rPr>
        <w:t xml:space="preserve"> </w:t>
      </w:r>
      <w:r w:rsidR="00CC08C8">
        <w:rPr>
          <w:lang w:val="en-GB"/>
        </w:rPr>
        <w:t xml:space="preserve">brought </w:t>
      </w:r>
      <w:r w:rsidR="005237EF" w:rsidRPr="002601BB">
        <w:rPr>
          <w:lang w:val="en-GB"/>
        </w:rPr>
        <w:t>high level</w:t>
      </w:r>
      <w:r w:rsidR="007F7C91" w:rsidRPr="002601BB">
        <w:rPr>
          <w:lang w:val="en-GB"/>
        </w:rPr>
        <w:t>s</w:t>
      </w:r>
      <w:r w:rsidR="005237EF" w:rsidRPr="002601BB">
        <w:rPr>
          <w:lang w:val="en-GB"/>
        </w:rPr>
        <w:t xml:space="preserve"> of domestic abuse</w:t>
      </w:r>
      <w:r w:rsidR="006A6BB2" w:rsidRPr="002601BB">
        <w:rPr>
          <w:lang w:val="en-GB"/>
        </w:rPr>
        <w:t xml:space="preserve">; an average of 133 protection measures against domestic violence are taken </w:t>
      </w:r>
      <w:r w:rsidR="00B332D6">
        <w:rPr>
          <w:lang w:val="en-GB"/>
        </w:rPr>
        <w:t>dail</w:t>
      </w:r>
      <w:r w:rsidR="006A6BB2" w:rsidRPr="002601BB">
        <w:rPr>
          <w:lang w:val="en-GB"/>
        </w:rPr>
        <w:t>y</w:t>
      </w:r>
      <w:r w:rsidR="00711AA0" w:rsidRPr="002601BB">
        <w:rPr>
          <w:lang w:val="en-GB"/>
        </w:rPr>
        <w:t>.</w:t>
      </w:r>
    </w:p>
    <w:p w14:paraId="6FF48B87" w14:textId="77777777" w:rsidR="00AA3F36" w:rsidRPr="002601BB" w:rsidRDefault="00AA3F36" w:rsidP="001D3052">
      <w:pPr>
        <w:pStyle w:val="ListParagraph"/>
        <w:tabs>
          <w:tab w:val="left" w:pos="1620"/>
        </w:tabs>
        <w:spacing w:after="160" w:line="259" w:lineRule="auto"/>
        <w:ind w:left="1260" w:right="1750"/>
        <w:contextualSpacing/>
        <w:jc w:val="both"/>
        <w:rPr>
          <w:sz w:val="12"/>
          <w:szCs w:val="12"/>
          <w:lang w:val="en-GB"/>
        </w:rPr>
      </w:pPr>
    </w:p>
    <w:p w14:paraId="04D2D7A3" w14:textId="111F53E2" w:rsidR="009D6FDF" w:rsidRPr="002601BB" w:rsidRDefault="00244CC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crime </w:t>
      </w:r>
      <w:r w:rsidR="009D6FDF" w:rsidRPr="002601BB">
        <w:rPr>
          <w:lang w:val="en-GB"/>
        </w:rPr>
        <w:t xml:space="preserve">rate in Costa Rica has increased significantly in the last two decades. According to the </w:t>
      </w:r>
      <w:r w:rsidR="00952D25" w:rsidRPr="002601BB">
        <w:rPr>
          <w:lang w:val="en-GB"/>
        </w:rPr>
        <w:t>Judicial Investigation Agency</w:t>
      </w:r>
      <w:r w:rsidR="009D6FDF" w:rsidRPr="002601BB">
        <w:rPr>
          <w:lang w:val="en-GB"/>
        </w:rPr>
        <w:t>, the homicide rate went from 6.4 in 20</w:t>
      </w:r>
      <w:r w:rsidR="007F1F85" w:rsidRPr="002601BB">
        <w:rPr>
          <w:lang w:val="en-GB"/>
        </w:rPr>
        <w:t>0</w:t>
      </w:r>
      <w:r w:rsidR="009D6FDF" w:rsidRPr="002601BB">
        <w:rPr>
          <w:lang w:val="en-GB"/>
        </w:rPr>
        <w:t xml:space="preserve">0 to 11.4 in 2021, mainly affecting young </w:t>
      </w:r>
      <w:r w:rsidR="0098679C" w:rsidRPr="002601BB">
        <w:rPr>
          <w:lang w:val="en-GB"/>
        </w:rPr>
        <w:t>males</w:t>
      </w:r>
      <w:r w:rsidR="009D6FDF" w:rsidRPr="002601BB">
        <w:rPr>
          <w:lang w:val="en-GB"/>
        </w:rPr>
        <w:t>.</w:t>
      </w:r>
      <w:r w:rsidR="00E80022" w:rsidRPr="002601BB">
        <w:rPr>
          <w:lang w:val="en-GB"/>
        </w:rPr>
        <w:t xml:space="preserve"> </w:t>
      </w:r>
      <w:r w:rsidR="009D6FDF" w:rsidRPr="002601BB">
        <w:rPr>
          <w:lang w:val="en-GB"/>
        </w:rPr>
        <w:t xml:space="preserve">Violence has increased due to the penetration of </w:t>
      </w:r>
      <w:r w:rsidR="00E80022" w:rsidRPr="002601BB">
        <w:rPr>
          <w:lang w:val="en-GB"/>
        </w:rPr>
        <w:t>organi</w:t>
      </w:r>
      <w:r w:rsidR="00CB6E2A">
        <w:rPr>
          <w:lang w:val="en-GB"/>
        </w:rPr>
        <w:t>z</w:t>
      </w:r>
      <w:r w:rsidR="00E80022" w:rsidRPr="002601BB">
        <w:rPr>
          <w:lang w:val="en-GB"/>
        </w:rPr>
        <w:t xml:space="preserve">ed </w:t>
      </w:r>
      <w:r w:rsidR="009D6FDF" w:rsidRPr="002601BB">
        <w:rPr>
          <w:lang w:val="en-GB"/>
        </w:rPr>
        <w:t>crime at various levels and territories</w:t>
      </w:r>
      <w:r w:rsidR="00324F60" w:rsidRPr="002601BB">
        <w:rPr>
          <w:lang w:val="en-GB"/>
        </w:rPr>
        <w:t>, generating consequ</w:t>
      </w:r>
      <w:r w:rsidR="00DD2E10" w:rsidRPr="002601BB">
        <w:rPr>
          <w:lang w:val="en-GB"/>
        </w:rPr>
        <w:t xml:space="preserve">ences </w:t>
      </w:r>
      <w:r w:rsidR="009D6FDF" w:rsidRPr="002601BB">
        <w:rPr>
          <w:lang w:val="en-GB"/>
        </w:rPr>
        <w:t>in the political, social, economic and environmental spheres.</w:t>
      </w:r>
      <w:r w:rsidR="00E80022" w:rsidRPr="002601BB">
        <w:rPr>
          <w:lang w:val="en-GB"/>
        </w:rPr>
        <w:t xml:space="preserve"> </w:t>
      </w:r>
      <w:r w:rsidR="00690C70" w:rsidRPr="002601BB">
        <w:rPr>
          <w:lang w:val="en-GB"/>
        </w:rPr>
        <w:t xml:space="preserve">The incidence of </w:t>
      </w:r>
      <w:r w:rsidR="00BA738B" w:rsidRPr="002601BB">
        <w:rPr>
          <w:lang w:val="en-GB"/>
        </w:rPr>
        <w:t>femi</w:t>
      </w:r>
      <w:r w:rsidR="00BA738B">
        <w:rPr>
          <w:lang w:val="en-GB"/>
        </w:rPr>
        <w:t>cide</w:t>
      </w:r>
      <w:r w:rsidR="00BA738B" w:rsidRPr="002601BB">
        <w:rPr>
          <w:lang w:val="en-GB"/>
        </w:rPr>
        <w:t xml:space="preserve"> </w:t>
      </w:r>
      <w:r w:rsidR="0098679C" w:rsidRPr="002601BB">
        <w:rPr>
          <w:lang w:val="en-GB"/>
        </w:rPr>
        <w:t xml:space="preserve">(approximately </w:t>
      </w:r>
      <w:r w:rsidR="00CB6E2A">
        <w:rPr>
          <w:lang w:val="en-GB"/>
        </w:rPr>
        <w:t xml:space="preserve">two </w:t>
      </w:r>
      <w:r w:rsidR="0098679C" w:rsidRPr="002601BB">
        <w:rPr>
          <w:lang w:val="en-GB"/>
        </w:rPr>
        <w:t xml:space="preserve">per month) and other kinds of </w:t>
      </w:r>
      <w:r w:rsidR="00690C70" w:rsidRPr="002601BB">
        <w:rPr>
          <w:lang w:val="en-GB"/>
        </w:rPr>
        <w:t>violence against women is also critical</w:t>
      </w:r>
      <w:r w:rsidRPr="002601BB">
        <w:rPr>
          <w:lang w:val="en-GB"/>
        </w:rPr>
        <w:t>, affecting</w:t>
      </w:r>
      <w:r w:rsidR="00690C70" w:rsidRPr="002601BB">
        <w:rPr>
          <w:lang w:val="en-GB"/>
        </w:rPr>
        <w:t xml:space="preserve"> the</w:t>
      </w:r>
      <w:r w:rsidR="009415C6" w:rsidRPr="002601BB">
        <w:rPr>
          <w:lang w:val="en-GB"/>
        </w:rPr>
        <w:t>ir</w:t>
      </w:r>
      <w:r w:rsidR="00690C70" w:rsidRPr="002601BB">
        <w:rPr>
          <w:lang w:val="en-GB"/>
        </w:rPr>
        <w:t xml:space="preserve"> physical, economic and political autonomy</w:t>
      </w:r>
      <w:r w:rsidR="004269A0" w:rsidRPr="002601BB">
        <w:rPr>
          <w:lang w:val="en-GB"/>
        </w:rPr>
        <w:t>.</w:t>
      </w:r>
    </w:p>
    <w:p w14:paraId="557501CC" w14:textId="77777777" w:rsidR="009D6FDF" w:rsidRPr="002601BB" w:rsidRDefault="009D6FDF" w:rsidP="001D3052">
      <w:pPr>
        <w:pStyle w:val="ListParagraph"/>
        <w:tabs>
          <w:tab w:val="left" w:pos="1620"/>
        </w:tabs>
        <w:spacing w:after="160" w:line="259" w:lineRule="auto"/>
        <w:ind w:left="1260" w:right="1750"/>
        <w:contextualSpacing/>
        <w:jc w:val="both"/>
        <w:rPr>
          <w:sz w:val="12"/>
          <w:szCs w:val="12"/>
          <w:lang w:val="en-GB"/>
        </w:rPr>
      </w:pPr>
    </w:p>
    <w:p w14:paraId="7AA76C95" w14:textId="623C6567" w:rsidR="001F492F" w:rsidRPr="002601BB" w:rsidRDefault="00C51DD1"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State institutions face significant challenges </w:t>
      </w:r>
      <w:r w:rsidR="009415C6" w:rsidRPr="002601BB">
        <w:rPr>
          <w:lang w:val="en-GB"/>
        </w:rPr>
        <w:t>in ensuring</w:t>
      </w:r>
      <w:r w:rsidRPr="002601BB">
        <w:rPr>
          <w:lang w:val="en-GB"/>
        </w:rPr>
        <w:t xml:space="preserve"> access </w:t>
      </w:r>
      <w:r w:rsidR="009415C6" w:rsidRPr="002601BB">
        <w:rPr>
          <w:lang w:val="en-GB"/>
        </w:rPr>
        <w:t xml:space="preserve">to </w:t>
      </w:r>
      <w:r w:rsidRPr="002601BB">
        <w:rPr>
          <w:lang w:val="en-GB"/>
        </w:rPr>
        <w:t xml:space="preserve">opportunities </w:t>
      </w:r>
      <w:r w:rsidR="009415C6" w:rsidRPr="002601BB">
        <w:rPr>
          <w:lang w:val="en-GB"/>
        </w:rPr>
        <w:t xml:space="preserve">for </w:t>
      </w:r>
      <w:r w:rsidR="004C7A65" w:rsidRPr="002601BB">
        <w:rPr>
          <w:lang w:val="en-GB"/>
        </w:rPr>
        <w:t xml:space="preserve">the </w:t>
      </w:r>
      <w:r w:rsidR="004A381C" w:rsidRPr="002601BB">
        <w:rPr>
          <w:lang w:val="en-GB"/>
        </w:rPr>
        <w:t xml:space="preserve">entire </w:t>
      </w:r>
      <w:r w:rsidRPr="002601BB">
        <w:rPr>
          <w:lang w:val="en-GB"/>
        </w:rPr>
        <w:t>population</w:t>
      </w:r>
      <w:r w:rsidR="001517A3" w:rsidRPr="002601BB">
        <w:rPr>
          <w:lang w:val="en-GB"/>
        </w:rPr>
        <w:t>.</w:t>
      </w:r>
      <w:r w:rsidR="00E80022" w:rsidRPr="002601BB">
        <w:rPr>
          <w:lang w:val="en-GB"/>
        </w:rPr>
        <w:t xml:space="preserve"> </w:t>
      </w:r>
      <w:r w:rsidR="001517A3" w:rsidRPr="002601BB">
        <w:rPr>
          <w:lang w:val="en-GB"/>
        </w:rPr>
        <w:t xml:space="preserve">This </w:t>
      </w:r>
      <w:r w:rsidR="004A381C" w:rsidRPr="002601BB">
        <w:rPr>
          <w:lang w:val="en-GB"/>
        </w:rPr>
        <w:t xml:space="preserve">leads </w:t>
      </w:r>
      <w:r w:rsidR="001F492F" w:rsidRPr="002601BB">
        <w:rPr>
          <w:lang w:val="en-GB"/>
        </w:rPr>
        <w:t xml:space="preserve">to </w:t>
      </w:r>
      <w:r w:rsidR="005E4BF6">
        <w:rPr>
          <w:lang w:val="en-GB"/>
        </w:rPr>
        <w:t>some</w:t>
      </w:r>
      <w:r w:rsidR="005E4BF6" w:rsidRPr="002601BB">
        <w:rPr>
          <w:lang w:val="en-GB"/>
        </w:rPr>
        <w:t xml:space="preserve"> </w:t>
      </w:r>
      <w:r w:rsidR="001F492F" w:rsidRPr="002601BB">
        <w:rPr>
          <w:lang w:val="en-GB"/>
        </w:rPr>
        <w:t xml:space="preserve">mistrust in institutions and the </w:t>
      </w:r>
      <w:r w:rsidR="000B0329" w:rsidRPr="002601BB">
        <w:rPr>
          <w:lang w:val="en-GB"/>
        </w:rPr>
        <w:t xml:space="preserve">risk of </w:t>
      </w:r>
      <w:r w:rsidR="001F492F" w:rsidRPr="002601BB">
        <w:rPr>
          <w:lang w:val="en-GB"/>
        </w:rPr>
        <w:t>insolvency of public finances.</w:t>
      </w:r>
      <w:r w:rsidR="00E80022" w:rsidRPr="002601BB">
        <w:rPr>
          <w:lang w:val="en-GB"/>
        </w:rPr>
        <w:t xml:space="preserve"> </w:t>
      </w:r>
      <w:r w:rsidR="001F492F" w:rsidRPr="002601BB">
        <w:rPr>
          <w:lang w:val="en-GB"/>
        </w:rPr>
        <w:t xml:space="preserve">Public social spending as a percentage of </w:t>
      </w:r>
      <w:r w:rsidR="00CB6E2A">
        <w:rPr>
          <w:lang w:val="en-GB"/>
        </w:rPr>
        <w:t>g</w:t>
      </w:r>
      <w:r w:rsidR="00761637" w:rsidRPr="002601BB">
        <w:rPr>
          <w:lang w:val="en-GB"/>
        </w:rPr>
        <w:t xml:space="preserve">ross </w:t>
      </w:r>
      <w:r w:rsidR="00CB6E2A">
        <w:rPr>
          <w:lang w:val="en-GB"/>
        </w:rPr>
        <w:t>d</w:t>
      </w:r>
      <w:r w:rsidR="00761637" w:rsidRPr="002601BB">
        <w:rPr>
          <w:lang w:val="en-GB"/>
        </w:rPr>
        <w:t xml:space="preserve">omestic </w:t>
      </w:r>
      <w:r w:rsidR="00CB6E2A">
        <w:rPr>
          <w:lang w:val="en-GB"/>
        </w:rPr>
        <w:t>p</w:t>
      </w:r>
      <w:r w:rsidR="00761637" w:rsidRPr="002601BB">
        <w:rPr>
          <w:lang w:val="en-GB"/>
        </w:rPr>
        <w:t>roduct (</w:t>
      </w:r>
      <w:r w:rsidR="001F492F" w:rsidRPr="002601BB">
        <w:rPr>
          <w:lang w:val="en-GB"/>
        </w:rPr>
        <w:t>GDP</w:t>
      </w:r>
      <w:r w:rsidR="00761637" w:rsidRPr="002601BB">
        <w:rPr>
          <w:lang w:val="en-GB"/>
        </w:rPr>
        <w:t>)</w:t>
      </w:r>
      <w:r w:rsidR="001F492F" w:rsidRPr="002601BB">
        <w:rPr>
          <w:lang w:val="en-GB"/>
        </w:rPr>
        <w:t xml:space="preserve"> in 2020 was 6.75</w:t>
      </w:r>
      <w:r w:rsidR="0048267E" w:rsidRPr="002601BB">
        <w:rPr>
          <w:lang w:val="en-GB"/>
        </w:rPr>
        <w:t xml:space="preserve"> per</w:t>
      </w:r>
      <w:r w:rsidR="00A772B0" w:rsidRPr="002601BB">
        <w:rPr>
          <w:lang w:val="en-GB"/>
        </w:rPr>
        <w:t xml:space="preserve"> </w:t>
      </w:r>
      <w:r w:rsidR="0048267E" w:rsidRPr="002601BB">
        <w:rPr>
          <w:lang w:val="en-GB"/>
        </w:rPr>
        <w:t>cent</w:t>
      </w:r>
      <w:r w:rsidR="001F492F" w:rsidRPr="002601BB">
        <w:rPr>
          <w:lang w:val="en-GB"/>
        </w:rPr>
        <w:t xml:space="preserve"> for education and 5.38</w:t>
      </w:r>
      <w:r w:rsidR="0048267E" w:rsidRPr="002601BB">
        <w:rPr>
          <w:lang w:val="en-GB"/>
        </w:rPr>
        <w:t xml:space="preserve"> per</w:t>
      </w:r>
      <w:r w:rsidR="00A772B0" w:rsidRPr="002601BB">
        <w:rPr>
          <w:lang w:val="en-GB"/>
        </w:rPr>
        <w:t xml:space="preserve"> </w:t>
      </w:r>
      <w:r w:rsidR="0048267E" w:rsidRPr="002601BB">
        <w:rPr>
          <w:lang w:val="en-GB"/>
        </w:rPr>
        <w:t>cent</w:t>
      </w:r>
      <w:r w:rsidR="001F492F" w:rsidRPr="002601BB">
        <w:rPr>
          <w:lang w:val="en-GB"/>
        </w:rPr>
        <w:t xml:space="preserve"> </w:t>
      </w:r>
      <w:r w:rsidR="004344F7" w:rsidRPr="002601BB">
        <w:rPr>
          <w:lang w:val="en-GB"/>
        </w:rPr>
        <w:t xml:space="preserve">for </w:t>
      </w:r>
      <w:r w:rsidR="001F492F" w:rsidRPr="002601BB">
        <w:rPr>
          <w:lang w:val="en-GB"/>
        </w:rPr>
        <w:t>health</w:t>
      </w:r>
      <w:r w:rsidR="004344F7" w:rsidRPr="002601BB">
        <w:rPr>
          <w:lang w:val="en-GB"/>
        </w:rPr>
        <w:t xml:space="preserve">; </w:t>
      </w:r>
      <w:r w:rsidR="001F492F" w:rsidRPr="002601BB">
        <w:rPr>
          <w:lang w:val="en-GB"/>
        </w:rPr>
        <w:t>although these figures have been consistent throughout the last decade, education and health outcomes do not reflect such a level of investment.</w:t>
      </w:r>
      <w:r w:rsidR="00E80022" w:rsidRPr="002601BB">
        <w:rPr>
          <w:lang w:val="en-GB"/>
        </w:rPr>
        <w:t xml:space="preserve"> </w:t>
      </w:r>
      <w:r w:rsidR="001F492F" w:rsidRPr="002601BB">
        <w:rPr>
          <w:lang w:val="en-GB"/>
        </w:rPr>
        <w:t xml:space="preserve">In addition to this problem, the </w:t>
      </w:r>
      <w:r w:rsidR="00CB6E2A">
        <w:rPr>
          <w:lang w:val="en-GB"/>
        </w:rPr>
        <w:t xml:space="preserve">Government of </w:t>
      </w:r>
      <w:r w:rsidR="001F492F" w:rsidRPr="002601BB">
        <w:rPr>
          <w:lang w:val="en-GB"/>
        </w:rPr>
        <w:t>Costa Rica faces severe c</w:t>
      </w:r>
      <w:r w:rsidR="009C3F87" w:rsidRPr="002601BB">
        <w:rPr>
          <w:lang w:val="en-GB"/>
        </w:rPr>
        <w:t>orruption cases</w:t>
      </w:r>
      <w:r w:rsidR="001F492F" w:rsidRPr="002601BB">
        <w:rPr>
          <w:lang w:val="en-GB"/>
        </w:rPr>
        <w:t xml:space="preserve">. </w:t>
      </w:r>
    </w:p>
    <w:p w14:paraId="03FD8D57"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1645E58F" w14:textId="420B1109" w:rsidR="00D9271B"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w:t>
      </w:r>
      <w:r w:rsidR="00CB6E2A">
        <w:rPr>
          <w:lang w:val="en-GB"/>
        </w:rPr>
        <w:t xml:space="preserve">country’s </w:t>
      </w:r>
      <w:r w:rsidRPr="002601BB">
        <w:rPr>
          <w:lang w:val="en-GB"/>
        </w:rPr>
        <w:t>tax system is regressive and dependent on carbon consumption. According to 2018 data, 21</w:t>
      </w:r>
      <w:r w:rsidR="008F0890" w:rsidRPr="002601BB">
        <w:rPr>
          <w:lang w:val="en-GB"/>
        </w:rPr>
        <w:t> </w:t>
      </w:r>
      <w:r w:rsidR="0048267E" w:rsidRPr="002601BB">
        <w:rPr>
          <w:lang w:val="en-GB"/>
        </w:rPr>
        <w:t>per</w:t>
      </w:r>
      <w:r w:rsidR="008F0890" w:rsidRPr="002601BB">
        <w:rPr>
          <w:lang w:val="en-GB"/>
        </w:rPr>
        <w:t> </w:t>
      </w:r>
      <w:r w:rsidR="0048267E" w:rsidRPr="002601BB">
        <w:rPr>
          <w:lang w:val="en-GB"/>
        </w:rPr>
        <w:t>cent</w:t>
      </w:r>
      <w:r w:rsidRPr="002601BB">
        <w:rPr>
          <w:lang w:val="en-GB"/>
        </w:rPr>
        <w:t xml:space="preserve"> of </w:t>
      </w:r>
      <w:r w:rsidR="004344F7" w:rsidRPr="002601BB">
        <w:rPr>
          <w:lang w:val="en-GB"/>
        </w:rPr>
        <w:t>total governmen</w:t>
      </w:r>
      <w:r w:rsidRPr="002601BB">
        <w:rPr>
          <w:lang w:val="en-GB"/>
        </w:rPr>
        <w:t>t income derives from fossil fuel consumption.</w:t>
      </w:r>
      <w:r w:rsidR="00E80022" w:rsidRPr="002601BB">
        <w:rPr>
          <w:lang w:val="en-GB"/>
        </w:rPr>
        <w:t xml:space="preserve"> </w:t>
      </w:r>
      <w:r w:rsidRPr="002601BB">
        <w:rPr>
          <w:lang w:val="en-GB"/>
        </w:rPr>
        <w:t>Currently</w:t>
      </w:r>
      <w:r w:rsidR="001D0BFC" w:rsidRPr="002601BB">
        <w:rPr>
          <w:lang w:val="en-GB"/>
        </w:rPr>
        <w:t>,</w:t>
      </w:r>
      <w:r w:rsidRPr="002601BB">
        <w:rPr>
          <w:lang w:val="en-GB"/>
        </w:rPr>
        <w:t xml:space="preserve"> the single tax on fuels in Costa Rica represents 10</w:t>
      </w:r>
      <w:r w:rsidR="0048267E" w:rsidRPr="002601BB">
        <w:rPr>
          <w:lang w:val="en-GB"/>
        </w:rPr>
        <w:t xml:space="preserve"> per</w:t>
      </w:r>
      <w:r w:rsidR="00A772B0" w:rsidRPr="002601BB">
        <w:rPr>
          <w:lang w:val="en-GB"/>
        </w:rPr>
        <w:t xml:space="preserve"> </w:t>
      </w:r>
      <w:r w:rsidR="0048267E" w:rsidRPr="002601BB">
        <w:rPr>
          <w:lang w:val="en-GB"/>
        </w:rPr>
        <w:t>cent</w:t>
      </w:r>
      <w:r w:rsidRPr="002601BB">
        <w:rPr>
          <w:lang w:val="en-GB"/>
        </w:rPr>
        <w:t xml:space="preserve"> of the tax revenue collected by the Government</w:t>
      </w:r>
      <w:r w:rsidR="00EE4EA7" w:rsidRPr="002601BB">
        <w:rPr>
          <w:lang w:val="en-GB"/>
        </w:rPr>
        <w:t>,</w:t>
      </w:r>
      <w:r w:rsidRPr="002601BB">
        <w:rPr>
          <w:lang w:val="en-GB"/>
        </w:rPr>
        <w:t xml:space="preserve"> and property tax on conventional </w:t>
      </w:r>
      <w:r w:rsidR="00EE4EA7" w:rsidRPr="002601BB">
        <w:rPr>
          <w:lang w:val="en-GB"/>
        </w:rPr>
        <w:t>fossil-</w:t>
      </w:r>
      <w:r w:rsidRPr="002601BB">
        <w:rPr>
          <w:lang w:val="en-GB"/>
        </w:rPr>
        <w:t>consuming vehicles represents 78</w:t>
      </w:r>
      <w:r w:rsidR="0028517C" w:rsidRPr="002601BB">
        <w:rPr>
          <w:lang w:val="en-GB"/>
        </w:rPr>
        <w:t> </w:t>
      </w:r>
      <w:r w:rsidR="0048267E" w:rsidRPr="002601BB">
        <w:rPr>
          <w:lang w:val="en-GB"/>
        </w:rPr>
        <w:t>per</w:t>
      </w:r>
      <w:r w:rsidR="0028517C" w:rsidRPr="002601BB">
        <w:rPr>
          <w:lang w:val="en-GB"/>
        </w:rPr>
        <w:t> </w:t>
      </w:r>
      <w:r w:rsidR="0048267E" w:rsidRPr="002601BB">
        <w:rPr>
          <w:lang w:val="en-GB"/>
        </w:rPr>
        <w:t>cent</w:t>
      </w:r>
      <w:r w:rsidRPr="002601BB">
        <w:rPr>
          <w:lang w:val="en-GB"/>
        </w:rPr>
        <w:t xml:space="preserve"> of property taxes. </w:t>
      </w:r>
      <w:r w:rsidR="004125BE" w:rsidRPr="002601BB">
        <w:rPr>
          <w:lang w:val="en-GB"/>
        </w:rPr>
        <w:t>The study</w:t>
      </w:r>
      <w:r w:rsidR="00CB6E2A">
        <w:rPr>
          <w:lang w:val="en-GB"/>
        </w:rPr>
        <w:t>,</w:t>
      </w:r>
      <w:r w:rsidR="004125BE" w:rsidRPr="002601BB">
        <w:rPr>
          <w:lang w:val="en-GB"/>
        </w:rPr>
        <w:t xml:space="preserve"> “A </w:t>
      </w:r>
      <w:r w:rsidR="00CB6E2A">
        <w:rPr>
          <w:lang w:val="en-GB"/>
        </w:rPr>
        <w:t>g</w:t>
      </w:r>
      <w:r w:rsidR="004125BE" w:rsidRPr="002601BB">
        <w:rPr>
          <w:lang w:val="en-GB"/>
        </w:rPr>
        <w:t xml:space="preserve">reen Costa Rican COVID-19 </w:t>
      </w:r>
      <w:r w:rsidR="00CB6E2A">
        <w:rPr>
          <w:lang w:val="en-GB"/>
        </w:rPr>
        <w:t>r</w:t>
      </w:r>
      <w:r w:rsidR="004125BE" w:rsidRPr="002601BB">
        <w:rPr>
          <w:lang w:val="en-GB"/>
        </w:rPr>
        <w:t xml:space="preserve">ecovery: aligning Costa Rica´s </w:t>
      </w:r>
      <w:r w:rsidR="00CB6E2A">
        <w:rPr>
          <w:lang w:val="en-GB"/>
        </w:rPr>
        <w:t>d</w:t>
      </w:r>
      <w:r w:rsidR="004125BE" w:rsidRPr="002601BB">
        <w:rPr>
          <w:lang w:val="en-GB"/>
        </w:rPr>
        <w:t xml:space="preserve">ecarbonization </w:t>
      </w:r>
      <w:r w:rsidR="00CB6E2A">
        <w:rPr>
          <w:lang w:val="en-GB"/>
        </w:rPr>
        <w:t>i</w:t>
      </w:r>
      <w:r w:rsidR="004125BE" w:rsidRPr="002601BB">
        <w:rPr>
          <w:lang w:val="en-GB"/>
        </w:rPr>
        <w:t xml:space="preserve">nvestments with </w:t>
      </w:r>
      <w:r w:rsidR="00CB6E2A">
        <w:rPr>
          <w:lang w:val="en-GB"/>
        </w:rPr>
        <w:t>e</w:t>
      </w:r>
      <w:r w:rsidR="004125BE" w:rsidRPr="002601BB">
        <w:rPr>
          <w:lang w:val="en-GB"/>
        </w:rPr>
        <w:t xml:space="preserve">conomic </w:t>
      </w:r>
      <w:r w:rsidR="00CB6E2A">
        <w:rPr>
          <w:lang w:val="en-GB"/>
        </w:rPr>
        <w:t>r</w:t>
      </w:r>
      <w:r w:rsidR="004125BE" w:rsidRPr="002601BB">
        <w:rPr>
          <w:lang w:val="en-GB"/>
        </w:rPr>
        <w:t>ecovery”, concluded that decarbonization-related capital investments may significantly facilitate economic recovery and lead to higher employment and value added by 2025. Employment could be 1.8 per</w:t>
      </w:r>
      <w:r w:rsidR="00CB6E2A">
        <w:rPr>
          <w:lang w:val="en-GB"/>
        </w:rPr>
        <w:t xml:space="preserve"> </w:t>
      </w:r>
      <w:r w:rsidR="004125BE" w:rsidRPr="002601BB">
        <w:rPr>
          <w:lang w:val="en-GB"/>
        </w:rPr>
        <w:t>cent higher by 2025 and value added could be slightly higher as well</w:t>
      </w:r>
      <w:r w:rsidR="00CB6E2A">
        <w:rPr>
          <w:lang w:val="en-GB"/>
        </w:rPr>
        <w:t xml:space="preserve">, by </w:t>
      </w:r>
      <w:r w:rsidR="004125BE" w:rsidRPr="002601BB">
        <w:rPr>
          <w:lang w:val="en-GB"/>
        </w:rPr>
        <w:t>2.3 per</w:t>
      </w:r>
      <w:r w:rsidR="00CB6E2A">
        <w:rPr>
          <w:lang w:val="en-GB"/>
        </w:rPr>
        <w:t xml:space="preserve"> </w:t>
      </w:r>
      <w:r w:rsidR="004125BE" w:rsidRPr="002601BB">
        <w:rPr>
          <w:lang w:val="en-GB"/>
        </w:rPr>
        <w:t>cent.</w:t>
      </w:r>
    </w:p>
    <w:p w14:paraId="40CD850B" w14:textId="77777777" w:rsidR="00B323AF" w:rsidRPr="002601BB" w:rsidRDefault="00B323AF" w:rsidP="001D3052">
      <w:pPr>
        <w:pStyle w:val="ListParagraph"/>
        <w:tabs>
          <w:tab w:val="left" w:pos="1620"/>
        </w:tabs>
        <w:spacing w:after="160" w:line="259" w:lineRule="auto"/>
        <w:ind w:left="1260" w:right="1750"/>
        <w:contextualSpacing/>
        <w:jc w:val="both"/>
        <w:rPr>
          <w:sz w:val="12"/>
          <w:szCs w:val="12"/>
          <w:lang w:val="en-GB"/>
        </w:rPr>
      </w:pPr>
    </w:p>
    <w:p w14:paraId="5F4C570A" w14:textId="40118375" w:rsidR="001F492F"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A significant proportion of economic activities generate environmental externalities that </w:t>
      </w:r>
      <w:r w:rsidR="00EE4EA7" w:rsidRPr="002601BB">
        <w:rPr>
          <w:lang w:val="en-GB"/>
        </w:rPr>
        <w:t>further erod</w:t>
      </w:r>
      <w:r w:rsidRPr="002601BB">
        <w:rPr>
          <w:lang w:val="en-GB"/>
        </w:rPr>
        <w:t>e fiscal finances.</w:t>
      </w:r>
      <w:r w:rsidR="00E80022" w:rsidRPr="002601BB">
        <w:rPr>
          <w:lang w:val="en-GB"/>
        </w:rPr>
        <w:t xml:space="preserve"> </w:t>
      </w:r>
      <w:r w:rsidRPr="002601BB">
        <w:rPr>
          <w:lang w:val="en-GB"/>
        </w:rPr>
        <w:t>The agricultur</w:t>
      </w:r>
      <w:r w:rsidR="00E17D80" w:rsidRPr="002601BB">
        <w:rPr>
          <w:lang w:val="en-GB"/>
        </w:rPr>
        <w:t>al</w:t>
      </w:r>
      <w:r w:rsidRPr="002601BB">
        <w:rPr>
          <w:lang w:val="en-GB"/>
        </w:rPr>
        <w:t xml:space="preserve"> sector produces 4.7</w:t>
      </w:r>
      <w:r w:rsidR="00686925" w:rsidRPr="002601BB">
        <w:rPr>
          <w:lang w:val="en-GB"/>
        </w:rPr>
        <w:t> </w:t>
      </w:r>
      <w:r w:rsidR="0048267E" w:rsidRPr="002601BB">
        <w:rPr>
          <w:lang w:val="en-GB"/>
        </w:rPr>
        <w:t>per</w:t>
      </w:r>
      <w:r w:rsidR="00686925" w:rsidRPr="002601BB">
        <w:rPr>
          <w:lang w:val="en-GB"/>
        </w:rPr>
        <w:t> </w:t>
      </w:r>
      <w:r w:rsidR="0048267E" w:rsidRPr="002601BB">
        <w:rPr>
          <w:lang w:val="en-GB"/>
        </w:rPr>
        <w:t>cent</w:t>
      </w:r>
      <w:r w:rsidRPr="002601BB">
        <w:rPr>
          <w:lang w:val="en-GB"/>
        </w:rPr>
        <w:t xml:space="preserve"> of GDP</w:t>
      </w:r>
      <w:r w:rsidR="00EE4EA7" w:rsidRPr="002601BB">
        <w:rPr>
          <w:lang w:val="en-GB"/>
        </w:rPr>
        <w:t>.</w:t>
      </w:r>
      <w:r w:rsidR="00E80022" w:rsidRPr="002601BB">
        <w:rPr>
          <w:lang w:val="en-GB"/>
        </w:rPr>
        <w:t xml:space="preserve"> </w:t>
      </w:r>
      <w:r w:rsidR="00EE4EA7" w:rsidRPr="002601BB">
        <w:rPr>
          <w:lang w:val="en-GB"/>
        </w:rPr>
        <w:t>It</w:t>
      </w:r>
      <w:r w:rsidRPr="002601BB">
        <w:rPr>
          <w:lang w:val="en-GB"/>
        </w:rPr>
        <w:t xml:space="preserve"> positions the country as </w:t>
      </w:r>
      <w:r w:rsidR="00AB0FE1" w:rsidRPr="002601BB">
        <w:rPr>
          <w:lang w:val="en-GB"/>
        </w:rPr>
        <w:t xml:space="preserve">a </w:t>
      </w:r>
      <w:r w:rsidRPr="002601BB">
        <w:rPr>
          <w:lang w:val="en-GB"/>
        </w:rPr>
        <w:t xml:space="preserve">leader </w:t>
      </w:r>
      <w:r w:rsidR="00AB0FE1" w:rsidRPr="002601BB">
        <w:rPr>
          <w:lang w:val="en-GB"/>
        </w:rPr>
        <w:t xml:space="preserve">in </w:t>
      </w:r>
      <w:r w:rsidRPr="002601BB">
        <w:rPr>
          <w:lang w:val="en-GB"/>
        </w:rPr>
        <w:t xml:space="preserve">commodities exports, </w:t>
      </w:r>
      <w:r w:rsidR="00EE4EA7" w:rsidRPr="002601BB">
        <w:rPr>
          <w:lang w:val="en-GB"/>
        </w:rPr>
        <w:t>making it</w:t>
      </w:r>
      <w:r w:rsidRPr="002601BB">
        <w:rPr>
          <w:lang w:val="en-GB"/>
        </w:rPr>
        <w:t xml:space="preserve"> one of the </w:t>
      </w:r>
      <w:r w:rsidR="00E80022" w:rsidRPr="002601BB">
        <w:rPr>
          <w:lang w:val="en-GB"/>
        </w:rPr>
        <w:t xml:space="preserve">world’s </w:t>
      </w:r>
      <w:r w:rsidR="007B7687" w:rsidRPr="002601BB">
        <w:rPr>
          <w:lang w:val="en-GB"/>
        </w:rPr>
        <w:t>highest per hectare and capita consumers of agrochemicals</w:t>
      </w:r>
      <w:r w:rsidRPr="002601BB">
        <w:rPr>
          <w:lang w:val="en-GB"/>
        </w:rPr>
        <w:t>.</w:t>
      </w:r>
      <w:r w:rsidR="00E80022" w:rsidRPr="002601BB">
        <w:rPr>
          <w:lang w:val="en-GB"/>
        </w:rPr>
        <w:t xml:space="preserve"> </w:t>
      </w:r>
      <w:r w:rsidRPr="002601BB">
        <w:rPr>
          <w:lang w:val="en-GB"/>
        </w:rPr>
        <w:t>Additionally, the manufacturing sector, which represents 13.5</w:t>
      </w:r>
      <w:r w:rsidR="0048267E" w:rsidRPr="002601BB">
        <w:rPr>
          <w:lang w:val="en-GB"/>
        </w:rPr>
        <w:t xml:space="preserve"> per</w:t>
      </w:r>
      <w:r w:rsidR="00A772B0" w:rsidRPr="002601BB">
        <w:rPr>
          <w:lang w:val="en-GB"/>
        </w:rPr>
        <w:t xml:space="preserve"> </w:t>
      </w:r>
      <w:r w:rsidR="0048267E" w:rsidRPr="002601BB">
        <w:rPr>
          <w:lang w:val="en-GB"/>
        </w:rPr>
        <w:t>cent</w:t>
      </w:r>
      <w:r w:rsidRPr="002601BB">
        <w:rPr>
          <w:lang w:val="en-GB"/>
        </w:rPr>
        <w:t xml:space="preserve"> of the </w:t>
      </w:r>
      <w:r w:rsidR="00E80022" w:rsidRPr="002601BB">
        <w:rPr>
          <w:lang w:val="en-GB"/>
        </w:rPr>
        <w:t xml:space="preserve">country’s </w:t>
      </w:r>
      <w:r w:rsidRPr="002601BB">
        <w:rPr>
          <w:lang w:val="en-GB"/>
        </w:rPr>
        <w:t>GDP, lacks good practices regarding waste treatment and the use of chemicals that generate high pollution. On the other hand, it is estimated that less than half of the water consumed in industrial activities is treated</w:t>
      </w:r>
      <w:r w:rsidR="007B7687" w:rsidRPr="002601BB">
        <w:rPr>
          <w:lang w:val="en-GB"/>
        </w:rPr>
        <w:t xml:space="preserve"> adequately</w:t>
      </w:r>
      <w:r w:rsidRPr="002601BB">
        <w:rPr>
          <w:lang w:val="en-GB"/>
        </w:rPr>
        <w:t>.</w:t>
      </w:r>
      <w:r w:rsidR="00706349" w:rsidRPr="002601BB">
        <w:rPr>
          <w:lang w:val="en-GB"/>
        </w:rPr>
        <w:t xml:space="preserve"> Moreover, uncontrolled housing development in the coastal areas </w:t>
      </w:r>
      <w:r w:rsidR="00763B0A">
        <w:rPr>
          <w:lang w:val="en-GB"/>
        </w:rPr>
        <w:t>negatively affects their biodiversity and hurts</w:t>
      </w:r>
      <w:r w:rsidR="00706349" w:rsidRPr="002601BB">
        <w:rPr>
          <w:lang w:val="en-GB"/>
        </w:rPr>
        <w:t xml:space="preserve"> the ecosystems.</w:t>
      </w:r>
    </w:p>
    <w:p w14:paraId="5A2C6D46"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7568FA9B" w14:textId="4F2C2797" w:rsidR="001F492F" w:rsidRPr="002601BB" w:rsidRDefault="004A0586" w:rsidP="0074417D">
      <w:pPr>
        <w:pStyle w:val="ListParagraph"/>
        <w:numPr>
          <w:ilvl w:val="0"/>
          <w:numId w:val="1"/>
        </w:numPr>
        <w:tabs>
          <w:tab w:val="left" w:pos="1800"/>
        </w:tabs>
        <w:spacing w:after="160" w:line="259" w:lineRule="auto"/>
        <w:ind w:left="1440" w:right="1210" w:firstLine="0"/>
        <w:contextualSpacing/>
        <w:jc w:val="both"/>
        <w:rPr>
          <w:lang w:val="en-GB"/>
        </w:rPr>
      </w:pPr>
      <w:r>
        <w:rPr>
          <w:lang w:val="en-GB"/>
        </w:rPr>
        <w:t>Costa Rica ranks 12</w:t>
      </w:r>
      <w:r w:rsidRPr="00DF58ED">
        <w:rPr>
          <w:vertAlign w:val="superscript"/>
          <w:lang w:val="en-GB"/>
        </w:rPr>
        <w:t>th</w:t>
      </w:r>
      <w:r>
        <w:rPr>
          <w:lang w:val="en-GB"/>
        </w:rPr>
        <w:t xml:space="preserve"> on t</w:t>
      </w:r>
      <w:r w:rsidR="001F492F" w:rsidRPr="002601BB">
        <w:rPr>
          <w:lang w:val="en-GB"/>
        </w:rPr>
        <w:t xml:space="preserve">he </w:t>
      </w:r>
      <w:r>
        <w:rPr>
          <w:lang w:val="en-GB"/>
        </w:rPr>
        <w:t>w</w:t>
      </w:r>
      <w:r w:rsidR="001F492F" w:rsidRPr="002601BB">
        <w:rPr>
          <w:lang w:val="en-GB"/>
        </w:rPr>
        <w:t xml:space="preserve">orld </w:t>
      </w:r>
      <w:r>
        <w:rPr>
          <w:lang w:val="en-GB"/>
        </w:rPr>
        <w:t>r</w:t>
      </w:r>
      <w:r w:rsidR="001F492F" w:rsidRPr="002601BB">
        <w:rPr>
          <w:lang w:val="en-GB"/>
        </w:rPr>
        <w:t xml:space="preserve">isk </w:t>
      </w:r>
      <w:r>
        <w:rPr>
          <w:lang w:val="en-GB"/>
        </w:rPr>
        <w:t>i</w:t>
      </w:r>
      <w:r w:rsidR="001F492F" w:rsidRPr="002601BB">
        <w:rPr>
          <w:lang w:val="en-GB"/>
        </w:rPr>
        <w:t xml:space="preserve">ndex due to </w:t>
      </w:r>
      <w:r w:rsidR="00400E8C" w:rsidRPr="002601BB">
        <w:rPr>
          <w:lang w:val="en-GB"/>
        </w:rPr>
        <w:t>high</w:t>
      </w:r>
      <w:r w:rsidR="001F492F" w:rsidRPr="002601BB">
        <w:rPr>
          <w:lang w:val="en-GB"/>
        </w:rPr>
        <w:t xml:space="preserve"> exposure to natural hazards</w:t>
      </w:r>
      <w:r w:rsidR="00B833E1" w:rsidRPr="002601BB">
        <w:rPr>
          <w:lang w:val="en-GB"/>
        </w:rPr>
        <w:t>.</w:t>
      </w:r>
      <w:r w:rsidR="00E80022" w:rsidRPr="002601BB">
        <w:rPr>
          <w:lang w:val="en-GB"/>
        </w:rPr>
        <w:t xml:space="preserve"> </w:t>
      </w:r>
      <w:r w:rsidR="001F492F" w:rsidRPr="002601BB">
        <w:rPr>
          <w:lang w:val="en-GB"/>
        </w:rPr>
        <w:t>According to estimates by the National Commission for Risk Prevention and Emergency Attention, from 20</w:t>
      </w:r>
      <w:r w:rsidR="00366C15" w:rsidRPr="002601BB">
        <w:rPr>
          <w:lang w:val="en-GB"/>
        </w:rPr>
        <w:t>16</w:t>
      </w:r>
      <w:r w:rsidR="001F492F" w:rsidRPr="002601BB">
        <w:rPr>
          <w:lang w:val="en-GB"/>
        </w:rPr>
        <w:t xml:space="preserve"> to 2020</w:t>
      </w:r>
      <w:r w:rsidR="00C62BB6">
        <w:rPr>
          <w:lang w:val="en-GB"/>
        </w:rPr>
        <w:t>,</w:t>
      </w:r>
      <w:r w:rsidR="001F492F" w:rsidRPr="002601BB">
        <w:rPr>
          <w:lang w:val="en-GB"/>
        </w:rPr>
        <w:t xml:space="preserve"> the country spent more than </w:t>
      </w:r>
      <w:r>
        <w:rPr>
          <w:lang w:val="en-GB"/>
        </w:rPr>
        <w:t>$</w:t>
      </w:r>
      <w:r w:rsidR="00366C15" w:rsidRPr="002601BB">
        <w:rPr>
          <w:lang w:val="en-GB"/>
        </w:rPr>
        <w:t>820</w:t>
      </w:r>
      <w:r>
        <w:rPr>
          <w:lang w:val="en-GB"/>
        </w:rPr>
        <w:t> </w:t>
      </w:r>
      <w:r w:rsidR="00366C15" w:rsidRPr="002601BB">
        <w:rPr>
          <w:lang w:val="en-GB"/>
        </w:rPr>
        <w:t>m</w:t>
      </w:r>
      <w:r w:rsidR="001F492F" w:rsidRPr="002601BB">
        <w:rPr>
          <w:lang w:val="en-GB"/>
        </w:rPr>
        <w:t xml:space="preserve">illion </w:t>
      </w:r>
      <w:r w:rsidR="00400E8C" w:rsidRPr="002601BB">
        <w:rPr>
          <w:lang w:val="en-GB"/>
        </w:rPr>
        <w:t xml:space="preserve">on </w:t>
      </w:r>
      <w:r w:rsidR="00361E97" w:rsidRPr="002601BB">
        <w:rPr>
          <w:lang w:val="en-GB"/>
        </w:rPr>
        <w:t>replacing</w:t>
      </w:r>
      <w:r w:rsidR="001F492F" w:rsidRPr="002601BB">
        <w:rPr>
          <w:lang w:val="en-GB"/>
        </w:rPr>
        <w:t xml:space="preserve"> elements affected by different types of disaster</w:t>
      </w:r>
      <w:r w:rsidR="00361E97" w:rsidRPr="002601BB">
        <w:rPr>
          <w:lang w:val="en-GB"/>
        </w:rPr>
        <w:t>s</w:t>
      </w:r>
      <w:r w:rsidR="00366C15" w:rsidRPr="002601BB">
        <w:rPr>
          <w:lang w:val="en-GB"/>
        </w:rPr>
        <w:t xml:space="preserve">, while it only spent </w:t>
      </w:r>
      <w:r>
        <w:rPr>
          <w:lang w:val="en-GB"/>
        </w:rPr>
        <w:t>$</w:t>
      </w:r>
      <w:r w:rsidR="00366C15" w:rsidRPr="002601BB">
        <w:rPr>
          <w:lang w:val="en-GB"/>
        </w:rPr>
        <w:t>308</w:t>
      </w:r>
      <w:r>
        <w:rPr>
          <w:lang w:val="en-GB"/>
        </w:rPr>
        <w:t> </w:t>
      </w:r>
      <w:r w:rsidR="00366C15" w:rsidRPr="002601BB">
        <w:rPr>
          <w:lang w:val="en-GB"/>
        </w:rPr>
        <w:t>million during 2011-2015</w:t>
      </w:r>
      <w:r w:rsidR="001F492F" w:rsidRPr="002601BB">
        <w:rPr>
          <w:lang w:val="en-GB"/>
        </w:rPr>
        <w:t>.</w:t>
      </w:r>
      <w:r w:rsidR="00E80022" w:rsidRPr="002601BB">
        <w:rPr>
          <w:lang w:val="en-GB"/>
        </w:rPr>
        <w:t xml:space="preserve"> </w:t>
      </w:r>
      <w:r w:rsidR="001F492F" w:rsidRPr="002601BB">
        <w:rPr>
          <w:lang w:val="en-GB"/>
        </w:rPr>
        <w:t>This vulnerability to natural hazards is exacerbated by its proximity to politically unstable and highly impoverished countries</w:t>
      </w:r>
      <w:r w:rsidR="00400E8C" w:rsidRPr="002601BB">
        <w:rPr>
          <w:lang w:val="en-GB"/>
        </w:rPr>
        <w:t>,</w:t>
      </w:r>
      <w:r w:rsidR="001F492F" w:rsidRPr="002601BB">
        <w:rPr>
          <w:lang w:val="en-GB"/>
        </w:rPr>
        <w:t xml:space="preserve"> which increas</w:t>
      </w:r>
      <w:r>
        <w:rPr>
          <w:lang w:val="en-GB"/>
        </w:rPr>
        <w:t>e</w:t>
      </w:r>
      <w:r w:rsidR="00493EAA">
        <w:rPr>
          <w:lang w:val="en-GB"/>
        </w:rPr>
        <w:t>s</w:t>
      </w:r>
      <w:r w:rsidR="001F492F" w:rsidRPr="002601BB">
        <w:rPr>
          <w:lang w:val="en-GB"/>
        </w:rPr>
        <w:t xml:space="preserve"> the pressure of migrants and refugees on government and interagency services.</w:t>
      </w:r>
      <w:r w:rsidR="00E80022" w:rsidRPr="002601BB">
        <w:rPr>
          <w:lang w:val="en-GB"/>
        </w:rPr>
        <w:t xml:space="preserve"> </w:t>
      </w:r>
      <w:r w:rsidR="001F492F" w:rsidRPr="002601BB">
        <w:rPr>
          <w:lang w:val="en-GB"/>
        </w:rPr>
        <w:t xml:space="preserve">As of November 2020, there are an estimated 100,600 persons of concern to </w:t>
      </w:r>
      <w:r w:rsidR="002A7C8E" w:rsidRPr="002601BB">
        <w:rPr>
          <w:lang w:val="en-GB"/>
        </w:rPr>
        <w:t xml:space="preserve">the United Nations High Commissioner </w:t>
      </w:r>
      <w:r w:rsidR="006446AB" w:rsidRPr="002601BB">
        <w:rPr>
          <w:lang w:val="en-GB"/>
        </w:rPr>
        <w:t>for</w:t>
      </w:r>
      <w:r w:rsidR="002A7C8E" w:rsidRPr="002601BB">
        <w:rPr>
          <w:lang w:val="en-GB"/>
        </w:rPr>
        <w:t xml:space="preserve"> Refug</w:t>
      </w:r>
      <w:r w:rsidR="006446AB" w:rsidRPr="002601BB">
        <w:rPr>
          <w:lang w:val="en-GB"/>
        </w:rPr>
        <w:t>e</w:t>
      </w:r>
      <w:r w:rsidR="002A7C8E" w:rsidRPr="002601BB">
        <w:rPr>
          <w:lang w:val="en-GB"/>
        </w:rPr>
        <w:t>es</w:t>
      </w:r>
      <w:r w:rsidR="001F492F" w:rsidRPr="002601BB">
        <w:rPr>
          <w:lang w:val="en-GB"/>
        </w:rPr>
        <w:t>, including refugees, asylum seekers, stateless persons and others of interest, of which the vast majority are from Nicaragua.</w:t>
      </w:r>
      <w:r w:rsidR="00E80022" w:rsidRPr="002601BB">
        <w:rPr>
          <w:lang w:val="en-GB"/>
        </w:rPr>
        <w:t xml:space="preserve"> </w:t>
      </w:r>
      <w:r>
        <w:rPr>
          <w:lang w:val="en-GB"/>
        </w:rPr>
        <w:t xml:space="preserve">Costa Rica </w:t>
      </w:r>
      <w:r w:rsidR="00C125FB" w:rsidRPr="002601BB">
        <w:rPr>
          <w:lang w:val="en-GB"/>
        </w:rPr>
        <w:t xml:space="preserve">is used as a transit route </w:t>
      </w:r>
      <w:r w:rsidR="00792DF4" w:rsidRPr="002601BB">
        <w:rPr>
          <w:lang w:val="en-GB"/>
        </w:rPr>
        <w:t xml:space="preserve">by migrants toward </w:t>
      </w:r>
      <w:r w:rsidR="00C125FB" w:rsidRPr="002601BB">
        <w:rPr>
          <w:lang w:val="en-GB"/>
        </w:rPr>
        <w:t xml:space="preserve">the United States, increasing </w:t>
      </w:r>
      <w:r w:rsidR="00792DF4" w:rsidRPr="002601BB">
        <w:rPr>
          <w:lang w:val="en-GB"/>
        </w:rPr>
        <w:t>the pressure on local resources.</w:t>
      </w:r>
    </w:p>
    <w:p w14:paraId="576306E4"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100D5F02" w14:textId="6BF7B534" w:rsidR="004A794E" w:rsidRPr="002601BB" w:rsidRDefault="00044A7C"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These are the development challenges that UNDP will address in the new programme cycle.</w:t>
      </w:r>
      <w:r w:rsidR="00E80022" w:rsidRPr="002601BB">
        <w:rPr>
          <w:lang w:val="en-GB"/>
        </w:rPr>
        <w:t xml:space="preserve"> </w:t>
      </w:r>
      <w:r w:rsidRPr="002601BB">
        <w:rPr>
          <w:lang w:val="en-GB"/>
        </w:rPr>
        <w:t xml:space="preserve">To face these challenges and multiple crises, UNDP will leverage its experience and presence in communities, enhanced </w:t>
      </w:r>
      <w:r w:rsidR="00B5376B">
        <w:rPr>
          <w:lang w:val="en-GB"/>
        </w:rPr>
        <w:t xml:space="preserve">by </w:t>
      </w:r>
      <w:r w:rsidRPr="002601BB">
        <w:rPr>
          <w:lang w:val="en-GB"/>
        </w:rPr>
        <w:t xml:space="preserve">the accumulated knowledge and lessons learned </w:t>
      </w:r>
      <w:r w:rsidR="00B5376B">
        <w:rPr>
          <w:lang w:val="en-GB"/>
        </w:rPr>
        <w:t xml:space="preserve">in </w:t>
      </w:r>
      <w:r w:rsidRPr="002601BB">
        <w:rPr>
          <w:lang w:val="en-GB"/>
        </w:rPr>
        <w:t xml:space="preserve">identifying social and environmental issues at all levels; understanding gender equality as a point of convergence and articulator of </w:t>
      </w:r>
      <w:r w:rsidR="00E80022" w:rsidRPr="002601BB">
        <w:rPr>
          <w:lang w:val="en-GB"/>
        </w:rPr>
        <w:t xml:space="preserve">UNDP </w:t>
      </w:r>
      <w:r w:rsidRPr="002601BB">
        <w:rPr>
          <w:lang w:val="en-GB"/>
        </w:rPr>
        <w:t xml:space="preserve">actions; developing data, analysis and knowledge products to support the design and implementation of public policies </w:t>
      </w:r>
      <w:r w:rsidR="000E7AF9" w:rsidRPr="002601BB">
        <w:rPr>
          <w:lang w:val="en-GB"/>
        </w:rPr>
        <w:t>related to the Goals</w:t>
      </w:r>
      <w:r w:rsidR="00B5376B">
        <w:rPr>
          <w:lang w:val="en-GB"/>
        </w:rPr>
        <w:t xml:space="preserve">, </w:t>
      </w:r>
      <w:r w:rsidR="000E7AF9" w:rsidRPr="002601BB">
        <w:rPr>
          <w:lang w:val="en-GB"/>
        </w:rPr>
        <w:t xml:space="preserve">including </w:t>
      </w:r>
      <w:r w:rsidR="00B5376B">
        <w:rPr>
          <w:lang w:val="en-GB"/>
        </w:rPr>
        <w:t xml:space="preserve">on </w:t>
      </w:r>
      <w:r w:rsidR="00493EAA">
        <w:rPr>
          <w:lang w:val="en-GB"/>
        </w:rPr>
        <w:t xml:space="preserve">the </w:t>
      </w:r>
      <w:r w:rsidRPr="002601BB">
        <w:rPr>
          <w:lang w:val="en-GB"/>
        </w:rPr>
        <w:t>environment, employment, social protection, citizen security, risk management, among others; and promoting innovation capacities in all sectors to generate development solutions.</w:t>
      </w:r>
    </w:p>
    <w:p w14:paraId="28F210EE"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698052F3" w14:textId="7FE441EB" w:rsidR="001F492F"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lastRenderedPageBreak/>
        <w:t>UNDP has a unique role due to its experience convening multi</w:t>
      </w:r>
      <w:r w:rsidR="003E56D1">
        <w:rPr>
          <w:lang w:val="en-GB"/>
        </w:rPr>
        <w:t>-</w:t>
      </w:r>
      <w:r w:rsidRPr="002601BB">
        <w:rPr>
          <w:lang w:val="en-GB"/>
        </w:rPr>
        <w:t>stakeholder</w:t>
      </w:r>
      <w:r w:rsidR="003E56D1">
        <w:rPr>
          <w:lang w:val="en-GB"/>
        </w:rPr>
        <w:t xml:space="preserve"> </w:t>
      </w:r>
      <w:r w:rsidRPr="002601BB">
        <w:rPr>
          <w:lang w:val="en-GB"/>
        </w:rPr>
        <w:t xml:space="preserve">and interinstitutional </w:t>
      </w:r>
      <w:r w:rsidR="00130FD9" w:rsidRPr="002601BB">
        <w:rPr>
          <w:lang w:val="en-GB"/>
        </w:rPr>
        <w:t xml:space="preserve">democratic dialogue </w:t>
      </w:r>
      <w:r w:rsidRPr="002601BB">
        <w:rPr>
          <w:lang w:val="en-GB"/>
        </w:rPr>
        <w:t xml:space="preserve">processes to reach </w:t>
      </w:r>
      <w:r w:rsidR="00493EAA">
        <w:rPr>
          <w:lang w:val="en-GB"/>
        </w:rPr>
        <w:t xml:space="preserve">an </w:t>
      </w:r>
      <w:r w:rsidRPr="002601BB">
        <w:rPr>
          <w:lang w:val="en-GB"/>
        </w:rPr>
        <w:t>agreement and foster collaboration for systemic change.</w:t>
      </w:r>
      <w:r w:rsidR="00407B6C" w:rsidRPr="002601BB">
        <w:rPr>
          <w:lang w:val="en-GB"/>
        </w:rPr>
        <w:t xml:space="preserve"> </w:t>
      </w:r>
      <w:r w:rsidRPr="002601BB">
        <w:rPr>
          <w:lang w:val="en-GB"/>
        </w:rPr>
        <w:t xml:space="preserve">UNDP is experienced in </w:t>
      </w:r>
      <w:r w:rsidR="008E64EC" w:rsidRPr="002601BB">
        <w:rPr>
          <w:lang w:val="en-GB"/>
        </w:rPr>
        <w:t xml:space="preserve">managing digital platforms, generation of information, and data relevant </w:t>
      </w:r>
      <w:r w:rsidR="00493EAA">
        <w:rPr>
          <w:lang w:val="en-GB"/>
        </w:rPr>
        <w:t>to</w:t>
      </w:r>
      <w:r w:rsidR="00493EAA" w:rsidRPr="002601BB">
        <w:rPr>
          <w:lang w:val="en-GB"/>
        </w:rPr>
        <w:t xml:space="preserve"> </w:t>
      </w:r>
      <w:r w:rsidR="008E64EC" w:rsidRPr="002601BB">
        <w:rPr>
          <w:lang w:val="en-GB"/>
        </w:rPr>
        <w:t>policy decision-making</w:t>
      </w:r>
      <w:r w:rsidRPr="002601BB">
        <w:rPr>
          <w:lang w:val="en-GB"/>
        </w:rPr>
        <w:t>.</w:t>
      </w:r>
      <w:r w:rsidR="00E80022" w:rsidRPr="002601BB">
        <w:rPr>
          <w:lang w:val="en-GB"/>
        </w:rPr>
        <w:t xml:space="preserve"> </w:t>
      </w:r>
      <w:r w:rsidR="00253A98" w:rsidRPr="002601BB">
        <w:rPr>
          <w:lang w:val="en-GB"/>
        </w:rPr>
        <w:t>UNDP</w:t>
      </w:r>
      <w:r w:rsidRPr="002601BB">
        <w:rPr>
          <w:lang w:val="en-GB"/>
        </w:rPr>
        <w:t xml:space="preserve"> </w:t>
      </w:r>
      <w:r w:rsidR="00E80022" w:rsidRPr="002601BB">
        <w:rPr>
          <w:lang w:val="en-GB"/>
        </w:rPr>
        <w:t>mobili</w:t>
      </w:r>
      <w:r w:rsidR="00014BBA">
        <w:rPr>
          <w:lang w:val="en-GB"/>
        </w:rPr>
        <w:t>s</w:t>
      </w:r>
      <w:r w:rsidR="00E80022" w:rsidRPr="002601BB">
        <w:rPr>
          <w:lang w:val="en-GB"/>
        </w:rPr>
        <w:t xml:space="preserve">ed </w:t>
      </w:r>
      <w:r w:rsidRPr="002601BB">
        <w:rPr>
          <w:lang w:val="en-GB"/>
        </w:rPr>
        <w:t>resources from emission reductions into the country to fund the payment of ecosystem services, particularly benefiting indigenous territories and rural communities</w:t>
      </w:r>
      <w:r w:rsidR="001A207D" w:rsidRPr="002601BB">
        <w:rPr>
          <w:lang w:val="en-GB"/>
        </w:rPr>
        <w:t>. UNDP</w:t>
      </w:r>
      <w:r w:rsidRPr="002601BB">
        <w:rPr>
          <w:lang w:val="en-GB"/>
        </w:rPr>
        <w:t xml:space="preserve"> supported development initiatives </w:t>
      </w:r>
      <w:r w:rsidR="004A4B8A" w:rsidRPr="002601BB">
        <w:rPr>
          <w:lang w:val="en-GB"/>
        </w:rPr>
        <w:t>to improve</w:t>
      </w:r>
      <w:r w:rsidRPr="002601BB">
        <w:rPr>
          <w:lang w:val="en-GB"/>
        </w:rPr>
        <w:t xml:space="preserve"> the resilience of communities </w:t>
      </w:r>
      <w:r w:rsidR="003E56D1">
        <w:rPr>
          <w:lang w:val="en-GB"/>
        </w:rPr>
        <w:t xml:space="preserve">to </w:t>
      </w:r>
      <w:r w:rsidRPr="002601BB">
        <w:rPr>
          <w:lang w:val="en-GB"/>
        </w:rPr>
        <w:t xml:space="preserve">water stress and generate employment opportunities in </w:t>
      </w:r>
      <w:r w:rsidR="003E56D1">
        <w:rPr>
          <w:lang w:val="en-GB"/>
        </w:rPr>
        <w:t xml:space="preserve">the </w:t>
      </w:r>
      <w:r w:rsidRPr="002601BB">
        <w:rPr>
          <w:lang w:val="en-GB"/>
        </w:rPr>
        <w:t>co</w:t>
      </w:r>
      <w:r w:rsidR="001A207D" w:rsidRPr="002601BB">
        <w:rPr>
          <w:lang w:val="en-GB"/>
        </w:rPr>
        <w:t>a</w:t>
      </w:r>
      <w:r w:rsidRPr="002601BB">
        <w:rPr>
          <w:lang w:val="en-GB"/>
        </w:rPr>
        <w:t>stal pacific and Caribbean regions and peripheral urban areas</w:t>
      </w:r>
      <w:r w:rsidR="006819EC" w:rsidRPr="002601BB">
        <w:rPr>
          <w:lang w:val="en-GB"/>
        </w:rPr>
        <w:t>, placing women in all their diversity</w:t>
      </w:r>
      <w:r w:rsidR="00DB70D8" w:rsidRPr="002601BB">
        <w:rPr>
          <w:lang w:val="en-GB"/>
        </w:rPr>
        <w:t xml:space="preserve"> at the centre of these interventions</w:t>
      </w:r>
      <w:r w:rsidRPr="002601BB">
        <w:rPr>
          <w:lang w:val="en-GB"/>
        </w:rPr>
        <w:t xml:space="preserve">. </w:t>
      </w:r>
    </w:p>
    <w:p w14:paraId="7AFB21F8" w14:textId="77777777" w:rsidR="001F492F" w:rsidRPr="002601BB" w:rsidRDefault="001F492F" w:rsidP="001D3052">
      <w:pPr>
        <w:pStyle w:val="ListParagraph"/>
        <w:tabs>
          <w:tab w:val="left" w:pos="1620"/>
        </w:tabs>
        <w:spacing w:after="160" w:line="259" w:lineRule="auto"/>
        <w:ind w:left="1260" w:right="1750"/>
        <w:contextualSpacing/>
        <w:jc w:val="both"/>
        <w:rPr>
          <w:sz w:val="12"/>
          <w:szCs w:val="12"/>
          <w:lang w:val="en-GB"/>
        </w:rPr>
      </w:pPr>
    </w:p>
    <w:p w14:paraId="03A46588" w14:textId="0E477CB5" w:rsidR="001F492F" w:rsidRPr="002601BB" w:rsidRDefault="001F492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The</w:t>
      </w:r>
      <w:r w:rsidR="006C129F" w:rsidRPr="002601BB">
        <w:rPr>
          <w:lang w:val="en-GB"/>
        </w:rPr>
        <w:t xml:space="preserve"> </w:t>
      </w:r>
      <w:r w:rsidR="003E56D1">
        <w:rPr>
          <w:lang w:val="en-GB"/>
        </w:rPr>
        <w:t>d</w:t>
      </w:r>
      <w:r w:rsidR="006C129F" w:rsidRPr="002601BB">
        <w:rPr>
          <w:lang w:val="en-GB"/>
        </w:rPr>
        <w:t xml:space="preserve">ecentralized </w:t>
      </w:r>
      <w:r w:rsidR="003E56D1">
        <w:rPr>
          <w:lang w:val="en-GB"/>
        </w:rPr>
        <w:t>c</w:t>
      </w:r>
      <w:r w:rsidRPr="002601BB">
        <w:rPr>
          <w:lang w:val="en-GB"/>
        </w:rPr>
        <w:t xml:space="preserve">ountry </w:t>
      </w:r>
      <w:r w:rsidR="003E56D1">
        <w:rPr>
          <w:lang w:val="en-GB"/>
        </w:rPr>
        <w:t>p</w:t>
      </w:r>
      <w:r w:rsidRPr="002601BB">
        <w:rPr>
          <w:lang w:val="en-GB"/>
        </w:rPr>
        <w:t xml:space="preserve">rogramme </w:t>
      </w:r>
      <w:r w:rsidR="003E56D1">
        <w:rPr>
          <w:lang w:val="en-GB"/>
        </w:rPr>
        <w:t>e</w:t>
      </w:r>
      <w:r w:rsidRPr="002601BB">
        <w:rPr>
          <w:lang w:val="en-GB"/>
        </w:rPr>
        <w:t>valuation conducted in 2021 found that UNDP had high effectiveness in achieving most output targets, generating results of strategic importance.</w:t>
      </w:r>
      <w:r w:rsidR="00E80022" w:rsidRPr="002601BB">
        <w:rPr>
          <w:lang w:val="en-GB"/>
        </w:rPr>
        <w:t xml:space="preserve"> </w:t>
      </w:r>
      <w:r w:rsidRPr="002601BB">
        <w:rPr>
          <w:lang w:val="en-GB"/>
        </w:rPr>
        <w:t>In a complex context, UNDP was able to carry out a process of strengthening counterparts for sustainable development</w:t>
      </w:r>
      <w:r w:rsidR="00BB2ED1" w:rsidRPr="002601BB">
        <w:rPr>
          <w:lang w:val="en-GB"/>
        </w:rPr>
        <w:t xml:space="preserve">, such as the National Institute for Women </w:t>
      </w:r>
      <w:r w:rsidR="00497295" w:rsidRPr="002601BB">
        <w:rPr>
          <w:lang w:val="en-GB"/>
        </w:rPr>
        <w:t xml:space="preserve">(INAMU) </w:t>
      </w:r>
      <w:r w:rsidR="00EB250B" w:rsidRPr="002601BB">
        <w:rPr>
          <w:lang w:val="en-GB"/>
        </w:rPr>
        <w:t>and the Ministry of Environment and Energy</w:t>
      </w:r>
      <w:r w:rsidR="00497295" w:rsidRPr="002601BB">
        <w:rPr>
          <w:lang w:val="en-GB"/>
        </w:rPr>
        <w:t xml:space="preserve"> (MINAE</w:t>
      </w:r>
      <w:r w:rsidR="00E23EE8" w:rsidRPr="002601BB">
        <w:rPr>
          <w:lang w:val="en-GB"/>
        </w:rPr>
        <w:t>)</w:t>
      </w:r>
      <w:r w:rsidRPr="002601BB">
        <w:rPr>
          <w:lang w:val="en-GB"/>
        </w:rPr>
        <w:t>.</w:t>
      </w:r>
      <w:r w:rsidR="00E80022" w:rsidRPr="002601BB">
        <w:rPr>
          <w:lang w:val="en-GB"/>
        </w:rPr>
        <w:t xml:space="preserve"> </w:t>
      </w:r>
      <w:r w:rsidR="001C43DF" w:rsidRPr="002601BB">
        <w:rPr>
          <w:lang w:val="en-GB"/>
        </w:rPr>
        <w:t xml:space="preserve">Other </w:t>
      </w:r>
      <w:r w:rsidRPr="002601BB">
        <w:rPr>
          <w:lang w:val="en-GB"/>
        </w:rPr>
        <w:t>issue</w:t>
      </w:r>
      <w:r w:rsidR="001C43DF" w:rsidRPr="002601BB">
        <w:rPr>
          <w:lang w:val="en-GB"/>
        </w:rPr>
        <w:t>s</w:t>
      </w:r>
      <w:r w:rsidRPr="002601BB">
        <w:rPr>
          <w:lang w:val="en-GB"/>
        </w:rPr>
        <w:t xml:space="preserve"> highlighted by the evaluation </w:t>
      </w:r>
      <w:r w:rsidR="00065700" w:rsidRPr="002601BB">
        <w:rPr>
          <w:lang w:val="en-GB"/>
        </w:rPr>
        <w:t xml:space="preserve">crucial for the new </w:t>
      </w:r>
      <w:r w:rsidR="003E56D1">
        <w:rPr>
          <w:lang w:val="en-GB"/>
        </w:rPr>
        <w:t>country programme</w:t>
      </w:r>
      <w:r w:rsidR="001C43DF" w:rsidRPr="002601BB">
        <w:rPr>
          <w:lang w:val="en-GB"/>
        </w:rPr>
        <w:t>’</w:t>
      </w:r>
      <w:r w:rsidR="00065700" w:rsidRPr="002601BB">
        <w:rPr>
          <w:lang w:val="en-GB"/>
        </w:rPr>
        <w:t xml:space="preserve">s success </w:t>
      </w:r>
      <w:r w:rsidR="001C43DF" w:rsidRPr="002601BB">
        <w:rPr>
          <w:lang w:val="en-GB"/>
        </w:rPr>
        <w:t>are</w:t>
      </w:r>
      <w:r w:rsidR="003E56D1">
        <w:rPr>
          <w:lang w:val="en-GB"/>
        </w:rPr>
        <w:t>:</w:t>
      </w:r>
      <w:r w:rsidR="001C43DF" w:rsidRPr="002601BB">
        <w:rPr>
          <w:lang w:val="en-GB"/>
        </w:rPr>
        <w:t xml:space="preserve"> (</w:t>
      </w:r>
      <w:r w:rsidR="003E56D1">
        <w:rPr>
          <w:lang w:val="en-GB"/>
        </w:rPr>
        <w:t>a</w:t>
      </w:r>
      <w:r w:rsidR="001C43DF" w:rsidRPr="002601BB">
        <w:rPr>
          <w:lang w:val="en-GB"/>
        </w:rPr>
        <w:t>)</w:t>
      </w:r>
      <w:r w:rsidR="003E56D1">
        <w:rPr>
          <w:lang w:val="en-GB"/>
        </w:rPr>
        <w:t> </w:t>
      </w:r>
      <w:r w:rsidR="00065700" w:rsidRPr="002601BB">
        <w:rPr>
          <w:lang w:val="en-GB"/>
        </w:rPr>
        <w:t>UNDP staff capacity and quality</w:t>
      </w:r>
      <w:r w:rsidR="003E56D1">
        <w:rPr>
          <w:lang w:val="en-GB"/>
        </w:rPr>
        <w:t>;</w:t>
      </w:r>
      <w:r w:rsidR="001C43DF" w:rsidRPr="002601BB">
        <w:rPr>
          <w:lang w:val="en-GB"/>
        </w:rPr>
        <w:t xml:space="preserve"> (</w:t>
      </w:r>
      <w:r w:rsidR="003E56D1">
        <w:rPr>
          <w:lang w:val="en-GB"/>
        </w:rPr>
        <w:t>b</w:t>
      </w:r>
      <w:r w:rsidR="001C43DF" w:rsidRPr="002601BB">
        <w:rPr>
          <w:lang w:val="en-GB"/>
        </w:rPr>
        <w:t>)</w:t>
      </w:r>
      <w:r w:rsidR="00065700" w:rsidRPr="002601BB">
        <w:rPr>
          <w:lang w:val="en-GB"/>
        </w:rPr>
        <w:t xml:space="preserve"> k</w:t>
      </w:r>
      <w:r w:rsidR="00B0624F" w:rsidRPr="002601BB">
        <w:rPr>
          <w:lang w:val="en-GB"/>
        </w:rPr>
        <w:t xml:space="preserve">ey successes such as the </w:t>
      </w:r>
      <w:r w:rsidR="001A207D" w:rsidRPr="002601BB">
        <w:rPr>
          <w:lang w:val="en-GB"/>
        </w:rPr>
        <w:t>first-</w:t>
      </w:r>
      <w:r w:rsidR="007F3AE7" w:rsidRPr="002601BB">
        <w:rPr>
          <w:lang w:val="en-GB"/>
        </w:rPr>
        <w:t xml:space="preserve">ever </w:t>
      </w:r>
      <w:r w:rsidR="00B0624F" w:rsidRPr="002601BB">
        <w:rPr>
          <w:lang w:val="en-GB"/>
        </w:rPr>
        <w:t xml:space="preserve">transfer of </w:t>
      </w:r>
      <w:r w:rsidR="00050B63" w:rsidRPr="002601BB">
        <w:rPr>
          <w:lang w:val="en-GB"/>
        </w:rPr>
        <w:t xml:space="preserve">emission reduction payments </w:t>
      </w:r>
      <w:r w:rsidR="00515B5B" w:rsidRPr="002601BB">
        <w:rPr>
          <w:lang w:val="en-GB"/>
        </w:rPr>
        <w:t xml:space="preserve">into </w:t>
      </w:r>
      <w:r w:rsidR="00050B63" w:rsidRPr="002601BB">
        <w:rPr>
          <w:lang w:val="en-GB"/>
        </w:rPr>
        <w:t xml:space="preserve">a </w:t>
      </w:r>
      <w:r w:rsidR="00515B5B" w:rsidRPr="002601BB">
        <w:rPr>
          <w:lang w:val="en-GB"/>
        </w:rPr>
        <w:t xml:space="preserve">government </w:t>
      </w:r>
      <w:r w:rsidR="007508DE" w:rsidRPr="002601BB">
        <w:rPr>
          <w:lang w:val="en-GB"/>
        </w:rPr>
        <w:t>trust fund</w:t>
      </w:r>
      <w:r w:rsidR="003E56D1">
        <w:rPr>
          <w:lang w:val="en-GB"/>
        </w:rPr>
        <w:t>;</w:t>
      </w:r>
      <w:r w:rsidR="001C43DF" w:rsidRPr="002601BB">
        <w:rPr>
          <w:lang w:val="en-GB"/>
        </w:rPr>
        <w:t xml:space="preserve"> (</w:t>
      </w:r>
      <w:r w:rsidR="003E56D1">
        <w:rPr>
          <w:lang w:val="en-GB"/>
        </w:rPr>
        <w:t>c</w:t>
      </w:r>
      <w:r w:rsidR="001C43DF" w:rsidRPr="002601BB">
        <w:rPr>
          <w:lang w:val="en-GB"/>
        </w:rPr>
        <w:t>)</w:t>
      </w:r>
      <w:r w:rsidR="007508DE" w:rsidRPr="002601BB">
        <w:rPr>
          <w:lang w:val="en-GB"/>
        </w:rPr>
        <w:t xml:space="preserve"> </w:t>
      </w:r>
      <w:r w:rsidR="00050B63" w:rsidRPr="002601BB">
        <w:rPr>
          <w:lang w:val="en-GB"/>
        </w:rPr>
        <w:t>achiev</w:t>
      </w:r>
      <w:r w:rsidR="007508DE" w:rsidRPr="002601BB">
        <w:rPr>
          <w:lang w:val="en-GB"/>
        </w:rPr>
        <w:t xml:space="preserve">ing the highest ever delivery rates while operating </w:t>
      </w:r>
      <w:r w:rsidR="00B04509" w:rsidRPr="002601BB">
        <w:rPr>
          <w:lang w:val="en-GB"/>
        </w:rPr>
        <w:t xml:space="preserve">under </w:t>
      </w:r>
      <w:r w:rsidR="001A0013">
        <w:rPr>
          <w:lang w:val="en-GB"/>
        </w:rPr>
        <w:t xml:space="preserve">the COVID-19 </w:t>
      </w:r>
      <w:r w:rsidR="00B04509" w:rsidRPr="002601BB">
        <w:rPr>
          <w:lang w:val="en-GB"/>
        </w:rPr>
        <w:t>business continuity plan</w:t>
      </w:r>
      <w:r w:rsidRPr="002601BB">
        <w:rPr>
          <w:lang w:val="en-GB"/>
        </w:rPr>
        <w:t xml:space="preserve">; </w:t>
      </w:r>
      <w:r w:rsidR="00C52732" w:rsidRPr="002601BB">
        <w:rPr>
          <w:lang w:val="en-GB"/>
        </w:rPr>
        <w:t xml:space="preserve">and </w:t>
      </w:r>
      <w:r w:rsidR="003E56D1">
        <w:rPr>
          <w:lang w:val="en-GB"/>
        </w:rPr>
        <w:t xml:space="preserve">(d) </w:t>
      </w:r>
      <w:r w:rsidRPr="002601BB">
        <w:rPr>
          <w:lang w:val="en-GB"/>
        </w:rPr>
        <w:t>the ability to mainstream the intersectional gender approach in all aspects of programme implementation</w:t>
      </w:r>
      <w:r w:rsidR="00EB2052" w:rsidRPr="002601BB">
        <w:rPr>
          <w:lang w:val="en-GB"/>
        </w:rPr>
        <w:t>.</w:t>
      </w:r>
      <w:r w:rsidRPr="002601BB">
        <w:rPr>
          <w:lang w:val="en-GB"/>
        </w:rPr>
        <w:t xml:space="preserve"> </w:t>
      </w:r>
    </w:p>
    <w:p w14:paraId="723187B5" w14:textId="77777777" w:rsidR="00AA3F36" w:rsidRPr="002601BB" w:rsidRDefault="00AA3F36" w:rsidP="001D3052">
      <w:pPr>
        <w:pStyle w:val="ListParagraph"/>
        <w:tabs>
          <w:tab w:val="left" w:pos="1620"/>
        </w:tabs>
        <w:spacing w:after="160" w:line="259" w:lineRule="auto"/>
        <w:ind w:left="1260" w:right="1750"/>
        <w:contextualSpacing/>
        <w:jc w:val="both"/>
        <w:rPr>
          <w:sz w:val="12"/>
          <w:szCs w:val="12"/>
          <w:lang w:val="en-GB"/>
        </w:rPr>
      </w:pPr>
    </w:p>
    <w:p w14:paraId="54D7D7CA" w14:textId="39269EAB" w:rsidR="001F492F" w:rsidRPr="002601BB" w:rsidRDefault="00F142B7"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As a country office </w:t>
      </w:r>
      <w:r w:rsidR="00697A47" w:rsidRPr="002601BB">
        <w:rPr>
          <w:lang w:val="en-GB"/>
        </w:rPr>
        <w:t xml:space="preserve">certified </w:t>
      </w:r>
      <w:r w:rsidRPr="002601BB">
        <w:rPr>
          <w:lang w:val="en-GB"/>
        </w:rPr>
        <w:t xml:space="preserve">with </w:t>
      </w:r>
      <w:r w:rsidR="001A0013">
        <w:rPr>
          <w:lang w:val="en-GB"/>
        </w:rPr>
        <w:t xml:space="preserve">the </w:t>
      </w:r>
      <w:r w:rsidR="00EC75FB">
        <w:rPr>
          <w:lang w:val="en-GB"/>
        </w:rPr>
        <w:t>g</w:t>
      </w:r>
      <w:r w:rsidRPr="002601BB">
        <w:rPr>
          <w:lang w:val="en-GB"/>
        </w:rPr>
        <w:t xml:space="preserve">old </w:t>
      </w:r>
      <w:r w:rsidR="00EC75FB">
        <w:rPr>
          <w:lang w:val="en-GB"/>
        </w:rPr>
        <w:t>s</w:t>
      </w:r>
      <w:r w:rsidRPr="002601BB">
        <w:rPr>
          <w:lang w:val="en-GB"/>
        </w:rPr>
        <w:t xml:space="preserve">eal for </w:t>
      </w:r>
      <w:r w:rsidR="00EC75FB">
        <w:rPr>
          <w:lang w:val="en-GB"/>
        </w:rPr>
        <w:t>g</w:t>
      </w:r>
      <w:r w:rsidRPr="002601BB">
        <w:rPr>
          <w:lang w:val="en-GB"/>
        </w:rPr>
        <w:t xml:space="preserve">ender </w:t>
      </w:r>
      <w:r w:rsidR="00EC75FB">
        <w:rPr>
          <w:lang w:val="en-GB"/>
        </w:rPr>
        <w:t>e</w:t>
      </w:r>
      <w:r w:rsidRPr="002601BB">
        <w:rPr>
          <w:lang w:val="en-GB"/>
        </w:rPr>
        <w:t xml:space="preserve">quality, </w:t>
      </w:r>
      <w:r w:rsidR="001F492F" w:rsidRPr="002601BB">
        <w:rPr>
          <w:lang w:val="en-GB"/>
        </w:rPr>
        <w:t>UNDP has worked continuously on mainstreaming intersectional gender equality, women’s empowerment and new masculinities within its programme and projects.</w:t>
      </w:r>
      <w:r w:rsidR="00E80022" w:rsidRPr="002601BB">
        <w:rPr>
          <w:lang w:val="en-GB"/>
        </w:rPr>
        <w:t xml:space="preserve"> </w:t>
      </w:r>
      <w:r w:rsidR="001F492F" w:rsidRPr="002601BB">
        <w:rPr>
          <w:lang w:val="en-GB"/>
        </w:rPr>
        <w:t>Efforts to mainstream gender in programming have improved gender markers in the portfolio and</w:t>
      </w:r>
      <w:r w:rsidR="00637A99" w:rsidRPr="002601BB">
        <w:rPr>
          <w:lang w:val="en-GB"/>
        </w:rPr>
        <w:t>,</w:t>
      </w:r>
      <w:r w:rsidR="001F492F" w:rsidRPr="002601BB">
        <w:rPr>
          <w:lang w:val="en-GB"/>
        </w:rPr>
        <w:t xml:space="preserve"> more significantly, in </w:t>
      </w:r>
      <w:r w:rsidR="001C43DF" w:rsidRPr="002601BB">
        <w:rPr>
          <w:lang w:val="en-GB"/>
        </w:rPr>
        <w:t>developing</w:t>
      </w:r>
      <w:r w:rsidR="001F492F" w:rsidRPr="002601BB">
        <w:rPr>
          <w:lang w:val="en-GB"/>
        </w:rPr>
        <w:t xml:space="preserve"> gender equality strategies </w:t>
      </w:r>
      <w:r w:rsidR="00637A99" w:rsidRPr="002601BB">
        <w:rPr>
          <w:lang w:val="en-GB"/>
        </w:rPr>
        <w:t xml:space="preserve">in </w:t>
      </w:r>
      <w:r w:rsidR="00086F52" w:rsidRPr="002601BB">
        <w:rPr>
          <w:lang w:val="en-GB"/>
        </w:rPr>
        <w:t xml:space="preserve">seven </w:t>
      </w:r>
      <w:r w:rsidR="001F492F" w:rsidRPr="002601BB">
        <w:rPr>
          <w:lang w:val="en-GB"/>
        </w:rPr>
        <w:t>government institutions</w:t>
      </w:r>
      <w:r w:rsidR="00E769B3" w:rsidRPr="002601BB">
        <w:rPr>
          <w:lang w:val="en-GB"/>
        </w:rPr>
        <w:t>.</w:t>
      </w:r>
      <w:r w:rsidR="00E80022" w:rsidRPr="002601BB">
        <w:rPr>
          <w:lang w:val="en-GB"/>
        </w:rPr>
        <w:t xml:space="preserve"> </w:t>
      </w:r>
      <w:r w:rsidR="00E769B3" w:rsidRPr="002601BB">
        <w:rPr>
          <w:lang w:val="en-GB"/>
        </w:rPr>
        <w:t>UNDP</w:t>
      </w:r>
      <w:r w:rsidR="00086F52" w:rsidRPr="002601BB">
        <w:rPr>
          <w:lang w:val="en-GB"/>
        </w:rPr>
        <w:t xml:space="preserve"> </w:t>
      </w:r>
      <w:r w:rsidR="00E769B3" w:rsidRPr="002601BB">
        <w:rPr>
          <w:lang w:val="en-GB"/>
        </w:rPr>
        <w:t xml:space="preserve">led a </w:t>
      </w:r>
      <w:r w:rsidR="00EC75FB">
        <w:rPr>
          <w:lang w:val="en-GB"/>
        </w:rPr>
        <w:t>j</w:t>
      </w:r>
      <w:r w:rsidR="00086F52" w:rsidRPr="002601BB">
        <w:rPr>
          <w:lang w:val="en-GB"/>
        </w:rPr>
        <w:t xml:space="preserve">oint </w:t>
      </w:r>
      <w:r w:rsidR="00EC75FB">
        <w:rPr>
          <w:lang w:val="en-GB"/>
        </w:rPr>
        <w:t>p</w:t>
      </w:r>
      <w:r w:rsidR="00086F52" w:rsidRPr="002601BB">
        <w:rPr>
          <w:lang w:val="en-GB"/>
        </w:rPr>
        <w:t xml:space="preserve">rogramme on </w:t>
      </w:r>
      <w:r w:rsidR="00EC75FB">
        <w:rPr>
          <w:lang w:val="en-GB"/>
        </w:rPr>
        <w:t>s</w:t>
      </w:r>
      <w:r w:rsidR="00086F52" w:rsidRPr="002601BB">
        <w:rPr>
          <w:lang w:val="en-GB"/>
        </w:rPr>
        <w:t xml:space="preserve">ocial </w:t>
      </w:r>
      <w:r w:rsidR="00EC75FB">
        <w:rPr>
          <w:lang w:val="en-GB"/>
        </w:rPr>
        <w:t>p</w:t>
      </w:r>
      <w:r w:rsidR="00086F52" w:rsidRPr="002601BB">
        <w:rPr>
          <w:lang w:val="en-GB"/>
        </w:rPr>
        <w:t>rotection</w:t>
      </w:r>
      <w:r w:rsidR="008268DB" w:rsidRPr="002601BB">
        <w:rPr>
          <w:lang w:val="en-GB"/>
        </w:rPr>
        <w:t xml:space="preserve"> </w:t>
      </w:r>
      <w:r w:rsidR="00287A39" w:rsidRPr="002601BB">
        <w:rPr>
          <w:lang w:val="en-GB"/>
        </w:rPr>
        <w:t xml:space="preserve">and </w:t>
      </w:r>
      <w:r w:rsidR="001F492F" w:rsidRPr="002601BB">
        <w:rPr>
          <w:lang w:val="en-GB"/>
        </w:rPr>
        <w:t>has supported the community of practice of 135</w:t>
      </w:r>
      <w:r w:rsidR="00EC75FB">
        <w:rPr>
          <w:lang w:val="en-GB"/>
        </w:rPr>
        <w:t> </w:t>
      </w:r>
      <w:r w:rsidR="001F492F" w:rsidRPr="002601BB">
        <w:rPr>
          <w:lang w:val="en-GB"/>
        </w:rPr>
        <w:t xml:space="preserve">private sector companies accelerating their certification process </w:t>
      </w:r>
      <w:r w:rsidR="00637A99" w:rsidRPr="002601BB">
        <w:rPr>
          <w:lang w:val="en-GB"/>
        </w:rPr>
        <w:t xml:space="preserve">for </w:t>
      </w:r>
      <w:r w:rsidR="001F492F" w:rsidRPr="002601BB">
        <w:rPr>
          <w:lang w:val="en-GB"/>
        </w:rPr>
        <w:t xml:space="preserve">the </w:t>
      </w:r>
      <w:r w:rsidR="00EC75FB">
        <w:rPr>
          <w:lang w:val="en-GB"/>
        </w:rPr>
        <w:t>s</w:t>
      </w:r>
      <w:r w:rsidR="001F492F" w:rsidRPr="002601BB">
        <w:rPr>
          <w:lang w:val="en-GB"/>
        </w:rPr>
        <w:t xml:space="preserve">eal of </w:t>
      </w:r>
      <w:r w:rsidR="00EC75FB">
        <w:rPr>
          <w:lang w:val="en-GB"/>
        </w:rPr>
        <w:t>g</w:t>
      </w:r>
      <w:r w:rsidR="001F492F" w:rsidRPr="002601BB">
        <w:rPr>
          <w:lang w:val="en-GB"/>
        </w:rPr>
        <w:t xml:space="preserve">ender </w:t>
      </w:r>
      <w:r w:rsidR="00EC75FB">
        <w:rPr>
          <w:lang w:val="en-GB"/>
        </w:rPr>
        <w:t>e</w:t>
      </w:r>
      <w:r w:rsidR="001F492F" w:rsidRPr="002601BB">
        <w:rPr>
          <w:lang w:val="en-GB"/>
        </w:rPr>
        <w:t>quality.</w:t>
      </w:r>
      <w:r w:rsidR="00E80022" w:rsidRPr="002601BB">
        <w:rPr>
          <w:lang w:val="en-GB"/>
        </w:rPr>
        <w:t xml:space="preserve"> </w:t>
      </w:r>
      <w:r w:rsidR="00FF186B" w:rsidRPr="002601BB">
        <w:rPr>
          <w:lang w:val="en-GB"/>
        </w:rPr>
        <w:t>UNDP</w:t>
      </w:r>
      <w:r w:rsidR="001F492F" w:rsidRPr="002601BB">
        <w:rPr>
          <w:lang w:val="en-GB"/>
        </w:rPr>
        <w:t xml:space="preserve"> has helped mitigate the </w:t>
      </w:r>
      <w:r w:rsidR="00EC75FB">
        <w:rPr>
          <w:lang w:val="en-GB"/>
        </w:rPr>
        <w:t xml:space="preserve">COVID-19 </w:t>
      </w:r>
      <w:r w:rsidR="00E80022" w:rsidRPr="002601BB">
        <w:rPr>
          <w:lang w:val="en-GB"/>
        </w:rPr>
        <w:t xml:space="preserve">pandemic’s </w:t>
      </w:r>
      <w:r w:rsidR="00265B67" w:rsidRPr="002601BB">
        <w:rPr>
          <w:lang w:val="en-GB"/>
        </w:rPr>
        <w:t>socioeconomic effects,</w:t>
      </w:r>
      <w:r w:rsidR="001F492F" w:rsidRPr="002601BB">
        <w:rPr>
          <w:lang w:val="en-GB"/>
        </w:rPr>
        <w:t xml:space="preserve"> </w:t>
      </w:r>
      <w:r w:rsidR="0077311A" w:rsidRPr="002601BB">
        <w:rPr>
          <w:lang w:val="en-GB"/>
        </w:rPr>
        <w:t xml:space="preserve">facilitating </w:t>
      </w:r>
      <w:r w:rsidR="001F492F" w:rsidRPr="002601BB">
        <w:rPr>
          <w:lang w:val="en-GB"/>
        </w:rPr>
        <w:t xml:space="preserve">the implementation of three financial instruments targeting women. </w:t>
      </w:r>
    </w:p>
    <w:p w14:paraId="315A5AB7" w14:textId="77777777" w:rsidR="00C84E96" w:rsidRPr="002601BB" w:rsidRDefault="00C84E96" w:rsidP="001D3052">
      <w:pPr>
        <w:pStyle w:val="ListParagraph"/>
        <w:tabs>
          <w:tab w:val="left" w:pos="1620"/>
        </w:tabs>
        <w:spacing w:after="160" w:line="259" w:lineRule="auto"/>
        <w:ind w:left="1260" w:right="1750"/>
        <w:contextualSpacing/>
        <w:jc w:val="both"/>
        <w:rPr>
          <w:sz w:val="12"/>
          <w:szCs w:val="12"/>
          <w:lang w:val="en-GB"/>
        </w:rPr>
      </w:pPr>
    </w:p>
    <w:p w14:paraId="41B1A130" w14:textId="14DCAEFB" w:rsidR="001F492F" w:rsidRPr="002601BB" w:rsidRDefault="009D6253"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The country program</w:t>
      </w:r>
      <w:r w:rsidR="00EC75FB">
        <w:rPr>
          <w:lang w:val="en-GB"/>
        </w:rPr>
        <w:t>me</w:t>
      </w:r>
      <w:r w:rsidRPr="002601BB">
        <w:rPr>
          <w:lang w:val="en-GB"/>
        </w:rPr>
        <w:t xml:space="preserve"> evaluation</w:t>
      </w:r>
      <w:r w:rsidR="008C741E" w:rsidRPr="002601BB">
        <w:rPr>
          <w:lang w:val="en-GB"/>
        </w:rPr>
        <w:t xml:space="preserve"> also</w:t>
      </w:r>
      <w:r w:rsidRPr="002601BB">
        <w:rPr>
          <w:lang w:val="en-GB"/>
        </w:rPr>
        <w:t xml:space="preserve"> noted areas for further development that UNDP address</w:t>
      </w:r>
      <w:r w:rsidR="008C741E" w:rsidRPr="002601BB">
        <w:rPr>
          <w:lang w:val="en-GB"/>
        </w:rPr>
        <w:t>es</w:t>
      </w:r>
      <w:r w:rsidRPr="002601BB">
        <w:rPr>
          <w:lang w:val="en-GB"/>
        </w:rPr>
        <w:t xml:space="preserve"> in </w:t>
      </w:r>
      <w:r w:rsidR="00816B95" w:rsidRPr="002601BB">
        <w:rPr>
          <w:lang w:val="en-GB"/>
        </w:rPr>
        <w:t xml:space="preserve">this </w:t>
      </w:r>
      <w:r w:rsidRPr="002601BB">
        <w:rPr>
          <w:lang w:val="en-GB"/>
        </w:rPr>
        <w:t>new program</w:t>
      </w:r>
      <w:r w:rsidR="00EC75FB">
        <w:rPr>
          <w:lang w:val="en-GB"/>
        </w:rPr>
        <w:t>me</w:t>
      </w:r>
      <w:r w:rsidRPr="002601BB">
        <w:rPr>
          <w:lang w:val="en-GB"/>
        </w:rPr>
        <w:t>.</w:t>
      </w:r>
      <w:r w:rsidR="00E80022" w:rsidRPr="002601BB">
        <w:rPr>
          <w:lang w:val="en-GB"/>
        </w:rPr>
        <w:t xml:space="preserve"> </w:t>
      </w:r>
      <w:r w:rsidR="001F492F" w:rsidRPr="002601BB">
        <w:rPr>
          <w:lang w:val="en-GB"/>
        </w:rPr>
        <w:t>UNDP</w:t>
      </w:r>
      <w:r w:rsidR="008466D2">
        <w:rPr>
          <w:lang w:val="en-GB"/>
        </w:rPr>
        <w:t>,</w:t>
      </w:r>
      <w:r w:rsidR="001F492F" w:rsidRPr="002601BB">
        <w:rPr>
          <w:lang w:val="en-GB"/>
        </w:rPr>
        <w:t xml:space="preserve"> </w:t>
      </w:r>
      <w:r w:rsidR="008466D2">
        <w:rPr>
          <w:lang w:val="en-GB"/>
        </w:rPr>
        <w:t>as</w:t>
      </w:r>
      <w:r w:rsidR="001F492F" w:rsidRPr="002601BB">
        <w:rPr>
          <w:lang w:val="en-GB"/>
        </w:rPr>
        <w:t xml:space="preserve"> </w:t>
      </w:r>
      <w:r w:rsidR="009A7E72" w:rsidRPr="002601BB">
        <w:rPr>
          <w:lang w:val="en-GB"/>
        </w:rPr>
        <w:t>provider</w:t>
      </w:r>
      <w:r w:rsidR="00EC75FB">
        <w:rPr>
          <w:lang w:val="en-GB"/>
        </w:rPr>
        <w:t>-</w:t>
      </w:r>
      <w:r w:rsidR="009A7E72" w:rsidRPr="002601BB">
        <w:rPr>
          <w:lang w:val="en-GB"/>
        </w:rPr>
        <w:t>of</w:t>
      </w:r>
      <w:r w:rsidR="00EC75FB">
        <w:rPr>
          <w:lang w:val="en-GB"/>
        </w:rPr>
        <w:t>-</w:t>
      </w:r>
      <w:r w:rsidR="009A7E72" w:rsidRPr="002601BB">
        <w:rPr>
          <w:lang w:val="en-GB"/>
        </w:rPr>
        <w:t>integrated</w:t>
      </w:r>
      <w:r w:rsidR="00EC75FB">
        <w:rPr>
          <w:lang w:val="en-GB"/>
        </w:rPr>
        <w:t>-</w:t>
      </w:r>
      <w:r w:rsidR="009A7E72" w:rsidRPr="002601BB">
        <w:rPr>
          <w:lang w:val="en-GB"/>
        </w:rPr>
        <w:t>solutions</w:t>
      </w:r>
      <w:r w:rsidR="008466D2">
        <w:rPr>
          <w:lang w:val="en-GB"/>
        </w:rPr>
        <w:t>,</w:t>
      </w:r>
      <w:r w:rsidR="001F492F" w:rsidRPr="002601BB">
        <w:rPr>
          <w:lang w:val="en-GB"/>
        </w:rPr>
        <w:t xml:space="preserve"> </w:t>
      </w:r>
      <w:r w:rsidR="008466D2">
        <w:rPr>
          <w:lang w:val="en-GB"/>
        </w:rPr>
        <w:t>ensures</w:t>
      </w:r>
      <w:r w:rsidR="001F492F" w:rsidRPr="002601BB">
        <w:rPr>
          <w:lang w:val="en-GB"/>
        </w:rPr>
        <w:t xml:space="preserve"> </w:t>
      </w:r>
      <w:r w:rsidR="00C134CB" w:rsidRPr="002601BB">
        <w:rPr>
          <w:lang w:val="en-GB"/>
        </w:rPr>
        <w:t xml:space="preserve">a </w:t>
      </w:r>
      <w:r w:rsidR="001F492F" w:rsidRPr="002601BB">
        <w:rPr>
          <w:lang w:val="en-GB"/>
        </w:rPr>
        <w:t xml:space="preserve">more coherent United Nations </w:t>
      </w:r>
      <w:r w:rsidR="00EC75FB">
        <w:rPr>
          <w:lang w:val="en-GB"/>
        </w:rPr>
        <w:t>s</w:t>
      </w:r>
      <w:r w:rsidR="00C65D64" w:rsidRPr="002601BB">
        <w:rPr>
          <w:lang w:val="en-GB"/>
        </w:rPr>
        <w:t>ystem</w:t>
      </w:r>
      <w:r w:rsidR="001F492F" w:rsidRPr="002601BB">
        <w:rPr>
          <w:lang w:val="en-GB"/>
        </w:rPr>
        <w:t>.</w:t>
      </w:r>
      <w:r w:rsidR="00E80022" w:rsidRPr="002601BB">
        <w:rPr>
          <w:lang w:val="en-GB"/>
        </w:rPr>
        <w:t xml:space="preserve"> </w:t>
      </w:r>
      <w:r w:rsidR="008466D2">
        <w:rPr>
          <w:lang w:val="en-GB"/>
        </w:rPr>
        <w:t>UNDP has</w:t>
      </w:r>
      <w:r w:rsidR="001F492F" w:rsidRPr="002601BB">
        <w:rPr>
          <w:lang w:val="en-GB"/>
        </w:rPr>
        <w:t xml:space="preserve"> demonstrated </w:t>
      </w:r>
      <w:r w:rsidR="008466D2">
        <w:rPr>
          <w:lang w:val="en-GB"/>
        </w:rPr>
        <w:t xml:space="preserve">this </w:t>
      </w:r>
      <w:r w:rsidR="001F492F" w:rsidRPr="002601BB">
        <w:rPr>
          <w:lang w:val="en-GB"/>
        </w:rPr>
        <w:t xml:space="preserve">through its leadership of </w:t>
      </w:r>
      <w:r w:rsidR="00752A73" w:rsidRPr="002601BB">
        <w:rPr>
          <w:lang w:val="en-GB"/>
        </w:rPr>
        <w:t xml:space="preserve">the gender and environment </w:t>
      </w:r>
      <w:r w:rsidR="001F492F" w:rsidRPr="002601BB">
        <w:rPr>
          <w:lang w:val="en-GB"/>
        </w:rPr>
        <w:t>interagency groups</w:t>
      </w:r>
      <w:r w:rsidR="00265B67" w:rsidRPr="002601BB">
        <w:rPr>
          <w:lang w:val="en-GB"/>
        </w:rPr>
        <w:t>, facilitating consultations,</w:t>
      </w:r>
      <w:r w:rsidR="001F492F" w:rsidRPr="002601BB">
        <w:rPr>
          <w:lang w:val="en-GB"/>
        </w:rPr>
        <w:t xml:space="preserve"> and drafting the environment and governance chapters of the </w:t>
      </w:r>
      <w:r w:rsidR="00EC75FB">
        <w:rPr>
          <w:lang w:val="en-GB"/>
        </w:rPr>
        <w:t>c</w:t>
      </w:r>
      <w:r w:rsidR="00151A86" w:rsidRPr="002601BB">
        <w:rPr>
          <w:lang w:val="en-GB"/>
        </w:rPr>
        <w:t xml:space="preserve">ommon </w:t>
      </w:r>
      <w:r w:rsidR="00EC75FB">
        <w:rPr>
          <w:lang w:val="en-GB"/>
        </w:rPr>
        <w:t>c</w:t>
      </w:r>
      <w:r w:rsidR="00151A86" w:rsidRPr="002601BB">
        <w:rPr>
          <w:lang w:val="en-GB"/>
        </w:rPr>
        <w:t xml:space="preserve">ountry </w:t>
      </w:r>
      <w:r w:rsidR="00EC75FB">
        <w:rPr>
          <w:lang w:val="en-GB"/>
        </w:rPr>
        <w:t xml:space="preserve">analysis </w:t>
      </w:r>
      <w:r w:rsidR="001F492F" w:rsidRPr="002601BB">
        <w:rPr>
          <w:lang w:val="en-GB"/>
        </w:rPr>
        <w:t>and UNSDCF formulation.</w:t>
      </w:r>
      <w:r w:rsidR="00E80022" w:rsidRPr="002601BB">
        <w:rPr>
          <w:lang w:val="en-GB"/>
        </w:rPr>
        <w:t xml:space="preserve"> </w:t>
      </w:r>
      <w:r w:rsidR="006112B7">
        <w:rPr>
          <w:lang w:val="en-GB"/>
        </w:rPr>
        <w:t>As provider-of-integrated solutions for the Goals, UNDP</w:t>
      </w:r>
      <w:r w:rsidR="00B67338" w:rsidRPr="002601BB">
        <w:rPr>
          <w:lang w:val="en-GB"/>
        </w:rPr>
        <w:t xml:space="preserve"> </w:t>
      </w:r>
      <w:r w:rsidR="001F492F" w:rsidRPr="002601BB">
        <w:rPr>
          <w:lang w:val="en-GB"/>
        </w:rPr>
        <w:t xml:space="preserve">has also been fostered by engaging political parties contesting the 2022 election to improve awareness of the 2030 </w:t>
      </w:r>
      <w:r w:rsidR="003B340F" w:rsidRPr="002601BB">
        <w:rPr>
          <w:lang w:val="en-GB"/>
        </w:rPr>
        <w:t>A</w:t>
      </w:r>
      <w:r w:rsidR="001F492F" w:rsidRPr="002601BB">
        <w:rPr>
          <w:lang w:val="en-GB"/>
        </w:rPr>
        <w:t xml:space="preserve">genda </w:t>
      </w:r>
      <w:r w:rsidR="00EC75FB">
        <w:rPr>
          <w:lang w:val="en-GB"/>
        </w:rPr>
        <w:t xml:space="preserve">for Sustainable Development </w:t>
      </w:r>
      <w:r w:rsidR="001F492F" w:rsidRPr="002601BB">
        <w:rPr>
          <w:lang w:val="en-GB"/>
        </w:rPr>
        <w:t xml:space="preserve">among candidates </w:t>
      </w:r>
      <w:r w:rsidR="00265B67" w:rsidRPr="002601BB">
        <w:rPr>
          <w:lang w:val="en-GB"/>
        </w:rPr>
        <w:t xml:space="preserve">for </w:t>
      </w:r>
      <w:r w:rsidR="001F492F" w:rsidRPr="002601BB">
        <w:rPr>
          <w:lang w:val="en-GB"/>
        </w:rPr>
        <w:t>the legislative assembly.</w:t>
      </w:r>
    </w:p>
    <w:p w14:paraId="56818979" w14:textId="77777777" w:rsidR="001F492F" w:rsidRPr="002601BB" w:rsidRDefault="001F492F" w:rsidP="001F492F">
      <w:pPr>
        <w:pStyle w:val="ListParagraph"/>
        <w:rPr>
          <w:sz w:val="12"/>
          <w:szCs w:val="12"/>
          <w:lang w:val="en-GB"/>
        </w:rPr>
      </w:pPr>
    </w:p>
    <w:p w14:paraId="1476603C" w14:textId="3DE04011" w:rsidR="001F492F" w:rsidRPr="002601BB" w:rsidRDefault="001F492F" w:rsidP="0074417D">
      <w:pPr>
        <w:pStyle w:val="ListParagraph"/>
        <w:numPr>
          <w:ilvl w:val="0"/>
          <w:numId w:val="1"/>
        </w:numPr>
        <w:tabs>
          <w:tab w:val="left" w:pos="1800"/>
        </w:tabs>
        <w:spacing w:after="200" w:line="259" w:lineRule="auto"/>
        <w:ind w:left="1440" w:right="1210" w:firstLine="0"/>
        <w:contextualSpacing/>
        <w:jc w:val="both"/>
        <w:rPr>
          <w:lang w:val="en-GB"/>
        </w:rPr>
      </w:pPr>
      <w:r w:rsidRPr="002601BB">
        <w:rPr>
          <w:lang w:val="en-GB"/>
        </w:rPr>
        <w:t xml:space="preserve">UNDP </w:t>
      </w:r>
      <w:r w:rsidR="00C41CB0" w:rsidRPr="002601BB">
        <w:rPr>
          <w:lang w:val="en-GB"/>
        </w:rPr>
        <w:t xml:space="preserve">will continue to </w:t>
      </w:r>
      <w:r w:rsidR="00CE35CF" w:rsidRPr="002601BB">
        <w:rPr>
          <w:lang w:val="en-GB"/>
        </w:rPr>
        <w:t>foster</w:t>
      </w:r>
      <w:r w:rsidR="00D04BBD" w:rsidRPr="002601BB">
        <w:rPr>
          <w:lang w:val="en-GB"/>
        </w:rPr>
        <w:t xml:space="preserve"> South-South </w:t>
      </w:r>
      <w:r w:rsidR="00EC75FB">
        <w:rPr>
          <w:lang w:val="en-GB"/>
        </w:rPr>
        <w:t xml:space="preserve">and triangular </w:t>
      </w:r>
      <w:r w:rsidR="00D04BBD" w:rsidRPr="002601BB">
        <w:rPr>
          <w:lang w:val="en-GB"/>
        </w:rPr>
        <w:t xml:space="preserve">cooperation </w:t>
      </w:r>
      <w:r w:rsidR="00CE4A1F" w:rsidRPr="002601BB">
        <w:rPr>
          <w:lang w:val="en-GB"/>
        </w:rPr>
        <w:t xml:space="preserve">with countries interested in </w:t>
      </w:r>
      <w:r w:rsidR="00C41CB0" w:rsidRPr="002601BB">
        <w:rPr>
          <w:lang w:val="en-GB"/>
        </w:rPr>
        <w:t xml:space="preserve">replicating </w:t>
      </w:r>
      <w:r w:rsidR="00CE4A1F" w:rsidRPr="002601BB">
        <w:rPr>
          <w:lang w:val="en-GB"/>
        </w:rPr>
        <w:t xml:space="preserve">the </w:t>
      </w:r>
      <w:r w:rsidR="006112B7">
        <w:rPr>
          <w:lang w:val="en-GB"/>
        </w:rPr>
        <w:t>country</w:t>
      </w:r>
      <w:r w:rsidR="006B2BA5">
        <w:rPr>
          <w:lang w:val="en-GB"/>
        </w:rPr>
        <w:t>’</w:t>
      </w:r>
      <w:r w:rsidR="006112B7">
        <w:rPr>
          <w:lang w:val="en-GB"/>
        </w:rPr>
        <w:t>s successful payment</w:t>
      </w:r>
      <w:r w:rsidR="00175626">
        <w:rPr>
          <w:lang w:val="en-GB"/>
        </w:rPr>
        <w:t>-</w:t>
      </w:r>
      <w:r w:rsidR="006112B7">
        <w:rPr>
          <w:lang w:val="en-GB"/>
        </w:rPr>
        <w:t>for</w:t>
      </w:r>
      <w:r w:rsidR="00175626">
        <w:rPr>
          <w:lang w:val="en-GB"/>
        </w:rPr>
        <w:t>-</w:t>
      </w:r>
      <w:r w:rsidR="006112B7">
        <w:rPr>
          <w:lang w:val="en-GB"/>
        </w:rPr>
        <w:t>ecosystem services and land-use change monitoring experiences</w:t>
      </w:r>
      <w:r w:rsidR="00996AEA" w:rsidRPr="002601BB">
        <w:rPr>
          <w:lang w:val="en-GB"/>
        </w:rPr>
        <w:t>.</w:t>
      </w:r>
      <w:r w:rsidR="00E80022" w:rsidRPr="002601BB">
        <w:rPr>
          <w:lang w:val="en-GB"/>
        </w:rPr>
        <w:t xml:space="preserve"> </w:t>
      </w:r>
      <w:r w:rsidR="00996AEA" w:rsidRPr="002601BB">
        <w:rPr>
          <w:lang w:val="en-GB"/>
        </w:rPr>
        <w:t>Th</w:t>
      </w:r>
      <w:r w:rsidR="00E97A6A" w:rsidRPr="002601BB">
        <w:rPr>
          <w:lang w:val="en-GB"/>
        </w:rPr>
        <w:t xml:space="preserve">e </w:t>
      </w:r>
      <w:r w:rsidR="00EC75FB">
        <w:rPr>
          <w:lang w:val="en-GB"/>
        </w:rPr>
        <w:t>country p</w:t>
      </w:r>
      <w:r w:rsidR="00816B95" w:rsidRPr="002601BB">
        <w:rPr>
          <w:lang w:val="en-GB"/>
        </w:rPr>
        <w:t>rogramme</w:t>
      </w:r>
      <w:r w:rsidR="00E97A6A" w:rsidRPr="002601BB">
        <w:rPr>
          <w:lang w:val="en-GB"/>
        </w:rPr>
        <w:t xml:space="preserve"> </w:t>
      </w:r>
      <w:r w:rsidR="00807E6A" w:rsidRPr="002601BB">
        <w:rPr>
          <w:lang w:val="en-GB"/>
        </w:rPr>
        <w:t xml:space="preserve">will expand on </w:t>
      </w:r>
      <w:r w:rsidR="00175626">
        <w:rPr>
          <w:lang w:val="en-GB"/>
        </w:rPr>
        <w:t xml:space="preserve"> the </w:t>
      </w:r>
      <w:r w:rsidR="006112B7">
        <w:rPr>
          <w:lang w:val="en-GB"/>
        </w:rPr>
        <w:t xml:space="preserve">sharing </w:t>
      </w:r>
      <w:r w:rsidR="00175626">
        <w:rPr>
          <w:lang w:val="en-GB"/>
        </w:rPr>
        <w:t xml:space="preserve">of </w:t>
      </w:r>
      <w:r w:rsidR="006112B7">
        <w:rPr>
          <w:lang w:val="en-GB"/>
        </w:rPr>
        <w:t>lessons learned, consolidating exchanges with African countries</w:t>
      </w:r>
      <w:r w:rsidR="003B340F" w:rsidRPr="002601BB">
        <w:rPr>
          <w:lang w:val="en-GB"/>
        </w:rPr>
        <w:t>, particularly</w:t>
      </w:r>
      <w:r w:rsidR="00826286" w:rsidRPr="002601BB">
        <w:rPr>
          <w:lang w:val="en-GB"/>
        </w:rPr>
        <w:t xml:space="preserve"> </w:t>
      </w:r>
      <w:r w:rsidR="00EC75FB">
        <w:rPr>
          <w:lang w:val="en-GB"/>
        </w:rPr>
        <w:t xml:space="preserve">in the </w:t>
      </w:r>
      <w:r w:rsidRPr="002601BB">
        <w:rPr>
          <w:lang w:val="en-GB"/>
        </w:rPr>
        <w:t xml:space="preserve">Congo </w:t>
      </w:r>
      <w:r w:rsidR="00AE56DA" w:rsidRPr="002601BB">
        <w:rPr>
          <w:lang w:val="en-GB"/>
        </w:rPr>
        <w:t>R</w:t>
      </w:r>
      <w:r w:rsidRPr="002601BB">
        <w:rPr>
          <w:lang w:val="en-GB"/>
        </w:rPr>
        <w:t>iver basin.</w:t>
      </w:r>
    </w:p>
    <w:p w14:paraId="2440D3E0" w14:textId="6EBAE121" w:rsidR="004820B0" w:rsidRPr="002601BB" w:rsidRDefault="00677F8A" w:rsidP="0074417D">
      <w:pPr>
        <w:pStyle w:val="Heading2"/>
        <w:numPr>
          <w:ilvl w:val="0"/>
          <w:numId w:val="3"/>
        </w:numPr>
        <w:ind w:left="1440" w:right="1267" w:hanging="360"/>
        <w:jc w:val="both"/>
        <w:rPr>
          <w:rFonts w:ascii="Times New Roman" w:hAnsi="Times New Roman"/>
          <w:color w:val="000000"/>
          <w:spacing w:val="-3"/>
          <w:sz w:val="24"/>
          <w:szCs w:val="24"/>
          <w:lang w:val="en-GB"/>
        </w:rPr>
      </w:pPr>
      <w:r w:rsidRPr="002601BB">
        <w:rPr>
          <w:rFonts w:ascii="Times New Roman" w:hAnsi="Times New Roman"/>
          <w:color w:val="000000" w:themeColor="text1"/>
          <w:sz w:val="24"/>
          <w:szCs w:val="24"/>
          <w:lang w:val="en-GB"/>
        </w:rPr>
        <w:t xml:space="preserve">Programme </w:t>
      </w:r>
      <w:r w:rsidR="009D1275" w:rsidRPr="002601BB">
        <w:rPr>
          <w:rFonts w:ascii="Times New Roman" w:hAnsi="Times New Roman"/>
          <w:color w:val="000000" w:themeColor="text1"/>
          <w:sz w:val="24"/>
          <w:szCs w:val="24"/>
          <w:lang w:val="en-GB"/>
        </w:rPr>
        <w:t>p</w:t>
      </w:r>
      <w:r w:rsidRPr="002601BB">
        <w:rPr>
          <w:rFonts w:ascii="Times New Roman" w:hAnsi="Times New Roman"/>
          <w:color w:val="000000" w:themeColor="text1"/>
          <w:sz w:val="24"/>
          <w:szCs w:val="24"/>
          <w:lang w:val="en-GB"/>
        </w:rPr>
        <w:t>riorities</w:t>
      </w:r>
      <w:r w:rsidR="002B6341" w:rsidRPr="002601BB">
        <w:rPr>
          <w:rFonts w:ascii="Times New Roman" w:hAnsi="Times New Roman"/>
          <w:color w:val="000000" w:themeColor="text1"/>
          <w:sz w:val="24"/>
          <w:szCs w:val="24"/>
          <w:lang w:val="en-GB"/>
        </w:rPr>
        <w:t xml:space="preserve"> </w:t>
      </w:r>
      <w:r w:rsidR="004736BE" w:rsidRPr="002601BB">
        <w:rPr>
          <w:rFonts w:ascii="Times New Roman" w:hAnsi="Times New Roman"/>
          <w:color w:val="000000" w:themeColor="text1"/>
          <w:sz w:val="24"/>
          <w:szCs w:val="24"/>
          <w:lang w:val="en-GB"/>
        </w:rPr>
        <w:t xml:space="preserve">and </w:t>
      </w:r>
      <w:r w:rsidR="009D1275" w:rsidRPr="002601BB">
        <w:rPr>
          <w:rFonts w:ascii="Times New Roman" w:hAnsi="Times New Roman"/>
          <w:color w:val="000000" w:themeColor="text1"/>
          <w:sz w:val="24"/>
          <w:szCs w:val="24"/>
          <w:lang w:val="en-GB"/>
        </w:rPr>
        <w:t>p</w:t>
      </w:r>
      <w:r w:rsidR="002B6341" w:rsidRPr="002601BB">
        <w:rPr>
          <w:rFonts w:ascii="Times New Roman" w:hAnsi="Times New Roman"/>
          <w:color w:val="000000" w:themeColor="text1"/>
          <w:sz w:val="24"/>
          <w:szCs w:val="24"/>
          <w:lang w:val="en-GB"/>
        </w:rPr>
        <w:t>artnerships</w:t>
      </w:r>
      <w:r w:rsidR="00074DB9" w:rsidRPr="002601BB">
        <w:rPr>
          <w:rFonts w:ascii="Times New Roman" w:hAnsi="Times New Roman"/>
          <w:color w:val="000000" w:themeColor="text1"/>
          <w:sz w:val="24"/>
          <w:szCs w:val="24"/>
          <w:lang w:val="en-GB"/>
        </w:rPr>
        <w:t xml:space="preserve"> </w:t>
      </w:r>
    </w:p>
    <w:p w14:paraId="1BC4B0E6" w14:textId="77777777" w:rsidR="001D2915" w:rsidRPr="002601BB" w:rsidRDefault="001D2915" w:rsidP="009D1275">
      <w:pPr>
        <w:pStyle w:val="ListParagraph"/>
        <w:tabs>
          <w:tab w:val="left" w:pos="1620"/>
        </w:tabs>
        <w:spacing w:line="259" w:lineRule="auto"/>
        <w:ind w:left="1260" w:right="1750"/>
        <w:contextualSpacing/>
        <w:jc w:val="both"/>
        <w:rPr>
          <w:lang w:val="en-GB"/>
        </w:rPr>
      </w:pPr>
    </w:p>
    <w:p w14:paraId="06BC2A48" w14:textId="2691F668" w:rsidR="00BC317A" w:rsidRPr="002601BB" w:rsidRDefault="001D2915"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w:t>
      </w:r>
      <w:r w:rsidR="00AC6C0A">
        <w:rPr>
          <w:lang w:val="en-GB"/>
        </w:rPr>
        <w:t xml:space="preserve">country </w:t>
      </w:r>
      <w:r w:rsidR="00A87D85" w:rsidRPr="002601BB">
        <w:rPr>
          <w:lang w:val="en-GB"/>
        </w:rPr>
        <w:t>programme vision</w:t>
      </w:r>
      <w:r w:rsidRPr="002601BB">
        <w:rPr>
          <w:lang w:val="en-GB"/>
        </w:rPr>
        <w:t xml:space="preserve"> is to help </w:t>
      </w:r>
      <w:r w:rsidR="00AC6C0A">
        <w:rPr>
          <w:rFonts w:eastAsia="Arial"/>
          <w:lang w:val="en-GB"/>
        </w:rPr>
        <w:t xml:space="preserve">the </w:t>
      </w:r>
      <w:r w:rsidRPr="002601BB">
        <w:rPr>
          <w:lang w:val="en-GB"/>
        </w:rPr>
        <w:t xml:space="preserve">citizens </w:t>
      </w:r>
      <w:r w:rsidR="00AC6C0A">
        <w:rPr>
          <w:lang w:val="en-GB"/>
        </w:rPr>
        <w:t xml:space="preserve">of Costa Rica </w:t>
      </w:r>
      <w:r w:rsidRPr="002601BB">
        <w:rPr>
          <w:lang w:val="en-GB"/>
        </w:rPr>
        <w:t xml:space="preserve">transform their </w:t>
      </w:r>
      <w:r w:rsidRPr="002601BB">
        <w:rPr>
          <w:rFonts w:eastAsia="Arial"/>
          <w:lang w:val="en-GB"/>
        </w:rPr>
        <w:t xml:space="preserve">development model </w:t>
      </w:r>
      <w:r w:rsidRPr="002601BB">
        <w:rPr>
          <w:lang w:val="en-GB"/>
        </w:rPr>
        <w:t>to eliminate economic</w:t>
      </w:r>
      <w:r w:rsidRPr="002601BB">
        <w:rPr>
          <w:rFonts w:eastAsia="Arial"/>
          <w:lang w:val="en-GB"/>
        </w:rPr>
        <w:t xml:space="preserve">, </w:t>
      </w:r>
      <w:r w:rsidRPr="002601BB">
        <w:rPr>
          <w:lang w:val="en-GB"/>
        </w:rPr>
        <w:t>social</w:t>
      </w:r>
      <w:r w:rsidRPr="002601BB">
        <w:rPr>
          <w:rFonts w:eastAsia="Arial"/>
          <w:lang w:val="en-GB"/>
        </w:rPr>
        <w:t xml:space="preserve"> and political </w:t>
      </w:r>
      <w:r w:rsidRPr="002601BB">
        <w:rPr>
          <w:lang w:val="en-GB"/>
        </w:rPr>
        <w:t xml:space="preserve">inequalities that have </w:t>
      </w:r>
      <w:r w:rsidRPr="002601BB">
        <w:rPr>
          <w:lang w:val="en-GB"/>
        </w:rPr>
        <w:lastRenderedPageBreak/>
        <w:t xml:space="preserve">affected the country for </w:t>
      </w:r>
      <w:r w:rsidR="006112B7">
        <w:rPr>
          <w:lang w:val="en-GB"/>
        </w:rPr>
        <w:t xml:space="preserve">a </w:t>
      </w:r>
      <w:r w:rsidRPr="002601BB">
        <w:rPr>
          <w:lang w:val="en-GB"/>
        </w:rPr>
        <w:t>long</w:t>
      </w:r>
      <w:r w:rsidR="006112B7">
        <w:rPr>
          <w:lang w:val="en-GB"/>
        </w:rPr>
        <w:t xml:space="preserve"> time</w:t>
      </w:r>
      <w:r w:rsidRPr="002601BB">
        <w:rPr>
          <w:lang w:val="en-GB"/>
        </w:rPr>
        <w:t>.</w:t>
      </w:r>
      <w:r w:rsidR="00E80022" w:rsidRPr="002601BB">
        <w:rPr>
          <w:lang w:val="en-GB"/>
        </w:rPr>
        <w:t xml:space="preserve"> </w:t>
      </w:r>
      <w:r w:rsidRPr="002601BB">
        <w:rPr>
          <w:lang w:val="en-GB"/>
        </w:rPr>
        <w:t>Interventions will be aligned with</w:t>
      </w:r>
      <w:r w:rsidR="00AC6C0A">
        <w:rPr>
          <w:lang w:val="en-GB"/>
        </w:rPr>
        <w:t>:</w:t>
      </w:r>
      <w:r w:rsidRPr="002601BB">
        <w:rPr>
          <w:lang w:val="en-GB"/>
        </w:rPr>
        <w:t xml:space="preserve"> </w:t>
      </w:r>
      <w:r w:rsidR="00A87D85" w:rsidRPr="002601BB">
        <w:rPr>
          <w:lang w:val="en-GB"/>
        </w:rPr>
        <w:t>(</w:t>
      </w:r>
      <w:r w:rsidR="00AC6C0A">
        <w:rPr>
          <w:lang w:val="en-GB"/>
        </w:rPr>
        <w:t>a</w:t>
      </w:r>
      <w:r w:rsidR="00A87D85" w:rsidRPr="002601BB">
        <w:rPr>
          <w:lang w:val="en-GB"/>
        </w:rPr>
        <w:t xml:space="preserve">) </w:t>
      </w:r>
      <w:r w:rsidRPr="002601BB">
        <w:rPr>
          <w:lang w:val="en-GB"/>
        </w:rPr>
        <w:t xml:space="preserve">the </w:t>
      </w:r>
      <w:r w:rsidR="00AC6C0A" w:rsidRPr="002601BB">
        <w:rPr>
          <w:lang w:val="en-GB"/>
        </w:rPr>
        <w:t>decentrali</w:t>
      </w:r>
      <w:r w:rsidR="00AC6C0A">
        <w:rPr>
          <w:lang w:val="en-GB"/>
        </w:rPr>
        <w:t>z</w:t>
      </w:r>
      <w:r w:rsidR="00AC6C0A" w:rsidRPr="002601BB">
        <w:rPr>
          <w:lang w:val="en-GB"/>
        </w:rPr>
        <w:t xml:space="preserve">ation </w:t>
      </w:r>
      <w:r w:rsidRPr="002601BB">
        <w:rPr>
          <w:lang w:val="en-GB"/>
        </w:rPr>
        <w:t>priorities</w:t>
      </w:r>
      <w:r w:rsidR="00AC6C0A">
        <w:rPr>
          <w:lang w:val="en-GB"/>
        </w:rPr>
        <w:t xml:space="preserve"> of the Government;</w:t>
      </w:r>
      <w:r w:rsidR="00A87D85" w:rsidRPr="002601BB">
        <w:rPr>
          <w:lang w:val="en-GB"/>
        </w:rPr>
        <w:t xml:space="preserve"> (</w:t>
      </w:r>
      <w:r w:rsidR="00AC6C0A">
        <w:rPr>
          <w:lang w:val="en-GB"/>
        </w:rPr>
        <w:t>b</w:t>
      </w:r>
      <w:r w:rsidR="00A87D85" w:rsidRPr="002601BB">
        <w:rPr>
          <w:lang w:val="en-GB"/>
        </w:rPr>
        <w:t>)</w:t>
      </w:r>
      <w:r w:rsidRPr="002601BB">
        <w:rPr>
          <w:lang w:val="en-GB"/>
        </w:rPr>
        <w:t xml:space="preserve"> more efficient </w:t>
      </w:r>
      <w:r w:rsidR="00AC6C0A">
        <w:rPr>
          <w:lang w:val="en-GB"/>
        </w:rPr>
        <w:t>S</w:t>
      </w:r>
      <w:r w:rsidRPr="002601BB">
        <w:rPr>
          <w:lang w:val="en-GB"/>
        </w:rPr>
        <w:t>tate institutions</w:t>
      </w:r>
      <w:r w:rsidR="00AC6C0A">
        <w:rPr>
          <w:lang w:val="en-GB"/>
        </w:rPr>
        <w:t>;</w:t>
      </w:r>
      <w:r w:rsidR="00A87D85" w:rsidRPr="002601BB">
        <w:rPr>
          <w:lang w:val="en-GB"/>
        </w:rPr>
        <w:t xml:space="preserve"> (</w:t>
      </w:r>
      <w:r w:rsidR="00AC6C0A">
        <w:rPr>
          <w:lang w:val="en-GB"/>
        </w:rPr>
        <w:t>c</w:t>
      </w:r>
      <w:r w:rsidR="00A87D85" w:rsidRPr="002601BB">
        <w:rPr>
          <w:lang w:val="en-GB"/>
        </w:rPr>
        <w:t>)</w:t>
      </w:r>
      <w:r w:rsidR="00AC6C0A">
        <w:rPr>
          <w:lang w:val="en-GB"/>
        </w:rPr>
        <w:t> </w:t>
      </w:r>
      <w:r w:rsidRPr="002601BB">
        <w:rPr>
          <w:lang w:val="en-GB"/>
        </w:rPr>
        <w:t xml:space="preserve">sustainable economic activities that generate employment and benefits to traditionally </w:t>
      </w:r>
      <w:r w:rsidR="00E80022" w:rsidRPr="002601BB">
        <w:rPr>
          <w:lang w:val="en-GB"/>
        </w:rPr>
        <w:t>marginali</w:t>
      </w:r>
      <w:r w:rsidR="00AC6C0A">
        <w:rPr>
          <w:lang w:val="en-GB"/>
        </w:rPr>
        <w:t>z</w:t>
      </w:r>
      <w:r w:rsidR="00E80022" w:rsidRPr="002601BB">
        <w:rPr>
          <w:lang w:val="en-GB"/>
        </w:rPr>
        <w:t xml:space="preserve">ed </w:t>
      </w:r>
      <w:r w:rsidRPr="002601BB">
        <w:rPr>
          <w:lang w:val="en-GB"/>
        </w:rPr>
        <w:t>regions</w:t>
      </w:r>
      <w:r w:rsidR="00AC6C0A">
        <w:rPr>
          <w:lang w:val="en-GB"/>
        </w:rPr>
        <w:t>;</w:t>
      </w:r>
      <w:r w:rsidRPr="002601BB">
        <w:rPr>
          <w:lang w:val="en-GB"/>
        </w:rPr>
        <w:t xml:space="preserve"> and </w:t>
      </w:r>
      <w:r w:rsidR="00A87D85" w:rsidRPr="002601BB">
        <w:rPr>
          <w:lang w:val="en-GB"/>
        </w:rPr>
        <w:t>(</w:t>
      </w:r>
      <w:r w:rsidR="00AC6C0A">
        <w:rPr>
          <w:lang w:val="en-GB"/>
        </w:rPr>
        <w:t>d</w:t>
      </w:r>
      <w:r w:rsidR="00A87D85" w:rsidRPr="002601BB">
        <w:rPr>
          <w:lang w:val="en-GB"/>
        </w:rPr>
        <w:t>)</w:t>
      </w:r>
      <w:r w:rsidR="00AC6C0A">
        <w:rPr>
          <w:lang w:val="en-GB"/>
        </w:rPr>
        <w:t> </w:t>
      </w:r>
      <w:r w:rsidRPr="002601BB">
        <w:rPr>
          <w:lang w:val="en-GB"/>
        </w:rPr>
        <w:t>response to multiple threats, all in compliance with the constitution, democratic governance, an intersectional gender approach</w:t>
      </w:r>
      <w:r w:rsidR="00AC6C0A">
        <w:rPr>
          <w:lang w:val="en-GB"/>
        </w:rPr>
        <w:t>,</w:t>
      </w:r>
      <w:r w:rsidRPr="002601BB">
        <w:rPr>
          <w:lang w:val="en-GB"/>
        </w:rPr>
        <w:t xml:space="preserve"> and respect for human rights.</w:t>
      </w:r>
      <w:r w:rsidR="00E80022" w:rsidRPr="002601BB">
        <w:rPr>
          <w:lang w:val="en-GB"/>
        </w:rPr>
        <w:t xml:space="preserve"> </w:t>
      </w:r>
      <w:r w:rsidRPr="002601BB">
        <w:rPr>
          <w:lang w:val="en-GB"/>
        </w:rPr>
        <w:t xml:space="preserve">The programme will focus on three </w:t>
      </w:r>
      <w:r w:rsidR="001C06B0" w:rsidRPr="002601BB">
        <w:rPr>
          <w:lang w:val="en-GB"/>
        </w:rPr>
        <w:t>UNSDCF</w:t>
      </w:r>
      <w:r w:rsidR="00AC6C0A">
        <w:rPr>
          <w:lang w:val="en-GB"/>
        </w:rPr>
        <w:t xml:space="preserve"> outcomes and </w:t>
      </w:r>
      <w:r w:rsidRPr="002601BB">
        <w:rPr>
          <w:lang w:val="en-GB"/>
        </w:rPr>
        <w:t xml:space="preserve">is aligned with the UNDP </w:t>
      </w:r>
      <w:r w:rsidR="006A443A">
        <w:rPr>
          <w:lang w:val="en-GB"/>
        </w:rPr>
        <w:t>s</w:t>
      </w:r>
      <w:r w:rsidRPr="002601BB">
        <w:rPr>
          <w:lang w:val="en-GB"/>
        </w:rPr>
        <w:t xml:space="preserve">trategic </w:t>
      </w:r>
      <w:r w:rsidR="006A443A">
        <w:rPr>
          <w:lang w:val="en-GB"/>
        </w:rPr>
        <w:t>p</w:t>
      </w:r>
      <w:r w:rsidRPr="002601BB">
        <w:rPr>
          <w:lang w:val="en-GB"/>
        </w:rPr>
        <w:t xml:space="preserve">lan, </w:t>
      </w:r>
      <w:r w:rsidR="00AC6C0A">
        <w:rPr>
          <w:lang w:val="en-GB"/>
        </w:rPr>
        <w:t xml:space="preserve">2022-2025, </w:t>
      </w:r>
      <w:r w:rsidRPr="002601BB">
        <w:rPr>
          <w:lang w:val="en-GB"/>
        </w:rPr>
        <w:t xml:space="preserve">its signature solutions approach, and the regional strategy </w:t>
      </w:r>
      <w:r w:rsidR="00AC6C0A">
        <w:rPr>
          <w:lang w:val="en-GB"/>
        </w:rPr>
        <w:t xml:space="preserve">to </w:t>
      </w:r>
      <w:r w:rsidRPr="002601BB">
        <w:rPr>
          <w:lang w:val="en-GB"/>
        </w:rPr>
        <w:t>strengthen</w:t>
      </w:r>
      <w:r w:rsidR="00AC6C0A">
        <w:rPr>
          <w:lang w:val="en-GB"/>
        </w:rPr>
        <w:t xml:space="preserve"> </w:t>
      </w:r>
      <w:r w:rsidRPr="002601BB">
        <w:rPr>
          <w:lang w:val="en-GB"/>
        </w:rPr>
        <w:t>effective governance through productivity, inclusion and resilience.</w:t>
      </w:r>
    </w:p>
    <w:p w14:paraId="4C28C92D" w14:textId="77777777" w:rsidR="00BC317A" w:rsidRPr="002601BB" w:rsidRDefault="00BC317A" w:rsidP="00BC317A">
      <w:pPr>
        <w:pStyle w:val="ListParagraph"/>
        <w:tabs>
          <w:tab w:val="left" w:pos="1620"/>
        </w:tabs>
        <w:spacing w:after="160" w:line="259" w:lineRule="auto"/>
        <w:ind w:left="1260" w:right="1750"/>
        <w:contextualSpacing/>
        <w:jc w:val="both"/>
        <w:rPr>
          <w:sz w:val="12"/>
          <w:szCs w:val="12"/>
          <w:lang w:val="en-GB"/>
        </w:rPr>
      </w:pPr>
    </w:p>
    <w:p w14:paraId="4E4E8726" w14:textId="3FB40D34" w:rsidR="00BC317A" w:rsidRPr="002601BB" w:rsidRDefault="00BC317A"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theory of change, which is anchored in the national development plan, long-term policies and the National Pact for the achievement of the Goals, considers the following assumptions: </w:t>
      </w:r>
      <w:r w:rsidRPr="00DF58ED">
        <w:rPr>
          <w:i/>
          <w:iCs/>
          <w:lang w:val="en-GB"/>
        </w:rPr>
        <w:t>if</w:t>
      </w:r>
      <w:r w:rsidRPr="002601BB">
        <w:rPr>
          <w:lang w:val="en-GB"/>
        </w:rPr>
        <w:t xml:space="preserve"> more robust, evidence-based public policies</w:t>
      </w:r>
      <w:r w:rsidR="0094200A">
        <w:rPr>
          <w:lang w:val="en-GB"/>
        </w:rPr>
        <w:t xml:space="preserve"> – which </w:t>
      </w:r>
      <w:r w:rsidR="0094200A" w:rsidRPr="002601BB">
        <w:rPr>
          <w:lang w:val="en-GB"/>
        </w:rPr>
        <w:t>are inclusive</w:t>
      </w:r>
      <w:r w:rsidR="0094200A">
        <w:rPr>
          <w:lang w:val="en-GB"/>
        </w:rPr>
        <w:t xml:space="preserve"> and </w:t>
      </w:r>
      <w:r w:rsidR="00B32219" w:rsidRPr="002601BB">
        <w:rPr>
          <w:lang w:val="en-GB"/>
        </w:rPr>
        <w:t>consider local, national and transboundary levels</w:t>
      </w:r>
      <w:r w:rsidR="00AC6C0A">
        <w:rPr>
          <w:lang w:val="en-GB"/>
        </w:rPr>
        <w:t xml:space="preserve"> </w:t>
      </w:r>
      <w:r w:rsidR="0094200A">
        <w:rPr>
          <w:lang w:val="en-GB"/>
        </w:rPr>
        <w:t xml:space="preserve">– </w:t>
      </w:r>
      <w:r w:rsidR="00AC6C0A">
        <w:rPr>
          <w:lang w:val="en-GB"/>
        </w:rPr>
        <w:t>are implemented</w:t>
      </w:r>
      <w:r w:rsidRPr="002601BB">
        <w:rPr>
          <w:lang w:val="en-GB"/>
        </w:rPr>
        <w:t>, in particular with regard to intersectional gender perspective</w:t>
      </w:r>
      <w:r w:rsidR="00AC6C0A">
        <w:rPr>
          <w:lang w:val="en-GB"/>
        </w:rPr>
        <w:t>s</w:t>
      </w:r>
      <w:r w:rsidRPr="002601BB">
        <w:rPr>
          <w:lang w:val="en-GB"/>
        </w:rPr>
        <w:t xml:space="preserve"> and inequalities stemming from a centrali</w:t>
      </w:r>
      <w:r w:rsidR="00014BBA">
        <w:rPr>
          <w:lang w:val="en-GB"/>
        </w:rPr>
        <w:t>s</w:t>
      </w:r>
      <w:r w:rsidRPr="002601BB">
        <w:rPr>
          <w:lang w:val="en-GB"/>
        </w:rPr>
        <w:t>ed and carboni</w:t>
      </w:r>
      <w:r w:rsidR="00014BBA">
        <w:rPr>
          <w:lang w:val="en-GB"/>
        </w:rPr>
        <w:t>s</w:t>
      </w:r>
      <w:r w:rsidRPr="002601BB">
        <w:rPr>
          <w:lang w:val="en-GB"/>
        </w:rPr>
        <w:t>ed development model that further marginali</w:t>
      </w:r>
      <w:r w:rsidR="00014BBA">
        <w:rPr>
          <w:lang w:val="en-GB"/>
        </w:rPr>
        <w:t>s</w:t>
      </w:r>
      <w:r w:rsidRPr="002601BB">
        <w:rPr>
          <w:lang w:val="en-GB"/>
        </w:rPr>
        <w:t xml:space="preserve">es women and vulnerable groups, such as indigenous people, afro-descendants, migrants and peripheral territories; </w:t>
      </w:r>
      <w:r w:rsidRPr="00DF58ED">
        <w:rPr>
          <w:i/>
          <w:iCs/>
          <w:lang w:val="en-GB"/>
        </w:rPr>
        <w:t>if</w:t>
      </w:r>
      <w:r w:rsidRPr="002601BB">
        <w:rPr>
          <w:lang w:val="en-GB"/>
        </w:rPr>
        <w:t xml:space="preserve"> the promotion of structural transformation strengthens green, blue and purple economies; and </w:t>
      </w:r>
      <w:r w:rsidRPr="00DF58ED">
        <w:rPr>
          <w:i/>
          <w:iCs/>
          <w:lang w:val="en-GB"/>
        </w:rPr>
        <w:t>if</w:t>
      </w:r>
      <w:r w:rsidRPr="002601BB">
        <w:rPr>
          <w:lang w:val="en-GB"/>
        </w:rPr>
        <w:t xml:space="preserve"> </w:t>
      </w:r>
      <w:r w:rsidR="0094200A">
        <w:rPr>
          <w:lang w:val="en-GB"/>
        </w:rPr>
        <w:t xml:space="preserve">strengthening </w:t>
      </w:r>
      <w:r w:rsidRPr="002601BB">
        <w:rPr>
          <w:lang w:val="en-GB"/>
        </w:rPr>
        <w:t xml:space="preserve">the capacity of public, private and civil society sectors improves </w:t>
      </w:r>
      <w:r w:rsidR="00AC6C0A">
        <w:rPr>
          <w:lang w:val="en-GB"/>
        </w:rPr>
        <w:t xml:space="preserve">the </w:t>
      </w:r>
      <w:r w:rsidRPr="002601BB">
        <w:rPr>
          <w:lang w:val="en-GB"/>
        </w:rPr>
        <w:t xml:space="preserve">response to different types of crises and </w:t>
      </w:r>
      <w:r w:rsidR="0094200A">
        <w:rPr>
          <w:lang w:val="en-GB"/>
        </w:rPr>
        <w:t xml:space="preserve">helps the country to </w:t>
      </w:r>
      <w:r w:rsidRPr="002601BB">
        <w:rPr>
          <w:lang w:val="en-GB"/>
        </w:rPr>
        <w:t xml:space="preserve">adapt to climate change impacts; </w:t>
      </w:r>
      <w:r w:rsidRPr="00DF58ED">
        <w:rPr>
          <w:i/>
          <w:iCs/>
          <w:lang w:val="en-GB"/>
        </w:rPr>
        <w:t>then</w:t>
      </w:r>
      <w:r w:rsidRPr="002601BB">
        <w:rPr>
          <w:lang w:val="en-GB"/>
        </w:rPr>
        <w:t xml:space="preserve"> Costa Rica </w:t>
      </w:r>
      <w:r w:rsidR="0094200A">
        <w:rPr>
          <w:lang w:val="en-GB"/>
        </w:rPr>
        <w:t xml:space="preserve">will </w:t>
      </w:r>
      <w:r w:rsidRPr="002601BB">
        <w:rPr>
          <w:lang w:val="en-GB"/>
        </w:rPr>
        <w:t>advance to a new human development stage that is more comprehensive, resilient and leav</w:t>
      </w:r>
      <w:r w:rsidR="00AC6C0A">
        <w:rPr>
          <w:lang w:val="en-GB"/>
        </w:rPr>
        <w:t>es</w:t>
      </w:r>
      <w:r w:rsidRPr="002601BB">
        <w:rPr>
          <w:lang w:val="en-GB"/>
        </w:rPr>
        <w:t xml:space="preserve"> no one behind.</w:t>
      </w:r>
    </w:p>
    <w:p w14:paraId="0DDDF3E6"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7C2AFE73" w14:textId="201D1F17" w:rsidR="001D2915" w:rsidRPr="00DF58ED" w:rsidRDefault="005E64DE" w:rsidP="006E277C">
      <w:pPr>
        <w:pStyle w:val="ListParagraph"/>
        <w:tabs>
          <w:tab w:val="left" w:pos="1620"/>
        </w:tabs>
        <w:spacing w:after="160" w:line="259" w:lineRule="auto"/>
        <w:ind w:left="1440" w:right="1750"/>
        <w:contextualSpacing/>
        <w:jc w:val="both"/>
        <w:rPr>
          <w:rFonts w:eastAsiaTheme="minorEastAsia"/>
          <w:b/>
          <w:bCs/>
          <w:lang w:val="en-GB"/>
        </w:rPr>
      </w:pPr>
      <w:r w:rsidRPr="00DF58ED">
        <w:rPr>
          <w:b/>
          <w:bCs/>
          <w:lang w:val="en-GB"/>
        </w:rPr>
        <w:t>People</w:t>
      </w:r>
      <w:r w:rsidR="00C22AF9" w:rsidRPr="00DF58ED">
        <w:rPr>
          <w:b/>
          <w:bCs/>
          <w:lang w:val="en-GB"/>
        </w:rPr>
        <w:t>-centred governance</w:t>
      </w:r>
    </w:p>
    <w:p w14:paraId="65390EA5" w14:textId="77777777" w:rsidR="00AA3F36" w:rsidRPr="002601BB" w:rsidRDefault="00AA3F36" w:rsidP="001D3052">
      <w:pPr>
        <w:pStyle w:val="ListParagraph"/>
        <w:tabs>
          <w:tab w:val="left" w:pos="1620"/>
        </w:tabs>
        <w:spacing w:after="160" w:line="259" w:lineRule="auto"/>
        <w:ind w:left="1260" w:right="1750"/>
        <w:contextualSpacing/>
        <w:jc w:val="both"/>
        <w:rPr>
          <w:sz w:val="12"/>
          <w:szCs w:val="12"/>
          <w:lang w:val="en-GB"/>
        </w:rPr>
      </w:pPr>
    </w:p>
    <w:p w14:paraId="18706E80" w14:textId="796B6299" w:rsidR="001D2915" w:rsidRPr="002601BB" w:rsidRDefault="007056C0"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Pr>
          <w:lang w:val="en-GB"/>
        </w:rPr>
        <w:t xml:space="preserve">The </w:t>
      </w:r>
      <w:r w:rsidR="001C06B0" w:rsidRPr="002601BB">
        <w:rPr>
          <w:lang w:val="en-GB"/>
        </w:rPr>
        <w:t>UNDP theory of change in this area is</w:t>
      </w:r>
      <w:r>
        <w:rPr>
          <w:lang w:val="en-GB"/>
        </w:rPr>
        <w:t>:</w:t>
      </w:r>
      <w:r w:rsidR="001C06B0" w:rsidRPr="002601BB">
        <w:rPr>
          <w:lang w:val="en-GB"/>
        </w:rPr>
        <w:t xml:space="preserve"> </w:t>
      </w:r>
      <w:r w:rsidR="001C06B0" w:rsidRPr="00DF58ED">
        <w:rPr>
          <w:i/>
          <w:iCs/>
          <w:lang w:val="en-GB"/>
        </w:rPr>
        <w:t>i</w:t>
      </w:r>
      <w:r w:rsidR="001D2915" w:rsidRPr="00DF58ED">
        <w:rPr>
          <w:i/>
          <w:iCs/>
          <w:lang w:val="en-GB"/>
        </w:rPr>
        <w:t>f</w:t>
      </w:r>
      <w:r w:rsidR="001D2915" w:rsidRPr="002601BB">
        <w:rPr>
          <w:lang w:val="en-GB"/>
        </w:rPr>
        <w:t xml:space="preserve"> UNDP provides s</w:t>
      </w:r>
      <w:r w:rsidR="001D2915" w:rsidRPr="002601BB">
        <w:rPr>
          <w:rFonts w:eastAsia="Arial"/>
          <w:lang w:val="en-GB"/>
        </w:rPr>
        <w:t xml:space="preserve">trategic innovation and </w:t>
      </w:r>
      <w:r w:rsidR="002327E3" w:rsidRPr="002601BB">
        <w:rPr>
          <w:rFonts w:eastAsia="Arial"/>
          <w:lang w:val="en-GB"/>
        </w:rPr>
        <w:t>digitali</w:t>
      </w:r>
      <w:r w:rsidR="00014BBA">
        <w:rPr>
          <w:rFonts w:eastAsia="Arial"/>
          <w:lang w:val="en-GB"/>
        </w:rPr>
        <w:t>s</w:t>
      </w:r>
      <w:r w:rsidR="002327E3" w:rsidRPr="002601BB">
        <w:rPr>
          <w:rFonts w:eastAsia="Arial"/>
          <w:lang w:val="en-GB"/>
        </w:rPr>
        <w:t>ation</w:t>
      </w:r>
      <w:r w:rsidR="00E80022" w:rsidRPr="002601BB">
        <w:rPr>
          <w:rFonts w:eastAsia="Arial"/>
          <w:lang w:val="en-GB"/>
        </w:rPr>
        <w:t xml:space="preserve"> </w:t>
      </w:r>
      <w:r w:rsidR="001D2915" w:rsidRPr="002601BB">
        <w:rPr>
          <w:lang w:val="en-GB"/>
        </w:rPr>
        <w:t xml:space="preserve">for </w:t>
      </w:r>
      <w:r w:rsidR="001D2915" w:rsidRPr="002601BB">
        <w:rPr>
          <w:rFonts w:eastAsia="Arial"/>
          <w:lang w:val="en-GB"/>
        </w:rPr>
        <w:t xml:space="preserve">the design, </w:t>
      </w:r>
      <w:r w:rsidR="001D2915" w:rsidRPr="002601BB">
        <w:rPr>
          <w:lang w:val="en-GB"/>
        </w:rPr>
        <w:t>implementation</w:t>
      </w:r>
      <w:r w:rsidR="001D2915" w:rsidRPr="002601BB">
        <w:rPr>
          <w:rFonts w:eastAsia="Arial"/>
          <w:lang w:val="en-GB"/>
        </w:rPr>
        <w:t xml:space="preserve"> and evaluation of evidence-based public policies</w:t>
      </w:r>
      <w:r w:rsidR="001D2915" w:rsidRPr="002601BB">
        <w:rPr>
          <w:lang w:val="en-GB"/>
        </w:rPr>
        <w:t xml:space="preserve">, </w:t>
      </w:r>
      <w:r w:rsidR="001D2915" w:rsidRPr="00DF58ED">
        <w:rPr>
          <w:i/>
          <w:iCs/>
          <w:lang w:val="en-GB"/>
        </w:rPr>
        <w:t>then</w:t>
      </w:r>
      <w:r w:rsidR="001D2915" w:rsidRPr="002601BB">
        <w:rPr>
          <w:lang w:val="en-GB"/>
        </w:rPr>
        <w:t xml:space="preserve"> these policies will be better suited to take advantage of technology, be more effective, </w:t>
      </w:r>
      <w:r w:rsidR="00390A5E" w:rsidRPr="002601BB">
        <w:rPr>
          <w:lang w:val="en-GB"/>
        </w:rPr>
        <w:t xml:space="preserve">and </w:t>
      </w:r>
      <w:r w:rsidR="001D2915" w:rsidRPr="002601BB">
        <w:rPr>
          <w:lang w:val="en-GB"/>
        </w:rPr>
        <w:t>data will be more cyber</w:t>
      </w:r>
      <w:r w:rsidR="006B2BA5">
        <w:rPr>
          <w:lang w:val="en-GB"/>
        </w:rPr>
        <w:t xml:space="preserve"> </w:t>
      </w:r>
      <w:r w:rsidR="001D2915" w:rsidRPr="002601BB">
        <w:rPr>
          <w:lang w:val="en-GB"/>
        </w:rPr>
        <w:t>secure and transparent.</w:t>
      </w:r>
      <w:r w:rsidR="00E80022" w:rsidRPr="002601BB">
        <w:rPr>
          <w:lang w:val="en-GB"/>
        </w:rPr>
        <w:t xml:space="preserve"> </w:t>
      </w:r>
      <w:r w:rsidR="001D2915" w:rsidRPr="002601BB">
        <w:rPr>
          <w:lang w:val="en-GB"/>
        </w:rPr>
        <w:t xml:space="preserve">Interventions will therefore generate evidence for decision-making, enhance information analysis, and foster digital participatory approaches, allowing for more voices of municipalities, </w:t>
      </w:r>
      <w:r w:rsidR="001D2915" w:rsidRPr="002601BB">
        <w:rPr>
          <w:color w:val="000000"/>
          <w:lang w:val="en-GB"/>
        </w:rPr>
        <w:t>women, LGBTQIA+, indigenous peoples, afro-descendants, migrants, older people</w:t>
      </w:r>
      <w:r w:rsidR="007435F9" w:rsidRPr="002601BB">
        <w:rPr>
          <w:color w:val="000000"/>
          <w:lang w:val="en-GB"/>
        </w:rPr>
        <w:t>,</w:t>
      </w:r>
      <w:r w:rsidR="001D2915" w:rsidRPr="002601BB">
        <w:rPr>
          <w:color w:val="000000"/>
          <w:lang w:val="en-GB"/>
        </w:rPr>
        <w:t xml:space="preserve"> and people with disabilities to provide inputs into the design and implementation of policies. </w:t>
      </w:r>
    </w:p>
    <w:p w14:paraId="2C4BED8E" w14:textId="77777777" w:rsidR="001D2915" w:rsidRPr="002601BB" w:rsidRDefault="001D2915" w:rsidP="001D3052">
      <w:pPr>
        <w:pStyle w:val="ListParagraph"/>
        <w:tabs>
          <w:tab w:val="left" w:pos="1620"/>
        </w:tabs>
        <w:spacing w:after="160" w:line="259" w:lineRule="auto"/>
        <w:ind w:left="1260" w:right="1750"/>
        <w:contextualSpacing/>
        <w:jc w:val="both"/>
        <w:rPr>
          <w:color w:val="000000"/>
          <w:sz w:val="12"/>
          <w:szCs w:val="12"/>
          <w:lang w:val="en-GB"/>
        </w:rPr>
      </w:pPr>
    </w:p>
    <w:p w14:paraId="77E53E3E" w14:textId="4AA0E83F" w:rsidR="001D2915" w:rsidRPr="002601BB" w:rsidRDefault="001D2915"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UNDP will upgrade </w:t>
      </w:r>
      <w:r w:rsidR="0016367E">
        <w:rPr>
          <w:lang w:val="en-GB"/>
        </w:rPr>
        <w:t xml:space="preserve">the </w:t>
      </w:r>
      <w:r w:rsidRPr="002601BB">
        <w:rPr>
          <w:lang w:val="en-GB"/>
        </w:rPr>
        <w:t xml:space="preserve">technologies and digital tools of the National Institute of Statistics and Censuses (INEC), </w:t>
      </w:r>
      <w:r w:rsidR="0016367E">
        <w:rPr>
          <w:lang w:val="en-GB"/>
        </w:rPr>
        <w:t xml:space="preserve">the </w:t>
      </w:r>
      <w:r w:rsidRPr="002601BB">
        <w:rPr>
          <w:lang w:val="en-GB"/>
        </w:rPr>
        <w:t xml:space="preserve">National Geographic Institute, </w:t>
      </w:r>
      <w:r w:rsidR="0016367E">
        <w:rPr>
          <w:lang w:val="en-GB"/>
        </w:rPr>
        <w:t>s</w:t>
      </w:r>
      <w:r w:rsidRPr="002601BB">
        <w:rPr>
          <w:lang w:val="en-GB"/>
        </w:rPr>
        <w:t xml:space="preserve">tate </w:t>
      </w:r>
      <w:r w:rsidR="0016367E">
        <w:rPr>
          <w:lang w:val="en-GB"/>
        </w:rPr>
        <w:t>u</w:t>
      </w:r>
      <w:r w:rsidRPr="002601BB">
        <w:rPr>
          <w:lang w:val="en-GB"/>
        </w:rPr>
        <w:t xml:space="preserve">niversities, the Mixed Institute of Social Assistance (IMAS), </w:t>
      </w:r>
      <w:r w:rsidR="0016367E">
        <w:rPr>
          <w:lang w:val="en-GB"/>
        </w:rPr>
        <w:t xml:space="preserve">the </w:t>
      </w:r>
      <w:r w:rsidRPr="002601BB">
        <w:rPr>
          <w:lang w:val="en-GB"/>
        </w:rPr>
        <w:t xml:space="preserve">Ministry of </w:t>
      </w:r>
      <w:r w:rsidR="009B72D9" w:rsidRPr="002601BB">
        <w:rPr>
          <w:lang w:val="en-GB"/>
        </w:rPr>
        <w:t>National</w:t>
      </w:r>
      <w:r w:rsidRPr="002601BB">
        <w:rPr>
          <w:lang w:val="en-GB"/>
        </w:rPr>
        <w:t xml:space="preserve"> Planning and Political Economy (MIDEPLAN), INAMU, and the Ministry of Finance (M</w:t>
      </w:r>
      <w:r w:rsidR="00FA2126">
        <w:rPr>
          <w:lang w:val="en-GB"/>
        </w:rPr>
        <w:t>O</w:t>
      </w:r>
      <w:r w:rsidR="001F013E">
        <w:rPr>
          <w:lang w:val="en-GB"/>
        </w:rPr>
        <w:t>H</w:t>
      </w:r>
      <w:r w:rsidRPr="002601BB">
        <w:rPr>
          <w:lang w:val="en-GB"/>
        </w:rPr>
        <w:t>) for enhanced data generation and disaggregated information analysis to leave no one behind from State services.</w:t>
      </w:r>
      <w:r w:rsidR="00E80022" w:rsidRPr="002601BB">
        <w:rPr>
          <w:lang w:val="en-GB"/>
        </w:rPr>
        <w:t xml:space="preserve"> </w:t>
      </w:r>
      <w:r w:rsidRPr="002601BB">
        <w:rPr>
          <w:lang w:val="en-GB"/>
        </w:rPr>
        <w:t>The focus will be on social protection systems</w:t>
      </w:r>
      <w:r w:rsidR="006B2BA5">
        <w:rPr>
          <w:lang w:val="en-GB"/>
        </w:rPr>
        <w:t>, eliminating environmental and social externalities resulting from economic activity in rural and coastal regions, and</w:t>
      </w:r>
      <w:r w:rsidR="00DF14DF" w:rsidRPr="002601BB">
        <w:rPr>
          <w:lang w:val="en-GB"/>
        </w:rPr>
        <w:t xml:space="preserve"> </w:t>
      </w:r>
      <w:r w:rsidR="0016367E">
        <w:rPr>
          <w:lang w:val="en-GB"/>
        </w:rPr>
        <w:t xml:space="preserve">a </w:t>
      </w:r>
      <w:r w:rsidR="00DF14DF" w:rsidRPr="002601BB">
        <w:rPr>
          <w:lang w:val="en-GB"/>
        </w:rPr>
        <w:t xml:space="preserve">more effective and prompt </w:t>
      </w:r>
      <w:r w:rsidR="0016367E">
        <w:rPr>
          <w:lang w:val="en-GB"/>
        </w:rPr>
        <w:t xml:space="preserve">response </w:t>
      </w:r>
      <w:r w:rsidR="00DF14DF" w:rsidRPr="002601BB">
        <w:rPr>
          <w:lang w:val="en-GB"/>
        </w:rPr>
        <w:t>to disasters</w:t>
      </w:r>
      <w:r w:rsidRPr="002601BB">
        <w:rPr>
          <w:lang w:val="en-GB"/>
        </w:rPr>
        <w:t>.</w:t>
      </w:r>
      <w:r w:rsidR="00E80022" w:rsidRPr="002601BB">
        <w:rPr>
          <w:lang w:val="en-GB"/>
        </w:rPr>
        <w:t xml:space="preserve"> </w:t>
      </w:r>
      <w:r w:rsidRPr="002601BB">
        <w:rPr>
          <w:lang w:val="en-GB"/>
        </w:rPr>
        <w:t>Partnerships will include the Oxford Poverty and Human Development Initiative</w:t>
      </w:r>
      <w:r w:rsidR="0016367E">
        <w:rPr>
          <w:lang w:val="en-GB"/>
        </w:rPr>
        <w:t>,</w:t>
      </w:r>
      <w:r w:rsidRPr="002601BB">
        <w:rPr>
          <w:lang w:val="en-GB"/>
        </w:rPr>
        <w:t xml:space="preserve"> the Human Development Report Office </w:t>
      </w:r>
      <w:r w:rsidR="0016367E">
        <w:rPr>
          <w:lang w:val="en-GB"/>
        </w:rPr>
        <w:t xml:space="preserve">in </w:t>
      </w:r>
      <w:r w:rsidRPr="002601BB">
        <w:rPr>
          <w:lang w:val="en-GB"/>
        </w:rPr>
        <w:t>UNDP</w:t>
      </w:r>
      <w:r w:rsidR="00D6210C" w:rsidRPr="002601BB">
        <w:rPr>
          <w:lang w:val="en-GB"/>
        </w:rPr>
        <w:t>,</w:t>
      </w:r>
      <w:r w:rsidRPr="002601BB">
        <w:rPr>
          <w:lang w:val="en-GB"/>
        </w:rPr>
        <w:t xml:space="preserve"> </w:t>
      </w:r>
      <w:r w:rsidR="0016367E" w:rsidRPr="002601BB">
        <w:rPr>
          <w:lang w:val="en-GB"/>
        </w:rPr>
        <w:t>the United Nations Environment Programme (UN</w:t>
      </w:r>
      <w:r w:rsidR="0016367E">
        <w:rPr>
          <w:lang w:val="en-GB"/>
        </w:rPr>
        <w:t>EP</w:t>
      </w:r>
      <w:r w:rsidR="0016367E" w:rsidRPr="002601BB">
        <w:rPr>
          <w:lang w:val="en-GB"/>
        </w:rPr>
        <w:t>), UNFPA, the United Nations Children’s Fund (UNICEF)</w:t>
      </w:r>
      <w:r w:rsidR="0016367E">
        <w:rPr>
          <w:lang w:val="en-GB"/>
        </w:rPr>
        <w:t xml:space="preserve">, </w:t>
      </w:r>
      <w:r w:rsidR="0016367E" w:rsidRPr="002601BB">
        <w:rPr>
          <w:lang w:val="en-GB"/>
        </w:rPr>
        <w:t>the International Labour Organization (ILO)</w:t>
      </w:r>
      <w:r w:rsidR="0016367E">
        <w:rPr>
          <w:lang w:val="en-GB"/>
        </w:rPr>
        <w:t xml:space="preserve">, and </w:t>
      </w:r>
      <w:r w:rsidRPr="002601BB">
        <w:rPr>
          <w:lang w:val="en-GB"/>
        </w:rPr>
        <w:t>the United Nations Entity for Gender Equality and the Empowerment of Women (UN-Women).</w:t>
      </w:r>
    </w:p>
    <w:p w14:paraId="3091D2AD" w14:textId="77777777" w:rsidR="001D2915" w:rsidRPr="002601BB" w:rsidRDefault="001D2915" w:rsidP="001D3052">
      <w:pPr>
        <w:pStyle w:val="ListParagraph"/>
        <w:tabs>
          <w:tab w:val="left" w:pos="1620"/>
        </w:tabs>
        <w:spacing w:after="160" w:line="259" w:lineRule="auto"/>
        <w:ind w:left="1260" w:right="1750"/>
        <w:contextualSpacing/>
        <w:jc w:val="both"/>
        <w:rPr>
          <w:color w:val="000000"/>
          <w:sz w:val="12"/>
          <w:szCs w:val="12"/>
          <w:lang w:val="en-GB"/>
        </w:rPr>
      </w:pPr>
    </w:p>
    <w:p w14:paraId="654BFDF4" w14:textId="3C79FFA4" w:rsidR="001D2915" w:rsidRPr="002601BB" w:rsidRDefault="006B2BA5"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Pr>
          <w:color w:val="000000"/>
          <w:lang w:val="en-GB"/>
        </w:rPr>
        <w:t>The i</w:t>
      </w:r>
      <w:r w:rsidR="00C767B0" w:rsidRPr="002601BB">
        <w:rPr>
          <w:color w:val="000000"/>
          <w:lang w:val="en-GB"/>
        </w:rPr>
        <w:t xml:space="preserve">nstitutional </w:t>
      </w:r>
      <w:r w:rsidR="001D2915" w:rsidRPr="002601BB">
        <w:rPr>
          <w:color w:val="000000"/>
          <w:lang w:val="en-GB"/>
        </w:rPr>
        <w:t xml:space="preserve">transformation will require improved capacities </w:t>
      </w:r>
      <w:r w:rsidR="0016367E">
        <w:rPr>
          <w:color w:val="000000"/>
          <w:lang w:val="en-GB"/>
        </w:rPr>
        <w:t xml:space="preserve">to </w:t>
      </w:r>
      <w:r w:rsidR="00C767B0" w:rsidRPr="002601BB">
        <w:rPr>
          <w:color w:val="000000"/>
          <w:lang w:val="en-GB"/>
        </w:rPr>
        <w:t>construct and implement</w:t>
      </w:r>
      <w:r w:rsidR="001D2915" w:rsidRPr="002601BB">
        <w:rPr>
          <w:color w:val="000000"/>
          <w:lang w:val="en-GB"/>
        </w:rPr>
        <w:t xml:space="preserve"> intersectoral, territorial and multi</w:t>
      </w:r>
      <w:r w:rsidR="0016367E">
        <w:rPr>
          <w:color w:val="000000"/>
          <w:lang w:val="en-GB"/>
        </w:rPr>
        <w:t>-</w:t>
      </w:r>
      <w:r w:rsidR="001D2915" w:rsidRPr="002601BB">
        <w:rPr>
          <w:color w:val="000000"/>
          <w:lang w:val="en-GB"/>
        </w:rPr>
        <w:t>level agreements.</w:t>
      </w:r>
      <w:r w:rsidR="00E80022" w:rsidRPr="002601BB">
        <w:rPr>
          <w:color w:val="000000"/>
          <w:lang w:val="en-GB"/>
        </w:rPr>
        <w:t xml:space="preserve"> </w:t>
      </w:r>
      <w:r w:rsidR="001D2915" w:rsidRPr="002601BB">
        <w:rPr>
          <w:color w:val="000000"/>
          <w:lang w:val="en-GB"/>
        </w:rPr>
        <w:t xml:space="preserve">UNDP will </w:t>
      </w:r>
      <w:r w:rsidR="001D2915" w:rsidRPr="002601BB">
        <w:rPr>
          <w:lang w:val="en-GB"/>
        </w:rPr>
        <w:t>facilitate</w:t>
      </w:r>
      <w:r w:rsidR="001D2915" w:rsidRPr="002601BB">
        <w:rPr>
          <w:color w:val="000000"/>
          <w:lang w:val="en-GB"/>
        </w:rPr>
        <w:t xml:space="preserve"> democratic dialogue interventions</w:t>
      </w:r>
      <w:r w:rsidR="0016367E">
        <w:rPr>
          <w:color w:val="000000"/>
          <w:lang w:val="en-GB"/>
        </w:rPr>
        <w:t xml:space="preserve"> that </w:t>
      </w:r>
      <w:r w:rsidR="001D2915" w:rsidRPr="002601BB">
        <w:rPr>
          <w:color w:val="000000"/>
          <w:lang w:val="en-GB"/>
        </w:rPr>
        <w:t xml:space="preserve">are gender </w:t>
      </w:r>
      <w:r w:rsidR="001D2915" w:rsidRPr="002601BB">
        <w:rPr>
          <w:lang w:val="en-GB"/>
        </w:rPr>
        <w:t>transformative</w:t>
      </w:r>
      <w:r w:rsidR="001D2915" w:rsidRPr="002601BB">
        <w:rPr>
          <w:color w:val="000000"/>
          <w:lang w:val="en-GB"/>
        </w:rPr>
        <w:t xml:space="preserve"> and culturally sensitive to complement data analysis </w:t>
      </w:r>
      <w:r w:rsidR="0016367E">
        <w:rPr>
          <w:color w:val="000000"/>
          <w:lang w:val="en-GB"/>
        </w:rPr>
        <w:t xml:space="preserve">and </w:t>
      </w:r>
      <w:r w:rsidR="001D2915" w:rsidRPr="002601BB">
        <w:rPr>
          <w:color w:val="000000"/>
          <w:lang w:val="en-GB"/>
        </w:rPr>
        <w:t xml:space="preserve">ensure society-wide agreements </w:t>
      </w:r>
      <w:r w:rsidR="0016367E">
        <w:rPr>
          <w:color w:val="000000"/>
          <w:lang w:val="en-GB"/>
        </w:rPr>
        <w:t xml:space="preserve">on </w:t>
      </w:r>
      <w:r w:rsidR="001D2915" w:rsidRPr="002601BB">
        <w:rPr>
          <w:color w:val="000000"/>
          <w:lang w:val="en-GB"/>
        </w:rPr>
        <w:t>complex institutional transformation</w:t>
      </w:r>
      <w:r w:rsidR="00E4439B" w:rsidRPr="002601BB">
        <w:rPr>
          <w:color w:val="000000"/>
          <w:lang w:val="en-GB"/>
        </w:rPr>
        <w:t>.</w:t>
      </w:r>
    </w:p>
    <w:p w14:paraId="2F5A61F1"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396C2E65" w14:textId="120FFDCB" w:rsidR="001D2915" w:rsidRPr="002601BB" w:rsidRDefault="001D2915"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lastRenderedPageBreak/>
        <w:t>These efforts will be supported by digital and information technology solutions developed in the previous programme cycle</w:t>
      </w:r>
      <w:r w:rsidR="00C767B0" w:rsidRPr="002601BB">
        <w:rPr>
          <w:lang w:val="en-GB"/>
        </w:rPr>
        <w:t>,</w:t>
      </w:r>
      <w:r w:rsidRPr="002601BB">
        <w:rPr>
          <w:lang w:val="en-GB"/>
        </w:rPr>
        <w:t xml:space="preserve"> such as digital land-use change monitoring, technology solutions for better targeting of people living in poverty, or applications to scale up actions for forest restoration, water and waste management.</w:t>
      </w:r>
      <w:r w:rsidR="00E80022" w:rsidRPr="002601BB">
        <w:rPr>
          <w:lang w:val="en-GB"/>
        </w:rPr>
        <w:t xml:space="preserve"> </w:t>
      </w:r>
      <w:r w:rsidRPr="002601BB">
        <w:rPr>
          <w:lang w:val="en-GB"/>
        </w:rPr>
        <w:t>The expected impact is the transformation of institutions into modern</w:t>
      </w:r>
      <w:r w:rsidR="00C767B0" w:rsidRPr="002601BB">
        <w:rPr>
          <w:lang w:val="en-GB"/>
        </w:rPr>
        <w:t>,</w:t>
      </w:r>
      <w:r w:rsidRPr="002601BB">
        <w:rPr>
          <w:lang w:val="en-GB"/>
        </w:rPr>
        <w:t xml:space="preserve"> effective means to improve the livelihood of all Costa Ricans, as described in outcome 2.1 of the </w:t>
      </w:r>
      <w:r w:rsidR="00B148D5" w:rsidRPr="002601BB">
        <w:rPr>
          <w:lang w:val="en-GB"/>
        </w:rPr>
        <w:t>UNSDCF</w:t>
      </w:r>
      <w:r w:rsidRPr="002601BB">
        <w:rPr>
          <w:lang w:val="en-GB"/>
        </w:rPr>
        <w:t>.</w:t>
      </w:r>
    </w:p>
    <w:p w14:paraId="55A740B6" w14:textId="542684F3"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063CBC5A" w14:textId="57FC415A" w:rsidR="001D2915" w:rsidRPr="00403D22" w:rsidRDefault="00C22AF9" w:rsidP="006E277C">
      <w:pPr>
        <w:pStyle w:val="ListParagraph"/>
        <w:tabs>
          <w:tab w:val="left" w:pos="1620"/>
        </w:tabs>
        <w:spacing w:after="160" w:line="259" w:lineRule="auto"/>
        <w:ind w:left="1440" w:right="1210"/>
        <w:contextualSpacing/>
        <w:jc w:val="both"/>
        <w:rPr>
          <w:lang w:val="en-GB"/>
        </w:rPr>
      </w:pPr>
      <w:r w:rsidRPr="00DF58ED">
        <w:rPr>
          <w:b/>
          <w:bCs/>
          <w:lang w:val="en-GB"/>
        </w:rPr>
        <w:t>Share prosperity</w:t>
      </w:r>
    </w:p>
    <w:p w14:paraId="48B469B6"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63126C22" w14:textId="44ED8062" w:rsidR="001D2915" w:rsidRPr="002601BB" w:rsidRDefault="00E81B04" w:rsidP="0074417D">
      <w:pPr>
        <w:pStyle w:val="ListParagraph"/>
        <w:numPr>
          <w:ilvl w:val="0"/>
          <w:numId w:val="1"/>
        </w:numPr>
        <w:tabs>
          <w:tab w:val="left" w:pos="1800"/>
        </w:tabs>
        <w:spacing w:after="160" w:line="259" w:lineRule="auto"/>
        <w:ind w:left="1440" w:right="1210" w:firstLine="0"/>
        <w:contextualSpacing/>
        <w:jc w:val="both"/>
        <w:rPr>
          <w:lang w:val="en-GB"/>
        </w:rPr>
      </w:pPr>
      <w:r>
        <w:rPr>
          <w:lang w:val="en-GB"/>
        </w:rPr>
        <w:t xml:space="preserve">The </w:t>
      </w:r>
      <w:r w:rsidR="00B148D5" w:rsidRPr="002601BB">
        <w:rPr>
          <w:lang w:val="en-GB"/>
        </w:rPr>
        <w:t>UNDP</w:t>
      </w:r>
      <w:r>
        <w:rPr>
          <w:lang w:val="en-GB"/>
        </w:rPr>
        <w:t xml:space="preserve"> </w:t>
      </w:r>
      <w:r w:rsidR="00B148D5" w:rsidRPr="002601BB">
        <w:rPr>
          <w:lang w:val="en-GB"/>
        </w:rPr>
        <w:t>theory of change in this area is</w:t>
      </w:r>
      <w:r w:rsidR="00231D3A">
        <w:rPr>
          <w:lang w:val="en-GB"/>
        </w:rPr>
        <w:t>:</w:t>
      </w:r>
      <w:r w:rsidR="00B148D5" w:rsidRPr="002601BB">
        <w:rPr>
          <w:lang w:val="en-GB"/>
        </w:rPr>
        <w:t xml:space="preserve"> </w:t>
      </w:r>
      <w:r w:rsidR="00B148D5" w:rsidRPr="00DF58ED">
        <w:rPr>
          <w:i/>
          <w:iCs/>
          <w:lang w:val="en-GB"/>
        </w:rPr>
        <w:t>if</w:t>
      </w:r>
      <w:r w:rsidR="00B148D5" w:rsidRPr="002601BB" w:rsidDel="00B148D5">
        <w:rPr>
          <w:lang w:val="en-GB"/>
        </w:rPr>
        <w:t xml:space="preserve"> </w:t>
      </w:r>
      <w:r w:rsidR="001D2915" w:rsidRPr="002601BB">
        <w:rPr>
          <w:lang w:val="en-GB"/>
        </w:rPr>
        <w:t>UNDP fosters economy-wide agreements for the consolidation of inclusive and resilient green, blue</w:t>
      </w:r>
      <w:r w:rsidR="007F75C9">
        <w:rPr>
          <w:lang w:val="en-GB"/>
        </w:rPr>
        <w:t>,</w:t>
      </w:r>
      <w:r w:rsidR="001D2915" w:rsidRPr="002601BB">
        <w:rPr>
          <w:lang w:val="en-GB"/>
        </w:rPr>
        <w:t xml:space="preserve"> purple and circular approaches </w:t>
      </w:r>
      <w:r w:rsidR="001D2915" w:rsidRPr="002601BB">
        <w:rPr>
          <w:rFonts w:eastAsiaTheme="minorEastAsia"/>
          <w:lang w:val="en-GB"/>
        </w:rPr>
        <w:t>with a territorial approach</w:t>
      </w:r>
      <w:r w:rsidR="001D2915" w:rsidRPr="002601BB">
        <w:rPr>
          <w:lang w:val="en-GB"/>
        </w:rPr>
        <w:t xml:space="preserve">, </w:t>
      </w:r>
      <w:r w:rsidR="001D2915" w:rsidRPr="00DF58ED">
        <w:rPr>
          <w:i/>
          <w:iCs/>
          <w:lang w:val="en-GB"/>
        </w:rPr>
        <w:t>then</w:t>
      </w:r>
      <w:r w:rsidR="001D2915" w:rsidRPr="002601BB">
        <w:rPr>
          <w:lang w:val="en-GB"/>
        </w:rPr>
        <w:t xml:space="preserve"> this will contribute </w:t>
      </w:r>
      <w:r w:rsidR="00C767B0" w:rsidRPr="002601BB">
        <w:rPr>
          <w:lang w:val="en-GB"/>
        </w:rPr>
        <w:t xml:space="preserve">to </w:t>
      </w:r>
      <w:r w:rsidR="001D2915" w:rsidRPr="002601BB">
        <w:rPr>
          <w:lang w:val="en-GB"/>
        </w:rPr>
        <w:t xml:space="preserve">the emergence of </w:t>
      </w:r>
      <w:r w:rsidR="0023718D" w:rsidRPr="002601BB">
        <w:rPr>
          <w:rFonts w:eastAsiaTheme="minorEastAsia"/>
          <w:lang w:val="en-GB"/>
        </w:rPr>
        <w:t>decent work and entrepreneurship</w:t>
      </w:r>
      <w:r w:rsidR="001D2915" w:rsidRPr="002601BB">
        <w:rPr>
          <w:lang w:val="en-GB"/>
        </w:rPr>
        <w:t xml:space="preserve"> opportunities outside of the Great Metropolitan area, in compliance with government priorities.</w:t>
      </w:r>
      <w:r w:rsidR="00E80022" w:rsidRPr="002601BB">
        <w:rPr>
          <w:lang w:val="en-GB"/>
        </w:rPr>
        <w:t xml:space="preserve"> </w:t>
      </w:r>
      <w:r w:rsidR="007F75C9">
        <w:rPr>
          <w:lang w:val="en-GB"/>
        </w:rPr>
        <w:t xml:space="preserve">UNDP will leverage its </w:t>
      </w:r>
      <w:r w:rsidR="001D2915" w:rsidRPr="002601BB">
        <w:rPr>
          <w:lang w:val="en-GB"/>
        </w:rPr>
        <w:t>experience promoting upcycling, circular economy</w:t>
      </w:r>
      <w:r w:rsidR="007F75C9">
        <w:rPr>
          <w:lang w:val="en-GB"/>
        </w:rPr>
        <w:t>,</w:t>
      </w:r>
      <w:r w:rsidR="001D2915" w:rsidRPr="002601BB">
        <w:rPr>
          <w:lang w:val="en-GB"/>
        </w:rPr>
        <w:t xml:space="preserve"> sustainable fisher</w:t>
      </w:r>
      <w:r w:rsidR="007F75C9">
        <w:rPr>
          <w:lang w:val="en-GB"/>
        </w:rPr>
        <w:t>y</w:t>
      </w:r>
      <w:r w:rsidR="001D2915" w:rsidRPr="002601BB">
        <w:rPr>
          <w:lang w:val="en-GB"/>
        </w:rPr>
        <w:t xml:space="preserve"> and green commodit</w:t>
      </w:r>
      <w:r w:rsidR="007F75C9">
        <w:rPr>
          <w:lang w:val="en-GB"/>
        </w:rPr>
        <w:t xml:space="preserve">y </w:t>
      </w:r>
      <w:r w:rsidR="001D2915" w:rsidRPr="002601BB">
        <w:rPr>
          <w:lang w:val="en-GB"/>
        </w:rPr>
        <w:t xml:space="preserve">approaches to support </w:t>
      </w:r>
      <w:r w:rsidR="001D2915" w:rsidRPr="002601BB">
        <w:rPr>
          <w:rFonts w:eastAsiaTheme="minorEastAsia"/>
          <w:lang w:val="en-GB"/>
        </w:rPr>
        <w:t xml:space="preserve">State </w:t>
      </w:r>
      <w:r w:rsidR="007F75C9">
        <w:rPr>
          <w:rFonts w:eastAsiaTheme="minorEastAsia"/>
          <w:lang w:val="en-GB"/>
        </w:rPr>
        <w:t>i</w:t>
      </w:r>
      <w:r w:rsidR="001D2915" w:rsidRPr="002601BB">
        <w:rPr>
          <w:rFonts w:eastAsiaTheme="minorEastAsia"/>
          <w:lang w:val="en-GB"/>
        </w:rPr>
        <w:t xml:space="preserve">nstitutions </w:t>
      </w:r>
      <w:r w:rsidR="007F75C9">
        <w:rPr>
          <w:rFonts w:eastAsiaTheme="minorEastAsia"/>
          <w:lang w:val="en-GB"/>
        </w:rPr>
        <w:t xml:space="preserve">in </w:t>
      </w:r>
      <w:r w:rsidR="001D2915" w:rsidRPr="002601BB">
        <w:rPr>
          <w:lang w:val="en-GB"/>
        </w:rPr>
        <w:t>enabling environments</w:t>
      </w:r>
      <w:r w:rsidR="007F75C9">
        <w:rPr>
          <w:lang w:val="en-GB"/>
        </w:rPr>
        <w:t xml:space="preserve"> </w:t>
      </w:r>
      <w:r w:rsidR="001D2915" w:rsidRPr="002601BB">
        <w:rPr>
          <w:lang w:val="en-GB"/>
        </w:rPr>
        <w:t xml:space="preserve">the private sector </w:t>
      </w:r>
      <w:r w:rsidR="007F75C9">
        <w:rPr>
          <w:lang w:val="en-GB"/>
        </w:rPr>
        <w:t xml:space="preserve">needs to </w:t>
      </w:r>
      <w:r w:rsidR="001D2915" w:rsidRPr="002601BB">
        <w:rPr>
          <w:lang w:val="en-GB"/>
        </w:rPr>
        <w:t xml:space="preserve">create </w:t>
      </w:r>
      <w:r w:rsidR="001D2915" w:rsidRPr="002601BB">
        <w:rPr>
          <w:rFonts w:eastAsiaTheme="minorEastAsia"/>
          <w:lang w:val="en-GB"/>
        </w:rPr>
        <w:t>formal employment opportunities</w:t>
      </w:r>
      <w:r w:rsidR="001D2915" w:rsidRPr="002601BB">
        <w:rPr>
          <w:lang w:val="en-GB"/>
        </w:rPr>
        <w:t>.</w:t>
      </w:r>
      <w:r w:rsidR="00E80022" w:rsidRPr="002601BB">
        <w:rPr>
          <w:lang w:val="en-GB"/>
        </w:rPr>
        <w:t xml:space="preserve"> </w:t>
      </w:r>
      <w:r w:rsidR="001D2915" w:rsidRPr="002601BB">
        <w:rPr>
          <w:lang w:val="en-GB"/>
        </w:rPr>
        <w:t>For this purpose, UNDP will coordinate with the Presidency, MIDEPLAN, M</w:t>
      </w:r>
      <w:r w:rsidR="007F75C9">
        <w:rPr>
          <w:lang w:val="en-GB"/>
        </w:rPr>
        <w:t>O</w:t>
      </w:r>
      <w:r w:rsidR="001D2915" w:rsidRPr="002601BB">
        <w:rPr>
          <w:lang w:val="en-GB"/>
        </w:rPr>
        <w:t xml:space="preserve">H, MINAE and the National Institute for Housing and Urbanism (INVU) as a central element of the transition to a green economy that entails green urban renovation. </w:t>
      </w:r>
    </w:p>
    <w:p w14:paraId="21A8AC31"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54CB5155" w14:textId="44616BCF" w:rsidR="001D2915" w:rsidRPr="002601BB" w:rsidRDefault="00543093" w:rsidP="0074417D">
      <w:pPr>
        <w:pStyle w:val="ListParagraph"/>
        <w:numPr>
          <w:ilvl w:val="0"/>
          <w:numId w:val="1"/>
        </w:numPr>
        <w:tabs>
          <w:tab w:val="left" w:pos="1800"/>
        </w:tabs>
        <w:spacing w:after="160" w:line="259" w:lineRule="auto"/>
        <w:ind w:left="1440" w:right="1210" w:firstLine="0"/>
        <w:contextualSpacing/>
        <w:jc w:val="both"/>
        <w:rPr>
          <w:lang w:val="en-GB"/>
        </w:rPr>
      </w:pPr>
      <w:r>
        <w:rPr>
          <w:lang w:val="en-GB"/>
        </w:rPr>
        <w:t>B</w:t>
      </w:r>
      <w:r w:rsidR="001D2915" w:rsidRPr="002601BB">
        <w:rPr>
          <w:lang w:val="en-GB"/>
        </w:rPr>
        <w:t xml:space="preserve">lue economy </w:t>
      </w:r>
      <w:r>
        <w:rPr>
          <w:lang w:val="en-GB"/>
        </w:rPr>
        <w:t xml:space="preserve">interventions </w:t>
      </w:r>
      <w:r w:rsidR="001D2915" w:rsidRPr="002601BB">
        <w:rPr>
          <w:lang w:val="en-GB"/>
        </w:rPr>
        <w:t xml:space="preserve">will entail identifying and conducting feasibility studies </w:t>
      </w:r>
      <w:r>
        <w:rPr>
          <w:lang w:val="en-GB"/>
        </w:rPr>
        <w:t xml:space="preserve">to promote </w:t>
      </w:r>
      <w:r w:rsidR="001D2915" w:rsidRPr="002601BB">
        <w:rPr>
          <w:lang w:val="en-GB"/>
        </w:rPr>
        <w:t>opportunities that foster employment in coastal areas</w:t>
      </w:r>
      <w:r w:rsidR="0058556A" w:rsidRPr="002601BB">
        <w:rPr>
          <w:lang w:val="en-GB"/>
        </w:rPr>
        <w:t>,</w:t>
      </w:r>
      <w:r w:rsidR="001D2915" w:rsidRPr="002601BB">
        <w:rPr>
          <w:lang w:val="en-GB"/>
        </w:rPr>
        <w:t xml:space="preserve"> such as </w:t>
      </w:r>
      <w:r w:rsidR="008A56C6" w:rsidRPr="002601BB">
        <w:rPr>
          <w:lang w:val="en-GB"/>
        </w:rPr>
        <w:t>marine spatial planning, management of harmful substances</w:t>
      </w:r>
      <w:r>
        <w:rPr>
          <w:lang w:val="en-GB"/>
        </w:rPr>
        <w:t>,</w:t>
      </w:r>
      <w:r w:rsidR="008A56C6" w:rsidRPr="002601BB">
        <w:rPr>
          <w:lang w:val="en-GB"/>
        </w:rPr>
        <w:t xml:space="preserve"> and </w:t>
      </w:r>
      <w:r w:rsidR="00E73DAF" w:rsidRPr="002601BB">
        <w:rPr>
          <w:lang w:val="en-GB"/>
        </w:rPr>
        <w:t>develop</w:t>
      </w:r>
      <w:r>
        <w:rPr>
          <w:lang w:val="en-GB"/>
        </w:rPr>
        <w:t>ment of</w:t>
      </w:r>
      <w:r w:rsidR="001D2915" w:rsidRPr="002601BB">
        <w:rPr>
          <w:lang w:val="en-GB"/>
        </w:rPr>
        <w:t xml:space="preserve"> environmental service provision</w:t>
      </w:r>
      <w:r>
        <w:rPr>
          <w:lang w:val="en-GB"/>
        </w:rPr>
        <w:t>s</w:t>
      </w:r>
      <w:r w:rsidR="001D2915" w:rsidRPr="002601BB">
        <w:rPr>
          <w:lang w:val="en-GB"/>
        </w:rPr>
        <w:t xml:space="preserve"> </w:t>
      </w:r>
      <w:r w:rsidR="00060236">
        <w:rPr>
          <w:lang w:val="en-GB"/>
        </w:rPr>
        <w:t xml:space="preserve">for </w:t>
      </w:r>
      <w:r w:rsidR="001D2915" w:rsidRPr="002601BB">
        <w:rPr>
          <w:lang w:val="en-GB"/>
        </w:rPr>
        <w:t>fishing communities by collecting plastics or processing</w:t>
      </w:r>
      <w:r>
        <w:rPr>
          <w:lang w:val="en-GB"/>
        </w:rPr>
        <w:t xml:space="preserve"> </w:t>
      </w:r>
      <w:r w:rsidRPr="002601BB">
        <w:rPr>
          <w:lang w:val="en-GB"/>
        </w:rPr>
        <w:t>sargassum</w:t>
      </w:r>
      <w:r w:rsidR="005803AF" w:rsidRPr="002601BB">
        <w:rPr>
          <w:lang w:val="en-GB"/>
        </w:rPr>
        <w:t>, among other</w:t>
      </w:r>
      <w:r>
        <w:rPr>
          <w:lang w:val="en-GB"/>
        </w:rPr>
        <w:t>s</w:t>
      </w:r>
      <w:r w:rsidR="001D2915" w:rsidRPr="002601BB">
        <w:rPr>
          <w:lang w:val="en-GB"/>
        </w:rPr>
        <w:t>.</w:t>
      </w:r>
      <w:r w:rsidR="00E80022" w:rsidRPr="002601BB">
        <w:rPr>
          <w:lang w:val="en-GB"/>
        </w:rPr>
        <w:t xml:space="preserve"> </w:t>
      </w:r>
      <w:r w:rsidR="001D2915" w:rsidRPr="002601BB">
        <w:rPr>
          <w:lang w:val="en-GB"/>
        </w:rPr>
        <w:t xml:space="preserve">This will entail close liaison with the Ministry of Agriculture and Livestock (MAG), the </w:t>
      </w:r>
      <w:r w:rsidR="005B41DF" w:rsidRPr="002601BB">
        <w:rPr>
          <w:lang w:val="en-GB"/>
        </w:rPr>
        <w:t>National Institute of Fishing and Aquaculture of Costa Rica</w:t>
      </w:r>
      <w:r w:rsidR="00F31DB0" w:rsidRPr="002601BB">
        <w:rPr>
          <w:lang w:val="en-GB"/>
        </w:rPr>
        <w:t> </w:t>
      </w:r>
      <w:r w:rsidR="005B41DF" w:rsidRPr="002601BB">
        <w:rPr>
          <w:lang w:val="en-GB"/>
        </w:rPr>
        <w:t>(INCOPESCA)</w:t>
      </w:r>
      <w:r w:rsidR="001D2915" w:rsidRPr="002601BB">
        <w:rPr>
          <w:lang w:val="en-GB"/>
        </w:rPr>
        <w:t xml:space="preserve">, </w:t>
      </w:r>
      <w:r w:rsidR="00606C82" w:rsidRPr="002601BB">
        <w:rPr>
          <w:lang w:val="en-GB"/>
        </w:rPr>
        <w:t>the Central American Integration System (SICA)</w:t>
      </w:r>
      <w:r>
        <w:rPr>
          <w:lang w:val="en-GB"/>
        </w:rPr>
        <w:t xml:space="preserve">, </w:t>
      </w:r>
      <w:r w:rsidR="00606C82" w:rsidRPr="002601BB">
        <w:rPr>
          <w:lang w:val="en-GB"/>
        </w:rPr>
        <w:t xml:space="preserve">the Inter-American Tropical Tuna Commission (IATTC), </w:t>
      </w:r>
      <w:r w:rsidR="001D2915" w:rsidRPr="002601BB">
        <w:rPr>
          <w:lang w:val="en-GB"/>
        </w:rPr>
        <w:t>a</w:t>
      </w:r>
      <w:r w:rsidR="0058556A" w:rsidRPr="002601BB">
        <w:rPr>
          <w:lang w:val="en-GB"/>
        </w:rPr>
        <w:t>nd</w:t>
      </w:r>
      <w:r w:rsidR="001D2915" w:rsidRPr="002601BB">
        <w:rPr>
          <w:lang w:val="en-GB"/>
        </w:rPr>
        <w:t xml:space="preserve"> the MINAE.</w:t>
      </w:r>
      <w:r w:rsidR="00E80022" w:rsidRPr="002601BB">
        <w:rPr>
          <w:lang w:val="en-GB"/>
        </w:rPr>
        <w:t xml:space="preserve"> </w:t>
      </w:r>
      <w:r w:rsidR="001D2915" w:rsidRPr="002601BB">
        <w:rPr>
          <w:lang w:val="en-GB"/>
        </w:rPr>
        <w:t xml:space="preserve">UNDP will draw expertise from the </w:t>
      </w:r>
      <w:r>
        <w:rPr>
          <w:lang w:val="en-GB"/>
        </w:rPr>
        <w:t xml:space="preserve">United Nations </w:t>
      </w:r>
      <w:r w:rsidR="001D2915" w:rsidRPr="002601BB">
        <w:rPr>
          <w:lang w:val="en-GB"/>
        </w:rPr>
        <w:t xml:space="preserve">Food and Agriculture Organization (FAO), </w:t>
      </w:r>
      <w:r>
        <w:rPr>
          <w:lang w:val="en-GB"/>
        </w:rPr>
        <w:t>UNEP</w:t>
      </w:r>
      <w:r w:rsidR="001D2915" w:rsidRPr="002601BB">
        <w:rPr>
          <w:lang w:val="en-GB"/>
        </w:rPr>
        <w:t>, the United Nations Educational, Scientific and Cultural Organization (UNESCO), ILO, as well as key international partners such as the German Agency</w:t>
      </w:r>
      <w:r w:rsidR="00AA41F2" w:rsidRPr="002601BB">
        <w:rPr>
          <w:lang w:val="en-GB"/>
        </w:rPr>
        <w:t xml:space="preserve"> for International Cooperation</w:t>
      </w:r>
      <w:r w:rsidR="001D2915" w:rsidRPr="002601BB">
        <w:rPr>
          <w:lang w:val="en-GB"/>
        </w:rPr>
        <w:t xml:space="preserve"> (GIZ), the Interamerican Development Bank (IADB), the World Bank and the Central American Bank for Economic Integration (CABEI).</w:t>
      </w:r>
    </w:p>
    <w:p w14:paraId="7E8FA2C6" w14:textId="77777777" w:rsidR="00292720" w:rsidRPr="002601BB" w:rsidRDefault="00292720" w:rsidP="00292720">
      <w:pPr>
        <w:pStyle w:val="ListParagraph"/>
        <w:rPr>
          <w:sz w:val="12"/>
          <w:szCs w:val="12"/>
          <w:lang w:val="en-GB"/>
        </w:rPr>
      </w:pPr>
    </w:p>
    <w:p w14:paraId="6B7EE7CD" w14:textId="6662F728" w:rsidR="00292720" w:rsidRPr="002601BB" w:rsidRDefault="00292720"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UNDP will continue to expand partnerships with civil society coalitions, youth-led organi</w:t>
      </w:r>
      <w:r w:rsidR="00014BBA">
        <w:rPr>
          <w:lang w:val="en-GB"/>
        </w:rPr>
        <w:t>s</w:t>
      </w:r>
      <w:r w:rsidRPr="002601BB">
        <w:rPr>
          <w:lang w:val="en-GB"/>
        </w:rPr>
        <w:t>ations and volunteer networks, leveraging their grassroots experience</w:t>
      </w:r>
      <w:r w:rsidR="0037411D" w:rsidRPr="002601BB">
        <w:rPr>
          <w:lang w:val="en-GB"/>
        </w:rPr>
        <w:t xml:space="preserve"> </w:t>
      </w:r>
      <w:r w:rsidR="0058556A" w:rsidRPr="002601BB">
        <w:rPr>
          <w:lang w:val="en-GB"/>
        </w:rPr>
        <w:t>i</w:t>
      </w:r>
      <w:r w:rsidR="0037411D" w:rsidRPr="002601BB">
        <w:rPr>
          <w:lang w:val="en-GB"/>
        </w:rPr>
        <w:t xml:space="preserve">n environmental </w:t>
      </w:r>
      <w:r w:rsidR="008927CD" w:rsidRPr="002601BB">
        <w:rPr>
          <w:lang w:val="en-GB"/>
        </w:rPr>
        <w:t>and clim</w:t>
      </w:r>
      <w:r w:rsidR="009225E6" w:rsidRPr="002601BB">
        <w:rPr>
          <w:lang w:val="en-GB"/>
        </w:rPr>
        <w:t>at</w:t>
      </w:r>
      <w:r w:rsidR="008927CD" w:rsidRPr="002601BB">
        <w:rPr>
          <w:lang w:val="en-GB"/>
        </w:rPr>
        <w:t xml:space="preserve">e action </w:t>
      </w:r>
      <w:r w:rsidR="001B3803" w:rsidRPr="002601BB">
        <w:rPr>
          <w:lang w:val="en-GB"/>
        </w:rPr>
        <w:t xml:space="preserve">to </w:t>
      </w:r>
      <w:r w:rsidR="00DF21D1" w:rsidRPr="002601BB">
        <w:rPr>
          <w:lang w:val="en-GB"/>
        </w:rPr>
        <w:t xml:space="preserve">support the transition to </w:t>
      </w:r>
      <w:r w:rsidR="0058556A" w:rsidRPr="002601BB">
        <w:rPr>
          <w:lang w:val="en-GB"/>
        </w:rPr>
        <w:t>a</w:t>
      </w:r>
      <w:r w:rsidR="009225E6" w:rsidRPr="002601BB">
        <w:rPr>
          <w:lang w:val="en-GB"/>
        </w:rPr>
        <w:t xml:space="preserve"> </w:t>
      </w:r>
      <w:r w:rsidR="00C7541C" w:rsidRPr="002601BB">
        <w:rPr>
          <w:lang w:val="en-GB"/>
        </w:rPr>
        <w:t>green and circular economy.</w:t>
      </w:r>
    </w:p>
    <w:p w14:paraId="294814F7"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16FC02D2" w14:textId="24E34169" w:rsidR="001D2915" w:rsidRPr="002601BB" w:rsidRDefault="006B1ED6"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UNDP will contribute to generati</w:t>
      </w:r>
      <w:r w:rsidR="00060236">
        <w:rPr>
          <w:lang w:val="en-GB"/>
        </w:rPr>
        <w:t>ng</w:t>
      </w:r>
      <w:r w:rsidRPr="002601BB">
        <w:rPr>
          <w:lang w:val="en-GB"/>
        </w:rPr>
        <w:t xml:space="preserve"> legislation and policies </w:t>
      </w:r>
      <w:r w:rsidR="006417DB">
        <w:rPr>
          <w:lang w:val="en-GB"/>
        </w:rPr>
        <w:t>to reduce</w:t>
      </w:r>
      <w:r w:rsidRPr="002601BB">
        <w:rPr>
          <w:lang w:val="en-GB"/>
        </w:rPr>
        <w:t xml:space="preserve"> fiscal dependence on income derived from hydrocarbon consumption. </w:t>
      </w:r>
      <w:r w:rsidR="00060236">
        <w:rPr>
          <w:lang w:val="en-GB"/>
        </w:rPr>
        <w:t xml:space="preserve">It </w:t>
      </w:r>
      <w:r w:rsidR="001D2915" w:rsidRPr="002601BB">
        <w:rPr>
          <w:lang w:val="en-GB"/>
        </w:rPr>
        <w:t xml:space="preserve">will also </w:t>
      </w:r>
      <w:r w:rsidRPr="002601BB">
        <w:rPr>
          <w:lang w:val="en-GB"/>
        </w:rPr>
        <w:t xml:space="preserve">collaborate </w:t>
      </w:r>
      <w:r w:rsidR="00060236">
        <w:rPr>
          <w:lang w:val="en-GB"/>
        </w:rPr>
        <w:t xml:space="preserve">in </w:t>
      </w:r>
      <w:r w:rsidR="001D2915" w:rsidRPr="002601BB">
        <w:rPr>
          <w:lang w:val="en-GB"/>
        </w:rPr>
        <w:t>develop</w:t>
      </w:r>
      <w:r w:rsidR="00060236">
        <w:rPr>
          <w:lang w:val="en-GB"/>
        </w:rPr>
        <w:t xml:space="preserve">ing </w:t>
      </w:r>
      <w:r w:rsidR="001D2915" w:rsidRPr="002601BB">
        <w:rPr>
          <w:lang w:val="en-GB"/>
        </w:rPr>
        <w:t xml:space="preserve">financial solutions that form part of a </w:t>
      </w:r>
      <w:bookmarkStart w:id="0" w:name="_Hlk115425976"/>
      <w:r w:rsidR="00060236">
        <w:rPr>
          <w:lang w:val="en-GB"/>
        </w:rPr>
        <w:t>G</w:t>
      </w:r>
      <w:r w:rsidR="004A4078" w:rsidRPr="002601BB">
        <w:rPr>
          <w:lang w:val="en-GB"/>
        </w:rPr>
        <w:t xml:space="preserve">overnment-led </w:t>
      </w:r>
      <w:bookmarkEnd w:id="0"/>
      <w:r w:rsidR="00060236">
        <w:rPr>
          <w:lang w:val="en-GB"/>
        </w:rPr>
        <w:t>i</w:t>
      </w:r>
      <w:r w:rsidR="001D2915" w:rsidRPr="002601BB">
        <w:rPr>
          <w:lang w:val="en-GB"/>
        </w:rPr>
        <w:t xml:space="preserve">ntegrated </w:t>
      </w:r>
      <w:r w:rsidR="00060236">
        <w:rPr>
          <w:lang w:val="en-GB"/>
        </w:rPr>
        <w:t>n</w:t>
      </w:r>
      <w:r w:rsidR="001D2915" w:rsidRPr="002601BB">
        <w:rPr>
          <w:lang w:val="en-GB"/>
        </w:rPr>
        <w:t xml:space="preserve">ational </w:t>
      </w:r>
      <w:r w:rsidR="00060236">
        <w:rPr>
          <w:lang w:val="en-GB"/>
        </w:rPr>
        <w:t>f</w:t>
      </w:r>
      <w:r w:rsidR="001D2915" w:rsidRPr="002601BB">
        <w:rPr>
          <w:lang w:val="en-GB"/>
        </w:rPr>
        <w:t xml:space="preserve">inancing </w:t>
      </w:r>
      <w:r w:rsidR="00060236">
        <w:rPr>
          <w:lang w:val="en-GB"/>
        </w:rPr>
        <w:t>f</w:t>
      </w:r>
      <w:r w:rsidR="001D2915" w:rsidRPr="002601BB">
        <w:rPr>
          <w:lang w:val="en-GB"/>
        </w:rPr>
        <w:t xml:space="preserve">ramework in coordination with other United Nations </w:t>
      </w:r>
      <w:r w:rsidR="00060236">
        <w:rPr>
          <w:lang w:val="en-GB"/>
        </w:rPr>
        <w:t>organi</w:t>
      </w:r>
      <w:r w:rsidR="00014BBA">
        <w:rPr>
          <w:lang w:val="en-GB"/>
        </w:rPr>
        <w:t>s</w:t>
      </w:r>
      <w:r w:rsidR="00060236">
        <w:rPr>
          <w:lang w:val="en-GB"/>
        </w:rPr>
        <w:t>ations</w:t>
      </w:r>
      <w:r w:rsidR="001D2915" w:rsidRPr="002601BB">
        <w:rPr>
          <w:lang w:val="en-GB"/>
        </w:rPr>
        <w:t xml:space="preserve">, international financial institutions, and the national banking system. Interventions will </w:t>
      </w:r>
      <w:r w:rsidR="001D2915" w:rsidRPr="002601BB">
        <w:rPr>
          <w:rFonts w:eastAsiaTheme="minorEastAsia"/>
          <w:lang w:val="en-GB"/>
        </w:rPr>
        <w:t>strengthen</w:t>
      </w:r>
      <w:r w:rsidR="001D2915" w:rsidRPr="002601BB">
        <w:rPr>
          <w:lang w:val="en-GB"/>
        </w:rPr>
        <w:t xml:space="preserve"> </w:t>
      </w:r>
      <w:r w:rsidR="00AD00D6" w:rsidRPr="002601BB">
        <w:rPr>
          <w:lang w:val="en-GB"/>
        </w:rPr>
        <w:t>municipal and national institutions</w:t>
      </w:r>
      <w:r w:rsidR="001E1FBE" w:rsidRPr="002601BB">
        <w:rPr>
          <w:lang w:val="en-GB"/>
        </w:rPr>
        <w:t>’</w:t>
      </w:r>
      <w:r w:rsidR="00AD00D6" w:rsidRPr="002601BB">
        <w:rPr>
          <w:lang w:val="en-GB"/>
        </w:rPr>
        <w:t xml:space="preserve"> capacities to promote</w:t>
      </w:r>
      <w:r w:rsidR="001D2915" w:rsidRPr="002601BB">
        <w:rPr>
          <w:rFonts w:eastAsiaTheme="minorEastAsia"/>
          <w:lang w:val="en-GB"/>
        </w:rPr>
        <w:t xml:space="preserve"> </w:t>
      </w:r>
      <w:r w:rsidR="00AD00D6" w:rsidRPr="002601BB">
        <w:rPr>
          <w:rFonts w:eastAsiaTheme="minorEastAsia"/>
          <w:lang w:val="en-GB"/>
        </w:rPr>
        <w:t xml:space="preserve">a </w:t>
      </w:r>
      <w:r w:rsidR="001D2915" w:rsidRPr="002601BB">
        <w:rPr>
          <w:rFonts w:eastAsiaTheme="minorEastAsia"/>
          <w:lang w:val="en-GB"/>
        </w:rPr>
        <w:t>green, blue</w:t>
      </w:r>
      <w:r w:rsidR="00AD00D6" w:rsidRPr="002601BB">
        <w:rPr>
          <w:rFonts w:eastAsiaTheme="minorEastAsia"/>
          <w:lang w:val="en-GB"/>
        </w:rPr>
        <w:t>,</w:t>
      </w:r>
      <w:r w:rsidR="001D2915" w:rsidRPr="002601BB">
        <w:rPr>
          <w:rFonts w:eastAsiaTheme="minorEastAsia"/>
          <w:lang w:val="en-GB"/>
        </w:rPr>
        <w:t xml:space="preserve"> purple and circular economy</w:t>
      </w:r>
      <w:r w:rsidR="001D2915" w:rsidRPr="002601BB">
        <w:rPr>
          <w:lang w:val="en-GB"/>
        </w:rPr>
        <w:t xml:space="preserve"> through the design of tax and tariff reforms.</w:t>
      </w:r>
      <w:r w:rsidR="00E80022" w:rsidRPr="002601BB">
        <w:rPr>
          <w:lang w:val="en-GB"/>
        </w:rPr>
        <w:t xml:space="preserve"> </w:t>
      </w:r>
      <w:r w:rsidR="001D2915" w:rsidRPr="002601BB">
        <w:rPr>
          <w:lang w:val="en-GB"/>
        </w:rPr>
        <w:t xml:space="preserve">Interventions will </w:t>
      </w:r>
      <w:r w:rsidR="001D2915" w:rsidRPr="002601BB">
        <w:rPr>
          <w:rFonts w:eastAsiaTheme="minorEastAsia"/>
          <w:lang w:val="en-GB"/>
        </w:rPr>
        <w:t>develop skills for high-value jobs in the framework of the fourth industrial revolution</w:t>
      </w:r>
      <w:r w:rsidR="001D2915" w:rsidRPr="002601BB">
        <w:rPr>
          <w:lang w:val="en-GB"/>
        </w:rPr>
        <w:t xml:space="preserve"> to promote </w:t>
      </w:r>
      <w:r w:rsidR="001D2915" w:rsidRPr="002601BB">
        <w:rPr>
          <w:rFonts w:eastAsiaTheme="minorEastAsia"/>
          <w:lang w:val="en-GB"/>
        </w:rPr>
        <w:t xml:space="preserve">formal employment </w:t>
      </w:r>
      <w:r w:rsidR="001D2915" w:rsidRPr="002601BB">
        <w:rPr>
          <w:lang w:val="en-GB"/>
        </w:rPr>
        <w:t xml:space="preserve">of </w:t>
      </w:r>
      <w:r w:rsidR="001D2915" w:rsidRPr="002601BB">
        <w:rPr>
          <w:rFonts w:eastAsiaTheme="minorEastAsia"/>
          <w:lang w:val="en-GB"/>
        </w:rPr>
        <w:t xml:space="preserve">women and </w:t>
      </w:r>
      <w:r w:rsidR="001D2915" w:rsidRPr="002601BB">
        <w:rPr>
          <w:lang w:val="en-GB"/>
        </w:rPr>
        <w:t xml:space="preserve">vulnerable </w:t>
      </w:r>
      <w:r w:rsidR="001D2915" w:rsidRPr="002601BB">
        <w:rPr>
          <w:rFonts w:eastAsiaTheme="minorEastAsia"/>
          <w:lang w:val="en-GB"/>
        </w:rPr>
        <w:t>populations</w:t>
      </w:r>
      <w:r w:rsidR="001D2915" w:rsidRPr="002601BB">
        <w:rPr>
          <w:lang w:val="en-GB"/>
        </w:rPr>
        <w:t xml:space="preserve"> in </w:t>
      </w:r>
      <w:r w:rsidR="001D2915" w:rsidRPr="002601BB">
        <w:rPr>
          <w:rFonts w:eastAsiaTheme="minorEastAsia"/>
          <w:lang w:val="en-GB"/>
        </w:rPr>
        <w:t xml:space="preserve">territories with </w:t>
      </w:r>
      <w:r w:rsidR="001D2915" w:rsidRPr="002601BB">
        <w:rPr>
          <w:lang w:val="en-GB"/>
        </w:rPr>
        <w:t xml:space="preserve">a </w:t>
      </w:r>
      <w:r w:rsidR="001D2915" w:rsidRPr="002601BB">
        <w:rPr>
          <w:rFonts w:eastAsiaTheme="minorEastAsia"/>
          <w:lang w:val="en-GB"/>
        </w:rPr>
        <w:t xml:space="preserve">high </w:t>
      </w:r>
      <w:r w:rsidR="001D2915" w:rsidRPr="002601BB">
        <w:rPr>
          <w:lang w:val="en-GB"/>
        </w:rPr>
        <w:t>multidimensional poverty index ranking.</w:t>
      </w:r>
      <w:r w:rsidR="004A4078" w:rsidRPr="002601BB">
        <w:rPr>
          <w:lang w:val="en-GB"/>
        </w:rPr>
        <w:t xml:space="preserve"> Interventions will contribute to aligning private finance and investment with the Goals. </w:t>
      </w:r>
      <w:r w:rsidR="001D2915" w:rsidRPr="002601BB">
        <w:rPr>
          <w:lang w:val="en-GB"/>
        </w:rPr>
        <w:t xml:space="preserve">All these partnerships and interventions will contribute toward the </w:t>
      </w:r>
      <w:r w:rsidR="000E6442" w:rsidRPr="002601BB">
        <w:rPr>
          <w:lang w:val="en-GB"/>
        </w:rPr>
        <w:t>UNSDCF</w:t>
      </w:r>
      <w:r w:rsidR="001D2915" w:rsidRPr="002601BB">
        <w:rPr>
          <w:lang w:val="en-GB"/>
        </w:rPr>
        <w:t xml:space="preserve"> outcome 3.2</w:t>
      </w:r>
      <w:r w:rsidR="00C15749">
        <w:rPr>
          <w:lang w:val="en-GB"/>
        </w:rPr>
        <w:t>,</w:t>
      </w:r>
      <w:r w:rsidR="001D2915" w:rsidRPr="002601BB">
        <w:rPr>
          <w:lang w:val="en-GB"/>
        </w:rPr>
        <w:t xml:space="preserve"> related to </w:t>
      </w:r>
      <w:r w:rsidR="00AD00D6" w:rsidRPr="002601BB">
        <w:rPr>
          <w:lang w:val="en-GB"/>
        </w:rPr>
        <w:t xml:space="preserve">the </w:t>
      </w:r>
      <w:r w:rsidR="001D2915" w:rsidRPr="002601BB">
        <w:rPr>
          <w:lang w:val="en-GB"/>
        </w:rPr>
        <w:t>full participation of women and vulnerable populations in an inclusive an</w:t>
      </w:r>
      <w:r w:rsidR="00AD00D6" w:rsidRPr="002601BB">
        <w:rPr>
          <w:lang w:val="en-GB"/>
        </w:rPr>
        <w:t>d</w:t>
      </w:r>
      <w:r w:rsidR="001D2915" w:rsidRPr="002601BB">
        <w:rPr>
          <w:lang w:val="en-GB"/>
        </w:rPr>
        <w:t xml:space="preserve"> innovative economy.</w:t>
      </w:r>
    </w:p>
    <w:p w14:paraId="5D04FD11"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252C69DA" w14:textId="77777777" w:rsidR="00FA2126" w:rsidRDefault="00FA2126" w:rsidP="006E277C">
      <w:pPr>
        <w:pStyle w:val="ListParagraph"/>
        <w:tabs>
          <w:tab w:val="left" w:pos="1620"/>
        </w:tabs>
        <w:spacing w:after="160" w:line="259" w:lineRule="auto"/>
        <w:ind w:left="1440" w:right="1750"/>
        <w:contextualSpacing/>
        <w:jc w:val="both"/>
        <w:rPr>
          <w:b/>
          <w:bCs/>
          <w:lang w:val="en-GB"/>
        </w:rPr>
      </w:pPr>
    </w:p>
    <w:p w14:paraId="236D59A8" w14:textId="52ABD58D" w:rsidR="001D2915" w:rsidRPr="00DF58ED" w:rsidRDefault="00B00C58" w:rsidP="006E277C">
      <w:pPr>
        <w:pStyle w:val="ListParagraph"/>
        <w:tabs>
          <w:tab w:val="left" w:pos="1620"/>
        </w:tabs>
        <w:spacing w:after="160" w:line="259" w:lineRule="auto"/>
        <w:ind w:left="1440" w:right="1750"/>
        <w:contextualSpacing/>
        <w:jc w:val="both"/>
        <w:rPr>
          <w:lang w:val="en-GB"/>
        </w:rPr>
      </w:pPr>
      <w:r w:rsidRPr="00DF58ED">
        <w:rPr>
          <w:b/>
          <w:bCs/>
          <w:lang w:val="en-GB"/>
        </w:rPr>
        <w:lastRenderedPageBreak/>
        <w:t>Resilient to adversity</w:t>
      </w:r>
    </w:p>
    <w:p w14:paraId="4801B8C3"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35154BC3" w14:textId="6A9A3335" w:rsidR="001D2915" w:rsidRPr="002601BB" w:rsidRDefault="00231D3A" w:rsidP="0074417D">
      <w:pPr>
        <w:pStyle w:val="ListParagraph"/>
        <w:numPr>
          <w:ilvl w:val="0"/>
          <w:numId w:val="1"/>
        </w:numPr>
        <w:tabs>
          <w:tab w:val="left" w:pos="1800"/>
        </w:tabs>
        <w:spacing w:after="160" w:line="259" w:lineRule="auto"/>
        <w:ind w:left="1440" w:right="1210" w:firstLine="0"/>
        <w:contextualSpacing/>
        <w:jc w:val="both"/>
        <w:rPr>
          <w:lang w:val="en-GB"/>
        </w:rPr>
      </w:pPr>
      <w:r>
        <w:rPr>
          <w:lang w:val="en-GB"/>
        </w:rPr>
        <w:t xml:space="preserve">The </w:t>
      </w:r>
      <w:r w:rsidR="000E6442" w:rsidRPr="002601BB">
        <w:rPr>
          <w:lang w:val="en-GB"/>
        </w:rPr>
        <w:t>UNDP theory of change in this area is</w:t>
      </w:r>
      <w:r>
        <w:rPr>
          <w:lang w:val="en-GB"/>
        </w:rPr>
        <w:t>:</w:t>
      </w:r>
      <w:r w:rsidR="000E6442" w:rsidRPr="002601BB">
        <w:rPr>
          <w:lang w:val="en-GB"/>
        </w:rPr>
        <w:t xml:space="preserve"> </w:t>
      </w:r>
      <w:r w:rsidR="000E6442" w:rsidRPr="00DF58ED">
        <w:rPr>
          <w:i/>
          <w:iCs/>
          <w:lang w:val="en-GB"/>
        </w:rPr>
        <w:t>if</w:t>
      </w:r>
      <w:r w:rsidR="000E6442" w:rsidRPr="002601BB">
        <w:rPr>
          <w:lang w:val="en-GB"/>
        </w:rPr>
        <w:t xml:space="preserve"> </w:t>
      </w:r>
      <w:r w:rsidR="001D2915" w:rsidRPr="002601BB">
        <w:rPr>
          <w:lang w:val="en-GB"/>
        </w:rPr>
        <w:t xml:space="preserve">UNDP works with different stakeholders on </w:t>
      </w:r>
      <w:r w:rsidR="001D2915" w:rsidRPr="002601BB">
        <w:rPr>
          <w:rFonts w:eastAsiaTheme="minorEastAsia"/>
          <w:lang w:val="en-GB"/>
        </w:rPr>
        <w:t>disaster risk management, resilient and inclusive recovery strategies</w:t>
      </w:r>
      <w:r w:rsidR="001D2915" w:rsidRPr="002601BB">
        <w:rPr>
          <w:lang w:val="en-GB"/>
        </w:rPr>
        <w:t>,</w:t>
      </w:r>
      <w:r w:rsidR="001D2915" w:rsidRPr="002601BB">
        <w:rPr>
          <w:rFonts w:eastAsiaTheme="minorEastAsia"/>
          <w:lang w:val="en-GB"/>
        </w:rPr>
        <w:t xml:space="preserve"> with an intersectional gender perspective</w:t>
      </w:r>
      <w:r w:rsidR="001D2915" w:rsidRPr="002601BB">
        <w:rPr>
          <w:lang w:val="en-GB"/>
        </w:rPr>
        <w:t xml:space="preserve">, through interventions throughout the country, </w:t>
      </w:r>
      <w:r w:rsidR="001D2915" w:rsidRPr="00DF58ED">
        <w:rPr>
          <w:i/>
          <w:iCs/>
          <w:lang w:val="en-GB"/>
        </w:rPr>
        <w:t>then</w:t>
      </w:r>
      <w:r w:rsidR="001D2915" w:rsidRPr="002601BB">
        <w:rPr>
          <w:lang w:val="en-GB"/>
        </w:rPr>
        <w:t xml:space="preserve"> the</w:t>
      </w:r>
      <w:r w:rsidR="001D2915" w:rsidRPr="002601BB">
        <w:rPr>
          <w:rFonts w:eastAsiaTheme="minorEastAsia"/>
          <w:lang w:val="en-GB"/>
        </w:rPr>
        <w:t xml:space="preserve"> capacity of national and local public sector</w:t>
      </w:r>
      <w:r w:rsidR="001D2915" w:rsidRPr="002601BB">
        <w:rPr>
          <w:lang w:val="en-GB"/>
        </w:rPr>
        <w:t>s</w:t>
      </w:r>
      <w:r w:rsidR="001D2915" w:rsidRPr="002601BB">
        <w:rPr>
          <w:rFonts w:eastAsiaTheme="minorEastAsia"/>
          <w:lang w:val="en-GB"/>
        </w:rPr>
        <w:t xml:space="preserve">, civil </w:t>
      </w:r>
      <w:r w:rsidR="001D2915" w:rsidRPr="002601BB">
        <w:rPr>
          <w:lang w:val="en-GB"/>
        </w:rPr>
        <w:t>society,</w:t>
      </w:r>
      <w:r w:rsidR="001D2915" w:rsidRPr="002601BB">
        <w:rPr>
          <w:rFonts w:eastAsiaTheme="minorEastAsia"/>
          <w:lang w:val="en-GB"/>
        </w:rPr>
        <w:t xml:space="preserve"> and the private sector</w:t>
      </w:r>
      <w:r w:rsidR="001D2915" w:rsidRPr="002601BB">
        <w:rPr>
          <w:lang w:val="en-GB"/>
        </w:rPr>
        <w:t>s</w:t>
      </w:r>
      <w:r w:rsidR="00F131BE" w:rsidRPr="002601BB">
        <w:rPr>
          <w:lang w:val="en-GB"/>
        </w:rPr>
        <w:t xml:space="preserve"> to address the driving forces generating risks (under a prospective approach) to reduce the existing risks (through corrective measures) and</w:t>
      </w:r>
      <w:r w:rsidR="001D2915" w:rsidRPr="002601BB">
        <w:rPr>
          <w:rFonts w:eastAsiaTheme="minorEastAsia"/>
          <w:lang w:val="en-GB"/>
        </w:rPr>
        <w:t xml:space="preserve"> </w:t>
      </w:r>
      <w:r w:rsidR="001D2915" w:rsidRPr="002601BB">
        <w:rPr>
          <w:lang w:val="en-GB"/>
        </w:rPr>
        <w:t>to respond</w:t>
      </w:r>
      <w:r w:rsidR="001D2915" w:rsidRPr="002601BB">
        <w:rPr>
          <w:rFonts w:eastAsiaTheme="minorEastAsia"/>
          <w:lang w:val="en-GB"/>
        </w:rPr>
        <w:t xml:space="preserve"> and </w:t>
      </w:r>
      <w:r w:rsidR="001D2915" w:rsidRPr="002601BB">
        <w:rPr>
          <w:lang w:val="en-GB"/>
        </w:rPr>
        <w:t xml:space="preserve">prepare for multiple </w:t>
      </w:r>
      <w:r w:rsidR="001D2915" w:rsidRPr="002601BB">
        <w:rPr>
          <w:rFonts w:eastAsiaTheme="minorEastAsia"/>
          <w:lang w:val="en-GB"/>
        </w:rPr>
        <w:t>crises and threats</w:t>
      </w:r>
      <w:r w:rsidR="001D2915" w:rsidRPr="002601BB">
        <w:rPr>
          <w:lang w:val="en-GB"/>
        </w:rPr>
        <w:t xml:space="preserve"> will be strengthened.</w:t>
      </w:r>
      <w:r w:rsidR="00E80022" w:rsidRPr="002601BB">
        <w:rPr>
          <w:lang w:val="en-GB"/>
        </w:rPr>
        <w:t xml:space="preserve"> </w:t>
      </w:r>
      <w:r w:rsidR="001D2915" w:rsidRPr="002601BB">
        <w:rPr>
          <w:lang w:val="en-GB"/>
        </w:rPr>
        <w:t xml:space="preserve">This will entail incorporating incorporate </w:t>
      </w:r>
      <w:r>
        <w:rPr>
          <w:lang w:val="en-GB"/>
        </w:rPr>
        <w:t>‘</w:t>
      </w:r>
      <w:r w:rsidR="001D2915" w:rsidRPr="002601BB">
        <w:rPr>
          <w:lang w:val="en-GB"/>
        </w:rPr>
        <w:t>build back better</w:t>
      </w:r>
      <w:r>
        <w:rPr>
          <w:lang w:val="en-GB"/>
        </w:rPr>
        <w:t>’</w:t>
      </w:r>
      <w:r w:rsidR="001D2915" w:rsidRPr="002601BB">
        <w:rPr>
          <w:lang w:val="en-GB"/>
        </w:rPr>
        <w:t xml:space="preserve"> and </w:t>
      </w:r>
      <w:r>
        <w:rPr>
          <w:lang w:val="en-GB"/>
        </w:rPr>
        <w:t>‘</w:t>
      </w:r>
      <w:r w:rsidR="001D2915" w:rsidRPr="002601BB">
        <w:rPr>
          <w:lang w:val="en-GB"/>
        </w:rPr>
        <w:t>polluter pays</w:t>
      </w:r>
      <w:r>
        <w:rPr>
          <w:lang w:val="en-GB"/>
        </w:rPr>
        <w:t>’</w:t>
      </w:r>
      <w:r w:rsidR="001D2915" w:rsidRPr="002601BB">
        <w:rPr>
          <w:lang w:val="en-GB"/>
        </w:rPr>
        <w:t xml:space="preserve"> principles in policies</w:t>
      </w:r>
      <w:r>
        <w:rPr>
          <w:lang w:val="en-GB"/>
        </w:rPr>
        <w:t>,</w:t>
      </w:r>
      <w:r w:rsidR="001D2915" w:rsidRPr="002601BB">
        <w:rPr>
          <w:lang w:val="en-GB"/>
        </w:rPr>
        <w:t xml:space="preserve"> </w:t>
      </w:r>
      <w:r w:rsidR="00C15749">
        <w:rPr>
          <w:lang w:val="en-GB"/>
        </w:rPr>
        <w:t>and</w:t>
      </w:r>
      <w:r>
        <w:rPr>
          <w:lang w:val="en-GB"/>
        </w:rPr>
        <w:t xml:space="preserve"> </w:t>
      </w:r>
      <w:r w:rsidR="00E80022" w:rsidRPr="002601BB">
        <w:rPr>
          <w:lang w:val="en-GB"/>
        </w:rPr>
        <w:t>prioriti</w:t>
      </w:r>
      <w:r>
        <w:rPr>
          <w:lang w:val="en-GB"/>
        </w:rPr>
        <w:t>z</w:t>
      </w:r>
      <w:r w:rsidR="00E80022" w:rsidRPr="002601BB">
        <w:rPr>
          <w:lang w:val="en-GB"/>
        </w:rPr>
        <w:t xml:space="preserve">ing </w:t>
      </w:r>
      <w:r w:rsidR="001D2915" w:rsidRPr="002601BB">
        <w:rPr>
          <w:lang w:val="en-GB"/>
        </w:rPr>
        <w:t xml:space="preserve">recovery strategies </w:t>
      </w:r>
      <w:r>
        <w:rPr>
          <w:lang w:val="en-GB"/>
        </w:rPr>
        <w:t xml:space="preserve">that have </w:t>
      </w:r>
      <w:r w:rsidR="001D2915" w:rsidRPr="002601BB">
        <w:rPr>
          <w:lang w:val="en-GB"/>
        </w:rPr>
        <w:t xml:space="preserve">not yet been sufficiently developed, such as risk transfer mechanisms, early warning systems, and other financial solutions to build resilience. </w:t>
      </w:r>
    </w:p>
    <w:p w14:paraId="5B12524C"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0D08477E" w14:textId="46B4C69E" w:rsidR="001D2915" w:rsidRPr="002601BB" w:rsidRDefault="001D2915"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Emphasis will be given to ecosystem and community-based adaptation strategies within the water, waste and sanitation sectors</w:t>
      </w:r>
      <w:r w:rsidR="000E7BCC" w:rsidRPr="002601BB">
        <w:rPr>
          <w:lang w:val="en-GB"/>
        </w:rPr>
        <w:t xml:space="preserve"> </w:t>
      </w:r>
      <w:r w:rsidR="00643C10" w:rsidRPr="002601BB">
        <w:rPr>
          <w:lang w:val="en-GB"/>
        </w:rPr>
        <w:t xml:space="preserve">in </w:t>
      </w:r>
      <w:r w:rsidR="000E7BCC" w:rsidRPr="002601BB">
        <w:rPr>
          <w:lang w:val="en-GB"/>
        </w:rPr>
        <w:t>complement</w:t>
      </w:r>
      <w:r w:rsidR="00643C10" w:rsidRPr="002601BB">
        <w:rPr>
          <w:lang w:val="en-GB"/>
        </w:rPr>
        <w:t xml:space="preserve"> and in line</w:t>
      </w:r>
      <w:r w:rsidR="000E7BCC" w:rsidRPr="002601BB">
        <w:rPr>
          <w:lang w:val="en-GB"/>
        </w:rPr>
        <w:t xml:space="preserve"> </w:t>
      </w:r>
      <w:r w:rsidR="00231D3A">
        <w:rPr>
          <w:lang w:val="en-GB"/>
        </w:rPr>
        <w:t>with n</w:t>
      </w:r>
      <w:r w:rsidR="000E7BCC" w:rsidRPr="002601BB">
        <w:rPr>
          <w:lang w:val="en-GB"/>
        </w:rPr>
        <w:t xml:space="preserve">ationally </w:t>
      </w:r>
      <w:r w:rsidR="00231D3A">
        <w:rPr>
          <w:lang w:val="en-GB"/>
        </w:rPr>
        <w:t>d</w:t>
      </w:r>
      <w:r w:rsidR="000E7BCC" w:rsidRPr="002601BB">
        <w:rPr>
          <w:lang w:val="en-GB"/>
        </w:rPr>
        <w:t xml:space="preserve">etermined </w:t>
      </w:r>
      <w:r w:rsidR="00231D3A">
        <w:rPr>
          <w:lang w:val="en-GB"/>
        </w:rPr>
        <w:t>c</w:t>
      </w:r>
      <w:r w:rsidR="000E7BCC" w:rsidRPr="002601BB">
        <w:rPr>
          <w:lang w:val="en-GB"/>
        </w:rPr>
        <w:t xml:space="preserve">ontributions and the </w:t>
      </w:r>
      <w:r w:rsidR="00231D3A">
        <w:rPr>
          <w:lang w:val="en-GB"/>
        </w:rPr>
        <w:t>n</w:t>
      </w:r>
      <w:r w:rsidR="000E7BCC" w:rsidRPr="002601BB">
        <w:rPr>
          <w:lang w:val="en-GB"/>
        </w:rPr>
        <w:t xml:space="preserve">ational </w:t>
      </w:r>
      <w:r w:rsidR="00231D3A">
        <w:rPr>
          <w:lang w:val="en-GB"/>
        </w:rPr>
        <w:t>d</w:t>
      </w:r>
      <w:r w:rsidR="000E7BCC" w:rsidRPr="002601BB">
        <w:rPr>
          <w:lang w:val="en-GB"/>
        </w:rPr>
        <w:t xml:space="preserve">ecarbonization </w:t>
      </w:r>
      <w:r w:rsidR="00231D3A">
        <w:rPr>
          <w:lang w:val="en-GB"/>
        </w:rPr>
        <w:t>p</w:t>
      </w:r>
      <w:r w:rsidR="000E7BCC" w:rsidRPr="002601BB">
        <w:rPr>
          <w:lang w:val="en-GB"/>
        </w:rPr>
        <w:t>lan</w:t>
      </w:r>
      <w:r w:rsidRPr="002601BB">
        <w:rPr>
          <w:lang w:val="en-GB"/>
        </w:rPr>
        <w:t>.</w:t>
      </w:r>
      <w:r w:rsidR="00E80022" w:rsidRPr="002601BB">
        <w:rPr>
          <w:lang w:val="en-GB"/>
        </w:rPr>
        <w:t xml:space="preserve"> </w:t>
      </w:r>
      <w:r w:rsidRPr="002601BB">
        <w:rPr>
          <w:lang w:val="en-GB"/>
        </w:rPr>
        <w:t xml:space="preserve">UNDP will </w:t>
      </w:r>
      <w:r w:rsidR="00E80022" w:rsidRPr="002601BB">
        <w:rPr>
          <w:rFonts w:eastAsiaTheme="minorEastAsia"/>
          <w:lang w:val="en-GB"/>
        </w:rPr>
        <w:t>mobili</w:t>
      </w:r>
      <w:r w:rsidR="00231D3A">
        <w:rPr>
          <w:rFonts w:eastAsiaTheme="minorEastAsia"/>
          <w:lang w:val="en-GB"/>
        </w:rPr>
        <w:t>z</w:t>
      </w:r>
      <w:r w:rsidR="00E80022" w:rsidRPr="002601BB">
        <w:rPr>
          <w:lang w:val="en-GB"/>
        </w:rPr>
        <w:t xml:space="preserve">e </w:t>
      </w:r>
      <w:r w:rsidRPr="002601BB">
        <w:rPr>
          <w:lang w:val="en-GB"/>
        </w:rPr>
        <w:t xml:space="preserve">resources from vertical funds and carbon markets to enhance </w:t>
      </w:r>
      <w:r w:rsidRPr="002601BB">
        <w:rPr>
          <w:rFonts w:eastAsiaTheme="minorEastAsia"/>
          <w:lang w:val="en-GB"/>
        </w:rPr>
        <w:t>conservation and sustainable use of biodiversity</w:t>
      </w:r>
      <w:r w:rsidRPr="002601BB">
        <w:rPr>
          <w:lang w:val="en-GB"/>
        </w:rPr>
        <w:t>;</w:t>
      </w:r>
      <w:r w:rsidR="00B32219" w:rsidRPr="002601BB">
        <w:rPr>
          <w:lang w:val="en-GB"/>
        </w:rPr>
        <w:t xml:space="preserve"> </w:t>
      </w:r>
      <w:bookmarkStart w:id="1" w:name="_Hlk115431073"/>
      <w:r w:rsidR="00B32219" w:rsidRPr="002601BB">
        <w:rPr>
          <w:lang w:val="en-GB"/>
        </w:rPr>
        <w:t>obtain integral transboundary water management resources;</w:t>
      </w:r>
      <w:r w:rsidRPr="002601BB">
        <w:rPr>
          <w:rFonts w:eastAsiaTheme="minorEastAsia"/>
          <w:lang w:val="en-GB"/>
        </w:rPr>
        <w:t xml:space="preserve"> </w:t>
      </w:r>
      <w:bookmarkEnd w:id="1"/>
      <w:r w:rsidR="00B32219" w:rsidRPr="002601BB">
        <w:rPr>
          <w:rFonts w:eastAsiaTheme="minorEastAsia"/>
          <w:lang w:val="en-GB"/>
        </w:rPr>
        <w:t xml:space="preserve">promote sustainable consumption and production; foster greener, more energy-efficient technologies; </w:t>
      </w:r>
      <w:r w:rsidRPr="002601BB">
        <w:rPr>
          <w:lang w:val="en-GB"/>
        </w:rPr>
        <w:t xml:space="preserve">increase </w:t>
      </w:r>
      <w:r w:rsidRPr="002601BB">
        <w:rPr>
          <w:rFonts w:eastAsiaTheme="minorEastAsia"/>
          <w:lang w:val="en-GB"/>
        </w:rPr>
        <w:t xml:space="preserve">hectares of forest cover or </w:t>
      </w:r>
      <w:r w:rsidRPr="002601BB">
        <w:rPr>
          <w:lang w:val="en-GB"/>
        </w:rPr>
        <w:t xml:space="preserve">under </w:t>
      </w:r>
      <w:r w:rsidRPr="002601BB">
        <w:rPr>
          <w:rFonts w:eastAsiaTheme="minorEastAsia"/>
          <w:lang w:val="en-GB"/>
        </w:rPr>
        <w:t>restoration</w:t>
      </w:r>
      <w:r w:rsidRPr="002601BB">
        <w:rPr>
          <w:lang w:val="en-GB"/>
        </w:rPr>
        <w:t xml:space="preserve"> </w:t>
      </w:r>
      <w:r w:rsidR="00231D3A">
        <w:rPr>
          <w:lang w:val="en-GB"/>
        </w:rPr>
        <w:t>(</w:t>
      </w:r>
      <w:r w:rsidRPr="002601BB">
        <w:rPr>
          <w:lang w:val="en-GB"/>
        </w:rPr>
        <w:t>as nature-based solutions provide a low-cost way to prepare for different threats and crises</w:t>
      </w:r>
      <w:r w:rsidR="00231D3A">
        <w:rPr>
          <w:lang w:val="en-GB"/>
        </w:rPr>
        <w:t>) – a</w:t>
      </w:r>
      <w:r w:rsidRPr="002601BB">
        <w:rPr>
          <w:lang w:val="en-GB"/>
        </w:rPr>
        <w:t>ll with an intersectional gender perspective.</w:t>
      </w:r>
      <w:r w:rsidR="00E80022" w:rsidRPr="002601BB">
        <w:rPr>
          <w:lang w:val="en-GB"/>
        </w:rPr>
        <w:t xml:space="preserve"> </w:t>
      </w:r>
      <w:r w:rsidRPr="002601BB">
        <w:rPr>
          <w:lang w:val="en-GB"/>
        </w:rPr>
        <w:t xml:space="preserve">By investing in water harvesting knowledge and expertise by </w:t>
      </w:r>
      <w:r w:rsidRPr="002601BB">
        <w:rPr>
          <w:rFonts w:eastAsiaTheme="minorEastAsia"/>
          <w:lang w:val="en-GB"/>
        </w:rPr>
        <w:t xml:space="preserve">State </w:t>
      </w:r>
      <w:r w:rsidR="00231D3A">
        <w:rPr>
          <w:rFonts w:eastAsiaTheme="minorEastAsia"/>
          <w:lang w:val="en-GB"/>
        </w:rPr>
        <w:t>i</w:t>
      </w:r>
      <w:r w:rsidRPr="002601BB">
        <w:rPr>
          <w:rFonts w:eastAsiaTheme="minorEastAsia"/>
          <w:lang w:val="en-GB"/>
        </w:rPr>
        <w:t>nstitutions and rural aqueduct associations</w:t>
      </w:r>
      <w:r w:rsidRPr="002601BB">
        <w:rPr>
          <w:lang w:val="en-GB"/>
        </w:rPr>
        <w:t xml:space="preserve">, UNDP will improve </w:t>
      </w:r>
      <w:r w:rsidRPr="002601BB">
        <w:rPr>
          <w:rFonts w:eastAsiaTheme="minorEastAsia"/>
          <w:lang w:val="en-GB"/>
        </w:rPr>
        <w:t>community-based adaptation measures</w:t>
      </w:r>
      <w:r w:rsidRPr="002601BB">
        <w:rPr>
          <w:lang w:val="en-GB"/>
        </w:rPr>
        <w:t xml:space="preserve"> in areas with </w:t>
      </w:r>
      <w:r w:rsidRPr="002601BB">
        <w:rPr>
          <w:rFonts w:eastAsiaTheme="minorEastAsia"/>
          <w:lang w:val="en-GB"/>
        </w:rPr>
        <w:t>water stress</w:t>
      </w:r>
      <w:r w:rsidRPr="002601BB">
        <w:rPr>
          <w:lang w:val="en-GB"/>
        </w:rPr>
        <w:t xml:space="preserve">. </w:t>
      </w:r>
    </w:p>
    <w:p w14:paraId="2007CA76"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11AB6379" w14:textId="70102018" w:rsidR="001D2915" w:rsidRPr="002601BB" w:rsidRDefault="001D2915"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All these interventions entail partnership</w:t>
      </w:r>
      <w:r w:rsidR="00BB768B">
        <w:rPr>
          <w:lang w:val="en-GB"/>
        </w:rPr>
        <w:t>s</w:t>
      </w:r>
      <w:r w:rsidRPr="002601BB">
        <w:rPr>
          <w:lang w:val="en-GB"/>
        </w:rPr>
        <w:t xml:space="preserve"> with the National Commission for Risk Prevention and Emergency Response (CNE), </w:t>
      </w:r>
      <w:r w:rsidR="00231D3A">
        <w:rPr>
          <w:lang w:val="en-GB"/>
        </w:rPr>
        <w:t xml:space="preserve">the </w:t>
      </w:r>
      <w:r w:rsidRPr="002601BB">
        <w:rPr>
          <w:lang w:val="en-GB"/>
        </w:rPr>
        <w:t>Costa Rican Institute for Water and Sanitation (AyA), the United Nations Office for Disaster Risk Reduction</w:t>
      </w:r>
      <w:r w:rsidR="00231D3A">
        <w:rPr>
          <w:lang w:val="en-GB"/>
        </w:rPr>
        <w:t xml:space="preserve"> (UNDRR)</w:t>
      </w:r>
      <w:r w:rsidRPr="002601BB">
        <w:rPr>
          <w:lang w:val="en-GB"/>
        </w:rPr>
        <w:t>, UNFPA, UNICEF, and financial institutions such as the IADB, the World Bank and CABEI.</w:t>
      </w:r>
      <w:r w:rsidR="00E80022" w:rsidRPr="002601BB">
        <w:rPr>
          <w:lang w:val="en-GB"/>
        </w:rPr>
        <w:t xml:space="preserve"> </w:t>
      </w:r>
      <w:r w:rsidRPr="002601BB">
        <w:rPr>
          <w:lang w:val="en-GB"/>
        </w:rPr>
        <w:t xml:space="preserve">The </w:t>
      </w:r>
      <w:r w:rsidR="00231D3A">
        <w:rPr>
          <w:lang w:val="en-GB"/>
        </w:rPr>
        <w:t>p</w:t>
      </w:r>
      <w:r w:rsidR="001E1FBE" w:rsidRPr="002601BB">
        <w:rPr>
          <w:lang w:val="en-GB"/>
        </w:rPr>
        <w:t>rogramme</w:t>
      </w:r>
      <w:r w:rsidRPr="002601BB">
        <w:rPr>
          <w:lang w:val="en-GB"/>
        </w:rPr>
        <w:t xml:space="preserve"> will foster collaborative action for systems change using multidimensional and multi</w:t>
      </w:r>
      <w:r w:rsidR="00231D3A">
        <w:rPr>
          <w:lang w:val="en-GB"/>
        </w:rPr>
        <w:t>-</w:t>
      </w:r>
      <w:r w:rsidRPr="002601BB">
        <w:rPr>
          <w:lang w:val="en-GB"/>
        </w:rPr>
        <w:t>stakeholder approaches</w:t>
      </w:r>
      <w:r w:rsidR="000300AA" w:rsidRPr="002601BB">
        <w:rPr>
          <w:lang w:val="en-GB"/>
        </w:rPr>
        <w:t xml:space="preserve"> and a transboundary perspective</w:t>
      </w:r>
      <w:r w:rsidRPr="002601BB">
        <w:rPr>
          <w:lang w:val="en-GB"/>
        </w:rPr>
        <w:t xml:space="preserve"> </w:t>
      </w:r>
      <w:r w:rsidR="001E1FBE" w:rsidRPr="002601BB">
        <w:rPr>
          <w:lang w:val="en-GB"/>
        </w:rPr>
        <w:t xml:space="preserve">to </w:t>
      </w:r>
      <w:r w:rsidRPr="002601BB">
        <w:rPr>
          <w:lang w:val="en-GB"/>
        </w:rPr>
        <w:t>achiev</w:t>
      </w:r>
      <w:r w:rsidR="00231D3A">
        <w:rPr>
          <w:lang w:val="en-GB"/>
        </w:rPr>
        <w:t>e</w:t>
      </w:r>
      <w:r w:rsidRPr="002601BB">
        <w:rPr>
          <w:lang w:val="en-GB"/>
        </w:rPr>
        <w:t xml:space="preserve"> these results with key partners.</w:t>
      </w:r>
      <w:r w:rsidR="00E80022" w:rsidRPr="002601BB">
        <w:rPr>
          <w:lang w:val="en-GB"/>
        </w:rPr>
        <w:t xml:space="preserve"> </w:t>
      </w:r>
      <w:r w:rsidRPr="002601BB">
        <w:rPr>
          <w:lang w:val="en-GB"/>
        </w:rPr>
        <w:t xml:space="preserve">UNDP will build on a </w:t>
      </w:r>
      <w:r w:rsidR="001E1FBE" w:rsidRPr="002601BB">
        <w:rPr>
          <w:lang w:val="en-GB"/>
        </w:rPr>
        <w:t xml:space="preserve">solid </w:t>
      </w:r>
      <w:r w:rsidRPr="002601BB">
        <w:rPr>
          <w:lang w:val="en-GB"/>
        </w:rPr>
        <w:t>history of collaboration and existing projects with over 50 local governments and 30 national government institutions</w:t>
      </w:r>
      <w:r w:rsidR="00231D3A">
        <w:rPr>
          <w:lang w:val="en-GB"/>
        </w:rPr>
        <w:t xml:space="preserve">, </w:t>
      </w:r>
      <w:r w:rsidRPr="002601BB">
        <w:rPr>
          <w:lang w:val="en-GB"/>
        </w:rPr>
        <w:t xml:space="preserve">such as the Ministry of Economy, Industry and Commerce (MEIC), the Ministry of Labour and Social Security (MTSS), the Ministry of Foreign Affairs and Worship (MRE), the Ministry for Innovation, Science, Technology and Telecommunications (MICITT), the Ministry of Security (MSP), the Ministry of Justice (MJP), the Ministry of Culture and Youth (MCJ), </w:t>
      </w:r>
      <w:r w:rsidR="00231D3A">
        <w:rPr>
          <w:lang w:val="en-GB"/>
        </w:rPr>
        <w:t xml:space="preserve">the </w:t>
      </w:r>
      <w:r w:rsidRPr="002601BB">
        <w:rPr>
          <w:lang w:val="en-GB"/>
        </w:rPr>
        <w:t xml:space="preserve">Judicial Branch, </w:t>
      </w:r>
      <w:r w:rsidR="00231D3A">
        <w:rPr>
          <w:lang w:val="en-GB"/>
        </w:rPr>
        <w:t xml:space="preserve">the </w:t>
      </w:r>
      <w:r w:rsidRPr="002601BB">
        <w:rPr>
          <w:lang w:val="en-GB"/>
        </w:rPr>
        <w:t xml:space="preserve">Legislative Branch, and the Supreme Electoral Tribunal (TSE). </w:t>
      </w:r>
      <w:r w:rsidR="000300AA" w:rsidRPr="002601BB">
        <w:rPr>
          <w:lang w:val="en-GB"/>
        </w:rPr>
        <w:t>UNDP will work with academia and think</w:t>
      </w:r>
      <w:r w:rsidR="0062465C">
        <w:rPr>
          <w:lang w:val="en-GB"/>
        </w:rPr>
        <w:t xml:space="preserve"> </w:t>
      </w:r>
      <w:r w:rsidR="000300AA" w:rsidRPr="002601BB">
        <w:rPr>
          <w:lang w:val="en-GB"/>
        </w:rPr>
        <w:t>tanks to advocate for evidence-based research on gender equality.</w:t>
      </w:r>
    </w:p>
    <w:p w14:paraId="585F89BD" w14:textId="77777777" w:rsidR="001D2915" w:rsidRPr="002601BB" w:rsidRDefault="001D2915" w:rsidP="001D3052">
      <w:pPr>
        <w:pStyle w:val="ListParagraph"/>
        <w:tabs>
          <w:tab w:val="left" w:pos="1620"/>
        </w:tabs>
        <w:spacing w:after="160" w:line="259" w:lineRule="auto"/>
        <w:ind w:left="1260" w:right="1750"/>
        <w:contextualSpacing/>
        <w:jc w:val="both"/>
        <w:rPr>
          <w:sz w:val="12"/>
          <w:szCs w:val="12"/>
          <w:lang w:val="en-GB"/>
        </w:rPr>
      </w:pPr>
    </w:p>
    <w:p w14:paraId="7713E35C" w14:textId="301A92B4" w:rsidR="001D2915" w:rsidRPr="002601BB" w:rsidRDefault="001D2915" w:rsidP="0074417D">
      <w:pPr>
        <w:pStyle w:val="ListParagraph"/>
        <w:numPr>
          <w:ilvl w:val="0"/>
          <w:numId w:val="1"/>
        </w:numPr>
        <w:tabs>
          <w:tab w:val="left" w:pos="1800"/>
        </w:tabs>
        <w:spacing w:after="200" w:line="259" w:lineRule="auto"/>
        <w:ind w:left="1440" w:right="1210" w:firstLine="0"/>
        <w:contextualSpacing/>
        <w:jc w:val="both"/>
        <w:rPr>
          <w:b/>
          <w:bCs/>
          <w:lang w:val="en-GB"/>
        </w:rPr>
      </w:pPr>
      <w:r w:rsidRPr="002601BB">
        <w:rPr>
          <w:lang w:val="en-GB"/>
        </w:rPr>
        <w:t xml:space="preserve">This strategy will contribute toward </w:t>
      </w:r>
      <w:r w:rsidR="0058556A" w:rsidRPr="002601BB">
        <w:rPr>
          <w:lang w:val="en-GB"/>
        </w:rPr>
        <w:t xml:space="preserve">the </w:t>
      </w:r>
      <w:r w:rsidR="0023718D" w:rsidRPr="002601BB">
        <w:rPr>
          <w:rFonts w:eastAsiaTheme="minorEastAsia"/>
          <w:lang w:val="en-GB"/>
        </w:rPr>
        <w:t xml:space="preserve">efficient use of ecosystem resources for the protection of the </w:t>
      </w:r>
      <w:r w:rsidR="0023718D" w:rsidRPr="002601BB">
        <w:rPr>
          <w:lang w:val="en-GB"/>
        </w:rPr>
        <w:t>planet</w:t>
      </w:r>
      <w:r w:rsidRPr="002601BB">
        <w:rPr>
          <w:lang w:val="en-GB"/>
        </w:rPr>
        <w:t xml:space="preserve"> and adaptation </w:t>
      </w:r>
      <w:r w:rsidR="0058556A" w:rsidRPr="002601BB">
        <w:rPr>
          <w:lang w:val="en-GB"/>
        </w:rPr>
        <w:t>to</w:t>
      </w:r>
      <w:r w:rsidRPr="002601BB">
        <w:rPr>
          <w:lang w:val="en-GB"/>
        </w:rPr>
        <w:t xml:space="preserve"> climate change, in alignment with outcome 4.2</w:t>
      </w:r>
      <w:r w:rsidR="00231D3A">
        <w:rPr>
          <w:lang w:val="en-GB"/>
        </w:rPr>
        <w:t> </w:t>
      </w:r>
      <w:r w:rsidRPr="002601BB">
        <w:rPr>
          <w:lang w:val="en-GB"/>
        </w:rPr>
        <w:t xml:space="preserve">of the </w:t>
      </w:r>
      <w:r w:rsidR="002C44A6" w:rsidRPr="002601BB">
        <w:rPr>
          <w:lang w:val="en-GB"/>
        </w:rPr>
        <w:t>UNSDCF</w:t>
      </w:r>
      <w:r w:rsidRPr="002601BB">
        <w:rPr>
          <w:lang w:val="en-GB"/>
        </w:rPr>
        <w:t>.</w:t>
      </w:r>
    </w:p>
    <w:p w14:paraId="2440D3F7" w14:textId="067AC1F6" w:rsidR="0063402B" w:rsidRPr="002601BB" w:rsidRDefault="0063402B" w:rsidP="0074417D">
      <w:pPr>
        <w:pStyle w:val="Heading1"/>
        <w:numPr>
          <w:ilvl w:val="0"/>
          <w:numId w:val="3"/>
        </w:numPr>
        <w:tabs>
          <w:tab w:val="left" w:pos="1800"/>
        </w:tabs>
        <w:spacing w:after="200"/>
        <w:ind w:left="1440" w:right="1267" w:hanging="540"/>
        <w:jc w:val="both"/>
        <w:rPr>
          <w:rFonts w:ascii="Times New Roman" w:hAnsi="Times New Roman"/>
          <w:color w:val="000000"/>
          <w:sz w:val="24"/>
          <w:szCs w:val="24"/>
          <w:lang w:val="en-GB"/>
        </w:rPr>
      </w:pPr>
      <w:r w:rsidRPr="002601BB">
        <w:rPr>
          <w:rFonts w:ascii="Times New Roman" w:hAnsi="Times New Roman"/>
          <w:color w:val="000000"/>
          <w:sz w:val="24"/>
          <w:szCs w:val="24"/>
          <w:lang w:val="en-GB"/>
        </w:rPr>
        <w:t xml:space="preserve">Programme and </w:t>
      </w:r>
      <w:r w:rsidR="009D1275" w:rsidRPr="002601BB">
        <w:rPr>
          <w:rFonts w:ascii="Times New Roman" w:hAnsi="Times New Roman"/>
          <w:color w:val="000000"/>
          <w:sz w:val="24"/>
          <w:szCs w:val="24"/>
          <w:lang w:val="en-GB"/>
        </w:rPr>
        <w:t>r</w:t>
      </w:r>
      <w:r w:rsidRPr="002601BB">
        <w:rPr>
          <w:rFonts w:ascii="Times New Roman" w:hAnsi="Times New Roman"/>
          <w:color w:val="000000"/>
          <w:sz w:val="24"/>
          <w:szCs w:val="24"/>
          <w:lang w:val="en-GB"/>
        </w:rPr>
        <w:t>isk</w:t>
      </w:r>
      <w:r w:rsidR="00AC1BE7" w:rsidRPr="002601BB">
        <w:rPr>
          <w:rFonts w:ascii="Times New Roman" w:hAnsi="Times New Roman"/>
          <w:color w:val="000000"/>
          <w:sz w:val="24"/>
          <w:szCs w:val="24"/>
          <w:lang w:val="en-GB"/>
        </w:rPr>
        <w:t xml:space="preserve"> </w:t>
      </w:r>
      <w:r w:rsidR="009D1275" w:rsidRPr="002601BB">
        <w:rPr>
          <w:rFonts w:ascii="Times New Roman" w:hAnsi="Times New Roman"/>
          <w:color w:val="000000"/>
          <w:sz w:val="24"/>
          <w:szCs w:val="24"/>
          <w:lang w:val="en-GB"/>
        </w:rPr>
        <w:t>m</w:t>
      </w:r>
      <w:r w:rsidR="001C6C08" w:rsidRPr="002601BB">
        <w:rPr>
          <w:rFonts w:ascii="Times New Roman" w:hAnsi="Times New Roman"/>
          <w:color w:val="000000"/>
          <w:sz w:val="24"/>
          <w:szCs w:val="24"/>
          <w:lang w:val="en-GB"/>
        </w:rPr>
        <w:t>anagement</w:t>
      </w:r>
    </w:p>
    <w:p w14:paraId="68454BAB" w14:textId="20347B16" w:rsidR="00F63DCE" w:rsidRPr="002601BB" w:rsidRDefault="00F63DCE" w:rsidP="0074417D">
      <w:pPr>
        <w:pStyle w:val="ListParagraph"/>
        <w:numPr>
          <w:ilvl w:val="0"/>
          <w:numId w:val="1"/>
        </w:numPr>
        <w:tabs>
          <w:tab w:val="left" w:pos="1800"/>
        </w:tabs>
        <w:spacing w:after="160" w:line="259" w:lineRule="auto"/>
        <w:ind w:left="1440" w:right="1210" w:firstLine="0"/>
        <w:contextualSpacing/>
        <w:jc w:val="both"/>
        <w:rPr>
          <w:color w:val="000000"/>
          <w:lang w:val="en-GB" w:eastAsia="x-none"/>
        </w:rPr>
      </w:pPr>
      <w:r w:rsidRPr="002601BB">
        <w:rPr>
          <w:color w:val="000000"/>
          <w:lang w:val="en-GB" w:eastAsia="x-none"/>
        </w:rPr>
        <w:t xml:space="preserve">This country programme document outlines UNDP contributions to national results and serves as the primary unit of accountability to the Executive Board for results alignment and resources assigned to the programme at </w:t>
      </w:r>
      <w:r w:rsidR="00EE7DEB">
        <w:rPr>
          <w:color w:val="000000"/>
          <w:lang w:val="en-GB" w:eastAsia="x-none"/>
        </w:rPr>
        <w:t xml:space="preserve">the </w:t>
      </w:r>
      <w:r w:rsidRPr="002601BB">
        <w:rPr>
          <w:color w:val="000000"/>
          <w:lang w:val="en-GB" w:eastAsia="x-none"/>
        </w:rPr>
        <w:t>country level.</w:t>
      </w:r>
      <w:r w:rsidR="00E80022" w:rsidRPr="002601BB">
        <w:rPr>
          <w:color w:val="000000"/>
          <w:lang w:val="en-GB" w:eastAsia="x-none"/>
        </w:rPr>
        <w:t xml:space="preserve"> </w:t>
      </w:r>
      <w:r w:rsidR="00EE7DEB">
        <w:rPr>
          <w:color w:val="000000"/>
          <w:lang w:val="en-GB" w:eastAsia="x-none"/>
        </w:rPr>
        <w:t>The a</w:t>
      </w:r>
      <w:r w:rsidRPr="002601BB">
        <w:rPr>
          <w:color w:val="000000"/>
          <w:lang w:val="en-GB" w:eastAsia="x-none"/>
        </w:rPr>
        <w:t>ccountabilities of managers at the country, regional and headquarter</w:t>
      </w:r>
      <w:r w:rsidR="00EE7DEB">
        <w:rPr>
          <w:color w:val="000000"/>
          <w:lang w:val="en-GB" w:eastAsia="x-none"/>
        </w:rPr>
        <w:t>s</w:t>
      </w:r>
      <w:r w:rsidRPr="002601BB">
        <w:rPr>
          <w:color w:val="000000"/>
          <w:lang w:val="en-GB" w:eastAsia="x-none"/>
        </w:rPr>
        <w:t xml:space="preserve"> levels</w:t>
      </w:r>
      <w:r w:rsidR="00EE7DEB">
        <w:rPr>
          <w:color w:val="000000"/>
          <w:lang w:val="en-GB" w:eastAsia="x-none"/>
        </w:rPr>
        <w:t>,</w:t>
      </w:r>
      <w:r w:rsidRPr="002601BB">
        <w:rPr>
          <w:color w:val="000000"/>
          <w:lang w:val="en-GB" w:eastAsia="x-none"/>
        </w:rPr>
        <w:t xml:space="preserve"> with respect to country programmes</w:t>
      </w:r>
      <w:r w:rsidR="00EE7DEB">
        <w:rPr>
          <w:color w:val="000000"/>
          <w:lang w:val="en-GB" w:eastAsia="x-none"/>
        </w:rPr>
        <w:t>,</w:t>
      </w:r>
      <w:r w:rsidRPr="002601BB">
        <w:rPr>
          <w:color w:val="000000"/>
          <w:lang w:val="en-GB" w:eastAsia="x-none"/>
        </w:rPr>
        <w:t xml:space="preserve"> is prescribed in the organi</w:t>
      </w:r>
      <w:r w:rsidR="00EE7DEB">
        <w:rPr>
          <w:color w:val="000000"/>
          <w:lang w:val="en-GB" w:eastAsia="x-none"/>
        </w:rPr>
        <w:t>z</w:t>
      </w:r>
      <w:r w:rsidRPr="002601BB">
        <w:rPr>
          <w:color w:val="000000"/>
          <w:lang w:val="en-GB" w:eastAsia="x-none"/>
        </w:rPr>
        <w:t>ation</w:t>
      </w:r>
      <w:r w:rsidR="00E80022" w:rsidRPr="002601BB">
        <w:rPr>
          <w:color w:val="000000"/>
          <w:lang w:val="en-GB" w:eastAsia="x-none"/>
        </w:rPr>
        <w:t>’</w:t>
      </w:r>
      <w:r w:rsidRPr="002601BB">
        <w:rPr>
          <w:color w:val="000000"/>
          <w:lang w:val="en-GB" w:eastAsia="x-none"/>
        </w:rPr>
        <w:t xml:space="preserve">s </w:t>
      </w:r>
      <w:r w:rsidR="00EE7DEB">
        <w:rPr>
          <w:color w:val="000000"/>
          <w:lang w:val="en-GB" w:eastAsia="x-none"/>
        </w:rPr>
        <w:t>p</w:t>
      </w:r>
      <w:r w:rsidRPr="002601BB">
        <w:rPr>
          <w:color w:val="000000"/>
          <w:lang w:val="en-GB" w:eastAsia="x-none"/>
        </w:rPr>
        <w:t xml:space="preserve">rogramme and </w:t>
      </w:r>
      <w:r w:rsidR="00EE7DEB">
        <w:rPr>
          <w:color w:val="000000"/>
          <w:lang w:val="en-GB" w:eastAsia="x-none"/>
        </w:rPr>
        <w:t>o</w:t>
      </w:r>
      <w:r w:rsidRPr="002601BB">
        <w:rPr>
          <w:color w:val="000000"/>
          <w:lang w:val="en-GB" w:eastAsia="x-none"/>
        </w:rPr>
        <w:t xml:space="preserve">perations </w:t>
      </w:r>
      <w:r w:rsidR="00EE7DEB">
        <w:rPr>
          <w:color w:val="000000"/>
          <w:lang w:val="en-GB" w:eastAsia="x-none"/>
        </w:rPr>
        <w:t>p</w:t>
      </w:r>
      <w:r w:rsidRPr="002601BB">
        <w:rPr>
          <w:color w:val="000000"/>
          <w:lang w:val="en-GB" w:eastAsia="x-none"/>
        </w:rPr>
        <w:t xml:space="preserve">olicies and </w:t>
      </w:r>
      <w:r w:rsidR="00EE7DEB">
        <w:rPr>
          <w:color w:val="000000"/>
          <w:lang w:val="en-GB" w:eastAsia="x-none"/>
        </w:rPr>
        <w:t>p</w:t>
      </w:r>
      <w:r w:rsidRPr="002601BB">
        <w:rPr>
          <w:color w:val="000000"/>
          <w:lang w:val="en-GB" w:eastAsia="x-none"/>
        </w:rPr>
        <w:t xml:space="preserve">rocedures and </w:t>
      </w:r>
      <w:r w:rsidR="00EE7DEB">
        <w:rPr>
          <w:color w:val="000000"/>
          <w:lang w:val="en-GB" w:eastAsia="x-none"/>
        </w:rPr>
        <w:t>i</w:t>
      </w:r>
      <w:r w:rsidRPr="002601BB">
        <w:rPr>
          <w:color w:val="000000"/>
          <w:lang w:val="en-GB" w:eastAsia="x-none"/>
        </w:rPr>
        <w:t xml:space="preserve">nternal </w:t>
      </w:r>
      <w:r w:rsidR="00EE7DEB">
        <w:rPr>
          <w:color w:val="000000"/>
          <w:lang w:val="en-GB" w:eastAsia="x-none"/>
        </w:rPr>
        <w:t>c</w:t>
      </w:r>
      <w:r w:rsidRPr="002601BB">
        <w:rPr>
          <w:color w:val="000000"/>
          <w:lang w:val="en-GB" w:eastAsia="x-none"/>
        </w:rPr>
        <w:t xml:space="preserve">ontrol </w:t>
      </w:r>
      <w:r w:rsidR="00EE7DEB">
        <w:rPr>
          <w:color w:val="000000"/>
          <w:lang w:val="en-GB" w:eastAsia="x-none"/>
        </w:rPr>
        <w:t>f</w:t>
      </w:r>
      <w:r w:rsidRPr="002601BB">
        <w:rPr>
          <w:color w:val="000000"/>
          <w:lang w:val="en-GB" w:eastAsia="x-none"/>
        </w:rPr>
        <w:t>ramework.</w:t>
      </w:r>
      <w:r w:rsidRPr="002601BB">
        <w:rPr>
          <w:color w:val="000000"/>
          <w:lang w:val="en-GB" w:eastAsia="x-none"/>
        </w:rPr>
        <w:tab/>
      </w:r>
    </w:p>
    <w:p w14:paraId="4574D043" w14:textId="77777777" w:rsidR="00F63DCE" w:rsidRPr="002601BB" w:rsidRDefault="00F63DCE" w:rsidP="00F63DCE">
      <w:pPr>
        <w:pStyle w:val="ListParagraph"/>
        <w:tabs>
          <w:tab w:val="left" w:pos="1620"/>
        </w:tabs>
        <w:spacing w:after="160" w:line="259" w:lineRule="auto"/>
        <w:ind w:left="1260" w:right="1750"/>
        <w:contextualSpacing/>
        <w:jc w:val="both"/>
        <w:rPr>
          <w:color w:val="000000"/>
          <w:sz w:val="12"/>
          <w:szCs w:val="12"/>
          <w:lang w:val="en-GB" w:eastAsia="x-none"/>
        </w:rPr>
      </w:pPr>
    </w:p>
    <w:p w14:paraId="2D667ED2" w14:textId="35AC27EA" w:rsidR="00F63DCE" w:rsidRPr="002601BB" w:rsidRDefault="00F63DCE"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sidRPr="002601BB">
        <w:rPr>
          <w:color w:val="000000"/>
          <w:lang w:val="en-GB" w:eastAsia="x-none"/>
        </w:rPr>
        <w:lastRenderedPageBreak/>
        <w:t>The programme will be nationally executed.</w:t>
      </w:r>
      <w:r w:rsidR="00E80022" w:rsidRPr="002601BB">
        <w:rPr>
          <w:color w:val="000000"/>
          <w:lang w:val="en-GB" w:eastAsia="x-none"/>
        </w:rPr>
        <w:t xml:space="preserve"> </w:t>
      </w:r>
      <w:r w:rsidRPr="002601BB">
        <w:rPr>
          <w:color w:val="000000"/>
          <w:lang w:val="en-GB" w:eastAsia="x-none"/>
        </w:rPr>
        <w:t xml:space="preserve">If necessary, national execution may be replaced by direct execution for part or all of the programme to </w:t>
      </w:r>
      <w:r w:rsidRPr="002601BB">
        <w:rPr>
          <w:lang w:val="en-GB"/>
        </w:rPr>
        <w:t>enable</w:t>
      </w:r>
      <w:r w:rsidRPr="002601BB">
        <w:rPr>
          <w:color w:val="000000"/>
          <w:lang w:val="en-GB" w:eastAsia="x-none"/>
        </w:rPr>
        <w:t xml:space="preserve"> response to force majeure. </w:t>
      </w:r>
      <w:r w:rsidR="001074C3">
        <w:rPr>
          <w:color w:val="000000"/>
          <w:lang w:val="en-GB" w:eastAsia="x-none"/>
        </w:rPr>
        <w:t>The h</w:t>
      </w:r>
      <w:r w:rsidRPr="002601BB">
        <w:rPr>
          <w:color w:val="000000"/>
          <w:lang w:val="en-GB" w:eastAsia="x-none"/>
        </w:rPr>
        <w:t>armoni</w:t>
      </w:r>
      <w:r w:rsidR="001074C3">
        <w:rPr>
          <w:color w:val="000000"/>
          <w:lang w:val="en-GB" w:eastAsia="x-none"/>
        </w:rPr>
        <w:t>z</w:t>
      </w:r>
      <w:r w:rsidRPr="002601BB">
        <w:rPr>
          <w:color w:val="000000"/>
          <w:lang w:val="en-GB" w:eastAsia="x-none"/>
        </w:rPr>
        <w:t xml:space="preserve">ed </w:t>
      </w:r>
      <w:r w:rsidR="001074C3">
        <w:rPr>
          <w:color w:val="000000"/>
          <w:lang w:val="en-GB" w:eastAsia="x-none"/>
        </w:rPr>
        <w:t>a</w:t>
      </w:r>
      <w:r w:rsidRPr="002601BB">
        <w:rPr>
          <w:color w:val="000000"/>
          <w:lang w:val="en-GB" w:eastAsia="x-none"/>
        </w:rPr>
        <w:t xml:space="preserve">pproach to </w:t>
      </w:r>
      <w:r w:rsidR="001074C3">
        <w:rPr>
          <w:color w:val="000000"/>
          <w:lang w:val="en-GB" w:eastAsia="x-none"/>
        </w:rPr>
        <w:t>c</w:t>
      </w:r>
      <w:r w:rsidRPr="002601BB">
        <w:rPr>
          <w:color w:val="000000"/>
          <w:lang w:val="en-GB" w:eastAsia="x-none"/>
        </w:rPr>
        <w:t xml:space="preserve">ash </w:t>
      </w:r>
      <w:r w:rsidR="001074C3">
        <w:rPr>
          <w:color w:val="000000"/>
          <w:lang w:val="en-GB" w:eastAsia="x-none"/>
        </w:rPr>
        <w:t>t</w:t>
      </w:r>
      <w:r w:rsidRPr="002601BB">
        <w:rPr>
          <w:color w:val="000000"/>
          <w:lang w:val="en-GB" w:eastAsia="x-none"/>
        </w:rPr>
        <w:t xml:space="preserve">ransfers (HACT) will be used in a coordinated </w:t>
      </w:r>
      <w:r w:rsidRPr="002601BB">
        <w:rPr>
          <w:lang w:val="en-GB"/>
        </w:rPr>
        <w:t>fashion</w:t>
      </w:r>
      <w:r w:rsidRPr="002601BB">
        <w:rPr>
          <w:color w:val="000000"/>
          <w:lang w:val="en-GB" w:eastAsia="x-none"/>
        </w:rPr>
        <w:t xml:space="preserve"> with other United Nations </w:t>
      </w:r>
      <w:r w:rsidR="001074C3">
        <w:rPr>
          <w:color w:val="000000"/>
          <w:lang w:val="en-GB" w:eastAsia="x-none"/>
        </w:rPr>
        <w:t xml:space="preserve">organizations </w:t>
      </w:r>
      <w:r w:rsidRPr="002601BB">
        <w:rPr>
          <w:color w:val="000000"/>
          <w:lang w:val="en-GB" w:eastAsia="x-none"/>
        </w:rPr>
        <w:t>to manage financial risks.</w:t>
      </w:r>
      <w:r w:rsidR="00E80022" w:rsidRPr="002601BB">
        <w:rPr>
          <w:color w:val="000000"/>
          <w:lang w:val="en-GB" w:eastAsia="x-none"/>
        </w:rPr>
        <w:t xml:space="preserve"> </w:t>
      </w:r>
      <w:r w:rsidRPr="002601BB">
        <w:rPr>
          <w:color w:val="000000"/>
          <w:lang w:val="en-GB" w:eastAsia="x-none"/>
        </w:rPr>
        <w:t>Cost definitions and classifications for programme and development effectiveness will be charged to the concerned projects.</w:t>
      </w:r>
    </w:p>
    <w:p w14:paraId="6515E754" w14:textId="77777777" w:rsidR="00F63DCE" w:rsidRPr="002601BB" w:rsidRDefault="00F63DCE" w:rsidP="001D3052">
      <w:pPr>
        <w:pStyle w:val="ListParagraph"/>
        <w:tabs>
          <w:tab w:val="left" w:pos="1620"/>
        </w:tabs>
        <w:spacing w:after="160" w:line="259" w:lineRule="auto"/>
        <w:ind w:left="1260" w:right="1750"/>
        <w:contextualSpacing/>
        <w:jc w:val="both"/>
        <w:rPr>
          <w:color w:val="000000"/>
          <w:sz w:val="12"/>
          <w:szCs w:val="12"/>
          <w:lang w:val="en-GB"/>
        </w:rPr>
      </w:pPr>
    </w:p>
    <w:p w14:paraId="6FA99B62" w14:textId="15637C9C" w:rsidR="00452F4F" w:rsidRPr="002601BB" w:rsidRDefault="00452F4F"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Th</w:t>
      </w:r>
      <w:r w:rsidR="001E1FBE" w:rsidRPr="002601BB">
        <w:rPr>
          <w:lang w:val="en-GB"/>
        </w:rPr>
        <w:t>e MRE and MIDEPLAN will oversee this programme</w:t>
      </w:r>
      <w:r w:rsidRPr="002601BB">
        <w:rPr>
          <w:lang w:val="en-GB"/>
        </w:rPr>
        <w:t xml:space="preserve">. </w:t>
      </w:r>
      <w:r w:rsidR="00E16874" w:rsidRPr="002601BB">
        <w:rPr>
          <w:lang w:val="en-GB"/>
        </w:rPr>
        <w:t xml:space="preserve">The UNSDCF </w:t>
      </w:r>
      <w:r w:rsidR="001074C3">
        <w:rPr>
          <w:lang w:val="en-GB"/>
        </w:rPr>
        <w:t>s</w:t>
      </w:r>
      <w:r w:rsidR="00E16874" w:rsidRPr="002601BB">
        <w:rPr>
          <w:lang w:val="en-GB"/>
        </w:rPr>
        <w:t xml:space="preserve">teering </w:t>
      </w:r>
      <w:r w:rsidR="001074C3">
        <w:rPr>
          <w:lang w:val="en-GB"/>
        </w:rPr>
        <w:t>c</w:t>
      </w:r>
      <w:r w:rsidR="005A7AE4" w:rsidRPr="002601BB">
        <w:rPr>
          <w:lang w:val="en-GB"/>
        </w:rPr>
        <w:t>ommittee</w:t>
      </w:r>
      <w:r w:rsidR="003861B0" w:rsidRPr="002601BB">
        <w:rPr>
          <w:lang w:val="en-GB"/>
        </w:rPr>
        <w:t xml:space="preserve"> </w:t>
      </w:r>
      <w:r w:rsidRPr="002601BB">
        <w:rPr>
          <w:lang w:val="en-GB"/>
        </w:rPr>
        <w:t>will</w:t>
      </w:r>
      <w:r w:rsidR="005A7AE4" w:rsidRPr="002601BB">
        <w:rPr>
          <w:lang w:val="en-GB"/>
        </w:rPr>
        <w:t xml:space="preserve"> </w:t>
      </w:r>
      <w:r w:rsidRPr="002601BB">
        <w:rPr>
          <w:lang w:val="en-GB"/>
        </w:rPr>
        <w:t>provide strategic orientation.</w:t>
      </w:r>
    </w:p>
    <w:p w14:paraId="3A5ECCFF" w14:textId="77777777" w:rsidR="00452F4F" w:rsidRPr="002601BB" w:rsidRDefault="00452F4F" w:rsidP="001D3052">
      <w:pPr>
        <w:pStyle w:val="ListParagraph"/>
        <w:tabs>
          <w:tab w:val="left" w:pos="1620"/>
        </w:tabs>
        <w:spacing w:after="160" w:line="259" w:lineRule="auto"/>
        <w:ind w:left="1260" w:right="1750"/>
        <w:contextualSpacing/>
        <w:jc w:val="both"/>
        <w:rPr>
          <w:sz w:val="12"/>
          <w:szCs w:val="12"/>
          <w:lang w:val="en-GB"/>
        </w:rPr>
      </w:pPr>
    </w:p>
    <w:p w14:paraId="307D0188" w14:textId="24B0355B" w:rsidR="001D18E8" w:rsidRPr="002601BB" w:rsidRDefault="001D18E8"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Risks that may affect the implementation of this programme are political, economic, institutional, financial, environmental</w:t>
      </w:r>
      <w:r w:rsidR="00CC13C8" w:rsidRPr="002601BB">
        <w:rPr>
          <w:lang w:val="en-GB"/>
        </w:rPr>
        <w:t xml:space="preserve"> and socioenvironmental</w:t>
      </w:r>
      <w:r w:rsidRPr="002601BB">
        <w:rPr>
          <w:lang w:val="en-GB"/>
        </w:rPr>
        <w:t xml:space="preserve">. </w:t>
      </w:r>
    </w:p>
    <w:p w14:paraId="46B08716" w14:textId="77777777" w:rsidR="001D18E8" w:rsidRPr="002601BB" w:rsidRDefault="001D18E8" w:rsidP="001D3052">
      <w:pPr>
        <w:pStyle w:val="ListParagraph"/>
        <w:tabs>
          <w:tab w:val="left" w:pos="1620"/>
        </w:tabs>
        <w:spacing w:after="160" w:line="259" w:lineRule="auto"/>
        <w:ind w:left="1260" w:right="1750"/>
        <w:contextualSpacing/>
        <w:jc w:val="both"/>
        <w:rPr>
          <w:sz w:val="12"/>
          <w:szCs w:val="12"/>
          <w:lang w:val="en-GB"/>
        </w:rPr>
      </w:pPr>
    </w:p>
    <w:p w14:paraId="7D3B382C" w14:textId="6BB794FD" w:rsidR="001D18E8" w:rsidRPr="002601BB" w:rsidRDefault="001D18E8"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The new administration</w:t>
      </w:r>
      <w:r w:rsidR="00D744FC" w:rsidRPr="002601BB">
        <w:rPr>
          <w:lang w:val="en-GB"/>
        </w:rPr>
        <w:t xml:space="preserve"> in Costa Rica</w:t>
      </w:r>
      <w:r w:rsidRPr="002601BB">
        <w:rPr>
          <w:lang w:val="en-GB"/>
        </w:rPr>
        <w:t xml:space="preserve"> </w:t>
      </w:r>
      <w:r w:rsidR="0098296F" w:rsidRPr="002601BB">
        <w:rPr>
          <w:lang w:val="en-GB"/>
        </w:rPr>
        <w:t>emphasi</w:t>
      </w:r>
      <w:r w:rsidR="001074C3">
        <w:rPr>
          <w:lang w:val="en-GB"/>
        </w:rPr>
        <w:t>z</w:t>
      </w:r>
      <w:r w:rsidR="0098296F" w:rsidRPr="002601BB">
        <w:rPr>
          <w:lang w:val="en-GB"/>
        </w:rPr>
        <w:t>es</w:t>
      </w:r>
      <w:r w:rsidRPr="002601BB">
        <w:rPr>
          <w:lang w:val="en-GB"/>
        </w:rPr>
        <w:t xml:space="preserve"> deregulation to facilitate ease of doing business, employment generation, and cost</w:t>
      </w:r>
      <w:r w:rsidR="001074C3">
        <w:rPr>
          <w:lang w:val="en-GB"/>
        </w:rPr>
        <w:t>-</w:t>
      </w:r>
      <w:r w:rsidRPr="002601BB">
        <w:rPr>
          <w:lang w:val="en-GB"/>
        </w:rPr>
        <w:t>of</w:t>
      </w:r>
      <w:r w:rsidR="001074C3">
        <w:rPr>
          <w:lang w:val="en-GB"/>
        </w:rPr>
        <w:t>-</w:t>
      </w:r>
      <w:r w:rsidRPr="002601BB">
        <w:rPr>
          <w:lang w:val="en-GB"/>
        </w:rPr>
        <w:t>living</w:t>
      </w:r>
      <w:r w:rsidR="00FD7AB4" w:rsidRPr="002601BB">
        <w:rPr>
          <w:lang w:val="en-GB"/>
        </w:rPr>
        <w:t xml:space="preserve"> reduction</w:t>
      </w:r>
      <w:r w:rsidRPr="002601BB">
        <w:rPr>
          <w:lang w:val="en-GB"/>
        </w:rPr>
        <w:t>.</w:t>
      </w:r>
      <w:r w:rsidR="00E80022" w:rsidRPr="002601BB">
        <w:rPr>
          <w:lang w:val="en-GB"/>
        </w:rPr>
        <w:t xml:space="preserve"> </w:t>
      </w:r>
      <w:r w:rsidRPr="002601BB">
        <w:rPr>
          <w:lang w:val="en-GB"/>
        </w:rPr>
        <w:t xml:space="preserve">The </w:t>
      </w:r>
      <w:r w:rsidR="008070B5" w:rsidRPr="002601BB">
        <w:rPr>
          <w:lang w:val="en-GB"/>
        </w:rPr>
        <w:t>resulting expedite</w:t>
      </w:r>
      <w:r w:rsidR="001E1FBE" w:rsidRPr="002601BB">
        <w:rPr>
          <w:lang w:val="en-GB"/>
        </w:rPr>
        <w:t>d</w:t>
      </w:r>
      <w:r w:rsidR="008070B5" w:rsidRPr="002601BB">
        <w:rPr>
          <w:lang w:val="en-GB"/>
        </w:rPr>
        <w:t xml:space="preserve"> business development </w:t>
      </w:r>
      <w:r w:rsidR="007E328C" w:rsidRPr="002601BB">
        <w:rPr>
          <w:lang w:val="en-GB"/>
        </w:rPr>
        <w:t xml:space="preserve">could generate </w:t>
      </w:r>
      <w:r w:rsidR="00734AE4" w:rsidRPr="002601BB">
        <w:rPr>
          <w:lang w:val="en-GB"/>
        </w:rPr>
        <w:t xml:space="preserve">associated </w:t>
      </w:r>
      <w:r w:rsidRPr="002601BB">
        <w:rPr>
          <w:lang w:val="en-GB"/>
        </w:rPr>
        <w:t xml:space="preserve">environmental and social protection </w:t>
      </w:r>
      <w:r w:rsidR="00734AE4" w:rsidRPr="002601BB">
        <w:rPr>
          <w:lang w:val="en-GB"/>
        </w:rPr>
        <w:t>risks</w:t>
      </w:r>
      <w:r w:rsidR="00CC13C8" w:rsidRPr="002601BB">
        <w:rPr>
          <w:lang w:val="en-GB"/>
        </w:rPr>
        <w:t>;</w:t>
      </w:r>
      <w:r w:rsidR="00765F24" w:rsidRPr="002601BB">
        <w:rPr>
          <w:lang w:val="en-GB"/>
        </w:rPr>
        <w:t xml:space="preserve"> </w:t>
      </w:r>
      <w:r w:rsidRPr="002601BB">
        <w:rPr>
          <w:lang w:val="en-GB"/>
        </w:rPr>
        <w:t xml:space="preserve">UNDP will generate data and information </w:t>
      </w:r>
      <w:r w:rsidR="001074C3">
        <w:rPr>
          <w:lang w:val="en-GB"/>
        </w:rPr>
        <w:t xml:space="preserve">and </w:t>
      </w:r>
      <w:r w:rsidRPr="002601BB">
        <w:rPr>
          <w:lang w:val="en-GB"/>
        </w:rPr>
        <w:t xml:space="preserve">advocate and invest in </w:t>
      </w:r>
      <w:r w:rsidR="00A01317">
        <w:rPr>
          <w:lang w:val="en-GB"/>
        </w:rPr>
        <w:t>policy</w:t>
      </w:r>
      <w:r w:rsidR="00A01317" w:rsidRPr="002601BB">
        <w:rPr>
          <w:lang w:val="en-GB"/>
        </w:rPr>
        <w:t xml:space="preserve"> </w:t>
      </w:r>
      <w:r w:rsidRPr="002601BB">
        <w:rPr>
          <w:lang w:val="en-GB"/>
        </w:rPr>
        <w:t>communication</w:t>
      </w:r>
      <w:r w:rsidR="00CD2F0F" w:rsidRPr="002601BB">
        <w:rPr>
          <w:lang w:val="en-GB"/>
        </w:rPr>
        <w:t>s</w:t>
      </w:r>
      <w:r w:rsidRPr="002601BB">
        <w:rPr>
          <w:lang w:val="en-GB"/>
        </w:rPr>
        <w:t xml:space="preserve"> to make the business case so that </w:t>
      </w:r>
      <w:r w:rsidR="002C19B4" w:rsidRPr="002601BB">
        <w:rPr>
          <w:lang w:val="en-GB"/>
        </w:rPr>
        <w:t xml:space="preserve">deregulation </w:t>
      </w:r>
      <w:r w:rsidRPr="002601BB">
        <w:rPr>
          <w:lang w:val="en-GB"/>
        </w:rPr>
        <w:t xml:space="preserve">policies </w:t>
      </w:r>
      <w:r w:rsidR="00CD2F0F" w:rsidRPr="002601BB">
        <w:rPr>
          <w:lang w:val="en-GB"/>
        </w:rPr>
        <w:t xml:space="preserve">continue to advance </w:t>
      </w:r>
      <w:r w:rsidRPr="002601BB">
        <w:rPr>
          <w:lang w:val="en-GB"/>
        </w:rPr>
        <w:t>the historical environmental and social wins of previous policies</w:t>
      </w:r>
      <w:r w:rsidR="00C62E97" w:rsidRPr="002601BB">
        <w:rPr>
          <w:lang w:val="en-GB"/>
        </w:rPr>
        <w:t xml:space="preserve"> and </w:t>
      </w:r>
      <w:r w:rsidR="001074C3">
        <w:rPr>
          <w:lang w:val="en-GB"/>
        </w:rPr>
        <w:t xml:space="preserve">to </w:t>
      </w:r>
      <w:r w:rsidR="00C62E97" w:rsidRPr="002601BB">
        <w:rPr>
          <w:lang w:val="en-GB"/>
        </w:rPr>
        <w:t>mainstream</w:t>
      </w:r>
      <w:r w:rsidR="006D791D" w:rsidRPr="002601BB">
        <w:rPr>
          <w:lang w:val="en-GB"/>
        </w:rPr>
        <w:t xml:space="preserve"> recovery and</w:t>
      </w:r>
      <w:r w:rsidR="00C62E97" w:rsidRPr="002601BB">
        <w:rPr>
          <w:lang w:val="en-GB"/>
        </w:rPr>
        <w:t xml:space="preserve"> </w:t>
      </w:r>
      <w:r w:rsidR="006D791D" w:rsidRPr="002601BB">
        <w:rPr>
          <w:lang w:val="en-GB"/>
        </w:rPr>
        <w:t>r</w:t>
      </w:r>
      <w:r w:rsidR="00C62E97" w:rsidRPr="002601BB">
        <w:rPr>
          <w:lang w:val="en-GB"/>
        </w:rPr>
        <w:t xml:space="preserve">esponse </w:t>
      </w:r>
      <w:r w:rsidR="006D791D" w:rsidRPr="002601BB">
        <w:rPr>
          <w:lang w:val="en-GB"/>
        </w:rPr>
        <w:t>mechanisms to multiple threats and crises.</w:t>
      </w:r>
    </w:p>
    <w:p w14:paraId="63E6E060" w14:textId="77777777" w:rsidR="001D18E8" w:rsidRPr="002601BB" w:rsidRDefault="001D18E8" w:rsidP="001D3052">
      <w:pPr>
        <w:pStyle w:val="ListParagraph"/>
        <w:tabs>
          <w:tab w:val="left" w:pos="1620"/>
        </w:tabs>
        <w:spacing w:after="160" w:line="259" w:lineRule="auto"/>
        <w:ind w:left="1260" w:right="1750"/>
        <w:contextualSpacing/>
        <w:jc w:val="both"/>
        <w:rPr>
          <w:sz w:val="12"/>
          <w:szCs w:val="12"/>
          <w:lang w:val="en-GB"/>
        </w:rPr>
      </w:pPr>
    </w:p>
    <w:p w14:paraId="2B3AAE66" w14:textId="4D11D289" w:rsidR="001D18E8" w:rsidRPr="002601BB" w:rsidRDefault="001D18E8"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Slow economic recovery after </w:t>
      </w:r>
      <w:r w:rsidR="00765F24" w:rsidRPr="002601BB">
        <w:rPr>
          <w:lang w:val="en-GB"/>
        </w:rPr>
        <w:t xml:space="preserve">the </w:t>
      </w:r>
      <w:r w:rsidR="001F5C23" w:rsidRPr="002601BB">
        <w:rPr>
          <w:lang w:val="en-GB"/>
        </w:rPr>
        <w:t>COVID-</w:t>
      </w:r>
      <w:r w:rsidRPr="002601BB">
        <w:rPr>
          <w:lang w:val="en-GB"/>
        </w:rPr>
        <w:t xml:space="preserve">19 </w:t>
      </w:r>
      <w:r w:rsidR="001074C3">
        <w:rPr>
          <w:lang w:val="en-GB"/>
        </w:rPr>
        <w:t>pandemic</w:t>
      </w:r>
      <w:r w:rsidR="0062465C">
        <w:rPr>
          <w:lang w:val="en-GB"/>
        </w:rPr>
        <w:t>,</w:t>
      </w:r>
      <w:r w:rsidR="001074C3">
        <w:rPr>
          <w:lang w:val="en-GB"/>
        </w:rPr>
        <w:t xml:space="preserve"> </w:t>
      </w:r>
      <w:r w:rsidRPr="002601BB">
        <w:rPr>
          <w:lang w:val="en-GB"/>
        </w:rPr>
        <w:t xml:space="preserve">combined with </w:t>
      </w:r>
      <w:r w:rsidR="0098296F" w:rsidRPr="002601BB">
        <w:rPr>
          <w:lang w:val="en-GB"/>
        </w:rPr>
        <w:t xml:space="preserve">the </w:t>
      </w:r>
      <w:r w:rsidRPr="002601BB">
        <w:rPr>
          <w:lang w:val="en-GB"/>
        </w:rPr>
        <w:t>economic impacts of the war in Ukraine</w:t>
      </w:r>
      <w:r w:rsidR="0062465C">
        <w:rPr>
          <w:lang w:val="en-GB"/>
        </w:rPr>
        <w:t>,</w:t>
      </w:r>
      <w:r w:rsidRPr="002601BB">
        <w:rPr>
          <w:lang w:val="en-GB"/>
        </w:rPr>
        <w:t xml:space="preserve"> could lead to increased levels of poverty, reduced attraction </w:t>
      </w:r>
      <w:r w:rsidR="00EF54F7" w:rsidRPr="002601BB">
        <w:rPr>
          <w:lang w:val="en-GB"/>
        </w:rPr>
        <w:t>to</w:t>
      </w:r>
      <w:r w:rsidRPr="002601BB">
        <w:rPr>
          <w:lang w:val="en-GB"/>
        </w:rPr>
        <w:t xml:space="preserve"> foreign investment, </w:t>
      </w:r>
      <w:r w:rsidR="0098296F" w:rsidRPr="002601BB">
        <w:rPr>
          <w:lang w:val="en-GB"/>
        </w:rPr>
        <w:t xml:space="preserve">and </w:t>
      </w:r>
      <w:r w:rsidRPr="002601BB">
        <w:rPr>
          <w:lang w:val="en-GB"/>
        </w:rPr>
        <w:t>reduced earnings from tourism and commodities exports.</w:t>
      </w:r>
      <w:r w:rsidR="00E80022" w:rsidRPr="002601BB">
        <w:rPr>
          <w:lang w:val="en-GB"/>
        </w:rPr>
        <w:t xml:space="preserve"> </w:t>
      </w:r>
      <w:r w:rsidRPr="002601BB">
        <w:rPr>
          <w:lang w:val="en-GB"/>
        </w:rPr>
        <w:t xml:space="preserve">This would not only slow down the proposed transition towards green, blue and purple economic models but could </w:t>
      </w:r>
      <w:r w:rsidR="0025538F" w:rsidRPr="002601BB">
        <w:rPr>
          <w:lang w:val="en-GB"/>
        </w:rPr>
        <w:t>also increase social mistrust in institutions, increase social conflict,</w:t>
      </w:r>
      <w:r w:rsidRPr="002601BB">
        <w:rPr>
          <w:lang w:val="en-GB"/>
        </w:rPr>
        <w:t xml:space="preserve"> and </w:t>
      </w:r>
      <w:r w:rsidR="00E82DE9" w:rsidRPr="002601BB">
        <w:rPr>
          <w:lang w:val="en-GB"/>
        </w:rPr>
        <w:t xml:space="preserve">weaken </w:t>
      </w:r>
      <w:r w:rsidR="00CC4C9C" w:rsidRPr="002601BB">
        <w:rPr>
          <w:lang w:val="en-GB"/>
        </w:rPr>
        <w:t xml:space="preserve">overall </w:t>
      </w:r>
      <w:r w:rsidR="00E82DE9" w:rsidRPr="002601BB">
        <w:rPr>
          <w:lang w:val="en-GB"/>
        </w:rPr>
        <w:t>democracy</w:t>
      </w:r>
      <w:r w:rsidRPr="002601BB">
        <w:rPr>
          <w:lang w:val="en-GB"/>
        </w:rPr>
        <w:t>.</w:t>
      </w:r>
      <w:r w:rsidR="00E80022" w:rsidRPr="002601BB">
        <w:rPr>
          <w:lang w:val="en-GB"/>
        </w:rPr>
        <w:t xml:space="preserve"> </w:t>
      </w:r>
      <w:r w:rsidR="0092173B" w:rsidRPr="002601BB">
        <w:rPr>
          <w:lang w:val="en-GB"/>
        </w:rPr>
        <w:t>UNDP will strengthen spaces and participatory mechanisms for democratic dialogue and conflict management</w:t>
      </w:r>
      <w:r w:rsidR="0025538F" w:rsidRPr="002601BB">
        <w:rPr>
          <w:lang w:val="en-GB"/>
        </w:rPr>
        <w:t xml:space="preserve"> and</w:t>
      </w:r>
      <w:r w:rsidR="0092173B" w:rsidRPr="002601BB">
        <w:rPr>
          <w:lang w:val="en-GB"/>
        </w:rPr>
        <w:t xml:space="preserve"> </w:t>
      </w:r>
      <w:r w:rsidR="009C71A9" w:rsidRPr="002601BB">
        <w:rPr>
          <w:lang w:val="en-GB"/>
        </w:rPr>
        <w:t xml:space="preserve">promote </w:t>
      </w:r>
      <w:r w:rsidR="0092173B" w:rsidRPr="002601BB">
        <w:rPr>
          <w:lang w:val="en-GB"/>
        </w:rPr>
        <w:t>transparency and accountability</w:t>
      </w:r>
      <w:r w:rsidR="00CC13C8" w:rsidRPr="002601BB">
        <w:rPr>
          <w:lang w:val="en-GB"/>
        </w:rPr>
        <w:t xml:space="preserve"> to avoid and alleviate </w:t>
      </w:r>
      <w:r w:rsidR="0052589D">
        <w:rPr>
          <w:lang w:val="en-GB"/>
        </w:rPr>
        <w:t xml:space="preserve">any </w:t>
      </w:r>
      <w:r w:rsidR="00CC13C8" w:rsidRPr="002601BB">
        <w:rPr>
          <w:lang w:val="en-GB"/>
        </w:rPr>
        <w:t>negative impacts</w:t>
      </w:r>
      <w:r w:rsidR="0092173B" w:rsidRPr="002601BB">
        <w:rPr>
          <w:lang w:val="en-GB"/>
        </w:rPr>
        <w:t>.</w:t>
      </w:r>
    </w:p>
    <w:p w14:paraId="05414BA3" w14:textId="77777777" w:rsidR="001D18E8" w:rsidRPr="002601BB" w:rsidRDefault="001D18E8" w:rsidP="001D3052">
      <w:pPr>
        <w:pStyle w:val="ListParagraph"/>
        <w:tabs>
          <w:tab w:val="left" w:pos="1620"/>
        </w:tabs>
        <w:spacing w:after="160" w:line="259" w:lineRule="auto"/>
        <w:ind w:left="1260" w:right="1750"/>
        <w:contextualSpacing/>
        <w:jc w:val="both"/>
        <w:rPr>
          <w:sz w:val="12"/>
          <w:szCs w:val="12"/>
          <w:lang w:val="en-GB"/>
        </w:rPr>
      </w:pPr>
    </w:p>
    <w:p w14:paraId="34FF51C1" w14:textId="715783AB" w:rsidR="001D18E8" w:rsidRPr="002601BB" w:rsidRDefault="001D18E8"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 xml:space="preserve">The </w:t>
      </w:r>
      <w:r w:rsidR="0021040F" w:rsidRPr="002601BB">
        <w:rPr>
          <w:lang w:val="en-GB"/>
        </w:rPr>
        <w:t xml:space="preserve">country’s </w:t>
      </w:r>
      <w:r w:rsidRPr="002601BB">
        <w:rPr>
          <w:lang w:val="en-GB"/>
        </w:rPr>
        <w:t xml:space="preserve">high vulnerability to multiple threats and natural hazards could trigger an emergency that surpasses institutional </w:t>
      </w:r>
      <w:r w:rsidR="009C71A9" w:rsidRPr="002601BB">
        <w:rPr>
          <w:lang w:val="en-GB"/>
        </w:rPr>
        <w:t>response capacity</w:t>
      </w:r>
      <w:r w:rsidRPr="002601BB">
        <w:rPr>
          <w:lang w:val="en-GB"/>
        </w:rPr>
        <w:t>.</w:t>
      </w:r>
      <w:r w:rsidR="00E80022" w:rsidRPr="002601BB">
        <w:rPr>
          <w:lang w:val="en-GB"/>
        </w:rPr>
        <w:t xml:space="preserve"> </w:t>
      </w:r>
      <w:r w:rsidR="00AB47F1" w:rsidRPr="002601BB">
        <w:rPr>
          <w:lang w:val="en-GB"/>
        </w:rPr>
        <w:t xml:space="preserve">Starting with pilots, </w:t>
      </w:r>
      <w:r w:rsidRPr="002601BB">
        <w:rPr>
          <w:lang w:val="en-GB"/>
        </w:rPr>
        <w:t>UNDP will invest in disaster risk prevention, early warning, and preparedness in all interventions</w:t>
      </w:r>
      <w:r w:rsidR="00EF4F8A">
        <w:rPr>
          <w:lang w:val="en-GB"/>
        </w:rPr>
        <w:t>,</w:t>
      </w:r>
      <w:r w:rsidRPr="002601BB">
        <w:rPr>
          <w:lang w:val="en-GB"/>
        </w:rPr>
        <w:t xml:space="preserve"> ensuring central and local governments can improve </w:t>
      </w:r>
      <w:r w:rsidR="00C33608" w:rsidRPr="002601BB">
        <w:rPr>
          <w:lang w:val="en-GB"/>
        </w:rPr>
        <w:t xml:space="preserve">internal and transboundary </w:t>
      </w:r>
      <w:r w:rsidRPr="002601BB">
        <w:rPr>
          <w:lang w:val="en-GB"/>
        </w:rPr>
        <w:t xml:space="preserve">coordination </w:t>
      </w:r>
      <w:r w:rsidR="002C3555">
        <w:rPr>
          <w:lang w:val="en-GB"/>
        </w:rPr>
        <w:t>and put risk transfer mechanisms in place</w:t>
      </w:r>
      <w:r w:rsidRPr="002601BB">
        <w:rPr>
          <w:lang w:val="en-GB"/>
        </w:rPr>
        <w:t xml:space="preserve"> to build back better. </w:t>
      </w:r>
      <w:r w:rsidR="00EF4F8A">
        <w:rPr>
          <w:lang w:val="en-GB"/>
        </w:rPr>
        <w:t>Ensuring i</w:t>
      </w:r>
      <w:r w:rsidRPr="002601BB">
        <w:rPr>
          <w:lang w:val="en-GB"/>
        </w:rPr>
        <w:t>nternational coordination with U</w:t>
      </w:r>
      <w:r w:rsidR="00C83E2B" w:rsidRPr="002601BB">
        <w:rPr>
          <w:lang w:val="en-GB"/>
        </w:rPr>
        <w:t xml:space="preserve">nited </w:t>
      </w:r>
      <w:r w:rsidRPr="002601BB">
        <w:rPr>
          <w:lang w:val="en-GB"/>
        </w:rPr>
        <w:t>N</w:t>
      </w:r>
      <w:r w:rsidR="00C83E2B" w:rsidRPr="002601BB">
        <w:rPr>
          <w:lang w:val="en-GB"/>
        </w:rPr>
        <w:t>ations</w:t>
      </w:r>
      <w:r w:rsidRPr="002601BB">
        <w:rPr>
          <w:lang w:val="en-GB"/>
        </w:rPr>
        <w:t xml:space="preserve"> </w:t>
      </w:r>
      <w:r w:rsidR="00EF4F8A" w:rsidRPr="002601BB">
        <w:rPr>
          <w:lang w:val="en-GB"/>
        </w:rPr>
        <w:t>speciali</w:t>
      </w:r>
      <w:r w:rsidR="00014BBA">
        <w:rPr>
          <w:lang w:val="en-GB"/>
        </w:rPr>
        <w:t>s</w:t>
      </w:r>
      <w:r w:rsidR="00EF4F8A" w:rsidRPr="002601BB">
        <w:rPr>
          <w:lang w:val="en-GB"/>
        </w:rPr>
        <w:t xml:space="preserve">ed </w:t>
      </w:r>
      <w:r w:rsidRPr="002601BB">
        <w:rPr>
          <w:lang w:val="en-GB"/>
        </w:rPr>
        <w:t xml:space="preserve">agencies and </w:t>
      </w:r>
      <w:r w:rsidR="00822D26" w:rsidRPr="002601BB">
        <w:rPr>
          <w:lang w:val="en-GB"/>
        </w:rPr>
        <w:t>strengthening</w:t>
      </w:r>
      <w:r w:rsidRPr="002601BB">
        <w:rPr>
          <w:lang w:val="en-GB"/>
        </w:rPr>
        <w:t xml:space="preserve"> the inter-agency emergency response mechanisms from the start of the</w:t>
      </w:r>
      <w:r w:rsidR="00EF4F8A">
        <w:rPr>
          <w:lang w:val="en-GB"/>
        </w:rPr>
        <w:t xml:space="preserve"> </w:t>
      </w:r>
      <w:r w:rsidRPr="002601BB">
        <w:rPr>
          <w:lang w:val="en-GB"/>
        </w:rPr>
        <w:t xml:space="preserve">programme cycle will be crucial for </w:t>
      </w:r>
      <w:r w:rsidR="00822D26" w:rsidRPr="002601BB">
        <w:rPr>
          <w:lang w:val="en-GB"/>
        </w:rPr>
        <w:t xml:space="preserve">the </w:t>
      </w:r>
      <w:r w:rsidRPr="002601BB">
        <w:rPr>
          <w:lang w:val="en-GB"/>
        </w:rPr>
        <w:t>quick deployment of resources in times of crisis and early recovery.</w:t>
      </w:r>
    </w:p>
    <w:p w14:paraId="41F03307" w14:textId="77777777" w:rsidR="001D18E8" w:rsidRPr="002601BB" w:rsidRDefault="001D18E8" w:rsidP="001D3052">
      <w:pPr>
        <w:pStyle w:val="ListParagraph"/>
        <w:tabs>
          <w:tab w:val="left" w:pos="1620"/>
        </w:tabs>
        <w:spacing w:after="160" w:line="259" w:lineRule="auto"/>
        <w:ind w:left="1260" w:right="1750"/>
        <w:contextualSpacing/>
        <w:jc w:val="both"/>
        <w:rPr>
          <w:sz w:val="12"/>
          <w:szCs w:val="12"/>
          <w:lang w:val="en-GB" w:eastAsia="x-none"/>
        </w:rPr>
      </w:pPr>
    </w:p>
    <w:p w14:paraId="36E26C2F" w14:textId="45633DFE" w:rsidR="001D18E8" w:rsidRPr="002601BB" w:rsidRDefault="00EF4F8A" w:rsidP="0074417D">
      <w:pPr>
        <w:pStyle w:val="ListParagraph"/>
        <w:numPr>
          <w:ilvl w:val="0"/>
          <w:numId w:val="1"/>
        </w:numPr>
        <w:tabs>
          <w:tab w:val="left" w:pos="1800"/>
        </w:tabs>
        <w:spacing w:after="160" w:line="259" w:lineRule="auto"/>
        <w:ind w:left="1440" w:right="1210" w:firstLine="0"/>
        <w:contextualSpacing/>
        <w:jc w:val="both"/>
        <w:rPr>
          <w:lang w:val="en-GB"/>
        </w:rPr>
      </w:pPr>
      <w:r>
        <w:rPr>
          <w:lang w:val="en-GB" w:eastAsia="x-none"/>
        </w:rPr>
        <w:t xml:space="preserve">The </w:t>
      </w:r>
      <w:r w:rsidR="001D18E8" w:rsidRPr="002601BB">
        <w:rPr>
          <w:lang w:val="en-GB" w:eastAsia="x-none"/>
        </w:rPr>
        <w:t xml:space="preserve">UNDP accountability framework underscores </w:t>
      </w:r>
      <w:r w:rsidR="0021040F" w:rsidRPr="002601BB">
        <w:rPr>
          <w:lang w:val="en-GB" w:eastAsia="x-none"/>
        </w:rPr>
        <w:t>its</w:t>
      </w:r>
      <w:r w:rsidR="001D18E8" w:rsidRPr="002601BB">
        <w:rPr>
          <w:lang w:val="en-GB" w:eastAsia="x-none"/>
        </w:rPr>
        <w:t xml:space="preserve"> commitment to results and risk-based performance management, as well as shared values and </w:t>
      </w:r>
      <w:r w:rsidR="0021040F" w:rsidRPr="002601BB">
        <w:rPr>
          <w:lang w:val="en-GB" w:eastAsia="x-none"/>
        </w:rPr>
        <w:t xml:space="preserve">a </w:t>
      </w:r>
      <w:r w:rsidR="001D18E8" w:rsidRPr="002601BB">
        <w:rPr>
          <w:lang w:val="en-GB" w:eastAsia="x-none"/>
        </w:rPr>
        <w:t xml:space="preserve">culture of accountability </w:t>
      </w:r>
      <w:r w:rsidR="001D18E8" w:rsidRPr="002601BB">
        <w:rPr>
          <w:lang w:val="en-GB"/>
        </w:rPr>
        <w:t>and</w:t>
      </w:r>
      <w:r w:rsidR="001D18E8" w:rsidRPr="002601BB">
        <w:rPr>
          <w:lang w:val="en-GB" w:eastAsia="x-none"/>
        </w:rPr>
        <w:t xml:space="preserve"> transparency</w:t>
      </w:r>
      <w:r w:rsidR="00862B21" w:rsidRPr="002601BB">
        <w:rPr>
          <w:lang w:val="en-GB" w:eastAsia="x-none"/>
        </w:rPr>
        <w:t xml:space="preserve">, following </w:t>
      </w:r>
      <w:r>
        <w:rPr>
          <w:lang w:val="en-GB" w:eastAsia="x-none"/>
        </w:rPr>
        <w:t xml:space="preserve">the </w:t>
      </w:r>
      <w:r w:rsidR="00862B21" w:rsidRPr="002601BB">
        <w:rPr>
          <w:lang w:val="en-GB" w:eastAsia="x-none"/>
        </w:rPr>
        <w:t xml:space="preserve">UNDP </w:t>
      </w:r>
      <w:r>
        <w:rPr>
          <w:lang w:val="en-GB" w:eastAsia="x-none"/>
        </w:rPr>
        <w:t>e</w:t>
      </w:r>
      <w:r w:rsidR="00862B21" w:rsidRPr="002601BB">
        <w:rPr>
          <w:lang w:val="en-GB" w:eastAsia="x-none"/>
        </w:rPr>
        <w:t xml:space="preserve">nterprise </w:t>
      </w:r>
      <w:r>
        <w:rPr>
          <w:lang w:val="en-GB" w:eastAsia="x-none"/>
        </w:rPr>
        <w:t>r</w:t>
      </w:r>
      <w:r w:rsidR="00862B21" w:rsidRPr="002601BB">
        <w:rPr>
          <w:lang w:val="en-GB" w:eastAsia="x-none"/>
        </w:rPr>
        <w:t xml:space="preserve">isk </w:t>
      </w:r>
      <w:r>
        <w:rPr>
          <w:lang w:val="en-GB" w:eastAsia="x-none"/>
        </w:rPr>
        <w:t>m</w:t>
      </w:r>
      <w:r w:rsidR="00862B21" w:rsidRPr="002601BB">
        <w:rPr>
          <w:lang w:val="en-GB" w:eastAsia="x-none"/>
        </w:rPr>
        <w:t xml:space="preserve">anagement </w:t>
      </w:r>
      <w:r>
        <w:rPr>
          <w:lang w:val="en-GB" w:eastAsia="x-none"/>
        </w:rPr>
        <w:t>p</w:t>
      </w:r>
      <w:r w:rsidR="00862B21" w:rsidRPr="002601BB">
        <w:rPr>
          <w:lang w:val="en-GB" w:eastAsia="x-none"/>
        </w:rPr>
        <w:t>olicy</w:t>
      </w:r>
      <w:r w:rsidR="001D18E8" w:rsidRPr="002601BB">
        <w:rPr>
          <w:lang w:val="en-GB"/>
        </w:rPr>
        <w:t>.</w:t>
      </w:r>
      <w:r w:rsidR="00E80022" w:rsidRPr="002601BB">
        <w:rPr>
          <w:lang w:val="en-GB"/>
        </w:rPr>
        <w:t xml:space="preserve"> </w:t>
      </w:r>
      <w:r w:rsidR="001D18E8" w:rsidRPr="002601BB">
        <w:rPr>
          <w:lang w:val="en-GB"/>
        </w:rPr>
        <w:t xml:space="preserve">The UNDP </w:t>
      </w:r>
      <w:r>
        <w:rPr>
          <w:lang w:val="en-GB"/>
        </w:rPr>
        <w:t>s</w:t>
      </w:r>
      <w:r w:rsidR="001D18E8" w:rsidRPr="002601BB">
        <w:rPr>
          <w:lang w:val="en-GB"/>
        </w:rPr>
        <w:t xml:space="preserve">ocial and </w:t>
      </w:r>
      <w:r>
        <w:rPr>
          <w:lang w:val="en-GB"/>
        </w:rPr>
        <w:t>e</w:t>
      </w:r>
      <w:r w:rsidR="001D18E8" w:rsidRPr="002601BB">
        <w:rPr>
          <w:lang w:val="en-GB"/>
        </w:rPr>
        <w:t xml:space="preserve">nvironmental </w:t>
      </w:r>
      <w:r>
        <w:rPr>
          <w:lang w:val="en-GB"/>
        </w:rPr>
        <w:t>s</w:t>
      </w:r>
      <w:r w:rsidR="001D18E8" w:rsidRPr="002601BB">
        <w:rPr>
          <w:lang w:val="en-GB"/>
        </w:rPr>
        <w:t xml:space="preserve">tandards and </w:t>
      </w:r>
      <w:r>
        <w:rPr>
          <w:lang w:val="en-GB"/>
        </w:rPr>
        <w:t>a</w:t>
      </w:r>
      <w:r w:rsidR="001D18E8" w:rsidRPr="002601BB">
        <w:rPr>
          <w:lang w:val="en-GB"/>
        </w:rPr>
        <w:t xml:space="preserve">ccountability </w:t>
      </w:r>
      <w:r>
        <w:rPr>
          <w:lang w:val="en-GB"/>
        </w:rPr>
        <w:t>m</w:t>
      </w:r>
      <w:r w:rsidR="001D18E8" w:rsidRPr="002601BB">
        <w:rPr>
          <w:lang w:val="en-GB"/>
        </w:rPr>
        <w:t xml:space="preserve">echanism will be applied to all </w:t>
      </w:r>
      <w:r w:rsidR="00822D26" w:rsidRPr="002601BB">
        <w:rPr>
          <w:lang w:val="en-GB"/>
        </w:rPr>
        <w:t>programme interventions, including</w:t>
      </w:r>
      <w:r w:rsidR="001D18E8" w:rsidRPr="002601BB">
        <w:rPr>
          <w:lang w:val="en-GB"/>
        </w:rPr>
        <w:t xml:space="preserve"> </w:t>
      </w:r>
      <w:r w:rsidR="00656173" w:rsidRPr="002601BB">
        <w:rPr>
          <w:lang w:val="en-GB"/>
        </w:rPr>
        <w:t xml:space="preserve">a </w:t>
      </w:r>
      <w:r>
        <w:rPr>
          <w:lang w:val="en-GB"/>
        </w:rPr>
        <w:t>s</w:t>
      </w:r>
      <w:r w:rsidR="001D18E8" w:rsidRPr="002601BB">
        <w:rPr>
          <w:lang w:val="en-GB"/>
        </w:rPr>
        <w:t xml:space="preserve">takeholder </w:t>
      </w:r>
      <w:r>
        <w:rPr>
          <w:lang w:val="en-GB"/>
        </w:rPr>
        <w:t>r</w:t>
      </w:r>
      <w:r w:rsidR="001D18E8" w:rsidRPr="002601BB">
        <w:rPr>
          <w:lang w:val="en-GB"/>
        </w:rPr>
        <w:t xml:space="preserve">esponse </w:t>
      </w:r>
      <w:r>
        <w:rPr>
          <w:lang w:val="en-GB"/>
        </w:rPr>
        <w:t>m</w:t>
      </w:r>
      <w:r w:rsidR="001D18E8" w:rsidRPr="002601BB">
        <w:rPr>
          <w:lang w:val="en-GB"/>
        </w:rPr>
        <w:t>echanism.</w:t>
      </w:r>
      <w:r w:rsidR="00E80022" w:rsidRPr="002601BB">
        <w:rPr>
          <w:lang w:val="en-GB"/>
        </w:rPr>
        <w:t xml:space="preserve"> </w:t>
      </w:r>
      <w:r w:rsidR="001D18E8" w:rsidRPr="002601BB">
        <w:rPr>
          <w:lang w:val="en-GB"/>
        </w:rPr>
        <w:t xml:space="preserve">To update and manage grievance mechanisms, UNDP will continuously update stakeholder mapping to identify stakeholders who </w:t>
      </w:r>
      <w:r w:rsidR="00822D26" w:rsidRPr="002601BB">
        <w:rPr>
          <w:lang w:val="en-GB"/>
        </w:rPr>
        <w:t>do not benefit from interventions or</w:t>
      </w:r>
      <w:r w:rsidR="001D18E8" w:rsidRPr="002601BB">
        <w:rPr>
          <w:lang w:val="en-GB"/>
        </w:rPr>
        <w:t xml:space="preserve"> </w:t>
      </w:r>
      <w:r w:rsidR="00656173" w:rsidRPr="002601BB">
        <w:rPr>
          <w:lang w:val="en-GB"/>
        </w:rPr>
        <w:t>conflict with</w:t>
      </w:r>
      <w:r w:rsidR="001D18E8" w:rsidRPr="002601BB">
        <w:rPr>
          <w:lang w:val="en-GB"/>
        </w:rPr>
        <w:t xml:space="preserve"> programming. This will </w:t>
      </w:r>
      <w:r w:rsidR="00EC6090" w:rsidRPr="002601BB">
        <w:rPr>
          <w:lang w:val="en-GB"/>
        </w:rPr>
        <w:t>create measures for conflict resolution and</w:t>
      </w:r>
      <w:r w:rsidR="001D18E8" w:rsidRPr="002601BB">
        <w:rPr>
          <w:lang w:val="en-GB"/>
        </w:rPr>
        <w:t xml:space="preserve"> ensure no one is left behind.</w:t>
      </w:r>
      <w:r w:rsidR="00E80022" w:rsidRPr="002601BB">
        <w:rPr>
          <w:lang w:val="en-GB"/>
        </w:rPr>
        <w:t xml:space="preserve"> </w:t>
      </w:r>
      <w:r w:rsidR="001D18E8" w:rsidRPr="002601BB">
        <w:rPr>
          <w:lang w:val="en-GB"/>
        </w:rPr>
        <w:t>This will be particularly important for programmes related to indigenous peoples and payment for ecosystem services,</w:t>
      </w:r>
      <w:r w:rsidR="00E1523A" w:rsidRPr="002601BB">
        <w:rPr>
          <w:lang w:val="en-GB"/>
        </w:rPr>
        <w:t xml:space="preserve"> which UNDP </w:t>
      </w:r>
      <w:r w:rsidR="00E80022" w:rsidRPr="002601BB">
        <w:rPr>
          <w:lang w:val="en-GB"/>
        </w:rPr>
        <w:t>recogni</w:t>
      </w:r>
      <w:r>
        <w:rPr>
          <w:lang w:val="en-GB"/>
        </w:rPr>
        <w:t>z</w:t>
      </w:r>
      <w:r w:rsidR="00E80022" w:rsidRPr="002601BB">
        <w:rPr>
          <w:lang w:val="en-GB"/>
        </w:rPr>
        <w:t xml:space="preserve">es </w:t>
      </w:r>
      <w:r w:rsidR="00E1523A" w:rsidRPr="002601BB">
        <w:rPr>
          <w:lang w:val="en-GB"/>
        </w:rPr>
        <w:t xml:space="preserve">will require </w:t>
      </w:r>
      <w:r w:rsidR="001D18E8" w:rsidRPr="002601BB">
        <w:rPr>
          <w:lang w:val="en-GB"/>
        </w:rPr>
        <w:t xml:space="preserve">information and timely, inclusive participation in consultations and decision-making processes that may affect </w:t>
      </w:r>
      <w:r w:rsidR="00E1523A" w:rsidRPr="002601BB">
        <w:rPr>
          <w:lang w:val="en-GB"/>
        </w:rPr>
        <w:t xml:space="preserve">beneficiaries’ </w:t>
      </w:r>
      <w:r w:rsidR="001D18E8" w:rsidRPr="002601BB">
        <w:rPr>
          <w:lang w:val="en-GB"/>
        </w:rPr>
        <w:t xml:space="preserve">livelihoods or the ecosystems on which they depend. </w:t>
      </w:r>
    </w:p>
    <w:p w14:paraId="275D1C58" w14:textId="77777777" w:rsidR="001D18E8" w:rsidRPr="002601BB" w:rsidRDefault="001D18E8" w:rsidP="001D3052">
      <w:pPr>
        <w:pStyle w:val="ListParagraph"/>
        <w:tabs>
          <w:tab w:val="left" w:pos="1620"/>
        </w:tabs>
        <w:spacing w:after="160" w:line="259" w:lineRule="auto"/>
        <w:ind w:left="1260" w:right="1750"/>
        <w:contextualSpacing/>
        <w:jc w:val="both"/>
        <w:rPr>
          <w:sz w:val="12"/>
          <w:szCs w:val="12"/>
          <w:lang w:val="en-GB"/>
        </w:rPr>
      </w:pPr>
    </w:p>
    <w:p w14:paraId="3A152A92" w14:textId="0B4E1151" w:rsidR="001D18E8" w:rsidRPr="002601BB" w:rsidRDefault="001D18E8"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sidRPr="002601BB">
        <w:rPr>
          <w:lang w:val="en-GB"/>
        </w:rPr>
        <w:t xml:space="preserve">The </w:t>
      </w:r>
      <w:r w:rsidR="00D0276A">
        <w:rPr>
          <w:lang w:val="en-GB"/>
        </w:rPr>
        <w:t xml:space="preserve">UNDP </w:t>
      </w:r>
      <w:r w:rsidRPr="002601BB">
        <w:rPr>
          <w:lang w:val="en-GB"/>
        </w:rPr>
        <w:t xml:space="preserve">oversight policy includes the </w:t>
      </w:r>
      <w:r w:rsidR="00E80022" w:rsidRPr="002601BB">
        <w:rPr>
          <w:lang w:val="en-GB"/>
        </w:rPr>
        <w:t>organi</w:t>
      </w:r>
      <w:r w:rsidR="00D0276A">
        <w:rPr>
          <w:lang w:val="en-GB"/>
        </w:rPr>
        <w:t>z</w:t>
      </w:r>
      <w:r w:rsidR="00E80022" w:rsidRPr="002601BB">
        <w:rPr>
          <w:lang w:val="en-GB"/>
        </w:rPr>
        <w:t xml:space="preserve">ation </w:t>
      </w:r>
      <w:r w:rsidRPr="002601BB">
        <w:rPr>
          <w:lang w:val="en-GB"/>
        </w:rPr>
        <w:t xml:space="preserve">of independent internal and external oversight to provide assurances that functional systems of internal controls are in </w:t>
      </w:r>
      <w:r w:rsidRPr="002601BB">
        <w:rPr>
          <w:lang w:val="en-GB"/>
        </w:rPr>
        <w:lastRenderedPageBreak/>
        <w:t xml:space="preserve">place, including evaluation of the policy framework, efficient </w:t>
      </w:r>
      <w:r w:rsidR="00E80022" w:rsidRPr="002601BB">
        <w:rPr>
          <w:lang w:val="en-GB"/>
        </w:rPr>
        <w:t>utili</w:t>
      </w:r>
      <w:r w:rsidR="00014BBA">
        <w:rPr>
          <w:lang w:val="en-GB"/>
        </w:rPr>
        <w:t>s</w:t>
      </w:r>
      <w:r w:rsidR="00E80022" w:rsidRPr="002601BB">
        <w:rPr>
          <w:lang w:val="en-GB"/>
        </w:rPr>
        <w:t xml:space="preserve">ation </w:t>
      </w:r>
      <w:r w:rsidRPr="002601BB">
        <w:rPr>
          <w:lang w:val="en-GB"/>
        </w:rPr>
        <w:t>of resources, and adherence to professional and ethical standards in UNDP.</w:t>
      </w:r>
      <w:r w:rsidR="00E80022" w:rsidRPr="002601BB">
        <w:rPr>
          <w:lang w:val="en-GB"/>
        </w:rPr>
        <w:t xml:space="preserve"> </w:t>
      </w:r>
      <w:r w:rsidRPr="002601BB">
        <w:rPr>
          <w:lang w:val="en-GB"/>
        </w:rPr>
        <w:t xml:space="preserve">This is particularly important in </w:t>
      </w:r>
      <w:r w:rsidR="00FC5B98" w:rsidRPr="002601BB">
        <w:rPr>
          <w:lang w:val="en-GB"/>
        </w:rPr>
        <w:t>managing</w:t>
      </w:r>
      <w:r w:rsidRPr="002601BB">
        <w:rPr>
          <w:lang w:val="en-GB"/>
        </w:rPr>
        <w:t xml:space="preserve"> environmental vertical funds, especially </w:t>
      </w:r>
      <w:r w:rsidR="00D0276A">
        <w:rPr>
          <w:lang w:val="en-GB"/>
        </w:rPr>
        <w:t xml:space="preserve">with regard to </w:t>
      </w:r>
      <w:r w:rsidR="00EF54F7" w:rsidRPr="002601BB">
        <w:rPr>
          <w:lang w:val="en-GB"/>
        </w:rPr>
        <w:t>separating</w:t>
      </w:r>
      <w:r w:rsidRPr="002601BB">
        <w:rPr>
          <w:lang w:val="en-GB"/>
        </w:rPr>
        <w:t xml:space="preserve"> functions between oversight and execution roles of associated projects, as </w:t>
      </w:r>
      <w:r w:rsidR="00D0276A">
        <w:rPr>
          <w:lang w:val="en-GB"/>
        </w:rPr>
        <w:t xml:space="preserve">UNDP </w:t>
      </w:r>
      <w:r w:rsidRPr="002601BB">
        <w:rPr>
          <w:lang w:val="en-GB"/>
        </w:rPr>
        <w:t>employ</w:t>
      </w:r>
      <w:r w:rsidR="00E1523A" w:rsidRPr="002601BB">
        <w:rPr>
          <w:lang w:val="en-GB"/>
        </w:rPr>
        <w:t>s</w:t>
      </w:r>
      <w:r w:rsidRPr="002601BB">
        <w:rPr>
          <w:lang w:val="en-GB"/>
        </w:rPr>
        <w:t xml:space="preserve"> more implementation partners in the new programming cycle.</w:t>
      </w:r>
    </w:p>
    <w:p w14:paraId="2440D409" w14:textId="50633710" w:rsidR="00701B6B" w:rsidRPr="002601BB" w:rsidRDefault="001D42D1" w:rsidP="0074417D">
      <w:pPr>
        <w:pStyle w:val="Heading1"/>
        <w:numPr>
          <w:ilvl w:val="0"/>
          <w:numId w:val="3"/>
        </w:numPr>
        <w:tabs>
          <w:tab w:val="left" w:pos="1800"/>
        </w:tabs>
        <w:ind w:left="1440" w:right="1267" w:hanging="450"/>
        <w:jc w:val="both"/>
        <w:rPr>
          <w:rFonts w:ascii="Times New Roman" w:hAnsi="Times New Roman"/>
          <w:color w:val="000000"/>
          <w:sz w:val="24"/>
          <w:szCs w:val="24"/>
          <w:lang w:val="en-GB"/>
        </w:rPr>
      </w:pPr>
      <w:r w:rsidRPr="002601BB">
        <w:rPr>
          <w:rFonts w:ascii="Times New Roman" w:hAnsi="Times New Roman"/>
          <w:color w:val="000000"/>
          <w:sz w:val="24"/>
          <w:szCs w:val="24"/>
          <w:lang w:val="en-GB"/>
        </w:rPr>
        <w:t xml:space="preserve">Monitoring and </w:t>
      </w:r>
      <w:r w:rsidR="009D1275" w:rsidRPr="002601BB">
        <w:rPr>
          <w:rFonts w:ascii="Times New Roman" w:hAnsi="Times New Roman"/>
          <w:color w:val="000000"/>
          <w:sz w:val="24"/>
          <w:szCs w:val="24"/>
          <w:lang w:val="en-GB"/>
        </w:rPr>
        <w:t>e</w:t>
      </w:r>
      <w:r w:rsidR="001B3F87" w:rsidRPr="002601BB">
        <w:rPr>
          <w:rFonts w:ascii="Times New Roman" w:hAnsi="Times New Roman"/>
          <w:color w:val="000000"/>
          <w:sz w:val="24"/>
          <w:szCs w:val="24"/>
          <w:lang w:val="en-GB"/>
        </w:rPr>
        <w:t>valuation</w:t>
      </w:r>
    </w:p>
    <w:p w14:paraId="459B34CB" w14:textId="77777777" w:rsidR="00B55113" w:rsidRPr="002601BB" w:rsidRDefault="00B55113" w:rsidP="001D3052">
      <w:pPr>
        <w:pStyle w:val="ListParagraph"/>
        <w:tabs>
          <w:tab w:val="left" w:pos="1620"/>
        </w:tabs>
        <w:spacing w:after="160" w:line="259" w:lineRule="auto"/>
        <w:ind w:left="1260" w:right="1750"/>
        <w:contextualSpacing/>
        <w:jc w:val="both"/>
        <w:rPr>
          <w:lang w:val="en-GB" w:eastAsia="x-none"/>
        </w:rPr>
      </w:pPr>
    </w:p>
    <w:p w14:paraId="6E71EA1D" w14:textId="5601C806" w:rsidR="004517D0" w:rsidRPr="002601BB" w:rsidRDefault="00ED6090"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In coordination with</w:t>
      </w:r>
      <w:r w:rsidR="00896761" w:rsidRPr="002601BB">
        <w:rPr>
          <w:lang w:val="en-GB"/>
        </w:rPr>
        <w:t xml:space="preserve"> </w:t>
      </w:r>
      <w:r w:rsidR="00E551A3" w:rsidRPr="002601BB">
        <w:rPr>
          <w:lang w:val="en-GB"/>
        </w:rPr>
        <w:t>MRE and MIDEPLAN</w:t>
      </w:r>
      <w:r w:rsidR="00DE698E" w:rsidRPr="002601BB">
        <w:rPr>
          <w:lang w:val="en-GB"/>
        </w:rPr>
        <w:t xml:space="preserve">, UNDP </w:t>
      </w:r>
      <w:r w:rsidR="00095384" w:rsidRPr="002601BB">
        <w:rPr>
          <w:lang w:val="en-GB"/>
        </w:rPr>
        <w:t xml:space="preserve">will </w:t>
      </w:r>
      <w:r w:rsidR="003E032C" w:rsidRPr="002601BB">
        <w:rPr>
          <w:lang w:val="en-GB"/>
        </w:rPr>
        <w:t>effectively</w:t>
      </w:r>
      <w:r w:rsidR="00726457" w:rsidRPr="002601BB">
        <w:rPr>
          <w:lang w:val="en-GB"/>
        </w:rPr>
        <w:t xml:space="preserve"> </w:t>
      </w:r>
      <w:r w:rsidR="00095384" w:rsidRPr="002601BB">
        <w:rPr>
          <w:lang w:val="en-GB"/>
        </w:rPr>
        <w:t>follow</w:t>
      </w:r>
      <w:r w:rsidR="0002557F" w:rsidRPr="002601BB">
        <w:rPr>
          <w:lang w:val="en-GB"/>
        </w:rPr>
        <w:t xml:space="preserve"> up on</w:t>
      </w:r>
      <w:r w:rsidR="00330EBA" w:rsidRPr="002601BB">
        <w:rPr>
          <w:lang w:val="en-GB"/>
        </w:rPr>
        <w:t xml:space="preserve"> the commitments of this programme.</w:t>
      </w:r>
      <w:r w:rsidR="00E80022" w:rsidRPr="002601BB">
        <w:rPr>
          <w:lang w:val="en-GB"/>
        </w:rPr>
        <w:t xml:space="preserve"> </w:t>
      </w:r>
      <w:r w:rsidR="001643D8" w:rsidRPr="002601BB">
        <w:rPr>
          <w:lang w:val="en-GB"/>
        </w:rPr>
        <w:t xml:space="preserve">For that purpose, </w:t>
      </w:r>
      <w:r w:rsidR="00B509BA" w:rsidRPr="002601BB">
        <w:rPr>
          <w:lang w:val="en-GB"/>
        </w:rPr>
        <w:t xml:space="preserve">the </w:t>
      </w:r>
      <w:r w:rsidR="00155F58" w:rsidRPr="002601BB">
        <w:rPr>
          <w:lang w:val="en-GB"/>
        </w:rPr>
        <w:t xml:space="preserve">monitoring, evaluation and learning </w:t>
      </w:r>
      <w:r w:rsidR="004517D0" w:rsidRPr="002601BB">
        <w:rPr>
          <w:lang w:val="en-GB"/>
        </w:rPr>
        <w:t xml:space="preserve">plan will be closely aligned with all programmatic interventions ensuring that oversight is provided </w:t>
      </w:r>
      <w:r w:rsidR="00FC5B98" w:rsidRPr="002601BB">
        <w:rPr>
          <w:lang w:val="en-GB"/>
        </w:rPr>
        <w:t>on time</w:t>
      </w:r>
      <w:r w:rsidR="004517D0" w:rsidRPr="002601BB">
        <w:rPr>
          <w:lang w:val="en-GB"/>
        </w:rPr>
        <w:t xml:space="preserve"> and compliant with all quality assurance procedures.</w:t>
      </w:r>
      <w:r w:rsidR="00E80022" w:rsidRPr="002601BB">
        <w:rPr>
          <w:lang w:val="en-GB"/>
        </w:rPr>
        <w:t xml:space="preserve"> </w:t>
      </w:r>
      <w:r w:rsidR="00562395">
        <w:rPr>
          <w:lang w:val="en-GB"/>
        </w:rPr>
        <w:t>Furthermore</w:t>
      </w:r>
      <w:r w:rsidR="004517D0" w:rsidRPr="002601BB">
        <w:rPr>
          <w:lang w:val="en-GB"/>
        </w:rPr>
        <w:t xml:space="preserve">, UNDP will incorporate the role of </w:t>
      </w:r>
      <w:r w:rsidR="00562395">
        <w:rPr>
          <w:lang w:val="en-GB"/>
        </w:rPr>
        <w:t xml:space="preserve">a </w:t>
      </w:r>
      <w:r w:rsidR="004517D0" w:rsidRPr="002601BB">
        <w:rPr>
          <w:lang w:val="en-GB"/>
        </w:rPr>
        <w:t xml:space="preserve">monitoring and evaluation </w:t>
      </w:r>
      <w:r w:rsidR="001638AB" w:rsidRPr="002601BB">
        <w:rPr>
          <w:lang w:val="en-GB"/>
        </w:rPr>
        <w:t xml:space="preserve">officer </w:t>
      </w:r>
      <w:r w:rsidR="004517D0" w:rsidRPr="002601BB">
        <w:rPr>
          <w:lang w:val="en-GB"/>
        </w:rPr>
        <w:t>into the office structure to ensure early identification of delays in achiev</w:t>
      </w:r>
      <w:r w:rsidR="00FC5B98" w:rsidRPr="002601BB">
        <w:rPr>
          <w:lang w:val="en-GB"/>
        </w:rPr>
        <w:t>ing results and to support the</w:t>
      </w:r>
      <w:r w:rsidR="004517D0" w:rsidRPr="002601BB">
        <w:rPr>
          <w:lang w:val="en-GB"/>
        </w:rPr>
        <w:t xml:space="preserve"> collection and dissemination of lessons learned.</w:t>
      </w:r>
      <w:r w:rsidR="00E80022" w:rsidRPr="002601BB">
        <w:rPr>
          <w:lang w:val="en-GB"/>
        </w:rPr>
        <w:t xml:space="preserve"> </w:t>
      </w:r>
      <w:r w:rsidR="00EB03C2" w:rsidRPr="002601BB">
        <w:rPr>
          <w:lang w:val="en-GB"/>
        </w:rPr>
        <w:t>To cover monitoring, evaluation and communication expenses, UNDP will allocate at least 3 per cent of the programme budget, proportionately charged to project</w:t>
      </w:r>
      <w:r w:rsidR="00D354F1" w:rsidRPr="002601BB">
        <w:rPr>
          <w:lang w:val="en-GB"/>
        </w:rPr>
        <w:t>s.</w:t>
      </w:r>
    </w:p>
    <w:p w14:paraId="232F5BDD" w14:textId="3AECB54C" w:rsidR="004517D0" w:rsidRPr="002601BB" w:rsidRDefault="004517D0" w:rsidP="001D3052">
      <w:pPr>
        <w:pStyle w:val="ListParagraph"/>
        <w:tabs>
          <w:tab w:val="left" w:pos="1620"/>
        </w:tabs>
        <w:spacing w:after="160" w:line="259" w:lineRule="auto"/>
        <w:ind w:left="1260" w:right="1750"/>
        <w:contextualSpacing/>
        <w:jc w:val="both"/>
        <w:rPr>
          <w:sz w:val="12"/>
          <w:szCs w:val="12"/>
          <w:lang w:val="en-GB"/>
        </w:rPr>
      </w:pPr>
    </w:p>
    <w:p w14:paraId="14C7F254" w14:textId="6FA3AD41" w:rsidR="000A3580" w:rsidRPr="002601BB" w:rsidRDefault="000A3580" w:rsidP="0074417D">
      <w:pPr>
        <w:pStyle w:val="ListParagraph"/>
        <w:numPr>
          <w:ilvl w:val="0"/>
          <w:numId w:val="1"/>
        </w:numPr>
        <w:tabs>
          <w:tab w:val="left" w:pos="1800"/>
        </w:tabs>
        <w:spacing w:after="160" w:line="259" w:lineRule="auto"/>
        <w:ind w:left="1440" w:right="1210" w:firstLine="0"/>
        <w:contextualSpacing/>
        <w:jc w:val="both"/>
        <w:rPr>
          <w:lang w:val="en-GB"/>
        </w:rPr>
      </w:pPr>
      <w:r w:rsidRPr="002601BB">
        <w:rPr>
          <w:lang w:val="en-GB"/>
        </w:rPr>
        <w:t>UNDP will strengthen collaboration with data and information</w:t>
      </w:r>
      <w:r w:rsidR="003A2B1D">
        <w:rPr>
          <w:lang w:val="en-GB"/>
        </w:rPr>
        <w:t>-</w:t>
      </w:r>
      <w:r w:rsidRPr="002601BB">
        <w:rPr>
          <w:lang w:val="en-GB"/>
        </w:rPr>
        <w:t xml:space="preserve">generation entities, in particular </w:t>
      </w:r>
      <w:r w:rsidR="008B448A" w:rsidRPr="002601BB">
        <w:rPr>
          <w:lang w:val="en-GB"/>
        </w:rPr>
        <w:t>INEC</w:t>
      </w:r>
      <w:r w:rsidRPr="002601BB">
        <w:rPr>
          <w:lang w:val="en-GB"/>
        </w:rPr>
        <w:t>, the National Geo-environmental Information Centr</w:t>
      </w:r>
      <w:r w:rsidR="003A2B1D">
        <w:rPr>
          <w:lang w:val="en-GB"/>
        </w:rPr>
        <w:t>e</w:t>
      </w:r>
      <w:r w:rsidRPr="002601BB">
        <w:rPr>
          <w:lang w:val="en-GB"/>
        </w:rPr>
        <w:t xml:space="preserve">, </w:t>
      </w:r>
      <w:r w:rsidR="003A2B1D">
        <w:rPr>
          <w:lang w:val="en-GB"/>
        </w:rPr>
        <w:t>s</w:t>
      </w:r>
      <w:r w:rsidRPr="002601BB">
        <w:rPr>
          <w:lang w:val="en-GB"/>
        </w:rPr>
        <w:t xml:space="preserve">tate </w:t>
      </w:r>
      <w:r w:rsidR="003A2B1D">
        <w:rPr>
          <w:lang w:val="en-GB"/>
        </w:rPr>
        <w:t>u</w:t>
      </w:r>
      <w:r w:rsidRPr="002601BB">
        <w:rPr>
          <w:lang w:val="en-GB"/>
        </w:rPr>
        <w:t>niversities</w:t>
      </w:r>
      <w:r w:rsidR="003A2B1D">
        <w:rPr>
          <w:lang w:val="en-GB"/>
        </w:rPr>
        <w:t>,</w:t>
      </w:r>
      <w:r w:rsidRPr="002601BB">
        <w:rPr>
          <w:lang w:val="en-GB"/>
        </w:rPr>
        <w:t xml:space="preserve"> and the statistics and information focal points from the Ministry of Health, MIDEPLAN, the Central Bank</w:t>
      </w:r>
      <w:r w:rsidR="00D44D96" w:rsidRPr="002601BB">
        <w:rPr>
          <w:lang w:val="en-GB"/>
        </w:rPr>
        <w:t xml:space="preserve"> (BCCR)</w:t>
      </w:r>
      <w:r w:rsidRPr="002601BB">
        <w:rPr>
          <w:lang w:val="en-GB"/>
        </w:rPr>
        <w:t>, M</w:t>
      </w:r>
      <w:r w:rsidR="003A2B1D">
        <w:rPr>
          <w:lang w:val="en-GB"/>
        </w:rPr>
        <w:t>O</w:t>
      </w:r>
      <w:r w:rsidRPr="002601BB">
        <w:rPr>
          <w:lang w:val="en-GB"/>
        </w:rPr>
        <w:t xml:space="preserve">H, </w:t>
      </w:r>
      <w:r w:rsidR="003A2B1D">
        <w:rPr>
          <w:lang w:val="en-GB"/>
        </w:rPr>
        <w:t xml:space="preserve">the </w:t>
      </w:r>
      <w:r w:rsidR="001D3205" w:rsidRPr="002601BB">
        <w:rPr>
          <w:lang w:val="en-GB"/>
        </w:rPr>
        <w:t>Ministry of Culture and Youth</w:t>
      </w:r>
      <w:r w:rsidR="003A2B1D">
        <w:rPr>
          <w:lang w:val="en-GB"/>
        </w:rPr>
        <w:t xml:space="preserve">, </w:t>
      </w:r>
      <w:r w:rsidRPr="002601BB">
        <w:rPr>
          <w:lang w:val="en-GB"/>
        </w:rPr>
        <w:t>and IMAS.</w:t>
      </w:r>
      <w:r w:rsidR="00E80022" w:rsidRPr="002601BB">
        <w:rPr>
          <w:lang w:val="en-GB"/>
        </w:rPr>
        <w:t xml:space="preserve"> </w:t>
      </w:r>
      <w:r w:rsidRPr="002601BB">
        <w:rPr>
          <w:lang w:val="en-GB"/>
        </w:rPr>
        <w:t xml:space="preserve">UNDP will support </w:t>
      </w:r>
      <w:r w:rsidR="003A2B1D">
        <w:rPr>
          <w:lang w:val="en-GB"/>
        </w:rPr>
        <w:t xml:space="preserve">the </w:t>
      </w:r>
      <w:r w:rsidRPr="002601BB">
        <w:rPr>
          <w:lang w:val="en-GB"/>
        </w:rPr>
        <w:t>strengthening and updat</w:t>
      </w:r>
      <w:r w:rsidR="00DC6F76" w:rsidRPr="002601BB">
        <w:rPr>
          <w:lang w:val="en-GB"/>
        </w:rPr>
        <w:t>ing</w:t>
      </w:r>
      <w:r w:rsidRPr="002601BB">
        <w:rPr>
          <w:lang w:val="en-GB"/>
        </w:rPr>
        <w:t xml:space="preserve"> </w:t>
      </w:r>
      <w:r w:rsidR="003A2B1D">
        <w:rPr>
          <w:lang w:val="en-GB"/>
        </w:rPr>
        <w:t xml:space="preserve">of </w:t>
      </w:r>
      <w:r w:rsidRPr="002601BB">
        <w:rPr>
          <w:lang w:val="en-GB"/>
        </w:rPr>
        <w:t>digital tools employed by information systems</w:t>
      </w:r>
      <w:r w:rsidR="00DC6F76" w:rsidRPr="002601BB">
        <w:rPr>
          <w:lang w:val="en-GB"/>
        </w:rPr>
        <w:t>,</w:t>
      </w:r>
      <w:r w:rsidRPr="002601BB">
        <w:rPr>
          <w:lang w:val="en-GB"/>
        </w:rPr>
        <w:t xml:space="preserve"> which are key to monitor</w:t>
      </w:r>
      <w:r w:rsidR="00EB03C2" w:rsidRPr="002601BB">
        <w:rPr>
          <w:lang w:val="en-GB"/>
        </w:rPr>
        <w:t>ing</w:t>
      </w:r>
      <w:r w:rsidRPr="002601BB">
        <w:rPr>
          <w:lang w:val="en-GB"/>
        </w:rPr>
        <w:t xml:space="preserve"> the advancement of </w:t>
      </w:r>
      <w:r w:rsidR="00DC6F76" w:rsidRPr="002601BB">
        <w:rPr>
          <w:lang w:val="en-GB"/>
        </w:rPr>
        <w:t xml:space="preserve">the </w:t>
      </w:r>
      <w:r w:rsidR="00725B10" w:rsidRPr="002601BB">
        <w:rPr>
          <w:lang w:val="en-GB"/>
        </w:rPr>
        <w:t>Goals</w:t>
      </w:r>
      <w:r w:rsidRPr="002601BB">
        <w:rPr>
          <w:lang w:val="en-GB"/>
        </w:rPr>
        <w:t xml:space="preserve">, such as </w:t>
      </w:r>
      <w:bookmarkStart w:id="2" w:name="_Hlk106031617"/>
      <w:r w:rsidRPr="002601BB">
        <w:rPr>
          <w:lang w:val="en-GB"/>
        </w:rPr>
        <w:t>the National Information System and Unique Registry of Beneficiaries, the National System for Integrated Water Resource Management</w:t>
      </w:r>
      <w:r w:rsidR="003A2B1D">
        <w:rPr>
          <w:lang w:val="en-GB"/>
        </w:rPr>
        <w:t>,</w:t>
      </w:r>
      <w:r w:rsidRPr="002601BB">
        <w:rPr>
          <w:lang w:val="en-GB"/>
        </w:rPr>
        <w:t xml:space="preserve"> and the System for Monitoring Land Use Change Within Production Systems.   </w:t>
      </w:r>
      <w:bookmarkEnd w:id="2"/>
    </w:p>
    <w:p w14:paraId="4629485F" w14:textId="45F7C973" w:rsidR="004517D0" w:rsidRPr="002601BB" w:rsidRDefault="004517D0" w:rsidP="001D3052">
      <w:pPr>
        <w:pStyle w:val="ListParagraph"/>
        <w:tabs>
          <w:tab w:val="left" w:pos="1620"/>
        </w:tabs>
        <w:spacing w:after="160" w:line="259" w:lineRule="auto"/>
        <w:ind w:left="1260" w:right="1750"/>
        <w:contextualSpacing/>
        <w:jc w:val="both"/>
        <w:rPr>
          <w:sz w:val="12"/>
          <w:szCs w:val="12"/>
          <w:lang w:val="en-GB"/>
        </w:rPr>
      </w:pPr>
    </w:p>
    <w:p w14:paraId="41C8CB5A" w14:textId="57470A44" w:rsidR="00264B7D" w:rsidRPr="002601BB" w:rsidRDefault="004517D0"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sidRPr="002601BB">
        <w:rPr>
          <w:color w:val="000000"/>
          <w:lang w:val="en-GB"/>
        </w:rPr>
        <w:t xml:space="preserve">The programme will </w:t>
      </w:r>
      <w:r w:rsidR="00E80022" w:rsidRPr="002601BB">
        <w:rPr>
          <w:lang w:val="en-GB"/>
        </w:rPr>
        <w:t>emphasi</w:t>
      </w:r>
      <w:r w:rsidR="003A2B1D">
        <w:rPr>
          <w:lang w:val="en-GB"/>
        </w:rPr>
        <w:t>z</w:t>
      </w:r>
      <w:r w:rsidR="00E80022" w:rsidRPr="002601BB">
        <w:rPr>
          <w:lang w:val="en-GB"/>
        </w:rPr>
        <w:t>e</w:t>
      </w:r>
      <w:r w:rsidR="00E80022" w:rsidRPr="002601BB">
        <w:rPr>
          <w:color w:val="000000"/>
          <w:lang w:val="en-GB"/>
        </w:rPr>
        <w:t xml:space="preserve"> </w:t>
      </w:r>
      <w:r w:rsidRPr="002601BB">
        <w:rPr>
          <w:color w:val="000000"/>
          <w:lang w:val="en-GB"/>
        </w:rPr>
        <w:t>indicator</w:t>
      </w:r>
      <w:r w:rsidR="00DC6F76" w:rsidRPr="002601BB">
        <w:rPr>
          <w:color w:val="000000"/>
          <w:lang w:val="en-GB"/>
        </w:rPr>
        <w:t>s with disaggregated</w:t>
      </w:r>
      <w:r w:rsidRPr="002601BB">
        <w:rPr>
          <w:color w:val="000000"/>
          <w:lang w:val="en-GB"/>
        </w:rPr>
        <w:t xml:space="preserve"> data in areas that have lagged behind in national and institutional statistics</w:t>
      </w:r>
      <w:r w:rsidR="000D2E72" w:rsidRPr="002601BB">
        <w:rPr>
          <w:color w:val="000000"/>
          <w:lang w:val="en-GB"/>
        </w:rPr>
        <w:t>,</w:t>
      </w:r>
      <w:r w:rsidRPr="002601BB">
        <w:rPr>
          <w:color w:val="000000"/>
          <w:lang w:val="en-GB"/>
        </w:rPr>
        <w:t xml:space="preserve"> such as </w:t>
      </w:r>
      <w:r w:rsidR="0096667A" w:rsidRPr="002601BB">
        <w:rPr>
          <w:color w:val="000000"/>
          <w:lang w:val="en-GB"/>
        </w:rPr>
        <w:t>women</w:t>
      </w:r>
      <w:r w:rsidRPr="002601BB">
        <w:rPr>
          <w:color w:val="000000"/>
          <w:lang w:val="en-GB"/>
        </w:rPr>
        <w:t>, LGB</w:t>
      </w:r>
      <w:r w:rsidR="000F447A" w:rsidRPr="002601BB">
        <w:rPr>
          <w:color w:val="000000"/>
          <w:lang w:val="en-GB"/>
        </w:rPr>
        <w:t>TQ</w:t>
      </w:r>
      <w:r w:rsidR="00604DAD" w:rsidRPr="002601BB">
        <w:rPr>
          <w:color w:val="000000"/>
          <w:lang w:val="en-GB"/>
        </w:rPr>
        <w:t>I</w:t>
      </w:r>
      <w:r w:rsidR="0048267E" w:rsidRPr="002601BB">
        <w:rPr>
          <w:color w:val="000000"/>
          <w:lang w:val="en-GB"/>
        </w:rPr>
        <w:t>A</w:t>
      </w:r>
      <w:r w:rsidRPr="002601BB">
        <w:rPr>
          <w:color w:val="000000"/>
          <w:lang w:val="en-GB"/>
        </w:rPr>
        <w:t>+, indigenous people</w:t>
      </w:r>
      <w:r w:rsidR="00BF224F" w:rsidRPr="002601BB">
        <w:rPr>
          <w:color w:val="000000"/>
          <w:lang w:val="en-GB"/>
        </w:rPr>
        <w:t>s</w:t>
      </w:r>
      <w:r w:rsidRPr="002601BB">
        <w:rPr>
          <w:color w:val="000000"/>
          <w:lang w:val="en-GB"/>
        </w:rPr>
        <w:t>, afro-descendants,</w:t>
      </w:r>
      <w:r w:rsidR="006C5832" w:rsidRPr="002601BB">
        <w:rPr>
          <w:color w:val="000000"/>
          <w:lang w:val="en-GB"/>
        </w:rPr>
        <w:t xml:space="preserve"> migrants</w:t>
      </w:r>
      <w:r w:rsidR="00A03190" w:rsidRPr="002601BB">
        <w:rPr>
          <w:color w:val="000000"/>
          <w:lang w:val="en-GB"/>
        </w:rPr>
        <w:t>, older persons</w:t>
      </w:r>
      <w:r w:rsidRPr="002601BB">
        <w:rPr>
          <w:color w:val="000000"/>
          <w:lang w:val="en-GB"/>
        </w:rPr>
        <w:t xml:space="preserve"> and people with disabilities. </w:t>
      </w:r>
      <w:r w:rsidR="003A2B1D">
        <w:rPr>
          <w:color w:val="000000"/>
          <w:lang w:val="en-GB"/>
        </w:rPr>
        <w:t xml:space="preserve">The </w:t>
      </w:r>
      <w:r w:rsidR="00E80022" w:rsidRPr="002601BB">
        <w:rPr>
          <w:color w:val="000000"/>
          <w:lang w:val="en-GB"/>
        </w:rPr>
        <w:t>UNDP</w:t>
      </w:r>
      <w:r w:rsidR="00264B7D" w:rsidRPr="002601BB">
        <w:rPr>
          <w:color w:val="000000"/>
          <w:lang w:val="en-GB"/>
        </w:rPr>
        <w:t xml:space="preserve"> gender marker will track gender gaps and ensure that at least 70 per cent of total programme expenditures </w:t>
      </w:r>
      <w:r w:rsidR="00EB03C2" w:rsidRPr="002601BB">
        <w:rPr>
          <w:color w:val="000000"/>
          <w:lang w:val="en-GB"/>
        </w:rPr>
        <w:t xml:space="preserve">are </w:t>
      </w:r>
      <w:r w:rsidR="003A2B1D">
        <w:rPr>
          <w:color w:val="000000"/>
          <w:lang w:val="en-GB"/>
        </w:rPr>
        <w:t xml:space="preserve">in </w:t>
      </w:r>
      <w:r w:rsidR="00264B7D" w:rsidRPr="002601BB">
        <w:rPr>
          <w:color w:val="000000"/>
          <w:lang w:val="en-GB"/>
        </w:rPr>
        <w:t>accord</w:t>
      </w:r>
      <w:r w:rsidR="003A2B1D">
        <w:rPr>
          <w:color w:val="000000"/>
          <w:lang w:val="en-GB"/>
        </w:rPr>
        <w:t>ance with</w:t>
      </w:r>
      <w:r w:rsidR="00264B7D" w:rsidRPr="002601BB">
        <w:rPr>
          <w:color w:val="000000"/>
          <w:lang w:val="en-GB"/>
        </w:rPr>
        <w:t xml:space="preserve"> the </w:t>
      </w:r>
      <w:r w:rsidR="003A2B1D">
        <w:rPr>
          <w:color w:val="000000"/>
          <w:lang w:val="en-GB"/>
        </w:rPr>
        <w:t>g</w:t>
      </w:r>
      <w:r w:rsidR="00264B7D" w:rsidRPr="002601BB">
        <w:rPr>
          <w:color w:val="000000"/>
          <w:lang w:val="en-GB"/>
        </w:rPr>
        <w:t xml:space="preserve">ender </w:t>
      </w:r>
      <w:r w:rsidR="003A2B1D">
        <w:rPr>
          <w:lang w:val="en-GB"/>
        </w:rPr>
        <w:t>e</w:t>
      </w:r>
      <w:r w:rsidR="00264B7D" w:rsidRPr="002601BB">
        <w:rPr>
          <w:lang w:val="en-GB"/>
        </w:rPr>
        <w:t>quality</w:t>
      </w:r>
      <w:r w:rsidR="00264B7D" w:rsidRPr="002601BB">
        <w:rPr>
          <w:color w:val="000000"/>
          <w:lang w:val="en-GB"/>
        </w:rPr>
        <w:t xml:space="preserve"> </w:t>
      </w:r>
      <w:r w:rsidR="003A2B1D">
        <w:rPr>
          <w:color w:val="000000"/>
          <w:lang w:val="en-GB"/>
        </w:rPr>
        <w:t>s</w:t>
      </w:r>
      <w:r w:rsidR="00264B7D" w:rsidRPr="002601BB">
        <w:rPr>
          <w:color w:val="000000"/>
          <w:lang w:val="en-GB"/>
        </w:rPr>
        <w:t xml:space="preserve">trategy. Regarding regular resources, at least 15 per cent will be allocated to gender equality and </w:t>
      </w:r>
      <w:r w:rsidR="00E80022" w:rsidRPr="002601BB">
        <w:rPr>
          <w:color w:val="000000"/>
          <w:lang w:val="en-GB"/>
        </w:rPr>
        <w:t xml:space="preserve">women’s </w:t>
      </w:r>
      <w:r w:rsidR="00264B7D" w:rsidRPr="002601BB">
        <w:rPr>
          <w:color w:val="000000"/>
          <w:lang w:val="en-GB"/>
        </w:rPr>
        <w:t>empowerment.</w:t>
      </w:r>
      <w:r w:rsidR="00E80022" w:rsidRPr="002601BB">
        <w:rPr>
          <w:color w:val="000000"/>
          <w:lang w:val="en-GB"/>
        </w:rPr>
        <w:t xml:space="preserve"> </w:t>
      </w:r>
      <w:r w:rsidR="003A2B1D">
        <w:rPr>
          <w:color w:val="000000"/>
          <w:lang w:val="en-GB"/>
        </w:rPr>
        <w:t xml:space="preserve">The </w:t>
      </w:r>
      <w:r w:rsidR="00E80022" w:rsidRPr="002601BB">
        <w:rPr>
          <w:color w:val="000000"/>
          <w:lang w:val="en-GB"/>
        </w:rPr>
        <w:t>UNDP</w:t>
      </w:r>
      <w:r w:rsidR="003A2B1D">
        <w:rPr>
          <w:color w:val="000000"/>
          <w:lang w:val="en-GB"/>
        </w:rPr>
        <w:t xml:space="preserve"> </w:t>
      </w:r>
      <w:r w:rsidR="00264B7D" w:rsidRPr="002601BB">
        <w:rPr>
          <w:color w:val="000000"/>
          <w:lang w:val="en-GB"/>
        </w:rPr>
        <w:t xml:space="preserve">gender strategy will contribute to </w:t>
      </w:r>
      <w:r w:rsidR="00EB03C2" w:rsidRPr="002601BB">
        <w:rPr>
          <w:color w:val="000000"/>
          <w:lang w:val="en-GB"/>
        </w:rPr>
        <w:t>integrating</w:t>
      </w:r>
      <w:r w:rsidR="00264B7D" w:rsidRPr="002601BB">
        <w:rPr>
          <w:color w:val="000000"/>
          <w:lang w:val="en-GB"/>
        </w:rPr>
        <w:t xml:space="preserve"> gender indicators in</w:t>
      </w:r>
      <w:r w:rsidR="002C3555">
        <w:rPr>
          <w:color w:val="000000"/>
          <w:lang w:val="en-GB"/>
        </w:rPr>
        <w:t>to</w:t>
      </w:r>
      <w:r w:rsidR="00264B7D" w:rsidRPr="002601BB">
        <w:rPr>
          <w:color w:val="000000"/>
          <w:lang w:val="en-GB"/>
        </w:rPr>
        <w:t xml:space="preserve"> the monitoring action plan.</w:t>
      </w:r>
      <w:r w:rsidRPr="002601BB">
        <w:rPr>
          <w:color w:val="000000"/>
          <w:lang w:val="en-GB"/>
        </w:rPr>
        <w:t xml:space="preserve"> </w:t>
      </w:r>
    </w:p>
    <w:p w14:paraId="4F2E159C" w14:textId="77777777" w:rsidR="00264B7D" w:rsidRPr="002601BB" w:rsidRDefault="00264B7D" w:rsidP="001D3052">
      <w:pPr>
        <w:pStyle w:val="ListParagraph"/>
        <w:tabs>
          <w:tab w:val="left" w:pos="1620"/>
        </w:tabs>
        <w:spacing w:after="160" w:line="259" w:lineRule="auto"/>
        <w:ind w:left="1260" w:right="1750"/>
        <w:contextualSpacing/>
        <w:jc w:val="both"/>
        <w:rPr>
          <w:color w:val="000000"/>
          <w:sz w:val="12"/>
          <w:szCs w:val="12"/>
          <w:lang w:val="en-GB"/>
        </w:rPr>
      </w:pPr>
    </w:p>
    <w:p w14:paraId="38CA3044" w14:textId="3619725F" w:rsidR="004517D0" w:rsidRPr="002601BB" w:rsidRDefault="004517D0" w:rsidP="0074417D">
      <w:pPr>
        <w:pStyle w:val="ListParagraph"/>
        <w:numPr>
          <w:ilvl w:val="0"/>
          <w:numId w:val="1"/>
        </w:numPr>
        <w:tabs>
          <w:tab w:val="left" w:pos="1800"/>
        </w:tabs>
        <w:spacing w:after="120" w:line="259" w:lineRule="auto"/>
        <w:ind w:left="1440" w:right="1210" w:firstLine="0"/>
        <w:contextualSpacing/>
        <w:jc w:val="both"/>
        <w:rPr>
          <w:color w:val="000000"/>
          <w:lang w:val="en-GB"/>
        </w:rPr>
      </w:pPr>
      <w:r w:rsidRPr="002601BB">
        <w:rPr>
          <w:color w:val="000000"/>
          <w:lang w:val="en-GB"/>
        </w:rPr>
        <w:t xml:space="preserve">To improve evidence-based competencies, </w:t>
      </w:r>
      <w:r w:rsidR="00E178A5" w:rsidRPr="002601BB">
        <w:rPr>
          <w:color w:val="000000"/>
          <w:lang w:val="en-GB"/>
        </w:rPr>
        <w:t xml:space="preserve">data collection and analysis capacities will be enhanced through training and new analytical tools in collaboration </w:t>
      </w:r>
      <w:r w:rsidR="00E178A5" w:rsidRPr="002601BB">
        <w:rPr>
          <w:lang w:val="en-GB"/>
        </w:rPr>
        <w:t>with</w:t>
      </w:r>
      <w:r w:rsidR="00E178A5" w:rsidRPr="002601BB">
        <w:rPr>
          <w:color w:val="000000"/>
          <w:lang w:val="en-GB"/>
        </w:rPr>
        <w:t xml:space="preserve"> domestic and international academic institutions </w:t>
      </w:r>
      <w:r w:rsidR="002C3555">
        <w:rPr>
          <w:color w:val="000000"/>
          <w:lang w:val="en-GB"/>
        </w:rPr>
        <w:t>and</w:t>
      </w:r>
      <w:r w:rsidRPr="002601BB">
        <w:rPr>
          <w:color w:val="000000"/>
          <w:lang w:val="en-GB"/>
        </w:rPr>
        <w:t xml:space="preserve"> the </w:t>
      </w:r>
      <w:r w:rsidR="00AC0387" w:rsidRPr="002601BB">
        <w:rPr>
          <w:color w:val="000000"/>
          <w:lang w:val="en-GB"/>
        </w:rPr>
        <w:t xml:space="preserve">UNDP </w:t>
      </w:r>
      <w:r w:rsidR="003A2B1D">
        <w:rPr>
          <w:color w:val="000000"/>
          <w:lang w:val="en-GB"/>
        </w:rPr>
        <w:t>r</w:t>
      </w:r>
      <w:r w:rsidRPr="002601BB">
        <w:rPr>
          <w:color w:val="000000"/>
          <w:lang w:val="en-GB"/>
        </w:rPr>
        <w:t xml:space="preserve">egional </w:t>
      </w:r>
      <w:r w:rsidR="003A2B1D">
        <w:rPr>
          <w:color w:val="000000"/>
          <w:lang w:val="en-GB"/>
        </w:rPr>
        <w:t>h</w:t>
      </w:r>
      <w:r w:rsidRPr="002601BB">
        <w:rPr>
          <w:color w:val="000000"/>
          <w:lang w:val="en-GB"/>
        </w:rPr>
        <w:t>ub. UNDP will strengthen the liaison between communication</w:t>
      </w:r>
      <w:r w:rsidR="004D17EE" w:rsidRPr="002601BB">
        <w:rPr>
          <w:color w:val="000000"/>
          <w:lang w:val="en-GB"/>
        </w:rPr>
        <w:t>,</w:t>
      </w:r>
      <w:r w:rsidRPr="002601BB">
        <w:rPr>
          <w:color w:val="000000"/>
          <w:lang w:val="en-GB"/>
        </w:rPr>
        <w:t xml:space="preserve"> knowledge management and statistics teams </w:t>
      </w:r>
      <w:r w:rsidR="00E76B8D" w:rsidRPr="002601BB">
        <w:rPr>
          <w:color w:val="000000"/>
          <w:lang w:val="en-GB"/>
        </w:rPr>
        <w:t>to</w:t>
      </w:r>
      <w:r w:rsidRPr="002601BB">
        <w:rPr>
          <w:color w:val="000000"/>
          <w:lang w:val="en-GB"/>
        </w:rPr>
        <w:t xml:space="preserve"> increase the impact of communication pieces in national decision-making.  </w:t>
      </w:r>
    </w:p>
    <w:p w14:paraId="7C0DD810" w14:textId="77777777" w:rsidR="00922970" w:rsidRPr="002601BB" w:rsidRDefault="00922970" w:rsidP="00922970">
      <w:pPr>
        <w:pStyle w:val="ListParagraph"/>
        <w:rPr>
          <w:color w:val="000000"/>
          <w:sz w:val="12"/>
          <w:szCs w:val="12"/>
          <w:lang w:val="en-GB"/>
        </w:rPr>
      </w:pPr>
    </w:p>
    <w:p w14:paraId="33C50E95" w14:textId="7780785E" w:rsidR="00A04C82" w:rsidRPr="002601BB" w:rsidRDefault="00E70AE8" w:rsidP="0074417D">
      <w:pPr>
        <w:pStyle w:val="ListParagraph"/>
        <w:numPr>
          <w:ilvl w:val="0"/>
          <w:numId w:val="1"/>
        </w:numPr>
        <w:tabs>
          <w:tab w:val="left" w:pos="1800"/>
        </w:tabs>
        <w:spacing w:after="160" w:line="259" w:lineRule="auto"/>
        <w:ind w:left="1440" w:right="1210" w:firstLine="0"/>
        <w:contextualSpacing/>
        <w:jc w:val="both"/>
        <w:rPr>
          <w:color w:val="000000"/>
          <w:lang w:val="en-GB"/>
        </w:rPr>
      </w:pPr>
      <w:r w:rsidRPr="002601BB">
        <w:rPr>
          <w:color w:val="000000"/>
          <w:lang w:val="en-GB"/>
        </w:rPr>
        <w:t>A balanced evaluation plan will be implemented</w:t>
      </w:r>
      <w:r w:rsidR="004D676A" w:rsidRPr="002601BB">
        <w:rPr>
          <w:color w:val="000000"/>
          <w:lang w:val="en-GB"/>
        </w:rPr>
        <w:t xml:space="preserve"> </w:t>
      </w:r>
      <w:r w:rsidR="004D676A" w:rsidRPr="002601BB">
        <w:rPr>
          <w:lang w:val="en-GB"/>
        </w:rPr>
        <w:t>to ensure learning and accountability</w:t>
      </w:r>
      <w:r w:rsidRPr="002601BB">
        <w:rPr>
          <w:color w:val="000000"/>
          <w:lang w:val="en-GB"/>
        </w:rPr>
        <w:t xml:space="preserve">, in agreement with the Government, following the UNDP evaluation policy and United Nations Evaluation Group guidelines. This plan </w:t>
      </w:r>
      <w:r w:rsidR="008C0712" w:rsidRPr="002601BB">
        <w:rPr>
          <w:color w:val="000000"/>
          <w:lang w:val="en-GB"/>
        </w:rPr>
        <w:t>complements</w:t>
      </w:r>
      <w:r w:rsidR="00DB67DD" w:rsidRPr="002601BB">
        <w:rPr>
          <w:color w:val="000000"/>
          <w:lang w:val="en-GB"/>
        </w:rPr>
        <w:t xml:space="preserve"> </w:t>
      </w:r>
      <w:r w:rsidR="006F0529" w:rsidRPr="002601BB">
        <w:rPr>
          <w:color w:val="000000"/>
          <w:lang w:val="en-GB"/>
        </w:rPr>
        <w:t xml:space="preserve">UNSDCF, </w:t>
      </w:r>
      <w:r w:rsidR="00623E1F" w:rsidRPr="002601BB">
        <w:rPr>
          <w:color w:val="000000"/>
          <w:lang w:val="en-GB"/>
        </w:rPr>
        <w:t xml:space="preserve">outcome, thematic </w:t>
      </w:r>
      <w:r w:rsidR="006F0529" w:rsidRPr="002601BB">
        <w:rPr>
          <w:color w:val="000000"/>
          <w:lang w:val="en-GB"/>
        </w:rPr>
        <w:t xml:space="preserve">and </w:t>
      </w:r>
      <w:r w:rsidR="00DB67DD" w:rsidRPr="002601BB">
        <w:rPr>
          <w:color w:val="000000"/>
          <w:lang w:val="en-GB"/>
        </w:rPr>
        <w:t>project</w:t>
      </w:r>
      <w:r w:rsidRPr="002601BB">
        <w:rPr>
          <w:color w:val="000000"/>
          <w:lang w:val="en-GB"/>
        </w:rPr>
        <w:t xml:space="preserve"> evaluations</w:t>
      </w:r>
      <w:r w:rsidR="003A2B1D">
        <w:rPr>
          <w:color w:val="000000"/>
          <w:lang w:val="en-GB"/>
        </w:rPr>
        <w:t xml:space="preserve">, </w:t>
      </w:r>
      <w:r w:rsidRPr="002601BB">
        <w:rPr>
          <w:color w:val="000000"/>
          <w:lang w:val="en-GB"/>
        </w:rPr>
        <w:t>as required.</w:t>
      </w:r>
    </w:p>
    <w:p w14:paraId="58513736" w14:textId="77777777" w:rsidR="00922970" w:rsidRPr="002601BB" w:rsidRDefault="00922970" w:rsidP="00922970">
      <w:pPr>
        <w:pStyle w:val="ListParagraph"/>
        <w:rPr>
          <w:color w:val="000000"/>
          <w:lang w:val="en-GB"/>
        </w:rPr>
      </w:pPr>
    </w:p>
    <w:p w14:paraId="6DEDD6AA" w14:textId="77777777" w:rsidR="00922970" w:rsidRPr="002601BB" w:rsidRDefault="00922970" w:rsidP="00922970">
      <w:pPr>
        <w:pStyle w:val="ListParagraph"/>
        <w:tabs>
          <w:tab w:val="left" w:pos="1800"/>
        </w:tabs>
        <w:spacing w:after="160" w:line="259" w:lineRule="auto"/>
        <w:ind w:left="1440" w:right="1210"/>
        <w:contextualSpacing/>
        <w:jc w:val="both"/>
        <w:rPr>
          <w:color w:val="000000"/>
          <w:lang w:val="en-GB"/>
        </w:rPr>
      </w:pPr>
    </w:p>
    <w:p w14:paraId="2440D41D" w14:textId="0D02F80E" w:rsidR="00EE0DF2" w:rsidRPr="002601BB" w:rsidRDefault="00EE0DF2" w:rsidP="00DC5B77">
      <w:pPr>
        <w:ind w:right="1210"/>
        <w:jc w:val="both"/>
        <w:rPr>
          <w:color w:val="000000"/>
          <w:lang w:val="en-GB"/>
        </w:rPr>
        <w:sectPr w:rsidR="00EE0DF2" w:rsidRPr="002601BB"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59C9F32D" w14:textId="1CB5ADCE" w:rsidR="0074417D" w:rsidRPr="002601BB" w:rsidRDefault="0074417D" w:rsidP="0074417D">
      <w:pPr>
        <w:pStyle w:val="Heading4"/>
        <w:spacing w:after="120"/>
        <w:rPr>
          <w:rFonts w:ascii="Times New Roman" w:hAnsi="Times New Roman"/>
          <w:sz w:val="20"/>
          <w:lang w:val="en-GB"/>
        </w:rPr>
      </w:pPr>
      <w:r w:rsidRPr="002601BB">
        <w:rPr>
          <w:rFonts w:ascii="Times New Roman" w:hAnsi="Times New Roman"/>
          <w:sz w:val="24"/>
          <w:lang w:val="en-GB"/>
        </w:rPr>
        <w:lastRenderedPageBreak/>
        <w:t xml:space="preserve">Annex. </w:t>
      </w:r>
      <w:r w:rsidRPr="002601BB">
        <w:rPr>
          <w:rFonts w:ascii="Times New Roman" w:hAnsi="Times New Roman"/>
          <w:color w:val="000000"/>
          <w:kern w:val="14"/>
          <w:sz w:val="24"/>
          <w:lang w:val="en-GB"/>
        </w:rPr>
        <w:t>Results and resources framework for Costa Rica (2023-2027)</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973"/>
        <w:gridCol w:w="1301"/>
      </w:tblGrid>
      <w:tr w:rsidR="009E75B5" w:rsidRPr="002601BB" w14:paraId="2440D441" w14:textId="77777777" w:rsidTr="00264A09">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09457BA2" w:rsidR="007A05B6" w:rsidRPr="002601BB" w:rsidRDefault="007A05B6" w:rsidP="0033325E">
            <w:pPr>
              <w:rPr>
                <w:b/>
                <w:bCs/>
                <w:sz w:val="18"/>
                <w:szCs w:val="18"/>
                <w:lang w:val="en-GB"/>
              </w:rPr>
            </w:pPr>
            <w:r w:rsidRPr="002601BB">
              <w:rPr>
                <w:b/>
                <w:bCs/>
                <w:sz w:val="18"/>
                <w:szCs w:val="18"/>
                <w:lang w:val="en-GB"/>
              </w:rPr>
              <w:t>NATIONAL PRIORITY OR GOAL:</w:t>
            </w:r>
            <w:r w:rsidR="0025401C" w:rsidRPr="002601BB">
              <w:rPr>
                <w:b/>
                <w:bCs/>
                <w:sz w:val="18"/>
                <w:szCs w:val="18"/>
                <w:lang w:val="en-GB"/>
              </w:rPr>
              <w:t xml:space="preserve"> </w:t>
            </w:r>
            <w:r w:rsidR="0025401C" w:rsidRPr="002601BB">
              <w:rPr>
                <w:sz w:val="18"/>
                <w:szCs w:val="18"/>
                <w:lang w:val="en-GB"/>
              </w:rPr>
              <w:t>Strengthened capacities</w:t>
            </w:r>
            <w:r w:rsidR="00C43B63" w:rsidRPr="002601BB">
              <w:rPr>
                <w:sz w:val="18"/>
                <w:szCs w:val="18"/>
                <w:lang w:val="en-GB"/>
              </w:rPr>
              <w:t xml:space="preserve"> </w:t>
            </w:r>
            <w:r w:rsidR="0003546A" w:rsidRPr="002601BB">
              <w:rPr>
                <w:sz w:val="18"/>
                <w:szCs w:val="18"/>
                <w:lang w:val="en-GB"/>
              </w:rPr>
              <w:t xml:space="preserve">for </w:t>
            </w:r>
            <w:r w:rsidR="0025401C" w:rsidRPr="002601BB">
              <w:rPr>
                <w:sz w:val="18"/>
                <w:szCs w:val="18"/>
                <w:lang w:val="en-GB"/>
              </w:rPr>
              <w:t>provision of quality and accessible services for all</w:t>
            </w:r>
            <w:r w:rsidR="000C540D" w:rsidRPr="002601BB">
              <w:rPr>
                <w:sz w:val="18"/>
                <w:szCs w:val="18"/>
                <w:lang w:val="en-GB"/>
              </w:rPr>
              <w:t>.</w:t>
            </w:r>
            <w:r w:rsidR="0003546A" w:rsidRPr="002601BB">
              <w:rPr>
                <w:sz w:val="18"/>
                <w:szCs w:val="18"/>
                <w:lang w:val="en-GB"/>
              </w:rPr>
              <w:t xml:space="preserve"> </w:t>
            </w:r>
            <w:r w:rsidR="00EB4E24" w:rsidRPr="002601BB">
              <w:rPr>
                <w:sz w:val="18"/>
                <w:szCs w:val="18"/>
                <w:lang w:val="en-GB"/>
              </w:rPr>
              <w:t xml:space="preserve">Sustainable Development Goals </w:t>
            </w:r>
            <w:r w:rsidR="0003546A" w:rsidRPr="002601BB">
              <w:rPr>
                <w:sz w:val="18"/>
                <w:szCs w:val="18"/>
                <w:lang w:val="en-GB"/>
              </w:rPr>
              <w:t xml:space="preserve">1, </w:t>
            </w:r>
            <w:r w:rsidR="008E42F2" w:rsidRPr="002601BB">
              <w:rPr>
                <w:sz w:val="18"/>
                <w:szCs w:val="18"/>
                <w:lang w:val="en-GB"/>
              </w:rPr>
              <w:t>3, 4, 5, 11, 12, 16</w:t>
            </w:r>
            <w:r w:rsidR="004A61A2" w:rsidRPr="002601BB">
              <w:rPr>
                <w:sz w:val="18"/>
                <w:szCs w:val="18"/>
                <w:lang w:val="en-GB"/>
              </w:rPr>
              <w:t xml:space="preserve">, </w:t>
            </w:r>
            <w:r w:rsidR="008E42F2" w:rsidRPr="002601BB">
              <w:rPr>
                <w:sz w:val="18"/>
                <w:szCs w:val="18"/>
                <w:lang w:val="en-GB"/>
              </w:rPr>
              <w:t>17</w:t>
            </w:r>
            <w:r w:rsidR="00483295">
              <w:rPr>
                <w:sz w:val="18"/>
                <w:szCs w:val="18"/>
                <w:lang w:val="en-GB"/>
              </w:rPr>
              <w:t>.</w:t>
            </w:r>
          </w:p>
        </w:tc>
      </w:tr>
      <w:tr w:rsidR="009E75B5" w:rsidRPr="002601BB" w14:paraId="2440D443" w14:textId="77777777" w:rsidTr="00264A09">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49A4B684" w:rsidR="00E16827" w:rsidRPr="002601BB" w:rsidRDefault="007E5629" w:rsidP="00B962EB">
            <w:pPr>
              <w:rPr>
                <w:sz w:val="18"/>
                <w:szCs w:val="18"/>
                <w:lang w:val="en-GB"/>
              </w:rPr>
            </w:pPr>
            <w:r w:rsidRPr="002601BB">
              <w:rPr>
                <w:b/>
                <w:bCs/>
                <w:sz w:val="18"/>
                <w:szCs w:val="18"/>
                <w:lang w:val="en-GB"/>
              </w:rPr>
              <w:t xml:space="preserve">COOPERATION FRAMEWORK </w:t>
            </w:r>
            <w:r w:rsidR="007A05B6" w:rsidRPr="002601BB">
              <w:rPr>
                <w:b/>
                <w:bCs/>
                <w:sz w:val="18"/>
                <w:szCs w:val="18"/>
                <w:lang w:val="en-GB"/>
              </w:rPr>
              <w:t>OUTCOME INVOLVING UNDP #1:</w:t>
            </w:r>
            <w:r w:rsidR="00380DEE" w:rsidRPr="002601BB">
              <w:rPr>
                <w:sz w:val="18"/>
                <w:szCs w:val="18"/>
                <w:lang w:val="en-GB"/>
              </w:rPr>
              <w:t xml:space="preserve"> </w:t>
            </w:r>
            <w:r w:rsidR="002568BA" w:rsidRPr="002601BB">
              <w:rPr>
                <w:sz w:val="18"/>
                <w:szCs w:val="18"/>
                <w:lang w:val="en-GB"/>
              </w:rPr>
              <w:t xml:space="preserve">UNSDCF </w:t>
            </w:r>
            <w:r w:rsidR="00483295">
              <w:rPr>
                <w:sz w:val="18"/>
                <w:szCs w:val="18"/>
                <w:lang w:val="en-GB"/>
              </w:rPr>
              <w:t>o</w:t>
            </w:r>
            <w:r w:rsidR="00380DEE" w:rsidRPr="002601BB">
              <w:rPr>
                <w:sz w:val="18"/>
                <w:szCs w:val="18"/>
                <w:lang w:val="en-GB"/>
              </w:rPr>
              <w:t>utcome 2.1</w:t>
            </w:r>
            <w:r w:rsidR="002E786A">
              <w:rPr>
                <w:sz w:val="18"/>
                <w:szCs w:val="18"/>
                <w:lang w:val="en-GB"/>
              </w:rPr>
              <w:t>.</w:t>
            </w:r>
            <w:r w:rsidR="00380DEE" w:rsidRPr="002601BB">
              <w:rPr>
                <w:sz w:val="18"/>
                <w:szCs w:val="18"/>
                <w:lang w:val="en-GB"/>
              </w:rPr>
              <w:t xml:space="preserve"> </w:t>
            </w:r>
            <w:r w:rsidR="00967A62" w:rsidRPr="002601BB">
              <w:rPr>
                <w:sz w:val="18"/>
                <w:szCs w:val="18"/>
                <w:lang w:val="en-GB"/>
              </w:rPr>
              <w:t xml:space="preserve">By 2027, institutions are transformed and </w:t>
            </w:r>
            <w:r w:rsidR="00E80022" w:rsidRPr="002601BB">
              <w:rPr>
                <w:sz w:val="18"/>
                <w:szCs w:val="18"/>
                <w:lang w:val="en-GB"/>
              </w:rPr>
              <w:t>moderni</w:t>
            </w:r>
            <w:r w:rsidR="00014BBA">
              <w:rPr>
                <w:sz w:val="18"/>
                <w:szCs w:val="18"/>
                <w:lang w:val="en-GB"/>
              </w:rPr>
              <w:t>s</w:t>
            </w:r>
            <w:r w:rsidR="00E80022" w:rsidRPr="002601BB">
              <w:rPr>
                <w:sz w:val="18"/>
                <w:szCs w:val="18"/>
                <w:lang w:val="en-GB"/>
              </w:rPr>
              <w:t xml:space="preserve">ed </w:t>
            </w:r>
            <w:r w:rsidR="00967A62" w:rsidRPr="002601BB">
              <w:rPr>
                <w:sz w:val="18"/>
                <w:szCs w:val="18"/>
                <w:lang w:val="en-GB"/>
              </w:rPr>
              <w:t>to provide people-</w:t>
            </w:r>
            <w:r w:rsidR="003A3160" w:rsidRPr="002601BB">
              <w:rPr>
                <w:sz w:val="18"/>
                <w:szCs w:val="18"/>
                <w:lang w:val="en-GB"/>
              </w:rPr>
              <w:t>centred</w:t>
            </w:r>
            <w:r w:rsidR="00967A62" w:rsidRPr="002601BB">
              <w:rPr>
                <w:sz w:val="18"/>
                <w:szCs w:val="18"/>
                <w:lang w:val="en-GB"/>
              </w:rPr>
              <w:t>, inclusive, innovative, effective, efficient, timely and flexible, gender-</w:t>
            </w:r>
            <w:r w:rsidR="00FE1140" w:rsidRPr="002601BB">
              <w:rPr>
                <w:sz w:val="18"/>
                <w:szCs w:val="18"/>
                <w:lang w:val="en-GB"/>
              </w:rPr>
              <w:t xml:space="preserve">transforming </w:t>
            </w:r>
            <w:r w:rsidR="00967A62" w:rsidRPr="002601BB">
              <w:rPr>
                <w:sz w:val="18"/>
                <w:szCs w:val="18"/>
                <w:lang w:val="en-GB"/>
              </w:rPr>
              <w:t>quality services, articulated with other institutions and with a strong territorial approach, allowing municipalities to become the main agents of change in local development</w:t>
            </w:r>
            <w:r w:rsidR="009E5867" w:rsidRPr="002601BB">
              <w:rPr>
                <w:sz w:val="18"/>
                <w:szCs w:val="18"/>
                <w:lang w:val="en-GB"/>
              </w:rPr>
              <w:t xml:space="preserve">, especially </w:t>
            </w:r>
            <w:r w:rsidR="00CD6411" w:rsidRPr="002601BB">
              <w:rPr>
                <w:sz w:val="18"/>
                <w:szCs w:val="18"/>
                <w:lang w:val="en-GB"/>
              </w:rPr>
              <w:t>i</w:t>
            </w:r>
            <w:r w:rsidR="001D4216" w:rsidRPr="002601BB">
              <w:rPr>
                <w:sz w:val="18"/>
                <w:szCs w:val="18"/>
                <w:lang w:val="en-GB"/>
              </w:rPr>
              <w:t xml:space="preserve">n territories with a lower development </w:t>
            </w:r>
            <w:r w:rsidR="00072B3C" w:rsidRPr="002601BB">
              <w:rPr>
                <w:sz w:val="18"/>
                <w:szCs w:val="18"/>
                <w:lang w:val="en-GB"/>
              </w:rPr>
              <w:t>index</w:t>
            </w:r>
            <w:r w:rsidR="001D4216" w:rsidRPr="002601BB">
              <w:rPr>
                <w:sz w:val="18"/>
                <w:szCs w:val="18"/>
                <w:lang w:val="en-GB"/>
              </w:rPr>
              <w:t>.</w:t>
            </w:r>
          </w:p>
        </w:tc>
      </w:tr>
      <w:tr w:rsidR="009E75B5" w:rsidRPr="002601BB" w14:paraId="2440D445" w14:textId="77777777" w:rsidTr="00264A09">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4A1BA787" w:rsidR="00772802" w:rsidRPr="002601BB" w:rsidRDefault="00923F17" w:rsidP="00F44511">
            <w:pPr>
              <w:rPr>
                <w:b/>
                <w:bCs/>
                <w:sz w:val="18"/>
                <w:szCs w:val="18"/>
                <w:lang w:val="en-GB"/>
              </w:rPr>
            </w:pPr>
            <w:r w:rsidRPr="002601BB">
              <w:rPr>
                <w:b/>
                <w:bCs/>
                <w:sz w:val="18"/>
                <w:szCs w:val="18"/>
                <w:lang w:val="en-GB"/>
              </w:rPr>
              <w:t xml:space="preserve">RELATED STRATEGIC PLAN OUTCOME: </w:t>
            </w:r>
            <w:r w:rsidR="00895175" w:rsidRPr="002601BB">
              <w:rPr>
                <w:sz w:val="18"/>
                <w:szCs w:val="18"/>
                <w:lang w:val="en-GB"/>
              </w:rPr>
              <w:t>Outcome 2: No one left</w:t>
            </w:r>
            <w:r w:rsidR="00BA7FEF" w:rsidRPr="002601BB">
              <w:rPr>
                <w:sz w:val="18"/>
                <w:szCs w:val="18"/>
                <w:lang w:val="en-GB"/>
              </w:rPr>
              <w:t xml:space="preserve"> </w:t>
            </w:r>
            <w:r w:rsidR="00895175" w:rsidRPr="002601BB">
              <w:rPr>
                <w:sz w:val="18"/>
                <w:szCs w:val="18"/>
                <w:lang w:val="en-GB"/>
              </w:rPr>
              <w:t>behind, centring on equitable access to opportunities and a rights-based approach to human agency and human development</w:t>
            </w:r>
            <w:r w:rsidR="00483295">
              <w:rPr>
                <w:sz w:val="18"/>
                <w:szCs w:val="18"/>
                <w:lang w:val="en-GB"/>
              </w:rPr>
              <w:t>.</w:t>
            </w:r>
          </w:p>
        </w:tc>
      </w:tr>
      <w:tr w:rsidR="009E75B5" w:rsidRPr="002601BB" w14:paraId="2440D44D" w14:textId="77777777" w:rsidTr="00012372">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2601BB" w:rsidRDefault="007E5629" w:rsidP="00125266">
            <w:pPr>
              <w:jc w:val="center"/>
              <w:rPr>
                <w:sz w:val="16"/>
                <w:szCs w:val="16"/>
                <w:lang w:val="en-GB"/>
              </w:rPr>
            </w:pPr>
            <w:r w:rsidRPr="002601BB">
              <w:rPr>
                <w:b/>
                <w:bCs/>
                <w:sz w:val="16"/>
                <w:szCs w:val="16"/>
                <w:lang w:val="en-GB"/>
              </w:rPr>
              <w:t xml:space="preserve">COOPERATION FRAMEWORK </w:t>
            </w:r>
            <w:r w:rsidR="007A05B6" w:rsidRPr="002601BB">
              <w:rPr>
                <w:b/>
                <w:bCs/>
                <w:sz w:val="16"/>
                <w:szCs w:val="16"/>
                <w:lang w:val="en-GB"/>
              </w:rPr>
              <w:t>OUTCOME INDICATOR(S), BASELINES, TARGET(S)</w:t>
            </w:r>
          </w:p>
        </w:tc>
        <w:tc>
          <w:tcPr>
            <w:tcW w:w="1178" w:type="pct"/>
            <w:shd w:val="clear" w:color="auto" w:fill="DBE5F1" w:themeFill="accent1" w:themeFillTint="33"/>
            <w:vAlign w:val="center"/>
          </w:tcPr>
          <w:p w14:paraId="2440D447" w14:textId="77777777" w:rsidR="007A05B6" w:rsidRPr="002601BB" w:rsidRDefault="007A05B6" w:rsidP="00125266">
            <w:pPr>
              <w:jc w:val="center"/>
              <w:rPr>
                <w:b/>
                <w:sz w:val="16"/>
                <w:szCs w:val="16"/>
                <w:lang w:val="en-GB"/>
              </w:rPr>
            </w:pPr>
            <w:r w:rsidRPr="002601BB">
              <w:rPr>
                <w:b/>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2440D448" w14:textId="77777777" w:rsidR="007A05B6" w:rsidRPr="002601BB" w:rsidRDefault="007A05B6" w:rsidP="00125266">
            <w:pPr>
              <w:jc w:val="center"/>
              <w:rPr>
                <w:sz w:val="16"/>
                <w:szCs w:val="16"/>
                <w:lang w:val="en-GB"/>
              </w:rPr>
            </w:pPr>
            <w:r w:rsidRPr="002601BB">
              <w:rPr>
                <w:b/>
                <w:bCs/>
                <w:sz w:val="16"/>
                <w:szCs w:val="16"/>
                <w:lang w:val="en-GB"/>
              </w:rPr>
              <w:t xml:space="preserve">INDICATIVE COUNTRY PROGRAMME OUTPUTS </w:t>
            </w:r>
            <w:r w:rsidRPr="00DF58ED">
              <w:rPr>
                <w:i/>
                <w:sz w:val="16"/>
                <w:szCs w:val="16"/>
                <w:lang w:val="en-GB"/>
              </w:rPr>
              <w:t>(including indicators, baselines targets)</w:t>
            </w:r>
          </w:p>
        </w:tc>
        <w:tc>
          <w:tcPr>
            <w:tcW w:w="1136" w:type="pct"/>
            <w:shd w:val="clear" w:color="auto" w:fill="DBE5F1" w:themeFill="accent1" w:themeFillTint="33"/>
            <w:vAlign w:val="center"/>
          </w:tcPr>
          <w:p w14:paraId="2440D449" w14:textId="77777777" w:rsidR="007A05B6" w:rsidRPr="002601BB" w:rsidRDefault="007A05B6" w:rsidP="00125266">
            <w:pPr>
              <w:jc w:val="center"/>
              <w:rPr>
                <w:b/>
                <w:bCs/>
                <w:sz w:val="16"/>
                <w:szCs w:val="16"/>
                <w:lang w:val="en-GB"/>
              </w:rPr>
            </w:pPr>
            <w:r w:rsidRPr="002601BB">
              <w:rPr>
                <w:b/>
                <w:bCs/>
                <w:sz w:val="16"/>
                <w:szCs w:val="16"/>
                <w:lang w:val="en-GB"/>
              </w:rPr>
              <w:t>MAJOR PARTNERS</w:t>
            </w:r>
            <w:r w:rsidR="009B4DA7" w:rsidRPr="002601BB">
              <w:rPr>
                <w:b/>
                <w:bCs/>
                <w:sz w:val="16"/>
                <w:szCs w:val="16"/>
                <w:lang w:val="en-GB"/>
              </w:rPr>
              <w:t xml:space="preserve"> </w:t>
            </w:r>
            <w:r w:rsidRPr="002601BB">
              <w:rPr>
                <w:b/>
                <w:bCs/>
                <w:sz w:val="16"/>
                <w:szCs w:val="16"/>
                <w:lang w:val="en-GB"/>
              </w:rPr>
              <w:t>/</w:t>
            </w:r>
            <w:r w:rsidR="009B4DA7" w:rsidRPr="002601BB">
              <w:rPr>
                <w:b/>
                <w:bCs/>
                <w:sz w:val="16"/>
                <w:szCs w:val="16"/>
                <w:lang w:val="en-GB"/>
              </w:rPr>
              <w:t xml:space="preserve"> </w:t>
            </w:r>
            <w:r w:rsidRPr="002601BB">
              <w:rPr>
                <w:b/>
                <w:bCs/>
                <w:sz w:val="16"/>
                <w:szCs w:val="16"/>
                <w:lang w:val="en-GB"/>
              </w:rPr>
              <w:t>PARTNERSHIPS</w:t>
            </w:r>
          </w:p>
          <w:p w14:paraId="2440D44A" w14:textId="77777777" w:rsidR="007A05B6" w:rsidRPr="002601BB" w:rsidRDefault="007A05B6" w:rsidP="00125266">
            <w:pPr>
              <w:jc w:val="center"/>
              <w:rPr>
                <w:b/>
                <w:bCs/>
                <w:sz w:val="16"/>
                <w:szCs w:val="16"/>
                <w:lang w:val="en-GB"/>
              </w:rPr>
            </w:pPr>
            <w:r w:rsidRPr="002601BB">
              <w:rPr>
                <w:b/>
                <w:bCs/>
                <w:sz w:val="16"/>
                <w:szCs w:val="16"/>
                <w:lang w:val="en-GB"/>
              </w:rPr>
              <w:t>FRAMEWORKS</w:t>
            </w:r>
          </w:p>
        </w:tc>
        <w:tc>
          <w:tcPr>
            <w:tcW w:w="497" w:type="pct"/>
            <w:shd w:val="clear" w:color="auto" w:fill="DBE5F1" w:themeFill="accent1" w:themeFillTint="33"/>
            <w:tcMar>
              <w:top w:w="15" w:type="dxa"/>
              <w:left w:w="108" w:type="dxa"/>
              <w:bottom w:w="0" w:type="dxa"/>
              <w:right w:w="108" w:type="dxa"/>
            </w:tcMar>
            <w:vAlign w:val="center"/>
          </w:tcPr>
          <w:p w14:paraId="2440D44C" w14:textId="21F6B53F" w:rsidR="007A05B6" w:rsidRPr="002601BB" w:rsidRDefault="00B81568" w:rsidP="004D70FD">
            <w:pPr>
              <w:jc w:val="center"/>
              <w:rPr>
                <w:i/>
                <w:sz w:val="16"/>
                <w:szCs w:val="16"/>
                <w:lang w:val="en-GB"/>
              </w:rPr>
            </w:pPr>
            <w:r w:rsidRPr="002601BB">
              <w:rPr>
                <w:b/>
                <w:bCs/>
                <w:sz w:val="16"/>
                <w:szCs w:val="16"/>
                <w:lang w:val="en-GB"/>
              </w:rPr>
              <w:t>ESTIMATED COST</w:t>
            </w:r>
            <w:r w:rsidR="007A05B6" w:rsidRPr="002601BB">
              <w:rPr>
                <w:b/>
                <w:bCs/>
                <w:sz w:val="16"/>
                <w:szCs w:val="16"/>
                <w:lang w:val="en-GB"/>
              </w:rPr>
              <w:t xml:space="preserve"> BY OUTCOME </w:t>
            </w:r>
            <w:r w:rsidR="00483295" w:rsidRPr="00DF58ED">
              <w:rPr>
                <w:i/>
                <w:iCs/>
                <w:sz w:val="16"/>
                <w:szCs w:val="16"/>
                <w:lang w:val="en-GB"/>
              </w:rPr>
              <w:t>(United States dollars)</w:t>
            </w:r>
          </w:p>
        </w:tc>
      </w:tr>
      <w:tr w:rsidR="009E75B5" w:rsidRPr="002601BB" w14:paraId="2440D45D" w14:textId="77777777" w:rsidTr="00012372">
        <w:trPr>
          <w:trHeight w:val="133"/>
        </w:trPr>
        <w:tc>
          <w:tcPr>
            <w:tcW w:w="1097" w:type="pct"/>
            <w:vMerge w:val="restart"/>
            <w:tcMar>
              <w:top w:w="72" w:type="dxa"/>
              <w:left w:w="144" w:type="dxa"/>
              <w:bottom w:w="72" w:type="dxa"/>
              <w:right w:w="144" w:type="dxa"/>
            </w:tcMar>
          </w:tcPr>
          <w:p w14:paraId="4A9A7314" w14:textId="07743D8B" w:rsidR="00C07898" w:rsidRPr="002601BB" w:rsidRDefault="00AB2A9D" w:rsidP="001D3052">
            <w:pPr>
              <w:rPr>
                <w:bCs/>
                <w:iCs/>
                <w:sz w:val="18"/>
                <w:szCs w:val="18"/>
                <w:lang w:val="en-GB"/>
              </w:rPr>
            </w:pPr>
            <w:r w:rsidRPr="00DF58ED">
              <w:rPr>
                <w:b/>
                <w:iCs/>
                <w:sz w:val="18"/>
                <w:szCs w:val="18"/>
                <w:lang w:val="en-GB"/>
              </w:rPr>
              <w:t xml:space="preserve">Indicator </w:t>
            </w:r>
            <w:r w:rsidR="002327E3" w:rsidRPr="00DF58ED">
              <w:rPr>
                <w:b/>
                <w:iCs/>
                <w:sz w:val="18"/>
                <w:szCs w:val="18"/>
                <w:lang w:val="en-GB"/>
              </w:rPr>
              <w:t>2</w:t>
            </w:r>
            <w:r w:rsidR="00C07898" w:rsidRPr="00DF58ED">
              <w:rPr>
                <w:b/>
                <w:iCs/>
                <w:sz w:val="18"/>
                <w:szCs w:val="18"/>
                <w:lang w:val="en-GB"/>
              </w:rPr>
              <w:t>.</w:t>
            </w:r>
            <w:r w:rsidR="001C3F9D" w:rsidRPr="00DF58ED">
              <w:rPr>
                <w:b/>
                <w:iCs/>
                <w:sz w:val="18"/>
                <w:szCs w:val="18"/>
                <w:lang w:val="en-GB"/>
              </w:rPr>
              <w:t>1</w:t>
            </w:r>
            <w:r w:rsidR="00C07898" w:rsidRPr="00DF58ED">
              <w:rPr>
                <w:b/>
                <w:iCs/>
                <w:sz w:val="18"/>
                <w:szCs w:val="18"/>
                <w:lang w:val="en-GB"/>
              </w:rPr>
              <w:t>.2</w:t>
            </w:r>
            <w:r w:rsidR="00483295">
              <w:rPr>
                <w:b/>
                <w:iCs/>
                <w:sz w:val="18"/>
                <w:szCs w:val="18"/>
                <w:lang w:val="en-GB"/>
              </w:rPr>
              <w:t>.</w:t>
            </w:r>
            <w:r w:rsidR="00C07898" w:rsidRPr="002601BB">
              <w:rPr>
                <w:bCs/>
                <w:iCs/>
                <w:sz w:val="18"/>
                <w:szCs w:val="18"/>
                <w:lang w:val="en-GB"/>
              </w:rPr>
              <w:t xml:space="preserve"> Percentage of people living in poor households determined by multidimensional poverty method, by sex, zone.</w:t>
            </w:r>
          </w:p>
          <w:p w14:paraId="223DAF18" w14:textId="77777777" w:rsidR="00C07898" w:rsidRPr="002601BB" w:rsidRDefault="00C07898" w:rsidP="00C07898">
            <w:pPr>
              <w:ind w:left="360"/>
              <w:rPr>
                <w:bCs/>
                <w:iCs/>
                <w:sz w:val="18"/>
                <w:szCs w:val="18"/>
                <w:lang w:val="en-GB"/>
              </w:rPr>
            </w:pPr>
          </w:p>
          <w:p w14:paraId="3372E39E" w14:textId="0B7CB1DB" w:rsidR="00C07898" w:rsidRPr="002601BB" w:rsidRDefault="00C07898" w:rsidP="00DF58ED">
            <w:pPr>
              <w:ind w:left="33"/>
              <w:rPr>
                <w:iCs/>
                <w:sz w:val="18"/>
                <w:szCs w:val="18"/>
                <w:lang w:val="en-GB"/>
              </w:rPr>
            </w:pPr>
            <w:r w:rsidRPr="00DF58ED">
              <w:rPr>
                <w:i/>
                <w:sz w:val="18"/>
                <w:szCs w:val="18"/>
                <w:lang w:val="en-GB"/>
              </w:rPr>
              <w:t>Base</w:t>
            </w:r>
            <w:r w:rsidR="00E34546" w:rsidRPr="00DF58ED">
              <w:rPr>
                <w:i/>
                <w:sz w:val="18"/>
                <w:szCs w:val="18"/>
                <w:lang w:val="en-GB"/>
              </w:rPr>
              <w:t>line</w:t>
            </w:r>
            <w:r w:rsidRPr="002601BB">
              <w:rPr>
                <w:iCs/>
                <w:sz w:val="18"/>
                <w:szCs w:val="18"/>
                <w:lang w:val="en-GB"/>
              </w:rPr>
              <w:t xml:space="preserve"> (2020):</w:t>
            </w:r>
          </w:p>
          <w:p w14:paraId="74561CAE" w14:textId="510BFE9E" w:rsidR="00C07898" w:rsidRPr="002601BB" w:rsidRDefault="00C07898" w:rsidP="00DF58ED">
            <w:pPr>
              <w:ind w:left="33"/>
              <w:rPr>
                <w:iCs/>
                <w:sz w:val="18"/>
                <w:szCs w:val="18"/>
                <w:lang w:val="en-GB"/>
              </w:rPr>
            </w:pPr>
            <w:r w:rsidRPr="002601BB">
              <w:rPr>
                <w:iCs/>
                <w:sz w:val="18"/>
                <w:szCs w:val="18"/>
                <w:lang w:val="en-GB"/>
              </w:rPr>
              <w:t>Total:</w:t>
            </w:r>
            <w:r w:rsidR="00483295">
              <w:rPr>
                <w:iCs/>
                <w:sz w:val="18"/>
                <w:szCs w:val="18"/>
                <w:lang w:val="en-GB"/>
              </w:rPr>
              <w:t xml:space="preserve"> </w:t>
            </w:r>
            <w:r w:rsidRPr="002601BB">
              <w:rPr>
                <w:iCs/>
                <w:sz w:val="18"/>
                <w:szCs w:val="18"/>
                <w:lang w:val="en-GB"/>
              </w:rPr>
              <w:t>20</w:t>
            </w:r>
            <w:r w:rsidR="00545E6A" w:rsidRPr="002601BB">
              <w:rPr>
                <w:iCs/>
                <w:sz w:val="18"/>
                <w:szCs w:val="18"/>
                <w:lang w:val="en-GB"/>
              </w:rPr>
              <w:t>.</w:t>
            </w:r>
            <w:r w:rsidRPr="002601BB">
              <w:rPr>
                <w:iCs/>
                <w:sz w:val="18"/>
                <w:szCs w:val="18"/>
                <w:lang w:val="en-GB"/>
              </w:rPr>
              <w:t xml:space="preserve">1% </w:t>
            </w:r>
          </w:p>
          <w:p w14:paraId="2697238B" w14:textId="099B32E7" w:rsidR="00C07898" w:rsidRPr="002601BB" w:rsidRDefault="00C07898" w:rsidP="00DF58ED">
            <w:pPr>
              <w:ind w:left="33"/>
              <w:rPr>
                <w:iCs/>
                <w:sz w:val="18"/>
                <w:szCs w:val="18"/>
                <w:lang w:val="en-GB"/>
              </w:rPr>
            </w:pPr>
            <w:r w:rsidRPr="002601BB">
              <w:rPr>
                <w:iCs/>
                <w:sz w:val="18"/>
                <w:szCs w:val="18"/>
                <w:lang w:val="en-GB"/>
              </w:rPr>
              <w:t>Male: 21</w:t>
            </w:r>
            <w:r w:rsidR="00545E6A" w:rsidRPr="002601BB">
              <w:rPr>
                <w:iCs/>
                <w:sz w:val="18"/>
                <w:szCs w:val="18"/>
                <w:lang w:val="en-GB"/>
              </w:rPr>
              <w:t>.</w:t>
            </w:r>
            <w:r w:rsidRPr="002601BB">
              <w:rPr>
                <w:iCs/>
                <w:sz w:val="18"/>
                <w:szCs w:val="18"/>
                <w:lang w:val="en-GB"/>
              </w:rPr>
              <w:t xml:space="preserve">1% </w:t>
            </w:r>
          </w:p>
          <w:p w14:paraId="0F3B475E" w14:textId="21FC8BCE" w:rsidR="00C07898" w:rsidRPr="002601BB" w:rsidRDefault="00C07898" w:rsidP="00DF58ED">
            <w:pPr>
              <w:ind w:left="33"/>
              <w:rPr>
                <w:iCs/>
                <w:sz w:val="18"/>
                <w:szCs w:val="18"/>
                <w:lang w:val="en-GB"/>
              </w:rPr>
            </w:pPr>
            <w:r w:rsidRPr="002601BB">
              <w:rPr>
                <w:iCs/>
                <w:sz w:val="18"/>
                <w:szCs w:val="18"/>
                <w:lang w:val="en-GB"/>
              </w:rPr>
              <w:t>Female: 19</w:t>
            </w:r>
            <w:r w:rsidR="00545E6A" w:rsidRPr="002601BB">
              <w:rPr>
                <w:iCs/>
                <w:sz w:val="18"/>
                <w:szCs w:val="18"/>
                <w:lang w:val="en-GB"/>
              </w:rPr>
              <w:t>.</w:t>
            </w:r>
            <w:r w:rsidRPr="002601BB">
              <w:rPr>
                <w:iCs/>
                <w:sz w:val="18"/>
                <w:szCs w:val="18"/>
                <w:lang w:val="en-GB"/>
              </w:rPr>
              <w:t xml:space="preserve">2% </w:t>
            </w:r>
          </w:p>
          <w:p w14:paraId="206C2722" w14:textId="28987485" w:rsidR="00C07898" w:rsidRPr="002601BB" w:rsidRDefault="00C07898" w:rsidP="00DF58ED">
            <w:pPr>
              <w:ind w:left="33"/>
              <w:rPr>
                <w:iCs/>
                <w:sz w:val="18"/>
                <w:szCs w:val="18"/>
                <w:lang w:val="en-GB"/>
              </w:rPr>
            </w:pPr>
            <w:r w:rsidRPr="002601BB">
              <w:rPr>
                <w:iCs/>
                <w:sz w:val="18"/>
                <w:szCs w:val="18"/>
                <w:lang w:val="en-GB"/>
              </w:rPr>
              <w:t>Urban</w:t>
            </w:r>
            <w:r w:rsidR="00483295">
              <w:rPr>
                <w:iCs/>
                <w:sz w:val="18"/>
                <w:szCs w:val="18"/>
                <w:lang w:val="en-GB"/>
              </w:rPr>
              <w:t>:</w:t>
            </w:r>
            <w:r w:rsidRPr="002601BB">
              <w:rPr>
                <w:iCs/>
                <w:sz w:val="18"/>
                <w:szCs w:val="18"/>
                <w:lang w:val="en-GB"/>
              </w:rPr>
              <w:t xml:space="preserve"> 16</w:t>
            </w:r>
            <w:r w:rsidR="00545E6A" w:rsidRPr="002601BB">
              <w:rPr>
                <w:iCs/>
                <w:sz w:val="18"/>
                <w:szCs w:val="18"/>
                <w:lang w:val="en-GB"/>
              </w:rPr>
              <w:t>.</w:t>
            </w:r>
            <w:r w:rsidRPr="002601BB">
              <w:rPr>
                <w:iCs/>
                <w:sz w:val="18"/>
                <w:szCs w:val="18"/>
                <w:lang w:val="en-GB"/>
              </w:rPr>
              <w:t xml:space="preserve">2% </w:t>
            </w:r>
          </w:p>
          <w:p w14:paraId="7026153F" w14:textId="4BC2963B" w:rsidR="00C07898" w:rsidRPr="002601BB" w:rsidRDefault="00C07898" w:rsidP="00DF58ED">
            <w:pPr>
              <w:ind w:left="33"/>
              <w:rPr>
                <w:bCs/>
                <w:iCs/>
                <w:sz w:val="18"/>
                <w:szCs w:val="18"/>
                <w:lang w:val="en-GB"/>
              </w:rPr>
            </w:pPr>
            <w:r w:rsidRPr="002601BB">
              <w:rPr>
                <w:bCs/>
                <w:iCs/>
                <w:sz w:val="18"/>
                <w:szCs w:val="18"/>
                <w:lang w:val="en-GB"/>
              </w:rPr>
              <w:t>Rural: 30</w:t>
            </w:r>
            <w:r w:rsidR="00545E6A" w:rsidRPr="002601BB">
              <w:rPr>
                <w:bCs/>
                <w:iCs/>
                <w:sz w:val="18"/>
                <w:szCs w:val="18"/>
                <w:lang w:val="en-GB"/>
              </w:rPr>
              <w:t>.</w:t>
            </w:r>
            <w:r w:rsidRPr="002601BB">
              <w:rPr>
                <w:bCs/>
                <w:iCs/>
                <w:sz w:val="18"/>
                <w:szCs w:val="18"/>
                <w:lang w:val="en-GB"/>
              </w:rPr>
              <w:t xml:space="preserve">4% </w:t>
            </w:r>
          </w:p>
          <w:p w14:paraId="000A002F" w14:textId="77777777" w:rsidR="00C07898" w:rsidRPr="002601BB" w:rsidRDefault="00C07898" w:rsidP="00DF58ED">
            <w:pPr>
              <w:ind w:left="33"/>
              <w:rPr>
                <w:bCs/>
                <w:iCs/>
                <w:sz w:val="18"/>
                <w:szCs w:val="18"/>
                <w:lang w:val="en-GB"/>
              </w:rPr>
            </w:pPr>
          </w:p>
          <w:p w14:paraId="1AB5CCF0" w14:textId="375BB77A" w:rsidR="00C07898" w:rsidRPr="002601BB" w:rsidRDefault="00C07898" w:rsidP="00DF58ED">
            <w:pPr>
              <w:ind w:left="33"/>
              <w:rPr>
                <w:bCs/>
                <w:iCs/>
                <w:sz w:val="18"/>
                <w:szCs w:val="18"/>
                <w:lang w:val="en-GB"/>
              </w:rPr>
            </w:pPr>
            <w:r w:rsidRPr="00DF58ED">
              <w:rPr>
                <w:bCs/>
                <w:i/>
                <w:sz w:val="18"/>
                <w:szCs w:val="18"/>
                <w:lang w:val="en-GB"/>
              </w:rPr>
              <w:t>Target</w:t>
            </w:r>
            <w:r w:rsidRPr="002601BB">
              <w:rPr>
                <w:bCs/>
                <w:iCs/>
                <w:sz w:val="18"/>
                <w:szCs w:val="18"/>
                <w:lang w:val="en-GB"/>
              </w:rPr>
              <w:t xml:space="preserve"> (202</w:t>
            </w:r>
            <w:r w:rsidR="00747670" w:rsidRPr="002601BB">
              <w:rPr>
                <w:bCs/>
                <w:iCs/>
                <w:sz w:val="18"/>
                <w:szCs w:val="18"/>
                <w:lang w:val="en-GB"/>
              </w:rPr>
              <w:t>7</w:t>
            </w:r>
            <w:r w:rsidRPr="002601BB">
              <w:rPr>
                <w:bCs/>
                <w:iCs/>
                <w:sz w:val="18"/>
                <w:szCs w:val="18"/>
                <w:lang w:val="en-GB"/>
              </w:rPr>
              <w:t>)</w:t>
            </w:r>
          </w:p>
          <w:p w14:paraId="1D37BB3A" w14:textId="1D865321" w:rsidR="00C07898" w:rsidRPr="002601BB" w:rsidRDefault="00C07898" w:rsidP="00DF58ED">
            <w:pPr>
              <w:ind w:left="33"/>
              <w:rPr>
                <w:iCs/>
                <w:sz w:val="18"/>
                <w:szCs w:val="18"/>
                <w:lang w:val="en-GB"/>
              </w:rPr>
            </w:pPr>
            <w:r w:rsidRPr="002601BB">
              <w:rPr>
                <w:iCs/>
                <w:sz w:val="18"/>
                <w:szCs w:val="18"/>
                <w:lang w:val="en-GB"/>
              </w:rPr>
              <w:t>Total:</w:t>
            </w:r>
            <w:r w:rsidR="00483295">
              <w:rPr>
                <w:iCs/>
                <w:sz w:val="18"/>
                <w:szCs w:val="18"/>
                <w:lang w:val="en-GB"/>
              </w:rPr>
              <w:t xml:space="preserve"> </w:t>
            </w:r>
            <w:r w:rsidRPr="002601BB">
              <w:rPr>
                <w:iCs/>
                <w:sz w:val="18"/>
                <w:szCs w:val="18"/>
                <w:lang w:val="en-GB"/>
              </w:rPr>
              <w:t>15</w:t>
            </w:r>
            <w:r w:rsidR="00545E6A" w:rsidRPr="002601BB">
              <w:rPr>
                <w:iCs/>
                <w:sz w:val="18"/>
                <w:szCs w:val="18"/>
                <w:lang w:val="en-GB"/>
              </w:rPr>
              <w:t>.</w:t>
            </w:r>
            <w:r w:rsidRPr="002601BB">
              <w:rPr>
                <w:iCs/>
                <w:sz w:val="18"/>
                <w:szCs w:val="18"/>
                <w:lang w:val="en-GB"/>
              </w:rPr>
              <w:t>1%</w:t>
            </w:r>
          </w:p>
          <w:p w14:paraId="7E166BBF" w14:textId="318DF8DC" w:rsidR="00C07898" w:rsidRPr="002601BB" w:rsidRDefault="00C07898" w:rsidP="00DF58ED">
            <w:pPr>
              <w:ind w:left="33"/>
              <w:rPr>
                <w:iCs/>
                <w:sz w:val="18"/>
                <w:szCs w:val="18"/>
                <w:lang w:val="en-GB"/>
              </w:rPr>
            </w:pPr>
            <w:r w:rsidRPr="002601BB">
              <w:rPr>
                <w:iCs/>
                <w:sz w:val="18"/>
                <w:szCs w:val="18"/>
                <w:lang w:val="en-GB"/>
              </w:rPr>
              <w:t>Male: 16</w:t>
            </w:r>
            <w:r w:rsidR="00545E6A" w:rsidRPr="002601BB">
              <w:rPr>
                <w:iCs/>
                <w:sz w:val="18"/>
                <w:szCs w:val="18"/>
                <w:lang w:val="en-GB"/>
              </w:rPr>
              <w:t>.</w:t>
            </w:r>
            <w:r w:rsidRPr="002601BB">
              <w:rPr>
                <w:iCs/>
                <w:sz w:val="18"/>
                <w:szCs w:val="18"/>
                <w:lang w:val="en-GB"/>
              </w:rPr>
              <w:t>1%</w:t>
            </w:r>
          </w:p>
          <w:p w14:paraId="3D3069C2" w14:textId="77777777" w:rsidR="00C07898" w:rsidRPr="002601BB" w:rsidRDefault="00C07898" w:rsidP="00DF58ED">
            <w:pPr>
              <w:ind w:left="33"/>
              <w:rPr>
                <w:iCs/>
                <w:sz w:val="18"/>
                <w:szCs w:val="18"/>
                <w:lang w:val="en-GB"/>
              </w:rPr>
            </w:pPr>
            <w:r w:rsidRPr="002601BB">
              <w:rPr>
                <w:iCs/>
                <w:sz w:val="18"/>
                <w:szCs w:val="18"/>
                <w:lang w:val="en-GB"/>
              </w:rPr>
              <w:t>Female: 14%</w:t>
            </w:r>
          </w:p>
          <w:p w14:paraId="53924EB3" w14:textId="1D3CF972" w:rsidR="00C07898" w:rsidRPr="002601BB" w:rsidRDefault="00C07898" w:rsidP="00DF58ED">
            <w:pPr>
              <w:ind w:left="33"/>
              <w:rPr>
                <w:iCs/>
                <w:sz w:val="18"/>
                <w:szCs w:val="18"/>
                <w:lang w:val="en-GB"/>
              </w:rPr>
            </w:pPr>
            <w:r w:rsidRPr="002601BB">
              <w:rPr>
                <w:iCs/>
                <w:sz w:val="18"/>
                <w:szCs w:val="18"/>
                <w:lang w:val="en-GB"/>
              </w:rPr>
              <w:t>Urban</w:t>
            </w:r>
            <w:r w:rsidR="00483295">
              <w:rPr>
                <w:iCs/>
                <w:sz w:val="18"/>
                <w:szCs w:val="18"/>
                <w:lang w:val="en-GB"/>
              </w:rPr>
              <w:t>:</w:t>
            </w:r>
            <w:r w:rsidRPr="002601BB">
              <w:rPr>
                <w:iCs/>
                <w:sz w:val="18"/>
                <w:szCs w:val="18"/>
                <w:lang w:val="en-GB"/>
              </w:rPr>
              <w:t xml:space="preserve"> 14</w:t>
            </w:r>
            <w:r w:rsidR="00545E6A" w:rsidRPr="002601BB">
              <w:rPr>
                <w:iCs/>
                <w:sz w:val="18"/>
                <w:szCs w:val="18"/>
                <w:lang w:val="en-GB"/>
              </w:rPr>
              <w:t>.</w:t>
            </w:r>
            <w:r w:rsidRPr="002601BB">
              <w:rPr>
                <w:iCs/>
                <w:sz w:val="18"/>
                <w:szCs w:val="18"/>
                <w:lang w:val="en-GB"/>
              </w:rPr>
              <w:t>1</w:t>
            </w:r>
            <w:r w:rsidR="00545E6A" w:rsidRPr="002601BB">
              <w:rPr>
                <w:iCs/>
                <w:sz w:val="18"/>
                <w:szCs w:val="18"/>
                <w:lang w:val="en-GB"/>
              </w:rPr>
              <w:t>%</w:t>
            </w:r>
            <w:r w:rsidRPr="002601BB">
              <w:rPr>
                <w:iCs/>
                <w:sz w:val="18"/>
                <w:szCs w:val="18"/>
                <w:lang w:val="en-GB"/>
              </w:rPr>
              <w:t xml:space="preserve"> </w:t>
            </w:r>
          </w:p>
          <w:p w14:paraId="2EE1FE13" w14:textId="03F69DF1" w:rsidR="00C07898" w:rsidRPr="002601BB" w:rsidRDefault="00C07898" w:rsidP="00DF58ED">
            <w:pPr>
              <w:ind w:left="33"/>
              <w:rPr>
                <w:bCs/>
                <w:iCs/>
                <w:sz w:val="18"/>
                <w:szCs w:val="18"/>
                <w:lang w:val="en-GB"/>
              </w:rPr>
            </w:pPr>
            <w:r w:rsidRPr="002601BB">
              <w:rPr>
                <w:bCs/>
                <w:iCs/>
                <w:sz w:val="18"/>
                <w:szCs w:val="18"/>
                <w:lang w:val="en-GB"/>
              </w:rPr>
              <w:t>Rural: 24</w:t>
            </w:r>
            <w:r w:rsidR="00545E6A" w:rsidRPr="002601BB">
              <w:rPr>
                <w:bCs/>
                <w:iCs/>
                <w:sz w:val="18"/>
                <w:szCs w:val="18"/>
                <w:lang w:val="en-GB"/>
              </w:rPr>
              <w:t>.</w:t>
            </w:r>
            <w:r w:rsidRPr="002601BB">
              <w:rPr>
                <w:bCs/>
                <w:iCs/>
                <w:sz w:val="18"/>
                <w:szCs w:val="18"/>
                <w:lang w:val="en-GB"/>
              </w:rPr>
              <w:t>7</w:t>
            </w:r>
            <w:r w:rsidR="00545E6A" w:rsidRPr="002601BB">
              <w:rPr>
                <w:bCs/>
                <w:iCs/>
                <w:sz w:val="18"/>
                <w:szCs w:val="18"/>
                <w:lang w:val="en-GB"/>
              </w:rPr>
              <w:t>%</w:t>
            </w:r>
          </w:p>
          <w:p w14:paraId="2EDCD899" w14:textId="77777777" w:rsidR="00C07898" w:rsidRPr="002601BB" w:rsidRDefault="00C07898" w:rsidP="00C07898">
            <w:pPr>
              <w:ind w:left="360"/>
              <w:rPr>
                <w:bCs/>
                <w:iCs/>
                <w:sz w:val="18"/>
                <w:szCs w:val="18"/>
                <w:lang w:val="en-GB"/>
              </w:rPr>
            </w:pPr>
          </w:p>
          <w:p w14:paraId="696E3A2D" w14:textId="77777777" w:rsidR="00C07898" w:rsidRPr="002601BB" w:rsidRDefault="00C07898" w:rsidP="00C07898">
            <w:pPr>
              <w:ind w:left="360"/>
              <w:rPr>
                <w:bCs/>
                <w:iCs/>
                <w:sz w:val="18"/>
                <w:szCs w:val="18"/>
                <w:lang w:val="en-GB"/>
              </w:rPr>
            </w:pPr>
          </w:p>
          <w:p w14:paraId="44BAACF6" w14:textId="4EFAB66D" w:rsidR="00C07898" w:rsidRPr="002601BB" w:rsidRDefault="00AB2A9D" w:rsidP="001D3052">
            <w:pPr>
              <w:rPr>
                <w:bCs/>
                <w:iCs/>
                <w:sz w:val="18"/>
                <w:szCs w:val="18"/>
                <w:lang w:val="en-GB"/>
              </w:rPr>
            </w:pPr>
            <w:r w:rsidRPr="00DF58ED">
              <w:rPr>
                <w:b/>
                <w:iCs/>
                <w:sz w:val="18"/>
                <w:szCs w:val="18"/>
                <w:lang w:val="en-GB"/>
              </w:rPr>
              <w:t xml:space="preserve">Indicator </w:t>
            </w:r>
            <w:r w:rsidR="002327E3" w:rsidRPr="00DF58ED">
              <w:rPr>
                <w:b/>
                <w:iCs/>
                <w:sz w:val="18"/>
                <w:szCs w:val="18"/>
                <w:lang w:val="en-GB"/>
              </w:rPr>
              <w:t>2</w:t>
            </w:r>
            <w:r w:rsidR="00C07898" w:rsidRPr="00DF58ED">
              <w:rPr>
                <w:b/>
                <w:iCs/>
                <w:sz w:val="18"/>
                <w:szCs w:val="18"/>
                <w:lang w:val="en-GB"/>
              </w:rPr>
              <w:t>.</w:t>
            </w:r>
            <w:r w:rsidR="001C3F9D" w:rsidRPr="00DF58ED">
              <w:rPr>
                <w:b/>
                <w:iCs/>
                <w:sz w:val="18"/>
                <w:szCs w:val="18"/>
                <w:lang w:val="en-GB"/>
              </w:rPr>
              <w:t>1</w:t>
            </w:r>
            <w:r w:rsidR="00C07898" w:rsidRPr="00DF58ED">
              <w:rPr>
                <w:b/>
                <w:iCs/>
                <w:sz w:val="18"/>
                <w:szCs w:val="18"/>
                <w:lang w:val="en-GB"/>
              </w:rPr>
              <w:t>.</w:t>
            </w:r>
            <w:r w:rsidR="001C3F9D" w:rsidRPr="00DF58ED">
              <w:rPr>
                <w:b/>
                <w:iCs/>
                <w:sz w:val="18"/>
                <w:szCs w:val="18"/>
                <w:lang w:val="en-GB"/>
              </w:rPr>
              <w:t>4</w:t>
            </w:r>
            <w:r w:rsidR="00483295">
              <w:rPr>
                <w:b/>
                <w:iCs/>
                <w:sz w:val="18"/>
                <w:szCs w:val="18"/>
                <w:lang w:val="en-GB"/>
              </w:rPr>
              <w:t>.</w:t>
            </w:r>
            <w:r w:rsidR="00C07898" w:rsidRPr="002601BB">
              <w:rPr>
                <w:bCs/>
                <w:iCs/>
                <w:sz w:val="18"/>
                <w:szCs w:val="18"/>
                <w:lang w:val="en-GB"/>
              </w:rPr>
              <w:t xml:space="preserve"> Percentage of </w:t>
            </w:r>
            <w:r w:rsidR="00EB1459">
              <w:rPr>
                <w:bCs/>
                <w:iCs/>
                <w:sz w:val="18"/>
                <w:szCs w:val="18"/>
                <w:lang w:val="en-GB"/>
              </w:rPr>
              <w:t>people</w:t>
            </w:r>
            <w:r w:rsidR="00C07898" w:rsidRPr="002601BB">
              <w:rPr>
                <w:bCs/>
                <w:iCs/>
                <w:sz w:val="18"/>
                <w:szCs w:val="18"/>
                <w:lang w:val="en-GB"/>
              </w:rPr>
              <w:t xml:space="preserve"> living in dwellings with optimal basic services, by sex, zone</w:t>
            </w:r>
            <w:r w:rsidR="004E40B1">
              <w:rPr>
                <w:bCs/>
                <w:iCs/>
                <w:sz w:val="18"/>
                <w:szCs w:val="18"/>
                <w:lang w:val="en-GB"/>
              </w:rPr>
              <w:t>.</w:t>
            </w:r>
          </w:p>
          <w:p w14:paraId="488A2053" w14:textId="77777777" w:rsidR="00C07898" w:rsidRPr="002601BB" w:rsidRDefault="00C07898" w:rsidP="00C07898">
            <w:pPr>
              <w:ind w:left="360"/>
              <w:rPr>
                <w:bCs/>
                <w:iCs/>
                <w:sz w:val="18"/>
                <w:szCs w:val="18"/>
                <w:lang w:val="en-GB"/>
              </w:rPr>
            </w:pPr>
          </w:p>
          <w:p w14:paraId="7606EA83" w14:textId="07469487" w:rsidR="00C07898" w:rsidRPr="002601BB" w:rsidRDefault="00C07898" w:rsidP="00DF58ED">
            <w:pPr>
              <w:ind w:left="33"/>
              <w:rPr>
                <w:bCs/>
                <w:iCs/>
                <w:sz w:val="18"/>
                <w:szCs w:val="18"/>
                <w:lang w:val="en-GB"/>
              </w:rPr>
            </w:pPr>
            <w:r w:rsidRPr="00DF58ED">
              <w:rPr>
                <w:bCs/>
                <w:i/>
                <w:sz w:val="18"/>
                <w:szCs w:val="18"/>
                <w:lang w:val="en-GB"/>
              </w:rPr>
              <w:t>Base</w:t>
            </w:r>
            <w:r w:rsidR="00E34546" w:rsidRPr="00DF58ED">
              <w:rPr>
                <w:bCs/>
                <w:i/>
                <w:sz w:val="18"/>
                <w:szCs w:val="18"/>
                <w:lang w:val="en-GB"/>
              </w:rPr>
              <w:t>line</w:t>
            </w:r>
            <w:r w:rsidRPr="002601BB">
              <w:rPr>
                <w:bCs/>
                <w:iCs/>
                <w:sz w:val="18"/>
                <w:szCs w:val="18"/>
                <w:lang w:val="en-GB"/>
              </w:rPr>
              <w:t xml:space="preserve"> (2020):</w:t>
            </w:r>
          </w:p>
          <w:p w14:paraId="2A71B09D" w14:textId="77777777" w:rsidR="00C07898" w:rsidRPr="002601BB" w:rsidRDefault="00C07898" w:rsidP="00DF58ED">
            <w:pPr>
              <w:ind w:left="33"/>
              <w:rPr>
                <w:bCs/>
                <w:iCs/>
                <w:sz w:val="18"/>
                <w:szCs w:val="18"/>
                <w:lang w:val="en-GB"/>
              </w:rPr>
            </w:pPr>
            <w:r w:rsidRPr="002601BB">
              <w:rPr>
                <w:bCs/>
                <w:iCs/>
                <w:sz w:val="18"/>
                <w:szCs w:val="18"/>
                <w:lang w:val="en-GB"/>
              </w:rPr>
              <w:t>Total:93.6%</w:t>
            </w:r>
          </w:p>
          <w:p w14:paraId="66914EDA" w14:textId="77777777" w:rsidR="00C07898" w:rsidRPr="002601BB" w:rsidRDefault="00C07898" w:rsidP="00DF58ED">
            <w:pPr>
              <w:ind w:left="33"/>
              <w:rPr>
                <w:bCs/>
                <w:iCs/>
                <w:sz w:val="18"/>
                <w:szCs w:val="18"/>
                <w:lang w:val="en-GB"/>
              </w:rPr>
            </w:pPr>
            <w:r w:rsidRPr="002601BB">
              <w:rPr>
                <w:bCs/>
                <w:iCs/>
                <w:sz w:val="18"/>
                <w:szCs w:val="18"/>
                <w:lang w:val="en-GB"/>
              </w:rPr>
              <w:t>Male: 93.3%</w:t>
            </w:r>
          </w:p>
          <w:p w14:paraId="6F8AED8A" w14:textId="77777777" w:rsidR="00C07898" w:rsidRPr="002601BB" w:rsidRDefault="00C07898" w:rsidP="00DF58ED">
            <w:pPr>
              <w:ind w:left="33"/>
              <w:rPr>
                <w:bCs/>
                <w:iCs/>
                <w:sz w:val="18"/>
                <w:szCs w:val="18"/>
                <w:lang w:val="en-GB"/>
              </w:rPr>
            </w:pPr>
            <w:r w:rsidRPr="002601BB">
              <w:rPr>
                <w:bCs/>
                <w:iCs/>
                <w:sz w:val="18"/>
                <w:szCs w:val="18"/>
                <w:lang w:val="en-GB"/>
              </w:rPr>
              <w:t>Female: 93.8%</w:t>
            </w:r>
          </w:p>
          <w:p w14:paraId="3FC7BA00" w14:textId="77777777" w:rsidR="00C07898" w:rsidRPr="002601BB" w:rsidRDefault="00C07898" w:rsidP="00DF58ED">
            <w:pPr>
              <w:ind w:left="33"/>
              <w:rPr>
                <w:bCs/>
                <w:iCs/>
                <w:sz w:val="18"/>
                <w:szCs w:val="18"/>
                <w:lang w:val="en-GB"/>
              </w:rPr>
            </w:pPr>
          </w:p>
          <w:p w14:paraId="6C375702" w14:textId="77777777" w:rsidR="00C07898" w:rsidRPr="002601BB" w:rsidRDefault="00C07898" w:rsidP="00DF58ED">
            <w:pPr>
              <w:ind w:left="33"/>
              <w:rPr>
                <w:bCs/>
                <w:iCs/>
                <w:sz w:val="18"/>
                <w:szCs w:val="18"/>
                <w:lang w:val="en-GB"/>
              </w:rPr>
            </w:pPr>
            <w:r w:rsidRPr="002601BB">
              <w:rPr>
                <w:bCs/>
                <w:iCs/>
                <w:sz w:val="18"/>
                <w:szCs w:val="18"/>
                <w:lang w:val="en-GB"/>
              </w:rPr>
              <w:t>Urban; 97.1%</w:t>
            </w:r>
          </w:p>
          <w:p w14:paraId="2211CCBB" w14:textId="2715DE26" w:rsidR="00C07898" w:rsidRPr="002601BB" w:rsidRDefault="00C07898" w:rsidP="00DF58ED">
            <w:pPr>
              <w:ind w:left="33"/>
              <w:rPr>
                <w:bCs/>
                <w:iCs/>
                <w:sz w:val="18"/>
                <w:szCs w:val="18"/>
                <w:lang w:val="en-GB"/>
              </w:rPr>
            </w:pPr>
            <w:r w:rsidRPr="002601BB">
              <w:rPr>
                <w:bCs/>
                <w:iCs/>
                <w:sz w:val="18"/>
                <w:szCs w:val="18"/>
                <w:lang w:val="en-GB"/>
              </w:rPr>
              <w:t>Rural: 84</w:t>
            </w:r>
            <w:r w:rsidR="00545E6A" w:rsidRPr="002601BB">
              <w:rPr>
                <w:bCs/>
                <w:iCs/>
                <w:sz w:val="18"/>
                <w:szCs w:val="18"/>
                <w:lang w:val="en-GB"/>
              </w:rPr>
              <w:t>.</w:t>
            </w:r>
            <w:r w:rsidRPr="002601BB">
              <w:rPr>
                <w:bCs/>
                <w:iCs/>
                <w:sz w:val="18"/>
                <w:szCs w:val="18"/>
                <w:lang w:val="en-GB"/>
              </w:rPr>
              <w:t>3%</w:t>
            </w:r>
          </w:p>
          <w:p w14:paraId="1FE7F615" w14:textId="77777777" w:rsidR="00C07898" w:rsidRPr="002601BB" w:rsidRDefault="00C07898" w:rsidP="00DF58ED">
            <w:pPr>
              <w:ind w:left="33"/>
              <w:rPr>
                <w:bCs/>
                <w:iCs/>
                <w:sz w:val="18"/>
                <w:szCs w:val="18"/>
                <w:lang w:val="en-GB"/>
              </w:rPr>
            </w:pPr>
          </w:p>
          <w:p w14:paraId="20D8366F" w14:textId="3922013D" w:rsidR="00C07898" w:rsidRPr="002601BB" w:rsidRDefault="00C07898" w:rsidP="00DF58ED">
            <w:pPr>
              <w:ind w:left="33"/>
              <w:rPr>
                <w:bCs/>
                <w:iCs/>
                <w:sz w:val="18"/>
                <w:szCs w:val="18"/>
                <w:lang w:val="en-GB"/>
              </w:rPr>
            </w:pPr>
            <w:r w:rsidRPr="00DF58ED">
              <w:rPr>
                <w:bCs/>
                <w:i/>
                <w:sz w:val="18"/>
                <w:szCs w:val="18"/>
                <w:lang w:val="en-GB"/>
              </w:rPr>
              <w:t>Target</w:t>
            </w:r>
            <w:r w:rsidRPr="002601BB">
              <w:rPr>
                <w:bCs/>
                <w:iCs/>
                <w:sz w:val="18"/>
                <w:szCs w:val="18"/>
                <w:lang w:val="en-GB"/>
              </w:rPr>
              <w:t xml:space="preserve"> (2027) </w:t>
            </w:r>
          </w:p>
          <w:p w14:paraId="03F20710" w14:textId="77777777" w:rsidR="00C07898" w:rsidRPr="002601BB" w:rsidRDefault="00C07898" w:rsidP="00DF58ED">
            <w:pPr>
              <w:ind w:left="33"/>
              <w:rPr>
                <w:bCs/>
                <w:iCs/>
                <w:sz w:val="18"/>
                <w:szCs w:val="18"/>
                <w:lang w:val="en-GB"/>
              </w:rPr>
            </w:pPr>
            <w:r w:rsidRPr="002601BB">
              <w:rPr>
                <w:bCs/>
                <w:iCs/>
                <w:sz w:val="18"/>
                <w:szCs w:val="18"/>
                <w:lang w:val="en-GB"/>
              </w:rPr>
              <w:t>Total:96.5%</w:t>
            </w:r>
          </w:p>
          <w:p w14:paraId="7705954D" w14:textId="77777777" w:rsidR="00C07898" w:rsidRPr="002601BB" w:rsidRDefault="00C07898" w:rsidP="00DF58ED">
            <w:pPr>
              <w:ind w:left="33"/>
              <w:rPr>
                <w:bCs/>
                <w:iCs/>
                <w:sz w:val="18"/>
                <w:szCs w:val="18"/>
                <w:lang w:val="en-GB"/>
              </w:rPr>
            </w:pPr>
            <w:r w:rsidRPr="002601BB">
              <w:rPr>
                <w:bCs/>
                <w:iCs/>
                <w:sz w:val="18"/>
                <w:szCs w:val="18"/>
                <w:lang w:val="en-GB"/>
              </w:rPr>
              <w:t>Male: 96.3%</w:t>
            </w:r>
          </w:p>
          <w:p w14:paraId="2C3D966C" w14:textId="77777777" w:rsidR="00C07898" w:rsidRPr="002601BB" w:rsidRDefault="00C07898" w:rsidP="00DF58ED">
            <w:pPr>
              <w:ind w:left="33"/>
              <w:rPr>
                <w:bCs/>
                <w:iCs/>
                <w:sz w:val="18"/>
                <w:szCs w:val="18"/>
                <w:lang w:val="en-GB"/>
              </w:rPr>
            </w:pPr>
            <w:r w:rsidRPr="002601BB">
              <w:rPr>
                <w:bCs/>
                <w:iCs/>
                <w:sz w:val="18"/>
                <w:szCs w:val="18"/>
                <w:lang w:val="en-GB"/>
              </w:rPr>
              <w:t>Female: 96.9%</w:t>
            </w:r>
          </w:p>
          <w:p w14:paraId="5F08583B" w14:textId="77777777" w:rsidR="00C07898" w:rsidRPr="002601BB" w:rsidRDefault="00C07898" w:rsidP="00DF58ED">
            <w:pPr>
              <w:ind w:left="33"/>
              <w:rPr>
                <w:bCs/>
                <w:iCs/>
                <w:sz w:val="18"/>
                <w:szCs w:val="18"/>
                <w:lang w:val="en-GB"/>
              </w:rPr>
            </w:pPr>
            <w:r w:rsidRPr="002601BB">
              <w:rPr>
                <w:bCs/>
                <w:iCs/>
                <w:sz w:val="18"/>
                <w:szCs w:val="18"/>
                <w:lang w:val="en-GB"/>
              </w:rPr>
              <w:t>Urban; 99.0%</w:t>
            </w:r>
          </w:p>
          <w:p w14:paraId="5E2DC718" w14:textId="2E90D3A9" w:rsidR="00C07898" w:rsidRPr="002601BB" w:rsidRDefault="00C07898" w:rsidP="00DF58ED">
            <w:pPr>
              <w:ind w:left="33"/>
              <w:rPr>
                <w:bCs/>
                <w:iCs/>
                <w:sz w:val="18"/>
                <w:szCs w:val="18"/>
                <w:lang w:val="en-GB"/>
              </w:rPr>
            </w:pPr>
            <w:r w:rsidRPr="002601BB">
              <w:rPr>
                <w:bCs/>
                <w:iCs/>
                <w:sz w:val="18"/>
                <w:szCs w:val="18"/>
                <w:lang w:val="en-GB"/>
              </w:rPr>
              <w:t>Rural: 90</w:t>
            </w:r>
            <w:r w:rsidR="007D334A" w:rsidRPr="002601BB">
              <w:rPr>
                <w:bCs/>
                <w:iCs/>
                <w:sz w:val="18"/>
                <w:szCs w:val="18"/>
                <w:lang w:val="en-GB"/>
              </w:rPr>
              <w:t>.</w:t>
            </w:r>
            <w:r w:rsidRPr="002601BB">
              <w:rPr>
                <w:bCs/>
                <w:iCs/>
                <w:sz w:val="18"/>
                <w:szCs w:val="18"/>
                <w:lang w:val="en-GB"/>
              </w:rPr>
              <w:t>5%</w:t>
            </w:r>
          </w:p>
          <w:p w14:paraId="1D3BC0A2" w14:textId="77777777" w:rsidR="00C07898" w:rsidRPr="002601BB" w:rsidRDefault="00C07898" w:rsidP="00DF58ED">
            <w:pPr>
              <w:ind w:left="33"/>
              <w:rPr>
                <w:bCs/>
                <w:iCs/>
                <w:sz w:val="18"/>
                <w:szCs w:val="18"/>
                <w:lang w:val="en-GB"/>
              </w:rPr>
            </w:pPr>
          </w:p>
          <w:p w14:paraId="1859C352" w14:textId="77777777" w:rsidR="00C07898" w:rsidRPr="002601BB" w:rsidRDefault="00C07898" w:rsidP="00C07898">
            <w:pPr>
              <w:ind w:left="360"/>
              <w:rPr>
                <w:bCs/>
                <w:iCs/>
                <w:sz w:val="18"/>
                <w:szCs w:val="18"/>
                <w:lang w:val="en-GB"/>
              </w:rPr>
            </w:pPr>
          </w:p>
          <w:p w14:paraId="46A6EAAB" w14:textId="005A3883" w:rsidR="00C07898" w:rsidRPr="002601BB" w:rsidRDefault="00B163B9" w:rsidP="001D3052">
            <w:pPr>
              <w:rPr>
                <w:bCs/>
                <w:iCs/>
                <w:sz w:val="18"/>
                <w:szCs w:val="18"/>
                <w:lang w:val="en-GB"/>
              </w:rPr>
            </w:pPr>
            <w:r w:rsidRPr="00DF58ED">
              <w:rPr>
                <w:b/>
                <w:iCs/>
                <w:sz w:val="18"/>
                <w:szCs w:val="18"/>
                <w:lang w:val="en-GB"/>
              </w:rPr>
              <w:t xml:space="preserve">Indicator </w:t>
            </w:r>
            <w:r w:rsidR="001C3F9D" w:rsidRPr="00DF58ED">
              <w:rPr>
                <w:b/>
                <w:iCs/>
                <w:sz w:val="18"/>
                <w:szCs w:val="18"/>
                <w:lang w:val="en-GB"/>
              </w:rPr>
              <w:t>2</w:t>
            </w:r>
            <w:r w:rsidR="00C07898" w:rsidRPr="00DF58ED">
              <w:rPr>
                <w:b/>
                <w:iCs/>
                <w:sz w:val="18"/>
                <w:szCs w:val="18"/>
                <w:lang w:val="en-GB"/>
              </w:rPr>
              <w:t>.3.1</w:t>
            </w:r>
            <w:r w:rsidR="004E40B1">
              <w:rPr>
                <w:bCs/>
                <w:iCs/>
                <w:sz w:val="18"/>
                <w:szCs w:val="18"/>
                <w:lang w:val="en-GB"/>
              </w:rPr>
              <w:t>.</w:t>
            </w:r>
            <w:r w:rsidR="00C07898" w:rsidRPr="002601BB">
              <w:rPr>
                <w:bCs/>
                <w:iCs/>
                <w:sz w:val="18"/>
                <w:szCs w:val="18"/>
                <w:lang w:val="en-GB"/>
              </w:rPr>
              <w:t xml:space="preserve"> Percentage of informal employment in non-agricultural employment by sex</w:t>
            </w:r>
            <w:r w:rsidR="004E40B1">
              <w:rPr>
                <w:bCs/>
                <w:iCs/>
                <w:sz w:val="18"/>
                <w:szCs w:val="18"/>
                <w:lang w:val="en-GB"/>
              </w:rPr>
              <w:t>.</w:t>
            </w:r>
          </w:p>
          <w:p w14:paraId="0C857FB6" w14:textId="77777777" w:rsidR="00C07898" w:rsidRPr="002601BB" w:rsidRDefault="00C07898" w:rsidP="00C07898">
            <w:pPr>
              <w:ind w:left="360"/>
              <w:rPr>
                <w:bCs/>
                <w:iCs/>
                <w:sz w:val="18"/>
                <w:szCs w:val="18"/>
                <w:lang w:val="en-GB"/>
              </w:rPr>
            </w:pPr>
          </w:p>
          <w:p w14:paraId="78811792" w14:textId="364D686E" w:rsidR="00C07898" w:rsidRPr="002601BB" w:rsidRDefault="00C07898" w:rsidP="00DF58ED">
            <w:pPr>
              <w:rPr>
                <w:bCs/>
                <w:iCs/>
                <w:sz w:val="18"/>
                <w:szCs w:val="18"/>
                <w:lang w:val="en-GB"/>
              </w:rPr>
            </w:pPr>
            <w:r w:rsidRPr="00DF58ED">
              <w:rPr>
                <w:bCs/>
                <w:i/>
                <w:sz w:val="18"/>
                <w:szCs w:val="18"/>
                <w:lang w:val="en-GB"/>
              </w:rPr>
              <w:t>Base</w:t>
            </w:r>
            <w:r w:rsidR="00E34546" w:rsidRPr="00DF58ED">
              <w:rPr>
                <w:bCs/>
                <w:i/>
                <w:sz w:val="18"/>
                <w:szCs w:val="18"/>
                <w:lang w:val="en-GB"/>
              </w:rPr>
              <w:t>line</w:t>
            </w:r>
            <w:r w:rsidRPr="002601BB">
              <w:rPr>
                <w:bCs/>
                <w:iCs/>
                <w:sz w:val="18"/>
                <w:szCs w:val="18"/>
                <w:lang w:val="en-GB"/>
              </w:rPr>
              <w:t xml:space="preserve"> (2020):</w:t>
            </w:r>
          </w:p>
          <w:p w14:paraId="364A819E" w14:textId="0CF8291B" w:rsidR="00C07898" w:rsidRPr="002601BB" w:rsidRDefault="00C07898" w:rsidP="00DF58ED">
            <w:pPr>
              <w:rPr>
                <w:bCs/>
                <w:iCs/>
                <w:sz w:val="18"/>
                <w:szCs w:val="18"/>
                <w:lang w:val="en-GB"/>
              </w:rPr>
            </w:pPr>
            <w:r w:rsidRPr="002601BB">
              <w:rPr>
                <w:bCs/>
                <w:iCs/>
                <w:sz w:val="18"/>
                <w:szCs w:val="18"/>
                <w:lang w:val="en-GB"/>
              </w:rPr>
              <w:t>Total:44</w:t>
            </w:r>
            <w:r w:rsidR="00545E6A" w:rsidRPr="002601BB">
              <w:rPr>
                <w:bCs/>
                <w:iCs/>
                <w:sz w:val="18"/>
                <w:szCs w:val="18"/>
                <w:lang w:val="en-GB"/>
              </w:rPr>
              <w:t>.</w:t>
            </w:r>
            <w:r w:rsidRPr="002601BB">
              <w:rPr>
                <w:bCs/>
                <w:iCs/>
                <w:sz w:val="18"/>
                <w:szCs w:val="18"/>
                <w:lang w:val="en-GB"/>
              </w:rPr>
              <w:t>9%</w:t>
            </w:r>
          </w:p>
          <w:p w14:paraId="635B6CDA" w14:textId="77777777" w:rsidR="00C07898" w:rsidRPr="002601BB" w:rsidRDefault="00C07898" w:rsidP="00DF58ED">
            <w:pPr>
              <w:rPr>
                <w:bCs/>
                <w:iCs/>
                <w:sz w:val="18"/>
                <w:szCs w:val="18"/>
                <w:lang w:val="en-GB"/>
              </w:rPr>
            </w:pPr>
            <w:r w:rsidRPr="002601BB">
              <w:rPr>
                <w:bCs/>
                <w:iCs/>
                <w:sz w:val="18"/>
                <w:szCs w:val="18"/>
                <w:lang w:val="en-GB"/>
              </w:rPr>
              <w:t>Male: 42.4%</w:t>
            </w:r>
          </w:p>
          <w:p w14:paraId="456BDAF6" w14:textId="77777777" w:rsidR="00C07898" w:rsidRPr="002601BB" w:rsidRDefault="00C07898" w:rsidP="00DF58ED">
            <w:pPr>
              <w:rPr>
                <w:bCs/>
                <w:iCs/>
                <w:sz w:val="18"/>
                <w:szCs w:val="18"/>
                <w:lang w:val="en-GB"/>
              </w:rPr>
            </w:pPr>
            <w:r w:rsidRPr="002601BB">
              <w:rPr>
                <w:bCs/>
                <w:iCs/>
                <w:sz w:val="18"/>
                <w:szCs w:val="18"/>
                <w:lang w:val="en-GB"/>
              </w:rPr>
              <w:t>Female: 48.3%</w:t>
            </w:r>
          </w:p>
          <w:p w14:paraId="70C00D49" w14:textId="77777777" w:rsidR="004E40B1" w:rsidRPr="002601BB" w:rsidRDefault="004E40B1" w:rsidP="00DF58ED">
            <w:pPr>
              <w:rPr>
                <w:bCs/>
                <w:iCs/>
                <w:sz w:val="18"/>
                <w:szCs w:val="18"/>
                <w:lang w:val="en-GB"/>
              </w:rPr>
            </w:pPr>
          </w:p>
          <w:p w14:paraId="22D4E01D" w14:textId="7E10EDA4" w:rsidR="00C07898" w:rsidRPr="002601BB" w:rsidRDefault="00C07898" w:rsidP="00DF58ED">
            <w:pPr>
              <w:rPr>
                <w:bCs/>
                <w:iCs/>
                <w:sz w:val="18"/>
                <w:szCs w:val="18"/>
                <w:lang w:val="en-GB"/>
              </w:rPr>
            </w:pPr>
            <w:r w:rsidRPr="00DF58ED">
              <w:rPr>
                <w:bCs/>
                <w:i/>
                <w:sz w:val="18"/>
                <w:szCs w:val="18"/>
                <w:lang w:val="en-GB"/>
              </w:rPr>
              <w:t>Target</w:t>
            </w:r>
            <w:r w:rsidRPr="002601BB">
              <w:rPr>
                <w:bCs/>
                <w:iCs/>
                <w:sz w:val="18"/>
                <w:szCs w:val="18"/>
                <w:lang w:val="en-GB"/>
              </w:rPr>
              <w:t xml:space="preserve"> (2027): </w:t>
            </w:r>
          </w:p>
          <w:p w14:paraId="1AFA9BB8" w14:textId="274DA75C" w:rsidR="00C07898" w:rsidRPr="002601BB" w:rsidRDefault="00C07898" w:rsidP="00DF58ED">
            <w:pPr>
              <w:rPr>
                <w:bCs/>
                <w:iCs/>
                <w:sz w:val="18"/>
                <w:szCs w:val="18"/>
                <w:lang w:val="en-GB"/>
              </w:rPr>
            </w:pPr>
            <w:r w:rsidRPr="002601BB">
              <w:rPr>
                <w:bCs/>
                <w:iCs/>
                <w:sz w:val="18"/>
                <w:szCs w:val="18"/>
                <w:lang w:val="en-GB"/>
              </w:rPr>
              <w:t>Total:34</w:t>
            </w:r>
            <w:r w:rsidR="00545E6A" w:rsidRPr="002601BB">
              <w:rPr>
                <w:bCs/>
                <w:iCs/>
                <w:sz w:val="18"/>
                <w:szCs w:val="18"/>
                <w:lang w:val="en-GB"/>
              </w:rPr>
              <w:t>.</w:t>
            </w:r>
            <w:r w:rsidRPr="002601BB">
              <w:rPr>
                <w:bCs/>
                <w:iCs/>
                <w:sz w:val="18"/>
                <w:szCs w:val="18"/>
                <w:lang w:val="en-GB"/>
              </w:rPr>
              <w:t>0%</w:t>
            </w:r>
          </w:p>
          <w:p w14:paraId="1B34B3F8" w14:textId="77777777" w:rsidR="00C07898" w:rsidRPr="002601BB" w:rsidRDefault="00C07898" w:rsidP="00DF58ED">
            <w:pPr>
              <w:rPr>
                <w:bCs/>
                <w:iCs/>
                <w:sz w:val="18"/>
                <w:szCs w:val="18"/>
                <w:lang w:val="en-GB"/>
              </w:rPr>
            </w:pPr>
            <w:r w:rsidRPr="002601BB">
              <w:rPr>
                <w:bCs/>
                <w:iCs/>
                <w:sz w:val="18"/>
                <w:szCs w:val="18"/>
                <w:lang w:val="en-GB"/>
              </w:rPr>
              <w:t>Male: 31.8%</w:t>
            </w:r>
          </w:p>
          <w:p w14:paraId="4FE8E791" w14:textId="691A30E3" w:rsidR="00C07898" w:rsidRPr="002601BB" w:rsidRDefault="00C07898" w:rsidP="00DF58ED">
            <w:pPr>
              <w:rPr>
                <w:bCs/>
                <w:iCs/>
                <w:sz w:val="18"/>
                <w:szCs w:val="18"/>
                <w:lang w:val="en-GB"/>
              </w:rPr>
            </w:pPr>
            <w:r w:rsidRPr="002601BB">
              <w:rPr>
                <w:bCs/>
                <w:iCs/>
                <w:sz w:val="18"/>
                <w:szCs w:val="18"/>
                <w:lang w:val="en-GB"/>
              </w:rPr>
              <w:t>Female: 35</w:t>
            </w:r>
            <w:r w:rsidR="00545E6A" w:rsidRPr="002601BB">
              <w:rPr>
                <w:bCs/>
                <w:iCs/>
                <w:sz w:val="18"/>
                <w:szCs w:val="18"/>
                <w:lang w:val="en-GB"/>
              </w:rPr>
              <w:t>.</w:t>
            </w:r>
            <w:r w:rsidRPr="002601BB">
              <w:rPr>
                <w:bCs/>
                <w:iCs/>
                <w:sz w:val="18"/>
                <w:szCs w:val="18"/>
                <w:lang w:val="en-GB"/>
              </w:rPr>
              <w:t>2%</w:t>
            </w:r>
          </w:p>
          <w:p w14:paraId="3508818A" w14:textId="77777777" w:rsidR="00C07898" w:rsidRPr="002601BB" w:rsidRDefault="00C07898" w:rsidP="00C07898">
            <w:pPr>
              <w:ind w:left="360"/>
              <w:rPr>
                <w:bCs/>
                <w:iCs/>
                <w:sz w:val="18"/>
                <w:szCs w:val="18"/>
                <w:lang w:val="en-GB"/>
              </w:rPr>
            </w:pPr>
          </w:p>
          <w:p w14:paraId="225E5923" w14:textId="77777777" w:rsidR="00C07898" w:rsidRPr="002601BB" w:rsidRDefault="00C07898" w:rsidP="00C07898">
            <w:pPr>
              <w:ind w:left="360"/>
              <w:rPr>
                <w:bCs/>
                <w:iCs/>
                <w:sz w:val="18"/>
                <w:szCs w:val="18"/>
                <w:lang w:val="en-GB"/>
              </w:rPr>
            </w:pPr>
          </w:p>
          <w:p w14:paraId="188E4A91" w14:textId="2036AC18" w:rsidR="00C07898" w:rsidRPr="002601BB" w:rsidRDefault="00B163B9" w:rsidP="001D3052">
            <w:pPr>
              <w:rPr>
                <w:bCs/>
                <w:iCs/>
                <w:sz w:val="18"/>
                <w:szCs w:val="18"/>
                <w:lang w:val="en-GB"/>
              </w:rPr>
            </w:pPr>
            <w:r w:rsidRPr="00DF58ED">
              <w:rPr>
                <w:b/>
                <w:iCs/>
                <w:sz w:val="18"/>
                <w:szCs w:val="18"/>
                <w:lang w:val="en-GB"/>
              </w:rPr>
              <w:t xml:space="preserve">Indicator </w:t>
            </w:r>
            <w:r w:rsidR="001C3F9D" w:rsidRPr="00DF58ED">
              <w:rPr>
                <w:b/>
                <w:iCs/>
                <w:sz w:val="18"/>
                <w:szCs w:val="18"/>
                <w:lang w:val="en-GB"/>
              </w:rPr>
              <w:t>2</w:t>
            </w:r>
            <w:r w:rsidR="00C07898" w:rsidRPr="00DF58ED">
              <w:rPr>
                <w:b/>
                <w:iCs/>
                <w:sz w:val="18"/>
                <w:szCs w:val="18"/>
                <w:lang w:val="en-GB"/>
              </w:rPr>
              <w:t>.</w:t>
            </w:r>
            <w:r w:rsidR="001C3F9D" w:rsidRPr="00DF58ED">
              <w:rPr>
                <w:b/>
                <w:iCs/>
                <w:sz w:val="18"/>
                <w:szCs w:val="18"/>
                <w:lang w:val="en-GB"/>
              </w:rPr>
              <w:t>3</w:t>
            </w:r>
            <w:r w:rsidR="00C07898" w:rsidRPr="00DF58ED">
              <w:rPr>
                <w:b/>
                <w:iCs/>
                <w:sz w:val="18"/>
                <w:szCs w:val="18"/>
                <w:lang w:val="en-GB"/>
              </w:rPr>
              <w:t>.</w:t>
            </w:r>
            <w:r w:rsidR="001C3F9D" w:rsidRPr="00DF58ED">
              <w:rPr>
                <w:b/>
                <w:iCs/>
                <w:sz w:val="18"/>
                <w:szCs w:val="18"/>
                <w:lang w:val="en-GB"/>
              </w:rPr>
              <w:t>2</w:t>
            </w:r>
            <w:r w:rsidR="004E40B1" w:rsidRPr="00DF58ED">
              <w:rPr>
                <w:b/>
                <w:iCs/>
                <w:sz w:val="18"/>
                <w:szCs w:val="18"/>
                <w:lang w:val="en-GB"/>
              </w:rPr>
              <w:t>.</w:t>
            </w:r>
            <w:r w:rsidR="00C07898" w:rsidRPr="002601BB">
              <w:rPr>
                <w:bCs/>
                <w:iCs/>
                <w:sz w:val="18"/>
                <w:szCs w:val="18"/>
                <w:lang w:val="en-GB"/>
              </w:rPr>
              <w:t xml:space="preserve"> Intentional homicide rate by sex (per 100 inhabitants)</w:t>
            </w:r>
          </w:p>
          <w:p w14:paraId="25CF4EA8" w14:textId="77777777" w:rsidR="00C07898" w:rsidRPr="002601BB" w:rsidRDefault="00C07898" w:rsidP="00C07898">
            <w:pPr>
              <w:ind w:left="360"/>
              <w:rPr>
                <w:bCs/>
                <w:iCs/>
                <w:sz w:val="18"/>
                <w:szCs w:val="18"/>
                <w:lang w:val="en-GB"/>
              </w:rPr>
            </w:pPr>
          </w:p>
          <w:p w14:paraId="1D093C6E" w14:textId="07D326FD" w:rsidR="00C07898" w:rsidRPr="002601BB" w:rsidRDefault="00C07898" w:rsidP="00DF58ED">
            <w:pPr>
              <w:rPr>
                <w:bCs/>
                <w:iCs/>
                <w:sz w:val="18"/>
                <w:szCs w:val="18"/>
                <w:lang w:val="en-GB"/>
              </w:rPr>
            </w:pPr>
            <w:r w:rsidRPr="00DF58ED">
              <w:rPr>
                <w:bCs/>
                <w:i/>
                <w:sz w:val="18"/>
                <w:szCs w:val="18"/>
                <w:lang w:val="en-GB"/>
              </w:rPr>
              <w:t>Base</w:t>
            </w:r>
            <w:r w:rsidR="00E34546" w:rsidRPr="00DF58ED">
              <w:rPr>
                <w:bCs/>
                <w:i/>
                <w:sz w:val="18"/>
                <w:szCs w:val="18"/>
                <w:lang w:val="en-GB"/>
              </w:rPr>
              <w:t>line</w:t>
            </w:r>
            <w:r w:rsidRPr="002601BB">
              <w:rPr>
                <w:bCs/>
                <w:iCs/>
                <w:sz w:val="18"/>
                <w:szCs w:val="18"/>
                <w:lang w:val="en-GB"/>
              </w:rPr>
              <w:t xml:space="preserve"> (2020):</w:t>
            </w:r>
          </w:p>
          <w:p w14:paraId="2C07004F" w14:textId="77777777" w:rsidR="00C07898" w:rsidRPr="002601BB" w:rsidRDefault="00C07898" w:rsidP="00DF58ED">
            <w:pPr>
              <w:rPr>
                <w:bCs/>
                <w:iCs/>
                <w:sz w:val="18"/>
                <w:szCs w:val="18"/>
                <w:lang w:val="en-GB"/>
              </w:rPr>
            </w:pPr>
            <w:r w:rsidRPr="002601BB">
              <w:rPr>
                <w:bCs/>
                <w:iCs/>
                <w:sz w:val="18"/>
                <w:szCs w:val="18"/>
                <w:lang w:val="en-GB"/>
              </w:rPr>
              <w:t xml:space="preserve">Total:11,1 </w:t>
            </w:r>
          </w:p>
          <w:p w14:paraId="23A39C29" w14:textId="2CD264B5" w:rsidR="00C07898" w:rsidRPr="002601BB" w:rsidRDefault="00C07898" w:rsidP="00DF58ED">
            <w:pPr>
              <w:rPr>
                <w:bCs/>
                <w:iCs/>
                <w:sz w:val="18"/>
                <w:szCs w:val="18"/>
                <w:lang w:val="en-GB"/>
              </w:rPr>
            </w:pPr>
            <w:r w:rsidRPr="002601BB">
              <w:rPr>
                <w:bCs/>
                <w:iCs/>
                <w:sz w:val="18"/>
                <w:szCs w:val="18"/>
                <w:lang w:val="en-GB"/>
              </w:rPr>
              <w:t>Male: 19</w:t>
            </w:r>
            <w:r w:rsidR="00545E6A" w:rsidRPr="002601BB">
              <w:rPr>
                <w:bCs/>
                <w:iCs/>
                <w:sz w:val="18"/>
                <w:szCs w:val="18"/>
                <w:lang w:val="en-GB"/>
              </w:rPr>
              <w:t>.</w:t>
            </w:r>
            <w:r w:rsidRPr="002601BB">
              <w:rPr>
                <w:bCs/>
                <w:iCs/>
                <w:sz w:val="18"/>
                <w:szCs w:val="18"/>
                <w:lang w:val="en-GB"/>
              </w:rPr>
              <w:t xml:space="preserve">7 </w:t>
            </w:r>
          </w:p>
          <w:p w14:paraId="56AA92FB" w14:textId="1E6E5157" w:rsidR="00C07898" w:rsidRPr="002601BB" w:rsidRDefault="00C07898" w:rsidP="00DF58ED">
            <w:pPr>
              <w:rPr>
                <w:bCs/>
                <w:iCs/>
                <w:sz w:val="18"/>
                <w:szCs w:val="18"/>
                <w:lang w:val="en-GB"/>
              </w:rPr>
            </w:pPr>
            <w:r w:rsidRPr="002601BB">
              <w:rPr>
                <w:bCs/>
                <w:iCs/>
                <w:sz w:val="18"/>
                <w:szCs w:val="18"/>
                <w:lang w:val="en-GB"/>
              </w:rPr>
              <w:t>Female: 2</w:t>
            </w:r>
            <w:r w:rsidR="00545E6A" w:rsidRPr="002601BB">
              <w:rPr>
                <w:bCs/>
                <w:iCs/>
                <w:sz w:val="18"/>
                <w:szCs w:val="18"/>
                <w:lang w:val="en-GB"/>
              </w:rPr>
              <w:t>.</w:t>
            </w:r>
            <w:r w:rsidRPr="002601BB">
              <w:rPr>
                <w:bCs/>
                <w:iCs/>
                <w:sz w:val="18"/>
                <w:szCs w:val="18"/>
                <w:lang w:val="en-GB"/>
              </w:rPr>
              <w:t>4</w:t>
            </w:r>
          </w:p>
          <w:p w14:paraId="68D588F6" w14:textId="77777777" w:rsidR="00C07898" w:rsidRPr="002601BB" w:rsidRDefault="00C07898" w:rsidP="00DF58ED">
            <w:pPr>
              <w:rPr>
                <w:bCs/>
                <w:iCs/>
                <w:sz w:val="18"/>
                <w:szCs w:val="18"/>
                <w:lang w:val="en-GB"/>
              </w:rPr>
            </w:pPr>
          </w:p>
          <w:p w14:paraId="62F44724" w14:textId="77A478AB" w:rsidR="00C07898" w:rsidRPr="002601BB" w:rsidRDefault="00C07898" w:rsidP="00DF58ED">
            <w:pPr>
              <w:rPr>
                <w:bCs/>
                <w:iCs/>
                <w:sz w:val="18"/>
                <w:szCs w:val="18"/>
                <w:lang w:val="en-GB"/>
              </w:rPr>
            </w:pPr>
            <w:r w:rsidRPr="00DF58ED">
              <w:rPr>
                <w:bCs/>
                <w:i/>
                <w:sz w:val="18"/>
                <w:szCs w:val="18"/>
                <w:lang w:val="en-GB"/>
              </w:rPr>
              <w:t>Target</w:t>
            </w:r>
            <w:r w:rsidRPr="002601BB">
              <w:rPr>
                <w:bCs/>
                <w:iCs/>
                <w:sz w:val="18"/>
                <w:szCs w:val="18"/>
                <w:lang w:val="en-GB"/>
              </w:rPr>
              <w:t xml:space="preserve"> (2027)</w:t>
            </w:r>
          </w:p>
          <w:p w14:paraId="2CB0A636" w14:textId="09334B6E" w:rsidR="00C07898" w:rsidRPr="002601BB" w:rsidRDefault="00C07898" w:rsidP="00DF58ED">
            <w:pPr>
              <w:rPr>
                <w:bCs/>
                <w:iCs/>
                <w:sz w:val="18"/>
                <w:szCs w:val="18"/>
                <w:lang w:val="en-GB"/>
              </w:rPr>
            </w:pPr>
            <w:r w:rsidRPr="002601BB">
              <w:rPr>
                <w:bCs/>
                <w:iCs/>
                <w:sz w:val="18"/>
                <w:szCs w:val="18"/>
                <w:lang w:val="en-GB"/>
              </w:rPr>
              <w:t>Total: 8</w:t>
            </w:r>
            <w:r w:rsidR="00545E6A" w:rsidRPr="002601BB">
              <w:rPr>
                <w:bCs/>
                <w:iCs/>
                <w:sz w:val="18"/>
                <w:szCs w:val="18"/>
                <w:lang w:val="en-GB"/>
              </w:rPr>
              <w:t>.</w:t>
            </w:r>
            <w:r w:rsidRPr="002601BB">
              <w:rPr>
                <w:bCs/>
                <w:iCs/>
                <w:sz w:val="18"/>
                <w:szCs w:val="18"/>
                <w:lang w:val="en-GB"/>
              </w:rPr>
              <w:t>7</w:t>
            </w:r>
          </w:p>
          <w:p w14:paraId="0FE53BB7" w14:textId="0FE15FC1" w:rsidR="00C07898" w:rsidRPr="002601BB" w:rsidRDefault="00C07898" w:rsidP="00DF58ED">
            <w:pPr>
              <w:rPr>
                <w:bCs/>
                <w:iCs/>
                <w:sz w:val="18"/>
                <w:szCs w:val="18"/>
                <w:lang w:val="en-GB"/>
              </w:rPr>
            </w:pPr>
            <w:r w:rsidRPr="002601BB">
              <w:rPr>
                <w:bCs/>
                <w:iCs/>
                <w:sz w:val="18"/>
                <w:szCs w:val="18"/>
                <w:lang w:val="en-GB"/>
              </w:rPr>
              <w:t>Male: 15</w:t>
            </w:r>
            <w:r w:rsidR="00545E6A" w:rsidRPr="002601BB">
              <w:rPr>
                <w:bCs/>
                <w:iCs/>
                <w:sz w:val="18"/>
                <w:szCs w:val="18"/>
                <w:lang w:val="en-GB"/>
              </w:rPr>
              <w:t>.</w:t>
            </w:r>
            <w:r w:rsidRPr="002601BB">
              <w:rPr>
                <w:bCs/>
                <w:iCs/>
                <w:sz w:val="18"/>
                <w:szCs w:val="18"/>
                <w:lang w:val="en-GB"/>
              </w:rPr>
              <w:t>2</w:t>
            </w:r>
          </w:p>
          <w:p w14:paraId="683083A4" w14:textId="542329B5" w:rsidR="00C07898" w:rsidRPr="002601BB" w:rsidRDefault="00C07898" w:rsidP="00DF58ED">
            <w:pPr>
              <w:rPr>
                <w:bCs/>
                <w:iCs/>
                <w:sz w:val="18"/>
                <w:szCs w:val="18"/>
                <w:lang w:val="en-GB"/>
              </w:rPr>
            </w:pPr>
            <w:r w:rsidRPr="002601BB">
              <w:rPr>
                <w:bCs/>
                <w:iCs/>
                <w:sz w:val="18"/>
                <w:szCs w:val="18"/>
                <w:lang w:val="en-GB"/>
              </w:rPr>
              <w:t>Female: 1</w:t>
            </w:r>
            <w:r w:rsidR="00545E6A" w:rsidRPr="002601BB">
              <w:rPr>
                <w:bCs/>
                <w:iCs/>
                <w:sz w:val="18"/>
                <w:szCs w:val="18"/>
                <w:lang w:val="en-GB"/>
              </w:rPr>
              <w:t>.</w:t>
            </w:r>
            <w:r w:rsidRPr="002601BB">
              <w:rPr>
                <w:bCs/>
                <w:iCs/>
                <w:sz w:val="18"/>
                <w:szCs w:val="18"/>
                <w:lang w:val="en-GB"/>
              </w:rPr>
              <w:t>5</w:t>
            </w:r>
          </w:p>
          <w:p w14:paraId="2440D451" w14:textId="08BCEF0D" w:rsidR="00C07898" w:rsidRPr="002601BB" w:rsidRDefault="00C07898" w:rsidP="00C07898">
            <w:pPr>
              <w:ind w:left="360"/>
              <w:rPr>
                <w:bCs/>
                <w:iCs/>
                <w:sz w:val="18"/>
                <w:szCs w:val="18"/>
                <w:lang w:val="en-GB"/>
              </w:rPr>
            </w:pPr>
          </w:p>
        </w:tc>
        <w:tc>
          <w:tcPr>
            <w:tcW w:w="1178" w:type="pct"/>
            <w:vMerge w:val="restart"/>
          </w:tcPr>
          <w:p w14:paraId="03B71E97" w14:textId="6403E03D" w:rsidR="000516EF" w:rsidRPr="002601BB" w:rsidRDefault="00C07898" w:rsidP="00B603B7">
            <w:pPr>
              <w:rPr>
                <w:iCs/>
                <w:sz w:val="18"/>
                <w:szCs w:val="18"/>
                <w:lang w:val="en-GB"/>
              </w:rPr>
            </w:pPr>
            <w:r w:rsidRPr="002601BB">
              <w:rPr>
                <w:iCs/>
                <w:sz w:val="18"/>
                <w:szCs w:val="18"/>
                <w:lang w:val="en-GB"/>
              </w:rPr>
              <w:lastRenderedPageBreak/>
              <w:t xml:space="preserve">INEC, </w:t>
            </w:r>
            <w:r w:rsidR="000516EF" w:rsidRPr="002601BB">
              <w:rPr>
                <w:iCs/>
                <w:sz w:val="18"/>
                <w:szCs w:val="18"/>
                <w:lang w:val="en-GB"/>
              </w:rPr>
              <w:t>Judicial Branch</w:t>
            </w:r>
          </w:p>
          <w:p w14:paraId="2440D454" w14:textId="1A150884" w:rsidR="00C07898" w:rsidRPr="002601BB" w:rsidRDefault="00C07898" w:rsidP="00C07898">
            <w:pPr>
              <w:rPr>
                <w:iCs/>
                <w:sz w:val="18"/>
                <w:szCs w:val="18"/>
                <w:lang w:val="en-GB"/>
              </w:rPr>
            </w:pPr>
            <w:r w:rsidRPr="002601BB">
              <w:rPr>
                <w:iCs/>
                <w:sz w:val="18"/>
                <w:szCs w:val="18"/>
                <w:lang w:val="en-GB"/>
              </w:rPr>
              <w:t>Annual</w:t>
            </w:r>
          </w:p>
        </w:tc>
        <w:tc>
          <w:tcPr>
            <w:tcW w:w="1092" w:type="pct"/>
            <w:vMerge w:val="restart"/>
            <w:tcMar>
              <w:top w:w="72" w:type="dxa"/>
              <w:left w:w="144" w:type="dxa"/>
              <w:bottom w:w="72" w:type="dxa"/>
              <w:right w:w="144" w:type="dxa"/>
            </w:tcMar>
          </w:tcPr>
          <w:p w14:paraId="5FD91B96" w14:textId="5EF8B84D" w:rsidR="00C07898" w:rsidRPr="002601BB" w:rsidRDefault="00C07898" w:rsidP="00C07898">
            <w:pPr>
              <w:rPr>
                <w:iCs/>
                <w:sz w:val="18"/>
                <w:szCs w:val="18"/>
                <w:lang w:val="en-GB"/>
              </w:rPr>
            </w:pPr>
            <w:r w:rsidRPr="002601BB">
              <w:rPr>
                <w:b/>
                <w:bCs/>
                <w:iCs/>
                <w:sz w:val="18"/>
                <w:szCs w:val="18"/>
                <w:lang w:val="en-GB"/>
              </w:rPr>
              <w:t>Output 1.1</w:t>
            </w:r>
            <w:r w:rsidR="00483295">
              <w:rPr>
                <w:b/>
                <w:bCs/>
                <w:iCs/>
                <w:sz w:val="18"/>
                <w:szCs w:val="18"/>
                <w:lang w:val="en-GB"/>
              </w:rPr>
              <w:t>.</w:t>
            </w:r>
            <w:r w:rsidRPr="002601BB">
              <w:rPr>
                <w:b/>
                <w:bCs/>
                <w:iCs/>
                <w:sz w:val="18"/>
                <w:szCs w:val="18"/>
                <w:lang w:val="en-GB"/>
              </w:rPr>
              <w:t xml:space="preserve"> </w:t>
            </w:r>
            <w:r w:rsidR="000516EF" w:rsidRPr="002601BB">
              <w:rPr>
                <w:b/>
                <w:bCs/>
                <w:iCs/>
                <w:sz w:val="18"/>
                <w:szCs w:val="18"/>
                <w:lang w:val="en-GB"/>
              </w:rPr>
              <w:t>P</w:t>
            </w:r>
            <w:r w:rsidRPr="002601BB">
              <w:rPr>
                <w:b/>
                <w:bCs/>
                <w:iCs/>
                <w:sz w:val="18"/>
                <w:szCs w:val="18"/>
                <w:lang w:val="en-GB"/>
              </w:rPr>
              <w:t>ublic institution</w:t>
            </w:r>
            <w:r w:rsidR="000516EF" w:rsidRPr="002601BB">
              <w:rPr>
                <w:b/>
                <w:bCs/>
                <w:iCs/>
                <w:sz w:val="18"/>
                <w:szCs w:val="18"/>
                <w:lang w:val="en-GB"/>
              </w:rPr>
              <w:t>s have strengthened</w:t>
            </w:r>
            <w:r w:rsidRPr="002601BB">
              <w:rPr>
                <w:b/>
                <w:bCs/>
                <w:iCs/>
                <w:sz w:val="18"/>
                <w:szCs w:val="18"/>
                <w:lang w:val="en-GB"/>
              </w:rPr>
              <w:t xml:space="preserve"> capacities for </w:t>
            </w:r>
            <w:r w:rsidR="00DD2A06" w:rsidRPr="002601BB">
              <w:rPr>
                <w:b/>
                <w:bCs/>
                <w:iCs/>
                <w:sz w:val="18"/>
                <w:szCs w:val="18"/>
                <w:lang w:val="en-GB"/>
              </w:rPr>
              <w:t>designing, implementing and evaluating</w:t>
            </w:r>
            <w:r w:rsidRPr="002601BB">
              <w:rPr>
                <w:b/>
                <w:bCs/>
                <w:iCs/>
                <w:sz w:val="18"/>
                <w:szCs w:val="18"/>
                <w:lang w:val="en-GB"/>
              </w:rPr>
              <w:t xml:space="preserve"> public policies </w:t>
            </w:r>
            <w:r w:rsidR="008C0712" w:rsidRPr="002601BB">
              <w:rPr>
                <w:b/>
                <w:bCs/>
                <w:iCs/>
                <w:sz w:val="18"/>
                <w:szCs w:val="18"/>
                <w:lang w:val="en-GB"/>
              </w:rPr>
              <w:t>to achieve</w:t>
            </w:r>
            <w:r w:rsidRPr="002601BB">
              <w:rPr>
                <w:b/>
                <w:bCs/>
                <w:iCs/>
                <w:sz w:val="18"/>
                <w:szCs w:val="18"/>
                <w:lang w:val="en-GB"/>
              </w:rPr>
              <w:t xml:space="preserve"> 2030 goals, based on the generation of evidence data</w:t>
            </w:r>
            <w:r w:rsidR="00CE2693" w:rsidRPr="002601BB">
              <w:rPr>
                <w:b/>
                <w:bCs/>
                <w:iCs/>
                <w:sz w:val="18"/>
                <w:szCs w:val="18"/>
                <w:lang w:val="en-GB"/>
              </w:rPr>
              <w:t>, digitali</w:t>
            </w:r>
            <w:r w:rsidR="00483295">
              <w:rPr>
                <w:b/>
                <w:bCs/>
                <w:iCs/>
                <w:sz w:val="18"/>
                <w:szCs w:val="18"/>
                <w:lang w:val="en-GB"/>
              </w:rPr>
              <w:t>z</w:t>
            </w:r>
            <w:r w:rsidR="00CE2693" w:rsidRPr="002601BB">
              <w:rPr>
                <w:b/>
                <w:bCs/>
                <w:iCs/>
                <w:sz w:val="18"/>
                <w:szCs w:val="18"/>
                <w:lang w:val="en-GB"/>
              </w:rPr>
              <w:t>ation</w:t>
            </w:r>
            <w:r w:rsidRPr="002601BB">
              <w:rPr>
                <w:b/>
                <w:bCs/>
                <w:iCs/>
                <w:sz w:val="18"/>
                <w:szCs w:val="18"/>
                <w:lang w:val="en-GB"/>
              </w:rPr>
              <w:t xml:space="preserve"> and information analysis and participatory approaches.</w:t>
            </w:r>
          </w:p>
          <w:p w14:paraId="2440D456" w14:textId="77777777" w:rsidR="00C07898" w:rsidRPr="002601BB" w:rsidRDefault="00C07898" w:rsidP="00C07898">
            <w:pPr>
              <w:rPr>
                <w:iCs/>
                <w:sz w:val="18"/>
                <w:szCs w:val="18"/>
                <w:lang w:val="en-GB"/>
              </w:rPr>
            </w:pPr>
          </w:p>
          <w:p w14:paraId="6CCB5452" w14:textId="10EB9C22" w:rsidR="00C07898" w:rsidRPr="004E40B1" w:rsidRDefault="00C07898" w:rsidP="00DF58ED">
            <w:pPr>
              <w:pStyle w:val="ListParagraph"/>
              <w:ind w:left="15"/>
              <w:rPr>
                <w:lang w:val="en-GB"/>
              </w:rPr>
            </w:pPr>
            <w:r w:rsidRPr="00DF58ED">
              <w:rPr>
                <w:b/>
                <w:bCs/>
                <w:iCs/>
                <w:sz w:val="18"/>
                <w:szCs w:val="18"/>
                <w:lang w:val="en-GB"/>
              </w:rPr>
              <w:t>Indicator</w:t>
            </w:r>
            <w:r w:rsidR="004E40B1">
              <w:rPr>
                <w:b/>
                <w:bCs/>
                <w:iCs/>
                <w:sz w:val="18"/>
                <w:szCs w:val="18"/>
                <w:lang w:val="en-GB"/>
              </w:rPr>
              <w:t xml:space="preserve"> 1</w:t>
            </w:r>
            <w:r w:rsidRPr="00DF58ED">
              <w:rPr>
                <w:b/>
                <w:bCs/>
                <w:iCs/>
                <w:sz w:val="18"/>
                <w:szCs w:val="18"/>
                <w:lang w:val="en-GB"/>
              </w:rPr>
              <w:t>.1.1</w:t>
            </w:r>
            <w:r w:rsidR="00483295" w:rsidRPr="00DF58ED">
              <w:rPr>
                <w:b/>
                <w:bCs/>
                <w:iCs/>
                <w:sz w:val="18"/>
                <w:szCs w:val="18"/>
                <w:lang w:val="en-GB"/>
              </w:rPr>
              <w:t>.</w:t>
            </w:r>
            <w:r w:rsidR="004E40B1">
              <w:rPr>
                <w:b/>
                <w:bCs/>
                <w:iCs/>
                <w:sz w:val="18"/>
                <w:szCs w:val="18"/>
                <w:lang w:val="en-GB"/>
              </w:rPr>
              <w:t xml:space="preserve"> </w:t>
            </w:r>
            <w:r w:rsidRPr="00DF58ED">
              <w:rPr>
                <w:iCs/>
                <w:sz w:val="18"/>
                <w:szCs w:val="18"/>
                <w:lang w:val="en-GB"/>
              </w:rPr>
              <w:t xml:space="preserve">Number of public policies that have improved in their design, implementation and evaluation </w:t>
            </w:r>
            <w:r w:rsidR="008061AF" w:rsidRPr="00DF58ED">
              <w:rPr>
                <w:iCs/>
                <w:sz w:val="18"/>
                <w:szCs w:val="18"/>
                <w:lang w:val="en-GB"/>
              </w:rPr>
              <w:t xml:space="preserve">of </w:t>
            </w:r>
            <w:r w:rsidRPr="00DF58ED">
              <w:rPr>
                <w:iCs/>
                <w:sz w:val="18"/>
                <w:szCs w:val="18"/>
                <w:lang w:val="en-GB"/>
              </w:rPr>
              <w:t xml:space="preserve">evidence-based and participatory approaches with </w:t>
            </w:r>
            <w:r w:rsidR="008061AF" w:rsidRPr="00DF58ED">
              <w:rPr>
                <w:iCs/>
                <w:sz w:val="18"/>
                <w:szCs w:val="18"/>
                <w:lang w:val="en-GB"/>
              </w:rPr>
              <w:t xml:space="preserve">an </w:t>
            </w:r>
            <w:r w:rsidRPr="00DF58ED">
              <w:rPr>
                <w:iCs/>
                <w:sz w:val="18"/>
                <w:szCs w:val="18"/>
                <w:lang w:val="en-GB"/>
              </w:rPr>
              <w:t>intersectional gender perspective, built with the support of UNDP.</w:t>
            </w:r>
            <w:r w:rsidR="004E40B1">
              <w:rPr>
                <w:iCs/>
                <w:sz w:val="18"/>
                <w:szCs w:val="18"/>
                <w:lang w:val="en-GB"/>
              </w:rPr>
              <w:t xml:space="preserve"> </w:t>
            </w:r>
            <w:r w:rsidRPr="00403D22">
              <w:rPr>
                <w:lang w:val="en-GB"/>
              </w:rPr>
              <w:t>[IRRF</w:t>
            </w:r>
            <w:r w:rsidR="0026019A" w:rsidRPr="004E40B1">
              <w:rPr>
                <w:lang w:val="en-GB"/>
              </w:rPr>
              <w:t>.</w:t>
            </w:r>
            <w:r w:rsidRPr="004E40B1">
              <w:rPr>
                <w:lang w:val="en-GB"/>
              </w:rPr>
              <w:t>1.1.1]</w:t>
            </w:r>
          </w:p>
          <w:p w14:paraId="0A327148" w14:textId="602E4185" w:rsidR="00C07898" w:rsidRPr="002601BB" w:rsidRDefault="00C07898" w:rsidP="00DF58ED">
            <w:pPr>
              <w:pStyle w:val="ListParagraph"/>
              <w:ind w:left="15"/>
              <w:rPr>
                <w:iCs/>
                <w:sz w:val="18"/>
                <w:szCs w:val="18"/>
                <w:lang w:val="en-GB"/>
              </w:rPr>
            </w:pPr>
            <w:r w:rsidRPr="00DF58ED">
              <w:rPr>
                <w:i/>
                <w:sz w:val="18"/>
                <w:szCs w:val="18"/>
                <w:lang w:val="en-GB"/>
              </w:rPr>
              <w:t>Baseline</w:t>
            </w:r>
            <w:r w:rsidRPr="002601BB">
              <w:rPr>
                <w:iCs/>
                <w:sz w:val="18"/>
                <w:szCs w:val="18"/>
                <w:lang w:val="en-GB"/>
              </w:rPr>
              <w:t xml:space="preserve"> (2022): 3</w:t>
            </w:r>
          </w:p>
          <w:p w14:paraId="4C308709" w14:textId="5FA2A5BE" w:rsidR="00C07898" w:rsidRPr="002601BB" w:rsidRDefault="00C07898" w:rsidP="00DF58ED">
            <w:pPr>
              <w:pStyle w:val="ListParagraph"/>
              <w:ind w:left="15"/>
              <w:rPr>
                <w:iCs/>
                <w:sz w:val="18"/>
                <w:szCs w:val="18"/>
                <w:lang w:val="en-GB"/>
              </w:rPr>
            </w:pPr>
            <w:r w:rsidRPr="00DF58ED">
              <w:rPr>
                <w:i/>
                <w:sz w:val="18"/>
                <w:szCs w:val="18"/>
                <w:lang w:val="en-GB"/>
              </w:rPr>
              <w:t>Target</w:t>
            </w:r>
            <w:r w:rsidRPr="002601BB">
              <w:rPr>
                <w:iCs/>
                <w:sz w:val="18"/>
                <w:szCs w:val="18"/>
                <w:lang w:val="en-GB"/>
              </w:rPr>
              <w:t xml:space="preserve"> (2027): 8</w:t>
            </w:r>
          </w:p>
          <w:p w14:paraId="7CB940BA" w14:textId="77777777" w:rsidR="00C07898" w:rsidRPr="002601BB" w:rsidRDefault="00C07898" w:rsidP="00DF58ED">
            <w:pPr>
              <w:pStyle w:val="ListParagraph"/>
              <w:ind w:left="15"/>
              <w:rPr>
                <w:iCs/>
                <w:sz w:val="18"/>
                <w:szCs w:val="18"/>
                <w:lang w:val="en-GB"/>
              </w:rPr>
            </w:pPr>
            <w:r w:rsidRPr="00DF58ED">
              <w:rPr>
                <w:i/>
                <w:sz w:val="18"/>
                <w:szCs w:val="18"/>
                <w:lang w:val="en-GB"/>
              </w:rPr>
              <w:t>Frequency</w:t>
            </w:r>
            <w:r w:rsidRPr="002601BB">
              <w:rPr>
                <w:iCs/>
                <w:sz w:val="18"/>
                <w:szCs w:val="18"/>
                <w:lang w:val="en-GB"/>
              </w:rPr>
              <w:t>: annual</w:t>
            </w:r>
          </w:p>
          <w:p w14:paraId="4E48AF46" w14:textId="46D9F7A3" w:rsidR="00C07898" w:rsidRPr="002601BB" w:rsidRDefault="00C07898" w:rsidP="00DF58ED">
            <w:pPr>
              <w:pStyle w:val="ListParagraph"/>
              <w:ind w:left="15"/>
              <w:rPr>
                <w:iCs/>
                <w:sz w:val="18"/>
                <w:szCs w:val="18"/>
                <w:lang w:val="en-GB"/>
              </w:rPr>
            </w:pPr>
            <w:r w:rsidRPr="00DF58ED">
              <w:rPr>
                <w:i/>
                <w:sz w:val="18"/>
                <w:szCs w:val="18"/>
                <w:lang w:val="en-GB"/>
              </w:rPr>
              <w:t>Source</w:t>
            </w:r>
            <w:r w:rsidRPr="002601BB">
              <w:rPr>
                <w:iCs/>
                <w:sz w:val="18"/>
                <w:szCs w:val="18"/>
                <w:lang w:val="en-GB"/>
              </w:rPr>
              <w:t>: UNDP</w:t>
            </w:r>
          </w:p>
          <w:p w14:paraId="32FDF312" w14:textId="18C4A31B" w:rsidR="00C07898" w:rsidRPr="002601BB" w:rsidRDefault="00C07898" w:rsidP="00DF58ED">
            <w:pPr>
              <w:pStyle w:val="ListParagraph"/>
              <w:ind w:left="15"/>
              <w:rPr>
                <w:b/>
                <w:bCs/>
                <w:iCs/>
                <w:sz w:val="18"/>
                <w:szCs w:val="18"/>
                <w:lang w:val="en-GB"/>
              </w:rPr>
            </w:pPr>
          </w:p>
          <w:p w14:paraId="270DD2A7" w14:textId="06C34C4D" w:rsidR="00C07898" w:rsidRPr="004E40B1" w:rsidRDefault="00C07898" w:rsidP="00DF58ED">
            <w:pPr>
              <w:pStyle w:val="ListParagraph"/>
              <w:ind w:left="15"/>
              <w:rPr>
                <w:lang w:val="en-GB"/>
              </w:rPr>
            </w:pPr>
            <w:r w:rsidRPr="00DF58ED">
              <w:rPr>
                <w:b/>
                <w:bCs/>
                <w:iCs/>
                <w:sz w:val="18"/>
                <w:szCs w:val="18"/>
                <w:lang w:val="en-GB"/>
              </w:rPr>
              <w:t>Indicator 1.1.2</w:t>
            </w:r>
            <w:r w:rsidR="00483295">
              <w:rPr>
                <w:b/>
                <w:bCs/>
                <w:iCs/>
                <w:sz w:val="18"/>
                <w:szCs w:val="18"/>
                <w:lang w:val="en-GB"/>
              </w:rPr>
              <w:t>.</w:t>
            </w:r>
            <w:r w:rsidRPr="00DF58ED">
              <w:rPr>
                <w:b/>
                <w:bCs/>
                <w:iCs/>
                <w:sz w:val="18"/>
                <w:szCs w:val="18"/>
                <w:lang w:val="en-GB"/>
              </w:rPr>
              <w:t xml:space="preserve"> </w:t>
            </w:r>
            <w:r w:rsidRPr="00DF58ED">
              <w:rPr>
                <w:iCs/>
                <w:sz w:val="18"/>
                <w:szCs w:val="18"/>
                <w:lang w:val="en-GB"/>
              </w:rPr>
              <w:t xml:space="preserve">Number of digital platforms and applications developed with support from UNDP that </w:t>
            </w:r>
            <w:r w:rsidR="003954ED" w:rsidRPr="00DF58ED">
              <w:rPr>
                <w:iCs/>
                <w:sz w:val="18"/>
                <w:szCs w:val="18"/>
                <w:lang w:val="en-GB"/>
              </w:rPr>
              <w:t>accelerate digitali</w:t>
            </w:r>
            <w:r w:rsidR="004E40B1" w:rsidRPr="00DF58ED">
              <w:rPr>
                <w:iCs/>
                <w:sz w:val="18"/>
                <w:szCs w:val="18"/>
                <w:lang w:val="en-GB"/>
              </w:rPr>
              <w:t>z</w:t>
            </w:r>
            <w:r w:rsidR="003954ED" w:rsidRPr="00DF58ED">
              <w:rPr>
                <w:iCs/>
                <w:sz w:val="18"/>
                <w:szCs w:val="18"/>
                <w:lang w:val="en-GB"/>
              </w:rPr>
              <w:t>ation</w:t>
            </w:r>
            <w:r w:rsidR="00B01629" w:rsidRPr="00DF58ED">
              <w:rPr>
                <w:iCs/>
                <w:sz w:val="18"/>
                <w:szCs w:val="18"/>
                <w:lang w:val="en-GB"/>
              </w:rPr>
              <w:t xml:space="preserve">, </w:t>
            </w:r>
            <w:r w:rsidR="00EB1459">
              <w:rPr>
                <w:iCs/>
                <w:sz w:val="18"/>
                <w:szCs w:val="18"/>
                <w:lang w:val="en-GB"/>
              </w:rPr>
              <w:t xml:space="preserve">and </w:t>
            </w:r>
            <w:r w:rsidRPr="00DF58ED">
              <w:rPr>
                <w:iCs/>
                <w:sz w:val="18"/>
                <w:szCs w:val="18"/>
                <w:lang w:val="en-GB"/>
              </w:rPr>
              <w:t xml:space="preserve">facilitate </w:t>
            </w:r>
            <w:r w:rsidRPr="00DF58ED">
              <w:rPr>
                <w:iCs/>
                <w:sz w:val="18"/>
                <w:szCs w:val="18"/>
                <w:lang w:val="en-GB"/>
              </w:rPr>
              <w:lastRenderedPageBreak/>
              <w:t>decision-making in the public and private sectors, with an intersectional gender perspective for Sustainable Developmen</w:t>
            </w:r>
            <w:r w:rsidR="004E40B1" w:rsidRPr="00DF58ED">
              <w:rPr>
                <w:iCs/>
                <w:sz w:val="18"/>
                <w:szCs w:val="18"/>
                <w:lang w:val="en-GB"/>
              </w:rPr>
              <w:t xml:space="preserve">t </w:t>
            </w:r>
            <w:r w:rsidRPr="004E40B1">
              <w:rPr>
                <w:lang w:val="en-GB"/>
              </w:rPr>
              <w:t>[IRRF</w:t>
            </w:r>
            <w:r w:rsidR="007D334A" w:rsidRPr="004E40B1">
              <w:rPr>
                <w:lang w:val="en-GB"/>
              </w:rPr>
              <w:t>.</w:t>
            </w:r>
            <w:r w:rsidRPr="004E40B1">
              <w:rPr>
                <w:lang w:val="en-GB"/>
              </w:rPr>
              <w:t>1.1.3]</w:t>
            </w:r>
          </w:p>
          <w:p w14:paraId="3A319917" w14:textId="29836A30" w:rsidR="00C07898" w:rsidRPr="002601BB" w:rsidRDefault="00C07898" w:rsidP="00DF58ED">
            <w:pPr>
              <w:pStyle w:val="ListParagraph"/>
              <w:ind w:left="15"/>
              <w:rPr>
                <w:iCs/>
                <w:sz w:val="18"/>
                <w:szCs w:val="18"/>
                <w:lang w:val="en-GB"/>
              </w:rPr>
            </w:pPr>
            <w:r w:rsidRPr="00DF58ED">
              <w:rPr>
                <w:i/>
                <w:sz w:val="18"/>
                <w:szCs w:val="18"/>
                <w:lang w:val="en-GB"/>
              </w:rPr>
              <w:t>Baseline</w:t>
            </w:r>
            <w:r w:rsidRPr="002601BB">
              <w:rPr>
                <w:iCs/>
                <w:sz w:val="18"/>
                <w:szCs w:val="18"/>
                <w:lang w:val="en-GB"/>
              </w:rPr>
              <w:t xml:space="preserve"> (2022): 3</w:t>
            </w:r>
          </w:p>
          <w:p w14:paraId="1BCACB51" w14:textId="4E7F30CD" w:rsidR="00C07898" w:rsidRPr="002601BB" w:rsidRDefault="00C07898" w:rsidP="00DF58ED">
            <w:pPr>
              <w:pStyle w:val="ListParagraph"/>
              <w:ind w:left="15"/>
              <w:rPr>
                <w:iCs/>
                <w:sz w:val="18"/>
                <w:szCs w:val="18"/>
                <w:lang w:val="en-GB"/>
              </w:rPr>
            </w:pPr>
            <w:r w:rsidRPr="00DF58ED">
              <w:rPr>
                <w:i/>
                <w:sz w:val="18"/>
                <w:szCs w:val="18"/>
                <w:lang w:val="en-GB"/>
              </w:rPr>
              <w:t>Target</w:t>
            </w:r>
            <w:r w:rsidRPr="002601BB">
              <w:rPr>
                <w:iCs/>
                <w:sz w:val="18"/>
                <w:szCs w:val="18"/>
                <w:lang w:val="en-GB"/>
              </w:rPr>
              <w:t xml:space="preserve"> (2027): 9 </w:t>
            </w:r>
          </w:p>
          <w:p w14:paraId="4DE6B299" w14:textId="77777777" w:rsidR="00C07898" w:rsidRPr="002601BB" w:rsidRDefault="00C07898" w:rsidP="00DF58ED">
            <w:pPr>
              <w:pStyle w:val="ListParagraph"/>
              <w:ind w:left="15"/>
              <w:rPr>
                <w:iCs/>
                <w:sz w:val="18"/>
                <w:szCs w:val="18"/>
                <w:lang w:val="en-GB"/>
              </w:rPr>
            </w:pPr>
            <w:r w:rsidRPr="00DF58ED">
              <w:rPr>
                <w:i/>
                <w:sz w:val="18"/>
                <w:szCs w:val="18"/>
                <w:lang w:val="en-GB"/>
              </w:rPr>
              <w:t>Frequency</w:t>
            </w:r>
            <w:r w:rsidRPr="002601BB">
              <w:rPr>
                <w:iCs/>
                <w:sz w:val="18"/>
                <w:szCs w:val="18"/>
                <w:lang w:val="en-GB"/>
              </w:rPr>
              <w:t>: annual</w:t>
            </w:r>
          </w:p>
          <w:p w14:paraId="265E7F0F" w14:textId="6CCDC99D" w:rsidR="00C07898" w:rsidRPr="002601BB" w:rsidRDefault="00C07898" w:rsidP="00DF58ED">
            <w:pPr>
              <w:pStyle w:val="ListParagraph"/>
              <w:ind w:left="15"/>
              <w:rPr>
                <w:iCs/>
                <w:sz w:val="18"/>
                <w:szCs w:val="18"/>
                <w:lang w:val="en-GB"/>
              </w:rPr>
            </w:pPr>
            <w:r w:rsidRPr="00DF58ED">
              <w:rPr>
                <w:i/>
                <w:sz w:val="18"/>
                <w:szCs w:val="18"/>
                <w:lang w:val="en-GB"/>
              </w:rPr>
              <w:t>Source</w:t>
            </w:r>
            <w:r w:rsidRPr="002601BB">
              <w:rPr>
                <w:iCs/>
                <w:sz w:val="18"/>
                <w:szCs w:val="18"/>
                <w:lang w:val="en-GB"/>
              </w:rPr>
              <w:t>: UNDP</w:t>
            </w:r>
          </w:p>
          <w:p w14:paraId="7294378E" w14:textId="77777777" w:rsidR="00C07898" w:rsidRPr="002601BB" w:rsidRDefault="00C07898" w:rsidP="00C07898">
            <w:pPr>
              <w:rPr>
                <w:b/>
                <w:bCs/>
                <w:iCs/>
                <w:sz w:val="18"/>
                <w:szCs w:val="18"/>
                <w:lang w:val="en-GB"/>
              </w:rPr>
            </w:pPr>
          </w:p>
          <w:p w14:paraId="5815C1F0" w14:textId="0D52CFC9" w:rsidR="00C07898" w:rsidRPr="002601BB" w:rsidRDefault="00C07898" w:rsidP="00C07898">
            <w:pPr>
              <w:rPr>
                <w:iCs/>
                <w:sz w:val="18"/>
                <w:szCs w:val="18"/>
                <w:lang w:val="en-GB"/>
              </w:rPr>
            </w:pPr>
            <w:r w:rsidRPr="002601BB">
              <w:rPr>
                <w:b/>
                <w:bCs/>
                <w:iCs/>
                <w:sz w:val="18"/>
                <w:szCs w:val="18"/>
                <w:lang w:val="en-GB"/>
              </w:rPr>
              <w:t>Output 1.2</w:t>
            </w:r>
            <w:r w:rsidR="004E40B1">
              <w:rPr>
                <w:b/>
                <w:bCs/>
                <w:iCs/>
                <w:sz w:val="18"/>
                <w:szCs w:val="18"/>
                <w:lang w:val="en-GB"/>
              </w:rPr>
              <w:t>.</w:t>
            </w:r>
            <w:r w:rsidRPr="002601BB">
              <w:rPr>
                <w:b/>
                <w:bCs/>
                <w:iCs/>
                <w:sz w:val="18"/>
                <w:szCs w:val="18"/>
                <w:lang w:val="en-GB"/>
              </w:rPr>
              <w:t xml:space="preserve"> </w:t>
            </w:r>
            <w:r w:rsidR="004600B0" w:rsidRPr="002601BB">
              <w:rPr>
                <w:b/>
                <w:bCs/>
                <w:iCs/>
                <w:sz w:val="18"/>
                <w:szCs w:val="18"/>
                <w:lang w:val="en-GB"/>
              </w:rPr>
              <w:t>P</w:t>
            </w:r>
            <w:r w:rsidRPr="002601BB">
              <w:rPr>
                <w:b/>
                <w:bCs/>
                <w:iCs/>
                <w:sz w:val="18"/>
                <w:szCs w:val="18"/>
                <w:lang w:val="en-GB"/>
              </w:rPr>
              <w:t>ublic</w:t>
            </w:r>
            <w:r w:rsidR="004600B0" w:rsidRPr="002601BB">
              <w:rPr>
                <w:b/>
                <w:bCs/>
                <w:iCs/>
                <w:sz w:val="18"/>
                <w:szCs w:val="18"/>
                <w:lang w:val="en-GB"/>
              </w:rPr>
              <w:t xml:space="preserve"> and</w:t>
            </w:r>
            <w:r w:rsidR="000B2879" w:rsidRPr="002601BB">
              <w:rPr>
                <w:b/>
                <w:bCs/>
                <w:iCs/>
                <w:sz w:val="18"/>
                <w:szCs w:val="18"/>
                <w:lang w:val="en-GB"/>
              </w:rPr>
              <w:t xml:space="preserve"> </w:t>
            </w:r>
            <w:r w:rsidRPr="002601BB">
              <w:rPr>
                <w:b/>
                <w:bCs/>
                <w:iCs/>
                <w:sz w:val="18"/>
                <w:szCs w:val="18"/>
                <w:lang w:val="en-GB"/>
              </w:rPr>
              <w:t>private sectors</w:t>
            </w:r>
            <w:r w:rsidR="004600B0" w:rsidRPr="002601BB">
              <w:rPr>
                <w:b/>
                <w:bCs/>
                <w:iCs/>
                <w:sz w:val="18"/>
                <w:szCs w:val="18"/>
                <w:lang w:val="en-GB"/>
              </w:rPr>
              <w:t>, civil society organi</w:t>
            </w:r>
            <w:r w:rsidR="004E40B1">
              <w:rPr>
                <w:b/>
                <w:bCs/>
                <w:iCs/>
                <w:sz w:val="18"/>
                <w:szCs w:val="18"/>
                <w:lang w:val="en-GB"/>
              </w:rPr>
              <w:t>z</w:t>
            </w:r>
            <w:r w:rsidR="004600B0" w:rsidRPr="002601BB">
              <w:rPr>
                <w:b/>
                <w:bCs/>
                <w:iCs/>
                <w:sz w:val="18"/>
                <w:szCs w:val="18"/>
                <w:lang w:val="en-GB"/>
              </w:rPr>
              <w:t>ations, youth groups and volunteer networks</w:t>
            </w:r>
            <w:r w:rsidRPr="002601BB">
              <w:rPr>
                <w:b/>
                <w:bCs/>
                <w:iCs/>
                <w:sz w:val="18"/>
                <w:szCs w:val="18"/>
                <w:lang w:val="en-GB"/>
              </w:rPr>
              <w:t xml:space="preserve"> have improved capacities for </w:t>
            </w:r>
            <w:r w:rsidR="00587BAD" w:rsidRPr="002601BB">
              <w:rPr>
                <w:b/>
                <w:bCs/>
                <w:iCs/>
                <w:sz w:val="18"/>
                <w:szCs w:val="18"/>
                <w:lang w:val="en-GB"/>
              </w:rPr>
              <w:t>constructing and implementing</w:t>
            </w:r>
            <w:r w:rsidRPr="002601BB">
              <w:rPr>
                <w:b/>
                <w:bCs/>
                <w:iCs/>
                <w:sz w:val="18"/>
                <w:szCs w:val="18"/>
                <w:lang w:val="en-GB"/>
              </w:rPr>
              <w:t xml:space="preserve"> intersectoral, territorial and multilevel agreements based on democratic dialogue, which </w:t>
            </w:r>
            <w:r w:rsidR="00587BAD" w:rsidRPr="002601BB">
              <w:rPr>
                <w:b/>
                <w:bCs/>
                <w:iCs/>
                <w:sz w:val="18"/>
                <w:szCs w:val="18"/>
                <w:lang w:val="en-GB"/>
              </w:rPr>
              <w:t xml:space="preserve">is </w:t>
            </w:r>
            <w:r w:rsidRPr="002601BB">
              <w:rPr>
                <w:b/>
                <w:bCs/>
                <w:iCs/>
                <w:sz w:val="18"/>
                <w:szCs w:val="18"/>
                <w:lang w:val="en-GB"/>
              </w:rPr>
              <w:t>gender</w:t>
            </w:r>
            <w:r w:rsidR="004E40B1">
              <w:rPr>
                <w:b/>
                <w:bCs/>
                <w:iCs/>
                <w:sz w:val="18"/>
                <w:szCs w:val="18"/>
                <w:lang w:val="en-GB"/>
              </w:rPr>
              <w:t>-</w:t>
            </w:r>
            <w:r w:rsidRPr="002601BB">
              <w:rPr>
                <w:b/>
                <w:bCs/>
                <w:iCs/>
                <w:sz w:val="18"/>
                <w:szCs w:val="18"/>
                <w:lang w:val="en-GB"/>
              </w:rPr>
              <w:t>transformative, culturally sensitive and contribute to the advancement of the 2030 Agenda.</w:t>
            </w:r>
          </w:p>
          <w:p w14:paraId="37626C15" w14:textId="200BDE72" w:rsidR="00C07898" w:rsidRPr="002601BB" w:rsidRDefault="00C07898" w:rsidP="00C07898">
            <w:pPr>
              <w:pStyle w:val="ListParagraph"/>
              <w:ind w:left="360"/>
              <w:rPr>
                <w:iCs/>
                <w:sz w:val="18"/>
                <w:szCs w:val="18"/>
                <w:lang w:val="en-GB"/>
              </w:rPr>
            </w:pPr>
          </w:p>
          <w:p w14:paraId="68F1C20B" w14:textId="03355096" w:rsidR="00C07898" w:rsidRPr="002601BB" w:rsidRDefault="00C07898" w:rsidP="00403D22">
            <w:pPr>
              <w:rPr>
                <w:iCs/>
                <w:sz w:val="18"/>
                <w:szCs w:val="18"/>
                <w:lang w:val="en-GB"/>
              </w:rPr>
            </w:pPr>
            <w:r w:rsidRPr="00DF58ED">
              <w:rPr>
                <w:b/>
                <w:bCs/>
                <w:iCs/>
                <w:sz w:val="18"/>
                <w:szCs w:val="18"/>
                <w:lang w:val="en-GB"/>
              </w:rPr>
              <w:t>Indicator 1.2.1</w:t>
            </w:r>
            <w:r w:rsidR="004E40B1" w:rsidRPr="00DF58ED">
              <w:rPr>
                <w:b/>
                <w:bCs/>
                <w:iCs/>
                <w:sz w:val="18"/>
                <w:szCs w:val="18"/>
                <w:lang w:val="en-GB"/>
              </w:rPr>
              <w:t>.</w:t>
            </w:r>
            <w:r w:rsidR="004E40B1">
              <w:rPr>
                <w:iCs/>
                <w:sz w:val="18"/>
                <w:szCs w:val="18"/>
                <w:lang w:val="en-GB"/>
              </w:rPr>
              <w:t xml:space="preserve"> </w:t>
            </w:r>
            <w:r w:rsidRPr="002601BB">
              <w:rPr>
                <w:iCs/>
                <w:sz w:val="18"/>
                <w:szCs w:val="18"/>
                <w:lang w:val="en-GB"/>
              </w:rPr>
              <w:t>Number of agreements drafted that facilitate the transition to a green, blue, circular</w:t>
            </w:r>
            <w:r w:rsidR="00704F11" w:rsidRPr="002601BB">
              <w:rPr>
                <w:iCs/>
                <w:sz w:val="18"/>
                <w:szCs w:val="18"/>
                <w:lang w:val="en-GB"/>
              </w:rPr>
              <w:t>,</w:t>
            </w:r>
            <w:r w:rsidRPr="002601BB">
              <w:rPr>
                <w:iCs/>
                <w:sz w:val="18"/>
                <w:szCs w:val="18"/>
                <w:lang w:val="en-GB"/>
              </w:rPr>
              <w:t xml:space="preserve"> resilient and inclusive with an intersectional gender perspective</w:t>
            </w:r>
            <w:r w:rsidR="0064202B" w:rsidRPr="002601BB">
              <w:rPr>
                <w:iCs/>
                <w:sz w:val="18"/>
                <w:szCs w:val="18"/>
                <w:lang w:val="en-GB"/>
              </w:rPr>
              <w:t>, guided by the NDC and NDP</w:t>
            </w:r>
            <w:r w:rsidRPr="002601BB">
              <w:rPr>
                <w:iCs/>
                <w:sz w:val="18"/>
                <w:szCs w:val="18"/>
                <w:lang w:val="en-GB"/>
              </w:rPr>
              <w:t>. [IRRF SP 2.1.3]</w:t>
            </w:r>
          </w:p>
          <w:p w14:paraId="49B50074" w14:textId="77777777" w:rsidR="00C07898" w:rsidRPr="002601BB" w:rsidRDefault="00C07898" w:rsidP="00C07898">
            <w:pPr>
              <w:rPr>
                <w:iCs/>
                <w:sz w:val="18"/>
                <w:szCs w:val="18"/>
                <w:lang w:val="en-GB"/>
              </w:rPr>
            </w:pPr>
            <w:r w:rsidRPr="00DF58ED">
              <w:rPr>
                <w:i/>
                <w:sz w:val="18"/>
                <w:szCs w:val="18"/>
                <w:lang w:val="en-GB"/>
              </w:rPr>
              <w:t>Baseline</w:t>
            </w:r>
            <w:r w:rsidRPr="002601BB">
              <w:rPr>
                <w:iCs/>
                <w:sz w:val="18"/>
                <w:szCs w:val="18"/>
                <w:lang w:val="en-GB"/>
              </w:rPr>
              <w:t xml:space="preserve"> (2022): 0 </w:t>
            </w:r>
          </w:p>
          <w:p w14:paraId="7E6FCC21" w14:textId="77777777" w:rsidR="00C07898" w:rsidRPr="002601BB" w:rsidRDefault="00C07898" w:rsidP="00C07898">
            <w:pPr>
              <w:rPr>
                <w:iCs/>
                <w:sz w:val="18"/>
                <w:szCs w:val="18"/>
                <w:lang w:val="en-GB"/>
              </w:rPr>
            </w:pPr>
            <w:r w:rsidRPr="00DF58ED">
              <w:rPr>
                <w:i/>
                <w:sz w:val="18"/>
                <w:szCs w:val="18"/>
                <w:lang w:val="en-GB"/>
              </w:rPr>
              <w:t>Target</w:t>
            </w:r>
            <w:r w:rsidRPr="002601BB">
              <w:rPr>
                <w:iCs/>
                <w:sz w:val="18"/>
                <w:szCs w:val="18"/>
                <w:lang w:val="en-GB"/>
              </w:rPr>
              <w:t xml:space="preserve"> (2027): 3 </w:t>
            </w:r>
          </w:p>
          <w:p w14:paraId="1C1C543E" w14:textId="77777777" w:rsidR="00C07898" w:rsidRPr="002601BB" w:rsidRDefault="00C07898" w:rsidP="00C07898">
            <w:pPr>
              <w:rPr>
                <w:iCs/>
                <w:sz w:val="18"/>
                <w:szCs w:val="18"/>
                <w:lang w:val="en-GB"/>
              </w:rPr>
            </w:pPr>
            <w:r w:rsidRPr="00DF58ED">
              <w:rPr>
                <w:i/>
                <w:sz w:val="18"/>
                <w:szCs w:val="18"/>
                <w:lang w:val="en-GB"/>
              </w:rPr>
              <w:t>Frequency</w:t>
            </w:r>
            <w:r w:rsidRPr="002601BB">
              <w:rPr>
                <w:iCs/>
                <w:sz w:val="18"/>
                <w:szCs w:val="18"/>
                <w:lang w:val="en-GB"/>
              </w:rPr>
              <w:t xml:space="preserve">: Annual </w:t>
            </w:r>
          </w:p>
          <w:p w14:paraId="23C032BB" w14:textId="21F70234" w:rsidR="00C07898" w:rsidRPr="002601BB" w:rsidRDefault="00C07898" w:rsidP="00C07898">
            <w:pPr>
              <w:rPr>
                <w:iCs/>
                <w:sz w:val="18"/>
                <w:szCs w:val="18"/>
                <w:lang w:val="en-GB"/>
              </w:rPr>
            </w:pPr>
            <w:r w:rsidRPr="00DF58ED">
              <w:rPr>
                <w:i/>
                <w:sz w:val="18"/>
                <w:szCs w:val="18"/>
                <w:lang w:val="en-GB"/>
              </w:rPr>
              <w:t>Source</w:t>
            </w:r>
            <w:r w:rsidRPr="002601BB">
              <w:rPr>
                <w:iCs/>
                <w:sz w:val="18"/>
                <w:szCs w:val="18"/>
                <w:lang w:val="en-GB"/>
              </w:rPr>
              <w:t>: UNDP</w:t>
            </w:r>
          </w:p>
          <w:p w14:paraId="49FB2CC7" w14:textId="3AA5C941" w:rsidR="00C07898" w:rsidRPr="002601BB" w:rsidRDefault="00C07898" w:rsidP="00C07898">
            <w:pPr>
              <w:rPr>
                <w:b/>
                <w:bCs/>
                <w:iCs/>
                <w:sz w:val="18"/>
                <w:szCs w:val="18"/>
                <w:lang w:val="en-GB"/>
              </w:rPr>
            </w:pPr>
          </w:p>
          <w:p w14:paraId="3566BEA6" w14:textId="10602652" w:rsidR="00C07898" w:rsidRPr="002601BB" w:rsidRDefault="00C07898" w:rsidP="00C07898">
            <w:pPr>
              <w:rPr>
                <w:iCs/>
                <w:sz w:val="18"/>
                <w:szCs w:val="18"/>
                <w:lang w:val="en-GB"/>
              </w:rPr>
            </w:pPr>
            <w:r w:rsidRPr="00DF58ED">
              <w:rPr>
                <w:b/>
                <w:bCs/>
                <w:iCs/>
                <w:sz w:val="18"/>
                <w:szCs w:val="18"/>
                <w:lang w:val="en-GB"/>
              </w:rPr>
              <w:t>Indicator 1.2.2</w:t>
            </w:r>
            <w:r w:rsidR="004E40B1" w:rsidRPr="00DF58ED">
              <w:rPr>
                <w:b/>
                <w:bCs/>
                <w:iCs/>
                <w:sz w:val="18"/>
                <w:szCs w:val="18"/>
                <w:lang w:val="en-GB"/>
              </w:rPr>
              <w:t>.</w:t>
            </w:r>
            <w:r w:rsidRPr="00DF58ED">
              <w:rPr>
                <w:b/>
                <w:bCs/>
                <w:iCs/>
                <w:sz w:val="18"/>
                <w:szCs w:val="18"/>
                <w:lang w:val="en-GB"/>
              </w:rPr>
              <w:t xml:space="preserve"> </w:t>
            </w:r>
            <w:r w:rsidRPr="00403D22">
              <w:rPr>
                <w:iCs/>
                <w:sz w:val="18"/>
                <w:szCs w:val="18"/>
                <w:lang w:val="en-GB"/>
              </w:rPr>
              <w:t>Numbe</w:t>
            </w:r>
            <w:r w:rsidRPr="004E40B1">
              <w:rPr>
                <w:iCs/>
                <w:sz w:val="18"/>
                <w:szCs w:val="18"/>
                <w:lang w:val="en-GB"/>
              </w:rPr>
              <w:t>r of tools that promote the prevention and attention to violence, especially violence against women of all ages and in their diversity.</w:t>
            </w:r>
            <w:r w:rsidR="00E80022" w:rsidRPr="00DF58ED">
              <w:rPr>
                <w:b/>
                <w:bCs/>
                <w:iCs/>
                <w:sz w:val="18"/>
                <w:szCs w:val="18"/>
                <w:lang w:val="en-GB"/>
              </w:rPr>
              <w:t xml:space="preserve"> </w:t>
            </w:r>
            <w:r w:rsidRPr="002601BB">
              <w:rPr>
                <w:iCs/>
                <w:sz w:val="18"/>
                <w:szCs w:val="18"/>
                <w:lang w:val="en-GB"/>
              </w:rPr>
              <w:t xml:space="preserve">[IRRF 6.3.2] </w:t>
            </w:r>
          </w:p>
          <w:p w14:paraId="41ACC0F8" w14:textId="77777777" w:rsidR="00C07898" w:rsidRPr="002601BB" w:rsidRDefault="00C07898" w:rsidP="00C07898">
            <w:pPr>
              <w:rPr>
                <w:iCs/>
                <w:sz w:val="18"/>
                <w:szCs w:val="18"/>
                <w:lang w:val="en-GB"/>
              </w:rPr>
            </w:pPr>
            <w:r w:rsidRPr="00DF58ED">
              <w:rPr>
                <w:i/>
                <w:sz w:val="18"/>
                <w:szCs w:val="18"/>
                <w:lang w:val="en-GB"/>
              </w:rPr>
              <w:t>Baseline</w:t>
            </w:r>
            <w:r w:rsidRPr="002601BB">
              <w:rPr>
                <w:iCs/>
                <w:sz w:val="18"/>
                <w:szCs w:val="18"/>
                <w:lang w:val="en-GB"/>
              </w:rPr>
              <w:t xml:space="preserve">: 0 </w:t>
            </w:r>
          </w:p>
          <w:p w14:paraId="1B73BBB1" w14:textId="4C6A0230" w:rsidR="00C07898" w:rsidRPr="002601BB" w:rsidRDefault="00C07898" w:rsidP="00C07898">
            <w:pPr>
              <w:rPr>
                <w:iCs/>
                <w:sz w:val="18"/>
                <w:szCs w:val="18"/>
                <w:lang w:val="en-GB"/>
              </w:rPr>
            </w:pPr>
            <w:r w:rsidRPr="00DF58ED">
              <w:rPr>
                <w:i/>
                <w:sz w:val="18"/>
                <w:szCs w:val="18"/>
                <w:lang w:val="en-GB"/>
              </w:rPr>
              <w:t>Target</w:t>
            </w:r>
            <w:r w:rsidRPr="002601BB">
              <w:rPr>
                <w:iCs/>
                <w:sz w:val="18"/>
                <w:szCs w:val="18"/>
                <w:lang w:val="en-GB"/>
              </w:rPr>
              <w:t xml:space="preserve">: 3 </w:t>
            </w:r>
          </w:p>
          <w:p w14:paraId="41F447B9" w14:textId="53AADF45" w:rsidR="00C07898" w:rsidRPr="002601BB" w:rsidRDefault="00C07898" w:rsidP="00C07898">
            <w:pPr>
              <w:rPr>
                <w:iCs/>
                <w:sz w:val="18"/>
                <w:szCs w:val="18"/>
                <w:lang w:val="en-GB"/>
              </w:rPr>
            </w:pPr>
            <w:r w:rsidRPr="00DF58ED">
              <w:rPr>
                <w:i/>
                <w:sz w:val="18"/>
                <w:szCs w:val="18"/>
                <w:lang w:val="en-GB"/>
              </w:rPr>
              <w:lastRenderedPageBreak/>
              <w:t>Frequency</w:t>
            </w:r>
            <w:r w:rsidRPr="002601BB">
              <w:rPr>
                <w:iCs/>
                <w:sz w:val="18"/>
                <w:szCs w:val="18"/>
                <w:lang w:val="en-GB"/>
              </w:rPr>
              <w:t xml:space="preserve">: </w:t>
            </w:r>
            <w:r w:rsidR="004E40B1">
              <w:rPr>
                <w:iCs/>
                <w:sz w:val="18"/>
                <w:szCs w:val="18"/>
                <w:lang w:val="en-GB"/>
              </w:rPr>
              <w:t>A</w:t>
            </w:r>
            <w:r w:rsidRPr="002601BB">
              <w:rPr>
                <w:iCs/>
                <w:sz w:val="18"/>
                <w:szCs w:val="18"/>
                <w:lang w:val="en-GB"/>
              </w:rPr>
              <w:t xml:space="preserve">nnual </w:t>
            </w:r>
          </w:p>
          <w:p w14:paraId="5370568D" w14:textId="082A912C" w:rsidR="00C07898" w:rsidRPr="002601BB" w:rsidRDefault="00C07898" w:rsidP="00C07898">
            <w:pPr>
              <w:rPr>
                <w:iCs/>
                <w:sz w:val="18"/>
                <w:szCs w:val="18"/>
                <w:lang w:val="en-GB"/>
              </w:rPr>
            </w:pPr>
            <w:r w:rsidRPr="00DF58ED">
              <w:rPr>
                <w:i/>
                <w:sz w:val="18"/>
                <w:szCs w:val="18"/>
                <w:lang w:val="en-GB"/>
              </w:rPr>
              <w:t>Source</w:t>
            </w:r>
            <w:r w:rsidRPr="002601BB">
              <w:rPr>
                <w:iCs/>
                <w:sz w:val="18"/>
                <w:szCs w:val="18"/>
                <w:lang w:val="en-GB"/>
              </w:rPr>
              <w:t xml:space="preserve">: </w:t>
            </w:r>
            <w:r w:rsidR="007604AF" w:rsidRPr="002601BB">
              <w:rPr>
                <w:iCs/>
                <w:sz w:val="18"/>
                <w:szCs w:val="18"/>
                <w:lang w:val="en-GB"/>
              </w:rPr>
              <w:t>National Plan for the Care and Prevention of Domestic Violence</w:t>
            </w:r>
            <w:r w:rsidRPr="002601BB">
              <w:rPr>
                <w:iCs/>
                <w:sz w:val="18"/>
                <w:szCs w:val="18"/>
                <w:lang w:val="en-GB"/>
              </w:rPr>
              <w:t>, United Nations country team</w:t>
            </w:r>
            <w:r w:rsidR="00BF65F3" w:rsidRPr="002601BB">
              <w:rPr>
                <w:iCs/>
                <w:sz w:val="18"/>
                <w:szCs w:val="18"/>
                <w:lang w:val="en-GB"/>
              </w:rPr>
              <w:t>,</w:t>
            </w:r>
            <w:r w:rsidRPr="002601BB">
              <w:rPr>
                <w:iCs/>
                <w:sz w:val="18"/>
                <w:szCs w:val="18"/>
                <w:lang w:val="en-GB"/>
              </w:rPr>
              <w:t xml:space="preserve"> UNDP</w:t>
            </w:r>
            <w:r w:rsidR="00BF65F3" w:rsidRPr="002601BB">
              <w:rPr>
                <w:iCs/>
                <w:sz w:val="18"/>
                <w:szCs w:val="18"/>
                <w:lang w:val="en-GB"/>
              </w:rPr>
              <w:t xml:space="preserve"> </w:t>
            </w:r>
            <w:r w:rsidRPr="002601BB">
              <w:rPr>
                <w:iCs/>
                <w:sz w:val="18"/>
                <w:szCs w:val="18"/>
                <w:lang w:val="en-GB"/>
              </w:rPr>
              <w:t xml:space="preserve"> </w:t>
            </w:r>
          </w:p>
          <w:p w14:paraId="437D3F5D" w14:textId="36F4AA14" w:rsidR="00C07898" w:rsidRPr="002601BB" w:rsidRDefault="00C07898" w:rsidP="00C07898">
            <w:pPr>
              <w:rPr>
                <w:b/>
                <w:bCs/>
                <w:iCs/>
                <w:sz w:val="18"/>
                <w:szCs w:val="18"/>
                <w:lang w:val="en-GB"/>
              </w:rPr>
            </w:pPr>
          </w:p>
          <w:p w14:paraId="5532BF25" w14:textId="1D533FEB" w:rsidR="00C07898" w:rsidRPr="002601BB" w:rsidRDefault="00C07898" w:rsidP="00C07898">
            <w:pPr>
              <w:rPr>
                <w:b/>
                <w:bCs/>
                <w:iCs/>
                <w:sz w:val="18"/>
                <w:szCs w:val="18"/>
                <w:lang w:val="en-GB"/>
              </w:rPr>
            </w:pPr>
            <w:r w:rsidRPr="002601BB">
              <w:rPr>
                <w:b/>
                <w:bCs/>
                <w:iCs/>
                <w:sz w:val="18"/>
                <w:szCs w:val="18"/>
                <w:lang w:val="en-GB"/>
              </w:rPr>
              <w:t>Output 1.3</w:t>
            </w:r>
            <w:r w:rsidR="002E786A">
              <w:rPr>
                <w:b/>
                <w:bCs/>
                <w:iCs/>
                <w:sz w:val="18"/>
                <w:szCs w:val="18"/>
                <w:lang w:val="en-GB"/>
              </w:rPr>
              <w:t>.</w:t>
            </w:r>
            <w:r w:rsidRPr="002601BB">
              <w:rPr>
                <w:b/>
                <w:bCs/>
                <w:iCs/>
                <w:sz w:val="18"/>
                <w:szCs w:val="18"/>
                <w:lang w:val="en-GB"/>
              </w:rPr>
              <w:t xml:space="preserve"> National and local public institutions have strengthened their capacities to manage, inform and supervise substances harmful to the environment, as well as to substitute and eliminate them. </w:t>
            </w:r>
          </w:p>
          <w:p w14:paraId="632D8C31" w14:textId="40B059B0" w:rsidR="00C07898" w:rsidRPr="002601BB" w:rsidRDefault="00C07898" w:rsidP="00C07898">
            <w:pPr>
              <w:rPr>
                <w:b/>
                <w:bCs/>
                <w:iCs/>
                <w:sz w:val="18"/>
                <w:szCs w:val="18"/>
                <w:lang w:val="en-GB"/>
              </w:rPr>
            </w:pPr>
          </w:p>
          <w:p w14:paraId="2D43D92C" w14:textId="2F614DEE" w:rsidR="00C07898" w:rsidRPr="002601BB" w:rsidRDefault="00C07898" w:rsidP="00C07898">
            <w:pPr>
              <w:rPr>
                <w:iCs/>
                <w:sz w:val="18"/>
                <w:szCs w:val="18"/>
                <w:lang w:val="en-GB"/>
              </w:rPr>
            </w:pPr>
            <w:r w:rsidRPr="00DF58ED">
              <w:rPr>
                <w:b/>
                <w:bCs/>
                <w:iCs/>
                <w:sz w:val="18"/>
                <w:szCs w:val="18"/>
                <w:lang w:val="en-GB"/>
              </w:rPr>
              <w:t>Indicator 1.3.1</w:t>
            </w:r>
            <w:r w:rsidR="004E40B1" w:rsidRPr="00DF58ED">
              <w:rPr>
                <w:b/>
                <w:bCs/>
                <w:iCs/>
                <w:sz w:val="18"/>
                <w:szCs w:val="18"/>
                <w:lang w:val="en-GB"/>
              </w:rPr>
              <w:t>.</w:t>
            </w:r>
            <w:r w:rsidRPr="002601BB">
              <w:rPr>
                <w:iCs/>
                <w:sz w:val="18"/>
                <w:szCs w:val="18"/>
                <w:lang w:val="en-GB"/>
              </w:rPr>
              <w:t xml:space="preserve"> </w:t>
            </w:r>
            <w:r w:rsidR="00061095" w:rsidRPr="002601BB">
              <w:rPr>
                <w:iCs/>
                <w:sz w:val="18"/>
                <w:szCs w:val="18"/>
                <w:lang w:val="en-GB"/>
              </w:rPr>
              <w:t>Metric tons of CO</w:t>
            </w:r>
            <w:r w:rsidR="00061095" w:rsidRPr="00DF58ED">
              <w:rPr>
                <w:iCs/>
                <w:sz w:val="18"/>
                <w:szCs w:val="18"/>
                <w:vertAlign w:val="superscript"/>
                <w:lang w:val="en-GB"/>
              </w:rPr>
              <w:t>2</w:t>
            </w:r>
            <w:r w:rsidR="00061095" w:rsidRPr="002601BB">
              <w:rPr>
                <w:iCs/>
                <w:sz w:val="18"/>
                <w:szCs w:val="18"/>
                <w:lang w:val="en-GB"/>
              </w:rPr>
              <w:t>e avoided due to manage</w:t>
            </w:r>
            <w:r w:rsidR="008676E6">
              <w:rPr>
                <w:iCs/>
                <w:sz w:val="18"/>
                <w:szCs w:val="18"/>
                <w:lang w:val="en-GB"/>
              </w:rPr>
              <w:t>ment</w:t>
            </w:r>
            <w:r w:rsidR="00061095" w:rsidRPr="002601BB">
              <w:rPr>
                <w:iCs/>
                <w:sz w:val="18"/>
                <w:szCs w:val="18"/>
                <w:lang w:val="en-GB"/>
              </w:rPr>
              <w:t xml:space="preserve"> of chemicals, refrigerants imported</w:t>
            </w:r>
            <w:r w:rsidR="008676E6">
              <w:rPr>
                <w:iCs/>
                <w:sz w:val="18"/>
                <w:szCs w:val="18"/>
                <w:lang w:val="en-GB"/>
              </w:rPr>
              <w:t>,</w:t>
            </w:r>
            <w:r w:rsidR="00061095" w:rsidRPr="002601BB">
              <w:rPr>
                <w:iCs/>
                <w:sz w:val="18"/>
                <w:szCs w:val="18"/>
                <w:lang w:val="en-GB"/>
              </w:rPr>
              <w:t xml:space="preserve"> and actions to promote sustainable mobility and carbon sequestration as a result of forest restoration activities</w:t>
            </w:r>
            <w:r w:rsidRPr="002601BB">
              <w:rPr>
                <w:iCs/>
                <w:sz w:val="18"/>
                <w:szCs w:val="18"/>
                <w:lang w:val="en-GB"/>
              </w:rPr>
              <w:t>. [IRRF SP 4.1.2]</w:t>
            </w:r>
          </w:p>
          <w:p w14:paraId="1EEF46FA" w14:textId="5399E0A4" w:rsidR="00C07898" w:rsidRPr="002601BB" w:rsidRDefault="00C07898" w:rsidP="00C07898">
            <w:pPr>
              <w:rPr>
                <w:iCs/>
                <w:sz w:val="18"/>
                <w:szCs w:val="18"/>
                <w:lang w:val="en-GB"/>
              </w:rPr>
            </w:pPr>
            <w:r w:rsidRPr="00DF58ED">
              <w:rPr>
                <w:i/>
                <w:sz w:val="18"/>
                <w:szCs w:val="18"/>
                <w:lang w:val="en-GB"/>
              </w:rPr>
              <w:t>Baseline</w:t>
            </w:r>
            <w:r w:rsidRPr="002601BB">
              <w:rPr>
                <w:iCs/>
                <w:sz w:val="18"/>
                <w:szCs w:val="18"/>
                <w:lang w:val="en-GB"/>
              </w:rPr>
              <w:t xml:space="preserve"> (2022): 68.5 MT </w:t>
            </w:r>
          </w:p>
          <w:p w14:paraId="5C829E10" w14:textId="514BC45A" w:rsidR="00C07898" w:rsidRPr="002601BB" w:rsidRDefault="00C07898" w:rsidP="00C07898">
            <w:pPr>
              <w:rPr>
                <w:iCs/>
                <w:sz w:val="18"/>
                <w:szCs w:val="18"/>
                <w:lang w:val="en-GB"/>
              </w:rPr>
            </w:pPr>
            <w:r w:rsidRPr="00DF58ED">
              <w:rPr>
                <w:i/>
                <w:sz w:val="18"/>
                <w:szCs w:val="18"/>
                <w:lang w:val="en-GB"/>
              </w:rPr>
              <w:t>Target</w:t>
            </w:r>
            <w:r w:rsidRPr="002601BB">
              <w:rPr>
                <w:iCs/>
                <w:sz w:val="18"/>
                <w:szCs w:val="18"/>
                <w:lang w:val="en-GB"/>
              </w:rPr>
              <w:t xml:space="preserve"> (2027): 22.26 MT </w:t>
            </w:r>
          </w:p>
          <w:p w14:paraId="19F6C353" w14:textId="77777777" w:rsidR="00C07898" w:rsidRPr="002601BB" w:rsidRDefault="00C07898" w:rsidP="00C07898">
            <w:pPr>
              <w:rPr>
                <w:iCs/>
                <w:sz w:val="18"/>
                <w:szCs w:val="18"/>
                <w:lang w:val="en-GB"/>
              </w:rPr>
            </w:pPr>
            <w:r w:rsidRPr="00DF58ED">
              <w:rPr>
                <w:i/>
                <w:sz w:val="18"/>
                <w:szCs w:val="18"/>
                <w:lang w:val="en-GB"/>
              </w:rPr>
              <w:t>Frequency</w:t>
            </w:r>
            <w:r w:rsidRPr="002601BB">
              <w:rPr>
                <w:iCs/>
                <w:sz w:val="18"/>
                <w:szCs w:val="18"/>
                <w:lang w:val="en-GB"/>
              </w:rPr>
              <w:t>: Annual</w:t>
            </w:r>
          </w:p>
          <w:p w14:paraId="2AB01621" w14:textId="1A884C2E" w:rsidR="00C07898" w:rsidRPr="002601BB" w:rsidRDefault="00C07898" w:rsidP="00C07898">
            <w:pPr>
              <w:rPr>
                <w:iCs/>
                <w:sz w:val="18"/>
                <w:szCs w:val="18"/>
                <w:lang w:val="en-GB"/>
              </w:rPr>
            </w:pPr>
            <w:r w:rsidRPr="00DF58ED">
              <w:rPr>
                <w:i/>
                <w:sz w:val="18"/>
                <w:szCs w:val="18"/>
                <w:lang w:val="en-GB"/>
              </w:rPr>
              <w:t>Source</w:t>
            </w:r>
            <w:r w:rsidRPr="002601BB">
              <w:rPr>
                <w:iCs/>
                <w:sz w:val="18"/>
                <w:szCs w:val="18"/>
                <w:lang w:val="en-GB"/>
              </w:rPr>
              <w:t xml:space="preserve">: </w:t>
            </w:r>
            <w:r w:rsidR="000F0792" w:rsidRPr="002601BB">
              <w:rPr>
                <w:iCs/>
                <w:sz w:val="18"/>
                <w:szCs w:val="18"/>
                <w:lang w:val="en-GB"/>
              </w:rPr>
              <w:t>Environmental Quality Management Department (</w:t>
            </w:r>
            <w:r w:rsidRPr="002601BB">
              <w:rPr>
                <w:iCs/>
                <w:sz w:val="18"/>
                <w:szCs w:val="18"/>
                <w:lang w:val="en-GB"/>
              </w:rPr>
              <w:t>DIGECA</w:t>
            </w:r>
            <w:r w:rsidR="000F0792" w:rsidRPr="002601BB">
              <w:rPr>
                <w:iCs/>
                <w:sz w:val="18"/>
                <w:szCs w:val="18"/>
                <w:lang w:val="en-GB"/>
              </w:rPr>
              <w:t>)</w:t>
            </w:r>
            <w:r w:rsidRPr="002601BB">
              <w:rPr>
                <w:iCs/>
                <w:sz w:val="18"/>
                <w:szCs w:val="18"/>
                <w:lang w:val="en-GB"/>
              </w:rPr>
              <w:t>, MINAE</w:t>
            </w:r>
          </w:p>
          <w:p w14:paraId="03BF50C3" w14:textId="45916A5B" w:rsidR="00C07898" w:rsidRPr="002601BB" w:rsidRDefault="00C07898" w:rsidP="00C07898">
            <w:pPr>
              <w:rPr>
                <w:iCs/>
                <w:sz w:val="18"/>
                <w:szCs w:val="18"/>
                <w:lang w:val="en-GB"/>
              </w:rPr>
            </w:pPr>
          </w:p>
          <w:p w14:paraId="001A0029" w14:textId="62B88331" w:rsidR="00C07898" w:rsidRPr="002601BB" w:rsidRDefault="00C07898" w:rsidP="00C07898">
            <w:pPr>
              <w:rPr>
                <w:iCs/>
                <w:sz w:val="18"/>
                <w:szCs w:val="18"/>
                <w:lang w:val="en-GB"/>
              </w:rPr>
            </w:pPr>
            <w:r w:rsidRPr="00DF58ED">
              <w:rPr>
                <w:i/>
                <w:sz w:val="18"/>
                <w:szCs w:val="18"/>
                <w:lang w:val="en-GB"/>
              </w:rPr>
              <w:t>Baseline</w:t>
            </w:r>
            <w:r w:rsidRPr="002601BB">
              <w:rPr>
                <w:iCs/>
                <w:sz w:val="18"/>
                <w:szCs w:val="18"/>
                <w:lang w:val="en-GB"/>
              </w:rPr>
              <w:t xml:space="preserve"> (2022): 2 MT</w:t>
            </w:r>
          </w:p>
          <w:p w14:paraId="0084E32A" w14:textId="5B8DC81D" w:rsidR="00C07898" w:rsidRPr="002601BB" w:rsidRDefault="00C07898" w:rsidP="00C07898">
            <w:pPr>
              <w:rPr>
                <w:iCs/>
                <w:sz w:val="18"/>
                <w:szCs w:val="18"/>
                <w:lang w:val="en-GB"/>
              </w:rPr>
            </w:pPr>
            <w:r w:rsidRPr="00DF58ED">
              <w:rPr>
                <w:i/>
                <w:sz w:val="18"/>
                <w:szCs w:val="18"/>
                <w:lang w:val="en-GB"/>
              </w:rPr>
              <w:t>Target</w:t>
            </w:r>
            <w:r w:rsidRPr="002601BB">
              <w:rPr>
                <w:iCs/>
                <w:sz w:val="18"/>
                <w:szCs w:val="18"/>
                <w:lang w:val="en-GB"/>
              </w:rPr>
              <w:t xml:space="preserve"> (2027): 10 MT </w:t>
            </w:r>
          </w:p>
          <w:p w14:paraId="050B7391" w14:textId="77777777" w:rsidR="00C07898" w:rsidRPr="002601BB" w:rsidRDefault="00C07898" w:rsidP="00C07898">
            <w:pPr>
              <w:rPr>
                <w:iCs/>
                <w:sz w:val="18"/>
                <w:szCs w:val="18"/>
                <w:lang w:val="en-GB"/>
              </w:rPr>
            </w:pPr>
            <w:r w:rsidRPr="00DF58ED">
              <w:rPr>
                <w:i/>
                <w:sz w:val="18"/>
                <w:szCs w:val="18"/>
                <w:lang w:val="en-GB"/>
              </w:rPr>
              <w:t>Frequency</w:t>
            </w:r>
            <w:r w:rsidRPr="002601BB">
              <w:rPr>
                <w:iCs/>
                <w:sz w:val="18"/>
                <w:szCs w:val="18"/>
                <w:lang w:val="en-GB"/>
              </w:rPr>
              <w:t>: Annual</w:t>
            </w:r>
          </w:p>
          <w:p w14:paraId="118CDBEF" w14:textId="49313358" w:rsidR="00C07898" w:rsidRPr="002601BB" w:rsidRDefault="00C07898" w:rsidP="00C07898">
            <w:pPr>
              <w:rPr>
                <w:iCs/>
                <w:sz w:val="18"/>
                <w:szCs w:val="18"/>
                <w:lang w:val="en-GB"/>
              </w:rPr>
            </w:pPr>
            <w:r w:rsidRPr="00DF58ED">
              <w:rPr>
                <w:i/>
                <w:sz w:val="18"/>
                <w:szCs w:val="18"/>
                <w:lang w:val="en-GB"/>
              </w:rPr>
              <w:t>Source</w:t>
            </w:r>
            <w:r w:rsidRPr="002601BB">
              <w:rPr>
                <w:iCs/>
                <w:sz w:val="18"/>
                <w:szCs w:val="18"/>
                <w:lang w:val="en-GB"/>
              </w:rPr>
              <w:t>: DIGECA, MINAE</w:t>
            </w:r>
          </w:p>
          <w:p w14:paraId="5DE6D877" w14:textId="77777777" w:rsidR="00C07898" w:rsidRPr="002601BB" w:rsidRDefault="00C07898" w:rsidP="00C07898">
            <w:pPr>
              <w:rPr>
                <w:iCs/>
                <w:sz w:val="18"/>
                <w:szCs w:val="18"/>
                <w:lang w:val="en-GB"/>
              </w:rPr>
            </w:pPr>
          </w:p>
          <w:p w14:paraId="7D8676E6" w14:textId="43F5A7A0" w:rsidR="00C07898" w:rsidRPr="002601BB" w:rsidRDefault="00C07898" w:rsidP="00C07898">
            <w:pPr>
              <w:rPr>
                <w:iCs/>
                <w:sz w:val="18"/>
                <w:szCs w:val="18"/>
                <w:lang w:val="en-GB"/>
              </w:rPr>
            </w:pPr>
            <w:r w:rsidRPr="00DF58ED">
              <w:rPr>
                <w:b/>
                <w:bCs/>
                <w:iCs/>
                <w:sz w:val="18"/>
                <w:szCs w:val="18"/>
                <w:lang w:val="en-GB"/>
              </w:rPr>
              <w:t>Indicator 1.3.3</w:t>
            </w:r>
            <w:r w:rsidR="004E40B1" w:rsidRPr="00DF58ED">
              <w:rPr>
                <w:b/>
                <w:bCs/>
                <w:iCs/>
                <w:sz w:val="18"/>
                <w:szCs w:val="18"/>
                <w:lang w:val="en-GB"/>
              </w:rPr>
              <w:t>.</w:t>
            </w:r>
            <w:r w:rsidRPr="002601BB">
              <w:rPr>
                <w:iCs/>
                <w:sz w:val="18"/>
                <w:szCs w:val="18"/>
                <w:lang w:val="en-GB"/>
              </w:rPr>
              <w:t xml:space="preserve"> Number of initiatives drafted with support from UNDP demonstrate progress in promoting solutions to plastics pollution with an intersectional gender perspective.</w:t>
            </w:r>
          </w:p>
          <w:p w14:paraId="2A8C5C47" w14:textId="5F539F2E" w:rsidR="00C07898" w:rsidRPr="002601BB" w:rsidRDefault="00C07898" w:rsidP="00C07898">
            <w:pPr>
              <w:rPr>
                <w:iCs/>
                <w:sz w:val="18"/>
                <w:szCs w:val="18"/>
                <w:lang w:val="en-GB"/>
              </w:rPr>
            </w:pPr>
            <w:r w:rsidRPr="00DF58ED">
              <w:rPr>
                <w:i/>
                <w:sz w:val="18"/>
                <w:szCs w:val="18"/>
                <w:lang w:val="en-GB"/>
              </w:rPr>
              <w:t>Baseline</w:t>
            </w:r>
            <w:r w:rsidRPr="002601BB">
              <w:rPr>
                <w:iCs/>
                <w:sz w:val="18"/>
                <w:szCs w:val="18"/>
                <w:lang w:val="en-GB"/>
              </w:rPr>
              <w:t xml:space="preserve"> (2022): 2 </w:t>
            </w:r>
          </w:p>
          <w:p w14:paraId="65BCDA0C" w14:textId="727D552B" w:rsidR="00C07898" w:rsidRPr="002601BB" w:rsidRDefault="00C07898" w:rsidP="00C07898">
            <w:pPr>
              <w:rPr>
                <w:iCs/>
                <w:sz w:val="18"/>
                <w:szCs w:val="18"/>
                <w:lang w:val="en-GB"/>
              </w:rPr>
            </w:pPr>
            <w:r w:rsidRPr="00DF58ED">
              <w:rPr>
                <w:i/>
                <w:sz w:val="18"/>
                <w:szCs w:val="18"/>
                <w:lang w:val="en-GB"/>
              </w:rPr>
              <w:t>Target</w:t>
            </w:r>
            <w:r w:rsidRPr="002601BB">
              <w:rPr>
                <w:iCs/>
                <w:sz w:val="18"/>
                <w:szCs w:val="18"/>
                <w:lang w:val="en-GB"/>
              </w:rPr>
              <w:t xml:space="preserve"> (2027): 5</w:t>
            </w:r>
          </w:p>
          <w:p w14:paraId="1905D86D" w14:textId="5D443ED8" w:rsidR="00C07898" w:rsidRPr="002601BB" w:rsidRDefault="00C07898" w:rsidP="00C07898">
            <w:pPr>
              <w:rPr>
                <w:iCs/>
                <w:sz w:val="18"/>
                <w:szCs w:val="18"/>
                <w:lang w:val="en-GB"/>
              </w:rPr>
            </w:pPr>
            <w:r w:rsidRPr="00DF58ED">
              <w:rPr>
                <w:i/>
                <w:sz w:val="18"/>
                <w:szCs w:val="18"/>
                <w:lang w:val="en-GB"/>
              </w:rPr>
              <w:t>Frequency</w:t>
            </w:r>
            <w:r w:rsidRPr="002601BB">
              <w:rPr>
                <w:iCs/>
                <w:sz w:val="18"/>
                <w:szCs w:val="18"/>
                <w:lang w:val="en-GB"/>
              </w:rPr>
              <w:t xml:space="preserve">: </w:t>
            </w:r>
            <w:r w:rsidR="004E40B1">
              <w:rPr>
                <w:iCs/>
                <w:sz w:val="18"/>
                <w:szCs w:val="18"/>
                <w:lang w:val="en-GB"/>
              </w:rPr>
              <w:t>A</w:t>
            </w:r>
            <w:r w:rsidRPr="002601BB">
              <w:rPr>
                <w:iCs/>
                <w:sz w:val="18"/>
                <w:szCs w:val="18"/>
                <w:lang w:val="en-GB"/>
              </w:rPr>
              <w:t>nnual</w:t>
            </w:r>
          </w:p>
          <w:p w14:paraId="2440D45A" w14:textId="5E747DFD" w:rsidR="00C07898" w:rsidRPr="002601BB" w:rsidRDefault="00C07898" w:rsidP="00C07898">
            <w:pPr>
              <w:rPr>
                <w:iCs/>
                <w:sz w:val="18"/>
                <w:szCs w:val="18"/>
                <w:lang w:val="en-GB"/>
              </w:rPr>
            </w:pPr>
            <w:r w:rsidRPr="00DF58ED">
              <w:rPr>
                <w:i/>
                <w:sz w:val="18"/>
                <w:szCs w:val="18"/>
                <w:lang w:val="en-GB"/>
              </w:rPr>
              <w:t>Source</w:t>
            </w:r>
            <w:r w:rsidRPr="002601BB">
              <w:rPr>
                <w:iCs/>
                <w:sz w:val="18"/>
                <w:szCs w:val="18"/>
                <w:lang w:val="en-GB"/>
              </w:rPr>
              <w:t>: UNDP</w:t>
            </w:r>
          </w:p>
        </w:tc>
        <w:tc>
          <w:tcPr>
            <w:tcW w:w="1136" w:type="pct"/>
            <w:vMerge w:val="restart"/>
          </w:tcPr>
          <w:p w14:paraId="14F661AF" w14:textId="57207550"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lastRenderedPageBreak/>
              <w:t>Judiciary</w:t>
            </w:r>
          </w:p>
          <w:p w14:paraId="7A8DC316" w14:textId="77777777" w:rsidR="00E341ED" w:rsidRPr="002601BB" w:rsidRDefault="00E341ED" w:rsidP="00E341E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MAG</w:t>
            </w:r>
          </w:p>
          <w:p w14:paraId="3A01A369" w14:textId="77777777" w:rsidR="001E3A27" w:rsidRPr="002601BB" w:rsidRDefault="001E3A27" w:rsidP="001E3A27">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MCJ</w:t>
            </w:r>
          </w:p>
          <w:p w14:paraId="19999B9B" w14:textId="77777777" w:rsidR="00E341ED" w:rsidRPr="002601BB" w:rsidRDefault="00E341ED" w:rsidP="00E341E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MIDEPLAN</w:t>
            </w:r>
          </w:p>
          <w:p w14:paraId="0FE08308" w14:textId="67577B33"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MINAE</w:t>
            </w:r>
          </w:p>
          <w:p w14:paraId="3AE7F791" w14:textId="7404A21B"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Ministry of Hea</w:t>
            </w:r>
            <w:r w:rsidR="001B4B1B" w:rsidRPr="002601BB">
              <w:rPr>
                <w:rFonts w:ascii="Times New Roman" w:hAnsi="Times New Roman" w:cs="Times New Roman"/>
                <w:iCs/>
                <w:sz w:val="18"/>
                <w:szCs w:val="18"/>
                <w:lang w:val="en-GB"/>
              </w:rPr>
              <w:t>l</w:t>
            </w:r>
            <w:r w:rsidRPr="002601BB">
              <w:rPr>
                <w:rFonts w:ascii="Times New Roman" w:hAnsi="Times New Roman" w:cs="Times New Roman"/>
                <w:iCs/>
                <w:sz w:val="18"/>
                <w:szCs w:val="18"/>
                <w:lang w:val="en-GB"/>
              </w:rPr>
              <w:t>th</w:t>
            </w:r>
          </w:p>
          <w:p w14:paraId="61D7E56A" w14:textId="77777777" w:rsidR="00E341ED" w:rsidRPr="00E84E4A" w:rsidRDefault="00E341ED" w:rsidP="00E341ED">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MJP</w:t>
            </w:r>
          </w:p>
          <w:p w14:paraId="701149F8" w14:textId="70510A38"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MTSS</w:t>
            </w:r>
          </w:p>
          <w:p w14:paraId="3D761429" w14:textId="3837F287"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MSP</w:t>
            </w:r>
          </w:p>
          <w:p w14:paraId="2FA0A946" w14:textId="05F50A0F"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INAMU</w:t>
            </w:r>
          </w:p>
          <w:p w14:paraId="1A119946" w14:textId="31896D1F"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INVU</w:t>
            </w:r>
          </w:p>
          <w:p w14:paraId="3031D6D7" w14:textId="048D1F10"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IMAS</w:t>
            </w:r>
          </w:p>
          <w:p w14:paraId="115A26F6" w14:textId="5CDA66D9"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INCOPESCA</w:t>
            </w:r>
          </w:p>
          <w:p w14:paraId="4A957193" w14:textId="759EC0C9" w:rsidR="00C07898" w:rsidRPr="00E84E4A" w:rsidRDefault="00C07898" w:rsidP="00C07898">
            <w:pPr>
              <w:pStyle w:val="NoSpacing"/>
              <w:rPr>
                <w:rFonts w:ascii="Times New Roman" w:hAnsi="Times New Roman" w:cs="Times New Roman"/>
                <w:iCs/>
                <w:sz w:val="18"/>
                <w:szCs w:val="18"/>
                <w:lang w:val="en-GB"/>
              </w:rPr>
            </w:pPr>
            <w:r w:rsidRPr="00E84E4A">
              <w:rPr>
                <w:rFonts w:ascii="Times New Roman" w:hAnsi="Times New Roman" w:cs="Times New Roman"/>
                <w:iCs/>
                <w:sz w:val="18"/>
                <w:szCs w:val="18"/>
                <w:lang w:val="en-GB"/>
              </w:rPr>
              <w:t>AyA</w:t>
            </w:r>
          </w:p>
          <w:p w14:paraId="3B1D2040" w14:textId="77777777" w:rsidR="00E341ED" w:rsidRPr="002601BB" w:rsidRDefault="00E341ED" w:rsidP="00E341E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BCCR</w:t>
            </w:r>
          </w:p>
          <w:p w14:paraId="620AC0C6" w14:textId="08B84187"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Costa Rican Institute of Pacific Ports (INCOP)</w:t>
            </w:r>
          </w:p>
          <w:p w14:paraId="3C2BDCCE" w14:textId="1E2BCA13"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 xml:space="preserve">Indigenous </w:t>
            </w:r>
            <w:r w:rsidR="004C3958">
              <w:rPr>
                <w:rFonts w:ascii="Times New Roman" w:hAnsi="Times New Roman" w:cs="Times New Roman"/>
                <w:iCs/>
                <w:sz w:val="18"/>
                <w:szCs w:val="18"/>
                <w:lang w:val="en-GB"/>
              </w:rPr>
              <w:t>t</w:t>
            </w:r>
            <w:r w:rsidRPr="002601BB">
              <w:rPr>
                <w:rFonts w:ascii="Times New Roman" w:hAnsi="Times New Roman" w:cs="Times New Roman"/>
                <w:iCs/>
                <w:sz w:val="18"/>
                <w:szCs w:val="18"/>
                <w:lang w:val="en-GB"/>
              </w:rPr>
              <w:t>erritories</w:t>
            </w:r>
          </w:p>
          <w:p w14:paraId="79C290BE" w14:textId="10F3FA12"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 xml:space="preserve">Private </w:t>
            </w:r>
            <w:r w:rsidR="004C3958">
              <w:rPr>
                <w:rFonts w:ascii="Times New Roman" w:hAnsi="Times New Roman" w:cs="Times New Roman"/>
                <w:iCs/>
                <w:sz w:val="18"/>
                <w:szCs w:val="18"/>
                <w:lang w:val="en-GB"/>
              </w:rPr>
              <w:t>s</w:t>
            </w:r>
            <w:r w:rsidRPr="002601BB">
              <w:rPr>
                <w:rFonts w:ascii="Times New Roman" w:hAnsi="Times New Roman" w:cs="Times New Roman"/>
                <w:iCs/>
                <w:sz w:val="18"/>
                <w:szCs w:val="18"/>
                <w:lang w:val="en-GB"/>
              </w:rPr>
              <w:t xml:space="preserve">ector </w:t>
            </w:r>
          </w:p>
          <w:p w14:paraId="3837B4EC" w14:textId="17385EEC" w:rsidR="00C07898" w:rsidRPr="002601BB" w:rsidRDefault="00C07898" w:rsidP="00C0789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 xml:space="preserve">Donors: </w:t>
            </w:r>
            <w:r w:rsidR="001551A9" w:rsidRPr="002601BB">
              <w:rPr>
                <w:rFonts w:ascii="Times New Roman" w:hAnsi="Times New Roman" w:cs="Times New Roman"/>
                <w:iCs/>
                <w:sz w:val="18"/>
                <w:szCs w:val="18"/>
                <w:lang w:val="en-GB"/>
              </w:rPr>
              <w:t>Global Environment Facility (</w:t>
            </w:r>
            <w:r w:rsidRPr="002601BB">
              <w:rPr>
                <w:rFonts w:ascii="Times New Roman" w:hAnsi="Times New Roman" w:cs="Times New Roman"/>
                <w:iCs/>
                <w:sz w:val="18"/>
                <w:szCs w:val="18"/>
                <w:lang w:val="en-GB"/>
              </w:rPr>
              <w:t>GEF</w:t>
            </w:r>
            <w:r w:rsidR="001551A9" w:rsidRPr="002601BB">
              <w:rPr>
                <w:rFonts w:ascii="Times New Roman" w:hAnsi="Times New Roman" w:cs="Times New Roman"/>
                <w:iCs/>
                <w:sz w:val="18"/>
                <w:szCs w:val="18"/>
                <w:lang w:val="en-GB"/>
              </w:rPr>
              <w:t>)</w:t>
            </w:r>
            <w:r w:rsidRPr="002601BB">
              <w:rPr>
                <w:rFonts w:ascii="Times New Roman" w:hAnsi="Times New Roman" w:cs="Times New Roman"/>
                <w:iCs/>
                <w:sz w:val="18"/>
                <w:szCs w:val="18"/>
                <w:lang w:val="en-GB"/>
              </w:rPr>
              <w:t xml:space="preserve">, </w:t>
            </w:r>
            <w:r w:rsidR="001551A9" w:rsidRPr="002601BB">
              <w:rPr>
                <w:rFonts w:ascii="Times New Roman" w:hAnsi="Times New Roman" w:cs="Times New Roman"/>
                <w:iCs/>
                <w:sz w:val="18"/>
                <w:szCs w:val="18"/>
                <w:lang w:val="en-GB"/>
              </w:rPr>
              <w:t>Green Climate Fund</w:t>
            </w:r>
            <w:r w:rsidR="00445813" w:rsidRPr="002601BB">
              <w:rPr>
                <w:rFonts w:ascii="Times New Roman" w:hAnsi="Times New Roman" w:cs="Times New Roman"/>
                <w:iCs/>
                <w:sz w:val="18"/>
                <w:szCs w:val="18"/>
                <w:lang w:val="en-GB"/>
              </w:rPr>
              <w:t xml:space="preserve"> (</w:t>
            </w:r>
            <w:r w:rsidRPr="002601BB">
              <w:rPr>
                <w:rFonts w:ascii="Times New Roman" w:hAnsi="Times New Roman" w:cs="Times New Roman"/>
                <w:iCs/>
                <w:sz w:val="18"/>
                <w:szCs w:val="18"/>
                <w:lang w:val="en-GB"/>
              </w:rPr>
              <w:t>GCF</w:t>
            </w:r>
            <w:r w:rsidR="00445813" w:rsidRPr="002601BB">
              <w:rPr>
                <w:rFonts w:ascii="Times New Roman" w:hAnsi="Times New Roman" w:cs="Times New Roman"/>
                <w:iCs/>
                <w:sz w:val="18"/>
                <w:szCs w:val="18"/>
                <w:lang w:val="en-GB"/>
              </w:rPr>
              <w:t>)</w:t>
            </w:r>
            <w:r w:rsidRPr="002601BB">
              <w:rPr>
                <w:rFonts w:ascii="Times New Roman" w:hAnsi="Times New Roman" w:cs="Times New Roman"/>
                <w:iCs/>
                <w:sz w:val="18"/>
                <w:szCs w:val="18"/>
                <w:lang w:val="en-GB"/>
              </w:rPr>
              <w:t>, Global Fund, Government of Costa Rica</w:t>
            </w:r>
          </w:p>
          <w:p w14:paraId="2440D45B" w14:textId="0B8E1C3E" w:rsidR="00C07898" w:rsidRPr="002601BB" w:rsidRDefault="00C07898" w:rsidP="00C07898">
            <w:pPr>
              <w:rPr>
                <w:iCs/>
                <w:sz w:val="18"/>
                <w:szCs w:val="18"/>
                <w:lang w:val="en-GB"/>
              </w:rPr>
            </w:pPr>
          </w:p>
        </w:tc>
        <w:tc>
          <w:tcPr>
            <w:tcW w:w="497" w:type="pct"/>
            <w:tcMar>
              <w:top w:w="15" w:type="dxa"/>
              <w:left w:w="108" w:type="dxa"/>
              <w:bottom w:w="0" w:type="dxa"/>
              <w:right w:w="108" w:type="dxa"/>
            </w:tcMar>
          </w:tcPr>
          <w:p w14:paraId="5A66CED3" w14:textId="77777777" w:rsidR="00C07898" w:rsidRPr="002601BB" w:rsidRDefault="00C07898" w:rsidP="00C07898">
            <w:pPr>
              <w:rPr>
                <w:b/>
                <w:iCs/>
                <w:sz w:val="18"/>
                <w:szCs w:val="18"/>
                <w:lang w:val="en-GB"/>
              </w:rPr>
            </w:pPr>
            <w:r w:rsidRPr="002601BB">
              <w:rPr>
                <w:b/>
                <w:iCs/>
                <w:sz w:val="18"/>
                <w:szCs w:val="18"/>
                <w:lang w:val="en-GB"/>
              </w:rPr>
              <w:t>Regular</w:t>
            </w:r>
          </w:p>
          <w:p w14:paraId="2440D45C" w14:textId="781ADD88" w:rsidR="00C07898" w:rsidRPr="002601BB" w:rsidRDefault="00C07898" w:rsidP="00C07898">
            <w:pPr>
              <w:rPr>
                <w:bCs/>
                <w:iCs/>
                <w:sz w:val="18"/>
                <w:szCs w:val="18"/>
                <w:lang w:val="en-GB"/>
              </w:rPr>
            </w:pPr>
            <w:r w:rsidRPr="002601BB">
              <w:rPr>
                <w:bCs/>
                <w:iCs/>
                <w:sz w:val="18"/>
                <w:szCs w:val="18"/>
                <w:lang w:val="en-GB"/>
              </w:rPr>
              <w:t>$</w:t>
            </w:r>
            <w:r w:rsidR="00E62022" w:rsidRPr="002601BB">
              <w:rPr>
                <w:bCs/>
                <w:iCs/>
                <w:sz w:val="18"/>
                <w:szCs w:val="18"/>
                <w:lang w:val="en-GB"/>
              </w:rPr>
              <w:t>287</w:t>
            </w:r>
            <w:r w:rsidRPr="002601BB">
              <w:rPr>
                <w:bCs/>
                <w:iCs/>
                <w:sz w:val="18"/>
                <w:szCs w:val="18"/>
                <w:lang w:val="en-GB"/>
              </w:rPr>
              <w:t>,</w:t>
            </w:r>
            <w:r w:rsidR="00E62022" w:rsidRPr="002601BB">
              <w:rPr>
                <w:bCs/>
                <w:iCs/>
                <w:sz w:val="18"/>
                <w:szCs w:val="18"/>
                <w:lang w:val="en-GB"/>
              </w:rPr>
              <w:t>1</w:t>
            </w:r>
            <w:r w:rsidRPr="002601BB">
              <w:rPr>
                <w:bCs/>
                <w:iCs/>
                <w:sz w:val="18"/>
                <w:szCs w:val="18"/>
                <w:lang w:val="en-GB"/>
              </w:rPr>
              <w:t>00</w:t>
            </w:r>
          </w:p>
        </w:tc>
      </w:tr>
      <w:tr w:rsidR="009E75B5" w:rsidRPr="002601BB" w14:paraId="2440D463" w14:textId="77777777" w:rsidTr="00012372">
        <w:trPr>
          <w:trHeight w:val="461"/>
        </w:trPr>
        <w:tc>
          <w:tcPr>
            <w:tcW w:w="1097" w:type="pct"/>
            <w:vMerge/>
            <w:tcMar>
              <w:top w:w="72" w:type="dxa"/>
              <w:left w:w="144" w:type="dxa"/>
              <w:bottom w:w="72" w:type="dxa"/>
              <w:right w:w="144" w:type="dxa"/>
            </w:tcMar>
          </w:tcPr>
          <w:p w14:paraId="2440D45E" w14:textId="77777777" w:rsidR="004F50AF" w:rsidRPr="002601BB" w:rsidRDefault="004F50AF" w:rsidP="00885F85">
            <w:pPr>
              <w:rPr>
                <w:i/>
                <w:iCs/>
                <w:sz w:val="18"/>
                <w:szCs w:val="18"/>
                <w:lang w:val="en-GB"/>
              </w:rPr>
            </w:pPr>
          </w:p>
        </w:tc>
        <w:tc>
          <w:tcPr>
            <w:tcW w:w="1178" w:type="pct"/>
            <w:vMerge/>
          </w:tcPr>
          <w:p w14:paraId="2440D45F" w14:textId="77777777" w:rsidR="004F50AF" w:rsidRPr="002601BB" w:rsidRDefault="004F50AF" w:rsidP="00885F85">
            <w:pPr>
              <w:rPr>
                <w:i/>
                <w:iCs/>
                <w:sz w:val="18"/>
                <w:szCs w:val="18"/>
                <w:lang w:val="en-GB"/>
              </w:rPr>
            </w:pPr>
          </w:p>
        </w:tc>
        <w:tc>
          <w:tcPr>
            <w:tcW w:w="1092" w:type="pct"/>
            <w:vMerge/>
            <w:tcMar>
              <w:top w:w="72" w:type="dxa"/>
              <w:left w:w="144" w:type="dxa"/>
              <w:bottom w:w="72" w:type="dxa"/>
              <w:right w:w="144" w:type="dxa"/>
            </w:tcMar>
          </w:tcPr>
          <w:p w14:paraId="2440D460" w14:textId="77777777" w:rsidR="004F50AF" w:rsidRPr="002601BB" w:rsidRDefault="004F50AF" w:rsidP="00885F85">
            <w:pPr>
              <w:rPr>
                <w:i/>
                <w:iCs/>
                <w:sz w:val="18"/>
                <w:szCs w:val="18"/>
                <w:lang w:val="en-GB"/>
              </w:rPr>
            </w:pPr>
          </w:p>
        </w:tc>
        <w:tc>
          <w:tcPr>
            <w:tcW w:w="1136" w:type="pct"/>
            <w:vMerge/>
          </w:tcPr>
          <w:p w14:paraId="2440D461" w14:textId="77777777" w:rsidR="004F50AF" w:rsidRPr="002601BB" w:rsidRDefault="004F50AF" w:rsidP="00885F85">
            <w:pPr>
              <w:rPr>
                <w:i/>
                <w:iCs/>
                <w:sz w:val="18"/>
                <w:szCs w:val="18"/>
                <w:lang w:val="en-GB"/>
              </w:rPr>
            </w:pPr>
          </w:p>
        </w:tc>
        <w:tc>
          <w:tcPr>
            <w:tcW w:w="497" w:type="pct"/>
            <w:tcMar>
              <w:top w:w="15" w:type="dxa"/>
              <w:left w:w="108" w:type="dxa"/>
              <w:bottom w:w="0" w:type="dxa"/>
              <w:right w:w="108" w:type="dxa"/>
            </w:tcMar>
          </w:tcPr>
          <w:p w14:paraId="3F77F8CA" w14:textId="77777777" w:rsidR="004F50AF" w:rsidRPr="002601BB" w:rsidRDefault="004F50AF" w:rsidP="00885F85">
            <w:pPr>
              <w:rPr>
                <w:b/>
                <w:sz w:val="18"/>
                <w:szCs w:val="18"/>
                <w:lang w:val="en-GB"/>
              </w:rPr>
            </w:pPr>
            <w:r w:rsidRPr="002601BB">
              <w:rPr>
                <w:b/>
                <w:sz w:val="18"/>
                <w:szCs w:val="18"/>
                <w:lang w:val="en-GB"/>
              </w:rPr>
              <w:t>Other</w:t>
            </w:r>
          </w:p>
          <w:p w14:paraId="708543F2" w14:textId="0C88BA52" w:rsidR="00F814DF" w:rsidRPr="002601BB" w:rsidRDefault="006D0357" w:rsidP="00885F85">
            <w:pPr>
              <w:rPr>
                <w:sz w:val="18"/>
                <w:szCs w:val="18"/>
                <w:lang w:val="en-GB" w:eastAsia="es-CR"/>
              </w:rPr>
            </w:pPr>
            <w:r w:rsidRPr="002601BB">
              <w:rPr>
                <w:sz w:val="18"/>
                <w:szCs w:val="18"/>
                <w:lang w:val="en-GB" w:eastAsia="es-CR"/>
              </w:rPr>
              <w:t>$1</w:t>
            </w:r>
            <w:r w:rsidR="00CC7D7A" w:rsidRPr="002601BB">
              <w:rPr>
                <w:sz w:val="18"/>
                <w:szCs w:val="18"/>
                <w:lang w:val="en-GB" w:eastAsia="es-CR"/>
              </w:rPr>
              <w:t>0</w:t>
            </w:r>
            <w:r w:rsidR="00321D88" w:rsidRPr="002601BB">
              <w:rPr>
                <w:sz w:val="18"/>
                <w:szCs w:val="18"/>
                <w:lang w:val="en-GB" w:eastAsia="es-CR"/>
              </w:rPr>
              <w:t>,</w:t>
            </w:r>
            <w:r w:rsidR="0032168E" w:rsidRPr="002601BB">
              <w:rPr>
                <w:sz w:val="18"/>
                <w:szCs w:val="18"/>
                <w:lang w:val="en-GB" w:eastAsia="es-CR"/>
              </w:rPr>
              <w:t>985</w:t>
            </w:r>
            <w:r w:rsidR="00321D88" w:rsidRPr="002601BB">
              <w:rPr>
                <w:sz w:val="18"/>
                <w:szCs w:val="18"/>
                <w:lang w:val="en-GB" w:eastAsia="es-CR"/>
              </w:rPr>
              <w:t>,</w:t>
            </w:r>
            <w:r w:rsidRPr="002601BB">
              <w:rPr>
                <w:sz w:val="18"/>
                <w:szCs w:val="18"/>
                <w:lang w:val="en-GB" w:eastAsia="es-CR"/>
              </w:rPr>
              <w:t>000</w:t>
            </w:r>
          </w:p>
          <w:p w14:paraId="2440D462" w14:textId="5F48FC3F" w:rsidR="003F5DAB" w:rsidRPr="002601BB" w:rsidRDefault="003F5DAB" w:rsidP="0084321B">
            <w:pPr>
              <w:rPr>
                <w:b/>
                <w:sz w:val="18"/>
                <w:szCs w:val="18"/>
                <w:lang w:val="en-GB"/>
              </w:rPr>
            </w:pPr>
          </w:p>
        </w:tc>
      </w:tr>
      <w:tr w:rsidR="00F119F7" w:rsidRPr="002601BB" w14:paraId="321B2135" w14:textId="77777777" w:rsidTr="007409AC">
        <w:trPr>
          <w:trHeight w:val="25"/>
        </w:trPr>
        <w:tc>
          <w:tcPr>
            <w:tcW w:w="5000" w:type="pct"/>
            <w:gridSpan w:val="5"/>
            <w:shd w:val="clear" w:color="auto" w:fill="DBE5F1" w:themeFill="accent1" w:themeFillTint="33"/>
            <w:tcMar>
              <w:top w:w="72" w:type="dxa"/>
              <w:left w:w="144" w:type="dxa"/>
              <w:bottom w:w="72" w:type="dxa"/>
              <w:right w:w="144" w:type="dxa"/>
            </w:tcMar>
          </w:tcPr>
          <w:p w14:paraId="1B01E0D6" w14:textId="7ACD3CBB" w:rsidR="00F119F7" w:rsidRPr="002601BB" w:rsidRDefault="00F119F7" w:rsidP="00924B03">
            <w:pPr>
              <w:rPr>
                <w:color w:val="000000"/>
                <w:sz w:val="18"/>
                <w:szCs w:val="18"/>
                <w:lang w:val="en-GB"/>
              </w:rPr>
            </w:pPr>
            <w:r w:rsidRPr="002601BB">
              <w:rPr>
                <w:b/>
                <w:bCs/>
                <w:color w:val="000000"/>
                <w:sz w:val="18"/>
                <w:szCs w:val="18"/>
                <w:lang w:val="en-GB"/>
              </w:rPr>
              <w:lastRenderedPageBreak/>
              <w:t>NATIONAL PRIORITY OR GOAL:</w:t>
            </w:r>
            <w:r w:rsidR="00577633" w:rsidRPr="002601BB">
              <w:rPr>
                <w:b/>
                <w:bCs/>
                <w:color w:val="000000"/>
                <w:sz w:val="18"/>
                <w:szCs w:val="18"/>
                <w:lang w:val="en-GB"/>
              </w:rPr>
              <w:t xml:space="preserve"> </w:t>
            </w:r>
            <w:r w:rsidR="00324C84" w:rsidRPr="002601BB">
              <w:rPr>
                <w:color w:val="000000"/>
                <w:sz w:val="18"/>
                <w:szCs w:val="18"/>
                <w:lang w:val="en-GB"/>
              </w:rPr>
              <w:t xml:space="preserve">A strengthened and inclusive economic model which generates opportunities of formal employment of quality and entrepreneurship </w:t>
            </w:r>
            <w:r w:rsidR="00755961" w:rsidRPr="002601BB">
              <w:rPr>
                <w:color w:val="000000"/>
                <w:sz w:val="18"/>
                <w:szCs w:val="18"/>
                <w:lang w:val="en-GB"/>
              </w:rPr>
              <w:t>in all territories.</w:t>
            </w:r>
            <w:r w:rsidR="00E80022" w:rsidRPr="002601BB">
              <w:rPr>
                <w:color w:val="000000"/>
                <w:sz w:val="18"/>
                <w:szCs w:val="18"/>
                <w:lang w:val="en-GB"/>
              </w:rPr>
              <w:t xml:space="preserve"> </w:t>
            </w:r>
            <w:r w:rsidR="00EB4E24" w:rsidRPr="002601BB">
              <w:rPr>
                <w:color w:val="000000"/>
                <w:sz w:val="18"/>
                <w:szCs w:val="18"/>
                <w:lang w:val="en-GB"/>
              </w:rPr>
              <w:t xml:space="preserve">Sustainable Development </w:t>
            </w:r>
            <w:r w:rsidR="00725B10" w:rsidRPr="002601BB">
              <w:rPr>
                <w:color w:val="000000"/>
                <w:sz w:val="18"/>
                <w:szCs w:val="18"/>
                <w:lang w:val="en-GB"/>
              </w:rPr>
              <w:t xml:space="preserve">Goals </w:t>
            </w:r>
            <w:r w:rsidR="00D06CDC" w:rsidRPr="002601BB">
              <w:rPr>
                <w:color w:val="000000"/>
                <w:sz w:val="18"/>
                <w:szCs w:val="18"/>
                <w:lang w:val="en-GB"/>
              </w:rPr>
              <w:t xml:space="preserve">1, </w:t>
            </w:r>
            <w:r w:rsidR="004A6560" w:rsidRPr="002601BB">
              <w:rPr>
                <w:color w:val="000000"/>
                <w:sz w:val="18"/>
                <w:szCs w:val="18"/>
                <w:lang w:val="en-GB"/>
              </w:rPr>
              <w:t xml:space="preserve">2, 4, 5, 7, 8, 9, 10, </w:t>
            </w:r>
            <w:r w:rsidR="00064FA1" w:rsidRPr="002601BB">
              <w:rPr>
                <w:color w:val="000000"/>
                <w:sz w:val="18"/>
                <w:szCs w:val="18"/>
                <w:lang w:val="en-GB"/>
              </w:rPr>
              <w:t>11, 12.</w:t>
            </w:r>
          </w:p>
        </w:tc>
      </w:tr>
      <w:tr w:rsidR="00F119F7" w:rsidRPr="002601BB" w14:paraId="01CB0C1A" w14:textId="77777777" w:rsidTr="007409AC">
        <w:trPr>
          <w:trHeight w:val="124"/>
        </w:trPr>
        <w:tc>
          <w:tcPr>
            <w:tcW w:w="5000" w:type="pct"/>
            <w:gridSpan w:val="5"/>
            <w:shd w:val="clear" w:color="auto" w:fill="DBE5F1" w:themeFill="accent1" w:themeFillTint="33"/>
            <w:tcMar>
              <w:top w:w="72" w:type="dxa"/>
              <w:left w:w="144" w:type="dxa"/>
              <w:bottom w:w="72" w:type="dxa"/>
              <w:right w:w="144" w:type="dxa"/>
            </w:tcMar>
          </w:tcPr>
          <w:p w14:paraId="55D5AFED" w14:textId="42F76939" w:rsidR="00B96B9C" w:rsidRPr="002601BB" w:rsidRDefault="00F119F7" w:rsidP="00A329E0">
            <w:pPr>
              <w:rPr>
                <w:color w:val="000000"/>
                <w:sz w:val="18"/>
                <w:szCs w:val="18"/>
                <w:lang w:val="en-GB"/>
              </w:rPr>
            </w:pPr>
            <w:r w:rsidRPr="002601BB">
              <w:rPr>
                <w:b/>
                <w:bCs/>
                <w:color w:val="000000"/>
                <w:sz w:val="18"/>
                <w:szCs w:val="18"/>
                <w:lang w:val="en-GB"/>
              </w:rPr>
              <w:t>COOPERATION FRAMEWORK OUTCOME INVOLVING UNDP #</w:t>
            </w:r>
            <w:r w:rsidR="007459D1" w:rsidRPr="002601BB">
              <w:rPr>
                <w:b/>
                <w:bCs/>
                <w:color w:val="000000"/>
                <w:sz w:val="18"/>
                <w:szCs w:val="18"/>
                <w:lang w:val="en-GB"/>
              </w:rPr>
              <w:t>2</w:t>
            </w:r>
            <w:r w:rsidRPr="002601BB">
              <w:rPr>
                <w:b/>
                <w:bCs/>
                <w:color w:val="000000"/>
                <w:sz w:val="18"/>
                <w:szCs w:val="18"/>
                <w:lang w:val="en-GB"/>
              </w:rPr>
              <w:t>:</w:t>
            </w:r>
            <w:r w:rsidRPr="002601BB">
              <w:rPr>
                <w:color w:val="000000"/>
                <w:sz w:val="18"/>
                <w:szCs w:val="18"/>
                <w:lang w:val="en-GB"/>
              </w:rPr>
              <w:t xml:space="preserve"> </w:t>
            </w:r>
            <w:r w:rsidR="00BC3DBE" w:rsidRPr="002601BB">
              <w:rPr>
                <w:color w:val="000000"/>
                <w:sz w:val="18"/>
                <w:szCs w:val="18"/>
                <w:lang w:val="en-GB"/>
              </w:rPr>
              <w:t xml:space="preserve">UNSDCF </w:t>
            </w:r>
            <w:r w:rsidR="004E40B1">
              <w:rPr>
                <w:color w:val="000000"/>
                <w:sz w:val="18"/>
                <w:szCs w:val="18"/>
                <w:lang w:val="en-GB"/>
              </w:rPr>
              <w:t>o</w:t>
            </w:r>
            <w:r w:rsidR="003F485F" w:rsidRPr="002601BB">
              <w:rPr>
                <w:color w:val="000000"/>
                <w:sz w:val="18"/>
                <w:szCs w:val="18"/>
                <w:lang w:val="en-GB"/>
              </w:rPr>
              <w:t>utcome 3.</w:t>
            </w:r>
            <w:r w:rsidR="00097D96" w:rsidRPr="002601BB">
              <w:rPr>
                <w:color w:val="000000"/>
                <w:sz w:val="18"/>
                <w:szCs w:val="18"/>
                <w:lang w:val="en-GB"/>
              </w:rPr>
              <w:t>2</w:t>
            </w:r>
            <w:r w:rsidR="002E786A">
              <w:rPr>
                <w:color w:val="000000"/>
                <w:sz w:val="18"/>
                <w:szCs w:val="18"/>
                <w:lang w:val="en-GB"/>
              </w:rPr>
              <w:t>.</w:t>
            </w:r>
            <w:r w:rsidR="00C9212D" w:rsidRPr="002601BB">
              <w:rPr>
                <w:sz w:val="18"/>
                <w:szCs w:val="18"/>
                <w:lang w:val="en-GB"/>
              </w:rPr>
              <w:t xml:space="preserve"> </w:t>
            </w:r>
            <w:r w:rsidR="00C9212D" w:rsidRPr="002601BB">
              <w:rPr>
                <w:color w:val="000000"/>
                <w:sz w:val="18"/>
                <w:szCs w:val="18"/>
                <w:lang w:val="en-GB"/>
              </w:rPr>
              <w:t xml:space="preserve">By 2027, women </w:t>
            </w:r>
            <w:r w:rsidR="007F1389" w:rsidRPr="002601BB">
              <w:rPr>
                <w:color w:val="000000"/>
                <w:sz w:val="18"/>
                <w:szCs w:val="18"/>
                <w:lang w:val="en-GB"/>
              </w:rPr>
              <w:t xml:space="preserve">in their diversity </w:t>
            </w:r>
            <w:r w:rsidR="00C9212D" w:rsidRPr="002601BB">
              <w:rPr>
                <w:color w:val="000000"/>
                <w:sz w:val="18"/>
                <w:szCs w:val="18"/>
                <w:lang w:val="en-GB"/>
              </w:rPr>
              <w:t xml:space="preserve">and vulnerable populations participate </w:t>
            </w:r>
            <w:r w:rsidR="00B10948" w:rsidRPr="002601BB">
              <w:rPr>
                <w:color w:val="000000"/>
                <w:sz w:val="18"/>
                <w:szCs w:val="18"/>
                <w:lang w:val="en-GB"/>
              </w:rPr>
              <w:t xml:space="preserve">in </w:t>
            </w:r>
            <w:r w:rsidR="00C9212D" w:rsidRPr="002601BB">
              <w:rPr>
                <w:color w:val="000000"/>
                <w:sz w:val="18"/>
                <w:szCs w:val="18"/>
                <w:lang w:val="en-GB"/>
              </w:rPr>
              <w:t>and benefit from an innovative</w:t>
            </w:r>
            <w:r w:rsidR="00B10948" w:rsidRPr="002601BB">
              <w:rPr>
                <w:color w:val="000000"/>
                <w:sz w:val="18"/>
                <w:szCs w:val="18"/>
                <w:lang w:val="en-GB"/>
              </w:rPr>
              <w:t>, inclusive</w:t>
            </w:r>
            <w:r w:rsidR="00C9212D" w:rsidRPr="002601BB">
              <w:rPr>
                <w:color w:val="000000"/>
                <w:sz w:val="18"/>
                <w:szCs w:val="18"/>
                <w:lang w:val="en-GB"/>
              </w:rPr>
              <w:t xml:space="preserve"> economy that enhances their opportunities for decent work and entrepreneurship, </w:t>
            </w:r>
            <w:r w:rsidR="0087759C" w:rsidRPr="002601BB">
              <w:rPr>
                <w:color w:val="000000"/>
                <w:sz w:val="18"/>
                <w:szCs w:val="18"/>
                <w:lang w:val="en-GB"/>
              </w:rPr>
              <w:t xml:space="preserve">with better conditions to </w:t>
            </w:r>
            <w:r w:rsidR="00C9212D" w:rsidRPr="002601BB">
              <w:rPr>
                <w:color w:val="000000"/>
                <w:sz w:val="18"/>
                <w:szCs w:val="18"/>
                <w:lang w:val="en-GB"/>
              </w:rPr>
              <w:t>access financing mechanisms.</w:t>
            </w:r>
            <w:r w:rsidR="007F1389" w:rsidRPr="002601BB">
              <w:rPr>
                <w:color w:val="000000"/>
                <w:sz w:val="18"/>
                <w:szCs w:val="18"/>
                <w:lang w:val="en-GB"/>
              </w:rPr>
              <w:t xml:space="preserve"> </w:t>
            </w:r>
          </w:p>
        </w:tc>
      </w:tr>
      <w:tr w:rsidR="00F119F7" w:rsidRPr="002601BB" w14:paraId="2BD06ABF" w14:textId="77777777" w:rsidTr="007409AC">
        <w:trPr>
          <w:trHeight w:val="124"/>
        </w:trPr>
        <w:tc>
          <w:tcPr>
            <w:tcW w:w="5000" w:type="pct"/>
            <w:gridSpan w:val="5"/>
            <w:shd w:val="clear" w:color="auto" w:fill="DBE5F1" w:themeFill="accent1" w:themeFillTint="33"/>
            <w:tcMar>
              <w:top w:w="72" w:type="dxa"/>
              <w:left w:w="144" w:type="dxa"/>
              <w:bottom w:w="72" w:type="dxa"/>
              <w:right w:w="144" w:type="dxa"/>
            </w:tcMar>
          </w:tcPr>
          <w:p w14:paraId="659BF9F0" w14:textId="21F5A20D" w:rsidR="00F119F7" w:rsidRPr="002601BB" w:rsidRDefault="00F119F7" w:rsidP="00924B03">
            <w:pPr>
              <w:rPr>
                <w:b/>
                <w:bCs/>
                <w:color w:val="000000"/>
                <w:sz w:val="18"/>
                <w:szCs w:val="18"/>
                <w:lang w:val="en-GB"/>
              </w:rPr>
            </w:pPr>
            <w:r w:rsidRPr="002601BB">
              <w:rPr>
                <w:b/>
                <w:bCs/>
                <w:color w:val="000000"/>
                <w:sz w:val="18"/>
                <w:szCs w:val="18"/>
                <w:lang w:val="en-GB"/>
              </w:rPr>
              <w:t xml:space="preserve">RELATED STRATEGIC PLAN OUTCOME: </w:t>
            </w:r>
            <w:r w:rsidRPr="002601BB">
              <w:rPr>
                <w:sz w:val="18"/>
                <w:szCs w:val="18"/>
                <w:lang w:val="en-GB"/>
              </w:rPr>
              <w:t>Outcome 1: Structural transformation accelerated, particularly green, inclusive</w:t>
            </w:r>
            <w:r w:rsidR="00755961" w:rsidRPr="002601BB">
              <w:rPr>
                <w:sz w:val="18"/>
                <w:szCs w:val="18"/>
                <w:lang w:val="en-GB"/>
              </w:rPr>
              <w:t>,</w:t>
            </w:r>
            <w:r w:rsidRPr="002601BB">
              <w:rPr>
                <w:sz w:val="18"/>
                <w:szCs w:val="18"/>
                <w:lang w:val="en-GB"/>
              </w:rPr>
              <w:t xml:space="preserve"> and digital transitions; </w:t>
            </w:r>
          </w:p>
        </w:tc>
      </w:tr>
      <w:tr w:rsidR="00F14D74" w:rsidRPr="002601BB" w14:paraId="3FC7E2C4" w14:textId="77777777" w:rsidTr="00FE16FC">
        <w:trPr>
          <w:trHeight w:val="332"/>
        </w:trPr>
        <w:tc>
          <w:tcPr>
            <w:tcW w:w="1097" w:type="pct"/>
            <w:vMerge w:val="restart"/>
            <w:tcMar>
              <w:top w:w="72" w:type="dxa"/>
              <w:left w:w="144" w:type="dxa"/>
              <w:bottom w:w="72" w:type="dxa"/>
              <w:right w:w="144" w:type="dxa"/>
            </w:tcMar>
          </w:tcPr>
          <w:p w14:paraId="5EF15420" w14:textId="5ED7F1E8" w:rsidR="0007692A" w:rsidRPr="002601BB" w:rsidRDefault="00B163B9" w:rsidP="001D3052">
            <w:pPr>
              <w:rPr>
                <w:bCs/>
                <w:iCs/>
                <w:sz w:val="18"/>
                <w:szCs w:val="18"/>
                <w:lang w:val="en-GB"/>
              </w:rPr>
            </w:pPr>
            <w:r w:rsidRPr="00DF58ED">
              <w:rPr>
                <w:b/>
                <w:iCs/>
                <w:sz w:val="18"/>
                <w:szCs w:val="18"/>
                <w:lang w:val="en-GB"/>
              </w:rPr>
              <w:t xml:space="preserve">Indicator </w:t>
            </w:r>
            <w:r w:rsidR="001C3F9D" w:rsidRPr="00DF58ED">
              <w:rPr>
                <w:b/>
                <w:iCs/>
                <w:sz w:val="18"/>
                <w:szCs w:val="18"/>
                <w:lang w:val="en-GB"/>
              </w:rPr>
              <w:t>3</w:t>
            </w:r>
            <w:r w:rsidR="0007692A" w:rsidRPr="00DF58ED">
              <w:rPr>
                <w:b/>
                <w:iCs/>
                <w:sz w:val="18"/>
                <w:szCs w:val="18"/>
                <w:lang w:val="en-GB"/>
              </w:rPr>
              <w:t>.</w:t>
            </w:r>
            <w:r w:rsidR="001C3F9D" w:rsidRPr="00DF58ED">
              <w:rPr>
                <w:b/>
                <w:iCs/>
                <w:sz w:val="18"/>
                <w:szCs w:val="18"/>
                <w:lang w:val="en-GB"/>
              </w:rPr>
              <w:t>2</w:t>
            </w:r>
            <w:r w:rsidR="0007692A" w:rsidRPr="00DF58ED">
              <w:rPr>
                <w:b/>
                <w:iCs/>
                <w:sz w:val="18"/>
                <w:szCs w:val="18"/>
                <w:lang w:val="en-GB"/>
              </w:rPr>
              <w:t>.</w:t>
            </w:r>
            <w:r w:rsidR="001C3F9D" w:rsidRPr="00DF58ED">
              <w:rPr>
                <w:b/>
                <w:iCs/>
                <w:sz w:val="18"/>
                <w:szCs w:val="18"/>
                <w:lang w:val="en-GB"/>
              </w:rPr>
              <w:t>1</w:t>
            </w:r>
            <w:r w:rsidR="004E40B1" w:rsidRPr="00DF58ED">
              <w:rPr>
                <w:b/>
                <w:iCs/>
                <w:sz w:val="18"/>
                <w:szCs w:val="18"/>
                <w:lang w:val="en-GB"/>
              </w:rPr>
              <w:t>.</w:t>
            </w:r>
            <w:r w:rsidR="0007692A" w:rsidRPr="002601BB">
              <w:rPr>
                <w:bCs/>
                <w:iCs/>
                <w:sz w:val="18"/>
                <w:szCs w:val="18"/>
                <w:lang w:val="en-GB"/>
              </w:rPr>
              <w:t xml:space="preserve"> Unemployment rate, by sex</w:t>
            </w:r>
            <w:r w:rsidR="004E40B1">
              <w:rPr>
                <w:bCs/>
                <w:iCs/>
                <w:sz w:val="18"/>
                <w:szCs w:val="18"/>
                <w:lang w:val="en-GB"/>
              </w:rPr>
              <w:t>.</w:t>
            </w:r>
          </w:p>
          <w:p w14:paraId="6B353227" w14:textId="77777777" w:rsidR="0007692A" w:rsidRPr="002601BB" w:rsidRDefault="0007692A" w:rsidP="0007692A">
            <w:pPr>
              <w:ind w:left="360"/>
              <w:rPr>
                <w:bCs/>
                <w:iCs/>
                <w:sz w:val="18"/>
                <w:szCs w:val="18"/>
                <w:lang w:val="en-GB"/>
              </w:rPr>
            </w:pPr>
          </w:p>
          <w:p w14:paraId="72D1FCE6" w14:textId="0C7EBCB0" w:rsidR="0007692A" w:rsidRPr="002601BB" w:rsidRDefault="0007692A" w:rsidP="00DF58ED">
            <w:pPr>
              <w:rPr>
                <w:bCs/>
                <w:iCs/>
                <w:sz w:val="18"/>
                <w:szCs w:val="18"/>
                <w:lang w:val="en-GB"/>
              </w:rPr>
            </w:pPr>
            <w:r w:rsidRPr="00DF58ED">
              <w:rPr>
                <w:bCs/>
                <w:i/>
                <w:sz w:val="18"/>
                <w:szCs w:val="18"/>
                <w:lang w:val="en-GB"/>
              </w:rPr>
              <w:t>Base</w:t>
            </w:r>
            <w:r w:rsidR="004718E1" w:rsidRPr="00DF58ED">
              <w:rPr>
                <w:bCs/>
                <w:i/>
                <w:sz w:val="18"/>
                <w:szCs w:val="18"/>
                <w:lang w:val="en-GB"/>
              </w:rPr>
              <w:t>line</w:t>
            </w:r>
            <w:r w:rsidRPr="002601BB">
              <w:rPr>
                <w:bCs/>
                <w:iCs/>
                <w:sz w:val="18"/>
                <w:szCs w:val="18"/>
                <w:lang w:val="en-GB"/>
              </w:rPr>
              <w:t xml:space="preserve"> (2020)</w:t>
            </w:r>
            <w:r w:rsidR="004718E1" w:rsidRPr="002601BB">
              <w:rPr>
                <w:bCs/>
                <w:iCs/>
                <w:sz w:val="18"/>
                <w:szCs w:val="18"/>
                <w:lang w:val="en-GB"/>
              </w:rPr>
              <w:t>:</w:t>
            </w:r>
          </w:p>
          <w:p w14:paraId="364B1A43" w14:textId="3F64FB04" w:rsidR="0007692A" w:rsidRPr="002601BB" w:rsidRDefault="0007692A" w:rsidP="00DF58ED">
            <w:pPr>
              <w:rPr>
                <w:bCs/>
                <w:iCs/>
                <w:sz w:val="18"/>
                <w:szCs w:val="18"/>
                <w:lang w:val="en-GB"/>
              </w:rPr>
            </w:pPr>
            <w:r w:rsidRPr="002601BB">
              <w:rPr>
                <w:bCs/>
                <w:iCs/>
                <w:sz w:val="18"/>
                <w:szCs w:val="18"/>
                <w:lang w:val="en-GB"/>
              </w:rPr>
              <w:t>Total: 19</w:t>
            </w:r>
            <w:r w:rsidR="004718E1" w:rsidRPr="002601BB">
              <w:rPr>
                <w:bCs/>
                <w:iCs/>
                <w:sz w:val="18"/>
                <w:szCs w:val="18"/>
                <w:lang w:val="en-GB"/>
              </w:rPr>
              <w:t>.</w:t>
            </w:r>
            <w:r w:rsidRPr="002601BB">
              <w:rPr>
                <w:bCs/>
                <w:iCs/>
                <w:sz w:val="18"/>
                <w:szCs w:val="18"/>
                <w:lang w:val="en-GB"/>
              </w:rPr>
              <w:t>5</w:t>
            </w:r>
            <w:r w:rsidR="004718E1" w:rsidRPr="002601BB">
              <w:rPr>
                <w:bCs/>
                <w:iCs/>
                <w:sz w:val="18"/>
                <w:szCs w:val="18"/>
                <w:lang w:val="en-GB"/>
              </w:rPr>
              <w:t>%</w:t>
            </w:r>
          </w:p>
          <w:p w14:paraId="7A3B5461" w14:textId="1FFE9C73" w:rsidR="0007692A" w:rsidRPr="002601BB" w:rsidRDefault="0007692A" w:rsidP="00DF58ED">
            <w:pPr>
              <w:rPr>
                <w:bCs/>
                <w:iCs/>
                <w:sz w:val="18"/>
                <w:szCs w:val="18"/>
                <w:lang w:val="en-GB"/>
              </w:rPr>
            </w:pPr>
            <w:r w:rsidRPr="002601BB">
              <w:rPr>
                <w:bCs/>
                <w:iCs/>
                <w:sz w:val="18"/>
                <w:szCs w:val="18"/>
                <w:lang w:val="en-GB"/>
              </w:rPr>
              <w:t>Male: 15</w:t>
            </w:r>
            <w:r w:rsidR="004718E1" w:rsidRPr="002601BB">
              <w:rPr>
                <w:bCs/>
                <w:iCs/>
                <w:sz w:val="18"/>
                <w:szCs w:val="18"/>
                <w:lang w:val="en-GB"/>
              </w:rPr>
              <w:t>.</w:t>
            </w:r>
            <w:r w:rsidRPr="002601BB">
              <w:rPr>
                <w:bCs/>
                <w:iCs/>
                <w:sz w:val="18"/>
                <w:szCs w:val="18"/>
                <w:lang w:val="en-GB"/>
              </w:rPr>
              <w:t>5%</w:t>
            </w:r>
          </w:p>
          <w:p w14:paraId="5120F77C" w14:textId="05C4B302" w:rsidR="0007692A" w:rsidRPr="002601BB" w:rsidRDefault="0007692A" w:rsidP="00DF58ED">
            <w:pPr>
              <w:rPr>
                <w:bCs/>
                <w:iCs/>
                <w:sz w:val="18"/>
                <w:szCs w:val="18"/>
                <w:lang w:val="en-GB"/>
              </w:rPr>
            </w:pPr>
            <w:r w:rsidRPr="002601BB">
              <w:rPr>
                <w:bCs/>
                <w:iCs/>
                <w:sz w:val="18"/>
                <w:szCs w:val="18"/>
                <w:lang w:val="en-GB"/>
              </w:rPr>
              <w:t>Female: 25</w:t>
            </w:r>
            <w:r w:rsidR="004718E1" w:rsidRPr="002601BB">
              <w:rPr>
                <w:bCs/>
                <w:iCs/>
                <w:sz w:val="18"/>
                <w:szCs w:val="18"/>
                <w:lang w:val="en-GB"/>
              </w:rPr>
              <w:t>.</w:t>
            </w:r>
            <w:r w:rsidRPr="002601BB">
              <w:rPr>
                <w:bCs/>
                <w:iCs/>
                <w:sz w:val="18"/>
                <w:szCs w:val="18"/>
                <w:lang w:val="en-GB"/>
              </w:rPr>
              <w:t>4%</w:t>
            </w:r>
          </w:p>
          <w:p w14:paraId="78C33FC3" w14:textId="77777777" w:rsidR="0007692A" w:rsidRPr="002601BB" w:rsidRDefault="0007692A" w:rsidP="00DF58ED">
            <w:pPr>
              <w:rPr>
                <w:bCs/>
                <w:iCs/>
                <w:sz w:val="18"/>
                <w:szCs w:val="18"/>
                <w:lang w:val="en-GB"/>
              </w:rPr>
            </w:pPr>
          </w:p>
          <w:p w14:paraId="7572155F" w14:textId="1579A8B9" w:rsidR="0007692A" w:rsidRPr="002601BB" w:rsidRDefault="0007692A" w:rsidP="00DF58ED">
            <w:pPr>
              <w:rPr>
                <w:bCs/>
                <w:iCs/>
                <w:sz w:val="18"/>
                <w:szCs w:val="18"/>
                <w:lang w:val="en-GB"/>
              </w:rPr>
            </w:pPr>
            <w:r w:rsidRPr="00DF58ED">
              <w:rPr>
                <w:bCs/>
                <w:i/>
                <w:sz w:val="18"/>
                <w:szCs w:val="18"/>
                <w:lang w:val="en-GB"/>
              </w:rPr>
              <w:t>Target</w:t>
            </w:r>
            <w:r w:rsidRPr="002601BB">
              <w:rPr>
                <w:bCs/>
                <w:iCs/>
                <w:sz w:val="18"/>
                <w:szCs w:val="18"/>
                <w:lang w:val="en-GB"/>
              </w:rPr>
              <w:t xml:space="preserve"> (2027)</w:t>
            </w:r>
            <w:r w:rsidR="004718E1" w:rsidRPr="002601BB">
              <w:rPr>
                <w:bCs/>
                <w:iCs/>
                <w:sz w:val="18"/>
                <w:szCs w:val="18"/>
                <w:lang w:val="en-GB"/>
              </w:rPr>
              <w:t>:</w:t>
            </w:r>
          </w:p>
          <w:p w14:paraId="17E0A010" w14:textId="66141549" w:rsidR="0007692A" w:rsidRPr="002601BB" w:rsidRDefault="0007692A" w:rsidP="00DF58ED">
            <w:pPr>
              <w:rPr>
                <w:bCs/>
                <w:iCs/>
                <w:sz w:val="18"/>
                <w:szCs w:val="18"/>
                <w:lang w:val="en-GB"/>
              </w:rPr>
            </w:pPr>
            <w:r w:rsidRPr="002601BB">
              <w:rPr>
                <w:bCs/>
                <w:iCs/>
                <w:sz w:val="18"/>
                <w:szCs w:val="18"/>
                <w:lang w:val="en-GB"/>
              </w:rPr>
              <w:t>Total: 9</w:t>
            </w:r>
            <w:r w:rsidR="004718E1" w:rsidRPr="002601BB">
              <w:rPr>
                <w:bCs/>
                <w:iCs/>
                <w:sz w:val="18"/>
                <w:szCs w:val="18"/>
                <w:lang w:val="en-GB"/>
              </w:rPr>
              <w:t>%</w:t>
            </w:r>
          </w:p>
          <w:p w14:paraId="1F69316C" w14:textId="2B818F40" w:rsidR="0007692A" w:rsidRPr="002601BB" w:rsidRDefault="0007692A" w:rsidP="00DF58ED">
            <w:pPr>
              <w:rPr>
                <w:bCs/>
                <w:iCs/>
                <w:sz w:val="18"/>
                <w:szCs w:val="18"/>
                <w:lang w:val="en-GB"/>
              </w:rPr>
            </w:pPr>
            <w:r w:rsidRPr="002601BB">
              <w:rPr>
                <w:bCs/>
                <w:iCs/>
                <w:sz w:val="18"/>
                <w:szCs w:val="18"/>
                <w:lang w:val="en-GB"/>
              </w:rPr>
              <w:t>Male: 6</w:t>
            </w:r>
            <w:r w:rsidR="004718E1" w:rsidRPr="002601BB">
              <w:rPr>
                <w:bCs/>
                <w:iCs/>
                <w:sz w:val="18"/>
                <w:szCs w:val="18"/>
                <w:lang w:val="en-GB"/>
              </w:rPr>
              <w:t>.</w:t>
            </w:r>
            <w:r w:rsidRPr="002601BB">
              <w:rPr>
                <w:bCs/>
                <w:iCs/>
                <w:sz w:val="18"/>
                <w:szCs w:val="18"/>
                <w:lang w:val="en-GB"/>
              </w:rPr>
              <w:t>1</w:t>
            </w:r>
            <w:r w:rsidR="004718E1" w:rsidRPr="002601BB">
              <w:rPr>
                <w:bCs/>
                <w:iCs/>
                <w:sz w:val="18"/>
                <w:szCs w:val="18"/>
                <w:lang w:val="en-GB"/>
              </w:rPr>
              <w:t>%</w:t>
            </w:r>
          </w:p>
          <w:p w14:paraId="134CBF80" w14:textId="091DB3E9" w:rsidR="0007692A" w:rsidRPr="002601BB" w:rsidRDefault="0007692A" w:rsidP="00DF58ED">
            <w:pPr>
              <w:rPr>
                <w:bCs/>
                <w:iCs/>
                <w:sz w:val="18"/>
                <w:szCs w:val="18"/>
                <w:lang w:val="en-GB"/>
              </w:rPr>
            </w:pPr>
            <w:r w:rsidRPr="002601BB">
              <w:rPr>
                <w:bCs/>
                <w:iCs/>
                <w:sz w:val="18"/>
                <w:szCs w:val="18"/>
                <w:lang w:val="en-GB"/>
              </w:rPr>
              <w:t>Female: 10</w:t>
            </w:r>
            <w:r w:rsidR="004718E1" w:rsidRPr="002601BB">
              <w:rPr>
                <w:bCs/>
                <w:iCs/>
                <w:sz w:val="18"/>
                <w:szCs w:val="18"/>
                <w:lang w:val="en-GB"/>
              </w:rPr>
              <w:t>%</w:t>
            </w:r>
          </w:p>
          <w:p w14:paraId="60257450" w14:textId="1EA3091C" w:rsidR="00C5042D" w:rsidRPr="002601BB" w:rsidRDefault="00C5042D" w:rsidP="00E10A1D">
            <w:pPr>
              <w:ind w:left="360"/>
              <w:rPr>
                <w:bCs/>
                <w:iCs/>
                <w:sz w:val="18"/>
                <w:szCs w:val="18"/>
                <w:lang w:val="en-GB"/>
              </w:rPr>
            </w:pPr>
          </w:p>
        </w:tc>
        <w:tc>
          <w:tcPr>
            <w:tcW w:w="1178" w:type="pct"/>
            <w:vMerge w:val="restart"/>
          </w:tcPr>
          <w:p w14:paraId="5751D556" w14:textId="1A8DECC8" w:rsidR="00C5042D" w:rsidRPr="002601BB" w:rsidRDefault="00C5042D" w:rsidP="00C5042D">
            <w:pPr>
              <w:rPr>
                <w:iCs/>
                <w:sz w:val="18"/>
                <w:szCs w:val="18"/>
                <w:lang w:val="en-GB"/>
              </w:rPr>
            </w:pPr>
            <w:r w:rsidRPr="002601BB">
              <w:rPr>
                <w:iCs/>
                <w:sz w:val="18"/>
                <w:szCs w:val="18"/>
                <w:lang w:val="en-GB"/>
              </w:rPr>
              <w:t>INEC, An</w:t>
            </w:r>
            <w:r w:rsidR="000F0792" w:rsidRPr="002601BB">
              <w:rPr>
                <w:iCs/>
                <w:sz w:val="18"/>
                <w:szCs w:val="18"/>
                <w:lang w:val="en-GB"/>
              </w:rPr>
              <w:t>n</w:t>
            </w:r>
            <w:r w:rsidRPr="002601BB">
              <w:rPr>
                <w:iCs/>
                <w:sz w:val="18"/>
                <w:szCs w:val="18"/>
                <w:lang w:val="en-GB"/>
              </w:rPr>
              <w:t>ual</w:t>
            </w:r>
          </w:p>
          <w:p w14:paraId="797216A9" w14:textId="77777777" w:rsidR="00C5042D" w:rsidRPr="002601BB" w:rsidRDefault="00C5042D" w:rsidP="00C5042D">
            <w:pPr>
              <w:rPr>
                <w:iCs/>
                <w:sz w:val="18"/>
                <w:szCs w:val="18"/>
                <w:lang w:val="en-GB"/>
              </w:rPr>
            </w:pPr>
          </w:p>
          <w:p w14:paraId="28DC4A1B" w14:textId="77777777" w:rsidR="00C5042D" w:rsidRPr="002601BB" w:rsidRDefault="00C5042D" w:rsidP="00C5042D">
            <w:pPr>
              <w:rPr>
                <w:iCs/>
                <w:sz w:val="18"/>
                <w:szCs w:val="18"/>
                <w:lang w:val="en-GB"/>
              </w:rPr>
            </w:pPr>
          </w:p>
          <w:p w14:paraId="206464C2" w14:textId="77777777" w:rsidR="006167B2" w:rsidRPr="002601BB" w:rsidRDefault="006167B2" w:rsidP="00C5042D">
            <w:pPr>
              <w:rPr>
                <w:iCs/>
                <w:sz w:val="18"/>
                <w:szCs w:val="18"/>
                <w:lang w:val="en-GB"/>
              </w:rPr>
            </w:pPr>
          </w:p>
          <w:p w14:paraId="0AEC9061" w14:textId="64ED8553" w:rsidR="00C5042D" w:rsidRPr="002601BB" w:rsidRDefault="00C5042D" w:rsidP="00C5042D">
            <w:pPr>
              <w:rPr>
                <w:iCs/>
                <w:sz w:val="18"/>
                <w:szCs w:val="18"/>
                <w:lang w:val="en-GB"/>
              </w:rPr>
            </w:pPr>
          </w:p>
          <w:p w14:paraId="07209EF7" w14:textId="097F2D18" w:rsidR="000F0792" w:rsidRPr="002601BB" w:rsidRDefault="000F0792" w:rsidP="00C5042D">
            <w:pPr>
              <w:rPr>
                <w:iCs/>
                <w:sz w:val="18"/>
                <w:szCs w:val="18"/>
                <w:lang w:val="en-GB"/>
              </w:rPr>
            </w:pPr>
          </w:p>
          <w:p w14:paraId="6EF1B082" w14:textId="1FDE69DC" w:rsidR="000F0792" w:rsidRPr="002601BB" w:rsidRDefault="000F0792" w:rsidP="00C5042D">
            <w:pPr>
              <w:rPr>
                <w:iCs/>
                <w:sz w:val="18"/>
                <w:szCs w:val="18"/>
                <w:lang w:val="en-GB"/>
              </w:rPr>
            </w:pPr>
          </w:p>
          <w:p w14:paraId="328FD246" w14:textId="5282877E" w:rsidR="000F0792" w:rsidRPr="002601BB" w:rsidRDefault="000F0792" w:rsidP="00C5042D">
            <w:pPr>
              <w:rPr>
                <w:iCs/>
                <w:sz w:val="18"/>
                <w:szCs w:val="18"/>
                <w:lang w:val="en-GB"/>
              </w:rPr>
            </w:pPr>
          </w:p>
          <w:p w14:paraId="7494D239" w14:textId="0C51D2AA" w:rsidR="000F0792" w:rsidRPr="002601BB" w:rsidRDefault="000F0792" w:rsidP="00C5042D">
            <w:pPr>
              <w:rPr>
                <w:iCs/>
                <w:sz w:val="18"/>
                <w:szCs w:val="18"/>
                <w:lang w:val="en-GB"/>
              </w:rPr>
            </w:pPr>
          </w:p>
          <w:p w14:paraId="3A0B8446" w14:textId="70BF1ECA" w:rsidR="000F0792" w:rsidRPr="002601BB" w:rsidRDefault="000F0792" w:rsidP="00C5042D">
            <w:pPr>
              <w:rPr>
                <w:iCs/>
                <w:sz w:val="18"/>
                <w:szCs w:val="18"/>
                <w:lang w:val="en-GB"/>
              </w:rPr>
            </w:pPr>
          </w:p>
          <w:p w14:paraId="6F0D23B7" w14:textId="6AF35190" w:rsidR="000F0792" w:rsidRPr="002601BB" w:rsidRDefault="000F0792" w:rsidP="00C5042D">
            <w:pPr>
              <w:rPr>
                <w:iCs/>
                <w:sz w:val="18"/>
                <w:szCs w:val="18"/>
                <w:lang w:val="en-GB"/>
              </w:rPr>
            </w:pPr>
          </w:p>
          <w:p w14:paraId="138CF59B" w14:textId="77777777" w:rsidR="000F0792" w:rsidRPr="002601BB" w:rsidRDefault="000F0792" w:rsidP="00C5042D">
            <w:pPr>
              <w:rPr>
                <w:iCs/>
                <w:sz w:val="18"/>
                <w:szCs w:val="18"/>
                <w:lang w:val="en-GB"/>
              </w:rPr>
            </w:pPr>
          </w:p>
          <w:p w14:paraId="306B83A6" w14:textId="77777777" w:rsidR="00C5042D" w:rsidRPr="002601BB" w:rsidRDefault="00C5042D" w:rsidP="00C5042D">
            <w:pPr>
              <w:rPr>
                <w:iCs/>
                <w:sz w:val="18"/>
                <w:szCs w:val="18"/>
                <w:lang w:val="en-GB"/>
              </w:rPr>
            </w:pPr>
          </w:p>
          <w:p w14:paraId="316A16CA" w14:textId="77777777" w:rsidR="00C5042D" w:rsidRPr="002601BB" w:rsidRDefault="00C5042D" w:rsidP="00C5042D">
            <w:pPr>
              <w:rPr>
                <w:iCs/>
                <w:sz w:val="18"/>
                <w:szCs w:val="18"/>
                <w:lang w:val="en-GB"/>
              </w:rPr>
            </w:pPr>
          </w:p>
          <w:p w14:paraId="4DF90AA4" w14:textId="77777777" w:rsidR="00C5042D" w:rsidRPr="002601BB" w:rsidRDefault="00C5042D" w:rsidP="00C5042D">
            <w:pPr>
              <w:rPr>
                <w:iCs/>
                <w:sz w:val="18"/>
                <w:szCs w:val="18"/>
                <w:lang w:val="en-GB"/>
              </w:rPr>
            </w:pPr>
          </w:p>
          <w:p w14:paraId="661A0573" w14:textId="77777777" w:rsidR="00C5042D" w:rsidRPr="002601BB" w:rsidRDefault="00C5042D" w:rsidP="00C5042D">
            <w:pPr>
              <w:rPr>
                <w:iCs/>
                <w:sz w:val="18"/>
                <w:szCs w:val="18"/>
                <w:lang w:val="en-GB"/>
              </w:rPr>
            </w:pPr>
          </w:p>
          <w:p w14:paraId="0F4FFEBF" w14:textId="77777777" w:rsidR="00C5042D" w:rsidRPr="002601BB" w:rsidRDefault="00C5042D" w:rsidP="00C5042D">
            <w:pPr>
              <w:rPr>
                <w:iCs/>
                <w:sz w:val="18"/>
                <w:szCs w:val="18"/>
                <w:lang w:val="en-GB"/>
              </w:rPr>
            </w:pPr>
          </w:p>
          <w:p w14:paraId="0AECA36E" w14:textId="77777777" w:rsidR="00C5042D" w:rsidRPr="002601BB" w:rsidRDefault="00C5042D" w:rsidP="00C5042D">
            <w:pPr>
              <w:rPr>
                <w:iCs/>
                <w:sz w:val="18"/>
                <w:szCs w:val="18"/>
                <w:lang w:val="en-GB"/>
              </w:rPr>
            </w:pPr>
          </w:p>
          <w:p w14:paraId="334675B9" w14:textId="77777777" w:rsidR="00C5042D" w:rsidRPr="002601BB" w:rsidRDefault="00C5042D" w:rsidP="00C5042D">
            <w:pPr>
              <w:rPr>
                <w:iCs/>
                <w:sz w:val="18"/>
                <w:szCs w:val="18"/>
                <w:lang w:val="en-GB"/>
              </w:rPr>
            </w:pPr>
          </w:p>
          <w:p w14:paraId="311F0DFA" w14:textId="77777777" w:rsidR="00C5042D" w:rsidRPr="002601BB" w:rsidRDefault="00C5042D" w:rsidP="00C5042D">
            <w:pPr>
              <w:rPr>
                <w:iCs/>
                <w:sz w:val="18"/>
                <w:szCs w:val="18"/>
                <w:lang w:val="en-GB"/>
              </w:rPr>
            </w:pPr>
          </w:p>
          <w:p w14:paraId="0F680C83" w14:textId="0253E836" w:rsidR="00C5042D" w:rsidRPr="002601BB" w:rsidRDefault="00C5042D" w:rsidP="00C5042D">
            <w:pPr>
              <w:rPr>
                <w:iCs/>
                <w:sz w:val="18"/>
                <w:szCs w:val="18"/>
                <w:lang w:val="en-GB"/>
              </w:rPr>
            </w:pPr>
          </w:p>
          <w:p w14:paraId="68000C6C" w14:textId="64E97CE7" w:rsidR="000F0792" w:rsidRPr="002601BB" w:rsidRDefault="000F0792" w:rsidP="00C5042D">
            <w:pPr>
              <w:rPr>
                <w:iCs/>
                <w:sz w:val="18"/>
                <w:szCs w:val="18"/>
                <w:lang w:val="en-GB"/>
              </w:rPr>
            </w:pPr>
          </w:p>
          <w:p w14:paraId="6C698973" w14:textId="2AB74DB9" w:rsidR="000F0792" w:rsidRPr="002601BB" w:rsidRDefault="000F0792" w:rsidP="00C5042D">
            <w:pPr>
              <w:rPr>
                <w:iCs/>
                <w:sz w:val="18"/>
                <w:szCs w:val="18"/>
                <w:lang w:val="en-GB"/>
              </w:rPr>
            </w:pPr>
          </w:p>
          <w:p w14:paraId="552D6E86" w14:textId="1546009F" w:rsidR="000F0792" w:rsidRPr="002601BB" w:rsidRDefault="000F0792" w:rsidP="00C5042D">
            <w:pPr>
              <w:rPr>
                <w:iCs/>
                <w:sz w:val="18"/>
                <w:szCs w:val="18"/>
                <w:lang w:val="en-GB"/>
              </w:rPr>
            </w:pPr>
          </w:p>
          <w:p w14:paraId="39929A0C" w14:textId="77777777" w:rsidR="000F0792" w:rsidRPr="002601BB" w:rsidRDefault="000F0792" w:rsidP="00C5042D">
            <w:pPr>
              <w:rPr>
                <w:iCs/>
                <w:sz w:val="18"/>
                <w:szCs w:val="18"/>
                <w:lang w:val="en-GB"/>
              </w:rPr>
            </w:pPr>
          </w:p>
          <w:p w14:paraId="4A605B9B" w14:textId="77777777" w:rsidR="00C5042D" w:rsidRPr="002601BB" w:rsidRDefault="00C5042D" w:rsidP="00C5042D">
            <w:pPr>
              <w:rPr>
                <w:iCs/>
                <w:sz w:val="18"/>
                <w:szCs w:val="18"/>
                <w:lang w:val="en-GB"/>
              </w:rPr>
            </w:pPr>
          </w:p>
          <w:p w14:paraId="6DA728B1" w14:textId="77777777" w:rsidR="00C5042D" w:rsidRPr="002601BB" w:rsidRDefault="00C5042D" w:rsidP="00C5042D">
            <w:pPr>
              <w:rPr>
                <w:iCs/>
                <w:sz w:val="18"/>
                <w:szCs w:val="18"/>
                <w:lang w:val="en-GB"/>
              </w:rPr>
            </w:pPr>
          </w:p>
          <w:p w14:paraId="6FDA7B47" w14:textId="65C41019" w:rsidR="00C5042D" w:rsidRPr="002601BB" w:rsidRDefault="00596E59" w:rsidP="00C5042D">
            <w:pPr>
              <w:rPr>
                <w:b/>
                <w:bCs/>
                <w:iCs/>
                <w:sz w:val="18"/>
                <w:szCs w:val="18"/>
                <w:lang w:val="en-GB"/>
              </w:rPr>
            </w:pPr>
            <w:r w:rsidRPr="002601BB">
              <w:rPr>
                <w:iCs/>
                <w:sz w:val="18"/>
                <w:szCs w:val="18"/>
                <w:lang w:val="en-GB"/>
              </w:rPr>
              <w:t>MINAE</w:t>
            </w:r>
            <w:r w:rsidR="00C5042D" w:rsidRPr="002601BB">
              <w:rPr>
                <w:iCs/>
                <w:sz w:val="18"/>
                <w:szCs w:val="18"/>
                <w:lang w:val="en-GB"/>
              </w:rPr>
              <w:t xml:space="preserve">, </w:t>
            </w:r>
            <w:r w:rsidR="003007C8" w:rsidRPr="002601BB">
              <w:rPr>
                <w:iCs/>
                <w:sz w:val="18"/>
                <w:szCs w:val="18"/>
                <w:lang w:val="en-GB"/>
              </w:rPr>
              <w:t>National System of Conservation Areas</w:t>
            </w:r>
            <w:r w:rsidR="00C5042D" w:rsidRPr="002601BB">
              <w:rPr>
                <w:iCs/>
                <w:sz w:val="18"/>
                <w:szCs w:val="18"/>
                <w:lang w:val="en-GB"/>
              </w:rPr>
              <w:t xml:space="preserve">, </w:t>
            </w:r>
            <w:r w:rsidR="00EB4CD0">
              <w:rPr>
                <w:iCs/>
                <w:sz w:val="18"/>
                <w:szCs w:val="18"/>
                <w:lang w:val="en-GB"/>
              </w:rPr>
              <w:t>p</w:t>
            </w:r>
            <w:r w:rsidR="00DE5E79" w:rsidRPr="002601BB">
              <w:rPr>
                <w:iCs/>
                <w:sz w:val="18"/>
                <w:szCs w:val="18"/>
                <w:lang w:val="en-GB"/>
              </w:rPr>
              <w:t xml:space="preserve">rotected </w:t>
            </w:r>
            <w:r w:rsidR="00EB4CD0">
              <w:rPr>
                <w:iCs/>
                <w:sz w:val="18"/>
                <w:szCs w:val="18"/>
                <w:lang w:val="en-GB"/>
              </w:rPr>
              <w:t>a</w:t>
            </w:r>
            <w:r w:rsidR="00DE5E79" w:rsidRPr="002601BB">
              <w:rPr>
                <w:iCs/>
                <w:sz w:val="18"/>
                <w:szCs w:val="18"/>
                <w:lang w:val="en-GB"/>
              </w:rPr>
              <w:t>reas</w:t>
            </w:r>
            <w:r w:rsidR="002A642C" w:rsidRPr="002601BB">
              <w:rPr>
                <w:iCs/>
                <w:sz w:val="18"/>
                <w:szCs w:val="18"/>
                <w:lang w:val="en-GB"/>
              </w:rPr>
              <w:t xml:space="preserve"> </w:t>
            </w:r>
            <w:r w:rsidR="00EB4CD0">
              <w:rPr>
                <w:iCs/>
                <w:sz w:val="18"/>
                <w:szCs w:val="18"/>
                <w:lang w:val="en-GB"/>
              </w:rPr>
              <w:t>m</w:t>
            </w:r>
            <w:r w:rsidR="002A642C" w:rsidRPr="002601BB">
              <w:rPr>
                <w:iCs/>
                <w:sz w:val="18"/>
                <w:szCs w:val="18"/>
                <w:lang w:val="en-GB"/>
              </w:rPr>
              <w:t>ap</w:t>
            </w:r>
            <w:r w:rsidR="00DE5E79" w:rsidRPr="002601BB">
              <w:rPr>
                <w:iCs/>
                <w:sz w:val="18"/>
                <w:szCs w:val="18"/>
                <w:lang w:val="en-GB"/>
              </w:rPr>
              <w:t xml:space="preserve"> </w:t>
            </w:r>
          </w:p>
        </w:tc>
        <w:tc>
          <w:tcPr>
            <w:tcW w:w="1092" w:type="pct"/>
            <w:vMerge w:val="restart"/>
            <w:tcMar>
              <w:top w:w="72" w:type="dxa"/>
              <w:left w:w="144" w:type="dxa"/>
              <w:bottom w:w="72" w:type="dxa"/>
              <w:right w:w="144" w:type="dxa"/>
            </w:tcMar>
          </w:tcPr>
          <w:p w14:paraId="1F0BB5A8" w14:textId="581DC080" w:rsidR="00C5042D" w:rsidRPr="002601BB" w:rsidRDefault="00C5042D" w:rsidP="00C5042D">
            <w:pPr>
              <w:rPr>
                <w:iCs/>
                <w:sz w:val="18"/>
                <w:szCs w:val="18"/>
                <w:lang w:val="en-GB"/>
              </w:rPr>
            </w:pPr>
            <w:r w:rsidRPr="002601BB">
              <w:rPr>
                <w:b/>
                <w:bCs/>
                <w:iCs/>
                <w:sz w:val="18"/>
                <w:szCs w:val="18"/>
                <w:lang w:val="en-GB"/>
              </w:rPr>
              <w:t>Output 2.1</w:t>
            </w:r>
            <w:r w:rsidR="004E40B1">
              <w:rPr>
                <w:b/>
                <w:bCs/>
                <w:iCs/>
                <w:sz w:val="18"/>
                <w:szCs w:val="18"/>
                <w:lang w:val="en-GB"/>
              </w:rPr>
              <w:t>.</w:t>
            </w:r>
            <w:r w:rsidRPr="002601BB">
              <w:rPr>
                <w:b/>
                <w:bCs/>
                <w:iCs/>
                <w:sz w:val="18"/>
                <w:szCs w:val="18"/>
                <w:lang w:val="en-GB"/>
              </w:rPr>
              <w:t xml:space="preserve"> </w:t>
            </w:r>
            <w:r w:rsidR="00787E07" w:rsidRPr="002601BB">
              <w:rPr>
                <w:b/>
                <w:bCs/>
                <w:iCs/>
                <w:sz w:val="18"/>
                <w:szCs w:val="18"/>
                <w:lang w:val="en-GB"/>
              </w:rPr>
              <w:t xml:space="preserve">State </w:t>
            </w:r>
            <w:r w:rsidR="004E40B1">
              <w:rPr>
                <w:b/>
                <w:bCs/>
                <w:iCs/>
                <w:sz w:val="18"/>
                <w:szCs w:val="18"/>
                <w:lang w:val="en-GB"/>
              </w:rPr>
              <w:t>i</w:t>
            </w:r>
            <w:r w:rsidR="00930505" w:rsidRPr="002601BB">
              <w:rPr>
                <w:b/>
                <w:bCs/>
                <w:iCs/>
                <w:sz w:val="18"/>
                <w:szCs w:val="18"/>
                <w:lang w:val="en-GB"/>
              </w:rPr>
              <w:t xml:space="preserve">nstitutions </w:t>
            </w:r>
            <w:r w:rsidR="005301F9" w:rsidRPr="002601BB">
              <w:rPr>
                <w:b/>
                <w:bCs/>
                <w:iCs/>
                <w:sz w:val="18"/>
                <w:szCs w:val="18"/>
                <w:lang w:val="en-GB"/>
              </w:rPr>
              <w:t xml:space="preserve">create </w:t>
            </w:r>
            <w:r w:rsidR="00B33EED" w:rsidRPr="002601BB">
              <w:rPr>
                <w:b/>
                <w:bCs/>
                <w:iCs/>
                <w:sz w:val="18"/>
                <w:szCs w:val="18"/>
                <w:lang w:val="en-GB"/>
              </w:rPr>
              <w:t>c</w:t>
            </w:r>
            <w:r w:rsidRPr="002601BB">
              <w:rPr>
                <w:b/>
                <w:bCs/>
                <w:iCs/>
                <w:sz w:val="18"/>
                <w:szCs w:val="18"/>
                <w:lang w:val="en-GB"/>
              </w:rPr>
              <w:t xml:space="preserve">onditions to overcome multidimensional poverty </w:t>
            </w:r>
            <w:r w:rsidR="002A78D7" w:rsidRPr="002601BB">
              <w:rPr>
                <w:b/>
                <w:bCs/>
                <w:iCs/>
                <w:sz w:val="18"/>
                <w:szCs w:val="18"/>
                <w:lang w:val="en-GB"/>
              </w:rPr>
              <w:t>by facilitating</w:t>
            </w:r>
            <w:r w:rsidRPr="002601BB">
              <w:rPr>
                <w:b/>
                <w:bCs/>
                <w:iCs/>
                <w:sz w:val="18"/>
                <w:szCs w:val="18"/>
                <w:lang w:val="en-GB"/>
              </w:rPr>
              <w:t xml:space="preserve"> formal employment opportunities based on green, blue, circular and purple enterprises with an intersectional gender perspective, </w:t>
            </w:r>
            <w:r w:rsidR="00E80022" w:rsidRPr="002601BB">
              <w:rPr>
                <w:b/>
                <w:bCs/>
                <w:iCs/>
                <w:sz w:val="18"/>
                <w:szCs w:val="18"/>
                <w:lang w:val="en-GB"/>
              </w:rPr>
              <w:t>prioriti</w:t>
            </w:r>
            <w:r w:rsidR="004E40B1">
              <w:rPr>
                <w:b/>
                <w:bCs/>
                <w:iCs/>
                <w:sz w:val="18"/>
                <w:szCs w:val="18"/>
                <w:lang w:val="en-GB"/>
              </w:rPr>
              <w:t>z</w:t>
            </w:r>
            <w:r w:rsidR="00E80022" w:rsidRPr="002601BB">
              <w:rPr>
                <w:b/>
                <w:bCs/>
                <w:iCs/>
                <w:sz w:val="18"/>
                <w:szCs w:val="18"/>
                <w:lang w:val="en-GB"/>
              </w:rPr>
              <w:t xml:space="preserve">ing </w:t>
            </w:r>
            <w:r w:rsidRPr="002601BB">
              <w:rPr>
                <w:b/>
                <w:bCs/>
                <w:iCs/>
                <w:sz w:val="18"/>
                <w:szCs w:val="18"/>
                <w:lang w:val="en-GB"/>
              </w:rPr>
              <w:t>populations in conditions of vulnerability such as people with disabilities, migrants, indigenous peoples, and Afro-descendant population.</w:t>
            </w:r>
          </w:p>
          <w:p w14:paraId="5A09EA4F" w14:textId="1B3BFAE4" w:rsidR="00C5042D" w:rsidRPr="002601BB" w:rsidRDefault="00C5042D" w:rsidP="00C5042D">
            <w:pPr>
              <w:rPr>
                <w:iCs/>
                <w:sz w:val="18"/>
                <w:szCs w:val="18"/>
                <w:lang w:val="en-GB"/>
              </w:rPr>
            </w:pPr>
          </w:p>
          <w:p w14:paraId="5F4AC2EF" w14:textId="30D664EE" w:rsidR="00C5042D" w:rsidRPr="002601BB" w:rsidRDefault="00C5042D" w:rsidP="00C5042D">
            <w:pPr>
              <w:rPr>
                <w:iCs/>
                <w:sz w:val="18"/>
                <w:szCs w:val="18"/>
                <w:lang w:val="en-GB"/>
              </w:rPr>
            </w:pPr>
            <w:r w:rsidRPr="00DF58ED">
              <w:rPr>
                <w:b/>
                <w:bCs/>
                <w:iCs/>
                <w:sz w:val="18"/>
                <w:szCs w:val="18"/>
                <w:lang w:val="en-GB"/>
              </w:rPr>
              <w:t>Indicator 2.1.1</w:t>
            </w:r>
            <w:r w:rsidR="004E40B1" w:rsidRPr="00DF58ED">
              <w:rPr>
                <w:b/>
                <w:bCs/>
                <w:iCs/>
                <w:sz w:val="18"/>
                <w:szCs w:val="18"/>
                <w:lang w:val="en-GB"/>
              </w:rPr>
              <w:t>.</w:t>
            </w:r>
            <w:r w:rsidR="00B07603" w:rsidRPr="002601BB">
              <w:rPr>
                <w:iCs/>
                <w:sz w:val="18"/>
                <w:szCs w:val="18"/>
                <w:lang w:val="en-GB"/>
              </w:rPr>
              <w:t xml:space="preserve"> </w:t>
            </w:r>
            <w:r w:rsidRPr="002601BB">
              <w:rPr>
                <w:iCs/>
                <w:sz w:val="18"/>
                <w:szCs w:val="18"/>
                <w:lang w:val="en-GB"/>
              </w:rPr>
              <w:t xml:space="preserve">Number of initiatives implemented with support from UNDP that promote formal employment among women and </w:t>
            </w:r>
            <w:r w:rsidR="008B5A0F" w:rsidRPr="002601BB">
              <w:rPr>
                <w:iCs/>
                <w:sz w:val="18"/>
                <w:szCs w:val="18"/>
                <w:lang w:val="en-GB"/>
              </w:rPr>
              <w:t xml:space="preserve">vulnerable </w:t>
            </w:r>
            <w:r w:rsidRPr="002601BB">
              <w:rPr>
                <w:iCs/>
                <w:sz w:val="18"/>
                <w:szCs w:val="18"/>
                <w:lang w:val="en-GB"/>
              </w:rPr>
              <w:t xml:space="preserve">populations through </w:t>
            </w:r>
            <w:r w:rsidR="007B6DB7">
              <w:rPr>
                <w:iCs/>
                <w:sz w:val="18"/>
                <w:szCs w:val="18"/>
                <w:lang w:val="en-GB"/>
              </w:rPr>
              <w:t>developing</w:t>
            </w:r>
            <w:r w:rsidRPr="002601BB">
              <w:rPr>
                <w:iCs/>
                <w:sz w:val="18"/>
                <w:szCs w:val="18"/>
                <w:lang w:val="en-GB"/>
              </w:rPr>
              <w:t xml:space="preserve"> skills for high-value jobs in the framework of the fourth industrial revolution under a model of sustainable development and with an intersectional gender perspective.</w:t>
            </w:r>
            <w:r w:rsidR="00B82E5D" w:rsidRPr="002601BB">
              <w:rPr>
                <w:iCs/>
                <w:sz w:val="18"/>
                <w:szCs w:val="18"/>
                <w:lang w:val="en-GB"/>
              </w:rPr>
              <w:t xml:space="preserve"> [IRRF 1.3.1]</w:t>
            </w:r>
          </w:p>
          <w:p w14:paraId="3A1FA323" w14:textId="196BD33F" w:rsidR="00C5042D" w:rsidRPr="002601BB" w:rsidRDefault="00C5042D" w:rsidP="00C5042D">
            <w:pPr>
              <w:rPr>
                <w:iCs/>
                <w:sz w:val="18"/>
                <w:szCs w:val="18"/>
                <w:lang w:val="en-GB"/>
              </w:rPr>
            </w:pPr>
            <w:r w:rsidRPr="00DF58ED">
              <w:rPr>
                <w:i/>
                <w:sz w:val="18"/>
                <w:szCs w:val="18"/>
                <w:lang w:val="en-GB"/>
              </w:rPr>
              <w:t>Baseline</w:t>
            </w:r>
            <w:r w:rsidRPr="002601BB">
              <w:rPr>
                <w:iCs/>
                <w:sz w:val="18"/>
                <w:szCs w:val="18"/>
                <w:lang w:val="en-GB"/>
              </w:rPr>
              <w:t xml:space="preserve"> (2022): 1</w:t>
            </w:r>
          </w:p>
          <w:p w14:paraId="6AC24A88" w14:textId="185D1C0B" w:rsidR="00C5042D" w:rsidRPr="002601BB" w:rsidRDefault="00C5042D" w:rsidP="00C5042D">
            <w:pPr>
              <w:rPr>
                <w:iCs/>
                <w:sz w:val="18"/>
                <w:szCs w:val="18"/>
                <w:lang w:val="en-GB"/>
              </w:rPr>
            </w:pPr>
            <w:r w:rsidRPr="00DF58ED">
              <w:rPr>
                <w:i/>
                <w:sz w:val="18"/>
                <w:szCs w:val="18"/>
                <w:lang w:val="en-GB"/>
              </w:rPr>
              <w:t>Target</w:t>
            </w:r>
            <w:r w:rsidRPr="002601BB">
              <w:rPr>
                <w:iCs/>
                <w:sz w:val="18"/>
                <w:szCs w:val="18"/>
                <w:lang w:val="en-GB"/>
              </w:rPr>
              <w:t xml:space="preserve"> (2027): 7</w:t>
            </w:r>
          </w:p>
          <w:p w14:paraId="14EDF5CB" w14:textId="3FB3AC5C" w:rsidR="00C5042D" w:rsidRPr="002601BB" w:rsidRDefault="00C5042D" w:rsidP="00C5042D">
            <w:pPr>
              <w:rPr>
                <w:b/>
                <w:bCs/>
                <w:iCs/>
                <w:sz w:val="18"/>
                <w:szCs w:val="18"/>
                <w:lang w:val="en-GB"/>
              </w:rPr>
            </w:pPr>
            <w:r w:rsidRPr="00DF58ED">
              <w:rPr>
                <w:i/>
                <w:sz w:val="18"/>
                <w:szCs w:val="18"/>
                <w:lang w:val="en-GB"/>
              </w:rPr>
              <w:t>Frequency</w:t>
            </w:r>
            <w:r w:rsidRPr="002601BB">
              <w:rPr>
                <w:iCs/>
                <w:sz w:val="18"/>
                <w:szCs w:val="18"/>
                <w:lang w:val="en-GB"/>
              </w:rPr>
              <w:t xml:space="preserve">: </w:t>
            </w:r>
            <w:r w:rsidR="004E40B1">
              <w:rPr>
                <w:iCs/>
                <w:sz w:val="18"/>
                <w:szCs w:val="18"/>
                <w:lang w:val="en-GB"/>
              </w:rPr>
              <w:t>A</w:t>
            </w:r>
            <w:r w:rsidRPr="002601BB">
              <w:rPr>
                <w:iCs/>
                <w:sz w:val="18"/>
                <w:szCs w:val="18"/>
                <w:lang w:val="en-GB"/>
              </w:rPr>
              <w:t>nnual</w:t>
            </w:r>
          </w:p>
          <w:p w14:paraId="4970D8AD" w14:textId="6AE82481" w:rsidR="00C5042D" w:rsidRPr="002601BB" w:rsidRDefault="00C5042D" w:rsidP="00C5042D">
            <w:pPr>
              <w:rPr>
                <w:iCs/>
                <w:sz w:val="18"/>
                <w:szCs w:val="18"/>
                <w:lang w:val="en-GB"/>
              </w:rPr>
            </w:pPr>
            <w:r w:rsidRPr="00DF58ED">
              <w:rPr>
                <w:i/>
                <w:sz w:val="18"/>
                <w:szCs w:val="18"/>
                <w:lang w:val="en-GB"/>
              </w:rPr>
              <w:t>Data source</w:t>
            </w:r>
            <w:r w:rsidR="004E40B1" w:rsidRPr="00403D22">
              <w:rPr>
                <w:iCs/>
                <w:sz w:val="18"/>
                <w:szCs w:val="18"/>
                <w:lang w:val="en-GB"/>
              </w:rPr>
              <w:t>:</w:t>
            </w:r>
            <w:r w:rsidRPr="002601BB">
              <w:rPr>
                <w:iCs/>
                <w:sz w:val="18"/>
                <w:szCs w:val="18"/>
                <w:lang w:val="en-GB"/>
              </w:rPr>
              <w:t xml:space="preserve"> Legislative Assembly</w:t>
            </w:r>
          </w:p>
          <w:p w14:paraId="61A522B1" w14:textId="77777777" w:rsidR="00C5042D" w:rsidRPr="002601BB" w:rsidRDefault="00C5042D" w:rsidP="00C5042D">
            <w:pPr>
              <w:ind w:left="720"/>
              <w:rPr>
                <w:b/>
                <w:bCs/>
                <w:iCs/>
                <w:sz w:val="18"/>
                <w:szCs w:val="18"/>
                <w:lang w:val="en-GB"/>
              </w:rPr>
            </w:pPr>
          </w:p>
          <w:p w14:paraId="2122B1F6" w14:textId="2BEADC33" w:rsidR="00C5042D" w:rsidRPr="002601BB" w:rsidRDefault="00C5042D" w:rsidP="00021E7C">
            <w:pPr>
              <w:rPr>
                <w:iCs/>
                <w:sz w:val="18"/>
                <w:szCs w:val="18"/>
                <w:lang w:val="en-GB"/>
              </w:rPr>
            </w:pPr>
            <w:r w:rsidRPr="00DF58ED">
              <w:rPr>
                <w:b/>
                <w:bCs/>
                <w:iCs/>
                <w:sz w:val="18"/>
                <w:szCs w:val="18"/>
                <w:lang w:val="en-GB"/>
              </w:rPr>
              <w:t>Indicator 2.1.2</w:t>
            </w:r>
            <w:r w:rsidR="00EB4CD0" w:rsidRPr="00DF58ED">
              <w:rPr>
                <w:b/>
                <w:bCs/>
                <w:iCs/>
                <w:sz w:val="18"/>
                <w:szCs w:val="18"/>
                <w:lang w:val="en-GB"/>
              </w:rPr>
              <w:t>.</w:t>
            </w:r>
            <w:r w:rsidR="00B4607E" w:rsidRPr="002601BB">
              <w:rPr>
                <w:iCs/>
                <w:sz w:val="18"/>
                <w:szCs w:val="18"/>
                <w:lang w:val="en-GB"/>
              </w:rPr>
              <w:t xml:space="preserve"> </w:t>
            </w:r>
            <w:r w:rsidR="59C0C8E6" w:rsidRPr="002601BB">
              <w:rPr>
                <w:iCs/>
                <w:sz w:val="18"/>
                <w:szCs w:val="18"/>
                <w:lang w:val="en-GB"/>
              </w:rPr>
              <w:t>Number of people (disaggregated by sex)</w:t>
            </w:r>
            <w:r w:rsidR="00EB48A3">
              <w:rPr>
                <w:iCs/>
                <w:sz w:val="18"/>
                <w:szCs w:val="18"/>
                <w:lang w:val="en-GB"/>
              </w:rPr>
              <w:t>,</w:t>
            </w:r>
            <w:r w:rsidR="59C0C8E6" w:rsidRPr="002601BB">
              <w:rPr>
                <w:iCs/>
                <w:sz w:val="18"/>
                <w:szCs w:val="18"/>
                <w:lang w:val="en-GB"/>
              </w:rPr>
              <w:t xml:space="preserve"> who benefit directly from </w:t>
            </w:r>
            <w:r w:rsidR="003F119A" w:rsidRPr="002601BB">
              <w:rPr>
                <w:iCs/>
                <w:sz w:val="18"/>
                <w:szCs w:val="18"/>
                <w:lang w:val="en-GB"/>
              </w:rPr>
              <w:t>initiative</w:t>
            </w:r>
            <w:r w:rsidR="00EB48A3">
              <w:rPr>
                <w:iCs/>
                <w:sz w:val="18"/>
                <w:szCs w:val="18"/>
                <w:lang w:val="en-GB"/>
              </w:rPr>
              <w:t>s</w:t>
            </w:r>
            <w:r w:rsidR="003F119A" w:rsidRPr="002601BB">
              <w:rPr>
                <w:iCs/>
                <w:sz w:val="18"/>
                <w:szCs w:val="18"/>
                <w:lang w:val="en-GB"/>
              </w:rPr>
              <w:t xml:space="preserve"> facilitate</w:t>
            </w:r>
            <w:r w:rsidR="00EB48A3">
              <w:rPr>
                <w:iCs/>
                <w:sz w:val="18"/>
                <w:szCs w:val="18"/>
                <w:lang w:val="en-GB"/>
              </w:rPr>
              <w:t>d</w:t>
            </w:r>
            <w:r w:rsidR="003F119A" w:rsidRPr="002601BB">
              <w:rPr>
                <w:iCs/>
                <w:sz w:val="18"/>
                <w:szCs w:val="18"/>
                <w:lang w:val="en-GB"/>
              </w:rPr>
              <w:t xml:space="preserve"> by </w:t>
            </w:r>
            <w:r w:rsidR="3B13D2F1" w:rsidRPr="002601BB">
              <w:rPr>
                <w:iCs/>
                <w:sz w:val="18"/>
                <w:szCs w:val="18"/>
                <w:lang w:val="en-GB"/>
              </w:rPr>
              <w:t>UNDP</w:t>
            </w:r>
            <w:r w:rsidR="00EB48A3">
              <w:rPr>
                <w:iCs/>
                <w:sz w:val="18"/>
                <w:szCs w:val="18"/>
                <w:lang w:val="en-GB"/>
              </w:rPr>
              <w:t>,</w:t>
            </w:r>
            <w:r w:rsidR="003F119A" w:rsidRPr="002601BB">
              <w:rPr>
                <w:iCs/>
                <w:sz w:val="18"/>
                <w:szCs w:val="18"/>
                <w:lang w:val="en-GB"/>
              </w:rPr>
              <w:t xml:space="preserve"> </w:t>
            </w:r>
            <w:r w:rsidR="00E22F81" w:rsidRPr="002601BB">
              <w:rPr>
                <w:iCs/>
                <w:sz w:val="18"/>
                <w:szCs w:val="18"/>
                <w:lang w:val="en-GB"/>
              </w:rPr>
              <w:t>related with employment opportunities</w:t>
            </w:r>
            <w:r w:rsidR="00A44209" w:rsidRPr="002601BB">
              <w:rPr>
                <w:iCs/>
                <w:sz w:val="18"/>
                <w:szCs w:val="18"/>
                <w:lang w:val="en-GB"/>
              </w:rPr>
              <w:t xml:space="preserve"> </w:t>
            </w:r>
            <w:r w:rsidR="59C0C8E6" w:rsidRPr="002601BB">
              <w:rPr>
                <w:iCs/>
                <w:sz w:val="18"/>
                <w:szCs w:val="18"/>
                <w:lang w:val="en-GB"/>
              </w:rPr>
              <w:t>in</w:t>
            </w:r>
            <w:r w:rsidR="00331113" w:rsidRPr="002601BB">
              <w:rPr>
                <w:iCs/>
                <w:sz w:val="18"/>
                <w:szCs w:val="18"/>
                <w:lang w:val="en-GB"/>
              </w:rPr>
              <w:t xml:space="preserve"> </w:t>
            </w:r>
            <w:r w:rsidR="59C0C8E6" w:rsidRPr="002601BB">
              <w:rPr>
                <w:iCs/>
                <w:sz w:val="18"/>
                <w:szCs w:val="18"/>
                <w:lang w:val="en-GB"/>
              </w:rPr>
              <w:lastRenderedPageBreak/>
              <w:t xml:space="preserve">territories with </w:t>
            </w:r>
            <w:r w:rsidR="00972C4F" w:rsidRPr="002601BB">
              <w:rPr>
                <w:iCs/>
                <w:sz w:val="18"/>
                <w:szCs w:val="18"/>
                <w:lang w:val="en-GB"/>
              </w:rPr>
              <w:t xml:space="preserve">a </w:t>
            </w:r>
            <w:r w:rsidR="59C0C8E6" w:rsidRPr="002601BB">
              <w:rPr>
                <w:iCs/>
                <w:sz w:val="18"/>
                <w:szCs w:val="18"/>
                <w:lang w:val="en-GB"/>
              </w:rPr>
              <w:t xml:space="preserve">high </w:t>
            </w:r>
            <w:r w:rsidR="00054680" w:rsidRPr="002601BB">
              <w:rPr>
                <w:iCs/>
                <w:sz w:val="18"/>
                <w:szCs w:val="18"/>
                <w:lang w:val="en-GB"/>
              </w:rPr>
              <w:t xml:space="preserve">multidimensional poverty index </w:t>
            </w:r>
            <w:r w:rsidR="59C0C8E6" w:rsidRPr="002601BB">
              <w:rPr>
                <w:iCs/>
                <w:sz w:val="18"/>
                <w:szCs w:val="18"/>
                <w:lang w:val="en-GB"/>
              </w:rPr>
              <w:t>and among priority interest groups</w:t>
            </w:r>
            <w:r w:rsidR="00EA6BC9" w:rsidRPr="002601BB">
              <w:rPr>
                <w:iCs/>
                <w:sz w:val="18"/>
                <w:szCs w:val="18"/>
                <w:lang w:val="en-GB"/>
              </w:rPr>
              <w:t xml:space="preserve"> most vulnerable</w:t>
            </w:r>
            <w:r w:rsidR="137F5801" w:rsidRPr="002601BB">
              <w:rPr>
                <w:iCs/>
                <w:sz w:val="18"/>
                <w:szCs w:val="18"/>
                <w:lang w:val="en-GB"/>
              </w:rPr>
              <w:t>.</w:t>
            </w:r>
            <w:r w:rsidR="00E80022" w:rsidRPr="002601BB">
              <w:rPr>
                <w:iCs/>
                <w:sz w:val="18"/>
                <w:szCs w:val="18"/>
                <w:lang w:val="en-GB"/>
              </w:rPr>
              <w:t xml:space="preserve"> </w:t>
            </w:r>
            <w:r w:rsidR="137F5801" w:rsidRPr="002601BB">
              <w:rPr>
                <w:iCs/>
                <w:sz w:val="18"/>
                <w:szCs w:val="18"/>
                <w:lang w:val="en-GB"/>
              </w:rPr>
              <w:t>[IRRF 1.3.2]</w:t>
            </w:r>
          </w:p>
          <w:p w14:paraId="019A04C4" w14:textId="031623D2" w:rsidR="00C5042D" w:rsidRPr="002601BB" w:rsidRDefault="00C5042D" w:rsidP="00C5042D">
            <w:pPr>
              <w:rPr>
                <w:iCs/>
                <w:sz w:val="18"/>
                <w:szCs w:val="18"/>
                <w:lang w:val="en-GB"/>
              </w:rPr>
            </w:pPr>
            <w:r w:rsidRPr="00DF58ED">
              <w:rPr>
                <w:i/>
                <w:sz w:val="18"/>
                <w:szCs w:val="18"/>
                <w:lang w:val="en-GB"/>
              </w:rPr>
              <w:t>Baseline</w:t>
            </w:r>
            <w:r w:rsidRPr="002601BB">
              <w:rPr>
                <w:iCs/>
                <w:sz w:val="18"/>
                <w:szCs w:val="18"/>
                <w:lang w:val="en-GB"/>
              </w:rPr>
              <w:t xml:space="preserve"> (2022): 30,000</w:t>
            </w:r>
          </w:p>
          <w:p w14:paraId="0CB58F4D" w14:textId="7A07ABA4" w:rsidR="00C5042D" w:rsidRPr="002601BB" w:rsidRDefault="00C5042D" w:rsidP="00C5042D">
            <w:pPr>
              <w:rPr>
                <w:iCs/>
                <w:sz w:val="18"/>
                <w:szCs w:val="18"/>
                <w:lang w:val="en-GB"/>
              </w:rPr>
            </w:pPr>
            <w:r w:rsidRPr="00DF58ED">
              <w:rPr>
                <w:i/>
                <w:sz w:val="18"/>
                <w:szCs w:val="18"/>
                <w:lang w:val="en-GB"/>
              </w:rPr>
              <w:t>Target</w:t>
            </w:r>
            <w:r w:rsidRPr="002601BB">
              <w:rPr>
                <w:iCs/>
                <w:sz w:val="18"/>
                <w:szCs w:val="18"/>
                <w:lang w:val="en-GB"/>
              </w:rPr>
              <w:t xml:space="preserve"> (2022): </w:t>
            </w:r>
            <w:r w:rsidR="00DB59A9" w:rsidRPr="002601BB">
              <w:rPr>
                <w:iCs/>
                <w:sz w:val="18"/>
                <w:szCs w:val="18"/>
                <w:lang w:val="en-GB"/>
              </w:rPr>
              <w:t>4</w:t>
            </w:r>
            <w:r w:rsidRPr="002601BB">
              <w:rPr>
                <w:iCs/>
                <w:sz w:val="18"/>
                <w:szCs w:val="18"/>
                <w:lang w:val="en-GB"/>
              </w:rPr>
              <w:t>0,000</w:t>
            </w:r>
          </w:p>
          <w:p w14:paraId="2C472403" w14:textId="5BBC2539" w:rsidR="00C5042D" w:rsidRPr="002601BB" w:rsidRDefault="00C5042D" w:rsidP="00C5042D">
            <w:pPr>
              <w:rPr>
                <w:b/>
                <w:bCs/>
                <w:iCs/>
                <w:sz w:val="18"/>
                <w:szCs w:val="18"/>
                <w:lang w:val="en-GB"/>
              </w:rPr>
            </w:pPr>
            <w:r w:rsidRPr="00DF58ED">
              <w:rPr>
                <w:i/>
                <w:sz w:val="18"/>
                <w:szCs w:val="18"/>
                <w:lang w:val="en-GB"/>
              </w:rPr>
              <w:t>Frequency</w:t>
            </w:r>
            <w:r w:rsidRPr="002601BB">
              <w:rPr>
                <w:iCs/>
                <w:sz w:val="18"/>
                <w:szCs w:val="18"/>
                <w:lang w:val="en-GB"/>
              </w:rPr>
              <w:t xml:space="preserve">: </w:t>
            </w:r>
            <w:r w:rsidR="00EB4CD0">
              <w:rPr>
                <w:iCs/>
                <w:sz w:val="18"/>
                <w:szCs w:val="18"/>
                <w:lang w:val="en-GB"/>
              </w:rPr>
              <w:t>A</w:t>
            </w:r>
            <w:r w:rsidRPr="002601BB">
              <w:rPr>
                <w:iCs/>
                <w:sz w:val="18"/>
                <w:szCs w:val="18"/>
                <w:lang w:val="en-GB"/>
              </w:rPr>
              <w:t>nnual</w:t>
            </w:r>
          </w:p>
          <w:p w14:paraId="6C38886B" w14:textId="32B09F9C" w:rsidR="00C5042D" w:rsidRPr="002601BB" w:rsidRDefault="00C5042D" w:rsidP="00C5042D">
            <w:pPr>
              <w:rPr>
                <w:iCs/>
                <w:sz w:val="18"/>
                <w:szCs w:val="18"/>
                <w:lang w:val="en-GB"/>
              </w:rPr>
            </w:pPr>
            <w:r w:rsidRPr="00DF58ED">
              <w:rPr>
                <w:i/>
                <w:sz w:val="18"/>
                <w:szCs w:val="18"/>
                <w:lang w:val="en-GB"/>
              </w:rPr>
              <w:t>Data source</w:t>
            </w:r>
            <w:r w:rsidRPr="002601BB">
              <w:rPr>
                <w:iCs/>
                <w:sz w:val="18"/>
                <w:szCs w:val="18"/>
                <w:lang w:val="en-GB"/>
              </w:rPr>
              <w:t>: IMAS, INEC</w:t>
            </w:r>
          </w:p>
          <w:p w14:paraId="1FFB93A9" w14:textId="77777777" w:rsidR="00C5042D" w:rsidRPr="002601BB" w:rsidRDefault="00C5042D" w:rsidP="00C5042D">
            <w:pPr>
              <w:rPr>
                <w:b/>
                <w:bCs/>
                <w:iCs/>
                <w:sz w:val="18"/>
                <w:szCs w:val="18"/>
                <w:lang w:val="en-GB"/>
              </w:rPr>
            </w:pPr>
          </w:p>
          <w:p w14:paraId="595CDB00" w14:textId="474F6835" w:rsidR="00C5042D" w:rsidRPr="002601BB" w:rsidRDefault="00C5042D" w:rsidP="00C5042D">
            <w:pPr>
              <w:rPr>
                <w:b/>
                <w:bCs/>
                <w:iCs/>
                <w:sz w:val="18"/>
                <w:szCs w:val="18"/>
                <w:lang w:val="en-GB"/>
              </w:rPr>
            </w:pPr>
            <w:r w:rsidRPr="002601BB">
              <w:rPr>
                <w:b/>
                <w:bCs/>
                <w:iCs/>
                <w:sz w:val="18"/>
                <w:szCs w:val="18"/>
                <w:lang w:val="en-GB"/>
              </w:rPr>
              <w:t>Output 2.2</w:t>
            </w:r>
            <w:r w:rsidR="00EB4CD0">
              <w:rPr>
                <w:b/>
                <w:bCs/>
                <w:iCs/>
                <w:sz w:val="18"/>
                <w:szCs w:val="18"/>
                <w:lang w:val="en-GB"/>
              </w:rPr>
              <w:t>.</w:t>
            </w:r>
            <w:r w:rsidRPr="002601BB">
              <w:rPr>
                <w:b/>
                <w:bCs/>
                <w:iCs/>
                <w:sz w:val="18"/>
                <w:szCs w:val="18"/>
                <w:lang w:val="en-GB"/>
              </w:rPr>
              <w:t xml:space="preserve"> </w:t>
            </w:r>
            <w:r w:rsidR="00FC2C70" w:rsidRPr="002601BB">
              <w:rPr>
                <w:b/>
                <w:bCs/>
                <w:iCs/>
                <w:sz w:val="18"/>
                <w:szCs w:val="18"/>
                <w:lang w:val="en-GB"/>
              </w:rPr>
              <w:t>N</w:t>
            </w:r>
            <w:r w:rsidRPr="002601BB">
              <w:rPr>
                <w:b/>
                <w:bCs/>
                <w:iCs/>
                <w:sz w:val="18"/>
                <w:szCs w:val="18"/>
                <w:lang w:val="en-GB"/>
              </w:rPr>
              <w:t>ational and local public sector</w:t>
            </w:r>
            <w:r w:rsidR="000010B4" w:rsidRPr="002601BB">
              <w:rPr>
                <w:b/>
                <w:bCs/>
                <w:iCs/>
                <w:sz w:val="18"/>
                <w:szCs w:val="18"/>
                <w:lang w:val="en-GB"/>
              </w:rPr>
              <w:t>s</w:t>
            </w:r>
            <w:r w:rsidRPr="002601BB">
              <w:rPr>
                <w:b/>
                <w:bCs/>
                <w:iCs/>
                <w:sz w:val="18"/>
                <w:szCs w:val="18"/>
                <w:lang w:val="en-GB"/>
              </w:rPr>
              <w:t xml:space="preserve"> </w:t>
            </w:r>
            <w:r w:rsidR="00FC2C70" w:rsidRPr="002601BB">
              <w:rPr>
                <w:b/>
                <w:bCs/>
                <w:iCs/>
                <w:sz w:val="18"/>
                <w:szCs w:val="18"/>
                <w:lang w:val="en-GB"/>
              </w:rPr>
              <w:t xml:space="preserve">have strengthened capacities </w:t>
            </w:r>
            <w:r w:rsidRPr="002601BB">
              <w:rPr>
                <w:b/>
                <w:bCs/>
                <w:iCs/>
                <w:sz w:val="18"/>
                <w:szCs w:val="18"/>
                <w:lang w:val="en-GB"/>
              </w:rPr>
              <w:t>for the promotion of a green, blue</w:t>
            </w:r>
            <w:r w:rsidR="00FC7CAD" w:rsidRPr="002601BB">
              <w:rPr>
                <w:b/>
                <w:bCs/>
                <w:iCs/>
                <w:sz w:val="18"/>
                <w:szCs w:val="18"/>
                <w:lang w:val="en-GB"/>
              </w:rPr>
              <w:t>,</w:t>
            </w:r>
            <w:r w:rsidRPr="002601BB">
              <w:rPr>
                <w:b/>
                <w:bCs/>
                <w:iCs/>
                <w:sz w:val="18"/>
                <w:szCs w:val="18"/>
                <w:lang w:val="en-GB"/>
              </w:rPr>
              <w:t xml:space="preserve"> purple and circular economy and the strengthening of climate action</w:t>
            </w:r>
            <w:r w:rsidR="00EB4CD0">
              <w:rPr>
                <w:b/>
                <w:bCs/>
                <w:iCs/>
                <w:sz w:val="18"/>
                <w:szCs w:val="18"/>
                <w:lang w:val="en-GB"/>
              </w:rPr>
              <w:t>.</w:t>
            </w:r>
          </w:p>
          <w:p w14:paraId="4CB4AD91" w14:textId="4A066992" w:rsidR="00C5042D" w:rsidRPr="002601BB" w:rsidRDefault="00C5042D" w:rsidP="00C5042D">
            <w:pPr>
              <w:rPr>
                <w:b/>
                <w:bCs/>
                <w:iCs/>
                <w:sz w:val="18"/>
                <w:szCs w:val="18"/>
                <w:lang w:val="en-GB"/>
              </w:rPr>
            </w:pPr>
          </w:p>
          <w:p w14:paraId="730CF1DC" w14:textId="6C0E4CEB" w:rsidR="00C5042D" w:rsidRPr="002601BB" w:rsidRDefault="00C5042D" w:rsidP="00C5042D">
            <w:pPr>
              <w:rPr>
                <w:iCs/>
                <w:sz w:val="18"/>
                <w:szCs w:val="18"/>
                <w:lang w:val="en-GB"/>
              </w:rPr>
            </w:pPr>
            <w:r w:rsidRPr="00DF58ED">
              <w:rPr>
                <w:b/>
                <w:bCs/>
                <w:iCs/>
                <w:sz w:val="18"/>
                <w:szCs w:val="18"/>
                <w:lang w:val="en-GB"/>
              </w:rPr>
              <w:t>Indicator 2.2.1</w:t>
            </w:r>
            <w:r w:rsidR="00EB4CD0" w:rsidRPr="00DF58ED">
              <w:rPr>
                <w:b/>
                <w:bCs/>
                <w:iCs/>
                <w:sz w:val="18"/>
                <w:szCs w:val="18"/>
                <w:lang w:val="en-GB"/>
              </w:rPr>
              <w:t>.</w:t>
            </w:r>
            <w:r w:rsidR="00B07603" w:rsidRPr="002601BB">
              <w:rPr>
                <w:iCs/>
                <w:sz w:val="18"/>
                <w:szCs w:val="18"/>
                <w:lang w:val="en-GB"/>
              </w:rPr>
              <w:t xml:space="preserve"> </w:t>
            </w:r>
            <w:r w:rsidRPr="002601BB">
              <w:rPr>
                <w:iCs/>
                <w:sz w:val="18"/>
                <w:szCs w:val="18"/>
                <w:lang w:val="en-GB"/>
              </w:rPr>
              <w:t xml:space="preserve">Number of bills, </w:t>
            </w:r>
            <w:r w:rsidR="001478FF" w:rsidRPr="002601BB">
              <w:rPr>
                <w:iCs/>
                <w:sz w:val="18"/>
                <w:szCs w:val="18"/>
                <w:lang w:val="en-GB"/>
              </w:rPr>
              <w:t xml:space="preserve">drafted </w:t>
            </w:r>
            <w:r w:rsidRPr="002601BB">
              <w:rPr>
                <w:iCs/>
                <w:sz w:val="18"/>
                <w:szCs w:val="18"/>
                <w:lang w:val="en-GB"/>
              </w:rPr>
              <w:t xml:space="preserve">with the support of UNDP, being </w:t>
            </w:r>
            <w:r w:rsidR="00E80022" w:rsidRPr="002601BB">
              <w:rPr>
                <w:iCs/>
                <w:sz w:val="18"/>
                <w:szCs w:val="18"/>
                <w:lang w:val="en-GB"/>
              </w:rPr>
              <w:t xml:space="preserve">analysed </w:t>
            </w:r>
            <w:r w:rsidRPr="002601BB">
              <w:rPr>
                <w:iCs/>
                <w:sz w:val="18"/>
                <w:szCs w:val="18"/>
                <w:lang w:val="en-GB"/>
              </w:rPr>
              <w:t>in the legislative assembly to reduce fiscal dependence on income derived from hydrocarbon consumption and mitigate the cost to the State of the environmental and social impacts of unsustainable economic activity</w:t>
            </w:r>
            <w:r w:rsidR="00EA6BC9" w:rsidRPr="002601BB">
              <w:rPr>
                <w:iCs/>
                <w:sz w:val="18"/>
                <w:szCs w:val="18"/>
                <w:lang w:val="en-GB"/>
              </w:rPr>
              <w:t>, guided by the NDC and NDP</w:t>
            </w:r>
            <w:r w:rsidRPr="002601BB">
              <w:rPr>
                <w:iCs/>
                <w:sz w:val="18"/>
                <w:szCs w:val="18"/>
                <w:lang w:val="en-GB"/>
              </w:rPr>
              <w:t>.</w:t>
            </w:r>
            <w:r w:rsidR="00B82E5D" w:rsidRPr="002601BB">
              <w:rPr>
                <w:iCs/>
                <w:sz w:val="18"/>
                <w:szCs w:val="18"/>
                <w:lang w:val="en-GB"/>
              </w:rPr>
              <w:t xml:space="preserve"> [IRRF E.3.2]</w:t>
            </w:r>
          </w:p>
          <w:p w14:paraId="14C50775" w14:textId="3359098A" w:rsidR="00C5042D" w:rsidRPr="002601BB" w:rsidRDefault="00C5042D" w:rsidP="00C5042D">
            <w:pPr>
              <w:rPr>
                <w:iCs/>
                <w:sz w:val="18"/>
                <w:szCs w:val="18"/>
                <w:lang w:val="en-GB"/>
              </w:rPr>
            </w:pPr>
            <w:r w:rsidRPr="00DF58ED">
              <w:rPr>
                <w:i/>
                <w:sz w:val="18"/>
                <w:szCs w:val="18"/>
                <w:lang w:val="en-GB"/>
              </w:rPr>
              <w:t>Baseline</w:t>
            </w:r>
            <w:r w:rsidRPr="002601BB">
              <w:rPr>
                <w:iCs/>
                <w:sz w:val="18"/>
                <w:szCs w:val="18"/>
                <w:lang w:val="en-GB"/>
              </w:rPr>
              <w:t xml:space="preserve"> (2022): 1</w:t>
            </w:r>
          </w:p>
          <w:p w14:paraId="65BBCF4B" w14:textId="72A7C94A" w:rsidR="00C5042D" w:rsidRPr="002601BB" w:rsidRDefault="00C5042D" w:rsidP="00C5042D">
            <w:pPr>
              <w:rPr>
                <w:iCs/>
                <w:sz w:val="18"/>
                <w:szCs w:val="18"/>
                <w:lang w:val="en-GB"/>
              </w:rPr>
            </w:pPr>
            <w:r w:rsidRPr="00DF58ED">
              <w:rPr>
                <w:i/>
                <w:sz w:val="18"/>
                <w:szCs w:val="18"/>
                <w:lang w:val="en-GB"/>
              </w:rPr>
              <w:t>Target</w:t>
            </w:r>
            <w:r w:rsidRPr="002601BB">
              <w:rPr>
                <w:iCs/>
                <w:sz w:val="18"/>
                <w:szCs w:val="18"/>
                <w:lang w:val="en-GB"/>
              </w:rPr>
              <w:t xml:space="preserve"> (2027): 7</w:t>
            </w:r>
          </w:p>
          <w:p w14:paraId="710C6E7F" w14:textId="2A0813AB" w:rsidR="00C5042D" w:rsidRPr="002601BB" w:rsidRDefault="00C5042D" w:rsidP="00C5042D">
            <w:pPr>
              <w:rPr>
                <w:b/>
                <w:bCs/>
                <w:iCs/>
                <w:sz w:val="18"/>
                <w:szCs w:val="18"/>
                <w:lang w:val="en-GB"/>
              </w:rPr>
            </w:pPr>
            <w:r w:rsidRPr="00DF58ED">
              <w:rPr>
                <w:i/>
                <w:sz w:val="18"/>
                <w:szCs w:val="18"/>
                <w:lang w:val="en-GB"/>
              </w:rPr>
              <w:t>Frequency</w:t>
            </w:r>
            <w:r w:rsidRPr="002601BB">
              <w:rPr>
                <w:iCs/>
                <w:sz w:val="18"/>
                <w:szCs w:val="18"/>
                <w:lang w:val="en-GB"/>
              </w:rPr>
              <w:t xml:space="preserve">: </w:t>
            </w:r>
            <w:r w:rsidR="00EB4CD0">
              <w:rPr>
                <w:iCs/>
                <w:sz w:val="18"/>
                <w:szCs w:val="18"/>
                <w:lang w:val="en-GB"/>
              </w:rPr>
              <w:t>A</w:t>
            </w:r>
            <w:r w:rsidRPr="002601BB">
              <w:rPr>
                <w:iCs/>
                <w:sz w:val="18"/>
                <w:szCs w:val="18"/>
                <w:lang w:val="en-GB"/>
              </w:rPr>
              <w:t>nnual</w:t>
            </w:r>
          </w:p>
          <w:p w14:paraId="4E595366" w14:textId="2A70002A" w:rsidR="00C5042D" w:rsidRPr="002601BB" w:rsidRDefault="00C5042D" w:rsidP="00C5042D">
            <w:pPr>
              <w:rPr>
                <w:b/>
                <w:bCs/>
                <w:iCs/>
                <w:sz w:val="18"/>
                <w:szCs w:val="18"/>
                <w:lang w:val="en-GB"/>
              </w:rPr>
            </w:pPr>
            <w:r w:rsidRPr="00DF58ED">
              <w:rPr>
                <w:i/>
                <w:sz w:val="18"/>
                <w:szCs w:val="18"/>
                <w:lang w:val="en-GB"/>
              </w:rPr>
              <w:t>Data source</w:t>
            </w:r>
            <w:r w:rsidRPr="002601BB">
              <w:rPr>
                <w:iCs/>
                <w:sz w:val="18"/>
                <w:szCs w:val="18"/>
                <w:lang w:val="en-GB"/>
              </w:rPr>
              <w:t>: Legislative Assembly</w:t>
            </w:r>
          </w:p>
          <w:p w14:paraId="35CBAA8C" w14:textId="5412827F" w:rsidR="00C5042D" w:rsidRPr="002601BB" w:rsidRDefault="00C5042D" w:rsidP="00C5042D">
            <w:pPr>
              <w:rPr>
                <w:b/>
                <w:bCs/>
                <w:iCs/>
                <w:sz w:val="18"/>
                <w:szCs w:val="18"/>
                <w:lang w:val="en-GB"/>
              </w:rPr>
            </w:pPr>
          </w:p>
          <w:p w14:paraId="6FC6DE9E" w14:textId="7BA9BCA4" w:rsidR="00CE31FA" w:rsidRPr="002601BB" w:rsidRDefault="00C5042D" w:rsidP="00CE31FA">
            <w:pPr>
              <w:rPr>
                <w:iCs/>
                <w:sz w:val="18"/>
                <w:szCs w:val="18"/>
                <w:lang w:val="en-GB"/>
              </w:rPr>
            </w:pPr>
            <w:r w:rsidRPr="00DF58ED">
              <w:rPr>
                <w:b/>
                <w:bCs/>
                <w:iCs/>
                <w:sz w:val="18"/>
                <w:szCs w:val="18"/>
                <w:lang w:val="en-GB"/>
              </w:rPr>
              <w:t>Indicator 2.2.2</w:t>
            </w:r>
            <w:r w:rsidR="00EB4CD0" w:rsidRPr="00DF58ED">
              <w:rPr>
                <w:b/>
                <w:bCs/>
                <w:iCs/>
                <w:sz w:val="18"/>
                <w:szCs w:val="18"/>
                <w:lang w:val="en-GB"/>
              </w:rPr>
              <w:t>.</w:t>
            </w:r>
            <w:r w:rsidR="00B07603" w:rsidRPr="002601BB">
              <w:rPr>
                <w:iCs/>
                <w:sz w:val="18"/>
                <w:szCs w:val="18"/>
                <w:lang w:val="en-GB"/>
              </w:rPr>
              <w:t xml:space="preserve"> </w:t>
            </w:r>
            <w:r w:rsidRPr="002601BB">
              <w:rPr>
                <w:iCs/>
                <w:sz w:val="18"/>
                <w:szCs w:val="18"/>
                <w:lang w:val="en-GB"/>
              </w:rPr>
              <w:t xml:space="preserve">Number of public policies or technical standards </w:t>
            </w:r>
            <w:r w:rsidR="001478FF" w:rsidRPr="002601BB">
              <w:rPr>
                <w:iCs/>
                <w:sz w:val="18"/>
                <w:szCs w:val="18"/>
                <w:lang w:val="en-GB"/>
              </w:rPr>
              <w:t xml:space="preserve">drafted </w:t>
            </w:r>
            <w:r w:rsidRPr="002601BB">
              <w:rPr>
                <w:iCs/>
                <w:sz w:val="18"/>
                <w:szCs w:val="18"/>
                <w:lang w:val="en-GB"/>
              </w:rPr>
              <w:t xml:space="preserve">with support from UNDP, that </w:t>
            </w:r>
            <w:r w:rsidR="00C3041B" w:rsidRPr="002601BB">
              <w:rPr>
                <w:iCs/>
                <w:sz w:val="18"/>
                <w:szCs w:val="18"/>
                <w:lang w:val="en-GB"/>
              </w:rPr>
              <w:t>contribute to promoting sustainable production, bio</w:t>
            </w:r>
            <w:r w:rsidR="00FE6DE7" w:rsidRPr="002601BB">
              <w:rPr>
                <w:iCs/>
                <w:sz w:val="18"/>
                <w:szCs w:val="18"/>
                <w:lang w:val="en-GB"/>
              </w:rPr>
              <w:t>diversity</w:t>
            </w:r>
            <w:r w:rsidR="00C3041B" w:rsidRPr="002601BB">
              <w:rPr>
                <w:iCs/>
                <w:sz w:val="18"/>
                <w:szCs w:val="18"/>
                <w:lang w:val="en-GB"/>
              </w:rPr>
              <w:t>, circular economy, and climate action</w:t>
            </w:r>
            <w:r w:rsidR="00CE31FA" w:rsidRPr="002601BB">
              <w:rPr>
                <w:iCs/>
                <w:sz w:val="18"/>
                <w:szCs w:val="18"/>
                <w:lang w:val="en-GB"/>
              </w:rPr>
              <w:t xml:space="preserve"> at the national and municipal level, guided by the NDC and NDP. [IRRF EA.3.2]</w:t>
            </w:r>
          </w:p>
          <w:p w14:paraId="3B5744EA" w14:textId="77777777" w:rsidR="00CE31FA" w:rsidRPr="002601BB" w:rsidRDefault="00CE31FA" w:rsidP="00CE31FA">
            <w:pPr>
              <w:rPr>
                <w:iCs/>
                <w:sz w:val="18"/>
                <w:szCs w:val="18"/>
                <w:lang w:val="en-GB"/>
              </w:rPr>
            </w:pPr>
            <w:r w:rsidRPr="00DF58ED">
              <w:rPr>
                <w:i/>
                <w:sz w:val="18"/>
                <w:szCs w:val="18"/>
                <w:lang w:val="en-GB"/>
              </w:rPr>
              <w:t>Baseline</w:t>
            </w:r>
            <w:r w:rsidRPr="002601BB">
              <w:rPr>
                <w:iCs/>
                <w:sz w:val="18"/>
                <w:szCs w:val="18"/>
                <w:lang w:val="en-GB"/>
              </w:rPr>
              <w:t xml:space="preserve"> (2022): 5</w:t>
            </w:r>
          </w:p>
          <w:p w14:paraId="1DFBA60B" w14:textId="77777777" w:rsidR="00CE31FA" w:rsidRPr="002601BB" w:rsidRDefault="00CE31FA" w:rsidP="00CE31FA">
            <w:pPr>
              <w:rPr>
                <w:iCs/>
                <w:sz w:val="18"/>
                <w:szCs w:val="18"/>
                <w:lang w:val="en-GB"/>
              </w:rPr>
            </w:pPr>
            <w:r w:rsidRPr="00DF58ED">
              <w:rPr>
                <w:i/>
                <w:sz w:val="18"/>
                <w:szCs w:val="18"/>
                <w:lang w:val="en-GB"/>
              </w:rPr>
              <w:t>Target</w:t>
            </w:r>
            <w:r w:rsidRPr="002601BB">
              <w:rPr>
                <w:iCs/>
                <w:sz w:val="18"/>
                <w:szCs w:val="18"/>
                <w:lang w:val="en-GB"/>
              </w:rPr>
              <w:t xml:space="preserve"> (2022): 8</w:t>
            </w:r>
          </w:p>
          <w:p w14:paraId="5A1DB016" w14:textId="4EA56FE3" w:rsidR="00CE31FA" w:rsidRPr="002601BB" w:rsidRDefault="00CE31FA" w:rsidP="00CE31FA">
            <w:pPr>
              <w:rPr>
                <w:b/>
                <w:bCs/>
                <w:iCs/>
                <w:sz w:val="18"/>
                <w:szCs w:val="18"/>
                <w:lang w:val="en-GB"/>
              </w:rPr>
            </w:pPr>
            <w:r w:rsidRPr="00DF58ED">
              <w:rPr>
                <w:i/>
                <w:sz w:val="18"/>
                <w:szCs w:val="18"/>
                <w:lang w:val="en-GB"/>
              </w:rPr>
              <w:t>Frequency</w:t>
            </w:r>
            <w:r w:rsidRPr="002601BB">
              <w:rPr>
                <w:iCs/>
                <w:sz w:val="18"/>
                <w:szCs w:val="18"/>
                <w:lang w:val="en-GB"/>
              </w:rPr>
              <w:t xml:space="preserve">: </w:t>
            </w:r>
            <w:r w:rsidR="00EB4CD0">
              <w:rPr>
                <w:iCs/>
                <w:sz w:val="18"/>
                <w:szCs w:val="18"/>
                <w:lang w:val="en-GB"/>
              </w:rPr>
              <w:t>A</w:t>
            </w:r>
            <w:r w:rsidRPr="002601BB">
              <w:rPr>
                <w:iCs/>
                <w:sz w:val="18"/>
                <w:szCs w:val="18"/>
                <w:lang w:val="en-GB"/>
              </w:rPr>
              <w:t>nnual</w:t>
            </w:r>
          </w:p>
          <w:p w14:paraId="1730BBCB" w14:textId="56BBEFF8" w:rsidR="00C5042D" w:rsidRPr="002601BB" w:rsidRDefault="00CE31FA" w:rsidP="00D854AD">
            <w:pPr>
              <w:rPr>
                <w:b/>
                <w:bCs/>
                <w:iCs/>
                <w:sz w:val="18"/>
                <w:szCs w:val="18"/>
                <w:lang w:val="en-GB"/>
              </w:rPr>
            </w:pPr>
            <w:r w:rsidRPr="00DF58ED">
              <w:rPr>
                <w:i/>
                <w:sz w:val="18"/>
                <w:szCs w:val="18"/>
                <w:lang w:val="en-GB"/>
              </w:rPr>
              <w:lastRenderedPageBreak/>
              <w:t>Data source</w:t>
            </w:r>
            <w:r w:rsidRPr="002601BB">
              <w:rPr>
                <w:iCs/>
                <w:sz w:val="18"/>
                <w:szCs w:val="18"/>
                <w:lang w:val="en-GB"/>
              </w:rPr>
              <w:t>: UNDP, MEIC</w:t>
            </w:r>
          </w:p>
        </w:tc>
        <w:tc>
          <w:tcPr>
            <w:tcW w:w="1136" w:type="pct"/>
            <w:vMerge w:val="restart"/>
          </w:tcPr>
          <w:p w14:paraId="42EA8C2F" w14:textId="77777777"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lastRenderedPageBreak/>
              <w:t>Presidency</w:t>
            </w:r>
          </w:p>
          <w:p w14:paraId="3B10AFC1" w14:textId="77777777"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Legislative Assembly</w:t>
            </w:r>
          </w:p>
          <w:p w14:paraId="3EAF5335" w14:textId="77777777" w:rsidR="00872466" w:rsidRPr="002601BB" w:rsidRDefault="00872466" w:rsidP="00872466">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MAG</w:t>
            </w:r>
          </w:p>
          <w:p w14:paraId="57CCA709" w14:textId="77777777" w:rsidR="00872466" w:rsidRPr="002601BB" w:rsidRDefault="00872466" w:rsidP="00872466">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MCJ</w:t>
            </w:r>
          </w:p>
          <w:p w14:paraId="24846D83" w14:textId="77777777" w:rsidR="00872466" w:rsidRPr="002601BB" w:rsidRDefault="00872466" w:rsidP="00872466">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MEIC</w:t>
            </w:r>
          </w:p>
          <w:p w14:paraId="75F7FB70" w14:textId="77777777" w:rsidR="00506878" w:rsidRPr="002601BB" w:rsidRDefault="00506878" w:rsidP="00506878">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MICITT</w:t>
            </w:r>
          </w:p>
          <w:p w14:paraId="19D211BD" w14:textId="28D41EEE"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MIDEPLAN</w:t>
            </w:r>
          </w:p>
          <w:p w14:paraId="1B547482" w14:textId="4A671E7F"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MINAE</w:t>
            </w:r>
          </w:p>
          <w:p w14:paraId="12064F42" w14:textId="77777777"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Ministry of Heath</w:t>
            </w:r>
          </w:p>
          <w:p w14:paraId="693B0157" w14:textId="38E47FB2" w:rsidR="00872466" w:rsidRPr="00E84E4A" w:rsidRDefault="00872466" w:rsidP="00872466">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M</w:t>
            </w:r>
            <w:r w:rsidR="002E786A">
              <w:rPr>
                <w:rFonts w:ascii="Times New Roman" w:hAnsi="Times New Roman" w:cs="Times New Roman"/>
                <w:iCs/>
                <w:sz w:val="18"/>
                <w:szCs w:val="18"/>
                <w:lang w:val="pt-BR"/>
              </w:rPr>
              <w:t>O</w:t>
            </w:r>
            <w:r w:rsidRPr="00E84E4A">
              <w:rPr>
                <w:rFonts w:ascii="Times New Roman" w:hAnsi="Times New Roman" w:cs="Times New Roman"/>
                <w:iCs/>
                <w:sz w:val="18"/>
                <w:szCs w:val="18"/>
                <w:lang w:val="pt-BR"/>
              </w:rPr>
              <w:t>H</w:t>
            </w:r>
          </w:p>
          <w:p w14:paraId="171B5B04" w14:textId="09D3BC01" w:rsidR="00C5042D" w:rsidRPr="00E84E4A" w:rsidRDefault="00C5042D" w:rsidP="00C5042D">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MTSS</w:t>
            </w:r>
          </w:p>
          <w:p w14:paraId="7D64F440" w14:textId="289DBE26" w:rsidR="00C5042D" w:rsidRPr="00E84E4A" w:rsidRDefault="00C5042D" w:rsidP="00C5042D">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IMAS</w:t>
            </w:r>
          </w:p>
          <w:p w14:paraId="20C79A9A" w14:textId="77777777" w:rsidR="00541B06" w:rsidRPr="00E84E4A" w:rsidRDefault="00541B06" w:rsidP="00541B06">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BCCR</w:t>
            </w:r>
          </w:p>
          <w:p w14:paraId="71EE2E90" w14:textId="13A4C076" w:rsidR="00C5042D" w:rsidRPr="00E84E4A" w:rsidRDefault="00C5042D" w:rsidP="00C5042D">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INCOPESCA</w:t>
            </w:r>
          </w:p>
          <w:p w14:paraId="4391441C" w14:textId="4697814B" w:rsidR="00C5042D" w:rsidRPr="00E84E4A" w:rsidRDefault="00C5042D" w:rsidP="00C5042D">
            <w:pPr>
              <w:pStyle w:val="NoSpacing"/>
              <w:rPr>
                <w:rFonts w:ascii="Times New Roman" w:hAnsi="Times New Roman" w:cs="Times New Roman"/>
                <w:iCs/>
                <w:sz w:val="18"/>
                <w:szCs w:val="18"/>
                <w:lang w:val="pt-BR"/>
              </w:rPr>
            </w:pPr>
            <w:r w:rsidRPr="00E84E4A">
              <w:rPr>
                <w:rFonts w:ascii="Times New Roman" w:hAnsi="Times New Roman" w:cs="Times New Roman"/>
                <w:iCs/>
                <w:sz w:val="18"/>
                <w:szCs w:val="18"/>
                <w:lang w:val="pt-BR"/>
              </w:rPr>
              <w:t>INAMU</w:t>
            </w:r>
          </w:p>
          <w:p w14:paraId="2665F272" w14:textId="77777777" w:rsidR="00872466" w:rsidRPr="002601BB" w:rsidRDefault="00872466" w:rsidP="00872466">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INCOP</w:t>
            </w:r>
          </w:p>
          <w:p w14:paraId="36EEAD21" w14:textId="59DF0B67" w:rsidR="00C5042D" w:rsidRPr="002601BB" w:rsidRDefault="00965533"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Rural Development Institute (</w:t>
            </w:r>
            <w:r w:rsidR="00C5042D" w:rsidRPr="002601BB">
              <w:rPr>
                <w:rFonts w:ascii="Times New Roman" w:hAnsi="Times New Roman" w:cs="Times New Roman"/>
                <w:iCs/>
                <w:sz w:val="18"/>
                <w:szCs w:val="18"/>
                <w:lang w:val="en-GB"/>
              </w:rPr>
              <w:t>INDER</w:t>
            </w:r>
            <w:r w:rsidRPr="002601BB">
              <w:rPr>
                <w:rFonts w:ascii="Times New Roman" w:hAnsi="Times New Roman" w:cs="Times New Roman"/>
                <w:iCs/>
                <w:sz w:val="18"/>
                <w:szCs w:val="18"/>
                <w:lang w:val="en-GB"/>
              </w:rPr>
              <w:t>)</w:t>
            </w:r>
          </w:p>
          <w:p w14:paraId="1399DE0E" w14:textId="0005BE6E" w:rsidR="00C5042D" w:rsidRPr="002601BB" w:rsidRDefault="004C7D6B"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 xml:space="preserve">Indigenous </w:t>
            </w:r>
            <w:r w:rsidR="009E75B5" w:rsidRPr="002601BB">
              <w:rPr>
                <w:rFonts w:ascii="Times New Roman" w:hAnsi="Times New Roman" w:cs="Times New Roman"/>
                <w:iCs/>
                <w:sz w:val="18"/>
                <w:szCs w:val="18"/>
                <w:lang w:val="en-GB"/>
              </w:rPr>
              <w:t>Roundt</w:t>
            </w:r>
            <w:r w:rsidRPr="002601BB">
              <w:rPr>
                <w:rFonts w:ascii="Times New Roman" w:hAnsi="Times New Roman" w:cs="Times New Roman"/>
                <w:iCs/>
                <w:sz w:val="18"/>
                <w:szCs w:val="18"/>
                <w:lang w:val="en-GB"/>
              </w:rPr>
              <w:t>able</w:t>
            </w:r>
          </w:p>
          <w:p w14:paraId="7C0F591E" w14:textId="77777777"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Chambers of Commerce and Exporters</w:t>
            </w:r>
          </w:p>
          <w:p w14:paraId="534E7744" w14:textId="257CBCE7"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 xml:space="preserve">Private </w:t>
            </w:r>
            <w:r w:rsidR="00EB4CD0">
              <w:rPr>
                <w:rFonts w:ascii="Times New Roman" w:hAnsi="Times New Roman" w:cs="Times New Roman"/>
                <w:iCs/>
                <w:sz w:val="18"/>
                <w:szCs w:val="18"/>
                <w:lang w:val="en-GB"/>
              </w:rPr>
              <w:t>s</w:t>
            </w:r>
            <w:r w:rsidRPr="002601BB">
              <w:rPr>
                <w:rFonts w:ascii="Times New Roman" w:hAnsi="Times New Roman" w:cs="Times New Roman"/>
                <w:iCs/>
                <w:sz w:val="18"/>
                <w:szCs w:val="18"/>
                <w:lang w:val="en-GB"/>
              </w:rPr>
              <w:t xml:space="preserve">ector </w:t>
            </w:r>
          </w:p>
          <w:p w14:paraId="6E2CDC5D" w14:textId="392B75AE" w:rsidR="00C5042D" w:rsidRPr="002601BB" w:rsidRDefault="00C5042D" w:rsidP="00C5042D">
            <w:pPr>
              <w:pStyle w:val="NoSpacing"/>
              <w:rPr>
                <w:rFonts w:ascii="Times New Roman" w:hAnsi="Times New Roman" w:cs="Times New Roman"/>
                <w:iCs/>
                <w:sz w:val="18"/>
                <w:szCs w:val="18"/>
                <w:lang w:val="en-GB"/>
              </w:rPr>
            </w:pPr>
            <w:r w:rsidRPr="002601BB">
              <w:rPr>
                <w:rFonts w:ascii="Times New Roman" w:hAnsi="Times New Roman" w:cs="Times New Roman"/>
                <w:iCs/>
                <w:sz w:val="18"/>
                <w:szCs w:val="18"/>
                <w:lang w:val="en-GB"/>
              </w:rPr>
              <w:t>Donors: GEF, GCF, Global Fund, Adaptation Fund, Government of Costa Rica</w:t>
            </w:r>
          </w:p>
          <w:p w14:paraId="43A105E8" w14:textId="55D0B632" w:rsidR="00C5042D" w:rsidRPr="002601BB" w:rsidRDefault="00C5042D" w:rsidP="00C5042D">
            <w:pPr>
              <w:rPr>
                <w:iCs/>
                <w:sz w:val="18"/>
                <w:szCs w:val="18"/>
                <w:lang w:val="en-GB"/>
              </w:rPr>
            </w:pPr>
          </w:p>
        </w:tc>
        <w:tc>
          <w:tcPr>
            <w:tcW w:w="497" w:type="pct"/>
            <w:tcMar>
              <w:top w:w="15" w:type="dxa"/>
              <w:left w:w="108" w:type="dxa"/>
              <w:bottom w:w="0" w:type="dxa"/>
              <w:right w:w="108" w:type="dxa"/>
            </w:tcMar>
          </w:tcPr>
          <w:p w14:paraId="3D7228B7" w14:textId="77777777" w:rsidR="00C5042D" w:rsidRPr="002601BB" w:rsidRDefault="00C5042D" w:rsidP="00C5042D">
            <w:pPr>
              <w:rPr>
                <w:b/>
                <w:iCs/>
                <w:sz w:val="18"/>
                <w:szCs w:val="18"/>
                <w:lang w:val="en-GB"/>
              </w:rPr>
            </w:pPr>
            <w:r w:rsidRPr="002601BB">
              <w:rPr>
                <w:b/>
                <w:iCs/>
                <w:sz w:val="18"/>
                <w:szCs w:val="18"/>
                <w:lang w:val="en-GB"/>
              </w:rPr>
              <w:t>Regular</w:t>
            </w:r>
          </w:p>
          <w:p w14:paraId="136C60BD" w14:textId="46598F48" w:rsidR="00C74E52" w:rsidRPr="002601BB" w:rsidRDefault="00C74E52" w:rsidP="00C5042D">
            <w:pPr>
              <w:rPr>
                <w:b/>
                <w:iCs/>
                <w:sz w:val="18"/>
                <w:szCs w:val="18"/>
                <w:lang w:val="en-GB"/>
              </w:rPr>
            </w:pPr>
            <w:r w:rsidRPr="002601BB">
              <w:rPr>
                <w:iCs/>
                <w:sz w:val="18"/>
                <w:szCs w:val="18"/>
                <w:lang w:val="en-GB" w:eastAsia="es-CR"/>
              </w:rPr>
              <w:t>$</w:t>
            </w:r>
            <w:r w:rsidR="00970C53" w:rsidRPr="002601BB">
              <w:rPr>
                <w:iCs/>
                <w:sz w:val="18"/>
                <w:szCs w:val="18"/>
                <w:lang w:val="en-GB" w:eastAsia="es-CR"/>
              </w:rPr>
              <w:t>382,800</w:t>
            </w:r>
          </w:p>
        </w:tc>
      </w:tr>
      <w:tr w:rsidR="00F119F7" w:rsidRPr="002601BB" w14:paraId="4E5045FA" w14:textId="77777777" w:rsidTr="00012372">
        <w:trPr>
          <w:trHeight w:val="461"/>
        </w:trPr>
        <w:tc>
          <w:tcPr>
            <w:tcW w:w="1097" w:type="pct"/>
            <w:vMerge/>
            <w:tcMar>
              <w:top w:w="72" w:type="dxa"/>
              <w:left w:w="144" w:type="dxa"/>
              <w:bottom w:w="72" w:type="dxa"/>
              <w:right w:w="144" w:type="dxa"/>
            </w:tcMar>
          </w:tcPr>
          <w:p w14:paraId="72534434" w14:textId="77777777" w:rsidR="00F119F7" w:rsidRPr="002601BB" w:rsidRDefault="00F119F7" w:rsidP="00924B03">
            <w:pPr>
              <w:rPr>
                <w:i/>
                <w:iCs/>
                <w:color w:val="000000"/>
                <w:sz w:val="18"/>
                <w:szCs w:val="18"/>
                <w:lang w:val="en-GB"/>
              </w:rPr>
            </w:pPr>
          </w:p>
        </w:tc>
        <w:tc>
          <w:tcPr>
            <w:tcW w:w="1178" w:type="pct"/>
            <w:vMerge/>
          </w:tcPr>
          <w:p w14:paraId="7F6C7845" w14:textId="77777777" w:rsidR="00F119F7" w:rsidRPr="002601BB" w:rsidRDefault="00F119F7" w:rsidP="00924B03">
            <w:pPr>
              <w:rPr>
                <w:i/>
                <w:iCs/>
                <w:color w:val="000000"/>
                <w:sz w:val="18"/>
                <w:szCs w:val="18"/>
                <w:lang w:val="en-GB"/>
              </w:rPr>
            </w:pPr>
          </w:p>
        </w:tc>
        <w:tc>
          <w:tcPr>
            <w:tcW w:w="1092" w:type="pct"/>
            <w:vMerge/>
            <w:tcMar>
              <w:top w:w="72" w:type="dxa"/>
              <w:left w:w="144" w:type="dxa"/>
              <w:bottom w:w="72" w:type="dxa"/>
              <w:right w:w="144" w:type="dxa"/>
            </w:tcMar>
          </w:tcPr>
          <w:p w14:paraId="7F4EF928" w14:textId="77777777" w:rsidR="00F119F7" w:rsidRPr="002601BB" w:rsidRDefault="00F119F7" w:rsidP="00924B03">
            <w:pPr>
              <w:rPr>
                <w:i/>
                <w:iCs/>
                <w:color w:val="000000"/>
                <w:sz w:val="18"/>
                <w:szCs w:val="18"/>
                <w:lang w:val="en-GB"/>
              </w:rPr>
            </w:pPr>
          </w:p>
        </w:tc>
        <w:tc>
          <w:tcPr>
            <w:tcW w:w="1136" w:type="pct"/>
            <w:vMerge/>
          </w:tcPr>
          <w:p w14:paraId="13B96ABF" w14:textId="77777777" w:rsidR="00F119F7" w:rsidRPr="002601BB" w:rsidRDefault="00F119F7" w:rsidP="00924B03">
            <w:pPr>
              <w:rPr>
                <w:i/>
                <w:iCs/>
                <w:color w:val="000000"/>
                <w:sz w:val="18"/>
                <w:szCs w:val="18"/>
                <w:lang w:val="en-GB"/>
              </w:rPr>
            </w:pPr>
          </w:p>
        </w:tc>
        <w:tc>
          <w:tcPr>
            <w:tcW w:w="497" w:type="pct"/>
            <w:tcMar>
              <w:top w:w="15" w:type="dxa"/>
              <w:left w:w="108" w:type="dxa"/>
              <w:bottom w:w="0" w:type="dxa"/>
              <w:right w:w="108" w:type="dxa"/>
            </w:tcMar>
          </w:tcPr>
          <w:p w14:paraId="4B40D490" w14:textId="77777777" w:rsidR="00F119F7" w:rsidRPr="002601BB" w:rsidRDefault="00F119F7" w:rsidP="00924B03">
            <w:pPr>
              <w:rPr>
                <w:b/>
                <w:color w:val="000000"/>
                <w:sz w:val="18"/>
                <w:szCs w:val="18"/>
                <w:lang w:val="en-GB"/>
              </w:rPr>
            </w:pPr>
            <w:r w:rsidRPr="002601BB">
              <w:rPr>
                <w:b/>
                <w:color w:val="000000"/>
                <w:sz w:val="18"/>
                <w:szCs w:val="18"/>
                <w:lang w:val="en-GB"/>
              </w:rPr>
              <w:t>Other</w:t>
            </w:r>
          </w:p>
          <w:p w14:paraId="4D83A4A6" w14:textId="38CBC8E7" w:rsidR="00F119F7" w:rsidRPr="002601BB" w:rsidRDefault="002F6C6E" w:rsidP="00924B03">
            <w:pPr>
              <w:rPr>
                <w:color w:val="000000"/>
                <w:sz w:val="18"/>
                <w:szCs w:val="18"/>
                <w:lang w:val="en-GB" w:eastAsia="es-CR"/>
              </w:rPr>
            </w:pPr>
            <w:r w:rsidRPr="002601BB">
              <w:rPr>
                <w:color w:val="000000"/>
                <w:sz w:val="18"/>
                <w:szCs w:val="18"/>
                <w:lang w:val="en-GB" w:eastAsia="es-CR"/>
              </w:rPr>
              <w:t>$</w:t>
            </w:r>
            <w:r w:rsidR="00EA3D12" w:rsidRPr="002601BB">
              <w:rPr>
                <w:color w:val="000000"/>
                <w:sz w:val="18"/>
                <w:szCs w:val="18"/>
                <w:lang w:val="en-GB" w:eastAsia="es-CR"/>
              </w:rPr>
              <w:t>2</w:t>
            </w:r>
            <w:r w:rsidR="0043489E" w:rsidRPr="002601BB">
              <w:rPr>
                <w:color w:val="000000"/>
                <w:sz w:val="18"/>
                <w:szCs w:val="18"/>
                <w:lang w:val="en-GB" w:eastAsia="es-CR"/>
              </w:rPr>
              <w:t>2</w:t>
            </w:r>
            <w:r w:rsidR="00321D88" w:rsidRPr="002601BB">
              <w:rPr>
                <w:color w:val="000000"/>
                <w:sz w:val="18"/>
                <w:szCs w:val="18"/>
                <w:lang w:val="en-GB" w:eastAsia="es-CR"/>
              </w:rPr>
              <w:t>,</w:t>
            </w:r>
            <w:r w:rsidR="00931D3C" w:rsidRPr="002601BB">
              <w:rPr>
                <w:color w:val="000000"/>
                <w:sz w:val="18"/>
                <w:szCs w:val="18"/>
                <w:lang w:val="en-GB" w:eastAsia="es-CR"/>
              </w:rPr>
              <w:t>660</w:t>
            </w:r>
            <w:r w:rsidR="00321D88" w:rsidRPr="002601BB">
              <w:rPr>
                <w:color w:val="000000"/>
                <w:sz w:val="18"/>
                <w:szCs w:val="18"/>
                <w:lang w:val="en-GB" w:eastAsia="es-CR"/>
              </w:rPr>
              <w:t>,</w:t>
            </w:r>
            <w:r w:rsidRPr="002601BB">
              <w:rPr>
                <w:color w:val="000000"/>
                <w:sz w:val="18"/>
                <w:szCs w:val="18"/>
                <w:lang w:val="en-GB" w:eastAsia="es-CR"/>
              </w:rPr>
              <w:t>000</w:t>
            </w:r>
          </w:p>
        </w:tc>
      </w:tr>
      <w:tr w:rsidR="00F119F7" w:rsidRPr="002601BB" w14:paraId="59F3720C" w14:textId="77777777" w:rsidTr="00D854AD">
        <w:trPr>
          <w:trHeight w:val="25"/>
        </w:trPr>
        <w:tc>
          <w:tcPr>
            <w:tcW w:w="5000" w:type="pct"/>
            <w:gridSpan w:val="5"/>
            <w:shd w:val="clear" w:color="auto" w:fill="DBE5F1" w:themeFill="accent1" w:themeFillTint="33"/>
            <w:tcMar>
              <w:top w:w="72" w:type="dxa"/>
              <w:left w:w="144" w:type="dxa"/>
              <w:bottom w:w="72" w:type="dxa"/>
              <w:right w:w="144" w:type="dxa"/>
            </w:tcMar>
          </w:tcPr>
          <w:p w14:paraId="353C00B2" w14:textId="3103A130" w:rsidR="00F119F7" w:rsidRPr="002601BB" w:rsidRDefault="00F119F7" w:rsidP="00924B03">
            <w:pPr>
              <w:rPr>
                <w:sz w:val="18"/>
                <w:szCs w:val="18"/>
                <w:lang w:val="en-GB"/>
              </w:rPr>
            </w:pPr>
            <w:r w:rsidRPr="002601BB">
              <w:rPr>
                <w:b/>
                <w:bCs/>
                <w:sz w:val="18"/>
                <w:szCs w:val="18"/>
                <w:lang w:val="en-GB"/>
              </w:rPr>
              <w:lastRenderedPageBreak/>
              <w:t xml:space="preserve">NATIONAL PRIORITY OR GOAL: </w:t>
            </w:r>
            <w:r w:rsidR="003F485F" w:rsidRPr="002601BB">
              <w:rPr>
                <w:sz w:val="18"/>
                <w:szCs w:val="18"/>
                <w:lang w:val="en-GB"/>
              </w:rPr>
              <w:t>Strengthened national and subnational, public and private capacities for prevention, preparation, reaction and response to crises</w:t>
            </w:r>
            <w:r w:rsidR="00064FA1" w:rsidRPr="002601BB">
              <w:rPr>
                <w:sz w:val="18"/>
                <w:szCs w:val="18"/>
                <w:lang w:val="en-GB"/>
              </w:rPr>
              <w:t xml:space="preserve">. </w:t>
            </w:r>
            <w:r w:rsidR="00EB4E24" w:rsidRPr="002601BB">
              <w:rPr>
                <w:sz w:val="18"/>
                <w:szCs w:val="18"/>
                <w:lang w:val="en-GB"/>
              </w:rPr>
              <w:t xml:space="preserve">Sustainable Development Goals </w:t>
            </w:r>
            <w:r w:rsidR="00275E13" w:rsidRPr="002601BB">
              <w:rPr>
                <w:sz w:val="18"/>
                <w:szCs w:val="18"/>
                <w:lang w:val="en-GB"/>
              </w:rPr>
              <w:t>3, 4, 5, 6, 11, 13, 14, 15, 17.</w:t>
            </w:r>
          </w:p>
        </w:tc>
      </w:tr>
      <w:tr w:rsidR="00F119F7" w:rsidRPr="002601BB" w14:paraId="067E7903" w14:textId="77777777" w:rsidTr="00D854AD">
        <w:trPr>
          <w:trHeight w:val="124"/>
        </w:trPr>
        <w:tc>
          <w:tcPr>
            <w:tcW w:w="5000" w:type="pct"/>
            <w:gridSpan w:val="5"/>
            <w:shd w:val="clear" w:color="auto" w:fill="DBE5F1" w:themeFill="accent1" w:themeFillTint="33"/>
            <w:tcMar>
              <w:top w:w="72" w:type="dxa"/>
              <w:left w:w="144" w:type="dxa"/>
              <w:bottom w:w="72" w:type="dxa"/>
              <w:right w:w="144" w:type="dxa"/>
            </w:tcMar>
          </w:tcPr>
          <w:p w14:paraId="6B6B17D7" w14:textId="16504293" w:rsidR="006F4257" w:rsidRPr="002601BB" w:rsidRDefault="00F119F7" w:rsidP="005F326C">
            <w:pPr>
              <w:rPr>
                <w:sz w:val="18"/>
                <w:szCs w:val="18"/>
                <w:lang w:val="en-GB"/>
              </w:rPr>
            </w:pPr>
            <w:r w:rsidRPr="002601BB">
              <w:rPr>
                <w:b/>
                <w:bCs/>
                <w:sz w:val="18"/>
                <w:szCs w:val="18"/>
                <w:lang w:val="en-GB"/>
              </w:rPr>
              <w:t>COOPERATION FRAMEWORK OUTCOME INVOLVING UNDP #</w:t>
            </w:r>
            <w:r w:rsidR="00725AA6" w:rsidRPr="002601BB">
              <w:rPr>
                <w:b/>
                <w:bCs/>
                <w:sz w:val="18"/>
                <w:szCs w:val="18"/>
                <w:lang w:val="en-GB"/>
              </w:rPr>
              <w:t>3</w:t>
            </w:r>
            <w:r w:rsidRPr="002601BB">
              <w:rPr>
                <w:b/>
                <w:bCs/>
                <w:sz w:val="18"/>
                <w:szCs w:val="18"/>
                <w:lang w:val="en-GB"/>
              </w:rPr>
              <w:t>:</w:t>
            </w:r>
            <w:r w:rsidRPr="002601BB">
              <w:rPr>
                <w:sz w:val="18"/>
                <w:szCs w:val="18"/>
                <w:lang w:val="en-GB"/>
              </w:rPr>
              <w:t xml:space="preserve"> </w:t>
            </w:r>
            <w:r w:rsidR="00BC3DBE" w:rsidRPr="002601BB">
              <w:rPr>
                <w:sz w:val="18"/>
                <w:szCs w:val="18"/>
                <w:lang w:val="en-GB"/>
              </w:rPr>
              <w:t xml:space="preserve">UNSDCF </w:t>
            </w:r>
            <w:r w:rsidR="00B7689E">
              <w:rPr>
                <w:sz w:val="18"/>
                <w:szCs w:val="18"/>
                <w:lang w:val="en-GB"/>
              </w:rPr>
              <w:t>o</w:t>
            </w:r>
            <w:r w:rsidR="00546735" w:rsidRPr="002601BB">
              <w:rPr>
                <w:sz w:val="18"/>
                <w:szCs w:val="18"/>
                <w:lang w:val="en-GB"/>
              </w:rPr>
              <w:t>utcome 4.</w:t>
            </w:r>
            <w:r w:rsidR="00D808DB" w:rsidRPr="002601BB">
              <w:rPr>
                <w:sz w:val="18"/>
                <w:szCs w:val="18"/>
                <w:lang w:val="en-GB"/>
              </w:rPr>
              <w:t>2</w:t>
            </w:r>
            <w:r w:rsidR="002E786A">
              <w:rPr>
                <w:sz w:val="18"/>
                <w:szCs w:val="18"/>
                <w:lang w:val="en-GB"/>
              </w:rPr>
              <w:t>.</w:t>
            </w:r>
            <w:r w:rsidR="00D808DB" w:rsidRPr="002601BB">
              <w:rPr>
                <w:sz w:val="18"/>
                <w:szCs w:val="18"/>
                <w:lang w:val="en-GB"/>
              </w:rPr>
              <w:t xml:space="preserve"> </w:t>
            </w:r>
            <w:r w:rsidR="00E27279" w:rsidRPr="002601BB">
              <w:rPr>
                <w:sz w:val="18"/>
                <w:szCs w:val="18"/>
                <w:lang w:val="en-GB"/>
              </w:rPr>
              <w:t xml:space="preserve">By 2027, </w:t>
            </w:r>
            <w:r w:rsidR="00070DE2" w:rsidRPr="002601BB">
              <w:rPr>
                <w:sz w:val="18"/>
                <w:szCs w:val="18"/>
                <w:lang w:val="en-GB"/>
              </w:rPr>
              <w:t xml:space="preserve">people, communities and institutions mitigate and adapt </w:t>
            </w:r>
            <w:r w:rsidR="00E27279" w:rsidRPr="002601BB">
              <w:rPr>
                <w:sz w:val="18"/>
                <w:szCs w:val="18"/>
                <w:lang w:val="en-GB"/>
              </w:rPr>
              <w:t xml:space="preserve">to climate change and </w:t>
            </w:r>
            <w:r w:rsidR="00843504" w:rsidRPr="002601BB">
              <w:rPr>
                <w:sz w:val="18"/>
                <w:szCs w:val="18"/>
                <w:lang w:val="en-GB"/>
              </w:rPr>
              <w:t xml:space="preserve">a sustainable and </w:t>
            </w:r>
            <w:r w:rsidR="00E27279" w:rsidRPr="002601BB">
              <w:rPr>
                <w:sz w:val="18"/>
                <w:szCs w:val="18"/>
                <w:lang w:val="en-GB"/>
              </w:rPr>
              <w:t xml:space="preserve">efficient use of ecosystem resources </w:t>
            </w:r>
            <w:r w:rsidR="00A9234D" w:rsidRPr="002601BB">
              <w:rPr>
                <w:sz w:val="18"/>
                <w:szCs w:val="18"/>
                <w:lang w:val="en-GB"/>
              </w:rPr>
              <w:t xml:space="preserve">that conserve and prevent the degradation of nature, stop pollution and protect </w:t>
            </w:r>
            <w:r w:rsidR="00E27279" w:rsidRPr="002601BB">
              <w:rPr>
                <w:sz w:val="18"/>
                <w:szCs w:val="18"/>
                <w:lang w:val="en-GB"/>
              </w:rPr>
              <w:t>the planet.</w:t>
            </w:r>
          </w:p>
        </w:tc>
      </w:tr>
      <w:tr w:rsidR="00F119F7" w:rsidRPr="002601BB" w14:paraId="225D5948" w14:textId="77777777" w:rsidTr="00D854AD">
        <w:trPr>
          <w:trHeight w:val="124"/>
        </w:trPr>
        <w:tc>
          <w:tcPr>
            <w:tcW w:w="5000" w:type="pct"/>
            <w:gridSpan w:val="5"/>
            <w:shd w:val="clear" w:color="auto" w:fill="DBE5F1" w:themeFill="accent1" w:themeFillTint="33"/>
            <w:tcMar>
              <w:top w:w="72" w:type="dxa"/>
              <w:left w:w="144" w:type="dxa"/>
              <w:bottom w:w="72" w:type="dxa"/>
              <w:right w:w="144" w:type="dxa"/>
            </w:tcMar>
          </w:tcPr>
          <w:p w14:paraId="3CF51CC4" w14:textId="36735824" w:rsidR="00F119F7" w:rsidRPr="002601BB" w:rsidRDefault="00F119F7" w:rsidP="00924B03">
            <w:pPr>
              <w:rPr>
                <w:b/>
                <w:bCs/>
                <w:sz w:val="18"/>
                <w:szCs w:val="18"/>
                <w:lang w:val="en-GB"/>
              </w:rPr>
            </w:pPr>
            <w:r w:rsidRPr="002601BB">
              <w:rPr>
                <w:b/>
                <w:bCs/>
                <w:sz w:val="18"/>
                <w:szCs w:val="18"/>
                <w:lang w:val="en-GB"/>
              </w:rPr>
              <w:t xml:space="preserve">RELATED STRATEGIC PLAN OUTCOME: </w:t>
            </w:r>
            <w:r w:rsidRPr="002601BB">
              <w:rPr>
                <w:sz w:val="18"/>
                <w:szCs w:val="18"/>
                <w:lang w:val="en-GB"/>
              </w:rPr>
              <w:t>Outcome 3: Resilience built to respond to systemic uncertainty and risk.</w:t>
            </w:r>
            <w:r w:rsidRPr="002601BB" w:rsidDel="007E5629">
              <w:rPr>
                <w:b/>
                <w:bCs/>
                <w:sz w:val="18"/>
                <w:szCs w:val="18"/>
                <w:lang w:val="en-GB"/>
              </w:rPr>
              <w:t xml:space="preserve"> </w:t>
            </w:r>
          </w:p>
        </w:tc>
      </w:tr>
      <w:tr w:rsidR="00F14D74" w:rsidRPr="002601BB" w14:paraId="6A004999" w14:textId="77777777" w:rsidTr="00D854AD">
        <w:trPr>
          <w:trHeight w:val="20"/>
        </w:trPr>
        <w:tc>
          <w:tcPr>
            <w:tcW w:w="1097" w:type="pct"/>
            <w:vMerge w:val="restart"/>
            <w:tcMar>
              <w:top w:w="72" w:type="dxa"/>
              <w:left w:w="144" w:type="dxa"/>
              <w:bottom w:w="72" w:type="dxa"/>
              <w:right w:w="144" w:type="dxa"/>
            </w:tcMar>
          </w:tcPr>
          <w:p w14:paraId="08A6264D" w14:textId="266A8B52" w:rsidR="001F7D62" w:rsidRPr="002601BB" w:rsidRDefault="00CE24E1" w:rsidP="001D3052">
            <w:pPr>
              <w:rPr>
                <w:bCs/>
                <w:iCs/>
                <w:sz w:val="18"/>
                <w:szCs w:val="18"/>
                <w:lang w:val="en-GB"/>
              </w:rPr>
            </w:pPr>
            <w:r w:rsidRPr="00DF58ED">
              <w:rPr>
                <w:b/>
                <w:iCs/>
                <w:sz w:val="18"/>
                <w:szCs w:val="18"/>
                <w:lang w:val="en-GB"/>
              </w:rPr>
              <w:t xml:space="preserve">Indicator </w:t>
            </w:r>
            <w:r w:rsidR="000D6FEC" w:rsidRPr="00DF58ED">
              <w:rPr>
                <w:b/>
                <w:iCs/>
                <w:sz w:val="18"/>
                <w:szCs w:val="18"/>
                <w:lang w:val="en-GB"/>
              </w:rPr>
              <w:t>4</w:t>
            </w:r>
            <w:r w:rsidR="001F7D62" w:rsidRPr="00DF58ED">
              <w:rPr>
                <w:b/>
                <w:iCs/>
                <w:sz w:val="18"/>
                <w:szCs w:val="18"/>
                <w:lang w:val="en-GB"/>
              </w:rPr>
              <w:t>.1.1</w:t>
            </w:r>
            <w:r w:rsidR="00B7689E" w:rsidRPr="00DF58ED">
              <w:rPr>
                <w:b/>
                <w:iCs/>
                <w:sz w:val="18"/>
                <w:szCs w:val="18"/>
                <w:lang w:val="en-GB"/>
              </w:rPr>
              <w:t>.</w:t>
            </w:r>
            <w:r w:rsidR="001F7D62" w:rsidRPr="002601BB">
              <w:rPr>
                <w:bCs/>
                <w:iCs/>
                <w:sz w:val="18"/>
                <w:szCs w:val="18"/>
                <w:lang w:val="en-GB"/>
              </w:rPr>
              <w:t xml:space="preserve"> Number of people directly affected as a result </w:t>
            </w:r>
            <w:r w:rsidR="00FC7CAD" w:rsidRPr="002601BB">
              <w:rPr>
                <w:bCs/>
                <w:iCs/>
                <w:sz w:val="18"/>
                <w:szCs w:val="18"/>
                <w:lang w:val="en-GB"/>
              </w:rPr>
              <w:t xml:space="preserve">of </w:t>
            </w:r>
            <w:r w:rsidR="001F7D62" w:rsidRPr="002601BB">
              <w:rPr>
                <w:bCs/>
                <w:iCs/>
                <w:sz w:val="18"/>
                <w:szCs w:val="18"/>
                <w:lang w:val="en-GB"/>
              </w:rPr>
              <w:t>disasters per 100</w:t>
            </w:r>
            <w:r w:rsidRPr="002601BB">
              <w:rPr>
                <w:bCs/>
                <w:iCs/>
                <w:sz w:val="18"/>
                <w:szCs w:val="18"/>
                <w:lang w:val="en-GB"/>
              </w:rPr>
              <w:t>,</w:t>
            </w:r>
            <w:r w:rsidR="001F7D62" w:rsidRPr="002601BB">
              <w:rPr>
                <w:bCs/>
                <w:iCs/>
                <w:sz w:val="18"/>
                <w:szCs w:val="18"/>
                <w:lang w:val="en-GB"/>
              </w:rPr>
              <w:t>000 inhabitants.</w:t>
            </w:r>
          </w:p>
          <w:p w14:paraId="691816E9" w14:textId="77777777" w:rsidR="001F7D62" w:rsidRPr="002601BB" w:rsidRDefault="001F7D62" w:rsidP="001F7D62">
            <w:pPr>
              <w:jc w:val="right"/>
              <w:rPr>
                <w:bCs/>
                <w:iCs/>
                <w:sz w:val="18"/>
                <w:szCs w:val="18"/>
                <w:lang w:val="en-GB"/>
              </w:rPr>
            </w:pPr>
          </w:p>
          <w:p w14:paraId="78FC3BDE" w14:textId="2BC7A9F6" w:rsidR="001F7D62" w:rsidRPr="002601BB" w:rsidRDefault="001F7D62" w:rsidP="00DF58ED">
            <w:pPr>
              <w:rPr>
                <w:bCs/>
                <w:iCs/>
                <w:sz w:val="18"/>
                <w:szCs w:val="18"/>
                <w:lang w:val="en-GB"/>
              </w:rPr>
            </w:pPr>
            <w:r w:rsidRPr="00DF58ED">
              <w:rPr>
                <w:bCs/>
                <w:i/>
                <w:sz w:val="18"/>
                <w:szCs w:val="18"/>
                <w:lang w:val="en-GB"/>
              </w:rPr>
              <w:t>Base</w:t>
            </w:r>
            <w:r w:rsidR="00CE24E1" w:rsidRPr="00DF58ED">
              <w:rPr>
                <w:bCs/>
                <w:i/>
                <w:sz w:val="18"/>
                <w:szCs w:val="18"/>
                <w:lang w:val="en-GB"/>
              </w:rPr>
              <w:t>line</w:t>
            </w:r>
            <w:r w:rsidRPr="002601BB">
              <w:rPr>
                <w:bCs/>
                <w:iCs/>
                <w:sz w:val="18"/>
                <w:szCs w:val="18"/>
                <w:lang w:val="en-GB"/>
              </w:rPr>
              <w:t xml:space="preserve"> (2020)</w:t>
            </w:r>
            <w:r w:rsidR="00CE24E1" w:rsidRPr="002601BB">
              <w:rPr>
                <w:bCs/>
                <w:iCs/>
                <w:sz w:val="18"/>
                <w:szCs w:val="18"/>
                <w:lang w:val="en-GB"/>
              </w:rPr>
              <w:t xml:space="preserve">: </w:t>
            </w:r>
            <w:r w:rsidRPr="002601BB">
              <w:rPr>
                <w:bCs/>
                <w:iCs/>
                <w:sz w:val="18"/>
                <w:szCs w:val="18"/>
                <w:lang w:val="en-GB"/>
              </w:rPr>
              <w:t>1</w:t>
            </w:r>
            <w:r w:rsidR="00CE24E1" w:rsidRPr="002601BB">
              <w:rPr>
                <w:bCs/>
                <w:iCs/>
                <w:sz w:val="18"/>
                <w:szCs w:val="18"/>
                <w:lang w:val="en-GB"/>
              </w:rPr>
              <w:t>,</w:t>
            </w:r>
            <w:r w:rsidRPr="002601BB">
              <w:rPr>
                <w:bCs/>
                <w:iCs/>
                <w:sz w:val="18"/>
                <w:szCs w:val="18"/>
                <w:lang w:val="en-GB"/>
              </w:rPr>
              <w:t>224</w:t>
            </w:r>
          </w:p>
          <w:p w14:paraId="6552D3F1" w14:textId="4C6AB909" w:rsidR="001F7D62" w:rsidRPr="002601BB" w:rsidRDefault="00B7689E" w:rsidP="00DF58ED">
            <w:pPr>
              <w:rPr>
                <w:bCs/>
                <w:iCs/>
                <w:sz w:val="18"/>
                <w:szCs w:val="18"/>
                <w:lang w:val="en-GB"/>
              </w:rPr>
            </w:pPr>
            <w:r>
              <w:rPr>
                <w:bCs/>
                <w:i/>
                <w:sz w:val="18"/>
                <w:szCs w:val="18"/>
                <w:lang w:val="en-GB"/>
              </w:rPr>
              <w:t>Target</w:t>
            </w:r>
            <w:r w:rsidRPr="002601BB">
              <w:rPr>
                <w:bCs/>
                <w:iCs/>
                <w:sz w:val="18"/>
                <w:szCs w:val="18"/>
                <w:lang w:val="en-GB"/>
              </w:rPr>
              <w:t xml:space="preserve"> </w:t>
            </w:r>
            <w:r w:rsidR="001F7D62" w:rsidRPr="002601BB">
              <w:rPr>
                <w:bCs/>
                <w:iCs/>
                <w:sz w:val="18"/>
                <w:szCs w:val="18"/>
                <w:lang w:val="en-GB"/>
              </w:rPr>
              <w:t>(2027)</w:t>
            </w:r>
            <w:r w:rsidR="00CE24E1" w:rsidRPr="002601BB">
              <w:rPr>
                <w:bCs/>
                <w:iCs/>
                <w:sz w:val="18"/>
                <w:szCs w:val="18"/>
                <w:lang w:val="en-GB"/>
              </w:rPr>
              <w:t xml:space="preserve">: </w:t>
            </w:r>
            <w:r w:rsidR="001F7D62" w:rsidRPr="002601BB">
              <w:rPr>
                <w:bCs/>
                <w:iCs/>
                <w:sz w:val="18"/>
                <w:szCs w:val="18"/>
                <w:lang w:val="en-GB"/>
              </w:rPr>
              <w:t>1</w:t>
            </w:r>
            <w:r w:rsidR="00CE24E1" w:rsidRPr="002601BB">
              <w:rPr>
                <w:bCs/>
                <w:iCs/>
                <w:sz w:val="18"/>
                <w:szCs w:val="18"/>
                <w:lang w:val="en-GB"/>
              </w:rPr>
              <w:t>,</w:t>
            </w:r>
            <w:r w:rsidR="001F7D62" w:rsidRPr="002601BB">
              <w:rPr>
                <w:bCs/>
                <w:iCs/>
                <w:sz w:val="18"/>
                <w:szCs w:val="18"/>
                <w:lang w:val="en-GB"/>
              </w:rPr>
              <w:t>102</w:t>
            </w:r>
          </w:p>
          <w:p w14:paraId="6682B8C4" w14:textId="77777777" w:rsidR="001F7D62" w:rsidRPr="002601BB" w:rsidRDefault="001F7D62" w:rsidP="001F7D62">
            <w:pPr>
              <w:ind w:left="360"/>
              <w:rPr>
                <w:bCs/>
                <w:iCs/>
                <w:sz w:val="18"/>
                <w:szCs w:val="18"/>
                <w:lang w:val="en-GB"/>
              </w:rPr>
            </w:pPr>
          </w:p>
          <w:p w14:paraId="3FF72F50" w14:textId="4EACEFE9" w:rsidR="001F7D62" w:rsidRPr="002601BB" w:rsidRDefault="00CE24E1" w:rsidP="001D3052">
            <w:pPr>
              <w:rPr>
                <w:bCs/>
                <w:iCs/>
                <w:sz w:val="18"/>
                <w:szCs w:val="18"/>
                <w:lang w:val="en-GB"/>
              </w:rPr>
            </w:pPr>
            <w:r w:rsidRPr="00DF58ED">
              <w:rPr>
                <w:b/>
                <w:iCs/>
                <w:sz w:val="18"/>
                <w:szCs w:val="18"/>
                <w:lang w:val="en-GB"/>
              </w:rPr>
              <w:t xml:space="preserve">Indicator </w:t>
            </w:r>
            <w:r w:rsidR="000D6FEC" w:rsidRPr="00DF58ED">
              <w:rPr>
                <w:b/>
                <w:iCs/>
                <w:sz w:val="18"/>
                <w:szCs w:val="18"/>
                <w:lang w:val="en-GB"/>
              </w:rPr>
              <w:t>4</w:t>
            </w:r>
            <w:r w:rsidR="001F7D62" w:rsidRPr="00DF58ED">
              <w:rPr>
                <w:b/>
                <w:iCs/>
                <w:sz w:val="18"/>
                <w:szCs w:val="18"/>
                <w:lang w:val="en-GB"/>
              </w:rPr>
              <w:t>.</w:t>
            </w:r>
            <w:r w:rsidR="000D6FEC" w:rsidRPr="00DF58ED">
              <w:rPr>
                <w:b/>
                <w:iCs/>
                <w:sz w:val="18"/>
                <w:szCs w:val="18"/>
                <w:lang w:val="en-GB"/>
              </w:rPr>
              <w:t>2</w:t>
            </w:r>
            <w:r w:rsidR="001F7D62" w:rsidRPr="00DF58ED">
              <w:rPr>
                <w:b/>
                <w:iCs/>
                <w:sz w:val="18"/>
                <w:szCs w:val="18"/>
                <w:lang w:val="en-GB"/>
              </w:rPr>
              <w:t>.</w:t>
            </w:r>
            <w:r w:rsidR="000D6FEC" w:rsidRPr="00DF58ED">
              <w:rPr>
                <w:b/>
                <w:iCs/>
                <w:sz w:val="18"/>
                <w:szCs w:val="18"/>
                <w:lang w:val="en-GB"/>
              </w:rPr>
              <w:t>1</w:t>
            </w:r>
            <w:r w:rsidR="00B7689E" w:rsidRPr="00DF58ED">
              <w:rPr>
                <w:b/>
                <w:iCs/>
                <w:sz w:val="18"/>
                <w:szCs w:val="18"/>
                <w:lang w:val="en-GB"/>
              </w:rPr>
              <w:t>.</w:t>
            </w:r>
            <w:r w:rsidR="001F7D62" w:rsidRPr="002601BB">
              <w:rPr>
                <w:bCs/>
                <w:iCs/>
                <w:sz w:val="18"/>
                <w:szCs w:val="18"/>
                <w:lang w:val="en-GB"/>
              </w:rPr>
              <w:t xml:space="preserve"> Percentage of local governments adopting and implementing disaster risk reduction strategies at the local level</w:t>
            </w:r>
            <w:r w:rsidR="00B7689E">
              <w:rPr>
                <w:bCs/>
                <w:iCs/>
                <w:sz w:val="18"/>
                <w:szCs w:val="18"/>
                <w:lang w:val="en-GB"/>
              </w:rPr>
              <w:t>.</w:t>
            </w:r>
          </w:p>
          <w:p w14:paraId="08DEF06D" w14:textId="77777777" w:rsidR="001F7D62" w:rsidRPr="002601BB" w:rsidRDefault="001F7D62" w:rsidP="001F7D62">
            <w:pPr>
              <w:ind w:left="360"/>
              <w:rPr>
                <w:bCs/>
                <w:iCs/>
                <w:sz w:val="18"/>
                <w:szCs w:val="18"/>
                <w:lang w:val="en-GB"/>
              </w:rPr>
            </w:pPr>
          </w:p>
          <w:p w14:paraId="659886C0" w14:textId="3F62CACE" w:rsidR="001F7D62" w:rsidRPr="002601BB" w:rsidRDefault="001F7D62" w:rsidP="00DF58ED">
            <w:pPr>
              <w:rPr>
                <w:bCs/>
                <w:iCs/>
                <w:sz w:val="18"/>
                <w:szCs w:val="18"/>
                <w:lang w:val="en-GB"/>
              </w:rPr>
            </w:pPr>
            <w:r w:rsidRPr="00DF58ED">
              <w:rPr>
                <w:bCs/>
                <w:i/>
                <w:sz w:val="18"/>
                <w:szCs w:val="18"/>
                <w:lang w:val="en-GB"/>
              </w:rPr>
              <w:t>Base</w:t>
            </w:r>
            <w:r w:rsidR="00CE24E1" w:rsidRPr="00DF58ED">
              <w:rPr>
                <w:bCs/>
                <w:i/>
                <w:sz w:val="18"/>
                <w:szCs w:val="18"/>
                <w:lang w:val="en-GB"/>
              </w:rPr>
              <w:t>line</w:t>
            </w:r>
            <w:r w:rsidRPr="002601BB">
              <w:rPr>
                <w:bCs/>
                <w:iCs/>
                <w:sz w:val="18"/>
                <w:szCs w:val="18"/>
                <w:lang w:val="en-GB"/>
              </w:rPr>
              <w:t xml:space="preserve"> (2020):</w:t>
            </w:r>
            <w:r w:rsidR="00CE24E1" w:rsidRPr="002601BB">
              <w:rPr>
                <w:bCs/>
                <w:iCs/>
                <w:sz w:val="18"/>
                <w:szCs w:val="18"/>
                <w:lang w:val="en-GB"/>
              </w:rPr>
              <w:t xml:space="preserve"> </w:t>
            </w:r>
            <w:r w:rsidRPr="002601BB">
              <w:rPr>
                <w:bCs/>
                <w:iCs/>
                <w:sz w:val="18"/>
                <w:szCs w:val="18"/>
                <w:lang w:val="en-GB"/>
              </w:rPr>
              <w:t>98.8%</w:t>
            </w:r>
          </w:p>
          <w:p w14:paraId="57228149" w14:textId="60DD3296" w:rsidR="00C605D9" w:rsidRPr="002601BB" w:rsidRDefault="001F7D62" w:rsidP="00DF58ED">
            <w:pPr>
              <w:rPr>
                <w:bCs/>
                <w:iCs/>
                <w:sz w:val="18"/>
                <w:szCs w:val="18"/>
                <w:lang w:val="en-GB"/>
              </w:rPr>
            </w:pPr>
            <w:r w:rsidRPr="00DF58ED">
              <w:rPr>
                <w:bCs/>
                <w:i/>
                <w:sz w:val="18"/>
                <w:szCs w:val="18"/>
                <w:lang w:val="en-GB"/>
              </w:rPr>
              <w:t>Target</w:t>
            </w:r>
            <w:r w:rsidRPr="002601BB">
              <w:rPr>
                <w:bCs/>
                <w:iCs/>
                <w:sz w:val="18"/>
                <w:szCs w:val="18"/>
                <w:lang w:val="en-GB"/>
              </w:rPr>
              <w:t xml:space="preserve"> (2027):</w:t>
            </w:r>
            <w:r w:rsidR="00CE24E1" w:rsidRPr="002601BB">
              <w:rPr>
                <w:bCs/>
                <w:iCs/>
                <w:sz w:val="18"/>
                <w:szCs w:val="18"/>
                <w:lang w:val="en-GB"/>
              </w:rPr>
              <w:t xml:space="preserve"> </w:t>
            </w:r>
            <w:r w:rsidRPr="002601BB">
              <w:rPr>
                <w:bCs/>
                <w:iCs/>
                <w:sz w:val="18"/>
                <w:szCs w:val="18"/>
                <w:lang w:val="en-GB"/>
              </w:rPr>
              <w:t>100%</w:t>
            </w:r>
          </w:p>
          <w:p w14:paraId="61C6B717" w14:textId="77777777" w:rsidR="00C605D9" w:rsidRPr="002601BB" w:rsidRDefault="00C605D9" w:rsidP="00C605D9">
            <w:pPr>
              <w:ind w:left="360"/>
              <w:rPr>
                <w:bCs/>
                <w:iCs/>
                <w:sz w:val="18"/>
                <w:szCs w:val="18"/>
                <w:lang w:val="en-GB"/>
              </w:rPr>
            </w:pPr>
          </w:p>
          <w:p w14:paraId="7EA3CC67" w14:textId="6DCADCFB" w:rsidR="00C605D9" w:rsidRPr="002601BB" w:rsidRDefault="00C605D9" w:rsidP="005C1BAB">
            <w:pPr>
              <w:ind w:left="360"/>
              <w:rPr>
                <w:bCs/>
                <w:iCs/>
                <w:sz w:val="18"/>
                <w:szCs w:val="18"/>
                <w:lang w:val="en-GB"/>
              </w:rPr>
            </w:pPr>
          </w:p>
        </w:tc>
        <w:tc>
          <w:tcPr>
            <w:tcW w:w="1178" w:type="pct"/>
            <w:vMerge w:val="restart"/>
          </w:tcPr>
          <w:p w14:paraId="3FD4D4F1" w14:textId="1C7FA24C" w:rsidR="002C3182" w:rsidRPr="002601BB" w:rsidRDefault="002C3182" w:rsidP="00DF58ED">
            <w:pPr>
              <w:pStyle w:val="ListParagraph"/>
              <w:ind w:left="65"/>
              <w:rPr>
                <w:iCs/>
                <w:sz w:val="18"/>
                <w:szCs w:val="18"/>
                <w:lang w:val="en-GB"/>
              </w:rPr>
            </w:pPr>
            <w:r w:rsidRPr="002601BB">
              <w:rPr>
                <w:iCs/>
                <w:sz w:val="18"/>
                <w:szCs w:val="18"/>
                <w:lang w:val="en-GB"/>
              </w:rPr>
              <w:t>CNE</w:t>
            </w:r>
          </w:p>
          <w:p w14:paraId="62F9E715" w14:textId="77777777" w:rsidR="002C3182" w:rsidRPr="002601BB" w:rsidRDefault="002C3182" w:rsidP="00DF58ED">
            <w:pPr>
              <w:pStyle w:val="ListParagraph"/>
              <w:ind w:left="65"/>
              <w:rPr>
                <w:iCs/>
                <w:sz w:val="18"/>
                <w:szCs w:val="18"/>
                <w:lang w:val="en-GB"/>
              </w:rPr>
            </w:pPr>
            <w:r w:rsidRPr="002601BB">
              <w:rPr>
                <w:iCs/>
                <w:sz w:val="18"/>
                <w:szCs w:val="18"/>
                <w:lang w:val="en-GB"/>
              </w:rPr>
              <w:t>Annual</w:t>
            </w:r>
          </w:p>
          <w:p w14:paraId="35F380A0" w14:textId="54CF169D" w:rsidR="00C605D9" w:rsidRPr="002601BB" w:rsidRDefault="00C605D9" w:rsidP="00D854AD">
            <w:pPr>
              <w:rPr>
                <w:b/>
                <w:bCs/>
                <w:i/>
                <w:sz w:val="18"/>
                <w:szCs w:val="18"/>
                <w:lang w:val="en-GB"/>
              </w:rPr>
            </w:pPr>
          </w:p>
        </w:tc>
        <w:tc>
          <w:tcPr>
            <w:tcW w:w="1092" w:type="pct"/>
            <w:vMerge w:val="restart"/>
            <w:tcMar>
              <w:top w:w="72" w:type="dxa"/>
              <w:left w:w="144" w:type="dxa"/>
              <w:bottom w:w="72" w:type="dxa"/>
              <w:right w:w="144" w:type="dxa"/>
            </w:tcMar>
          </w:tcPr>
          <w:p w14:paraId="47A0D2F2" w14:textId="5B7CA592" w:rsidR="00C605D9" w:rsidRPr="002601BB" w:rsidRDefault="00C605D9" w:rsidP="00C605D9">
            <w:pPr>
              <w:rPr>
                <w:b/>
                <w:bCs/>
                <w:sz w:val="18"/>
                <w:szCs w:val="18"/>
                <w:lang w:val="en-GB"/>
              </w:rPr>
            </w:pPr>
            <w:r w:rsidRPr="002601BB">
              <w:rPr>
                <w:b/>
                <w:bCs/>
                <w:sz w:val="18"/>
                <w:szCs w:val="18"/>
                <w:lang w:val="en-GB"/>
              </w:rPr>
              <w:t>Output 3.1</w:t>
            </w:r>
            <w:r w:rsidR="00B7689E">
              <w:rPr>
                <w:b/>
                <w:bCs/>
                <w:sz w:val="18"/>
                <w:szCs w:val="18"/>
                <w:lang w:val="en-GB"/>
              </w:rPr>
              <w:t>.</w:t>
            </w:r>
            <w:r w:rsidRPr="002601BB">
              <w:rPr>
                <w:b/>
                <w:bCs/>
                <w:sz w:val="18"/>
                <w:szCs w:val="18"/>
                <w:lang w:val="en-GB"/>
              </w:rPr>
              <w:t xml:space="preserve"> </w:t>
            </w:r>
            <w:r w:rsidR="00A3654B" w:rsidRPr="002601BB">
              <w:rPr>
                <w:b/>
                <w:bCs/>
                <w:sz w:val="18"/>
                <w:szCs w:val="18"/>
                <w:lang w:val="en-GB"/>
              </w:rPr>
              <w:t>C</w:t>
            </w:r>
            <w:r w:rsidRPr="002601BB">
              <w:rPr>
                <w:b/>
                <w:bCs/>
                <w:sz w:val="18"/>
                <w:szCs w:val="18"/>
                <w:lang w:val="en-GB"/>
              </w:rPr>
              <w:t xml:space="preserve">entral and local public institutions, indigenous territories, and local </w:t>
            </w:r>
            <w:r w:rsidR="00E80022" w:rsidRPr="002601BB">
              <w:rPr>
                <w:b/>
                <w:bCs/>
                <w:sz w:val="18"/>
                <w:szCs w:val="18"/>
                <w:lang w:val="en-GB"/>
              </w:rPr>
              <w:t xml:space="preserve">organisations </w:t>
            </w:r>
            <w:r w:rsidR="00A3654B" w:rsidRPr="002601BB">
              <w:rPr>
                <w:b/>
                <w:bCs/>
                <w:sz w:val="18"/>
                <w:szCs w:val="18"/>
                <w:lang w:val="en-GB"/>
              </w:rPr>
              <w:t>have strengthened capacities</w:t>
            </w:r>
            <w:r w:rsidRPr="002601BB">
              <w:rPr>
                <w:b/>
                <w:bCs/>
                <w:sz w:val="18"/>
                <w:szCs w:val="18"/>
                <w:lang w:val="en-GB"/>
              </w:rPr>
              <w:t xml:space="preserve"> for disaster risk management, including resilient and inclusive recovery strategies, with an intersectional gender perspective, based on </w:t>
            </w:r>
            <w:r w:rsidR="00FC7CAD" w:rsidRPr="002601BB">
              <w:rPr>
                <w:b/>
                <w:bCs/>
                <w:sz w:val="18"/>
                <w:szCs w:val="18"/>
                <w:lang w:val="en-GB"/>
              </w:rPr>
              <w:t xml:space="preserve">a </w:t>
            </w:r>
            <w:r w:rsidRPr="002601BB">
              <w:rPr>
                <w:b/>
                <w:bCs/>
                <w:sz w:val="18"/>
                <w:szCs w:val="18"/>
                <w:lang w:val="en-GB"/>
              </w:rPr>
              <w:t>correct assessment of loss and damage.</w:t>
            </w:r>
          </w:p>
          <w:p w14:paraId="5E6FB99A" w14:textId="1B010118" w:rsidR="00C605D9" w:rsidRPr="002601BB" w:rsidRDefault="00C605D9" w:rsidP="00C605D9">
            <w:pPr>
              <w:rPr>
                <w:i/>
                <w:iCs/>
                <w:sz w:val="18"/>
                <w:szCs w:val="18"/>
                <w:lang w:val="en-GB"/>
              </w:rPr>
            </w:pPr>
          </w:p>
          <w:p w14:paraId="4B85F553" w14:textId="734B79E3" w:rsidR="00C605D9" w:rsidRPr="002601BB" w:rsidRDefault="00C605D9" w:rsidP="00C605D9">
            <w:pPr>
              <w:rPr>
                <w:sz w:val="18"/>
                <w:szCs w:val="18"/>
                <w:lang w:val="en-GB"/>
              </w:rPr>
            </w:pPr>
            <w:r w:rsidRPr="00DF58ED">
              <w:rPr>
                <w:b/>
                <w:bCs/>
                <w:sz w:val="18"/>
                <w:szCs w:val="18"/>
                <w:lang w:val="en-GB"/>
              </w:rPr>
              <w:t>Indicator 3.1.1</w:t>
            </w:r>
            <w:r w:rsidR="00B7689E" w:rsidRPr="00DF58ED">
              <w:rPr>
                <w:b/>
                <w:bCs/>
                <w:sz w:val="18"/>
                <w:szCs w:val="18"/>
                <w:lang w:val="en-GB"/>
              </w:rPr>
              <w:t>.</w:t>
            </w:r>
            <w:r w:rsidR="00B07603" w:rsidRPr="002601BB">
              <w:rPr>
                <w:sz w:val="18"/>
                <w:szCs w:val="18"/>
                <w:lang w:val="en-GB"/>
              </w:rPr>
              <w:t xml:space="preserve"> </w:t>
            </w:r>
            <w:r w:rsidR="671351B7" w:rsidRPr="002601BB">
              <w:rPr>
                <w:sz w:val="18"/>
                <w:szCs w:val="18"/>
                <w:lang w:val="en-GB"/>
              </w:rPr>
              <w:t>Number of initiatives</w:t>
            </w:r>
            <w:r w:rsidR="49867E7E" w:rsidRPr="002601BB">
              <w:rPr>
                <w:sz w:val="18"/>
                <w:szCs w:val="18"/>
                <w:lang w:val="en-GB"/>
              </w:rPr>
              <w:t xml:space="preserve"> with UNDP support</w:t>
            </w:r>
            <w:r w:rsidR="087F88B6" w:rsidRPr="002601BB">
              <w:rPr>
                <w:sz w:val="18"/>
                <w:szCs w:val="18"/>
                <w:lang w:val="en-GB"/>
              </w:rPr>
              <w:t xml:space="preserve"> </w:t>
            </w:r>
            <w:r w:rsidR="671351B7" w:rsidRPr="002601BB">
              <w:rPr>
                <w:sz w:val="18"/>
                <w:szCs w:val="18"/>
                <w:lang w:val="en-GB"/>
              </w:rPr>
              <w:t>that strengthen capacities for prevention, early warning, management of multiple threats</w:t>
            </w:r>
            <w:r w:rsidR="00CD3C5A" w:rsidRPr="002601BB">
              <w:rPr>
                <w:sz w:val="18"/>
                <w:szCs w:val="18"/>
                <w:lang w:val="en-GB"/>
              </w:rPr>
              <w:t>, and disaster recovery with an intersectional gender perspective transformation</w:t>
            </w:r>
            <w:r w:rsidR="671351B7" w:rsidRPr="002601BB">
              <w:rPr>
                <w:sz w:val="18"/>
                <w:szCs w:val="18"/>
                <w:lang w:val="en-GB"/>
              </w:rPr>
              <w:t>.</w:t>
            </w:r>
            <w:r w:rsidR="098AAB73" w:rsidRPr="002601BB">
              <w:rPr>
                <w:sz w:val="18"/>
                <w:szCs w:val="18"/>
                <w:lang w:val="en-GB"/>
              </w:rPr>
              <w:t xml:space="preserve"> [IRRF SP 3.1.1]</w:t>
            </w:r>
          </w:p>
          <w:p w14:paraId="0FA48A65" w14:textId="1274D072" w:rsidR="00C605D9" w:rsidRPr="002601BB" w:rsidRDefault="00C605D9" w:rsidP="00C605D9">
            <w:pPr>
              <w:rPr>
                <w:sz w:val="18"/>
                <w:szCs w:val="18"/>
                <w:lang w:val="en-GB"/>
              </w:rPr>
            </w:pPr>
            <w:r w:rsidRPr="00DF58ED">
              <w:rPr>
                <w:i/>
                <w:iCs/>
                <w:sz w:val="18"/>
                <w:szCs w:val="18"/>
                <w:lang w:val="en-GB"/>
              </w:rPr>
              <w:t>Baseline</w:t>
            </w:r>
            <w:r w:rsidRPr="002601BB">
              <w:rPr>
                <w:sz w:val="18"/>
                <w:szCs w:val="18"/>
                <w:lang w:val="en-GB"/>
              </w:rPr>
              <w:t xml:space="preserve"> (2022): 7</w:t>
            </w:r>
          </w:p>
          <w:p w14:paraId="365E025C" w14:textId="6A42BAF2" w:rsidR="00C605D9" w:rsidRPr="002601BB" w:rsidRDefault="00C605D9" w:rsidP="00C605D9">
            <w:pPr>
              <w:rPr>
                <w:sz w:val="18"/>
                <w:szCs w:val="18"/>
                <w:lang w:val="en-GB"/>
              </w:rPr>
            </w:pPr>
            <w:r w:rsidRPr="00DF58ED">
              <w:rPr>
                <w:i/>
                <w:iCs/>
                <w:sz w:val="18"/>
                <w:szCs w:val="18"/>
                <w:lang w:val="en-GB"/>
              </w:rPr>
              <w:t>Target</w:t>
            </w:r>
            <w:r w:rsidRPr="002601BB">
              <w:rPr>
                <w:sz w:val="18"/>
                <w:szCs w:val="18"/>
                <w:lang w:val="en-GB"/>
              </w:rPr>
              <w:t xml:space="preserve"> (2027): 14</w:t>
            </w:r>
          </w:p>
          <w:p w14:paraId="7B83EA66" w14:textId="5EB84E7C" w:rsidR="00C605D9" w:rsidRPr="002601BB" w:rsidRDefault="00C605D9" w:rsidP="00C605D9">
            <w:pPr>
              <w:rPr>
                <w:sz w:val="18"/>
                <w:szCs w:val="18"/>
                <w:lang w:val="en-GB"/>
              </w:rPr>
            </w:pPr>
            <w:r w:rsidRPr="00DF58ED">
              <w:rPr>
                <w:i/>
                <w:iCs/>
                <w:sz w:val="18"/>
                <w:szCs w:val="18"/>
                <w:lang w:val="en-GB"/>
              </w:rPr>
              <w:t>Frequency</w:t>
            </w:r>
            <w:r w:rsidRPr="002601BB">
              <w:rPr>
                <w:sz w:val="18"/>
                <w:szCs w:val="18"/>
                <w:lang w:val="en-GB"/>
              </w:rPr>
              <w:t xml:space="preserve">: </w:t>
            </w:r>
            <w:r w:rsidR="00B7689E">
              <w:rPr>
                <w:sz w:val="18"/>
                <w:szCs w:val="18"/>
                <w:lang w:val="en-GB"/>
              </w:rPr>
              <w:t>A</w:t>
            </w:r>
            <w:r w:rsidRPr="002601BB">
              <w:rPr>
                <w:sz w:val="18"/>
                <w:szCs w:val="18"/>
                <w:lang w:val="en-GB"/>
              </w:rPr>
              <w:t>nnual</w:t>
            </w:r>
          </w:p>
          <w:p w14:paraId="4F8D49B4" w14:textId="3C9A0D7D" w:rsidR="00C605D9" w:rsidRPr="002601BB" w:rsidRDefault="00C605D9" w:rsidP="00C605D9">
            <w:pPr>
              <w:rPr>
                <w:b/>
                <w:bCs/>
                <w:sz w:val="18"/>
                <w:szCs w:val="18"/>
                <w:lang w:val="en-GB"/>
              </w:rPr>
            </w:pPr>
            <w:r w:rsidRPr="00DF58ED">
              <w:rPr>
                <w:i/>
                <w:iCs/>
                <w:sz w:val="18"/>
                <w:szCs w:val="18"/>
                <w:lang w:val="en-GB"/>
              </w:rPr>
              <w:t>Data source</w:t>
            </w:r>
            <w:r w:rsidRPr="002601BB">
              <w:rPr>
                <w:sz w:val="18"/>
                <w:szCs w:val="18"/>
                <w:lang w:val="en-GB"/>
              </w:rPr>
              <w:t>: UNDP, CNE</w:t>
            </w:r>
          </w:p>
          <w:p w14:paraId="747A71BD" w14:textId="77777777" w:rsidR="00C605D9" w:rsidRPr="002601BB" w:rsidRDefault="00C605D9" w:rsidP="00C605D9">
            <w:pPr>
              <w:rPr>
                <w:b/>
                <w:bCs/>
                <w:sz w:val="18"/>
                <w:szCs w:val="18"/>
                <w:lang w:val="en-GB"/>
              </w:rPr>
            </w:pPr>
          </w:p>
          <w:p w14:paraId="4CF7073E" w14:textId="5FA7DC0A" w:rsidR="00293346" w:rsidRPr="002601BB" w:rsidRDefault="00C605D9" w:rsidP="00C605D9">
            <w:pPr>
              <w:rPr>
                <w:sz w:val="18"/>
                <w:szCs w:val="18"/>
                <w:lang w:val="en-GB"/>
              </w:rPr>
            </w:pPr>
            <w:r w:rsidRPr="00DF58ED">
              <w:rPr>
                <w:b/>
                <w:bCs/>
                <w:sz w:val="18"/>
                <w:szCs w:val="18"/>
                <w:lang w:val="en-GB"/>
              </w:rPr>
              <w:t>Indicator 3.1.2</w:t>
            </w:r>
            <w:r w:rsidR="00B7689E">
              <w:rPr>
                <w:sz w:val="18"/>
                <w:szCs w:val="18"/>
                <w:lang w:val="en-GB"/>
              </w:rPr>
              <w:t>.</w:t>
            </w:r>
            <w:r w:rsidR="00B07603" w:rsidRPr="002601BB">
              <w:rPr>
                <w:sz w:val="18"/>
                <w:szCs w:val="18"/>
                <w:lang w:val="en-GB"/>
              </w:rPr>
              <w:t xml:space="preserve"> </w:t>
            </w:r>
            <w:r w:rsidR="00293346" w:rsidRPr="002601BB">
              <w:rPr>
                <w:sz w:val="18"/>
                <w:szCs w:val="18"/>
                <w:lang w:val="en-GB"/>
              </w:rPr>
              <w:t>Number of institutions at national and local levels with strengthened capacities for comprehensive risk management</w:t>
            </w:r>
            <w:r w:rsidR="0074768C">
              <w:rPr>
                <w:sz w:val="18"/>
                <w:szCs w:val="18"/>
                <w:lang w:val="en-GB"/>
              </w:rPr>
              <w:t>,</w:t>
            </w:r>
            <w:r w:rsidR="00293346" w:rsidRPr="002601BB">
              <w:rPr>
                <w:sz w:val="18"/>
                <w:szCs w:val="18"/>
                <w:lang w:val="en-GB"/>
              </w:rPr>
              <w:t xml:space="preserve"> </w:t>
            </w:r>
            <w:r w:rsidR="00837DB9" w:rsidRPr="002601BB">
              <w:rPr>
                <w:sz w:val="18"/>
                <w:szCs w:val="18"/>
                <w:lang w:val="en-GB"/>
              </w:rPr>
              <w:t xml:space="preserve">including integrated water resources management </w:t>
            </w:r>
            <w:r w:rsidR="00293346" w:rsidRPr="002601BB">
              <w:rPr>
                <w:sz w:val="18"/>
                <w:szCs w:val="18"/>
                <w:lang w:val="en-GB"/>
              </w:rPr>
              <w:t>with a gender perspective.</w:t>
            </w:r>
          </w:p>
          <w:p w14:paraId="09D99AB5" w14:textId="74918644" w:rsidR="00C605D9" w:rsidRPr="002601BB" w:rsidRDefault="00C605D9" w:rsidP="00C605D9">
            <w:pPr>
              <w:rPr>
                <w:sz w:val="18"/>
                <w:szCs w:val="18"/>
                <w:lang w:val="en-GB"/>
              </w:rPr>
            </w:pPr>
            <w:r w:rsidRPr="00DF58ED">
              <w:rPr>
                <w:i/>
                <w:iCs/>
                <w:sz w:val="18"/>
                <w:szCs w:val="18"/>
                <w:lang w:val="en-GB"/>
              </w:rPr>
              <w:t>Baseline</w:t>
            </w:r>
            <w:r w:rsidRPr="002601BB">
              <w:rPr>
                <w:sz w:val="18"/>
                <w:szCs w:val="18"/>
                <w:lang w:val="en-GB"/>
              </w:rPr>
              <w:t xml:space="preserve"> (2022): 206</w:t>
            </w:r>
          </w:p>
          <w:p w14:paraId="7C10CA8C" w14:textId="220131E0" w:rsidR="00C605D9" w:rsidRPr="002601BB" w:rsidRDefault="671351B7" w:rsidP="00C605D9">
            <w:pPr>
              <w:rPr>
                <w:sz w:val="18"/>
                <w:szCs w:val="18"/>
                <w:lang w:val="en-GB"/>
              </w:rPr>
            </w:pPr>
            <w:r w:rsidRPr="00DF58ED">
              <w:rPr>
                <w:i/>
                <w:iCs/>
                <w:sz w:val="18"/>
                <w:szCs w:val="18"/>
                <w:lang w:val="en-GB"/>
              </w:rPr>
              <w:t>Target</w:t>
            </w:r>
            <w:r w:rsidRPr="002601BB">
              <w:rPr>
                <w:sz w:val="18"/>
                <w:szCs w:val="18"/>
                <w:lang w:val="en-GB"/>
              </w:rPr>
              <w:t xml:space="preserve"> (2027): 400</w:t>
            </w:r>
          </w:p>
          <w:p w14:paraId="2B3750ED" w14:textId="45B1422D" w:rsidR="00C605D9" w:rsidRPr="002601BB" w:rsidRDefault="00C605D9" w:rsidP="00C605D9">
            <w:pPr>
              <w:rPr>
                <w:sz w:val="18"/>
                <w:szCs w:val="18"/>
                <w:lang w:val="en-GB"/>
              </w:rPr>
            </w:pPr>
            <w:r w:rsidRPr="00DF58ED">
              <w:rPr>
                <w:i/>
                <w:iCs/>
                <w:sz w:val="18"/>
                <w:szCs w:val="18"/>
                <w:lang w:val="en-GB"/>
              </w:rPr>
              <w:lastRenderedPageBreak/>
              <w:t>Frequency</w:t>
            </w:r>
            <w:r w:rsidRPr="002601BB">
              <w:rPr>
                <w:sz w:val="18"/>
                <w:szCs w:val="18"/>
                <w:lang w:val="en-GB"/>
              </w:rPr>
              <w:t xml:space="preserve">: </w:t>
            </w:r>
            <w:r w:rsidR="00B7689E">
              <w:rPr>
                <w:sz w:val="18"/>
                <w:szCs w:val="18"/>
                <w:lang w:val="en-GB"/>
              </w:rPr>
              <w:t>A</w:t>
            </w:r>
            <w:r w:rsidRPr="002601BB">
              <w:rPr>
                <w:sz w:val="18"/>
                <w:szCs w:val="18"/>
                <w:lang w:val="en-GB"/>
              </w:rPr>
              <w:t>nnual</w:t>
            </w:r>
          </w:p>
          <w:p w14:paraId="04285584" w14:textId="3C448A52" w:rsidR="00C605D9" w:rsidRPr="002601BB" w:rsidRDefault="00C605D9" w:rsidP="00C605D9">
            <w:pPr>
              <w:rPr>
                <w:b/>
                <w:bCs/>
                <w:sz w:val="18"/>
                <w:szCs w:val="18"/>
                <w:lang w:val="en-GB"/>
              </w:rPr>
            </w:pPr>
            <w:r w:rsidRPr="00DF58ED">
              <w:rPr>
                <w:i/>
                <w:iCs/>
                <w:sz w:val="18"/>
                <w:szCs w:val="18"/>
                <w:lang w:val="en-GB"/>
              </w:rPr>
              <w:t>Data source</w:t>
            </w:r>
            <w:r w:rsidRPr="002601BB">
              <w:rPr>
                <w:sz w:val="18"/>
                <w:szCs w:val="18"/>
                <w:lang w:val="en-GB"/>
              </w:rPr>
              <w:t xml:space="preserve">: UNDP, </w:t>
            </w:r>
            <w:r w:rsidR="00B7689E">
              <w:rPr>
                <w:sz w:val="18"/>
                <w:szCs w:val="18"/>
                <w:lang w:val="en-GB"/>
              </w:rPr>
              <w:t>m</w:t>
            </w:r>
            <w:r w:rsidRPr="002601BB">
              <w:rPr>
                <w:sz w:val="18"/>
                <w:szCs w:val="18"/>
                <w:lang w:val="en-GB"/>
              </w:rPr>
              <w:t>unicipalities, AyA</w:t>
            </w:r>
          </w:p>
          <w:p w14:paraId="0EBF5D59" w14:textId="11E00D1B" w:rsidR="00C605D9" w:rsidRPr="002601BB" w:rsidRDefault="00C605D9" w:rsidP="00C605D9">
            <w:pPr>
              <w:rPr>
                <w:b/>
                <w:bCs/>
                <w:sz w:val="18"/>
                <w:szCs w:val="18"/>
                <w:lang w:val="en-GB"/>
              </w:rPr>
            </w:pPr>
          </w:p>
          <w:p w14:paraId="6EDC1EA2" w14:textId="1AA9858A" w:rsidR="00C605D9" w:rsidRPr="002601BB" w:rsidRDefault="00C605D9" w:rsidP="00C605D9">
            <w:pPr>
              <w:rPr>
                <w:b/>
                <w:bCs/>
                <w:sz w:val="18"/>
                <w:szCs w:val="18"/>
                <w:lang w:val="en-GB"/>
              </w:rPr>
            </w:pPr>
            <w:r w:rsidRPr="002601BB">
              <w:rPr>
                <w:b/>
                <w:bCs/>
                <w:sz w:val="18"/>
                <w:szCs w:val="18"/>
                <w:lang w:val="en-GB"/>
              </w:rPr>
              <w:t>Output 3.2</w:t>
            </w:r>
            <w:r w:rsidR="00C66BE2">
              <w:rPr>
                <w:b/>
                <w:bCs/>
                <w:sz w:val="18"/>
                <w:szCs w:val="18"/>
                <w:lang w:val="en-GB"/>
              </w:rPr>
              <w:t>.</w:t>
            </w:r>
            <w:r w:rsidRPr="002601BB">
              <w:rPr>
                <w:b/>
                <w:bCs/>
                <w:sz w:val="18"/>
                <w:szCs w:val="18"/>
                <w:lang w:val="en-GB"/>
              </w:rPr>
              <w:t xml:space="preserve"> </w:t>
            </w:r>
            <w:r w:rsidR="00D45195" w:rsidRPr="002601BB">
              <w:rPr>
                <w:b/>
                <w:bCs/>
                <w:sz w:val="18"/>
                <w:szCs w:val="18"/>
                <w:lang w:val="en-GB"/>
              </w:rPr>
              <w:t>Central and local government institutions, civil society and the private sector i</w:t>
            </w:r>
            <w:r w:rsidR="000C4F06" w:rsidRPr="002601BB">
              <w:rPr>
                <w:b/>
                <w:bCs/>
                <w:sz w:val="18"/>
                <w:szCs w:val="18"/>
                <w:lang w:val="en-GB"/>
              </w:rPr>
              <w:t xml:space="preserve">ncreased support for </w:t>
            </w:r>
            <w:r w:rsidR="00F53D7D" w:rsidRPr="002601BB">
              <w:rPr>
                <w:b/>
                <w:bCs/>
                <w:sz w:val="18"/>
                <w:szCs w:val="18"/>
                <w:lang w:val="en-GB"/>
              </w:rPr>
              <w:t xml:space="preserve">ecosystems-based </w:t>
            </w:r>
            <w:r w:rsidR="000C4F06" w:rsidRPr="002601BB">
              <w:rPr>
                <w:b/>
                <w:bCs/>
                <w:sz w:val="18"/>
                <w:szCs w:val="18"/>
                <w:lang w:val="en-GB"/>
              </w:rPr>
              <w:t>a</w:t>
            </w:r>
            <w:r w:rsidRPr="002601BB">
              <w:rPr>
                <w:b/>
                <w:bCs/>
                <w:sz w:val="18"/>
                <w:szCs w:val="18"/>
                <w:lang w:val="en-GB"/>
              </w:rPr>
              <w:t xml:space="preserve">daptation strategies with a gender perspective and </w:t>
            </w:r>
            <w:r w:rsidR="00AE2EBB" w:rsidRPr="002601BB">
              <w:rPr>
                <w:b/>
                <w:bCs/>
                <w:sz w:val="18"/>
                <w:szCs w:val="18"/>
                <w:lang w:val="en-GB"/>
              </w:rPr>
              <w:t xml:space="preserve">consolidated </w:t>
            </w:r>
            <w:r w:rsidRPr="002601BB">
              <w:rPr>
                <w:b/>
                <w:bCs/>
                <w:sz w:val="18"/>
                <w:szCs w:val="18"/>
                <w:lang w:val="en-GB"/>
              </w:rPr>
              <w:t>social inclusion</w:t>
            </w:r>
            <w:r w:rsidR="00D45195" w:rsidRPr="002601BB">
              <w:rPr>
                <w:b/>
                <w:bCs/>
                <w:sz w:val="18"/>
                <w:szCs w:val="18"/>
                <w:lang w:val="en-GB"/>
              </w:rPr>
              <w:t>.</w:t>
            </w:r>
          </w:p>
          <w:p w14:paraId="3369F290" w14:textId="52E2293D" w:rsidR="00C605D9" w:rsidRPr="002601BB" w:rsidRDefault="00C605D9" w:rsidP="00C605D9">
            <w:pPr>
              <w:rPr>
                <w:b/>
                <w:bCs/>
                <w:sz w:val="18"/>
                <w:szCs w:val="18"/>
                <w:lang w:val="en-GB"/>
              </w:rPr>
            </w:pPr>
          </w:p>
          <w:p w14:paraId="1B4E5A18" w14:textId="7AE88CC2" w:rsidR="00C605D9" w:rsidRPr="002601BB" w:rsidRDefault="00C605D9" w:rsidP="007B20C4">
            <w:pPr>
              <w:rPr>
                <w:sz w:val="18"/>
                <w:szCs w:val="18"/>
                <w:lang w:val="en-GB"/>
              </w:rPr>
            </w:pPr>
            <w:r w:rsidRPr="00DF58ED">
              <w:rPr>
                <w:b/>
                <w:bCs/>
                <w:sz w:val="18"/>
                <w:szCs w:val="18"/>
                <w:lang w:val="en-GB"/>
              </w:rPr>
              <w:t>Indicator 3.2.1</w:t>
            </w:r>
            <w:r w:rsidR="00C66BE2" w:rsidRPr="00DF58ED">
              <w:rPr>
                <w:b/>
                <w:bCs/>
                <w:sz w:val="18"/>
                <w:szCs w:val="18"/>
                <w:lang w:val="en-GB"/>
              </w:rPr>
              <w:t>.</w:t>
            </w:r>
            <w:r w:rsidR="00241E6D" w:rsidRPr="002601BB">
              <w:rPr>
                <w:sz w:val="18"/>
                <w:szCs w:val="18"/>
                <w:lang w:val="en-GB"/>
              </w:rPr>
              <w:t xml:space="preserve"> </w:t>
            </w:r>
            <w:r w:rsidR="007B20C4" w:rsidRPr="002601BB">
              <w:rPr>
                <w:sz w:val="18"/>
                <w:szCs w:val="18"/>
                <w:lang w:val="en-GB"/>
              </w:rPr>
              <w:t>F</w:t>
            </w:r>
            <w:r w:rsidRPr="002601BB">
              <w:rPr>
                <w:sz w:val="18"/>
                <w:szCs w:val="18"/>
                <w:lang w:val="en-GB"/>
              </w:rPr>
              <w:t xml:space="preserve">unds </w:t>
            </w:r>
            <w:r w:rsidR="00E80022" w:rsidRPr="002601BB">
              <w:rPr>
                <w:sz w:val="18"/>
                <w:szCs w:val="18"/>
                <w:lang w:val="en-GB"/>
              </w:rPr>
              <w:t>mobili</w:t>
            </w:r>
            <w:r w:rsidR="00014BBA">
              <w:rPr>
                <w:sz w:val="18"/>
                <w:szCs w:val="18"/>
                <w:lang w:val="en-GB"/>
              </w:rPr>
              <w:t>s</w:t>
            </w:r>
            <w:r w:rsidR="00E80022" w:rsidRPr="002601BB">
              <w:rPr>
                <w:sz w:val="18"/>
                <w:szCs w:val="18"/>
                <w:lang w:val="en-GB"/>
              </w:rPr>
              <w:t>ed</w:t>
            </w:r>
            <w:r w:rsidR="00D65E9A" w:rsidRPr="002601BB">
              <w:rPr>
                <w:sz w:val="18"/>
                <w:szCs w:val="18"/>
                <w:lang w:val="en-GB"/>
              </w:rPr>
              <w:t>,</w:t>
            </w:r>
            <w:r w:rsidRPr="002601BB">
              <w:rPr>
                <w:sz w:val="18"/>
                <w:szCs w:val="18"/>
                <w:lang w:val="en-GB"/>
              </w:rPr>
              <w:t xml:space="preserve"> </w:t>
            </w:r>
            <w:r w:rsidR="00D65E9A" w:rsidRPr="002601BB">
              <w:rPr>
                <w:sz w:val="18"/>
                <w:szCs w:val="18"/>
                <w:lang w:val="en-GB"/>
              </w:rPr>
              <w:t>with support from UNDP,</w:t>
            </w:r>
            <w:r w:rsidR="00D65E9A" w:rsidRPr="002601BB" w:rsidDel="00D65E9A">
              <w:rPr>
                <w:sz w:val="18"/>
                <w:szCs w:val="18"/>
                <w:lang w:val="en-GB"/>
              </w:rPr>
              <w:t xml:space="preserve"> </w:t>
            </w:r>
            <w:r w:rsidRPr="002601BB">
              <w:rPr>
                <w:sz w:val="18"/>
                <w:szCs w:val="18"/>
                <w:lang w:val="en-GB"/>
              </w:rPr>
              <w:t>from public and private</w:t>
            </w:r>
            <w:r w:rsidR="00D65E9A" w:rsidRPr="002601BB">
              <w:rPr>
                <w:sz w:val="18"/>
                <w:szCs w:val="18"/>
                <w:lang w:val="en-GB"/>
              </w:rPr>
              <w:t xml:space="preserve"> sectors</w:t>
            </w:r>
            <w:r w:rsidRPr="002601BB">
              <w:rPr>
                <w:sz w:val="18"/>
                <w:szCs w:val="18"/>
                <w:lang w:val="en-GB"/>
              </w:rPr>
              <w:t xml:space="preserve"> to support the </w:t>
            </w:r>
            <w:r w:rsidR="00DB090A" w:rsidRPr="002601BB">
              <w:rPr>
                <w:sz w:val="18"/>
                <w:szCs w:val="18"/>
                <w:lang w:val="en-GB"/>
              </w:rPr>
              <w:t xml:space="preserve">mitigation and </w:t>
            </w:r>
            <w:r w:rsidRPr="002601BB">
              <w:rPr>
                <w:sz w:val="18"/>
                <w:szCs w:val="18"/>
                <w:lang w:val="en-GB"/>
              </w:rPr>
              <w:t xml:space="preserve">conservation </w:t>
            </w:r>
            <w:r w:rsidR="00DB090A" w:rsidRPr="002601BB">
              <w:rPr>
                <w:sz w:val="18"/>
                <w:szCs w:val="18"/>
                <w:lang w:val="en-GB"/>
              </w:rPr>
              <w:t xml:space="preserve">efforts </w:t>
            </w:r>
            <w:r w:rsidRPr="002601BB">
              <w:rPr>
                <w:sz w:val="18"/>
                <w:szCs w:val="18"/>
                <w:lang w:val="en-GB"/>
              </w:rPr>
              <w:t>and sustainable use of biodiversity and forests with a gender perspective and social inclusion as adaptation measures.</w:t>
            </w:r>
            <w:r w:rsidR="00F34515" w:rsidRPr="002601BB">
              <w:rPr>
                <w:sz w:val="18"/>
                <w:szCs w:val="18"/>
                <w:lang w:val="en-GB"/>
              </w:rPr>
              <w:t xml:space="preserve"> [IRRF SP 4.2.1]</w:t>
            </w:r>
          </w:p>
          <w:p w14:paraId="6A5DC644" w14:textId="1128A225" w:rsidR="00C605D9" w:rsidRPr="002601BB" w:rsidRDefault="00C605D9" w:rsidP="00C605D9">
            <w:pPr>
              <w:rPr>
                <w:sz w:val="18"/>
                <w:szCs w:val="18"/>
                <w:lang w:val="en-GB"/>
              </w:rPr>
            </w:pPr>
            <w:r w:rsidRPr="00DF58ED">
              <w:rPr>
                <w:i/>
                <w:iCs/>
                <w:sz w:val="18"/>
                <w:szCs w:val="18"/>
                <w:lang w:val="en-GB"/>
              </w:rPr>
              <w:t>Baseline</w:t>
            </w:r>
            <w:r w:rsidRPr="002601BB">
              <w:rPr>
                <w:sz w:val="18"/>
                <w:szCs w:val="18"/>
                <w:lang w:val="en-GB"/>
              </w:rPr>
              <w:t xml:space="preserve"> (2022): $10 million</w:t>
            </w:r>
          </w:p>
          <w:p w14:paraId="2A8C1FF5" w14:textId="7CBF3E74" w:rsidR="00C605D9" w:rsidRPr="002601BB" w:rsidRDefault="00C605D9" w:rsidP="00C605D9">
            <w:pPr>
              <w:rPr>
                <w:sz w:val="18"/>
                <w:szCs w:val="18"/>
                <w:lang w:val="en-GB"/>
              </w:rPr>
            </w:pPr>
            <w:r w:rsidRPr="00DF58ED">
              <w:rPr>
                <w:i/>
                <w:iCs/>
                <w:sz w:val="18"/>
                <w:szCs w:val="18"/>
                <w:lang w:val="en-GB"/>
              </w:rPr>
              <w:t>Target</w:t>
            </w:r>
            <w:r w:rsidRPr="002601BB">
              <w:rPr>
                <w:sz w:val="18"/>
                <w:szCs w:val="18"/>
                <w:lang w:val="en-GB"/>
              </w:rPr>
              <w:t xml:space="preserve"> (2027): $30 million</w:t>
            </w:r>
          </w:p>
          <w:p w14:paraId="5CB2BA24" w14:textId="4FCBE233" w:rsidR="00C605D9" w:rsidRPr="002601BB" w:rsidRDefault="00C605D9" w:rsidP="00C605D9">
            <w:pPr>
              <w:rPr>
                <w:sz w:val="18"/>
                <w:szCs w:val="18"/>
                <w:lang w:val="en-GB"/>
              </w:rPr>
            </w:pPr>
            <w:r w:rsidRPr="00DF58ED">
              <w:rPr>
                <w:i/>
                <w:iCs/>
                <w:sz w:val="18"/>
                <w:szCs w:val="18"/>
                <w:lang w:val="en-GB"/>
              </w:rPr>
              <w:t>Frequency</w:t>
            </w:r>
            <w:r w:rsidRPr="002601BB">
              <w:rPr>
                <w:sz w:val="18"/>
                <w:szCs w:val="18"/>
                <w:lang w:val="en-GB"/>
              </w:rPr>
              <w:t xml:space="preserve">: </w:t>
            </w:r>
            <w:r w:rsidR="00C66BE2">
              <w:rPr>
                <w:sz w:val="18"/>
                <w:szCs w:val="18"/>
                <w:lang w:val="en-GB"/>
              </w:rPr>
              <w:t>A</w:t>
            </w:r>
            <w:r w:rsidRPr="002601BB">
              <w:rPr>
                <w:sz w:val="18"/>
                <w:szCs w:val="18"/>
                <w:lang w:val="en-GB"/>
              </w:rPr>
              <w:t>nnual</w:t>
            </w:r>
          </w:p>
          <w:p w14:paraId="4F9BE380" w14:textId="1F0A5557" w:rsidR="00C605D9" w:rsidRPr="002601BB" w:rsidRDefault="00C605D9" w:rsidP="00C605D9">
            <w:pPr>
              <w:rPr>
                <w:b/>
                <w:bCs/>
                <w:sz w:val="18"/>
                <w:szCs w:val="18"/>
                <w:lang w:val="en-GB"/>
              </w:rPr>
            </w:pPr>
            <w:r w:rsidRPr="00DF58ED">
              <w:rPr>
                <w:i/>
                <w:iCs/>
                <w:sz w:val="18"/>
                <w:szCs w:val="18"/>
                <w:lang w:val="en-GB"/>
              </w:rPr>
              <w:t>Data source</w:t>
            </w:r>
            <w:r w:rsidRPr="002601BB">
              <w:rPr>
                <w:sz w:val="18"/>
                <w:szCs w:val="18"/>
                <w:lang w:val="en-GB"/>
              </w:rPr>
              <w:t>: UNDP</w:t>
            </w:r>
          </w:p>
          <w:p w14:paraId="2AF4A946" w14:textId="77777777" w:rsidR="00C605D9" w:rsidRPr="002601BB" w:rsidRDefault="00C605D9" w:rsidP="00C605D9">
            <w:pPr>
              <w:rPr>
                <w:b/>
                <w:bCs/>
                <w:sz w:val="18"/>
                <w:szCs w:val="18"/>
                <w:lang w:val="en-GB"/>
              </w:rPr>
            </w:pPr>
          </w:p>
          <w:p w14:paraId="5575D425" w14:textId="5BB19452" w:rsidR="00C605D9" w:rsidRPr="002601BB" w:rsidRDefault="00C605D9" w:rsidP="00C605D9">
            <w:pPr>
              <w:rPr>
                <w:sz w:val="18"/>
                <w:szCs w:val="18"/>
                <w:lang w:val="en-GB"/>
              </w:rPr>
            </w:pPr>
            <w:r w:rsidRPr="00DF58ED">
              <w:rPr>
                <w:b/>
                <w:bCs/>
                <w:sz w:val="18"/>
                <w:szCs w:val="18"/>
                <w:lang w:val="en-GB"/>
              </w:rPr>
              <w:t>Indicator 3.2.2</w:t>
            </w:r>
            <w:r w:rsidR="00C66BE2" w:rsidRPr="00DF58ED">
              <w:rPr>
                <w:b/>
                <w:bCs/>
                <w:sz w:val="18"/>
                <w:szCs w:val="18"/>
                <w:lang w:val="en-GB"/>
              </w:rPr>
              <w:t>.</w:t>
            </w:r>
            <w:r w:rsidR="00241E6D" w:rsidRPr="002601BB">
              <w:rPr>
                <w:sz w:val="18"/>
                <w:szCs w:val="18"/>
                <w:lang w:val="en-GB"/>
              </w:rPr>
              <w:t xml:space="preserve"> </w:t>
            </w:r>
            <w:r w:rsidR="00B36DD7" w:rsidRPr="002601BB">
              <w:rPr>
                <w:sz w:val="18"/>
                <w:szCs w:val="18"/>
                <w:lang w:val="en-GB"/>
              </w:rPr>
              <w:t>Area</w:t>
            </w:r>
            <w:r w:rsidRPr="002601BB">
              <w:rPr>
                <w:sz w:val="18"/>
                <w:szCs w:val="18"/>
                <w:lang w:val="en-GB"/>
              </w:rPr>
              <w:t xml:space="preserve"> of hectares </w:t>
            </w:r>
            <w:r w:rsidR="00D3055F" w:rsidRPr="002601BB">
              <w:rPr>
                <w:sz w:val="18"/>
                <w:szCs w:val="18"/>
                <w:lang w:val="en-GB"/>
              </w:rPr>
              <w:t xml:space="preserve">(Ha) </w:t>
            </w:r>
            <w:r w:rsidRPr="002601BB">
              <w:rPr>
                <w:sz w:val="18"/>
                <w:szCs w:val="18"/>
                <w:lang w:val="en-GB"/>
              </w:rPr>
              <w:t xml:space="preserve">of increased forest cover or restoration that contribute </w:t>
            </w:r>
            <w:r w:rsidR="00BA07B6" w:rsidRPr="002601BB">
              <w:rPr>
                <w:sz w:val="18"/>
                <w:szCs w:val="18"/>
                <w:lang w:val="en-GB"/>
              </w:rPr>
              <w:t xml:space="preserve">to </w:t>
            </w:r>
            <w:r w:rsidRPr="002601BB">
              <w:rPr>
                <w:sz w:val="18"/>
                <w:szCs w:val="18"/>
                <w:lang w:val="en-GB"/>
              </w:rPr>
              <w:t>ecosystem-based adaptation</w:t>
            </w:r>
            <w:r w:rsidR="00ED579F" w:rsidRPr="002601BB">
              <w:rPr>
                <w:sz w:val="18"/>
                <w:szCs w:val="18"/>
                <w:lang w:val="en-GB"/>
              </w:rPr>
              <w:t>, with support from UNDP</w:t>
            </w:r>
            <w:r w:rsidRPr="002601BB">
              <w:rPr>
                <w:sz w:val="18"/>
                <w:szCs w:val="18"/>
                <w:lang w:val="en-GB"/>
              </w:rPr>
              <w:t xml:space="preserve"> </w:t>
            </w:r>
            <w:r w:rsidR="007B6A55" w:rsidRPr="002601BB">
              <w:rPr>
                <w:sz w:val="18"/>
                <w:szCs w:val="18"/>
                <w:lang w:val="en-GB"/>
              </w:rPr>
              <w:t>[IRRF 4.1.2]</w:t>
            </w:r>
          </w:p>
          <w:p w14:paraId="56490F10" w14:textId="2F21BDBF" w:rsidR="00C605D9" w:rsidRPr="002601BB" w:rsidRDefault="00C605D9" w:rsidP="00C605D9">
            <w:pPr>
              <w:rPr>
                <w:sz w:val="18"/>
                <w:szCs w:val="18"/>
                <w:lang w:val="en-GB"/>
              </w:rPr>
            </w:pPr>
            <w:r w:rsidRPr="00DF58ED">
              <w:rPr>
                <w:i/>
                <w:iCs/>
                <w:sz w:val="18"/>
                <w:szCs w:val="18"/>
                <w:lang w:val="en-GB"/>
              </w:rPr>
              <w:t>Baseline</w:t>
            </w:r>
            <w:r w:rsidRPr="002601BB">
              <w:rPr>
                <w:sz w:val="18"/>
                <w:szCs w:val="18"/>
                <w:lang w:val="en-GB"/>
              </w:rPr>
              <w:t xml:space="preserve"> (2022): 1000</w:t>
            </w:r>
            <w:r w:rsidR="00A07053" w:rsidRPr="002601BB">
              <w:rPr>
                <w:sz w:val="18"/>
                <w:szCs w:val="18"/>
                <w:lang w:val="en-GB"/>
              </w:rPr>
              <w:t xml:space="preserve"> Ha</w:t>
            </w:r>
          </w:p>
          <w:p w14:paraId="4BD3C35C" w14:textId="44F4EB5A" w:rsidR="00C605D9" w:rsidRPr="002601BB" w:rsidRDefault="00C605D9" w:rsidP="00C605D9">
            <w:pPr>
              <w:rPr>
                <w:sz w:val="18"/>
                <w:szCs w:val="18"/>
                <w:lang w:val="en-GB"/>
              </w:rPr>
            </w:pPr>
            <w:r w:rsidRPr="00DF58ED">
              <w:rPr>
                <w:i/>
                <w:iCs/>
                <w:sz w:val="18"/>
                <w:szCs w:val="18"/>
                <w:lang w:val="en-GB"/>
              </w:rPr>
              <w:t>Target</w:t>
            </w:r>
            <w:r w:rsidRPr="002601BB">
              <w:rPr>
                <w:sz w:val="18"/>
                <w:szCs w:val="18"/>
                <w:lang w:val="en-GB"/>
              </w:rPr>
              <w:t xml:space="preserve"> (2027): 2000 Ha</w:t>
            </w:r>
          </w:p>
          <w:p w14:paraId="15FA8581" w14:textId="4693E6CE" w:rsidR="00C605D9" w:rsidRPr="002601BB" w:rsidRDefault="00C605D9" w:rsidP="00C605D9">
            <w:pPr>
              <w:rPr>
                <w:sz w:val="18"/>
                <w:szCs w:val="18"/>
                <w:lang w:val="en-GB"/>
              </w:rPr>
            </w:pPr>
            <w:r w:rsidRPr="00DF58ED">
              <w:rPr>
                <w:i/>
                <w:iCs/>
                <w:sz w:val="18"/>
                <w:szCs w:val="18"/>
                <w:lang w:val="en-GB"/>
              </w:rPr>
              <w:t>Frequency</w:t>
            </w:r>
            <w:r w:rsidRPr="002601BB">
              <w:rPr>
                <w:sz w:val="18"/>
                <w:szCs w:val="18"/>
                <w:lang w:val="en-GB"/>
              </w:rPr>
              <w:t xml:space="preserve">: </w:t>
            </w:r>
            <w:r w:rsidR="00C66BE2">
              <w:rPr>
                <w:sz w:val="18"/>
                <w:szCs w:val="18"/>
                <w:lang w:val="en-GB"/>
              </w:rPr>
              <w:t>A</w:t>
            </w:r>
            <w:r w:rsidRPr="002601BB">
              <w:rPr>
                <w:sz w:val="18"/>
                <w:szCs w:val="18"/>
                <w:lang w:val="en-GB"/>
              </w:rPr>
              <w:t>nnual</w:t>
            </w:r>
          </w:p>
          <w:p w14:paraId="46E05A9D" w14:textId="330A3E95" w:rsidR="00C605D9" w:rsidRPr="002601BB" w:rsidRDefault="00C605D9" w:rsidP="00C605D9">
            <w:pPr>
              <w:rPr>
                <w:b/>
                <w:bCs/>
                <w:sz w:val="18"/>
                <w:szCs w:val="18"/>
                <w:lang w:val="en-GB"/>
              </w:rPr>
            </w:pPr>
            <w:r w:rsidRPr="00DF58ED">
              <w:rPr>
                <w:i/>
                <w:iCs/>
                <w:sz w:val="18"/>
                <w:szCs w:val="18"/>
                <w:lang w:val="en-GB"/>
              </w:rPr>
              <w:t>Data source</w:t>
            </w:r>
            <w:r w:rsidRPr="002601BB">
              <w:rPr>
                <w:sz w:val="18"/>
                <w:szCs w:val="18"/>
                <w:lang w:val="en-GB"/>
              </w:rPr>
              <w:t>:</w:t>
            </w:r>
            <w:r w:rsidR="00144785" w:rsidRPr="002601BB">
              <w:rPr>
                <w:sz w:val="18"/>
                <w:szCs w:val="18"/>
                <w:lang w:val="en-GB"/>
              </w:rPr>
              <w:t xml:space="preserve"> National Geo</w:t>
            </w:r>
            <w:r w:rsidR="00C64D0D">
              <w:rPr>
                <w:sz w:val="18"/>
                <w:szCs w:val="18"/>
                <w:lang w:val="en-GB"/>
              </w:rPr>
              <w:t>-</w:t>
            </w:r>
            <w:r w:rsidR="00144785" w:rsidRPr="002601BB">
              <w:rPr>
                <w:sz w:val="18"/>
                <w:szCs w:val="18"/>
                <w:lang w:val="en-GB"/>
              </w:rPr>
              <w:t>environmental Information Centr</w:t>
            </w:r>
            <w:r w:rsidR="00C66BE2">
              <w:rPr>
                <w:sz w:val="18"/>
                <w:szCs w:val="18"/>
                <w:lang w:val="en-GB"/>
              </w:rPr>
              <w:t>e</w:t>
            </w:r>
            <w:r w:rsidR="00D9378D" w:rsidRPr="002601BB">
              <w:rPr>
                <w:sz w:val="18"/>
                <w:szCs w:val="18"/>
                <w:lang w:val="en-GB"/>
              </w:rPr>
              <w:t xml:space="preserve">, </w:t>
            </w:r>
            <w:r w:rsidRPr="002601BB">
              <w:rPr>
                <w:sz w:val="18"/>
                <w:szCs w:val="18"/>
                <w:lang w:val="en-GB"/>
              </w:rPr>
              <w:t>MINAE,</w:t>
            </w:r>
            <w:r w:rsidR="00144785" w:rsidRPr="002601BB">
              <w:rPr>
                <w:sz w:val="18"/>
                <w:szCs w:val="18"/>
                <w:lang w:val="en-GB"/>
              </w:rPr>
              <w:t xml:space="preserve"> National Forest Financing Fund </w:t>
            </w:r>
          </w:p>
          <w:p w14:paraId="42129E2F" w14:textId="210A81B4" w:rsidR="00C605D9" w:rsidRPr="002601BB" w:rsidRDefault="00C605D9" w:rsidP="00C605D9">
            <w:pPr>
              <w:rPr>
                <w:b/>
                <w:bCs/>
                <w:sz w:val="18"/>
                <w:szCs w:val="18"/>
                <w:lang w:val="en-GB"/>
              </w:rPr>
            </w:pPr>
          </w:p>
          <w:p w14:paraId="7C49A768" w14:textId="2B0FBA7D" w:rsidR="00C605D9" w:rsidRPr="002601BB" w:rsidRDefault="00C605D9" w:rsidP="00C605D9">
            <w:pPr>
              <w:rPr>
                <w:b/>
                <w:bCs/>
                <w:sz w:val="18"/>
                <w:szCs w:val="18"/>
                <w:lang w:val="en-GB"/>
              </w:rPr>
            </w:pPr>
            <w:r w:rsidRPr="002601BB">
              <w:rPr>
                <w:b/>
                <w:bCs/>
                <w:sz w:val="18"/>
                <w:szCs w:val="18"/>
                <w:lang w:val="en-GB"/>
              </w:rPr>
              <w:t>Output 3.3</w:t>
            </w:r>
            <w:r w:rsidR="00C66BE2">
              <w:rPr>
                <w:b/>
                <w:bCs/>
                <w:sz w:val="18"/>
                <w:szCs w:val="18"/>
                <w:lang w:val="en-GB"/>
              </w:rPr>
              <w:t>.</w:t>
            </w:r>
            <w:r w:rsidRPr="002601BB">
              <w:rPr>
                <w:b/>
                <w:bCs/>
                <w:sz w:val="18"/>
                <w:szCs w:val="18"/>
                <w:lang w:val="en-GB"/>
              </w:rPr>
              <w:t xml:space="preserve"> </w:t>
            </w:r>
            <w:r w:rsidR="006049BC" w:rsidRPr="002601BB">
              <w:rPr>
                <w:b/>
                <w:bCs/>
                <w:sz w:val="18"/>
                <w:szCs w:val="18"/>
                <w:lang w:val="en-GB"/>
              </w:rPr>
              <w:t xml:space="preserve">State </w:t>
            </w:r>
            <w:r w:rsidR="00C66BE2">
              <w:rPr>
                <w:b/>
                <w:bCs/>
                <w:sz w:val="18"/>
                <w:szCs w:val="18"/>
                <w:lang w:val="en-GB"/>
              </w:rPr>
              <w:t>i</w:t>
            </w:r>
            <w:r w:rsidR="006049BC" w:rsidRPr="002601BB">
              <w:rPr>
                <w:b/>
                <w:bCs/>
                <w:sz w:val="18"/>
                <w:szCs w:val="18"/>
                <w:lang w:val="en-GB"/>
              </w:rPr>
              <w:t>nstitutions and rural aqueduct associations have i</w:t>
            </w:r>
            <w:r w:rsidRPr="002601BB">
              <w:rPr>
                <w:b/>
                <w:bCs/>
                <w:sz w:val="18"/>
                <w:szCs w:val="18"/>
                <w:lang w:val="en-GB"/>
              </w:rPr>
              <w:t xml:space="preserve">mproved </w:t>
            </w:r>
            <w:r w:rsidR="002A1875" w:rsidRPr="002601BB">
              <w:rPr>
                <w:b/>
                <w:bCs/>
                <w:sz w:val="18"/>
                <w:szCs w:val="18"/>
                <w:lang w:val="en-GB"/>
              </w:rPr>
              <w:t xml:space="preserve">water resource management through </w:t>
            </w:r>
            <w:r w:rsidR="00101A4D" w:rsidRPr="002601BB">
              <w:rPr>
                <w:b/>
                <w:bCs/>
                <w:sz w:val="18"/>
                <w:szCs w:val="18"/>
                <w:lang w:val="en-GB"/>
              </w:rPr>
              <w:lastRenderedPageBreak/>
              <w:t>community</w:t>
            </w:r>
            <w:r w:rsidR="00A566E0" w:rsidRPr="002601BB">
              <w:rPr>
                <w:b/>
                <w:bCs/>
                <w:sz w:val="18"/>
                <w:szCs w:val="18"/>
                <w:lang w:val="en-GB"/>
              </w:rPr>
              <w:t>-</w:t>
            </w:r>
            <w:r w:rsidR="00101A4D" w:rsidRPr="002601BB">
              <w:rPr>
                <w:b/>
                <w:bCs/>
                <w:sz w:val="18"/>
                <w:szCs w:val="18"/>
                <w:lang w:val="en-GB"/>
              </w:rPr>
              <w:t xml:space="preserve">based </w:t>
            </w:r>
            <w:r w:rsidRPr="002601BB">
              <w:rPr>
                <w:b/>
                <w:bCs/>
                <w:sz w:val="18"/>
                <w:szCs w:val="18"/>
                <w:lang w:val="en-GB"/>
              </w:rPr>
              <w:t>adaptation measure</w:t>
            </w:r>
            <w:r w:rsidR="00101A4D" w:rsidRPr="002601BB">
              <w:rPr>
                <w:b/>
                <w:bCs/>
                <w:sz w:val="18"/>
                <w:szCs w:val="18"/>
                <w:lang w:val="en-GB"/>
              </w:rPr>
              <w:t>s</w:t>
            </w:r>
            <w:r w:rsidRPr="002601BB">
              <w:rPr>
                <w:b/>
                <w:bCs/>
                <w:sz w:val="18"/>
                <w:szCs w:val="18"/>
                <w:lang w:val="en-GB"/>
              </w:rPr>
              <w:t xml:space="preserve"> and </w:t>
            </w:r>
            <w:r w:rsidR="00BA07B6" w:rsidRPr="002601BB">
              <w:rPr>
                <w:b/>
                <w:bCs/>
                <w:sz w:val="18"/>
                <w:szCs w:val="18"/>
                <w:lang w:val="en-GB"/>
              </w:rPr>
              <w:t>managing</w:t>
            </w:r>
            <w:r w:rsidR="00101A4D" w:rsidRPr="002601BB">
              <w:rPr>
                <w:b/>
                <w:bCs/>
                <w:sz w:val="18"/>
                <w:szCs w:val="18"/>
                <w:lang w:val="en-GB"/>
              </w:rPr>
              <w:t xml:space="preserve"> </w:t>
            </w:r>
            <w:r w:rsidRPr="002601BB">
              <w:rPr>
                <w:b/>
                <w:bCs/>
                <w:sz w:val="18"/>
                <w:szCs w:val="18"/>
                <w:lang w:val="en-GB"/>
              </w:rPr>
              <w:t>multiple risk</w:t>
            </w:r>
            <w:r w:rsidR="00101A4D" w:rsidRPr="002601BB">
              <w:rPr>
                <w:b/>
                <w:bCs/>
                <w:sz w:val="18"/>
                <w:szCs w:val="18"/>
                <w:lang w:val="en-GB"/>
              </w:rPr>
              <w:t>s</w:t>
            </w:r>
            <w:r w:rsidRPr="002601BB">
              <w:rPr>
                <w:b/>
                <w:bCs/>
                <w:sz w:val="18"/>
                <w:szCs w:val="18"/>
                <w:lang w:val="en-GB"/>
              </w:rPr>
              <w:t>.</w:t>
            </w:r>
          </w:p>
          <w:p w14:paraId="27497DA0" w14:textId="77777777" w:rsidR="00C605D9" w:rsidRPr="002601BB" w:rsidRDefault="00C605D9" w:rsidP="00C605D9">
            <w:pPr>
              <w:rPr>
                <w:b/>
                <w:bCs/>
                <w:sz w:val="18"/>
                <w:szCs w:val="18"/>
                <w:lang w:val="en-GB"/>
              </w:rPr>
            </w:pPr>
          </w:p>
          <w:p w14:paraId="2443F6AF" w14:textId="15721784" w:rsidR="00C605D9" w:rsidRPr="002601BB" w:rsidRDefault="00C605D9" w:rsidP="00C605D9">
            <w:pPr>
              <w:rPr>
                <w:sz w:val="18"/>
                <w:szCs w:val="18"/>
                <w:lang w:val="en-GB"/>
              </w:rPr>
            </w:pPr>
            <w:r w:rsidRPr="00DF58ED">
              <w:rPr>
                <w:b/>
                <w:bCs/>
                <w:sz w:val="18"/>
                <w:szCs w:val="18"/>
                <w:lang w:val="en-GB"/>
              </w:rPr>
              <w:t>Indicator 3.3.1</w:t>
            </w:r>
            <w:r w:rsidR="00C66BE2" w:rsidRPr="00DF58ED">
              <w:rPr>
                <w:b/>
                <w:bCs/>
                <w:sz w:val="18"/>
                <w:szCs w:val="18"/>
                <w:lang w:val="en-GB"/>
              </w:rPr>
              <w:t>.</w:t>
            </w:r>
            <w:r w:rsidR="00241E6D" w:rsidRPr="002601BB">
              <w:rPr>
                <w:i/>
                <w:iCs/>
                <w:sz w:val="18"/>
                <w:szCs w:val="18"/>
                <w:lang w:val="en-GB"/>
              </w:rPr>
              <w:t xml:space="preserve"> </w:t>
            </w:r>
            <w:r w:rsidR="000C60CD" w:rsidRPr="002601BB">
              <w:rPr>
                <w:sz w:val="18"/>
                <w:szCs w:val="18"/>
                <w:lang w:val="en-GB"/>
              </w:rPr>
              <w:t xml:space="preserve">Number of </w:t>
            </w:r>
            <w:r w:rsidR="00F35F03" w:rsidRPr="002601BB">
              <w:rPr>
                <w:sz w:val="18"/>
                <w:szCs w:val="18"/>
                <w:lang w:val="en-GB"/>
              </w:rPr>
              <w:t xml:space="preserve">interventions </w:t>
            </w:r>
            <w:r w:rsidR="00332DA8" w:rsidRPr="002601BB">
              <w:rPr>
                <w:sz w:val="18"/>
                <w:szCs w:val="18"/>
                <w:lang w:val="en-GB"/>
              </w:rPr>
              <w:t>by UNDP</w:t>
            </w:r>
            <w:r w:rsidR="000B6282" w:rsidRPr="002601BB">
              <w:rPr>
                <w:sz w:val="18"/>
                <w:szCs w:val="18"/>
                <w:lang w:val="en-GB"/>
              </w:rPr>
              <w:t xml:space="preserve"> </w:t>
            </w:r>
            <w:r w:rsidR="009464A1" w:rsidRPr="002601BB">
              <w:rPr>
                <w:sz w:val="18"/>
                <w:szCs w:val="18"/>
                <w:lang w:val="en-GB"/>
              </w:rPr>
              <w:t xml:space="preserve">that improve </w:t>
            </w:r>
            <w:r w:rsidRPr="002601BB">
              <w:rPr>
                <w:sz w:val="18"/>
                <w:szCs w:val="18"/>
                <w:lang w:val="en-GB"/>
              </w:rPr>
              <w:t xml:space="preserve">water </w:t>
            </w:r>
            <w:r w:rsidR="00D02833" w:rsidRPr="002601BB">
              <w:rPr>
                <w:sz w:val="18"/>
                <w:szCs w:val="18"/>
                <w:lang w:val="en-GB"/>
              </w:rPr>
              <w:t xml:space="preserve">resources management and </w:t>
            </w:r>
            <w:r w:rsidRPr="002601BB">
              <w:rPr>
                <w:sz w:val="18"/>
                <w:szCs w:val="18"/>
                <w:lang w:val="en-GB"/>
              </w:rPr>
              <w:t>sanitation.</w:t>
            </w:r>
          </w:p>
          <w:p w14:paraId="68CA6A8E" w14:textId="6D24BD92" w:rsidR="00C605D9" w:rsidRPr="002601BB" w:rsidRDefault="00C605D9" w:rsidP="00C605D9">
            <w:pPr>
              <w:rPr>
                <w:sz w:val="18"/>
                <w:szCs w:val="18"/>
                <w:lang w:val="en-GB"/>
              </w:rPr>
            </w:pPr>
            <w:r w:rsidRPr="00DF58ED">
              <w:rPr>
                <w:i/>
                <w:iCs/>
                <w:sz w:val="18"/>
                <w:szCs w:val="18"/>
                <w:lang w:val="en-GB"/>
              </w:rPr>
              <w:t>Baseline</w:t>
            </w:r>
            <w:r w:rsidRPr="002601BB">
              <w:rPr>
                <w:sz w:val="18"/>
                <w:szCs w:val="18"/>
                <w:lang w:val="en-GB"/>
              </w:rPr>
              <w:t xml:space="preserve"> (2022): 1</w:t>
            </w:r>
          </w:p>
          <w:p w14:paraId="3866AE84" w14:textId="78022445" w:rsidR="00C605D9" w:rsidRPr="002601BB" w:rsidRDefault="00C605D9" w:rsidP="00C605D9">
            <w:pPr>
              <w:rPr>
                <w:sz w:val="18"/>
                <w:szCs w:val="18"/>
                <w:lang w:val="en-GB"/>
              </w:rPr>
            </w:pPr>
            <w:r w:rsidRPr="00DF58ED">
              <w:rPr>
                <w:i/>
                <w:iCs/>
                <w:sz w:val="18"/>
                <w:szCs w:val="18"/>
                <w:lang w:val="en-GB"/>
              </w:rPr>
              <w:t>Target</w:t>
            </w:r>
            <w:r w:rsidRPr="002601BB">
              <w:rPr>
                <w:sz w:val="18"/>
                <w:szCs w:val="18"/>
                <w:lang w:val="en-GB"/>
              </w:rPr>
              <w:t xml:space="preserve"> (2027): 5</w:t>
            </w:r>
          </w:p>
          <w:p w14:paraId="5641CB21" w14:textId="4F7B5ABB" w:rsidR="00C605D9" w:rsidRPr="002601BB" w:rsidRDefault="00C605D9" w:rsidP="00C605D9">
            <w:pPr>
              <w:rPr>
                <w:sz w:val="18"/>
                <w:szCs w:val="18"/>
                <w:lang w:val="en-GB"/>
              </w:rPr>
            </w:pPr>
            <w:r w:rsidRPr="00DF58ED">
              <w:rPr>
                <w:i/>
                <w:iCs/>
                <w:sz w:val="18"/>
                <w:szCs w:val="18"/>
                <w:lang w:val="en-GB"/>
              </w:rPr>
              <w:t>Frequency</w:t>
            </w:r>
            <w:r w:rsidRPr="002601BB">
              <w:rPr>
                <w:sz w:val="18"/>
                <w:szCs w:val="18"/>
                <w:lang w:val="en-GB"/>
              </w:rPr>
              <w:t>: annual</w:t>
            </w:r>
          </w:p>
          <w:p w14:paraId="62AA7687" w14:textId="54FCEF14" w:rsidR="00C605D9" w:rsidRDefault="00C605D9" w:rsidP="000F6D74">
            <w:pPr>
              <w:rPr>
                <w:sz w:val="18"/>
                <w:szCs w:val="18"/>
                <w:lang w:val="en-GB"/>
              </w:rPr>
            </w:pPr>
            <w:r w:rsidRPr="00DF58ED">
              <w:rPr>
                <w:i/>
                <w:iCs/>
                <w:sz w:val="18"/>
                <w:szCs w:val="18"/>
                <w:lang w:val="en-GB"/>
              </w:rPr>
              <w:t>Data source</w:t>
            </w:r>
            <w:r w:rsidRPr="002601BB">
              <w:rPr>
                <w:sz w:val="18"/>
                <w:szCs w:val="18"/>
                <w:lang w:val="en-GB"/>
              </w:rPr>
              <w:t xml:space="preserve">: AyA, </w:t>
            </w:r>
            <w:r w:rsidR="00C66BE2">
              <w:rPr>
                <w:sz w:val="18"/>
                <w:szCs w:val="18"/>
                <w:lang w:val="en-GB"/>
              </w:rPr>
              <w:t>m</w:t>
            </w:r>
            <w:r w:rsidRPr="002601BB">
              <w:rPr>
                <w:sz w:val="18"/>
                <w:szCs w:val="18"/>
                <w:lang w:val="en-GB"/>
              </w:rPr>
              <w:t>unicipalities</w:t>
            </w:r>
          </w:p>
          <w:p w14:paraId="1FE04805" w14:textId="6FF9F149" w:rsidR="00C66BE2" w:rsidRPr="002601BB" w:rsidRDefault="00C66BE2" w:rsidP="000F6D74">
            <w:pPr>
              <w:rPr>
                <w:b/>
                <w:bCs/>
                <w:sz w:val="18"/>
                <w:szCs w:val="18"/>
                <w:lang w:val="en-GB"/>
              </w:rPr>
            </w:pPr>
          </w:p>
        </w:tc>
        <w:tc>
          <w:tcPr>
            <w:tcW w:w="1136" w:type="pct"/>
            <w:vMerge w:val="restart"/>
          </w:tcPr>
          <w:p w14:paraId="3E4EC008" w14:textId="7038C9A3"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lastRenderedPageBreak/>
              <w:t>MAG</w:t>
            </w:r>
          </w:p>
          <w:p w14:paraId="3A40A962"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MCJ</w:t>
            </w:r>
          </w:p>
          <w:p w14:paraId="1D2F15F9"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MICITT</w:t>
            </w:r>
          </w:p>
          <w:p w14:paraId="74CC7C61"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MIDEPLAN</w:t>
            </w:r>
          </w:p>
          <w:p w14:paraId="7F2C626A"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MINAE</w:t>
            </w:r>
          </w:p>
          <w:p w14:paraId="0D0479CA"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Ministry of Heath</w:t>
            </w:r>
          </w:p>
          <w:p w14:paraId="151F1D59" w14:textId="7725F8CC"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 xml:space="preserve">Ministry of Public Works and Transport </w:t>
            </w:r>
          </w:p>
          <w:p w14:paraId="2CCA0487"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MSP</w:t>
            </w:r>
          </w:p>
          <w:p w14:paraId="323CCA8D"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MTSS</w:t>
            </w:r>
          </w:p>
          <w:p w14:paraId="5013BA8E" w14:textId="18FE43EE" w:rsidR="00C605D9"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Legislative Assembly</w:t>
            </w:r>
          </w:p>
          <w:p w14:paraId="1F19CD76"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AyA</w:t>
            </w:r>
          </w:p>
          <w:p w14:paraId="4F035CB1" w14:textId="7E86D6F3" w:rsidR="00C605D9"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BCCR</w:t>
            </w:r>
          </w:p>
          <w:p w14:paraId="1CBCA5FC"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CCSS</w:t>
            </w:r>
          </w:p>
          <w:p w14:paraId="3A4A28DA"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CNE</w:t>
            </w:r>
          </w:p>
          <w:p w14:paraId="16DF77AB"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ICE</w:t>
            </w:r>
          </w:p>
          <w:p w14:paraId="30773903"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ICT</w:t>
            </w:r>
          </w:p>
          <w:p w14:paraId="6DD7E7E5"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IMAS</w:t>
            </w:r>
          </w:p>
          <w:p w14:paraId="3642C725"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INAMU</w:t>
            </w:r>
          </w:p>
          <w:p w14:paraId="68D2FAE2"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INCOP</w:t>
            </w:r>
          </w:p>
          <w:p w14:paraId="623533FD" w14:textId="77777777" w:rsidR="004D3D2F" w:rsidRPr="002601BB" w:rsidRDefault="004D3D2F"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INDER</w:t>
            </w:r>
          </w:p>
          <w:p w14:paraId="00EFA54B" w14:textId="6E456B73" w:rsidR="004D3D2F" w:rsidRPr="002601BB" w:rsidRDefault="00EA1B97" w:rsidP="004D3D2F">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INEC</w:t>
            </w:r>
          </w:p>
          <w:p w14:paraId="58EF90E4" w14:textId="1D99B996" w:rsidR="009E2C62"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INVU</w:t>
            </w:r>
          </w:p>
          <w:p w14:paraId="2223A632" w14:textId="77777777" w:rsidR="00C605D9"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Municipalities</w:t>
            </w:r>
          </w:p>
          <w:p w14:paraId="62C5D571" w14:textId="1B17C2F8" w:rsidR="00C605D9"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Indigenous Territories</w:t>
            </w:r>
          </w:p>
          <w:p w14:paraId="686C05E3" w14:textId="77777777" w:rsidR="00C605D9" w:rsidRPr="002601BB" w:rsidRDefault="00C605D9" w:rsidP="00C605D9">
            <w:pPr>
              <w:pStyle w:val="NoSpacing"/>
              <w:rPr>
                <w:rFonts w:ascii="Times New Roman" w:hAnsi="Times New Roman" w:cs="Times New Roman"/>
                <w:sz w:val="18"/>
                <w:szCs w:val="18"/>
                <w:lang w:val="en-GB"/>
              </w:rPr>
            </w:pPr>
          </w:p>
          <w:p w14:paraId="5A9A350E" w14:textId="57A244F3" w:rsidR="00C605D9" w:rsidRPr="002601BB" w:rsidRDefault="00C605D9" w:rsidP="00C605D9">
            <w:pPr>
              <w:pStyle w:val="NoSpacing"/>
              <w:rPr>
                <w:rFonts w:ascii="Times New Roman" w:hAnsi="Times New Roman" w:cs="Times New Roman"/>
                <w:sz w:val="18"/>
                <w:szCs w:val="18"/>
                <w:lang w:val="en-GB"/>
              </w:rPr>
            </w:pPr>
            <w:r w:rsidRPr="002601BB">
              <w:rPr>
                <w:rFonts w:ascii="Times New Roman" w:hAnsi="Times New Roman" w:cs="Times New Roman"/>
                <w:sz w:val="18"/>
                <w:szCs w:val="18"/>
                <w:lang w:val="en-GB"/>
              </w:rPr>
              <w:t>Donors: GEF, GCF, Global Fund, Government of Costa Rica</w:t>
            </w:r>
          </w:p>
          <w:p w14:paraId="7A37A0FC" w14:textId="4FF43AB7" w:rsidR="00C605D9" w:rsidRPr="002601BB" w:rsidRDefault="00C605D9" w:rsidP="00C605D9">
            <w:pPr>
              <w:rPr>
                <w:i/>
                <w:iCs/>
                <w:sz w:val="18"/>
                <w:szCs w:val="18"/>
                <w:lang w:val="en-GB"/>
              </w:rPr>
            </w:pPr>
          </w:p>
        </w:tc>
        <w:tc>
          <w:tcPr>
            <w:tcW w:w="497" w:type="pct"/>
            <w:tcMar>
              <w:top w:w="15" w:type="dxa"/>
              <w:left w:w="108" w:type="dxa"/>
              <w:bottom w:w="0" w:type="dxa"/>
              <w:right w:w="108" w:type="dxa"/>
            </w:tcMar>
          </w:tcPr>
          <w:p w14:paraId="315513E3" w14:textId="77777777" w:rsidR="00C605D9" w:rsidRPr="002601BB" w:rsidRDefault="00C605D9" w:rsidP="00C605D9">
            <w:pPr>
              <w:rPr>
                <w:b/>
                <w:sz w:val="18"/>
                <w:szCs w:val="18"/>
                <w:lang w:val="en-GB"/>
              </w:rPr>
            </w:pPr>
            <w:r w:rsidRPr="002601BB">
              <w:rPr>
                <w:b/>
                <w:sz w:val="18"/>
                <w:szCs w:val="18"/>
                <w:lang w:val="en-GB"/>
              </w:rPr>
              <w:t>Regular</w:t>
            </w:r>
          </w:p>
          <w:p w14:paraId="4327D417" w14:textId="066EF168" w:rsidR="0048674A" w:rsidRPr="002601BB" w:rsidRDefault="0048674A" w:rsidP="00C605D9">
            <w:pPr>
              <w:rPr>
                <w:b/>
                <w:sz w:val="18"/>
                <w:szCs w:val="18"/>
                <w:lang w:val="en-GB"/>
              </w:rPr>
            </w:pPr>
            <w:r w:rsidRPr="002601BB">
              <w:rPr>
                <w:sz w:val="18"/>
                <w:szCs w:val="18"/>
                <w:lang w:val="en-GB" w:eastAsia="es-CR"/>
              </w:rPr>
              <w:t>$2</w:t>
            </w:r>
            <w:r w:rsidR="00710C3E" w:rsidRPr="002601BB">
              <w:rPr>
                <w:sz w:val="18"/>
                <w:szCs w:val="18"/>
                <w:lang w:val="en-GB" w:eastAsia="es-CR"/>
              </w:rPr>
              <w:t>87</w:t>
            </w:r>
            <w:r w:rsidR="00DE7032" w:rsidRPr="002601BB">
              <w:rPr>
                <w:sz w:val="18"/>
                <w:szCs w:val="18"/>
                <w:lang w:val="en-GB" w:eastAsia="es-CR"/>
              </w:rPr>
              <w:t>,</w:t>
            </w:r>
            <w:r w:rsidR="00710C3E" w:rsidRPr="002601BB">
              <w:rPr>
                <w:sz w:val="18"/>
                <w:szCs w:val="18"/>
                <w:lang w:val="en-GB" w:eastAsia="es-CR"/>
              </w:rPr>
              <w:t>1</w:t>
            </w:r>
            <w:r w:rsidRPr="002601BB">
              <w:rPr>
                <w:sz w:val="18"/>
                <w:szCs w:val="18"/>
                <w:lang w:val="en-GB" w:eastAsia="es-CR"/>
              </w:rPr>
              <w:t>00</w:t>
            </w:r>
          </w:p>
        </w:tc>
      </w:tr>
      <w:tr w:rsidR="00F119F7" w:rsidRPr="002601BB" w14:paraId="3B99B99A" w14:textId="77777777" w:rsidTr="00D854AD">
        <w:trPr>
          <w:trHeight w:val="461"/>
        </w:trPr>
        <w:tc>
          <w:tcPr>
            <w:tcW w:w="1097" w:type="pct"/>
            <w:vMerge/>
            <w:tcMar>
              <w:top w:w="72" w:type="dxa"/>
              <w:left w:w="144" w:type="dxa"/>
              <w:bottom w:w="72" w:type="dxa"/>
              <w:right w:w="144" w:type="dxa"/>
            </w:tcMar>
          </w:tcPr>
          <w:p w14:paraId="28146B38" w14:textId="77777777" w:rsidR="00F119F7" w:rsidRPr="002601BB" w:rsidRDefault="00F119F7" w:rsidP="00924B03">
            <w:pPr>
              <w:rPr>
                <w:i/>
                <w:iCs/>
                <w:sz w:val="18"/>
                <w:szCs w:val="18"/>
                <w:lang w:val="en-GB"/>
              </w:rPr>
            </w:pPr>
          </w:p>
        </w:tc>
        <w:tc>
          <w:tcPr>
            <w:tcW w:w="1178" w:type="pct"/>
            <w:vMerge/>
          </w:tcPr>
          <w:p w14:paraId="326207C1" w14:textId="77777777" w:rsidR="00F119F7" w:rsidRPr="002601BB" w:rsidRDefault="00F119F7" w:rsidP="00924B03">
            <w:pPr>
              <w:rPr>
                <w:i/>
                <w:iCs/>
                <w:sz w:val="18"/>
                <w:szCs w:val="18"/>
                <w:lang w:val="en-GB"/>
              </w:rPr>
            </w:pPr>
          </w:p>
        </w:tc>
        <w:tc>
          <w:tcPr>
            <w:tcW w:w="1092" w:type="pct"/>
            <w:vMerge/>
            <w:tcMar>
              <w:top w:w="72" w:type="dxa"/>
              <w:left w:w="144" w:type="dxa"/>
              <w:bottom w:w="72" w:type="dxa"/>
              <w:right w:w="144" w:type="dxa"/>
            </w:tcMar>
          </w:tcPr>
          <w:p w14:paraId="75D04ABB" w14:textId="77777777" w:rsidR="00F119F7" w:rsidRPr="002601BB" w:rsidRDefault="00F119F7" w:rsidP="00924B03">
            <w:pPr>
              <w:rPr>
                <w:i/>
                <w:iCs/>
                <w:sz w:val="18"/>
                <w:szCs w:val="18"/>
                <w:lang w:val="en-GB"/>
              </w:rPr>
            </w:pPr>
          </w:p>
        </w:tc>
        <w:tc>
          <w:tcPr>
            <w:tcW w:w="1136" w:type="pct"/>
            <w:vMerge/>
          </w:tcPr>
          <w:p w14:paraId="52CFDD0C" w14:textId="77777777" w:rsidR="00F119F7" w:rsidRPr="002601BB" w:rsidRDefault="00F119F7" w:rsidP="00924B03">
            <w:pPr>
              <w:rPr>
                <w:i/>
                <w:iCs/>
                <w:sz w:val="18"/>
                <w:szCs w:val="18"/>
                <w:lang w:val="en-GB"/>
              </w:rPr>
            </w:pPr>
          </w:p>
        </w:tc>
        <w:tc>
          <w:tcPr>
            <w:tcW w:w="497" w:type="pct"/>
            <w:tcMar>
              <w:top w:w="15" w:type="dxa"/>
              <w:left w:w="108" w:type="dxa"/>
              <w:bottom w:w="0" w:type="dxa"/>
              <w:right w:w="108" w:type="dxa"/>
            </w:tcMar>
          </w:tcPr>
          <w:p w14:paraId="0C9E9A7F" w14:textId="65033081" w:rsidR="00572BA8" w:rsidRPr="002601BB" w:rsidRDefault="00572BA8" w:rsidP="00924B03">
            <w:pPr>
              <w:rPr>
                <w:b/>
                <w:sz w:val="18"/>
                <w:szCs w:val="18"/>
                <w:lang w:val="en-GB"/>
              </w:rPr>
            </w:pPr>
          </w:p>
        </w:tc>
      </w:tr>
    </w:tbl>
    <w:p w14:paraId="17FA2E20" w14:textId="1962D22B" w:rsidR="00B8310D" w:rsidRPr="002601BB" w:rsidRDefault="0074417D" w:rsidP="0074417D">
      <w:pPr>
        <w:jc w:val="center"/>
        <w:rPr>
          <w:lang w:val="en-GB"/>
        </w:rPr>
      </w:pPr>
      <w:r w:rsidRPr="002601BB">
        <w:rPr>
          <w:noProof/>
          <w:lang w:val="en-GB"/>
        </w:rPr>
        <w:lastRenderedPageBreak/>
        <w:drawing>
          <wp:inline distT="0" distB="0" distL="0" distR="0" wp14:anchorId="20E7C8A5" wp14:editId="02FF5B6B">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2601BB" w:rsidSect="009406D6">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2AD3" w14:textId="77777777" w:rsidR="00C46E5D" w:rsidRDefault="00C46E5D" w:rsidP="00441061">
      <w:r>
        <w:separator/>
      </w:r>
    </w:p>
  </w:endnote>
  <w:endnote w:type="continuationSeparator" w:id="0">
    <w:p w14:paraId="1BBABAC6" w14:textId="77777777" w:rsidR="00C46E5D" w:rsidRDefault="00C46E5D" w:rsidP="00441061">
      <w:r>
        <w:continuationSeparator/>
      </w:r>
    </w:p>
  </w:endnote>
  <w:endnote w:type="continuationNotice" w:id="1">
    <w:p w14:paraId="2AFECF27" w14:textId="77777777" w:rsidR="00C46E5D" w:rsidRDefault="00C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2E786A" w:rsidRPr="005841A3" w:rsidRDefault="002E786A" w:rsidP="00E435E3">
    <w:pPr>
      <w:pStyle w:val="Footer"/>
      <w:ind w:firstLine="117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68961064" w:rsidR="002E786A" w:rsidRPr="00E435E3" w:rsidRDefault="002E786A" w:rsidP="00E00A1B">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F85" w14:textId="77777777" w:rsidR="002E786A" w:rsidRPr="005841A3" w:rsidRDefault="002E786A" w:rsidP="007409AC">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92C" w14:textId="77777777" w:rsidR="002E786A" w:rsidRPr="00E435E3" w:rsidRDefault="002E786A" w:rsidP="007409AC">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6D5E" w14:textId="77777777" w:rsidR="00C46E5D" w:rsidRDefault="00C46E5D" w:rsidP="00441061">
      <w:r>
        <w:separator/>
      </w:r>
    </w:p>
  </w:footnote>
  <w:footnote w:type="continuationSeparator" w:id="0">
    <w:p w14:paraId="5868B39E" w14:textId="77777777" w:rsidR="00C46E5D" w:rsidRDefault="00C46E5D" w:rsidP="00441061">
      <w:r>
        <w:continuationSeparator/>
      </w:r>
    </w:p>
  </w:footnote>
  <w:footnote w:type="continuationNotice" w:id="1">
    <w:p w14:paraId="2886B766" w14:textId="77777777" w:rsidR="00C46E5D" w:rsidRDefault="00C46E5D"/>
  </w:footnote>
  <w:footnote w:id="2">
    <w:p w14:paraId="69EEDE14" w14:textId="10A60D02" w:rsidR="002E786A" w:rsidRPr="00DF58ED" w:rsidRDefault="002E786A">
      <w:pPr>
        <w:pStyle w:val="FootnoteText"/>
        <w:rPr>
          <w:rFonts w:asciiTheme="majorBidi" w:hAnsiTheme="majorBidi" w:cstheme="majorBidi"/>
          <w:sz w:val="16"/>
          <w:szCs w:val="16"/>
        </w:rPr>
      </w:pPr>
      <w:r w:rsidRPr="00DF58ED">
        <w:rPr>
          <w:rStyle w:val="FootnoteReference"/>
          <w:rFonts w:asciiTheme="majorBidi" w:hAnsiTheme="majorBidi" w:cstheme="majorBidi"/>
          <w:sz w:val="16"/>
          <w:szCs w:val="16"/>
        </w:rPr>
        <w:footnoteRef/>
      </w:r>
      <w:r w:rsidRPr="00DF58ED">
        <w:rPr>
          <w:rFonts w:asciiTheme="majorBidi" w:hAnsiTheme="majorBidi" w:cstheme="majorBidi"/>
          <w:sz w:val="16"/>
          <w:szCs w:val="16"/>
        </w:rPr>
        <w:t xml:space="preserve"> </w:t>
      </w:r>
      <w:r>
        <w:rPr>
          <w:rFonts w:asciiTheme="majorBidi" w:hAnsiTheme="majorBidi" w:cstheme="majorBidi"/>
          <w:sz w:val="16"/>
          <w:szCs w:val="16"/>
        </w:rPr>
        <w:t xml:space="preserve">UNDP, </w:t>
      </w:r>
      <w:r w:rsidRPr="00DF58ED">
        <w:rPr>
          <w:rFonts w:asciiTheme="majorBidi" w:hAnsiTheme="majorBidi" w:cstheme="majorBidi"/>
          <w:i/>
          <w:iCs/>
          <w:sz w:val="16"/>
          <w:szCs w:val="16"/>
        </w:rPr>
        <w:t>Human Development Report 2021</w:t>
      </w:r>
      <w:r>
        <w:rPr>
          <w:rFonts w:asciiTheme="majorBidi" w:hAnsiTheme="majorBidi" w:cstheme="majorBidi"/>
          <w:sz w:val="16"/>
          <w:szCs w:val="16"/>
        </w:rPr>
        <w:t>.</w:t>
      </w:r>
    </w:p>
  </w:footnote>
  <w:footnote w:id="3">
    <w:p w14:paraId="23958661" w14:textId="63E91FCD" w:rsidR="002E786A" w:rsidRPr="00805CDC" w:rsidRDefault="002E786A">
      <w:pPr>
        <w:pStyle w:val="FootnoteText"/>
        <w:rPr>
          <w:rFonts w:asciiTheme="majorBidi" w:hAnsiTheme="majorBidi" w:cstheme="majorBidi"/>
          <w:sz w:val="16"/>
          <w:szCs w:val="16"/>
        </w:rPr>
      </w:pPr>
      <w:r w:rsidRPr="00DF58ED">
        <w:rPr>
          <w:rStyle w:val="FootnoteReference"/>
          <w:rFonts w:asciiTheme="majorBidi" w:hAnsiTheme="majorBidi" w:cstheme="majorBidi"/>
          <w:sz w:val="16"/>
          <w:szCs w:val="16"/>
        </w:rPr>
        <w:footnoteRef/>
      </w:r>
      <w:r w:rsidRPr="00DF58ED">
        <w:rPr>
          <w:rFonts w:asciiTheme="majorBidi" w:hAnsiTheme="majorBidi" w:cstheme="majorBidi"/>
          <w:sz w:val="16"/>
          <w:szCs w:val="16"/>
        </w:rPr>
        <w:t xml:space="preserve"> </w:t>
      </w:r>
      <w:r>
        <w:rPr>
          <w:rFonts w:asciiTheme="majorBidi" w:hAnsiTheme="majorBidi" w:cstheme="majorBidi"/>
          <w:sz w:val="16"/>
          <w:szCs w:val="16"/>
          <w:lang w:val="en-GB"/>
        </w:rPr>
        <w:t>G</w:t>
      </w:r>
      <w:r w:rsidRPr="00DF58ED">
        <w:rPr>
          <w:rFonts w:asciiTheme="majorBidi" w:hAnsiTheme="majorBidi" w:cstheme="majorBidi"/>
          <w:sz w:val="16"/>
          <w:szCs w:val="16"/>
          <w:lang w:val="en-GB"/>
        </w:rPr>
        <w:t>lobal multidimensional poverty index 2021</w:t>
      </w:r>
      <w:r>
        <w:rPr>
          <w:rFonts w:asciiTheme="majorBidi" w:hAnsiTheme="majorBidi" w:cstheme="majorBid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2E786A" w:rsidRPr="00657A41" w14:paraId="6AAA5108" w14:textId="77777777" w:rsidTr="00B0447C">
      <w:trPr>
        <w:trHeight w:hRule="exact" w:val="864"/>
      </w:trPr>
      <w:tc>
        <w:tcPr>
          <w:tcW w:w="4128" w:type="dxa"/>
          <w:shd w:val="clear" w:color="auto" w:fill="auto"/>
          <w:vAlign w:val="bottom"/>
        </w:tcPr>
        <w:p w14:paraId="64512E02" w14:textId="0D50742E" w:rsidR="002E786A" w:rsidRPr="00657A41" w:rsidRDefault="002E786A" w:rsidP="00C1565C">
          <w:pPr>
            <w:tabs>
              <w:tab w:val="center" w:pos="4320"/>
              <w:tab w:val="right" w:pos="8640"/>
            </w:tabs>
            <w:spacing w:after="80"/>
            <w:rPr>
              <w:b/>
              <w:noProof/>
              <w:sz w:val="17"/>
            </w:rPr>
          </w:pPr>
          <w:bookmarkStart w:id="3" w:name="_Hlk72161445"/>
          <w:r w:rsidRPr="00657A41">
            <w:rPr>
              <w:b/>
              <w:noProof/>
              <w:sz w:val="17"/>
            </w:rPr>
            <w:t>DP/DCP/</w:t>
          </w:r>
          <w:r>
            <w:rPr>
              <w:b/>
              <w:noProof/>
              <w:sz w:val="17"/>
            </w:rPr>
            <w:t>CRI</w:t>
          </w:r>
          <w:r w:rsidRPr="00657A41">
            <w:rPr>
              <w:b/>
              <w:noProof/>
              <w:sz w:val="17"/>
            </w:rPr>
            <w:t>/</w:t>
          </w:r>
          <w:r>
            <w:rPr>
              <w:b/>
              <w:noProof/>
              <w:sz w:val="17"/>
            </w:rPr>
            <w:t>4</w:t>
          </w:r>
        </w:p>
      </w:tc>
      <w:tc>
        <w:tcPr>
          <w:tcW w:w="4692" w:type="dxa"/>
          <w:shd w:val="clear" w:color="auto" w:fill="auto"/>
          <w:vAlign w:val="bottom"/>
        </w:tcPr>
        <w:p w14:paraId="195EF359" w14:textId="77777777" w:rsidR="002E786A" w:rsidRPr="00657A41" w:rsidRDefault="002E786A" w:rsidP="00C1565C">
          <w:pPr>
            <w:tabs>
              <w:tab w:val="center" w:pos="4320"/>
              <w:tab w:val="right" w:pos="8640"/>
            </w:tabs>
            <w:jc w:val="right"/>
            <w:rPr>
              <w:b/>
              <w:noProof/>
              <w:sz w:val="17"/>
            </w:rPr>
          </w:pPr>
        </w:p>
      </w:tc>
    </w:tr>
    <w:bookmarkEnd w:id="3"/>
  </w:tbl>
  <w:p w14:paraId="58D85289" w14:textId="77777777" w:rsidR="002E786A" w:rsidRPr="00C1565C" w:rsidRDefault="002E786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2E786A" w:rsidRPr="00657A41" w14:paraId="3D5E955E" w14:textId="77777777" w:rsidTr="0049759C">
      <w:trPr>
        <w:trHeight w:hRule="exact" w:val="864"/>
      </w:trPr>
      <w:tc>
        <w:tcPr>
          <w:tcW w:w="3948" w:type="dxa"/>
          <w:shd w:val="clear" w:color="auto" w:fill="auto"/>
          <w:vAlign w:val="bottom"/>
        </w:tcPr>
        <w:p w14:paraId="672508E3" w14:textId="77777777" w:rsidR="002E786A" w:rsidRPr="00657A41" w:rsidRDefault="002E786A" w:rsidP="0049759C">
          <w:pPr>
            <w:tabs>
              <w:tab w:val="center" w:pos="4320"/>
              <w:tab w:val="right" w:pos="8640"/>
            </w:tabs>
            <w:spacing w:after="80"/>
            <w:rPr>
              <w:b/>
              <w:noProof/>
              <w:sz w:val="17"/>
            </w:rPr>
          </w:pPr>
        </w:p>
      </w:tc>
      <w:tc>
        <w:tcPr>
          <w:tcW w:w="4422" w:type="dxa"/>
          <w:shd w:val="clear" w:color="auto" w:fill="auto"/>
          <w:vAlign w:val="bottom"/>
        </w:tcPr>
        <w:p w14:paraId="12D2D5BE" w14:textId="7C92F266" w:rsidR="002E786A" w:rsidRPr="00657A41" w:rsidRDefault="002E786A" w:rsidP="0049759C">
          <w:pPr>
            <w:tabs>
              <w:tab w:val="center" w:pos="4320"/>
              <w:tab w:val="right" w:pos="8640"/>
            </w:tabs>
            <w:jc w:val="right"/>
            <w:rPr>
              <w:b/>
              <w:noProof/>
              <w:sz w:val="17"/>
            </w:rPr>
          </w:pPr>
          <w:r w:rsidRPr="00657A41">
            <w:rPr>
              <w:b/>
              <w:noProof/>
              <w:sz w:val="17"/>
            </w:rPr>
            <w:t>DP/DCP/</w:t>
          </w:r>
          <w:r>
            <w:rPr>
              <w:b/>
              <w:noProof/>
              <w:sz w:val="17"/>
            </w:rPr>
            <w:t>CRI</w:t>
          </w:r>
          <w:r w:rsidRPr="00657A41">
            <w:rPr>
              <w:b/>
              <w:noProof/>
              <w:sz w:val="17"/>
            </w:rPr>
            <w:t>/</w:t>
          </w:r>
          <w:r>
            <w:rPr>
              <w:b/>
              <w:noProof/>
              <w:sz w:val="17"/>
            </w:rPr>
            <w:t>4</w:t>
          </w:r>
        </w:p>
      </w:tc>
    </w:tr>
  </w:tbl>
  <w:p w14:paraId="7BA2E3E6" w14:textId="77777777" w:rsidR="002E786A" w:rsidRPr="0049759C" w:rsidRDefault="002E786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2E786A" w14:paraId="2440D55B" w14:textId="77777777">
      <w:trPr>
        <w:trHeight w:hRule="exact" w:val="864"/>
      </w:trPr>
      <w:tc>
        <w:tcPr>
          <w:tcW w:w="1267" w:type="dxa"/>
          <w:tcBorders>
            <w:top w:val="nil"/>
            <w:left w:val="nil"/>
            <w:bottom w:val="nil"/>
            <w:right w:val="nil"/>
          </w:tcBorders>
          <w:vAlign w:val="bottom"/>
        </w:tcPr>
        <w:p w14:paraId="2440D557" w14:textId="77777777" w:rsidR="002E786A" w:rsidRPr="007C6F85" w:rsidRDefault="002E786A">
          <w:pPr>
            <w:pStyle w:val="Header"/>
            <w:spacing w:after="120"/>
            <w:rPr>
              <w:lang w:val="en-US" w:eastAsia="en-US"/>
            </w:rPr>
          </w:pPr>
        </w:p>
      </w:tc>
      <w:tc>
        <w:tcPr>
          <w:tcW w:w="1872" w:type="dxa"/>
          <w:tcBorders>
            <w:top w:val="nil"/>
            <w:left w:val="nil"/>
            <w:bottom w:val="nil"/>
            <w:right w:val="nil"/>
          </w:tcBorders>
          <w:vAlign w:val="bottom"/>
        </w:tcPr>
        <w:p w14:paraId="2440D558" w14:textId="77777777" w:rsidR="002E786A" w:rsidRDefault="002E786A">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2E786A" w:rsidRPr="007C6F85" w:rsidRDefault="002E786A">
          <w:pPr>
            <w:pStyle w:val="Header"/>
            <w:spacing w:after="120"/>
            <w:rPr>
              <w:lang w:val="en-US" w:eastAsia="en-US"/>
            </w:rPr>
          </w:pPr>
        </w:p>
      </w:tc>
      <w:tc>
        <w:tcPr>
          <w:tcW w:w="6876" w:type="dxa"/>
          <w:gridSpan w:val="3"/>
          <w:tcBorders>
            <w:top w:val="nil"/>
            <w:left w:val="nil"/>
            <w:bottom w:val="nil"/>
            <w:right w:val="nil"/>
          </w:tcBorders>
          <w:vAlign w:val="bottom"/>
        </w:tcPr>
        <w:p w14:paraId="2440D55A" w14:textId="5225F03D" w:rsidR="002E786A" w:rsidRDefault="002E786A" w:rsidP="00441061">
          <w:pPr>
            <w:spacing w:after="80"/>
            <w:jc w:val="center"/>
            <w:rPr>
              <w:position w:val="-4"/>
            </w:rPr>
          </w:pPr>
          <w:r>
            <w:rPr>
              <w:position w:val="-4"/>
              <w:sz w:val="40"/>
            </w:rPr>
            <w:t xml:space="preserve">                         DP</w:t>
          </w:r>
          <w:r>
            <w:rPr>
              <w:position w:val="-4"/>
            </w:rPr>
            <w:t>/DCP/CRI/4</w:t>
          </w:r>
        </w:p>
      </w:tc>
    </w:tr>
    <w:tr w:rsidR="002E786A" w14:paraId="2440D564" w14:textId="77777777" w:rsidTr="00DF58ED">
      <w:trPr>
        <w:trHeight w:hRule="exact" w:val="2588"/>
      </w:trPr>
      <w:tc>
        <w:tcPr>
          <w:tcW w:w="1267" w:type="dxa"/>
          <w:tcBorders>
            <w:top w:val="single" w:sz="4" w:space="0" w:color="auto"/>
            <w:left w:val="nil"/>
            <w:bottom w:val="single" w:sz="12" w:space="0" w:color="auto"/>
            <w:right w:val="nil"/>
          </w:tcBorders>
        </w:tcPr>
        <w:p w14:paraId="2440D55C" w14:textId="77777777" w:rsidR="002E786A" w:rsidRPr="007C6F85" w:rsidRDefault="002E786A">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2E786A" w:rsidRPr="007C6F85" w:rsidRDefault="002E786A">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2229B010" w:rsidR="002E786A" w:rsidRDefault="002E786A" w:rsidP="00DF58ED">
          <w:pPr>
            <w:pStyle w:val="XLarge"/>
            <w:spacing w:line="240" w:lineRule="auto"/>
            <w:rPr>
              <w:sz w:val="34"/>
            </w:rPr>
          </w:pPr>
          <w:r w:rsidRPr="00F3381B">
            <w:rPr>
              <w:sz w:val="34"/>
            </w:rPr>
            <w:t>Executive Board of the</w:t>
          </w:r>
          <w:r w:rsidRPr="00F3381B">
            <w:rPr>
              <w:sz w:val="34"/>
            </w:rPr>
            <w:br/>
            <w:t>United Nations Development</w:t>
          </w:r>
          <w:r w:rsidRPr="00F3381B">
            <w:rPr>
              <w:sz w:val="34"/>
            </w:rPr>
            <w:br/>
            <w:t>Programme, the United Nations</w:t>
          </w:r>
          <w:r>
            <w:rPr>
              <w:sz w:val="34"/>
            </w:rPr>
            <w:t xml:space="preserve"> </w:t>
          </w:r>
          <w:r w:rsidRPr="00F3381B">
            <w:rPr>
              <w:sz w:val="34"/>
            </w:rPr>
            <w:t>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2E786A" w:rsidRPr="007C6F85" w:rsidRDefault="002E786A">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2E786A" w:rsidRDefault="002E786A">
          <w:pPr>
            <w:spacing w:before="240"/>
          </w:pPr>
          <w:r>
            <w:t>Distr.: General</w:t>
          </w:r>
        </w:p>
        <w:p w14:paraId="2440D561" w14:textId="518F14F4" w:rsidR="002E786A" w:rsidRDefault="0083785B" w:rsidP="00441061">
          <w:r>
            <w:t>7 November</w:t>
          </w:r>
          <w:r w:rsidR="002E786A">
            <w:t xml:space="preserve"> 2022</w:t>
          </w:r>
        </w:p>
        <w:p w14:paraId="2440D562" w14:textId="77777777" w:rsidR="002E786A" w:rsidRDefault="002E786A"/>
        <w:p w14:paraId="2440D563" w14:textId="4C89E14F" w:rsidR="002E786A" w:rsidRDefault="002E786A">
          <w:r>
            <w:t>Original: English</w:t>
          </w:r>
        </w:p>
      </w:tc>
    </w:tr>
  </w:tbl>
  <w:p w14:paraId="2440D565" w14:textId="77777777" w:rsidR="002E786A" w:rsidRDefault="002E786A">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2E786A" w:rsidRDefault="002E786A">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287F8D87">
              <wp:simplePos x="0" y="0"/>
              <wp:positionH relativeFrom="column">
                <wp:posOffset>8255</wp:posOffset>
              </wp:positionH>
              <wp:positionV relativeFrom="paragraph">
                <wp:posOffset>-302895</wp:posOffset>
              </wp:positionV>
              <wp:extent cx="82581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E786A" w:rsidRPr="005841A3" w14:paraId="2440D571" w14:textId="77777777">
                            <w:trPr>
                              <w:trHeight w:hRule="exact" w:val="864"/>
                            </w:trPr>
                            <w:tc>
                              <w:tcPr>
                                <w:tcW w:w="4838" w:type="dxa"/>
                                <w:tcBorders>
                                  <w:bottom w:val="single" w:sz="4" w:space="0" w:color="auto"/>
                                </w:tcBorders>
                                <w:vAlign w:val="bottom"/>
                              </w:tcPr>
                              <w:p w14:paraId="2440D56F" w14:textId="490B7F16" w:rsidR="002E786A" w:rsidRPr="007C6F85" w:rsidRDefault="002E786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/CRI/4</w:t>
                                </w:r>
                              </w:p>
                            </w:tc>
                            <w:tc>
                              <w:tcPr>
                                <w:tcW w:w="8276" w:type="dxa"/>
                                <w:tcBorders>
                                  <w:bottom w:val="single" w:sz="4" w:space="0" w:color="auto"/>
                                </w:tcBorders>
                                <w:vAlign w:val="bottom"/>
                              </w:tcPr>
                              <w:p w14:paraId="2440D570" w14:textId="77777777" w:rsidR="002E786A" w:rsidRPr="007C6F85" w:rsidRDefault="002E786A">
                                <w:pPr>
                                  <w:pStyle w:val="Header"/>
                                  <w:rPr>
                                    <w:rFonts w:ascii="Times New Roman" w:hAnsi="Times New Roman"/>
                                    <w:sz w:val="17"/>
                                    <w:szCs w:val="17"/>
                                    <w:lang w:val="en-US" w:eastAsia="en-US"/>
                                  </w:rPr>
                                </w:pPr>
                              </w:p>
                            </w:tc>
                          </w:tr>
                        </w:tbl>
                        <w:p w14:paraId="2440D572" w14:textId="77777777" w:rsidR="002E786A" w:rsidRDefault="002E786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65pt;margin-top:-23.85pt;width:650.2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E786A" w:rsidRPr="005841A3" w14:paraId="2440D571" w14:textId="77777777">
                      <w:trPr>
                        <w:trHeight w:hRule="exact" w:val="864"/>
                      </w:trPr>
                      <w:tc>
                        <w:tcPr>
                          <w:tcW w:w="4838" w:type="dxa"/>
                          <w:tcBorders>
                            <w:bottom w:val="single" w:sz="4" w:space="0" w:color="auto"/>
                          </w:tcBorders>
                          <w:vAlign w:val="bottom"/>
                        </w:tcPr>
                        <w:p w14:paraId="2440D56F" w14:textId="490B7F16" w:rsidR="002E786A" w:rsidRPr="007C6F85" w:rsidRDefault="002E786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/CRI/4</w:t>
                          </w:r>
                        </w:p>
                      </w:tc>
                      <w:tc>
                        <w:tcPr>
                          <w:tcW w:w="8276" w:type="dxa"/>
                          <w:tcBorders>
                            <w:bottom w:val="single" w:sz="4" w:space="0" w:color="auto"/>
                          </w:tcBorders>
                          <w:vAlign w:val="bottom"/>
                        </w:tcPr>
                        <w:p w14:paraId="2440D570" w14:textId="77777777" w:rsidR="002E786A" w:rsidRPr="007C6F85" w:rsidRDefault="002E786A">
                          <w:pPr>
                            <w:pStyle w:val="Header"/>
                            <w:rPr>
                              <w:rFonts w:ascii="Times New Roman" w:hAnsi="Times New Roman"/>
                              <w:sz w:val="17"/>
                              <w:szCs w:val="17"/>
                              <w:lang w:val="en-US" w:eastAsia="en-US"/>
                            </w:rPr>
                          </w:pPr>
                        </w:p>
                      </w:tc>
                    </w:tr>
                  </w:tbl>
                  <w:p w14:paraId="2440D572" w14:textId="77777777" w:rsidR="002E786A" w:rsidRDefault="002E786A"/>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2E786A" w:rsidRPr="00657A41" w14:paraId="03ADD27E" w14:textId="77777777" w:rsidTr="007409AC">
      <w:trPr>
        <w:trHeight w:hRule="exact" w:val="864"/>
      </w:trPr>
      <w:tc>
        <w:tcPr>
          <w:tcW w:w="4668" w:type="dxa"/>
          <w:shd w:val="clear" w:color="auto" w:fill="auto"/>
          <w:vAlign w:val="bottom"/>
        </w:tcPr>
        <w:p w14:paraId="408921A2" w14:textId="77777777" w:rsidR="002E786A" w:rsidRPr="00657A41" w:rsidRDefault="002E786A" w:rsidP="0049759C">
          <w:pPr>
            <w:tabs>
              <w:tab w:val="center" w:pos="4320"/>
              <w:tab w:val="right" w:pos="8640"/>
            </w:tabs>
            <w:spacing w:after="80"/>
            <w:rPr>
              <w:b/>
              <w:noProof/>
              <w:sz w:val="17"/>
            </w:rPr>
          </w:pPr>
        </w:p>
      </w:tc>
      <w:tc>
        <w:tcPr>
          <w:tcW w:w="8382" w:type="dxa"/>
          <w:shd w:val="clear" w:color="auto" w:fill="auto"/>
          <w:vAlign w:val="bottom"/>
        </w:tcPr>
        <w:p w14:paraId="67DC2615" w14:textId="77777777" w:rsidR="002E786A" w:rsidRPr="00657A41" w:rsidRDefault="002E786A" w:rsidP="0049759C">
          <w:pPr>
            <w:tabs>
              <w:tab w:val="center" w:pos="4320"/>
              <w:tab w:val="right" w:pos="8640"/>
            </w:tabs>
            <w:jc w:val="right"/>
            <w:rPr>
              <w:b/>
              <w:noProof/>
              <w:sz w:val="17"/>
            </w:rPr>
          </w:pPr>
          <w:r w:rsidRPr="00657A41">
            <w:rPr>
              <w:b/>
              <w:noProof/>
              <w:sz w:val="17"/>
            </w:rPr>
            <w:t>DP/DCP/</w:t>
          </w:r>
          <w:r>
            <w:rPr>
              <w:b/>
              <w:noProof/>
              <w:sz w:val="17"/>
            </w:rPr>
            <w:t>CRI</w:t>
          </w:r>
          <w:r w:rsidRPr="00657A41">
            <w:rPr>
              <w:b/>
              <w:noProof/>
              <w:sz w:val="17"/>
            </w:rPr>
            <w:t>/</w:t>
          </w:r>
          <w:r>
            <w:rPr>
              <w:b/>
              <w:noProof/>
              <w:sz w:val="17"/>
            </w:rPr>
            <w:t>4</w:t>
          </w:r>
        </w:p>
      </w:tc>
    </w:tr>
  </w:tbl>
  <w:p w14:paraId="3E70DD9A" w14:textId="77777777" w:rsidR="002E786A" w:rsidRPr="0049759C" w:rsidRDefault="002E786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27E"/>
    <w:multiLevelType w:val="hybridMultilevel"/>
    <w:tmpl w:val="30E8869E"/>
    <w:lvl w:ilvl="0" w:tplc="EBF248B8">
      <w:start w:val="1"/>
      <w:numFmt w:val="decimal"/>
      <w:lvlText w:val="%1."/>
      <w:lvlJc w:val="left"/>
      <w:pPr>
        <w:ind w:left="207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E1A3D7A"/>
    <w:multiLevelType w:val="hybridMultilevel"/>
    <w:tmpl w:val="C87E25F2"/>
    <w:lvl w:ilvl="0" w:tplc="3702AFA8">
      <w:start w:val="1"/>
      <w:numFmt w:val="upperRoman"/>
      <w:lvlText w:val="%1."/>
      <w:lvlJc w:val="left"/>
      <w:pPr>
        <w:ind w:left="1620" w:hanging="720"/>
      </w:pPr>
      <w:rPr>
        <w:rFonts w:hint="default"/>
        <w:color w:val="000000" w:themeColor="text1"/>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DU2NTEzMDUzNDBS0lEKTi0uzszPAykwNK8FAC8BgfktAAAA"/>
  </w:docVars>
  <w:rsids>
    <w:rsidRoot w:val="00D9153B"/>
    <w:rsid w:val="000008ED"/>
    <w:rsid w:val="000010B4"/>
    <w:rsid w:val="000010B5"/>
    <w:rsid w:val="000027D2"/>
    <w:rsid w:val="0000312F"/>
    <w:rsid w:val="00003E8B"/>
    <w:rsid w:val="00004B5F"/>
    <w:rsid w:val="00005E26"/>
    <w:rsid w:val="000069DD"/>
    <w:rsid w:val="00006E59"/>
    <w:rsid w:val="00010816"/>
    <w:rsid w:val="000116E4"/>
    <w:rsid w:val="00012372"/>
    <w:rsid w:val="00012C52"/>
    <w:rsid w:val="0001309E"/>
    <w:rsid w:val="00013AF7"/>
    <w:rsid w:val="00013DBE"/>
    <w:rsid w:val="00014BBA"/>
    <w:rsid w:val="000153EB"/>
    <w:rsid w:val="00015FDE"/>
    <w:rsid w:val="00016217"/>
    <w:rsid w:val="00016861"/>
    <w:rsid w:val="00016905"/>
    <w:rsid w:val="00017484"/>
    <w:rsid w:val="00017D05"/>
    <w:rsid w:val="00017F6B"/>
    <w:rsid w:val="000200CF"/>
    <w:rsid w:val="000205F1"/>
    <w:rsid w:val="00021C86"/>
    <w:rsid w:val="00021E7C"/>
    <w:rsid w:val="00022047"/>
    <w:rsid w:val="00023AEE"/>
    <w:rsid w:val="0002557F"/>
    <w:rsid w:val="00025F87"/>
    <w:rsid w:val="000274B9"/>
    <w:rsid w:val="0002758B"/>
    <w:rsid w:val="000276A0"/>
    <w:rsid w:val="00027F48"/>
    <w:rsid w:val="000300AA"/>
    <w:rsid w:val="0003172F"/>
    <w:rsid w:val="00031CA3"/>
    <w:rsid w:val="0003257C"/>
    <w:rsid w:val="000330DB"/>
    <w:rsid w:val="0003429F"/>
    <w:rsid w:val="0003546A"/>
    <w:rsid w:val="0003562A"/>
    <w:rsid w:val="00036095"/>
    <w:rsid w:val="000367E0"/>
    <w:rsid w:val="00036AF4"/>
    <w:rsid w:val="00037AEB"/>
    <w:rsid w:val="00040086"/>
    <w:rsid w:val="00041C10"/>
    <w:rsid w:val="00042048"/>
    <w:rsid w:val="00043772"/>
    <w:rsid w:val="00043804"/>
    <w:rsid w:val="000441A1"/>
    <w:rsid w:val="00044A7C"/>
    <w:rsid w:val="00044A9C"/>
    <w:rsid w:val="000465FF"/>
    <w:rsid w:val="00046EE2"/>
    <w:rsid w:val="0004750F"/>
    <w:rsid w:val="00050869"/>
    <w:rsid w:val="00050B63"/>
    <w:rsid w:val="00051124"/>
    <w:rsid w:val="000516EF"/>
    <w:rsid w:val="00051C02"/>
    <w:rsid w:val="00051E3C"/>
    <w:rsid w:val="00053E99"/>
    <w:rsid w:val="00054680"/>
    <w:rsid w:val="00054DEC"/>
    <w:rsid w:val="00055596"/>
    <w:rsid w:val="00056014"/>
    <w:rsid w:val="000561C1"/>
    <w:rsid w:val="00056204"/>
    <w:rsid w:val="0005624B"/>
    <w:rsid w:val="000562F3"/>
    <w:rsid w:val="000570D1"/>
    <w:rsid w:val="000571A9"/>
    <w:rsid w:val="00060236"/>
    <w:rsid w:val="00060290"/>
    <w:rsid w:val="00061095"/>
    <w:rsid w:val="000610D0"/>
    <w:rsid w:val="000611AB"/>
    <w:rsid w:val="00061DF4"/>
    <w:rsid w:val="00063E24"/>
    <w:rsid w:val="00064232"/>
    <w:rsid w:val="00064FA1"/>
    <w:rsid w:val="00065700"/>
    <w:rsid w:val="00065EC9"/>
    <w:rsid w:val="00070754"/>
    <w:rsid w:val="000708AF"/>
    <w:rsid w:val="00070DE2"/>
    <w:rsid w:val="00071D4C"/>
    <w:rsid w:val="00072229"/>
    <w:rsid w:val="000728F8"/>
    <w:rsid w:val="00072B3C"/>
    <w:rsid w:val="000731B8"/>
    <w:rsid w:val="00073CF1"/>
    <w:rsid w:val="00074BD0"/>
    <w:rsid w:val="00074CB3"/>
    <w:rsid w:val="00074D49"/>
    <w:rsid w:val="00074D9A"/>
    <w:rsid w:val="00074DB9"/>
    <w:rsid w:val="000753C4"/>
    <w:rsid w:val="00075DF0"/>
    <w:rsid w:val="000762CA"/>
    <w:rsid w:val="0007692A"/>
    <w:rsid w:val="00076CA2"/>
    <w:rsid w:val="00080373"/>
    <w:rsid w:val="000803A4"/>
    <w:rsid w:val="000806E3"/>
    <w:rsid w:val="00080F7F"/>
    <w:rsid w:val="0008148F"/>
    <w:rsid w:val="000830CB"/>
    <w:rsid w:val="0008339E"/>
    <w:rsid w:val="00083EB6"/>
    <w:rsid w:val="00085EE1"/>
    <w:rsid w:val="00086F52"/>
    <w:rsid w:val="000872A9"/>
    <w:rsid w:val="00090AD1"/>
    <w:rsid w:val="00090BA0"/>
    <w:rsid w:val="00090F4F"/>
    <w:rsid w:val="000910E6"/>
    <w:rsid w:val="00091476"/>
    <w:rsid w:val="00091984"/>
    <w:rsid w:val="00092429"/>
    <w:rsid w:val="00092879"/>
    <w:rsid w:val="00092AF9"/>
    <w:rsid w:val="0009336F"/>
    <w:rsid w:val="00093FD7"/>
    <w:rsid w:val="00094805"/>
    <w:rsid w:val="00094E87"/>
    <w:rsid w:val="00095384"/>
    <w:rsid w:val="00095671"/>
    <w:rsid w:val="0009732B"/>
    <w:rsid w:val="00097D1A"/>
    <w:rsid w:val="00097D96"/>
    <w:rsid w:val="00097FB2"/>
    <w:rsid w:val="000A01A9"/>
    <w:rsid w:val="000A151D"/>
    <w:rsid w:val="000A24C5"/>
    <w:rsid w:val="000A2967"/>
    <w:rsid w:val="000A2ABD"/>
    <w:rsid w:val="000A30A1"/>
    <w:rsid w:val="000A3580"/>
    <w:rsid w:val="000A38AC"/>
    <w:rsid w:val="000A3A38"/>
    <w:rsid w:val="000A3F7F"/>
    <w:rsid w:val="000A47FD"/>
    <w:rsid w:val="000A6222"/>
    <w:rsid w:val="000A6B68"/>
    <w:rsid w:val="000A7192"/>
    <w:rsid w:val="000B0228"/>
    <w:rsid w:val="000B0329"/>
    <w:rsid w:val="000B15C4"/>
    <w:rsid w:val="000B2296"/>
    <w:rsid w:val="000B2879"/>
    <w:rsid w:val="000B2DFC"/>
    <w:rsid w:val="000B2E16"/>
    <w:rsid w:val="000B35D0"/>
    <w:rsid w:val="000B3A13"/>
    <w:rsid w:val="000B4BB2"/>
    <w:rsid w:val="000B5F76"/>
    <w:rsid w:val="000B6282"/>
    <w:rsid w:val="000B6379"/>
    <w:rsid w:val="000C0B48"/>
    <w:rsid w:val="000C1525"/>
    <w:rsid w:val="000C1728"/>
    <w:rsid w:val="000C4E54"/>
    <w:rsid w:val="000C4F06"/>
    <w:rsid w:val="000C540D"/>
    <w:rsid w:val="000C59E1"/>
    <w:rsid w:val="000C60CD"/>
    <w:rsid w:val="000C688A"/>
    <w:rsid w:val="000C76B0"/>
    <w:rsid w:val="000C7BBE"/>
    <w:rsid w:val="000D20F9"/>
    <w:rsid w:val="000D2475"/>
    <w:rsid w:val="000D2E72"/>
    <w:rsid w:val="000D3F96"/>
    <w:rsid w:val="000D40FD"/>
    <w:rsid w:val="000D442C"/>
    <w:rsid w:val="000D4DC4"/>
    <w:rsid w:val="000D5E77"/>
    <w:rsid w:val="000D5F70"/>
    <w:rsid w:val="000D6FEC"/>
    <w:rsid w:val="000E02F2"/>
    <w:rsid w:val="000E55D6"/>
    <w:rsid w:val="000E612D"/>
    <w:rsid w:val="000E6442"/>
    <w:rsid w:val="000E6704"/>
    <w:rsid w:val="000E6AB1"/>
    <w:rsid w:val="000E745A"/>
    <w:rsid w:val="000E7AF9"/>
    <w:rsid w:val="000E7BCC"/>
    <w:rsid w:val="000E7E9E"/>
    <w:rsid w:val="000F0044"/>
    <w:rsid w:val="000F03D2"/>
    <w:rsid w:val="000F0792"/>
    <w:rsid w:val="000F0EFD"/>
    <w:rsid w:val="000F3462"/>
    <w:rsid w:val="000F35A0"/>
    <w:rsid w:val="000F3C7D"/>
    <w:rsid w:val="000F447A"/>
    <w:rsid w:val="000F477B"/>
    <w:rsid w:val="000F5541"/>
    <w:rsid w:val="000F5AD7"/>
    <w:rsid w:val="000F6D74"/>
    <w:rsid w:val="000F703B"/>
    <w:rsid w:val="000F72ED"/>
    <w:rsid w:val="000F7A4C"/>
    <w:rsid w:val="0010098E"/>
    <w:rsid w:val="0010117B"/>
    <w:rsid w:val="00101A4D"/>
    <w:rsid w:val="00103698"/>
    <w:rsid w:val="0010393E"/>
    <w:rsid w:val="001043C2"/>
    <w:rsid w:val="0010534F"/>
    <w:rsid w:val="00106EF8"/>
    <w:rsid w:val="001074C3"/>
    <w:rsid w:val="001077CD"/>
    <w:rsid w:val="001079CD"/>
    <w:rsid w:val="001101A2"/>
    <w:rsid w:val="001113E0"/>
    <w:rsid w:val="00111489"/>
    <w:rsid w:val="00111792"/>
    <w:rsid w:val="00111797"/>
    <w:rsid w:val="00111B19"/>
    <w:rsid w:val="00111EB0"/>
    <w:rsid w:val="0011218D"/>
    <w:rsid w:val="001125CA"/>
    <w:rsid w:val="001129E9"/>
    <w:rsid w:val="00114A64"/>
    <w:rsid w:val="00115F59"/>
    <w:rsid w:val="00116C1A"/>
    <w:rsid w:val="0012066D"/>
    <w:rsid w:val="00121554"/>
    <w:rsid w:val="00121F3E"/>
    <w:rsid w:val="0012229E"/>
    <w:rsid w:val="00123849"/>
    <w:rsid w:val="00123A5E"/>
    <w:rsid w:val="00123F36"/>
    <w:rsid w:val="001243AB"/>
    <w:rsid w:val="00125010"/>
    <w:rsid w:val="001251C8"/>
    <w:rsid w:val="00125266"/>
    <w:rsid w:val="00125B82"/>
    <w:rsid w:val="001305E6"/>
    <w:rsid w:val="00130FD9"/>
    <w:rsid w:val="001315CD"/>
    <w:rsid w:val="00131F02"/>
    <w:rsid w:val="0013239A"/>
    <w:rsid w:val="001328FB"/>
    <w:rsid w:val="00132D93"/>
    <w:rsid w:val="001334D3"/>
    <w:rsid w:val="00133D14"/>
    <w:rsid w:val="00134FE6"/>
    <w:rsid w:val="00136284"/>
    <w:rsid w:val="0013761A"/>
    <w:rsid w:val="00140F52"/>
    <w:rsid w:val="0014423A"/>
    <w:rsid w:val="00144785"/>
    <w:rsid w:val="00145032"/>
    <w:rsid w:val="00145259"/>
    <w:rsid w:val="00147042"/>
    <w:rsid w:val="00147145"/>
    <w:rsid w:val="001471A7"/>
    <w:rsid w:val="001478FF"/>
    <w:rsid w:val="00147CEE"/>
    <w:rsid w:val="001506F6"/>
    <w:rsid w:val="001508E6"/>
    <w:rsid w:val="001509CC"/>
    <w:rsid w:val="001517A3"/>
    <w:rsid w:val="00151A86"/>
    <w:rsid w:val="00152F8A"/>
    <w:rsid w:val="0015314C"/>
    <w:rsid w:val="00153408"/>
    <w:rsid w:val="00154032"/>
    <w:rsid w:val="001547D3"/>
    <w:rsid w:val="001551A9"/>
    <w:rsid w:val="001559BD"/>
    <w:rsid w:val="00155A38"/>
    <w:rsid w:val="00155F58"/>
    <w:rsid w:val="0015655D"/>
    <w:rsid w:val="0015732C"/>
    <w:rsid w:val="00157F09"/>
    <w:rsid w:val="00157F79"/>
    <w:rsid w:val="00161C82"/>
    <w:rsid w:val="0016367E"/>
    <w:rsid w:val="001638AB"/>
    <w:rsid w:val="00163E84"/>
    <w:rsid w:val="001643D8"/>
    <w:rsid w:val="001652F9"/>
    <w:rsid w:val="0016569F"/>
    <w:rsid w:val="001656D8"/>
    <w:rsid w:val="001657E8"/>
    <w:rsid w:val="00165A12"/>
    <w:rsid w:val="001668AA"/>
    <w:rsid w:val="001675B1"/>
    <w:rsid w:val="0016789D"/>
    <w:rsid w:val="00167C87"/>
    <w:rsid w:val="00167CBE"/>
    <w:rsid w:val="00171F01"/>
    <w:rsid w:val="00172145"/>
    <w:rsid w:val="00172EE3"/>
    <w:rsid w:val="001732BF"/>
    <w:rsid w:val="00174F19"/>
    <w:rsid w:val="00175626"/>
    <w:rsid w:val="00175DEB"/>
    <w:rsid w:val="00177E7E"/>
    <w:rsid w:val="00180677"/>
    <w:rsid w:val="00180BB5"/>
    <w:rsid w:val="00181C88"/>
    <w:rsid w:val="0018356F"/>
    <w:rsid w:val="001848D0"/>
    <w:rsid w:val="001874A7"/>
    <w:rsid w:val="001876C5"/>
    <w:rsid w:val="00187D68"/>
    <w:rsid w:val="00190155"/>
    <w:rsid w:val="001906B5"/>
    <w:rsid w:val="001913A7"/>
    <w:rsid w:val="00191D40"/>
    <w:rsid w:val="00192198"/>
    <w:rsid w:val="00192480"/>
    <w:rsid w:val="00194163"/>
    <w:rsid w:val="00194359"/>
    <w:rsid w:val="00194ECA"/>
    <w:rsid w:val="00194FEB"/>
    <w:rsid w:val="00196A46"/>
    <w:rsid w:val="001970A4"/>
    <w:rsid w:val="00197AD1"/>
    <w:rsid w:val="001A0013"/>
    <w:rsid w:val="001A142E"/>
    <w:rsid w:val="001A1524"/>
    <w:rsid w:val="001A17DA"/>
    <w:rsid w:val="001A207D"/>
    <w:rsid w:val="001A27AA"/>
    <w:rsid w:val="001A2E85"/>
    <w:rsid w:val="001A349B"/>
    <w:rsid w:val="001B0020"/>
    <w:rsid w:val="001B3803"/>
    <w:rsid w:val="001B3D50"/>
    <w:rsid w:val="001B3F87"/>
    <w:rsid w:val="001B4026"/>
    <w:rsid w:val="001B4161"/>
    <w:rsid w:val="001B4B1B"/>
    <w:rsid w:val="001B5049"/>
    <w:rsid w:val="001B598C"/>
    <w:rsid w:val="001B6419"/>
    <w:rsid w:val="001B76A6"/>
    <w:rsid w:val="001B7B6B"/>
    <w:rsid w:val="001C06B0"/>
    <w:rsid w:val="001C07F8"/>
    <w:rsid w:val="001C1147"/>
    <w:rsid w:val="001C2D7D"/>
    <w:rsid w:val="001C2F59"/>
    <w:rsid w:val="001C3F9D"/>
    <w:rsid w:val="001C43DF"/>
    <w:rsid w:val="001C6C08"/>
    <w:rsid w:val="001C7877"/>
    <w:rsid w:val="001C7FFC"/>
    <w:rsid w:val="001D0646"/>
    <w:rsid w:val="001D0BFC"/>
    <w:rsid w:val="001D18E8"/>
    <w:rsid w:val="001D1B55"/>
    <w:rsid w:val="001D2056"/>
    <w:rsid w:val="001D220F"/>
    <w:rsid w:val="001D2641"/>
    <w:rsid w:val="001D2915"/>
    <w:rsid w:val="001D3052"/>
    <w:rsid w:val="001D3205"/>
    <w:rsid w:val="001D4216"/>
    <w:rsid w:val="001D42D1"/>
    <w:rsid w:val="001D547F"/>
    <w:rsid w:val="001D5D49"/>
    <w:rsid w:val="001D5F99"/>
    <w:rsid w:val="001D64E5"/>
    <w:rsid w:val="001D6B44"/>
    <w:rsid w:val="001D6EB8"/>
    <w:rsid w:val="001E05EC"/>
    <w:rsid w:val="001E1FBE"/>
    <w:rsid w:val="001E2165"/>
    <w:rsid w:val="001E2366"/>
    <w:rsid w:val="001E259D"/>
    <w:rsid w:val="001E30C8"/>
    <w:rsid w:val="001E30F1"/>
    <w:rsid w:val="001E3A27"/>
    <w:rsid w:val="001E4809"/>
    <w:rsid w:val="001E4D17"/>
    <w:rsid w:val="001E4F4F"/>
    <w:rsid w:val="001E6E6F"/>
    <w:rsid w:val="001E77AC"/>
    <w:rsid w:val="001F013E"/>
    <w:rsid w:val="001F038D"/>
    <w:rsid w:val="001F0E21"/>
    <w:rsid w:val="001F1FE5"/>
    <w:rsid w:val="001F2449"/>
    <w:rsid w:val="001F27F4"/>
    <w:rsid w:val="001F3908"/>
    <w:rsid w:val="001F3DC0"/>
    <w:rsid w:val="001F492F"/>
    <w:rsid w:val="001F4A6F"/>
    <w:rsid w:val="001F4C5A"/>
    <w:rsid w:val="001F4EA9"/>
    <w:rsid w:val="001F4F73"/>
    <w:rsid w:val="001F4FF3"/>
    <w:rsid w:val="001F5C23"/>
    <w:rsid w:val="001F6425"/>
    <w:rsid w:val="001F6772"/>
    <w:rsid w:val="001F7421"/>
    <w:rsid w:val="001F7D62"/>
    <w:rsid w:val="00200195"/>
    <w:rsid w:val="00200B5F"/>
    <w:rsid w:val="00200F5D"/>
    <w:rsid w:val="00201EEF"/>
    <w:rsid w:val="00202476"/>
    <w:rsid w:val="002025C4"/>
    <w:rsid w:val="00202B58"/>
    <w:rsid w:val="00202BBC"/>
    <w:rsid w:val="0020423A"/>
    <w:rsid w:val="002047C8"/>
    <w:rsid w:val="00204E9D"/>
    <w:rsid w:val="002052B3"/>
    <w:rsid w:val="00205453"/>
    <w:rsid w:val="002058F9"/>
    <w:rsid w:val="0020650A"/>
    <w:rsid w:val="00207F32"/>
    <w:rsid w:val="0021040F"/>
    <w:rsid w:val="0021243D"/>
    <w:rsid w:val="00212B1F"/>
    <w:rsid w:val="00213340"/>
    <w:rsid w:val="00213D7C"/>
    <w:rsid w:val="00213FA8"/>
    <w:rsid w:val="00214513"/>
    <w:rsid w:val="002155B7"/>
    <w:rsid w:val="0021640E"/>
    <w:rsid w:val="00216AA2"/>
    <w:rsid w:val="0021766A"/>
    <w:rsid w:val="00220A3F"/>
    <w:rsid w:val="00220C85"/>
    <w:rsid w:val="00220C88"/>
    <w:rsid w:val="002225D3"/>
    <w:rsid w:val="0022266F"/>
    <w:rsid w:val="00222A35"/>
    <w:rsid w:val="0022301D"/>
    <w:rsid w:val="00223279"/>
    <w:rsid w:val="002236F0"/>
    <w:rsid w:val="00224B2C"/>
    <w:rsid w:val="00226F3A"/>
    <w:rsid w:val="002272E2"/>
    <w:rsid w:val="00227E55"/>
    <w:rsid w:val="00231D3A"/>
    <w:rsid w:val="002323AB"/>
    <w:rsid w:val="002327E3"/>
    <w:rsid w:val="00232AA0"/>
    <w:rsid w:val="0023365E"/>
    <w:rsid w:val="00234CDF"/>
    <w:rsid w:val="00235C47"/>
    <w:rsid w:val="00236B91"/>
    <w:rsid w:val="00236BF6"/>
    <w:rsid w:val="00236C49"/>
    <w:rsid w:val="0023718D"/>
    <w:rsid w:val="002376B9"/>
    <w:rsid w:val="00237EE1"/>
    <w:rsid w:val="00237EEB"/>
    <w:rsid w:val="00241E6D"/>
    <w:rsid w:val="002424C0"/>
    <w:rsid w:val="00242617"/>
    <w:rsid w:val="00242CAA"/>
    <w:rsid w:val="00242D5F"/>
    <w:rsid w:val="00243078"/>
    <w:rsid w:val="00244CCF"/>
    <w:rsid w:val="0024503B"/>
    <w:rsid w:val="0024573D"/>
    <w:rsid w:val="00245D74"/>
    <w:rsid w:val="00246D03"/>
    <w:rsid w:val="00246DDF"/>
    <w:rsid w:val="0024720E"/>
    <w:rsid w:val="002472F6"/>
    <w:rsid w:val="00247414"/>
    <w:rsid w:val="00251DFB"/>
    <w:rsid w:val="00253A98"/>
    <w:rsid w:val="0025401C"/>
    <w:rsid w:val="00254BA2"/>
    <w:rsid w:val="00254BFE"/>
    <w:rsid w:val="0025538F"/>
    <w:rsid w:val="002556C7"/>
    <w:rsid w:val="00255BCB"/>
    <w:rsid w:val="002568BA"/>
    <w:rsid w:val="002569BC"/>
    <w:rsid w:val="002573CC"/>
    <w:rsid w:val="0026019A"/>
    <w:rsid w:val="002601BB"/>
    <w:rsid w:val="00260FAA"/>
    <w:rsid w:val="002614A3"/>
    <w:rsid w:val="00262338"/>
    <w:rsid w:val="00263694"/>
    <w:rsid w:val="0026388A"/>
    <w:rsid w:val="00263938"/>
    <w:rsid w:val="002646D7"/>
    <w:rsid w:val="00264990"/>
    <w:rsid w:val="00264A09"/>
    <w:rsid w:val="00264B7D"/>
    <w:rsid w:val="00265B67"/>
    <w:rsid w:val="002671D7"/>
    <w:rsid w:val="00267461"/>
    <w:rsid w:val="0027259C"/>
    <w:rsid w:val="00272ACD"/>
    <w:rsid w:val="00273543"/>
    <w:rsid w:val="00273B47"/>
    <w:rsid w:val="00274C82"/>
    <w:rsid w:val="002754FB"/>
    <w:rsid w:val="00275AE8"/>
    <w:rsid w:val="00275E13"/>
    <w:rsid w:val="0027654D"/>
    <w:rsid w:val="00277F22"/>
    <w:rsid w:val="002810DF"/>
    <w:rsid w:val="002812AB"/>
    <w:rsid w:val="002816D8"/>
    <w:rsid w:val="00281F8F"/>
    <w:rsid w:val="00282A8C"/>
    <w:rsid w:val="00282DC6"/>
    <w:rsid w:val="002844D0"/>
    <w:rsid w:val="002850B6"/>
    <w:rsid w:val="0028517C"/>
    <w:rsid w:val="002854EE"/>
    <w:rsid w:val="0028565C"/>
    <w:rsid w:val="002875DE"/>
    <w:rsid w:val="00287A39"/>
    <w:rsid w:val="00287E07"/>
    <w:rsid w:val="00290DBB"/>
    <w:rsid w:val="00290EB3"/>
    <w:rsid w:val="00292720"/>
    <w:rsid w:val="00292846"/>
    <w:rsid w:val="00292A90"/>
    <w:rsid w:val="00293346"/>
    <w:rsid w:val="002958C7"/>
    <w:rsid w:val="00296C89"/>
    <w:rsid w:val="002971D6"/>
    <w:rsid w:val="00297527"/>
    <w:rsid w:val="002A1875"/>
    <w:rsid w:val="002A2F08"/>
    <w:rsid w:val="002A3641"/>
    <w:rsid w:val="002A3B95"/>
    <w:rsid w:val="002A495F"/>
    <w:rsid w:val="002A4CE1"/>
    <w:rsid w:val="002A642C"/>
    <w:rsid w:val="002A6873"/>
    <w:rsid w:val="002A706F"/>
    <w:rsid w:val="002A70EA"/>
    <w:rsid w:val="002A7363"/>
    <w:rsid w:val="002A78D7"/>
    <w:rsid w:val="002A7C8E"/>
    <w:rsid w:val="002A7F43"/>
    <w:rsid w:val="002B365E"/>
    <w:rsid w:val="002B3E6C"/>
    <w:rsid w:val="002B489A"/>
    <w:rsid w:val="002B503A"/>
    <w:rsid w:val="002B531B"/>
    <w:rsid w:val="002B6341"/>
    <w:rsid w:val="002C031A"/>
    <w:rsid w:val="002C0526"/>
    <w:rsid w:val="002C16FB"/>
    <w:rsid w:val="002C19B4"/>
    <w:rsid w:val="002C23E4"/>
    <w:rsid w:val="002C27A8"/>
    <w:rsid w:val="002C3182"/>
    <w:rsid w:val="002C333E"/>
    <w:rsid w:val="002C3555"/>
    <w:rsid w:val="002C36C8"/>
    <w:rsid w:val="002C3C74"/>
    <w:rsid w:val="002C3D94"/>
    <w:rsid w:val="002C400C"/>
    <w:rsid w:val="002C44A6"/>
    <w:rsid w:val="002C51A0"/>
    <w:rsid w:val="002C57E0"/>
    <w:rsid w:val="002C5895"/>
    <w:rsid w:val="002C7971"/>
    <w:rsid w:val="002D0584"/>
    <w:rsid w:val="002D23B4"/>
    <w:rsid w:val="002D2E2A"/>
    <w:rsid w:val="002D4274"/>
    <w:rsid w:val="002D4F19"/>
    <w:rsid w:val="002D5295"/>
    <w:rsid w:val="002D52BF"/>
    <w:rsid w:val="002D6630"/>
    <w:rsid w:val="002D68FA"/>
    <w:rsid w:val="002D7E06"/>
    <w:rsid w:val="002D7ECA"/>
    <w:rsid w:val="002E0141"/>
    <w:rsid w:val="002E0B5D"/>
    <w:rsid w:val="002E0B76"/>
    <w:rsid w:val="002E1495"/>
    <w:rsid w:val="002E2466"/>
    <w:rsid w:val="002E2900"/>
    <w:rsid w:val="002E337E"/>
    <w:rsid w:val="002E3C0D"/>
    <w:rsid w:val="002E43EC"/>
    <w:rsid w:val="002E4883"/>
    <w:rsid w:val="002E536C"/>
    <w:rsid w:val="002E5B3C"/>
    <w:rsid w:val="002E786A"/>
    <w:rsid w:val="002E7A79"/>
    <w:rsid w:val="002F1D9E"/>
    <w:rsid w:val="002F2C6E"/>
    <w:rsid w:val="002F3C42"/>
    <w:rsid w:val="002F3C88"/>
    <w:rsid w:val="002F4067"/>
    <w:rsid w:val="002F47EB"/>
    <w:rsid w:val="002F518E"/>
    <w:rsid w:val="002F6482"/>
    <w:rsid w:val="002F6C6E"/>
    <w:rsid w:val="002F7339"/>
    <w:rsid w:val="002F7461"/>
    <w:rsid w:val="003007C8"/>
    <w:rsid w:val="00300B5D"/>
    <w:rsid w:val="0030115C"/>
    <w:rsid w:val="003025E2"/>
    <w:rsid w:val="00303CB0"/>
    <w:rsid w:val="003046DE"/>
    <w:rsid w:val="0030560C"/>
    <w:rsid w:val="00306D24"/>
    <w:rsid w:val="00307712"/>
    <w:rsid w:val="003111A7"/>
    <w:rsid w:val="0031176E"/>
    <w:rsid w:val="00313047"/>
    <w:rsid w:val="003134D4"/>
    <w:rsid w:val="0031404A"/>
    <w:rsid w:val="003148C4"/>
    <w:rsid w:val="00314B7C"/>
    <w:rsid w:val="00314E49"/>
    <w:rsid w:val="00315445"/>
    <w:rsid w:val="00315CF8"/>
    <w:rsid w:val="0031629F"/>
    <w:rsid w:val="00317183"/>
    <w:rsid w:val="003204AE"/>
    <w:rsid w:val="003208EF"/>
    <w:rsid w:val="00320F12"/>
    <w:rsid w:val="0032168E"/>
    <w:rsid w:val="00321D88"/>
    <w:rsid w:val="00323D35"/>
    <w:rsid w:val="00324846"/>
    <w:rsid w:val="0032489E"/>
    <w:rsid w:val="00324ABD"/>
    <w:rsid w:val="00324C84"/>
    <w:rsid w:val="00324D9B"/>
    <w:rsid w:val="00324F60"/>
    <w:rsid w:val="003272A6"/>
    <w:rsid w:val="003273CB"/>
    <w:rsid w:val="00327559"/>
    <w:rsid w:val="00330CDC"/>
    <w:rsid w:val="00330EBA"/>
    <w:rsid w:val="00331113"/>
    <w:rsid w:val="0033125E"/>
    <w:rsid w:val="00332A3E"/>
    <w:rsid w:val="00332B07"/>
    <w:rsid w:val="00332DA8"/>
    <w:rsid w:val="00332E7A"/>
    <w:rsid w:val="00332ED2"/>
    <w:rsid w:val="0033325E"/>
    <w:rsid w:val="00335C99"/>
    <w:rsid w:val="00336913"/>
    <w:rsid w:val="0033718C"/>
    <w:rsid w:val="00337407"/>
    <w:rsid w:val="00337BB8"/>
    <w:rsid w:val="003408CE"/>
    <w:rsid w:val="00340E02"/>
    <w:rsid w:val="00341F33"/>
    <w:rsid w:val="00342E94"/>
    <w:rsid w:val="00342FCA"/>
    <w:rsid w:val="00343E6E"/>
    <w:rsid w:val="00343E9A"/>
    <w:rsid w:val="003450C8"/>
    <w:rsid w:val="003454C7"/>
    <w:rsid w:val="00345BA7"/>
    <w:rsid w:val="00347096"/>
    <w:rsid w:val="0034782B"/>
    <w:rsid w:val="0035068F"/>
    <w:rsid w:val="003510BA"/>
    <w:rsid w:val="00351E5C"/>
    <w:rsid w:val="00351F5A"/>
    <w:rsid w:val="003538F7"/>
    <w:rsid w:val="0035580F"/>
    <w:rsid w:val="00355C5A"/>
    <w:rsid w:val="00355E45"/>
    <w:rsid w:val="00356524"/>
    <w:rsid w:val="00357139"/>
    <w:rsid w:val="00357CB4"/>
    <w:rsid w:val="003604AE"/>
    <w:rsid w:val="003604EE"/>
    <w:rsid w:val="00360577"/>
    <w:rsid w:val="00360D54"/>
    <w:rsid w:val="00360E93"/>
    <w:rsid w:val="00361E97"/>
    <w:rsid w:val="0036286B"/>
    <w:rsid w:val="00362F3F"/>
    <w:rsid w:val="00362FC0"/>
    <w:rsid w:val="00363371"/>
    <w:rsid w:val="00364989"/>
    <w:rsid w:val="00364B2A"/>
    <w:rsid w:val="003664C0"/>
    <w:rsid w:val="00366769"/>
    <w:rsid w:val="00366C15"/>
    <w:rsid w:val="00366D69"/>
    <w:rsid w:val="00367A28"/>
    <w:rsid w:val="00367E04"/>
    <w:rsid w:val="00371C9A"/>
    <w:rsid w:val="0037411D"/>
    <w:rsid w:val="003745DE"/>
    <w:rsid w:val="00374CF4"/>
    <w:rsid w:val="003761F2"/>
    <w:rsid w:val="00376A05"/>
    <w:rsid w:val="00376FDA"/>
    <w:rsid w:val="003774FE"/>
    <w:rsid w:val="0037763B"/>
    <w:rsid w:val="00380DEE"/>
    <w:rsid w:val="00383612"/>
    <w:rsid w:val="00384873"/>
    <w:rsid w:val="003861B0"/>
    <w:rsid w:val="00387236"/>
    <w:rsid w:val="003872F3"/>
    <w:rsid w:val="00387639"/>
    <w:rsid w:val="00390A5E"/>
    <w:rsid w:val="00390E30"/>
    <w:rsid w:val="003920D9"/>
    <w:rsid w:val="00392823"/>
    <w:rsid w:val="003938AC"/>
    <w:rsid w:val="00393ABE"/>
    <w:rsid w:val="0039458D"/>
    <w:rsid w:val="00394A6F"/>
    <w:rsid w:val="00394D61"/>
    <w:rsid w:val="00395201"/>
    <w:rsid w:val="003954ED"/>
    <w:rsid w:val="00397B33"/>
    <w:rsid w:val="00397FAC"/>
    <w:rsid w:val="003A0498"/>
    <w:rsid w:val="003A05FC"/>
    <w:rsid w:val="003A1F5A"/>
    <w:rsid w:val="003A20C4"/>
    <w:rsid w:val="003A2328"/>
    <w:rsid w:val="003A2B1D"/>
    <w:rsid w:val="003A2ECE"/>
    <w:rsid w:val="003A3160"/>
    <w:rsid w:val="003A4252"/>
    <w:rsid w:val="003A4C25"/>
    <w:rsid w:val="003A500C"/>
    <w:rsid w:val="003A539A"/>
    <w:rsid w:val="003A62A4"/>
    <w:rsid w:val="003A7476"/>
    <w:rsid w:val="003A7D86"/>
    <w:rsid w:val="003B0AA1"/>
    <w:rsid w:val="003B243D"/>
    <w:rsid w:val="003B254F"/>
    <w:rsid w:val="003B304F"/>
    <w:rsid w:val="003B31F4"/>
    <w:rsid w:val="003B340F"/>
    <w:rsid w:val="003B4FC8"/>
    <w:rsid w:val="003B5D18"/>
    <w:rsid w:val="003B6F20"/>
    <w:rsid w:val="003B795D"/>
    <w:rsid w:val="003C0566"/>
    <w:rsid w:val="003C15F0"/>
    <w:rsid w:val="003C26A6"/>
    <w:rsid w:val="003C26C1"/>
    <w:rsid w:val="003C330F"/>
    <w:rsid w:val="003C5C11"/>
    <w:rsid w:val="003C6A5A"/>
    <w:rsid w:val="003C6AAD"/>
    <w:rsid w:val="003C6B76"/>
    <w:rsid w:val="003C74B9"/>
    <w:rsid w:val="003C76E4"/>
    <w:rsid w:val="003D1A00"/>
    <w:rsid w:val="003D1D4D"/>
    <w:rsid w:val="003D2D68"/>
    <w:rsid w:val="003D3682"/>
    <w:rsid w:val="003D37DD"/>
    <w:rsid w:val="003D45DF"/>
    <w:rsid w:val="003D47C6"/>
    <w:rsid w:val="003D5843"/>
    <w:rsid w:val="003D7E38"/>
    <w:rsid w:val="003D7EAC"/>
    <w:rsid w:val="003E032C"/>
    <w:rsid w:val="003E1870"/>
    <w:rsid w:val="003E1AFA"/>
    <w:rsid w:val="003E2BBA"/>
    <w:rsid w:val="003E375F"/>
    <w:rsid w:val="003E379A"/>
    <w:rsid w:val="003E3E6E"/>
    <w:rsid w:val="003E447E"/>
    <w:rsid w:val="003E52B0"/>
    <w:rsid w:val="003E56D1"/>
    <w:rsid w:val="003E63BE"/>
    <w:rsid w:val="003E64DC"/>
    <w:rsid w:val="003E7A43"/>
    <w:rsid w:val="003F01E9"/>
    <w:rsid w:val="003F04C6"/>
    <w:rsid w:val="003F0B58"/>
    <w:rsid w:val="003F0D40"/>
    <w:rsid w:val="003F0F70"/>
    <w:rsid w:val="003F119A"/>
    <w:rsid w:val="003F2236"/>
    <w:rsid w:val="003F27B7"/>
    <w:rsid w:val="003F37CE"/>
    <w:rsid w:val="003F4051"/>
    <w:rsid w:val="003F485F"/>
    <w:rsid w:val="003F4F67"/>
    <w:rsid w:val="003F5812"/>
    <w:rsid w:val="003F58DF"/>
    <w:rsid w:val="003F5DAB"/>
    <w:rsid w:val="003F625A"/>
    <w:rsid w:val="003F6AA4"/>
    <w:rsid w:val="003F6EA1"/>
    <w:rsid w:val="004004BE"/>
    <w:rsid w:val="00400E4A"/>
    <w:rsid w:val="00400E8C"/>
    <w:rsid w:val="004028E7"/>
    <w:rsid w:val="00402E9A"/>
    <w:rsid w:val="00402EFF"/>
    <w:rsid w:val="00402F1F"/>
    <w:rsid w:val="00403D22"/>
    <w:rsid w:val="00403FA8"/>
    <w:rsid w:val="00404040"/>
    <w:rsid w:val="00404213"/>
    <w:rsid w:val="0040446B"/>
    <w:rsid w:val="004045FD"/>
    <w:rsid w:val="004048AC"/>
    <w:rsid w:val="00404B8E"/>
    <w:rsid w:val="004068C2"/>
    <w:rsid w:val="00406E61"/>
    <w:rsid w:val="00407B6C"/>
    <w:rsid w:val="00407DD6"/>
    <w:rsid w:val="00407FCF"/>
    <w:rsid w:val="00410B6E"/>
    <w:rsid w:val="00411921"/>
    <w:rsid w:val="00411E5E"/>
    <w:rsid w:val="00412559"/>
    <w:rsid w:val="004125BE"/>
    <w:rsid w:val="004145F0"/>
    <w:rsid w:val="00414AB1"/>
    <w:rsid w:val="00415E7F"/>
    <w:rsid w:val="00417B54"/>
    <w:rsid w:val="00417BE4"/>
    <w:rsid w:val="00420288"/>
    <w:rsid w:val="00421C78"/>
    <w:rsid w:val="004224CE"/>
    <w:rsid w:val="0042269E"/>
    <w:rsid w:val="00423D5E"/>
    <w:rsid w:val="00423FE4"/>
    <w:rsid w:val="00424A78"/>
    <w:rsid w:val="004254DB"/>
    <w:rsid w:val="004269A0"/>
    <w:rsid w:val="00427EEA"/>
    <w:rsid w:val="00427F79"/>
    <w:rsid w:val="004313BF"/>
    <w:rsid w:val="00431836"/>
    <w:rsid w:val="004321E6"/>
    <w:rsid w:val="0043251F"/>
    <w:rsid w:val="0043278E"/>
    <w:rsid w:val="004332A4"/>
    <w:rsid w:val="004344F7"/>
    <w:rsid w:val="0043489E"/>
    <w:rsid w:val="004358E1"/>
    <w:rsid w:val="004360AC"/>
    <w:rsid w:val="004369B5"/>
    <w:rsid w:val="00436B83"/>
    <w:rsid w:val="00441061"/>
    <w:rsid w:val="0044107A"/>
    <w:rsid w:val="00441571"/>
    <w:rsid w:val="00441CEA"/>
    <w:rsid w:val="00444FD8"/>
    <w:rsid w:val="0044560C"/>
    <w:rsid w:val="00445813"/>
    <w:rsid w:val="004471B2"/>
    <w:rsid w:val="004501C9"/>
    <w:rsid w:val="0045024B"/>
    <w:rsid w:val="0045036E"/>
    <w:rsid w:val="00450C70"/>
    <w:rsid w:val="004517D0"/>
    <w:rsid w:val="00451D44"/>
    <w:rsid w:val="004520F2"/>
    <w:rsid w:val="00452F4F"/>
    <w:rsid w:val="00453344"/>
    <w:rsid w:val="004544BF"/>
    <w:rsid w:val="00454776"/>
    <w:rsid w:val="00454E76"/>
    <w:rsid w:val="00457080"/>
    <w:rsid w:val="00457315"/>
    <w:rsid w:val="004600B0"/>
    <w:rsid w:val="00460275"/>
    <w:rsid w:val="00460891"/>
    <w:rsid w:val="00464FA9"/>
    <w:rsid w:val="00464FB2"/>
    <w:rsid w:val="00465638"/>
    <w:rsid w:val="004657B6"/>
    <w:rsid w:val="004662A8"/>
    <w:rsid w:val="00466474"/>
    <w:rsid w:val="00466CDC"/>
    <w:rsid w:val="0046745E"/>
    <w:rsid w:val="004718E1"/>
    <w:rsid w:val="004725ED"/>
    <w:rsid w:val="0047313C"/>
    <w:rsid w:val="004734C1"/>
    <w:rsid w:val="004736BE"/>
    <w:rsid w:val="00474365"/>
    <w:rsid w:val="00474EA3"/>
    <w:rsid w:val="0047556D"/>
    <w:rsid w:val="00475789"/>
    <w:rsid w:val="00476170"/>
    <w:rsid w:val="00476A45"/>
    <w:rsid w:val="004801D4"/>
    <w:rsid w:val="00480284"/>
    <w:rsid w:val="004820B0"/>
    <w:rsid w:val="00482117"/>
    <w:rsid w:val="0048267E"/>
    <w:rsid w:val="00482E2F"/>
    <w:rsid w:val="00483295"/>
    <w:rsid w:val="00484BE0"/>
    <w:rsid w:val="004859B4"/>
    <w:rsid w:val="00485B8F"/>
    <w:rsid w:val="0048674A"/>
    <w:rsid w:val="00486ACD"/>
    <w:rsid w:val="00486BD6"/>
    <w:rsid w:val="004872CE"/>
    <w:rsid w:val="00490B8D"/>
    <w:rsid w:val="00490FBB"/>
    <w:rsid w:val="0049255A"/>
    <w:rsid w:val="00492C65"/>
    <w:rsid w:val="00493EAA"/>
    <w:rsid w:val="0049403F"/>
    <w:rsid w:val="00494323"/>
    <w:rsid w:val="00494349"/>
    <w:rsid w:val="00494485"/>
    <w:rsid w:val="004945A7"/>
    <w:rsid w:val="00494600"/>
    <w:rsid w:val="00495269"/>
    <w:rsid w:val="0049682B"/>
    <w:rsid w:val="00497295"/>
    <w:rsid w:val="0049759C"/>
    <w:rsid w:val="0049762B"/>
    <w:rsid w:val="00497BE6"/>
    <w:rsid w:val="004A0586"/>
    <w:rsid w:val="004A0DC9"/>
    <w:rsid w:val="004A0F27"/>
    <w:rsid w:val="004A0F37"/>
    <w:rsid w:val="004A0F68"/>
    <w:rsid w:val="004A10F4"/>
    <w:rsid w:val="004A2AA9"/>
    <w:rsid w:val="004A3608"/>
    <w:rsid w:val="004A381C"/>
    <w:rsid w:val="004A4078"/>
    <w:rsid w:val="004A4B8A"/>
    <w:rsid w:val="004A4FBD"/>
    <w:rsid w:val="004A593C"/>
    <w:rsid w:val="004A61A2"/>
    <w:rsid w:val="004A6560"/>
    <w:rsid w:val="004A69E0"/>
    <w:rsid w:val="004A7099"/>
    <w:rsid w:val="004A76FF"/>
    <w:rsid w:val="004A7810"/>
    <w:rsid w:val="004A78FE"/>
    <w:rsid w:val="004A794E"/>
    <w:rsid w:val="004A7E93"/>
    <w:rsid w:val="004B021E"/>
    <w:rsid w:val="004B04FD"/>
    <w:rsid w:val="004B3CFB"/>
    <w:rsid w:val="004B4447"/>
    <w:rsid w:val="004B5D6B"/>
    <w:rsid w:val="004B76F8"/>
    <w:rsid w:val="004C0C34"/>
    <w:rsid w:val="004C1FA6"/>
    <w:rsid w:val="004C2869"/>
    <w:rsid w:val="004C3958"/>
    <w:rsid w:val="004C3B27"/>
    <w:rsid w:val="004C4107"/>
    <w:rsid w:val="004C5B02"/>
    <w:rsid w:val="004C5CFD"/>
    <w:rsid w:val="004C7A65"/>
    <w:rsid w:val="004C7D6B"/>
    <w:rsid w:val="004D123E"/>
    <w:rsid w:val="004D12C0"/>
    <w:rsid w:val="004D17EE"/>
    <w:rsid w:val="004D18EA"/>
    <w:rsid w:val="004D2B29"/>
    <w:rsid w:val="004D3387"/>
    <w:rsid w:val="004D3713"/>
    <w:rsid w:val="004D3A0D"/>
    <w:rsid w:val="004D3D2F"/>
    <w:rsid w:val="004D5026"/>
    <w:rsid w:val="004D55EE"/>
    <w:rsid w:val="004D6254"/>
    <w:rsid w:val="004D676A"/>
    <w:rsid w:val="004D70FD"/>
    <w:rsid w:val="004D7E99"/>
    <w:rsid w:val="004E00CE"/>
    <w:rsid w:val="004E1294"/>
    <w:rsid w:val="004E188B"/>
    <w:rsid w:val="004E2BDB"/>
    <w:rsid w:val="004E307B"/>
    <w:rsid w:val="004E40B1"/>
    <w:rsid w:val="004E4125"/>
    <w:rsid w:val="004E5B2B"/>
    <w:rsid w:val="004F0346"/>
    <w:rsid w:val="004F0966"/>
    <w:rsid w:val="004F0D07"/>
    <w:rsid w:val="004F50AF"/>
    <w:rsid w:val="004F5495"/>
    <w:rsid w:val="004F557A"/>
    <w:rsid w:val="004F664A"/>
    <w:rsid w:val="004F681D"/>
    <w:rsid w:val="004F6E14"/>
    <w:rsid w:val="004F710F"/>
    <w:rsid w:val="004F7F41"/>
    <w:rsid w:val="0050228C"/>
    <w:rsid w:val="005027FC"/>
    <w:rsid w:val="00502857"/>
    <w:rsid w:val="005044A9"/>
    <w:rsid w:val="00504F35"/>
    <w:rsid w:val="00504F68"/>
    <w:rsid w:val="005054DC"/>
    <w:rsid w:val="00505994"/>
    <w:rsid w:val="00505FD4"/>
    <w:rsid w:val="005062F0"/>
    <w:rsid w:val="00506878"/>
    <w:rsid w:val="00506E25"/>
    <w:rsid w:val="00507EB1"/>
    <w:rsid w:val="0051084A"/>
    <w:rsid w:val="00510ADA"/>
    <w:rsid w:val="00510DC9"/>
    <w:rsid w:val="0051132C"/>
    <w:rsid w:val="005119D0"/>
    <w:rsid w:val="00511A7B"/>
    <w:rsid w:val="005125E7"/>
    <w:rsid w:val="00513483"/>
    <w:rsid w:val="00514A55"/>
    <w:rsid w:val="00514EF5"/>
    <w:rsid w:val="00515B5B"/>
    <w:rsid w:val="00516445"/>
    <w:rsid w:val="0051782D"/>
    <w:rsid w:val="0052087E"/>
    <w:rsid w:val="00521297"/>
    <w:rsid w:val="00521809"/>
    <w:rsid w:val="0052315E"/>
    <w:rsid w:val="005234DF"/>
    <w:rsid w:val="005237EF"/>
    <w:rsid w:val="00523B73"/>
    <w:rsid w:val="00525773"/>
    <w:rsid w:val="0052589D"/>
    <w:rsid w:val="00526B53"/>
    <w:rsid w:val="005301F9"/>
    <w:rsid w:val="00530AD7"/>
    <w:rsid w:val="00530ED3"/>
    <w:rsid w:val="005327E4"/>
    <w:rsid w:val="00532A7C"/>
    <w:rsid w:val="00532D58"/>
    <w:rsid w:val="00533D2D"/>
    <w:rsid w:val="0053438E"/>
    <w:rsid w:val="005343E5"/>
    <w:rsid w:val="0053456E"/>
    <w:rsid w:val="005346B7"/>
    <w:rsid w:val="005355EE"/>
    <w:rsid w:val="00535B16"/>
    <w:rsid w:val="005366D0"/>
    <w:rsid w:val="00537E27"/>
    <w:rsid w:val="00540B4D"/>
    <w:rsid w:val="00540FFA"/>
    <w:rsid w:val="0054135A"/>
    <w:rsid w:val="005419CA"/>
    <w:rsid w:val="00541B06"/>
    <w:rsid w:val="00542930"/>
    <w:rsid w:val="00543093"/>
    <w:rsid w:val="005435B3"/>
    <w:rsid w:val="00543861"/>
    <w:rsid w:val="005440C8"/>
    <w:rsid w:val="00545568"/>
    <w:rsid w:val="00545685"/>
    <w:rsid w:val="00545E6A"/>
    <w:rsid w:val="00545F0A"/>
    <w:rsid w:val="00546735"/>
    <w:rsid w:val="00550849"/>
    <w:rsid w:val="00550866"/>
    <w:rsid w:val="00550DAB"/>
    <w:rsid w:val="00551734"/>
    <w:rsid w:val="0055204A"/>
    <w:rsid w:val="005544E3"/>
    <w:rsid w:val="00554BF3"/>
    <w:rsid w:val="00555C0B"/>
    <w:rsid w:val="0055613B"/>
    <w:rsid w:val="0055655F"/>
    <w:rsid w:val="0055657D"/>
    <w:rsid w:val="005579B9"/>
    <w:rsid w:val="005605A2"/>
    <w:rsid w:val="00560D0D"/>
    <w:rsid w:val="00562395"/>
    <w:rsid w:val="005632F1"/>
    <w:rsid w:val="00563403"/>
    <w:rsid w:val="005644AD"/>
    <w:rsid w:val="00565FB1"/>
    <w:rsid w:val="005662FB"/>
    <w:rsid w:val="00567781"/>
    <w:rsid w:val="00567ECC"/>
    <w:rsid w:val="0057019C"/>
    <w:rsid w:val="005707EA"/>
    <w:rsid w:val="005713B1"/>
    <w:rsid w:val="00572642"/>
    <w:rsid w:val="00572BA8"/>
    <w:rsid w:val="005733B9"/>
    <w:rsid w:val="0057363E"/>
    <w:rsid w:val="00575DDE"/>
    <w:rsid w:val="00576246"/>
    <w:rsid w:val="0057624B"/>
    <w:rsid w:val="0057644D"/>
    <w:rsid w:val="00576497"/>
    <w:rsid w:val="0057649A"/>
    <w:rsid w:val="00577633"/>
    <w:rsid w:val="005803AF"/>
    <w:rsid w:val="00580820"/>
    <w:rsid w:val="00583090"/>
    <w:rsid w:val="005835F4"/>
    <w:rsid w:val="00583EFE"/>
    <w:rsid w:val="00583FA4"/>
    <w:rsid w:val="00584076"/>
    <w:rsid w:val="005841A3"/>
    <w:rsid w:val="0058556A"/>
    <w:rsid w:val="005858FB"/>
    <w:rsid w:val="00585FE5"/>
    <w:rsid w:val="00586D9A"/>
    <w:rsid w:val="00586FC3"/>
    <w:rsid w:val="00587BAD"/>
    <w:rsid w:val="00587BDE"/>
    <w:rsid w:val="00587C40"/>
    <w:rsid w:val="00590EAE"/>
    <w:rsid w:val="00591088"/>
    <w:rsid w:val="0059112A"/>
    <w:rsid w:val="0059116B"/>
    <w:rsid w:val="00591B65"/>
    <w:rsid w:val="00591E73"/>
    <w:rsid w:val="00592341"/>
    <w:rsid w:val="00592A14"/>
    <w:rsid w:val="00593216"/>
    <w:rsid w:val="005948CE"/>
    <w:rsid w:val="00594BC3"/>
    <w:rsid w:val="005961BA"/>
    <w:rsid w:val="00596CA7"/>
    <w:rsid w:val="00596DC8"/>
    <w:rsid w:val="00596E16"/>
    <w:rsid w:val="00596E59"/>
    <w:rsid w:val="00597A78"/>
    <w:rsid w:val="00597DC7"/>
    <w:rsid w:val="005A16A3"/>
    <w:rsid w:val="005A1C48"/>
    <w:rsid w:val="005A253A"/>
    <w:rsid w:val="005A29BF"/>
    <w:rsid w:val="005A2AD8"/>
    <w:rsid w:val="005A3152"/>
    <w:rsid w:val="005A37E5"/>
    <w:rsid w:val="005A40AF"/>
    <w:rsid w:val="005A50AD"/>
    <w:rsid w:val="005A5E2E"/>
    <w:rsid w:val="005A64BF"/>
    <w:rsid w:val="005A739D"/>
    <w:rsid w:val="005A7AE4"/>
    <w:rsid w:val="005B052B"/>
    <w:rsid w:val="005B0565"/>
    <w:rsid w:val="005B41DF"/>
    <w:rsid w:val="005B4421"/>
    <w:rsid w:val="005B46D7"/>
    <w:rsid w:val="005B4D40"/>
    <w:rsid w:val="005B513F"/>
    <w:rsid w:val="005B6EEB"/>
    <w:rsid w:val="005B7483"/>
    <w:rsid w:val="005B7929"/>
    <w:rsid w:val="005C0643"/>
    <w:rsid w:val="005C1BAB"/>
    <w:rsid w:val="005C1E82"/>
    <w:rsid w:val="005C23AF"/>
    <w:rsid w:val="005C25D1"/>
    <w:rsid w:val="005C2A74"/>
    <w:rsid w:val="005C35A9"/>
    <w:rsid w:val="005C464B"/>
    <w:rsid w:val="005C4E5F"/>
    <w:rsid w:val="005C5AD6"/>
    <w:rsid w:val="005C74A0"/>
    <w:rsid w:val="005D011B"/>
    <w:rsid w:val="005D052C"/>
    <w:rsid w:val="005D16FE"/>
    <w:rsid w:val="005D263A"/>
    <w:rsid w:val="005D4084"/>
    <w:rsid w:val="005D4777"/>
    <w:rsid w:val="005D4C2B"/>
    <w:rsid w:val="005D5784"/>
    <w:rsid w:val="005D779D"/>
    <w:rsid w:val="005E06EE"/>
    <w:rsid w:val="005E22CD"/>
    <w:rsid w:val="005E4BF6"/>
    <w:rsid w:val="005E51CB"/>
    <w:rsid w:val="005E51D2"/>
    <w:rsid w:val="005E64DE"/>
    <w:rsid w:val="005E6B93"/>
    <w:rsid w:val="005E7953"/>
    <w:rsid w:val="005E7E82"/>
    <w:rsid w:val="005F2C42"/>
    <w:rsid w:val="005F326C"/>
    <w:rsid w:val="005F337A"/>
    <w:rsid w:val="005F3EF2"/>
    <w:rsid w:val="005F4645"/>
    <w:rsid w:val="005F653E"/>
    <w:rsid w:val="005F6BAB"/>
    <w:rsid w:val="005F6C28"/>
    <w:rsid w:val="005F7AB6"/>
    <w:rsid w:val="005F7E3C"/>
    <w:rsid w:val="00600FA8"/>
    <w:rsid w:val="00601210"/>
    <w:rsid w:val="00601979"/>
    <w:rsid w:val="006026A3"/>
    <w:rsid w:val="006049BC"/>
    <w:rsid w:val="00604DAD"/>
    <w:rsid w:val="006063DA"/>
    <w:rsid w:val="00606C82"/>
    <w:rsid w:val="00606CD0"/>
    <w:rsid w:val="00606CE3"/>
    <w:rsid w:val="006106D0"/>
    <w:rsid w:val="00610780"/>
    <w:rsid w:val="006112B7"/>
    <w:rsid w:val="00611D86"/>
    <w:rsid w:val="00611DD3"/>
    <w:rsid w:val="00611EF0"/>
    <w:rsid w:val="00612219"/>
    <w:rsid w:val="00612E04"/>
    <w:rsid w:val="00612FE2"/>
    <w:rsid w:val="00614394"/>
    <w:rsid w:val="006167B2"/>
    <w:rsid w:val="00616A48"/>
    <w:rsid w:val="006173A4"/>
    <w:rsid w:val="00617C44"/>
    <w:rsid w:val="00617EF2"/>
    <w:rsid w:val="00620086"/>
    <w:rsid w:val="00621719"/>
    <w:rsid w:val="0062195E"/>
    <w:rsid w:val="00621CA0"/>
    <w:rsid w:val="00622074"/>
    <w:rsid w:val="00622639"/>
    <w:rsid w:val="00622A75"/>
    <w:rsid w:val="00622CE4"/>
    <w:rsid w:val="006234A7"/>
    <w:rsid w:val="00623E1F"/>
    <w:rsid w:val="00623F8E"/>
    <w:rsid w:val="0062465C"/>
    <w:rsid w:val="00625917"/>
    <w:rsid w:val="0062756E"/>
    <w:rsid w:val="0062789F"/>
    <w:rsid w:val="006301BE"/>
    <w:rsid w:val="0063096E"/>
    <w:rsid w:val="006310F3"/>
    <w:rsid w:val="006314DB"/>
    <w:rsid w:val="00631B1D"/>
    <w:rsid w:val="00632DB2"/>
    <w:rsid w:val="00633349"/>
    <w:rsid w:val="006333C1"/>
    <w:rsid w:val="006337AF"/>
    <w:rsid w:val="00633D61"/>
    <w:rsid w:val="0063402B"/>
    <w:rsid w:val="00636570"/>
    <w:rsid w:val="00637859"/>
    <w:rsid w:val="00637901"/>
    <w:rsid w:val="00637A99"/>
    <w:rsid w:val="00637E1B"/>
    <w:rsid w:val="00637FE8"/>
    <w:rsid w:val="006402DF"/>
    <w:rsid w:val="0064164B"/>
    <w:rsid w:val="006417DB"/>
    <w:rsid w:val="0064202B"/>
    <w:rsid w:val="00643C10"/>
    <w:rsid w:val="0064416A"/>
    <w:rsid w:val="00644468"/>
    <w:rsid w:val="006446AB"/>
    <w:rsid w:val="0064476E"/>
    <w:rsid w:val="00645F5E"/>
    <w:rsid w:val="00647B1E"/>
    <w:rsid w:val="00647C55"/>
    <w:rsid w:val="0065008B"/>
    <w:rsid w:val="00652086"/>
    <w:rsid w:val="00653721"/>
    <w:rsid w:val="00653A3B"/>
    <w:rsid w:val="00653CF1"/>
    <w:rsid w:val="00653FD9"/>
    <w:rsid w:val="006543A2"/>
    <w:rsid w:val="00654D42"/>
    <w:rsid w:val="00656173"/>
    <w:rsid w:val="00656328"/>
    <w:rsid w:val="00657387"/>
    <w:rsid w:val="00657A75"/>
    <w:rsid w:val="00660279"/>
    <w:rsid w:val="00660A94"/>
    <w:rsid w:val="006622B9"/>
    <w:rsid w:val="00662E1E"/>
    <w:rsid w:val="00663397"/>
    <w:rsid w:val="00663696"/>
    <w:rsid w:val="0066371E"/>
    <w:rsid w:val="0066455B"/>
    <w:rsid w:val="00666747"/>
    <w:rsid w:val="0066701E"/>
    <w:rsid w:val="00670BC4"/>
    <w:rsid w:val="006718ED"/>
    <w:rsid w:val="00671B3F"/>
    <w:rsid w:val="0067209A"/>
    <w:rsid w:val="006724AD"/>
    <w:rsid w:val="00672BAB"/>
    <w:rsid w:val="0067314A"/>
    <w:rsid w:val="006735C7"/>
    <w:rsid w:val="00673729"/>
    <w:rsid w:val="00673D1E"/>
    <w:rsid w:val="0067557E"/>
    <w:rsid w:val="00675E9D"/>
    <w:rsid w:val="006779CF"/>
    <w:rsid w:val="00677A8F"/>
    <w:rsid w:val="00677D63"/>
    <w:rsid w:val="00677F8A"/>
    <w:rsid w:val="006809A5"/>
    <w:rsid w:val="006819EC"/>
    <w:rsid w:val="006821E3"/>
    <w:rsid w:val="00683AD6"/>
    <w:rsid w:val="006842AE"/>
    <w:rsid w:val="00685D05"/>
    <w:rsid w:val="00686925"/>
    <w:rsid w:val="006875BA"/>
    <w:rsid w:val="00687AC8"/>
    <w:rsid w:val="0069097D"/>
    <w:rsid w:val="00690C70"/>
    <w:rsid w:val="00691376"/>
    <w:rsid w:val="00692325"/>
    <w:rsid w:val="00692F2E"/>
    <w:rsid w:val="0069352A"/>
    <w:rsid w:val="00693FEA"/>
    <w:rsid w:val="00694C68"/>
    <w:rsid w:val="006963D4"/>
    <w:rsid w:val="00696FD5"/>
    <w:rsid w:val="00697A47"/>
    <w:rsid w:val="006A3293"/>
    <w:rsid w:val="006A3544"/>
    <w:rsid w:val="006A3D65"/>
    <w:rsid w:val="006A443A"/>
    <w:rsid w:val="006A46A9"/>
    <w:rsid w:val="006A4F74"/>
    <w:rsid w:val="006A5773"/>
    <w:rsid w:val="006A5804"/>
    <w:rsid w:val="006A58F0"/>
    <w:rsid w:val="006A6262"/>
    <w:rsid w:val="006A6BB2"/>
    <w:rsid w:val="006A764A"/>
    <w:rsid w:val="006B0372"/>
    <w:rsid w:val="006B0764"/>
    <w:rsid w:val="006B081C"/>
    <w:rsid w:val="006B103D"/>
    <w:rsid w:val="006B105A"/>
    <w:rsid w:val="006B1970"/>
    <w:rsid w:val="006B1B8A"/>
    <w:rsid w:val="006B1ED6"/>
    <w:rsid w:val="006B2BA5"/>
    <w:rsid w:val="006B34E7"/>
    <w:rsid w:val="006B4467"/>
    <w:rsid w:val="006B58E6"/>
    <w:rsid w:val="006B6C46"/>
    <w:rsid w:val="006B6E78"/>
    <w:rsid w:val="006B7970"/>
    <w:rsid w:val="006C0039"/>
    <w:rsid w:val="006C129F"/>
    <w:rsid w:val="006C1927"/>
    <w:rsid w:val="006C2585"/>
    <w:rsid w:val="006C2A9A"/>
    <w:rsid w:val="006C3878"/>
    <w:rsid w:val="006C3C74"/>
    <w:rsid w:val="006C4008"/>
    <w:rsid w:val="006C4C0A"/>
    <w:rsid w:val="006C4E2C"/>
    <w:rsid w:val="006C547F"/>
    <w:rsid w:val="006C5832"/>
    <w:rsid w:val="006C5931"/>
    <w:rsid w:val="006C6955"/>
    <w:rsid w:val="006C73EF"/>
    <w:rsid w:val="006C7F90"/>
    <w:rsid w:val="006D0357"/>
    <w:rsid w:val="006D1723"/>
    <w:rsid w:val="006D2EEB"/>
    <w:rsid w:val="006D48DF"/>
    <w:rsid w:val="006D4A55"/>
    <w:rsid w:val="006D5B90"/>
    <w:rsid w:val="006D5D3F"/>
    <w:rsid w:val="006D60ED"/>
    <w:rsid w:val="006D791D"/>
    <w:rsid w:val="006E049B"/>
    <w:rsid w:val="006E1166"/>
    <w:rsid w:val="006E1E1D"/>
    <w:rsid w:val="006E24D9"/>
    <w:rsid w:val="006E25BA"/>
    <w:rsid w:val="006E277C"/>
    <w:rsid w:val="006E2E29"/>
    <w:rsid w:val="006E49A8"/>
    <w:rsid w:val="006E57EC"/>
    <w:rsid w:val="006E596E"/>
    <w:rsid w:val="006E65E0"/>
    <w:rsid w:val="006F033F"/>
    <w:rsid w:val="006F0529"/>
    <w:rsid w:val="006F08C0"/>
    <w:rsid w:val="006F24D8"/>
    <w:rsid w:val="006F321C"/>
    <w:rsid w:val="006F33B8"/>
    <w:rsid w:val="006F4257"/>
    <w:rsid w:val="006F4C9C"/>
    <w:rsid w:val="006F640F"/>
    <w:rsid w:val="006F762A"/>
    <w:rsid w:val="006F7917"/>
    <w:rsid w:val="007006B5"/>
    <w:rsid w:val="00701B6B"/>
    <w:rsid w:val="007026CB"/>
    <w:rsid w:val="007029EE"/>
    <w:rsid w:val="00702D07"/>
    <w:rsid w:val="0070384F"/>
    <w:rsid w:val="00703A9E"/>
    <w:rsid w:val="00703D6D"/>
    <w:rsid w:val="00704095"/>
    <w:rsid w:val="00704152"/>
    <w:rsid w:val="007041D5"/>
    <w:rsid w:val="00704F11"/>
    <w:rsid w:val="00704FB5"/>
    <w:rsid w:val="007056C0"/>
    <w:rsid w:val="00706349"/>
    <w:rsid w:val="00706B71"/>
    <w:rsid w:val="0071022A"/>
    <w:rsid w:val="00710C3E"/>
    <w:rsid w:val="007118C4"/>
    <w:rsid w:val="00711AA0"/>
    <w:rsid w:val="00711AF2"/>
    <w:rsid w:val="00711D76"/>
    <w:rsid w:val="0071277A"/>
    <w:rsid w:val="00712EE5"/>
    <w:rsid w:val="00713493"/>
    <w:rsid w:val="00713494"/>
    <w:rsid w:val="00713EA7"/>
    <w:rsid w:val="00714031"/>
    <w:rsid w:val="0071466E"/>
    <w:rsid w:val="00714A6C"/>
    <w:rsid w:val="00714AD1"/>
    <w:rsid w:val="00714CD3"/>
    <w:rsid w:val="007156F0"/>
    <w:rsid w:val="0071582C"/>
    <w:rsid w:val="00716174"/>
    <w:rsid w:val="007203D8"/>
    <w:rsid w:val="007206A8"/>
    <w:rsid w:val="00720DD4"/>
    <w:rsid w:val="0072116D"/>
    <w:rsid w:val="007213B8"/>
    <w:rsid w:val="00721AC5"/>
    <w:rsid w:val="0072226F"/>
    <w:rsid w:val="00725AA6"/>
    <w:rsid w:val="00725B10"/>
    <w:rsid w:val="00725B78"/>
    <w:rsid w:val="00726049"/>
    <w:rsid w:val="00726457"/>
    <w:rsid w:val="00727082"/>
    <w:rsid w:val="00730841"/>
    <w:rsid w:val="007314D5"/>
    <w:rsid w:val="0073159D"/>
    <w:rsid w:val="0073233C"/>
    <w:rsid w:val="00732D0C"/>
    <w:rsid w:val="00733EAD"/>
    <w:rsid w:val="00734AE4"/>
    <w:rsid w:val="00734F54"/>
    <w:rsid w:val="00736D93"/>
    <w:rsid w:val="00737C04"/>
    <w:rsid w:val="00737F64"/>
    <w:rsid w:val="007409AC"/>
    <w:rsid w:val="00740DE8"/>
    <w:rsid w:val="0074103E"/>
    <w:rsid w:val="00741BBB"/>
    <w:rsid w:val="007422C9"/>
    <w:rsid w:val="007435F9"/>
    <w:rsid w:val="00744110"/>
    <w:rsid w:val="0074417D"/>
    <w:rsid w:val="00744595"/>
    <w:rsid w:val="00744721"/>
    <w:rsid w:val="007450DE"/>
    <w:rsid w:val="007456A3"/>
    <w:rsid w:val="007459D1"/>
    <w:rsid w:val="00746797"/>
    <w:rsid w:val="0074695A"/>
    <w:rsid w:val="00746F3B"/>
    <w:rsid w:val="00746FCA"/>
    <w:rsid w:val="00747670"/>
    <w:rsid w:val="0074768C"/>
    <w:rsid w:val="00747A52"/>
    <w:rsid w:val="007508DE"/>
    <w:rsid w:val="00750F1E"/>
    <w:rsid w:val="007512F2"/>
    <w:rsid w:val="007513F4"/>
    <w:rsid w:val="00751C12"/>
    <w:rsid w:val="00752224"/>
    <w:rsid w:val="00752691"/>
    <w:rsid w:val="007528F2"/>
    <w:rsid w:val="00752A73"/>
    <w:rsid w:val="0075365E"/>
    <w:rsid w:val="007539BE"/>
    <w:rsid w:val="00755961"/>
    <w:rsid w:val="00756D62"/>
    <w:rsid w:val="00757590"/>
    <w:rsid w:val="007575C4"/>
    <w:rsid w:val="00757D63"/>
    <w:rsid w:val="007604AF"/>
    <w:rsid w:val="007604D2"/>
    <w:rsid w:val="00761637"/>
    <w:rsid w:val="00762693"/>
    <w:rsid w:val="0076278E"/>
    <w:rsid w:val="007628A6"/>
    <w:rsid w:val="00762A1B"/>
    <w:rsid w:val="00762D6D"/>
    <w:rsid w:val="00763700"/>
    <w:rsid w:val="00763B0A"/>
    <w:rsid w:val="00764128"/>
    <w:rsid w:val="0076427C"/>
    <w:rsid w:val="00765217"/>
    <w:rsid w:val="007656DE"/>
    <w:rsid w:val="007659AA"/>
    <w:rsid w:val="00765F24"/>
    <w:rsid w:val="00766334"/>
    <w:rsid w:val="00770A44"/>
    <w:rsid w:val="007710D5"/>
    <w:rsid w:val="0077266C"/>
    <w:rsid w:val="00772802"/>
    <w:rsid w:val="0077304A"/>
    <w:rsid w:val="0077311A"/>
    <w:rsid w:val="00775066"/>
    <w:rsid w:val="0077601A"/>
    <w:rsid w:val="00776406"/>
    <w:rsid w:val="007767DD"/>
    <w:rsid w:val="00777A1E"/>
    <w:rsid w:val="0078005A"/>
    <w:rsid w:val="00781B6F"/>
    <w:rsid w:val="00781F9C"/>
    <w:rsid w:val="007820ED"/>
    <w:rsid w:val="00782C55"/>
    <w:rsid w:val="00782DFD"/>
    <w:rsid w:val="00783140"/>
    <w:rsid w:val="00783A50"/>
    <w:rsid w:val="00784073"/>
    <w:rsid w:val="00784424"/>
    <w:rsid w:val="00785474"/>
    <w:rsid w:val="00785C7D"/>
    <w:rsid w:val="00787201"/>
    <w:rsid w:val="0078772C"/>
    <w:rsid w:val="00787B99"/>
    <w:rsid w:val="00787E07"/>
    <w:rsid w:val="007907C8"/>
    <w:rsid w:val="007925B6"/>
    <w:rsid w:val="00792DF4"/>
    <w:rsid w:val="007934F5"/>
    <w:rsid w:val="0079421C"/>
    <w:rsid w:val="00795138"/>
    <w:rsid w:val="0079526D"/>
    <w:rsid w:val="00795A2C"/>
    <w:rsid w:val="00795B53"/>
    <w:rsid w:val="00797309"/>
    <w:rsid w:val="00797390"/>
    <w:rsid w:val="00797D62"/>
    <w:rsid w:val="00797DC4"/>
    <w:rsid w:val="007A05B6"/>
    <w:rsid w:val="007A1C0A"/>
    <w:rsid w:val="007A1C59"/>
    <w:rsid w:val="007A41A9"/>
    <w:rsid w:val="007A4397"/>
    <w:rsid w:val="007A5A21"/>
    <w:rsid w:val="007A5B41"/>
    <w:rsid w:val="007A7297"/>
    <w:rsid w:val="007A7EAC"/>
    <w:rsid w:val="007B02F3"/>
    <w:rsid w:val="007B1E29"/>
    <w:rsid w:val="007B20C4"/>
    <w:rsid w:val="007B2C21"/>
    <w:rsid w:val="007B2DD5"/>
    <w:rsid w:val="007B3009"/>
    <w:rsid w:val="007B3A76"/>
    <w:rsid w:val="007B5792"/>
    <w:rsid w:val="007B5A50"/>
    <w:rsid w:val="007B6A55"/>
    <w:rsid w:val="007B6DB7"/>
    <w:rsid w:val="007B7687"/>
    <w:rsid w:val="007C25F6"/>
    <w:rsid w:val="007C2934"/>
    <w:rsid w:val="007C31E2"/>
    <w:rsid w:val="007C37E3"/>
    <w:rsid w:val="007C49A3"/>
    <w:rsid w:val="007C5CE1"/>
    <w:rsid w:val="007C6F85"/>
    <w:rsid w:val="007C768C"/>
    <w:rsid w:val="007C7FAB"/>
    <w:rsid w:val="007D0569"/>
    <w:rsid w:val="007D16B1"/>
    <w:rsid w:val="007D19E4"/>
    <w:rsid w:val="007D2001"/>
    <w:rsid w:val="007D3332"/>
    <w:rsid w:val="007D334A"/>
    <w:rsid w:val="007D43E4"/>
    <w:rsid w:val="007D5BAC"/>
    <w:rsid w:val="007D63E7"/>
    <w:rsid w:val="007D7400"/>
    <w:rsid w:val="007D7761"/>
    <w:rsid w:val="007D79FF"/>
    <w:rsid w:val="007E02A7"/>
    <w:rsid w:val="007E328C"/>
    <w:rsid w:val="007E468A"/>
    <w:rsid w:val="007E51A5"/>
    <w:rsid w:val="007E5629"/>
    <w:rsid w:val="007E5972"/>
    <w:rsid w:val="007E7460"/>
    <w:rsid w:val="007E7F4C"/>
    <w:rsid w:val="007F0D10"/>
    <w:rsid w:val="007F1128"/>
    <w:rsid w:val="007F1389"/>
    <w:rsid w:val="007F1F85"/>
    <w:rsid w:val="007F2EC6"/>
    <w:rsid w:val="007F3018"/>
    <w:rsid w:val="007F3AE7"/>
    <w:rsid w:val="007F4107"/>
    <w:rsid w:val="007F6862"/>
    <w:rsid w:val="007F75C9"/>
    <w:rsid w:val="007F763C"/>
    <w:rsid w:val="007F7C91"/>
    <w:rsid w:val="007F7ED9"/>
    <w:rsid w:val="008013FC"/>
    <w:rsid w:val="00803449"/>
    <w:rsid w:val="00803B5A"/>
    <w:rsid w:val="00803BA6"/>
    <w:rsid w:val="00803FF8"/>
    <w:rsid w:val="008042E9"/>
    <w:rsid w:val="0080456F"/>
    <w:rsid w:val="00805CDC"/>
    <w:rsid w:val="008060C3"/>
    <w:rsid w:val="008061AF"/>
    <w:rsid w:val="008063A1"/>
    <w:rsid w:val="008070B5"/>
    <w:rsid w:val="00807E6A"/>
    <w:rsid w:val="00807F00"/>
    <w:rsid w:val="00811337"/>
    <w:rsid w:val="00812095"/>
    <w:rsid w:val="00812861"/>
    <w:rsid w:val="008134BD"/>
    <w:rsid w:val="008139A5"/>
    <w:rsid w:val="00814656"/>
    <w:rsid w:val="00815C92"/>
    <w:rsid w:val="00816B95"/>
    <w:rsid w:val="00820E45"/>
    <w:rsid w:val="00821E04"/>
    <w:rsid w:val="00821E2C"/>
    <w:rsid w:val="008223DA"/>
    <w:rsid w:val="00822835"/>
    <w:rsid w:val="00822D26"/>
    <w:rsid w:val="00823544"/>
    <w:rsid w:val="00823B4B"/>
    <w:rsid w:val="0082459B"/>
    <w:rsid w:val="00826286"/>
    <w:rsid w:val="00826758"/>
    <w:rsid w:val="008268DB"/>
    <w:rsid w:val="008313D1"/>
    <w:rsid w:val="00832EA8"/>
    <w:rsid w:val="00833261"/>
    <w:rsid w:val="00834A7F"/>
    <w:rsid w:val="00834E58"/>
    <w:rsid w:val="008353E0"/>
    <w:rsid w:val="008363C4"/>
    <w:rsid w:val="008365F0"/>
    <w:rsid w:val="008375B6"/>
    <w:rsid w:val="0083785B"/>
    <w:rsid w:val="00837DB9"/>
    <w:rsid w:val="00837EED"/>
    <w:rsid w:val="00840B7F"/>
    <w:rsid w:val="0084116B"/>
    <w:rsid w:val="00841534"/>
    <w:rsid w:val="00841F30"/>
    <w:rsid w:val="0084321B"/>
    <w:rsid w:val="00843504"/>
    <w:rsid w:val="008438C0"/>
    <w:rsid w:val="008453E6"/>
    <w:rsid w:val="008454B3"/>
    <w:rsid w:val="008462F1"/>
    <w:rsid w:val="008466D2"/>
    <w:rsid w:val="00846930"/>
    <w:rsid w:val="00850CB9"/>
    <w:rsid w:val="00850E38"/>
    <w:rsid w:val="00850FDE"/>
    <w:rsid w:val="00851859"/>
    <w:rsid w:val="008519BB"/>
    <w:rsid w:val="00852876"/>
    <w:rsid w:val="008534D6"/>
    <w:rsid w:val="008543F5"/>
    <w:rsid w:val="008547A8"/>
    <w:rsid w:val="00854AC2"/>
    <w:rsid w:val="00855004"/>
    <w:rsid w:val="008561A4"/>
    <w:rsid w:val="00856708"/>
    <w:rsid w:val="008572C4"/>
    <w:rsid w:val="0085733E"/>
    <w:rsid w:val="0085765A"/>
    <w:rsid w:val="0086032D"/>
    <w:rsid w:val="008604A8"/>
    <w:rsid w:val="00860E64"/>
    <w:rsid w:val="008616F7"/>
    <w:rsid w:val="00861AFA"/>
    <w:rsid w:val="00862A7E"/>
    <w:rsid w:val="00862B21"/>
    <w:rsid w:val="00863C61"/>
    <w:rsid w:val="00865522"/>
    <w:rsid w:val="00865ADF"/>
    <w:rsid w:val="0086644C"/>
    <w:rsid w:val="008666B5"/>
    <w:rsid w:val="008668D6"/>
    <w:rsid w:val="008676E6"/>
    <w:rsid w:val="008703B3"/>
    <w:rsid w:val="00871F13"/>
    <w:rsid w:val="00872466"/>
    <w:rsid w:val="00872992"/>
    <w:rsid w:val="00875336"/>
    <w:rsid w:val="00876053"/>
    <w:rsid w:val="00876985"/>
    <w:rsid w:val="008771AF"/>
    <w:rsid w:val="0087759C"/>
    <w:rsid w:val="008808E6"/>
    <w:rsid w:val="00883780"/>
    <w:rsid w:val="00883B97"/>
    <w:rsid w:val="00883B99"/>
    <w:rsid w:val="00885066"/>
    <w:rsid w:val="00885F85"/>
    <w:rsid w:val="008862EB"/>
    <w:rsid w:val="0088665E"/>
    <w:rsid w:val="00886FA3"/>
    <w:rsid w:val="00887F48"/>
    <w:rsid w:val="008900D5"/>
    <w:rsid w:val="00891898"/>
    <w:rsid w:val="008923C8"/>
    <w:rsid w:val="008924B5"/>
    <w:rsid w:val="008927CD"/>
    <w:rsid w:val="00893260"/>
    <w:rsid w:val="008932A8"/>
    <w:rsid w:val="00893756"/>
    <w:rsid w:val="00893AD1"/>
    <w:rsid w:val="00894397"/>
    <w:rsid w:val="008947C1"/>
    <w:rsid w:val="00894A9E"/>
    <w:rsid w:val="008950F6"/>
    <w:rsid w:val="00895175"/>
    <w:rsid w:val="00896761"/>
    <w:rsid w:val="00896815"/>
    <w:rsid w:val="00896BB7"/>
    <w:rsid w:val="008A0744"/>
    <w:rsid w:val="008A0A6E"/>
    <w:rsid w:val="008A0C3F"/>
    <w:rsid w:val="008A0D0F"/>
    <w:rsid w:val="008A2FB3"/>
    <w:rsid w:val="008A336A"/>
    <w:rsid w:val="008A398B"/>
    <w:rsid w:val="008A556C"/>
    <w:rsid w:val="008A5601"/>
    <w:rsid w:val="008A56C6"/>
    <w:rsid w:val="008A572A"/>
    <w:rsid w:val="008A59AD"/>
    <w:rsid w:val="008A6C13"/>
    <w:rsid w:val="008B0EEB"/>
    <w:rsid w:val="008B33D6"/>
    <w:rsid w:val="008B4222"/>
    <w:rsid w:val="008B431D"/>
    <w:rsid w:val="008B448A"/>
    <w:rsid w:val="008B47D0"/>
    <w:rsid w:val="008B51FD"/>
    <w:rsid w:val="008B5A0F"/>
    <w:rsid w:val="008B6269"/>
    <w:rsid w:val="008B64B0"/>
    <w:rsid w:val="008B6766"/>
    <w:rsid w:val="008B70F5"/>
    <w:rsid w:val="008B7186"/>
    <w:rsid w:val="008B7192"/>
    <w:rsid w:val="008C0712"/>
    <w:rsid w:val="008C14AD"/>
    <w:rsid w:val="008C1939"/>
    <w:rsid w:val="008C1D57"/>
    <w:rsid w:val="008C2C07"/>
    <w:rsid w:val="008C3396"/>
    <w:rsid w:val="008C3BD9"/>
    <w:rsid w:val="008C3D55"/>
    <w:rsid w:val="008C621C"/>
    <w:rsid w:val="008C63F1"/>
    <w:rsid w:val="008C68E6"/>
    <w:rsid w:val="008C697C"/>
    <w:rsid w:val="008C741E"/>
    <w:rsid w:val="008C7448"/>
    <w:rsid w:val="008C75ED"/>
    <w:rsid w:val="008C7649"/>
    <w:rsid w:val="008C7E10"/>
    <w:rsid w:val="008D13A9"/>
    <w:rsid w:val="008D1D7D"/>
    <w:rsid w:val="008D4535"/>
    <w:rsid w:val="008D4E3C"/>
    <w:rsid w:val="008D685A"/>
    <w:rsid w:val="008D692A"/>
    <w:rsid w:val="008E03B0"/>
    <w:rsid w:val="008E0409"/>
    <w:rsid w:val="008E0991"/>
    <w:rsid w:val="008E338E"/>
    <w:rsid w:val="008E42F2"/>
    <w:rsid w:val="008E4444"/>
    <w:rsid w:val="008E54DD"/>
    <w:rsid w:val="008E57FE"/>
    <w:rsid w:val="008E64EC"/>
    <w:rsid w:val="008E7F55"/>
    <w:rsid w:val="008E7F93"/>
    <w:rsid w:val="008F0890"/>
    <w:rsid w:val="008F1130"/>
    <w:rsid w:val="008F1818"/>
    <w:rsid w:val="008F2665"/>
    <w:rsid w:val="008F4DA5"/>
    <w:rsid w:val="008F507E"/>
    <w:rsid w:val="008F5251"/>
    <w:rsid w:val="008F5D9F"/>
    <w:rsid w:val="008F6376"/>
    <w:rsid w:val="008F697C"/>
    <w:rsid w:val="008F6A78"/>
    <w:rsid w:val="008F6CEF"/>
    <w:rsid w:val="00900318"/>
    <w:rsid w:val="00900CC2"/>
    <w:rsid w:val="00900F8D"/>
    <w:rsid w:val="00901770"/>
    <w:rsid w:val="009019FB"/>
    <w:rsid w:val="0090222D"/>
    <w:rsid w:val="00902AA5"/>
    <w:rsid w:val="0090514B"/>
    <w:rsid w:val="009052B7"/>
    <w:rsid w:val="00905B05"/>
    <w:rsid w:val="00905D43"/>
    <w:rsid w:val="00906A68"/>
    <w:rsid w:val="0090753C"/>
    <w:rsid w:val="0090759D"/>
    <w:rsid w:val="0091156F"/>
    <w:rsid w:val="00911B66"/>
    <w:rsid w:val="00912A7E"/>
    <w:rsid w:val="00913C0A"/>
    <w:rsid w:val="0091447B"/>
    <w:rsid w:val="00915330"/>
    <w:rsid w:val="00916282"/>
    <w:rsid w:val="00916E69"/>
    <w:rsid w:val="00917525"/>
    <w:rsid w:val="0091777D"/>
    <w:rsid w:val="00917B3A"/>
    <w:rsid w:val="00917C39"/>
    <w:rsid w:val="00920265"/>
    <w:rsid w:val="0092057D"/>
    <w:rsid w:val="0092061A"/>
    <w:rsid w:val="0092113B"/>
    <w:rsid w:val="00921442"/>
    <w:rsid w:val="0092173B"/>
    <w:rsid w:val="009218DE"/>
    <w:rsid w:val="00921D5B"/>
    <w:rsid w:val="00921E97"/>
    <w:rsid w:val="009225E6"/>
    <w:rsid w:val="00922970"/>
    <w:rsid w:val="00922D00"/>
    <w:rsid w:val="009233CC"/>
    <w:rsid w:val="00923F17"/>
    <w:rsid w:val="00924B03"/>
    <w:rsid w:val="00924FBE"/>
    <w:rsid w:val="00925C0B"/>
    <w:rsid w:val="009264E4"/>
    <w:rsid w:val="009266DA"/>
    <w:rsid w:val="00927F35"/>
    <w:rsid w:val="00930505"/>
    <w:rsid w:val="00930CD7"/>
    <w:rsid w:val="00930DAE"/>
    <w:rsid w:val="00930DE8"/>
    <w:rsid w:val="00930F2C"/>
    <w:rsid w:val="00931585"/>
    <w:rsid w:val="009318DD"/>
    <w:rsid w:val="009319CB"/>
    <w:rsid w:val="00931D3C"/>
    <w:rsid w:val="009352C3"/>
    <w:rsid w:val="00935413"/>
    <w:rsid w:val="00935503"/>
    <w:rsid w:val="00935633"/>
    <w:rsid w:val="00935BE0"/>
    <w:rsid w:val="00935F5D"/>
    <w:rsid w:val="0093669F"/>
    <w:rsid w:val="009368E0"/>
    <w:rsid w:val="009406D6"/>
    <w:rsid w:val="009415C6"/>
    <w:rsid w:val="009416CC"/>
    <w:rsid w:val="0094200A"/>
    <w:rsid w:val="0094260B"/>
    <w:rsid w:val="00942661"/>
    <w:rsid w:val="00943924"/>
    <w:rsid w:val="00943F74"/>
    <w:rsid w:val="00945307"/>
    <w:rsid w:val="0094558D"/>
    <w:rsid w:val="009455C5"/>
    <w:rsid w:val="009464A1"/>
    <w:rsid w:val="0094697C"/>
    <w:rsid w:val="00946FCE"/>
    <w:rsid w:val="009515BC"/>
    <w:rsid w:val="00952D25"/>
    <w:rsid w:val="00952F8A"/>
    <w:rsid w:val="0095349A"/>
    <w:rsid w:val="00953B5B"/>
    <w:rsid w:val="00953ED0"/>
    <w:rsid w:val="00953FA7"/>
    <w:rsid w:val="009545F7"/>
    <w:rsid w:val="009548CC"/>
    <w:rsid w:val="0095492E"/>
    <w:rsid w:val="00955F7D"/>
    <w:rsid w:val="0096242F"/>
    <w:rsid w:val="00962B0B"/>
    <w:rsid w:val="00962E3B"/>
    <w:rsid w:val="00962FF5"/>
    <w:rsid w:val="00964A4E"/>
    <w:rsid w:val="00965239"/>
    <w:rsid w:val="00965533"/>
    <w:rsid w:val="00965B02"/>
    <w:rsid w:val="00965C07"/>
    <w:rsid w:val="00965C30"/>
    <w:rsid w:val="00965D2D"/>
    <w:rsid w:val="0096667A"/>
    <w:rsid w:val="0096720B"/>
    <w:rsid w:val="009673EC"/>
    <w:rsid w:val="00967A62"/>
    <w:rsid w:val="00967C86"/>
    <w:rsid w:val="00970A16"/>
    <w:rsid w:val="00970C53"/>
    <w:rsid w:val="00971847"/>
    <w:rsid w:val="0097197E"/>
    <w:rsid w:val="00972257"/>
    <w:rsid w:val="00972964"/>
    <w:rsid w:val="00972C4F"/>
    <w:rsid w:val="00973514"/>
    <w:rsid w:val="00974275"/>
    <w:rsid w:val="00976FC1"/>
    <w:rsid w:val="0097762F"/>
    <w:rsid w:val="00977C0A"/>
    <w:rsid w:val="00977E91"/>
    <w:rsid w:val="009816B8"/>
    <w:rsid w:val="00981A6F"/>
    <w:rsid w:val="0098296F"/>
    <w:rsid w:val="00982D66"/>
    <w:rsid w:val="00983B45"/>
    <w:rsid w:val="00983B5C"/>
    <w:rsid w:val="00984585"/>
    <w:rsid w:val="009845F9"/>
    <w:rsid w:val="00985DF4"/>
    <w:rsid w:val="0098679C"/>
    <w:rsid w:val="0098766F"/>
    <w:rsid w:val="00990932"/>
    <w:rsid w:val="009909DF"/>
    <w:rsid w:val="00990E2B"/>
    <w:rsid w:val="0099190E"/>
    <w:rsid w:val="009927EB"/>
    <w:rsid w:val="00993912"/>
    <w:rsid w:val="00994050"/>
    <w:rsid w:val="009940B0"/>
    <w:rsid w:val="009962CF"/>
    <w:rsid w:val="00996599"/>
    <w:rsid w:val="00996875"/>
    <w:rsid w:val="009969D6"/>
    <w:rsid w:val="00996AEA"/>
    <w:rsid w:val="00997BA7"/>
    <w:rsid w:val="009A2B00"/>
    <w:rsid w:val="009A3261"/>
    <w:rsid w:val="009A4543"/>
    <w:rsid w:val="009A5DB1"/>
    <w:rsid w:val="009A7C5A"/>
    <w:rsid w:val="009A7E51"/>
    <w:rsid w:val="009A7E72"/>
    <w:rsid w:val="009B06B9"/>
    <w:rsid w:val="009B21B9"/>
    <w:rsid w:val="009B2FAD"/>
    <w:rsid w:val="009B34A2"/>
    <w:rsid w:val="009B3D58"/>
    <w:rsid w:val="009B41BF"/>
    <w:rsid w:val="009B4CD0"/>
    <w:rsid w:val="009B4DA7"/>
    <w:rsid w:val="009B6DB9"/>
    <w:rsid w:val="009B72D9"/>
    <w:rsid w:val="009C000E"/>
    <w:rsid w:val="009C21C6"/>
    <w:rsid w:val="009C3803"/>
    <w:rsid w:val="009C383B"/>
    <w:rsid w:val="009C3A80"/>
    <w:rsid w:val="009C3DFB"/>
    <w:rsid w:val="009C3F87"/>
    <w:rsid w:val="009C41D0"/>
    <w:rsid w:val="009C41EC"/>
    <w:rsid w:val="009C4B6F"/>
    <w:rsid w:val="009C5238"/>
    <w:rsid w:val="009C5C30"/>
    <w:rsid w:val="009C71A9"/>
    <w:rsid w:val="009D1275"/>
    <w:rsid w:val="009D12B4"/>
    <w:rsid w:val="009D1E70"/>
    <w:rsid w:val="009D2135"/>
    <w:rsid w:val="009D24F6"/>
    <w:rsid w:val="009D2FA7"/>
    <w:rsid w:val="009D3673"/>
    <w:rsid w:val="009D4166"/>
    <w:rsid w:val="009D4CAE"/>
    <w:rsid w:val="009D55F9"/>
    <w:rsid w:val="009D5837"/>
    <w:rsid w:val="009D5A11"/>
    <w:rsid w:val="009D6253"/>
    <w:rsid w:val="009D6FDF"/>
    <w:rsid w:val="009D7111"/>
    <w:rsid w:val="009D765F"/>
    <w:rsid w:val="009D7760"/>
    <w:rsid w:val="009E0D16"/>
    <w:rsid w:val="009E116F"/>
    <w:rsid w:val="009E16E6"/>
    <w:rsid w:val="009E1C0D"/>
    <w:rsid w:val="009E1E62"/>
    <w:rsid w:val="009E2953"/>
    <w:rsid w:val="009E2954"/>
    <w:rsid w:val="009E2AEB"/>
    <w:rsid w:val="009E2C62"/>
    <w:rsid w:val="009E30CE"/>
    <w:rsid w:val="009E4AA8"/>
    <w:rsid w:val="009E4BA2"/>
    <w:rsid w:val="009E4CDF"/>
    <w:rsid w:val="009E5867"/>
    <w:rsid w:val="009E65E2"/>
    <w:rsid w:val="009E75B5"/>
    <w:rsid w:val="009F04C3"/>
    <w:rsid w:val="009F0760"/>
    <w:rsid w:val="009F0D33"/>
    <w:rsid w:val="009F3599"/>
    <w:rsid w:val="009F3B29"/>
    <w:rsid w:val="009F4860"/>
    <w:rsid w:val="009F4CF6"/>
    <w:rsid w:val="009F4D21"/>
    <w:rsid w:val="009F775C"/>
    <w:rsid w:val="00A00057"/>
    <w:rsid w:val="00A0017D"/>
    <w:rsid w:val="00A00485"/>
    <w:rsid w:val="00A01317"/>
    <w:rsid w:val="00A01A5F"/>
    <w:rsid w:val="00A01B3A"/>
    <w:rsid w:val="00A025AC"/>
    <w:rsid w:val="00A028A3"/>
    <w:rsid w:val="00A02C96"/>
    <w:rsid w:val="00A02E65"/>
    <w:rsid w:val="00A03190"/>
    <w:rsid w:val="00A0340A"/>
    <w:rsid w:val="00A0440C"/>
    <w:rsid w:val="00A04467"/>
    <w:rsid w:val="00A045AB"/>
    <w:rsid w:val="00A04677"/>
    <w:rsid w:val="00A047AE"/>
    <w:rsid w:val="00A04BAC"/>
    <w:rsid w:val="00A04C82"/>
    <w:rsid w:val="00A04ED6"/>
    <w:rsid w:val="00A0585F"/>
    <w:rsid w:val="00A0694A"/>
    <w:rsid w:val="00A07053"/>
    <w:rsid w:val="00A077AC"/>
    <w:rsid w:val="00A07A33"/>
    <w:rsid w:val="00A100F9"/>
    <w:rsid w:val="00A10A30"/>
    <w:rsid w:val="00A1137C"/>
    <w:rsid w:val="00A113D7"/>
    <w:rsid w:val="00A11F0F"/>
    <w:rsid w:val="00A12454"/>
    <w:rsid w:val="00A12C43"/>
    <w:rsid w:val="00A14B04"/>
    <w:rsid w:val="00A155EE"/>
    <w:rsid w:val="00A16126"/>
    <w:rsid w:val="00A165DB"/>
    <w:rsid w:val="00A17019"/>
    <w:rsid w:val="00A20043"/>
    <w:rsid w:val="00A2083D"/>
    <w:rsid w:val="00A219A5"/>
    <w:rsid w:val="00A21C6C"/>
    <w:rsid w:val="00A2365A"/>
    <w:rsid w:val="00A23F53"/>
    <w:rsid w:val="00A2401D"/>
    <w:rsid w:val="00A24133"/>
    <w:rsid w:val="00A24B81"/>
    <w:rsid w:val="00A24B88"/>
    <w:rsid w:val="00A2548E"/>
    <w:rsid w:val="00A262BF"/>
    <w:rsid w:val="00A26F32"/>
    <w:rsid w:val="00A27809"/>
    <w:rsid w:val="00A30533"/>
    <w:rsid w:val="00A317B0"/>
    <w:rsid w:val="00A31BF6"/>
    <w:rsid w:val="00A329E0"/>
    <w:rsid w:val="00A34591"/>
    <w:rsid w:val="00A34E44"/>
    <w:rsid w:val="00A35B8F"/>
    <w:rsid w:val="00A3640F"/>
    <w:rsid w:val="00A3654B"/>
    <w:rsid w:val="00A37304"/>
    <w:rsid w:val="00A37ECF"/>
    <w:rsid w:val="00A40CE2"/>
    <w:rsid w:val="00A415BB"/>
    <w:rsid w:val="00A42FAE"/>
    <w:rsid w:val="00A43553"/>
    <w:rsid w:val="00A4398A"/>
    <w:rsid w:val="00A43F8F"/>
    <w:rsid w:val="00A44209"/>
    <w:rsid w:val="00A447AB"/>
    <w:rsid w:val="00A46C55"/>
    <w:rsid w:val="00A47176"/>
    <w:rsid w:val="00A475C5"/>
    <w:rsid w:val="00A4768C"/>
    <w:rsid w:val="00A47CBB"/>
    <w:rsid w:val="00A50A68"/>
    <w:rsid w:val="00A50D3B"/>
    <w:rsid w:val="00A50E38"/>
    <w:rsid w:val="00A510C6"/>
    <w:rsid w:val="00A5130F"/>
    <w:rsid w:val="00A518AA"/>
    <w:rsid w:val="00A525E7"/>
    <w:rsid w:val="00A52F9E"/>
    <w:rsid w:val="00A53099"/>
    <w:rsid w:val="00A5372B"/>
    <w:rsid w:val="00A539ED"/>
    <w:rsid w:val="00A5410C"/>
    <w:rsid w:val="00A555EA"/>
    <w:rsid w:val="00A56348"/>
    <w:rsid w:val="00A566E0"/>
    <w:rsid w:val="00A5703F"/>
    <w:rsid w:val="00A57D39"/>
    <w:rsid w:val="00A60538"/>
    <w:rsid w:val="00A61825"/>
    <w:rsid w:val="00A62FCA"/>
    <w:rsid w:val="00A6316B"/>
    <w:rsid w:val="00A64D07"/>
    <w:rsid w:val="00A65316"/>
    <w:rsid w:val="00A65322"/>
    <w:rsid w:val="00A674FF"/>
    <w:rsid w:val="00A67B5B"/>
    <w:rsid w:val="00A70F69"/>
    <w:rsid w:val="00A71340"/>
    <w:rsid w:val="00A72611"/>
    <w:rsid w:val="00A72CF1"/>
    <w:rsid w:val="00A733F3"/>
    <w:rsid w:val="00A738D9"/>
    <w:rsid w:val="00A73ABB"/>
    <w:rsid w:val="00A73EDB"/>
    <w:rsid w:val="00A751A1"/>
    <w:rsid w:val="00A76225"/>
    <w:rsid w:val="00A76D2C"/>
    <w:rsid w:val="00A772B0"/>
    <w:rsid w:val="00A77746"/>
    <w:rsid w:val="00A806AA"/>
    <w:rsid w:val="00A815A3"/>
    <w:rsid w:val="00A83BF6"/>
    <w:rsid w:val="00A842C9"/>
    <w:rsid w:val="00A84BAC"/>
    <w:rsid w:val="00A85CCA"/>
    <w:rsid w:val="00A87B4F"/>
    <w:rsid w:val="00A87D85"/>
    <w:rsid w:val="00A87F31"/>
    <w:rsid w:val="00A90D27"/>
    <w:rsid w:val="00A91009"/>
    <w:rsid w:val="00A9103B"/>
    <w:rsid w:val="00A91284"/>
    <w:rsid w:val="00A918A7"/>
    <w:rsid w:val="00A9234D"/>
    <w:rsid w:val="00A92871"/>
    <w:rsid w:val="00A9317C"/>
    <w:rsid w:val="00A94CE9"/>
    <w:rsid w:val="00A9505C"/>
    <w:rsid w:val="00A955EB"/>
    <w:rsid w:val="00A9591E"/>
    <w:rsid w:val="00A9725E"/>
    <w:rsid w:val="00A97926"/>
    <w:rsid w:val="00AA1F49"/>
    <w:rsid w:val="00AA3A2E"/>
    <w:rsid w:val="00AA3F36"/>
    <w:rsid w:val="00AA4099"/>
    <w:rsid w:val="00AA41F2"/>
    <w:rsid w:val="00AA422F"/>
    <w:rsid w:val="00AA4D5A"/>
    <w:rsid w:val="00AA514B"/>
    <w:rsid w:val="00AA5393"/>
    <w:rsid w:val="00AA5989"/>
    <w:rsid w:val="00AA6913"/>
    <w:rsid w:val="00AB0FE1"/>
    <w:rsid w:val="00AB2190"/>
    <w:rsid w:val="00AB2A9D"/>
    <w:rsid w:val="00AB2E9F"/>
    <w:rsid w:val="00AB39EB"/>
    <w:rsid w:val="00AB3F27"/>
    <w:rsid w:val="00AB3FD9"/>
    <w:rsid w:val="00AB47F1"/>
    <w:rsid w:val="00AB5876"/>
    <w:rsid w:val="00AB7776"/>
    <w:rsid w:val="00AB7DE7"/>
    <w:rsid w:val="00AB7EDE"/>
    <w:rsid w:val="00AC01D4"/>
    <w:rsid w:val="00AC0387"/>
    <w:rsid w:val="00AC03AB"/>
    <w:rsid w:val="00AC0650"/>
    <w:rsid w:val="00AC0DE3"/>
    <w:rsid w:val="00AC1560"/>
    <w:rsid w:val="00AC1BE7"/>
    <w:rsid w:val="00AC2490"/>
    <w:rsid w:val="00AC275F"/>
    <w:rsid w:val="00AC36A9"/>
    <w:rsid w:val="00AC3EE4"/>
    <w:rsid w:val="00AC49C7"/>
    <w:rsid w:val="00AC4D72"/>
    <w:rsid w:val="00AC50A4"/>
    <w:rsid w:val="00AC5A10"/>
    <w:rsid w:val="00AC5A95"/>
    <w:rsid w:val="00AC6074"/>
    <w:rsid w:val="00AC6471"/>
    <w:rsid w:val="00AC6C0A"/>
    <w:rsid w:val="00AC7B6E"/>
    <w:rsid w:val="00AC7C5A"/>
    <w:rsid w:val="00AC7CB9"/>
    <w:rsid w:val="00AD00D6"/>
    <w:rsid w:val="00AD1751"/>
    <w:rsid w:val="00AD2B6E"/>
    <w:rsid w:val="00AD340D"/>
    <w:rsid w:val="00AD3443"/>
    <w:rsid w:val="00AD3CCF"/>
    <w:rsid w:val="00AD3E9B"/>
    <w:rsid w:val="00AD3F06"/>
    <w:rsid w:val="00AD45BD"/>
    <w:rsid w:val="00AD4B3C"/>
    <w:rsid w:val="00AD5EC5"/>
    <w:rsid w:val="00AD66C0"/>
    <w:rsid w:val="00AD6807"/>
    <w:rsid w:val="00AD68A5"/>
    <w:rsid w:val="00AE1346"/>
    <w:rsid w:val="00AE147F"/>
    <w:rsid w:val="00AE185D"/>
    <w:rsid w:val="00AE1BFE"/>
    <w:rsid w:val="00AE2082"/>
    <w:rsid w:val="00AE22F5"/>
    <w:rsid w:val="00AE2EBB"/>
    <w:rsid w:val="00AE3842"/>
    <w:rsid w:val="00AE3D83"/>
    <w:rsid w:val="00AE4374"/>
    <w:rsid w:val="00AE466A"/>
    <w:rsid w:val="00AE47E9"/>
    <w:rsid w:val="00AE485C"/>
    <w:rsid w:val="00AE555C"/>
    <w:rsid w:val="00AE56DA"/>
    <w:rsid w:val="00AE7D4F"/>
    <w:rsid w:val="00AE7FE4"/>
    <w:rsid w:val="00AF0117"/>
    <w:rsid w:val="00AF04A9"/>
    <w:rsid w:val="00AF0899"/>
    <w:rsid w:val="00AF1527"/>
    <w:rsid w:val="00AF17D3"/>
    <w:rsid w:val="00AF1D77"/>
    <w:rsid w:val="00AF1E50"/>
    <w:rsid w:val="00AF2580"/>
    <w:rsid w:val="00AF38BA"/>
    <w:rsid w:val="00AF3B57"/>
    <w:rsid w:val="00AF4AAB"/>
    <w:rsid w:val="00AF4F67"/>
    <w:rsid w:val="00AF51DA"/>
    <w:rsid w:val="00AF5811"/>
    <w:rsid w:val="00AF6509"/>
    <w:rsid w:val="00AF7D00"/>
    <w:rsid w:val="00B00BBE"/>
    <w:rsid w:val="00B00C58"/>
    <w:rsid w:val="00B01629"/>
    <w:rsid w:val="00B0447C"/>
    <w:rsid w:val="00B04509"/>
    <w:rsid w:val="00B0456E"/>
    <w:rsid w:val="00B0624F"/>
    <w:rsid w:val="00B06A05"/>
    <w:rsid w:val="00B06B3B"/>
    <w:rsid w:val="00B06BF6"/>
    <w:rsid w:val="00B06F7F"/>
    <w:rsid w:val="00B07603"/>
    <w:rsid w:val="00B100F0"/>
    <w:rsid w:val="00B10948"/>
    <w:rsid w:val="00B11C0B"/>
    <w:rsid w:val="00B1389D"/>
    <w:rsid w:val="00B1402E"/>
    <w:rsid w:val="00B142FD"/>
    <w:rsid w:val="00B14821"/>
    <w:rsid w:val="00B14865"/>
    <w:rsid w:val="00B148D5"/>
    <w:rsid w:val="00B163B9"/>
    <w:rsid w:val="00B209C0"/>
    <w:rsid w:val="00B21CEB"/>
    <w:rsid w:val="00B21D50"/>
    <w:rsid w:val="00B21D5B"/>
    <w:rsid w:val="00B21E0B"/>
    <w:rsid w:val="00B229BE"/>
    <w:rsid w:val="00B22F9B"/>
    <w:rsid w:val="00B23747"/>
    <w:rsid w:val="00B23E0A"/>
    <w:rsid w:val="00B24090"/>
    <w:rsid w:val="00B248A4"/>
    <w:rsid w:val="00B24977"/>
    <w:rsid w:val="00B24D5E"/>
    <w:rsid w:val="00B25225"/>
    <w:rsid w:val="00B2531D"/>
    <w:rsid w:val="00B257E3"/>
    <w:rsid w:val="00B260C7"/>
    <w:rsid w:val="00B26455"/>
    <w:rsid w:val="00B27494"/>
    <w:rsid w:val="00B279B9"/>
    <w:rsid w:val="00B27BFD"/>
    <w:rsid w:val="00B27C54"/>
    <w:rsid w:val="00B27DA6"/>
    <w:rsid w:val="00B307CA"/>
    <w:rsid w:val="00B30FD0"/>
    <w:rsid w:val="00B32219"/>
    <w:rsid w:val="00B323AF"/>
    <w:rsid w:val="00B3248E"/>
    <w:rsid w:val="00B332D6"/>
    <w:rsid w:val="00B33EED"/>
    <w:rsid w:val="00B34F48"/>
    <w:rsid w:val="00B3594B"/>
    <w:rsid w:val="00B36DD7"/>
    <w:rsid w:val="00B36E5B"/>
    <w:rsid w:val="00B37B9A"/>
    <w:rsid w:val="00B40421"/>
    <w:rsid w:val="00B44295"/>
    <w:rsid w:val="00B45DF2"/>
    <w:rsid w:val="00B45FAC"/>
    <w:rsid w:val="00B4607E"/>
    <w:rsid w:val="00B4653E"/>
    <w:rsid w:val="00B509BA"/>
    <w:rsid w:val="00B51BA0"/>
    <w:rsid w:val="00B535BD"/>
    <w:rsid w:val="00B53701"/>
    <w:rsid w:val="00B5376B"/>
    <w:rsid w:val="00B53BDB"/>
    <w:rsid w:val="00B54704"/>
    <w:rsid w:val="00B5509D"/>
    <w:rsid w:val="00B55113"/>
    <w:rsid w:val="00B55317"/>
    <w:rsid w:val="00B5662E"/>
    <w:rsid w:val="00B568F2"/>
    <w:rsid w:val="00B56A26"/>
    <w:rsid w:val="00B56E5E"/>
    <w:rsid w:val="00B573E6"/>
    <w:rsid w:val="00B603B7"/>
    <w:rsid w:val="00B60B62"/>
    <w:rsid w:val="00B6110A"/>
    <w:rsid w:val="00B6176A"/>
    <w:rsid w:val="00B6301A"/>
    <w:rsid w:val="00B64472"/>
    <w:rsid w:val="00B64799"/>
    <w:rsid w:val="00B64CAD"/>
    <w:rsid w:val="00B651FA"/>
    <w:rsid w:val="00B66751"/>
    <w:rsid w:val="00B66B7C"/>
    <w:rsid w:val="00B66CD7"/>
    <w:rsid w:val="00B67338"/>
    <w:rsid w:val="00B67460"/>
    <w:rsid w:val="00B67AA6"/>
    <w:rsid w:val="00B7012B"/>
    <w:rsid w:val="00B7066C"/>
    <w:rsid w:val="00B70CFD"/>
    <w:rsid w:val="00B717D8"/>
    <w:rsid w:val="00B717DB"/>
    <w:rsid w:val="00B718E0"/>
    <w:rsid w:val="00B722C5"/>
    <w:rsid w:val="00B72DF3"/>
    <w:rsid w:val="00B74146"/>
    <w:rsid w:val="00B7456E"/>
    <w:rsid w:val="00B747A3"/>
    <w:rsid w:val="00B75A27"/>
    <w:rsid w:val="00B75E52"/>
    <w:rsid w:val="00B7689E"/>
    <w:rsid w:val="00B76F6C"/>
    <w:rsid w:val="00B8080B"/>
    <w:rsid w:val="00B811EF"/>
    <w:rsid w:val="00B81315"/>
    <w:rsid w:val="00B81568"/>
    <w:rsid w:val="00B819C8"/>
    <w:rsid w:val="00B8295A"/>
    <w:rsid w:val="00B82E5D"/>
    <w:rsid w:val="00B8310D"/>
    <w:rsid w:val="00B831B9"/>
    <w:rsid w:val="00B833E1"/>
    <w:rsid w:val="00B83BFB"/>
    <w:rsid w:val="00B84ACC"/>
    <w:rsid w:val="00B86C23"/>
    <w:rsid w:val="00B86EF1"/>
    <w:rsid w:val="00B90674"/>
    <w:rsid w:val="00B91F77"/>
    <w:rsid w:val="00B91FFF"/>
    <w:rsid w:val="00B934E3"/>
    <w:rsid w:val="00B93BEA"/>
    <w:rsid w:val="00B94323"/>
    <w:rsid w:val="00B94444"/>
    <w:rsid w:val="00B9566B"/>
    <w:rsid w:val="00B95F92"/>
    <w:rsid w:val="00B961B7"/>
    <w:rsid w:val="00B962EB"/>
    <w:rsid w:val="00B963D4"/>
    <w:rsid w:val="00B96B9C"/>
    <w:rsid w:val="00B9772B"/>
    <w:rsid w:val="00BA07B6"/>
    <w:rsid w:val="00BA0835"/>
    <w:rsid w:val="00BA1470"/>
    <w:rsid w:val="00BA1823"/>
    <w:rsid w:val="00BA2DEF"/>
    <w:rsid w:val="00BA35F2"/>
    <w:rsid w:val="00BA388E"/>
    <w:rsid w:val="00BA39E6"/>
    <w:rsid w:val="00BA42FB"/>
    <w:rsid w:val="00BA4768"/>
    <w:rsid w:val="00BA4861"/>
    <w:rsid w:val="00BA4A92"/>
    <w:rsid w:val="00BA516F"/>
    <w:rsid w:val="00BA53CA"/>
    <w:rsid w:val="00BA628C"/>
    <w:rsid w:val="00BA7059"/>
    <w:rsid w:val="00BA738B"/>
    <w:rsid w:val="00BA7FEF"/>
    <w:rsid w:val="00BB0051"/>
    <w:rsid w:val="00BB02C6"/>
    <w:rsid w:val="00BB0792"/>
    <w:rsid w:val="00BB0F5E"/>
    <w:rsid w:val="00BB1082"/>
    <w:rsid w:val="00BB2127"/>
    <w:rsid w:val="00BB25F5"/>
    <w:rsid w:val="00BB2ED1"/>
    <w:rsid w:val="00BB3805"/>
    <w:rsid w:val="00BB3DA8"/>
    <w:rsid w:val="00BB4589"/>
    <w:rsid w:val="00BB4BF5"/>
    <w:rsid w:val="00BB52A5"/>
    <w:rsid w:val="00BB5893"/>
    <w:rsid w:val="00BB6740"/>
    <w:rsid w:val="00BB768B"/>
    <w:rsid w:val="00BB7EA1"/>
    <w:rsid w:val="00BB7F81"/>
    <w:rsid w:val="00BC1DBF"/>
    <w:rsid w:val="00BC21EF"/>
    <w:rsid w:val="00BC269B"/>
    <w:rsid w:val="00BC27D2"/>
    <w:rsid w:val="00BC299D"/>
    <w:rsid w:val="00BC317A"/>
    <w:rsid w:val="00BC3DBE"/>
    <w:rsid w:val="00BC6080"/>
    <w:rsid w:val="00BC6C7C"/>
    <w:rsid w:val="00BC6CB3"/>
    <w:rsid w:val="00BC6D0F"/>
    <w:rsid w:val="00BD0648"/>
    <w:rsid w:val="00BD1517"/>
    <w:rsid w:val="00BD35E1"/>
    <w:rsid w:val="00BD3A56"/>
    <w:rsid w:val="00BD411E"/>
    <w:rsid w:val="00BD54FC"/>
    <w:rsid w:val="00BD63C3"/>
    <w:rsid w:val="00BD67CE"/>
    <w:rsid w:val="00BD6CE8"/>
    <w:rsid w:val="00BD76A4"/>
    <w:rsid w:val="00BE0186"/>
    <w:rsid w:val="00BE01F5"/>
    <w:rsid w:val="00BE0D62"/>
    <w:rsid w:val="00BE0F9C"/>
    <w:rsid w:val="00BE1C8A"/>
    <w:rsid w:val="00BE3F6C"/>
    <w:rsid w:val="00BE4857"/>
    <w:rsid w:val="00BE5847"/>
    <w:rsid w:val="00BE5BE0"/>
    <w:rsid w:val="00BE5D1D"/>
    <w:rsid w:val="00BE697B"/>
    <w:rsid w:val="00BE70E8"/>
    <w:rsid w:val="00BE732C"/>
    <w:rsid w:val="00BF0E76"/>
    <w:rsid w:val="00BF10D2"/>
    <w:rsid w:val="00BF12AF"/>
    <w:rsid w:val="00BF1461"/>
    <w:rsid w:val="00BF19DC"/>
    <w:rsid w:val="00BF1A8E"/>
    <w:rsid w:val="00BF224F"/>
    <w:rsid w:val="00BF2B3E"/>
    <w:rsid w:val="00BF2DAF"/>
    <w:rsid w:val="00BF4E1B"/>
    <w:rsid w:val="00BF5AB9"/>
    <w:rsid w:val="00BF65F3"/>
    <w:rsid w:val="00BF6D5E"/>
    <w:rsid w:val="00C00CF3"/>
    <w:rsid w:val="00C00D55"/>
    <w:rsid w:val="00C01083"/>
    <w:rsid w:val="00C0197B"/>
    <w:rsid w:val="00C01F24"/>
    <w:rsid w:val="00C0312E"/>
    <w:rsid w:val="00C0407E"/>
    <w:rsid w:val="00C0480F"/>
    <w:rsid w:val="00C04C9A"/>
    <w:rsid w:val="00C04CF8"/>
    <w:rsid w:val="00C07898"/>
    <w:rsid w:val="00C07995"/>
    <w:rsid w:val="00C1043C"/>
    <w:rsid w:val="00C10B43"/>
    <w:rsid w:val="00C10D90"/>
    <w:rsid w:val="00C125FB"/>
    <w:rsid w:val="00C12A51"/>
    <w:rsid w:val="00C12C65"/>
    <w:rsid w:val="00C12CD1"/>
    <w:rsid w:val="00C134CB"/>
    <w:rsid w:val="00C1351C"/>
    <w:rsid w:val="00C138C0"/>
    <w:rsid w:val="00C1565C"/>
    <w:rsid w:val="00C15749"/>
    <w:rsid w:val="00C1591E"/>
    <w:rsid w:val="00C173EE"/>
    <w:rsid w:val="00C20D36"/>
    <w:rsid w:val="00C21038"/>
    <w:rsid w:val="00C2171E"/>
    <w:rsid w:val="00C2286B"/>
    <w:rsid w:val="00C22AF9"/>
    <w:rsid w:val="00C2396B"/>
    <w:rsid w:val="00C23DAD"/>
    <w:rsid w:val="00C24FAF"/>
    <w:rsid w:val="00C2552B"/>
    <w:rsid w:val="00C25716"/>
    <w:rsid w:val="00C26865"/>
    <w:rsid w:val="00C2785F"/>
    <w:rsid w:val="00C3041B"/>
    <w:rsid w:val="00C30BA6"/>
    <w:rsid w:val="00C31467"/>
    <w:rsid w:val="00C316B8"/>
    <w:rsid w:val="00C32061"/>
    <w:rsid w:val="00C33170"/>
    <w:rsid w:val="00C33608"/>
    <w:rsid w:val="00C33D7A"/>
    <w:rsid w:val="00C33F0C"/>
    <w:rsid w:val="00C33F19"/>
    <w:rsid w:val="00C34B03"/>
    <w:rsid w:val="00C34CCB"/>
    <w:rsid w:val="00C34D57"/>
    <w:rsid w:val="00C35515"/>
    <w:rsid w:val="00C35724"/>
    <w:rsid w:val="00C35807"/>
    <w:rsid w:val="00C35A4B"/>
    <w:rsid w:val="00C36696"/>
    <w:rsid w:val="00C36720"/>
    <w:rsid w:val="00C36777"/>
    <w:rsid w:val="00C37518"/>
    <w:rsid w:val="00C37F00"/>
    <w:rsid w:val="00C40937"/>
    <w:rsid w:val="00C410C8"/>
    <w:rsid w:val="00C41CB0"/>
    <w:rsid w:val="00C421C9"/>
    <w:rsid w:val="00C427C5"/>
    <w:rsid w:val="00C42A3A"/>
    <w:rsid w:val="00C437C6"/>
    <w:rsid w:val="00C43B63"/>
    <w:rsid w:val="00C43DC7"/>
    <w:rsid w:val="00C44728"/>
    <w:rsid w:val="00C4517F"/>
    <w:rsid w:val="00C45232"/>
    <w:rsid w:val="00C460E3"/>
    <w:rsid w:val="00C46646"/>
    <w:rsid w:val="00C46E5D"/>
    <w:rsid w:val="00C46E94"/>
    <w:rsid w:val="00C4713F"/>
    <w:rsid w:val="00C5042D"/>
    <w:rsid w:val="00C511F9"/>
    <w:rsid w:val="00C51509"/>
    <w:rsid w:val="00C51DD1"/>
    <w:rsid w:val="00C52097"/>
    <w:rsid w:val="00C52732"/>
    <w:rsid w:val="00C52BA5"/>
    <w:rsid w:val="00C52F47"/>
    <w:rsid w:val="00C53323"/>
    <w:rsid w:val="00C5362F"/>
    <w:rsid w:val="00C5386D"/>
    <w:rsid w:val="00C54174"/>
    <w:rsid w:val="00C54D8C"/>
    <w:rsid w:val="00C5694E"/>
    <w:rsid w:val="00C57493"/>
    <w:rsid w:val="00C57E4E"/>
    <w:rsid w:val="00C605D9"/>
    <w:rsid w:val="00C605E6"/>
    <w:rsid w:val="00C61A35"/>
    <w:rsid w:val="00C62BB6"/>
    <w:rsid w:val="00C62E97"/>
    <w:rsid w:val="00C633E9"/>
    <w:rsid w:val="00C6390C"/>
    <w:rsid w:val="00C64D07"/>
    <w:rsid w:val="00C64D0D"/>
    <w:rsid w:val="00C64ED3"/>
    <w:rsid w:val="00C65D64"/>
    <w:rsid w:val="00C66BE2"/>
    <w:rsid w:val="00C66CEF"/>
    <w:rsid w:val="00C670FE"/>
    <w:rsid w:val="00C6770E"/>
    <w:rsid w:val="00C70939"/>
    <w:rsid w:val="00C71087"/>
    <w:rsid w:val="00C71AC3"/>
    <w:rsid w:val="00C71B7C"/>
    <w:rsid w:val="00C71E3C"/>
    <w:rsid w:val="00C73C17"/>
    <w:rsid w:val="00C7411E"/>
    <w:rsid w:val="00C74468"/>
    <w:rsid w:val="00C74E52"/>
    <w:rsid w:val="00C74F24"/>
    <w:rsid w:val="00C75153"/>
    <w:rsid w:val="00C7541C"/>
    <w:rsid w:val="00C75492"/>
    <w:rsid w:val="00C767B0"/>
    <w:rsid w:val="00C77C78"/>
    <w:rsid w:val="00C77EE5"/>
    <w:rsid w:val="00C8146C"/>
    <w:rsid w:val="00C8231E"/>
    <w:rsid w:val="00C83E2B"/>
    <w:rsid w:val="00C846DD"/>
    <w:rsid w:val="00C84E96"/>
    <w:rsid w:val="00C85CA6"/>
    <w:rsid w:val="00C85D6F"/>
    <w:rsid w:val="00C8701A"/>
    <w:rsid w:val="00C873DA"/>
    <w:rsid w:val="00C87EAF"/>
    <w:rsid w:val="00C90A7F"/>
    <w:rsid w:val="00C9147E"/>
    <w:rsid w:val="00C92018"/>
    <w:rsid w:val="00C9212D"/>
    <w:rsid w:val="00C925ED"/>
    <w:rsid w:val="00C9339F"/>
    <w:rsid w:val="00C95976"/>
    <w:rsid w:val="00C96121"/>
    <w:rsid w:val="00C96618"/>
    <w:rsid w:val="00C96A10"/>
    <w:rsid w:val="00C9753B"/>
    <w:rsid w:val="00C97A92"/>
    <w:rsid w:val="00CA0083"/>
    <w:rsid w:val="00CA0C87"/>
    <w:rsid w:val="00CA19CD"/>
    <w:rsid w:val="00CA1F28"/>
    <w:rsid w:val="00CA1FFC"/>
    <w:rsid w:val="00CA20F3"/>
    <w:rsid w:val="00CA2747"/>
    <w:rsid w:val="00CA2EC0"/>
    <w:rsid w:val="00CA4A62"/>
    <w:rsid w:val="00CA561E"/>
    <w:rsid w:val="00CA5B58"/>
    <w:rsid w:val="00CA659E"/>
    <w:rsid w:val="00CA6A39"/>
    <w:rsid w:val="00CA6AD0"/>
    <w:rsid w:val="00CA6B71"/>
    <w:rsid w:val="00CA7DAD"/>
    <w:rsid w:val="00CB02EB"/>
    <w:rsid w:val="00CB16FB"/>
    <w:rsid w:val="00CB18F3"/>
    <w:rsid w:val="00CB23DD"/>
    <w:rsid w:val="00CB2757"/>
    <w:rsid w:val="00CB2FE7"/>
    <w:rsid w:val="00CB3B57"/>
    <w:rsid w:val="00CB42AE"/>
    <w:rsid w:val="00CB4B32"/>
    <w:rsid w:val="00CB5100"/>
    <w:rsid w:val="00CB5E02"/>
    <w:rsid w:val="00CB6768"/>
    <w:rsid w:val="00CB6E2A"/>
    <w:rsid w:val="00CB768F"/>
    <w:rsid w:val="00CC0848"/>
    <w:rsid w:val="00CC08C8"/>
    <w:rsid w:val="00CC13C8"/>
    <w:rsid w:val="00CC17DB"/>
    <w:rsid w:val="00CC2F01"/>
    <w:rsid w:val="00CC4371"/>
    <w:rsid w:val="00CC4C9C"/>
    <w:rsid w:val="00CC5049"/>
    <w:rsid w:val="00CC586C"/>
    <w:rsid w:val="00CC6453"/>
    <w:rsid w:val="00CC7D7A"/>
    <w:rsid w:val="00CD2D8A"/>
    <w:rsid w:val="00CD2F0F"/>
    <w:rsid w:val="00CD3164"/>
    <w:rsid w:val="00CD31EA"/>
    <w:rsid w:val="00CD3A8D"/>
    <w:rsid w:val="00CD3C5A"/>
    <w:rsid w:val="00CD4B6F"/>
    <w:rsid w:val="00CD4DE2"/>
    <w:rsid w:val="00CD50E9"/>
    <w:rsid w:val="00CD6411"/>
    <w:rsid w:val="00CD692F"/>
    <w:rsid w:val="00CD7ED7"/>
    <w:rsid w:val="00CE0392"/>
    <w:rsid w:val="00CE0E63"/>
    <w:rsid w:val="00CE1F70"/>
    <w:rsid w:val="00CE2303"/>
    <w:rsid w:val="00CE24E1"/>
    <w:rsid w:val="00CE2693"/>
    <w:rsid w:val="00CE31FA"/>
    <w:rsid w:val="00CE35CF"/>
    <w:rsid w:val="00CE3E6A"/>
    <w:rsid w:val="00CE4A1F"/>
    <w:rsid w:val="00CE4FD2"/>
    <w:rsid w:val="00CE5481"/>
    <w:rsid w:val="00CE5866"/>
    <w:rsid w:val="00CF003F"/>
    <w:rsid w:val="00CF0045"/>
    <w:rsid w:val="00CF0118"/>
    <w:rsid w:val="00CF1C51"/>
    <w:rsid w:val="00CF48E4"/>
    <w:rsid w:val="00CF63DE"/>
    <w:rsid w:val="00CF7194"/>
    <w:rsid w:val="00CF74AE"/>
    <w:rsid w:val="00CF7C90"/>
    <w:rsid w:val="00CF7EA0"/>
    <w:rsid w:val="00D00600"/>
    <w:rsid w:val="00D00A29"/>
    <w:rsid w:val="00D02612"/>
    <w:rsid w:val="00D0276A"/>
    <w:rsid w:val="00D02833"/>
    <w:rsid w:val="00D0329F"/>
    <w:rsid w:val="00D04372"/>
    <w:rsid w:val="00D04BBD"/>
    <w:rsid w:val="00D04F9C"/>
    <w:rsid w:val="00D05DB1"/>
    <w:rsid w:val="00D06299"/>
    <w:rsid w:val="00D06CDC"/>
    <w:rsid w:val="00D10045"/>
    <w:rsid w:val="00D10258"/>
    <w:rsid w:val="00D1045D"/>
    <w:rsid w:val="00D124F1"/>
    <w:rsid w:val="00D12FB5"/>
    <w:rsid w:val="00D133AA"/>
    <w:rsid w:val="00D13B0B"/>
    <w:rsid w:val="00D13CCF"/>
    <w:rsid w:val="00D14CF7"/>
    <w:rsid w:val="00D15530"/>
    <w:rsid w:val="00D1576E"/>
    <w:rsid w:val="00D158DD"/>
    <w:rsid w:val="00D15B74"/>
    <w:rsid w:val="00D15BBC"/>
    <w:rsid w:val="00D15E67"/>
    <w:rsid w:val="00D20ABB"/>
    <w:rsid w:val="00D2200E"/>
    <w:rsid w:val="00D23F14"/>
    <w:rsid w:val="00D24AEE"/>
    <w:rsid w:val="00D25315"/>
    <w:rsid w:val="00D26A33"/>
    <w:rsid w:val="00D30311"/>
    <w:rsid w:val="00D3055F"/>
    <w:rsid w:val="00D3073E"/>
    <w:rsid w:val="00D3094C"/>
    <w:rsid w:val="00D31676"/>
    <w:rsid w:val="00D316C8"/>
    <w:rsid w:val="00D337D5"/>
    <w:rsid w:val="00D33FB9"/>
    <w:rsid w:val="00D34817"/>
    <w:rsid w:val="00D34CDF"/>
    <w:rsid w:val="00D34E5A"/>
    <w:rsid w:val="00D354F1"/>
    <w:rsid w:val="00D35A5F"/>
    <w:rsid w:val="00D365BB"/>
    <w:rsid w:val="00D3795A"/>
    <w:rsid w:val="00D37AB5"/>
    <w:rsid w:val="00D40C74"/>
    <w:rsid w:val="00D42742"/>
    <w:rsid w:val="00D43282"/>
    <w:rsid w:val="00D432A3"/>
    <w:rsid w:val="00D43E7A"/>
    <w:rsid w:val="00D43EA4"/>
    <w:rsid w:val="00D44508"/>
    <w:rsid w:val="00D44D96"/>
    <w:rsid w:val="00D45195"/>
    <w:rsid w:val="00D45A81"/>
    <w:rsid w:val="00D4674D"/>
    <w:rsid w:val="00D476E4"/>
    <w:rsid w:val="00D47810"/>
    <w:rsid w:val="00D505E4"/>
    <w:rsid w:val="00D507BA"/>
    <w:rsid w:val="00D5128E"/>
    <w:rsid w:val="00D51DB4"/>
    <w:rsid w:val="00D52917"/>
    <w:rsid w:val="00D52FD0"/>
    <w:rsid w:val="00D535E4"/>
    <w:rsid w:val="00D53E7B"/>
    <w:rsid w:val="00D54385"/>
    <w:rsid w:val="00D5465B"/>
    <w:rsid w:val="00D550C7"/>
    <w:rsid w:val="00D5794A"/>
    <w:rsid w:val="00D57FC0"/>
    <w:rsid w:val="00D606D9"/>
    <w:rsid w:val="00D6210C"/>
    <w:rsid w:val="00D6259C"/>
    <w:rsid w:val="00D629A4"/>
    <w:rsid w:val="00D63B91"/>
    <w:rsid w:val="00D64A4A"/>
    <w:rsid w:val="00D6526E"/>
    <w:rsid w:val="00D657C5"/>
    <w:rsid w:val="00D65E9A"/>
    <w:rsid w:val="00D6679C"/>
    <w:rsid w:val="00D66FAA"/>
    <w:rsid w:val="00D71CBD"/>
    <w:rsid w:val="00D726A7"/>
    <w:rsid w:val="00D72F5D"/>
    <w:rsid w:val="00D7370C"/>
    <w:rsid w:val="00D73B02"/>
    <w:rsid w:val="00D73EE6"/>
    <w:rsid w:val="00D742D2"/>
    <w:rsid w:val="00D744DC"/>
    <w:rsid w:val="00D744FC"/>
    <w:rsid w:val="00D74556"/>
    <w:rsid w:val="00D75CF7"/>
    <w:rsid w:val="00D75F59"/>
    <w:rsid w:val="00D776C3"/>
    <w:rsid w:val="00D80153"/>
    <w:rsid w:val="00D808DB"/>
    <w:rsid w:val="00D80A8E"/>
    <w:rsid w:val="00D814BC"/>
    <w:rsid w:val="00D81AC7"/>
    <w:rsid w:val="00D81F76"/>
    <w:rsid w:val="00D82363"/>
    <w:rsid w:val="00D82A14"/>
    <w:rsid w:val="00D82E81"/>
    <w:rsid w:val="00D83E45"/>
    <w:rsid w:val="00D83ED2"/>
    <w:rsid w:val="00D842CD"/>
    <w:rsid w:val="00D843D8"/>
    <w:rsid w:val="00D8495C"/>
    <w:rsid w:val="00D854AD"/>
    <w:rsid w:val="00D85570"/>
    <w:rsid w:val="00D85D8E"/>
    <w:rsid w:val="00D85E6F"/>
    <w:rsid w:val="00D86737"/>
    <w:rsid w:val="00D8696A"/>
    <w:rsid w:val="00D90419"/>
    <w:rsid w:val="00D90551"/>
    <w:rsid w:val="00D90F5A"/>
    <w:rsid w:val="00D9153B"/>
    <w:rsid w:val="00D9160A"/>
    <w:rsid w:val="00D91C2F"/>
    <w:rsid w:val="00D9271B"/>
    <w:rsid w:val="00D92985"/>
    <w:rsid w:val="00D935D6"/>
    <w:rsid w:val="00D9378D"/>
    <w:rsid w:val="00D95903"/>
    <w:rsid w:val="00D95D78"/>
    <w:rsid w:val="00D9679B"/>
    <w:rsid w:val="00D96F69"/>
    <w:rsid w:val="00DA0810"/>
    <w:rsid w:val="00DA16F8"/>
    <w:rsid w:val="00DA22B0"/>
    <w:rsid w:val="00DA3AAF"/>
    <w:rsid w:val="00DA3FCE"/>
    <w:rsid w:val="00DA4B42"/>
    <w:rsid w:val="00DA58A4"/>
    <w:rsid w:val="00DA6456"/>
    <w:rsid w:val="00DB090A"/>
    <w:rsid w:val="00DB12BF"/>
    <w:rsid w:val="00DB2BE7"/>
    <w:rsid w:val="00DB4203"/>
    <w:rsid w:val="00DB4E36"/>
    <w:rsid w:val="00DB59A9"/>
    <w:rsid w:val="00DB67DD"/>
    <w:rsid w:val="00DB6B88"/>
    <w:rsid w:val="00DB70D8"/>
    <w:rsid w:val="00DB7CA1"/>
    <w:rsid w:val="00DC094F"/>
    <w:rsid w:val="00DC0C0B"/>
    <w:rsid w:val="00DC24B5"/>
    <w:rsid w:val="00DC24C6"/>
    <w:rsid w:val="00DC25DA"/>
    <w:rsid w:val="00DC297C"/>
    <w:rsid w:val="00DC3246"/>
    <w:rsid w:val="00DC4325"/>
    <w:rsid w:val="00DC4915"/>
    <w:rsid w:val="00DC4C33"/>
    <w:rsid w:val="00DC4C59"/>
    <w:rsid w:val="00DC5149"/>
    <w:rsid w:val="00DC57BD"/>
    <w:rsid w:val="00DC5B77"/>
    <w:rsid w:val="00DC68E1"/>
    <w:rsid w:val="00DC6BE6"/>
    <w:rsid w:val="00DC6F76"/>
    <w:rsid w:val="00DC712E"/>
    <w:rsid w:val="00DC7FCE"/>
    <w:rsid w:val="00DD0452"/>
    <w:rsid w:val="00DD04AD"/>
    <w:rsid w:val="00DD1B88"/>
    <w:rsid w:val="00DD1E51"/>
    <w:rsid w:val="00DD2A06"/>
    <w:rsid w:val="00DD2E10"/>
    <w:rsid w:val="00DD334C"/>
    <w:rsid w:val="00DD3C08"/>
    <w:rsid w:val="00DD44C1"/>
    <w:rsid w:val="00DD4A9B"/>
    <w:rsid w:val="00DD4C13"/>
    <w:rsid w:val="00DE0476"/>
    <w:rsid w:val="00DE1833"/>
    <w:rsid w:val="00DE1B2F"/>
    <w:rsid w:val="00DE1C5A"/>
    <w:rsid w:val="00DE202A"/>
    <w:rsid w:val="00DE2AAC"/>
    <w:rsid w:val="00DE4CF8"/>
    <w:rsid w:val="00DE5E04"/>
    <w:rsid w:val="00DE5E79"/>
    <w:rsid w:val="00DE6634"/>
    <w:rsid w:val="00DE698E"/>
    <w:rsid w:val="00DE6AC5"/>
    <w:rsid w:val="00DE6F4F"/>
    <w:rsid w:val="00DE7032"/>
    <w:rsid w:val="00DF1125"/>
    <w:rsid w:val="00DF14DF"/>
    <w:rsid w:val="00DF21D1"/>
    <w:rsid w:val="00DF22E5"/>
    <w:rsid w:val="00DF26F3"/>
    <w:rsid w:val="00DF27AC"/>
    <w:rsid w:val="00DF28E7"/>
    <w:rsid w:val="00DF2EFB"/>
    <w:rsid w:val="00DF2FD1"/>
    <w:rsid w:val="00DF399A"/>
    <w:rsid w:val="00DF447B"/>
    <w:rsid w:val="00DF4DCA"/>
    <w:rsid w:val="00DF545F"/>
    <w:rsid w:val="00DF58ED"/>
    <w:rsid w:val="00DF6168"/>
    <w:rsid w:val="00DF6280"/>
    <w:rsid w:val="00DF7B14"/>
    <w:rsid w:val="00DF7B16"/>
    <w:rsid w:val="00E00009"/>
    <w:rsid w:val="00E00A1B"/>
    <w:rsid w:val="00E01EF4"/>
    <w:rsid w:val="00E01F2D"/>
    <w:rsid w:val="00E02CF2"/>
    <w:rsid w:val="00E02F29"/>
    <w:rsid w:val="00E03483"/>
    <w:rsid w:val="00E03486"/>
    <w:rsid w:val="00E0475B"/>
    <w:rsid w:val="00E048A5"/>
    <w:rsid w:val="00E04947"/>
    <w:rsid w:val="00E04C50"/>
    <w:rsid w:val="00E069F7"/>
    <w:rsid w:val="00E06C35"/>
    <w:rsid w:val="00E06FB2"/>
    <w:rsid w:val="00E07014"/>
    <w:rsid w:val="00E0710D"/>
    <w:rsid w:val="00E07972"/>
    <w:rsid w:val="00E07F71"/>
    <w:rsid w:val="00E101C6"/>
    <w:rsid w:val="00E10A1D"/>
    <w:rsid w:val="00E10AE8"/>
    <w:rsid w:val="00E114D8"/>
    <w:rsid w:val="00E1256E"/>
    <w:rsid w:val="00E1347F"/>
    <w:rsid w:val="00E1523A"/>
    <w:rsid w:val="00E160FB"/>
    <w:rsid w:val="00E1621B"/>
    <w:rsid w:val="00E16827"/>
    <w:rsid w:val="00E16874"/>
    <w:rsid w:val="00E178A5"/>
    <w:rsid w:val="00E17C3C"/>
    <w:rsid w:val="00E17D80"/>
    <w:rsid w:val="00E21114"/>
    <w:rsid w:val="00E22B84"/>
    <w:rsid w:val="00E22F81"/>
    <w:rsid w:val="00E23EE8"/>
    <w:rsid w:val="00E25E8A"/>
    <w:rsid w:val="00E26045"/>
    <w:rsid w:val="00E26BDB"/>
    <w:rsid w:val="00E27279"/>
    <w:rsid w:val="00E27304"/>
    <w:rsid w:val="00E2774B"/>
    <w:rsid w:val="00E27BBB"/>
    <w:rsid w:val="00E304D5"/>
    <w:rsid w:val="00E328EB"/>
    <w:rsid w:val="00E33084"/>
    <w:rsid w:val="00E33266"/>
    <w:rsid w:val="00E337F5"/>
    <w:rsid w:val="00E339E4"/>
    <w:rsid w:val="00E33AC2"/>
    <w:rsid w:val="00E341ED"/>
    <w:rsid w:val="00E34546"/>
    <w:rsid w:val="00E34EBC"/>
    <w:rsid w:val="00E3529F"/>
    <w:rsid w:val="00E352D0"/>
    <w:rsid w:val="00E37211"/>
    <w:rsid w:val="00E3759F"/>
    <w:rsid w:val="00E37848"/>
    <w:rsid w:val="00E4034D"/>
    <w:rsid w:val="00E404B3"/>
    <w:rsid w:val="00E41EE7"/>
    <w:rsid w:val="00E42084"/>
    <w:rsid w:val="00E43511"/>
    <w:rsid w:val="00E435E3"/>
    <w:rsid w:val="00E4439B"/>
    <w:rsid w:val="00E44783"/>
    <w:rsid w:val="00E44854"/>
    <w:rsid w:val="00E4540D"/>
    <w:rsid w:val="00E45610"/>
    <w:rsid w:val="00E46B88"/>
    <w:rsid w:val="00E50B82"/>
    <w:rsid w:val="00E51630"/>
    <w:rsid w:val="00E51AE1"/>
    <w:rsid w:val="00E54F7D"/>
    <w:rsid w:val="00E551A3"/>
    <w:rsid w:val="00E552CC"/>
    <w:rsid w:val="00E55808"/>
    <w:rsid w:val="00E559EA"/>
    <w:rsid w:val="00E5696D"/>
    <w:rsid w:val="00E56E45"/>
    <w:rsid w:val="00E6062F"/>
    <w:rsid w:val="00E60DBF"/>
    <w:rsid w:val="00E6161C"/>
    <w:rsid w:val="00E62022"/>
    <w:rsid w:val="00E62C79"/>
    <w:rsid w:val="00E62DEC"/>
    <w:rsid w:val="00E63233"/>
    <w:rsid w:val="00E63FE6"/>
    <w:rsid w:val="00E65960"/>
    <w:rsid w:val="00E65F8A"/>
    <w:rsid w:val="00E66E78"/>
    <w:rsid w:val="00E66ECB"/>
    <w:rsid w:val="00E67063"/>
    <w:rsid w:val="00E67486"/>
    <w:rsid w:val="00E70AE8"/>
    <w:rsid w:val="00E70F4E"/>
    <w:rsid w:val="00E71139"/>
    <w:rsid w:val="00E727CE"/>
    <w:rsid w:val="00E73788"/>
    <w:rsid w:val="00E73D84"/>
    <w:rsid w:val="00E73DAF"/>
    <w:rsid w:val="00E749E1"/>
    <w:rsid w:val="00E769B3"/>
    <w:rsid w:val="00E76B8D"/>
    <w:rsid w:val="00E80022"/>
    <w:rsid w:val="00E8007A"/>
    <w:rsid w:val="00E80578"/>
    <w:rsid w:val="00E80B43"/>
    <w:rsid w:val="00E81B04"/>
    <w:rsid w:val="00E81FBC"/>
    <w:rsid w:val="00E82DE9"/>
    <w:rsid w:val="00E833CB"/>
    <w:rsid w:val="00E83995"/>
    <w:rsid w:val="00E83CBA"/>
    <w:rsid w:val="00E83D2E"/>
    <w:rsid w:val="00E83FB2"/>
    <w:rsid w:val="00E844D4"/>
    <w:rsid w:val="00E84D13"/>
    <w:rsid w:val="00E84E4A"/>
    <w:rsid w:val="00E856A1"/>
    <w:rsid w:val="00E90615"/>
    <w:rsid w:val="00E90B1B"/>
    <w:rsid w:val="00E91FE0"/>
    <w:rsid w:val="00E92953"/>
    <w:rsid w:val="00E95AC2"/>
    <w:rsid w:val="00E9701D"/>
    <w:rsid w:val="00E97167"/>
    <w:rsid w:val="00E97787"/>
    <w:rsid w:val="00E97A6A"/>
    <w:rsid w:val="00E97DBB"/>
    <w:rsid w:val="00EA0169"/>
    <w:rsid w:val="00EA093A"/>
    <w:rsid w:val="00EA0BC1"/>
    <w:rsid w:val="00EA1B97"/>
    <w:rsid w:val="00EA24DC"/>
    <w:rsid w:val="00EA25F9"/>
    <w:rsid w:val="00EA3107"/>
    <w:rsid w:val="00EA3781"/>
    <w:rsid w:val="00EA3D12"/>
    <w:rsid w:val="00EA5023"/>
    <w:rsid w:val="00EA6BC9"/>
    <w:rsid w:val="00EA7061"/>
    <w:rsid w:val="00EA7C5B"/>
    <w:rsid w:val="00EB03C2"/>
    <w:rsid w:val="00EB13FE"/>
    <w:rsid w:val="00EB1459"/>
    <w:rsid w:val="00EB2052"/>
    <w:rsid w:val="00EB250B"/>
    <w:rsid w:val="00EB254B"/>
    <w:rsid w:val="00EB39F1"/>
    <w:rsid w:val="00EB460F"/>
    <w:rsid w:val="00EB472E"/>
    <w:rsid w:val="00EB48A3"/>
    <w:rsid w:val="00EB4CD0"/>
    <w:rsid w:val="00EB4E24"/>
    <w:rsid w:val="00EB5434"/>
    <w:rsid w:val="00EB57F8"/>
    <w:rsid w:val="00EB5CF3"/>
    <w:rsid w:val="00EB5D6C"/>
    <w:rsid w:val="00EB5D74"/>
    <w:rsid w:val="00EB6A9B"/>
    <w:rsid w:val="00EB76D6"/>
    <w:rsid w:val="00EB7FB2"/>
    <w:rsid w:val="00EC0178"/>
    <w:rsid w:val="00EC049F"/>
    <w:rsid w:val="00EC11E3"/>
    <w:rsid w:val="00EC4429"/>
    <w:rsid w:val="00EC4C81"/>
    <w:rsid w:val="00EC6090"/>
    <w:rsid w:val="00EC75FB"/>
    <w:rsid w:val="00ED024E"/>
    <w:rsid w:val="00ED194C"/>
    <w:rsid w:val="00ED1C81"/>
    <w:rsid w:val="00ED1E29"/>
    <w:rsid w:val="00ED2029"/>
    <w:rsid w:val="00ED2C26"/>
    <w:rsid w:val="00ED31F9"/>
    <w:rsid w:val="00ED3898"/>
    <w:rsid w:val="00ED38BF"/>
    <w:rsid w:val="00ED3D99"/>
    <w:rsid w:val="00ED4EC1"/>
    <w:rsid w:val="00ED579F"/>
    <w:rsid w:val="00ED5DB2"/>
    <w:rsid w:val="00ED5EC2"/>
    <w:rsid w:val="00ED6090"/>
    <w:rsid w:val="00ED66B5"/>
    <w:rsid w:val="00ED6C83"/>
    <w:rsid w:val="00ED7EDA"/>
    <w:rsid w:val="00EE0DF2"/>
    <w:rsid w:val="00EE1124"/>
    <w:rsid w:val="00EE1BEF"/>
    <w:rsid w:val="00EE21DD"/>
    <w:rsid w:val="00EE4A77"/>
    <w:rsid w:val="00EE4EA7"/>
    <w:rsid w:val="00EE548E"/>
    <w:rsid w:val="00EE56DF"/>
    <w:rsid w:val="00EE587F"/>
    <w:rsid w:val="00EE5ED7"/>
    <w:rsid w:val="00EE64CC"/>
    <w:rsid w:val="00EE6D6B"/>
    <w:rsid w:val="00EE7DEB"/>
    <w:rsid w:val="00EF0321"/>
    <w:rsid w:val="00EF1A24"/>
    <w:rsid w:val="00EF1BF1"/>
    <w:rsid w:val="00EF4F8A"/>
    <w:rsid w:val="00EF54F7"/>
    <w:rsid w:val="00EF5716"/>
    <w:rsid w:val="00EF71E1"/>
    <w:rsid w:val="00F003B9"/>
    <w:rsid w:val="00F012EC"/>
    <w:rsid w:val="00F01BD5"/>
    <w:rsid w:val="00F024E3"/>
    <w:rsid w:val="00F0264E"/>
    <w:rsid w:val="00F02815"/>
    <w:rsid w:val="00F041B2"/>
    <w:rsid w:val="00F0505F"/>
    <w:rsid w:val="00F05EAF"/>
    <w:rsid w:val="00F06D7C"/>
    <w:rsid w:val="00F1049D"/>
    <w:rsid w:val="00F119F0"/>
    <w:rsid w:val="00F119F7"/>
    <w:rsid w:val="00F12298"/>
    <w:rsid w:val="00F131BE"/>
    <w:rsid w:val="00F142B7"/>
    <w:rsid w:val="00F147FD"/>
    <w:rsid w:val="00F14C35"/>
    <w:rsid w:val="00F14D74"/>
    <w:rsid w:val="00F15FC1"/>
    <w:rsid w:val="00F166CE"/>
    <w:rsid w:val="00F17762"/>
    <w:rsid w:val="00F23C5A"/>
    <w:rsid w:val="00F23E91"/>
    <w:rsid w:val="00F248A7"/>
    <w:rsid w:val="00F24C24"/>
    <w:rsid w:val="00F252E3"/>
    <w:rsid w:val="00F25552"/>
    <w:rsid w:val="00F261BC"/>
    <w:rsid w:val="00F277D4"/>
    <w:rsid w:val="00F27EB6"/>
    <w:rsid w:val="00F30A70"/>
    <w:rsid w:val="00F31104"/>
    <w:rsid w:val="00F31B9F"/>
    <w:rsid w:val="00F31DB0"/>
    <w:rsid w:val="00F33E65"/>
    <w:rsid w:val="00F34515"/>
    <w:rsid w:val="00F34E93"/>
    <w:rsid w:val="00F357D9"/>
    <w:rsid w:val="00F35F03"/>
    <w:rsid w:val="00F41D17"/>
    <w:rsid w:val="00F438FE"/>
    <w:rsid w:val="00F43F5A"/>
    <w:rsid w:val="00F44511"/>
    <w:rsid w:val="00F4474B"/>
    <w:rsid w:val="00F5097D"/>
    <w:rsid w:val="00F513E5"/>
    <w:rsid w:val="00F51608"/>
    <w:rsid w:val="00F5219B"/>
    <w:rsid w:val="00F527A6"/>
    <w:rsid w:val="00F53138"/>
    <w:rsid w:val="00F534C0"/>
    <w:rsid w:val="00F53960"/>
    <w:rsid w:val="00F53D7D"/>
    <w:rsid w:val="00F54930"/>
    <w:rsid w:val="00F54FAF"/>
    <w:rsid w:val="00F5519B"/>
    <w:rsid w:val="00F5523B"/>
    <w:rsid w:val="00F56FE9"/>
    <w:rsid w:val="00F60916"/>
    <w:rsid w:val="00F623B6"/>
    <w:rsid w:val="00F62524"/>
    <w:rsid w:val="00F6280F"/>
    <w:rsid w:val="00F62819"/>
    <w:rsid w:val="00F63552"/>
    <w:rsid w:val="00F6394B"/>
    <w:rsid w:val="00F63DCE"/>
    <w:rsid w:val="00F642FE"/>
    <w:rsid w:val="00F66482"/>
    <w:rsid w:val="00F6653B"/>
    <w:rsid w:val="00F665BB"/>
    <w:rsid w:val="00F665F1"/>
    <w:rsid w:val="00F66D91"/>
    <w:rsid w:val="00F673C9"/>
    <w:rsid w:val="00F708D9"/>
    <w:rsid w:val="00F70F76"/>
    <w:rsid w:val="00F720FB"/>
    <w:rsid w:val="00F721C2"/>
    <w:rsid w:val="00F767F2"/>
    <w:rsid w:val="00F80602"/>
    <w:rsid w:val="00F80E2E"/>
    <w:rsid w:val="00F81376"/>
    <w:rsid w:val="00F814DF"/>
    <w:rsid w:val="00F81E48"/>
    <w:rsid w:val="00F8222D"/>
    <w:rsid w:val="00F82697"/>
    <w:rsid w:val="00F82E11"/>
    <w:rsid w:val="00F84C20"/>
    <w:rsid w:val="00F84E27"/>
    <w:rsid w:val="00F85C79"/>
    <w:rsid w:val="00F86BC8"/>
    <w:rsid w:val="00F87614"/>
    <w:rsid w:val="00F87862"/>
    <w:rsid w:val="00F91344"/>
    <w:rsid w:val="00F92112"/>
    <w:rsid w:val="00F922A1"/>
    <w:rsid w:val="00F9230A"/>
    <w:rsid w:val="00F92366"/>
    <w:rsid w:val="00F92753"/>
    <w:rsid w:val="00F9598E"/>
    <w:rsid w:val="00F9651B"/>
    <w:rsid w:val="00F96AAD"/>
    <w:rsid w:val="00F96B32"/>
    <w:rsid w:val="00F96CF3"/>
    <w:rsid w:val="00F9735A"/>
    <w:rsid w:val="00F9753E"/>
    <w:rsid w:val="00F97823"/>
    <w:rsid w:val="00FA2126"/>
    <w:rsid w:val="00FA42F4"/>
    <w:rsid w:val="00FA4AF7"/>
    <w:rsid w:val="00FA4EBA"/>
    <w:rsid w:val="00FA53CC"/>
    <w:rsid w:val="00FA53DE"/>
    <w:rsid w:val="00FA5C2F"/>
    <w:rsid w:val="00FA6502"/>
    <w:rsid w:val="00FA6C98"/>
    <w:rsid w:val="00FA70AB"/>
    <w:rsid w:val="00FA71A7"/>
    <w:rsid w:val="00FA7B72"/>
    <w:rsid w:val="00FA7C0F"/>
    <w:rsid w:val="00FA7EBA"/>
    <w:rsid w:val="00FB0730"/>
    <w:rsid w:val="00FB07F6"/>
    <w:rsid w:val="00FB0BC1"/>
    <w:rsid w:val="00FB0C6D"/>
    <w:rsid w:val="00FB14A0"/>
    <w:rsid w:val="00FB1B04"/>
    <w:rsid w:val="00FB2DAF"/>
    <w:rsid w:val="00FB2E4F"/>
    <w:rsid w:val="00FB3417"/>
    <w:rsid w:val="00FB34A3"/>
    <w:rsid w:val="00FB4E4A"/>
    <w:rsid w:val="00FB52C5"/>
    <w:rsid w:val="00FB5D58"/>
    <w:rsid w:val="00FB60EA"/>
    <w:rsid w:val="00FB6D3A"/>
    <w:rsid w:val="00FB760E"/>
    <w:rsid w:val="00FB7924"/>
    <w:rsid w:val="00FB7F16"/>
    <w:rsid w:val="00FB7F35"/>
    <w:rsid w:val="00FC11D6"/>
    <w:rsid w:val="00FC1E6A"/>
    <w:rsid w:val="00FC2C70"/>
    <w:rsid w:val="00FC3A88"/>
    <w:rsid w:val="00FC3F08"/>
    <w:rsid w:val="00FC48DD"/>
    <w:rsid w:val="00FC569E"/>
    <w:rsid w:val="00FC5B98"/>
    <w:rsid w:val="00FC6734"/>
    <w:rsid w:val="00FC67E5"/>
    <w:rsid w:val="00FC6BFF"/>
    <w:rsid w:val="00FC7627"/>
    <w:rsid w:val="00FC7B5F"/>
    <w:rsid w:val="00FC7CAD"/>
    <w:rsid w:val="00FC7DB0"/>
    <w:rsid w:val="00FD04EB"/>
    <w:rsid w:val="00FD0CCE"/>
    <w:rsid w:val="00FD1036"/>
    <w:rsid w:val="00FD1062"/>
    <w:rsid w:val="00FD131D"/>
    <w:rsid w:val="00FD1917"/>
    <w:rsid w:val="00FD2B5A"/>
    <w:rsid w:val="00FD3029"/>
    <w:rsid w:val="00FD3049"/>
    <w:rsid w:val="00FD3AC0"/>
    <w:rsid w:val="00FD5177"/>
    <w:rsid w:val="00FD5398"/>
    <w:rsid w:val="00FD7AB4"/>
    <w:rsid w:val="00FD7E71"/>
    <w:rsid w:val="00FE047E"/>
    <w:rsid w:val="00FE0510"/>
    <w:rsid w:val="00FE0B3D"/>
    <w:rsid w:val="00FE1140"/>
    <w:rsid w:val="00FE16FC"/>
    <w:rsid w:val="00FE1891"/>
    <w:rsid w:val="00FE3124"/>
    <w:rsid w:val="00FE32FE"/>
    <w:rsid w:val="00FE35E1"/>
    <w:rsid w:val="00FE3AFC"/>
    <w:rsid w:val="00FE5E83"/>
    <w:rsid w:val="00FE6D86"/>
    <w:rsid w:val="00FE6DE7"/>
    <w:rsid w:val="00FE6F30"/>
    <w:rsid w:val="00FE72BD"/>
    <w:rsid w:val="00FE7C7B"/>
    <w:rsid w:val="00FE7FB0"/>
    <w:rsid w:val="00FF027F"/>
    <w:rsid w:val="00FF02C9"/>
    <w:rsid w:val="00FF08D0"/>
    <w:rsid w:val="00FF0DA7"/>
    <w:rsid w:val="00FF186B"/>
    <w:rsid w:val="00FF2F22"/>
    <w:rsid w:val="00FF3276"/>
    <w:rsid w:val="00FF3FE2"/>
    <w:rsid w:val="00FF4397"/>
    <w:rsid w:val="00FF4881"/>
    <w:rsid w:val="00FF4F5E"/>
    <w:rsid w:val="00FF5B26"/>
    <w:rsid w:val="00FF5CEC"/>
    <w:rsid w:val="00FF69CB"/>
    <w:rsid w:val="00FF7DE7"/>
    <w:rsid w:val="04838267"/>
    <w:rsid w:val="087F88B6"/>
    <w:rsid w:val="094B0AF0"/>
    <w:rsid w:val="098AAB73"/>
    <w:rsid w:val="0AAC9F07"/>
    <w:rsid w:val="137F5801"/>
    <w:rsid w:val="13989521"/>
    <w:rsid w:val="1CACA59C"/>
    <w:rsid w:val="280C48E3"/>
    <w:rsid w:val="29CC83FC"/>
    <w:rsid w:val="2D54C261"/>
    <w:rsid w:val="2F96BB36"/>
    <w:rsid w:val="323BE847"/>
    <w:rsid w:val="37C218B5"/>
    <w:rsid w:val="3874384A"/>
    <w:rsid w:val="398856E2"/>
    <w:rsid w:val="3B13D2F1"/>
    <w:rsid w:val="3BD25BCF"/>
    <w:rsid w:val="44074408"/>
    <w:rsid w:val="49867E7E"/>
    <w:rsid w:val="4EE7DC4F"/>
    <w:rsid w:val="59C0C8E6"/>
    <w:rsid w:val="6397295F"/>
    <w:rsid w:val="671351B7"/>
    <w:rsid w:val="6D238282"/>
    <w:rsid w:val="7E73CB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unhideWhenUsed/>
    <w:rsid w:val="00523B73"/>
    <w:rPr>
      <w:color w:val="605E5C"/>
      <w:shd w:val="clear" w:color="auto" w:fill="E1DFDD"/>
    </w:rPr>
  </w:style>
  <w:style w:type="paragraph" w:customStyle="1" w:styleId="Default">
    <w:name w:val="Default"/>
    <w:rsid w:val="001D18E8"/>
    <w:pPr>
      <w:autoSpaceDE w:val="0"/>
      <w:autoSpaceDN w:val="0"/>
      <w:adjustRightInd w:val="0"/>
    </w:pPr>
    <w:rPr>
      <w:rFonts w:eastAsiaTheme="minorHAnsi"/>
      <w:color w:val="000000"/>
      <w:sz w:val="24"/>
      <w:szCs w:val="24"/>
      <w:lang w:val="es-CR" w:eastAsia="en-US"/>
    </w:rPr>
  </w:style>
  <w:style w:type="paragraph" w:styleId="NoSpacing">
    <w:name w:val="No Spacing"/>
    <w:uiPriority w:val="1"/>
    <w:qFormat/>
    <w:rsid w:val="00921442"/>
    <w:rPr>
      <w:rFonts w:asciiTheme="minorHAnsi" w:eastAsiaTheme="minorHAnsi" w:hAnsiTheme="minorHAnsi" w:cstheme="minorBidi"/>
      <w:sz w:val="22"/>
      <w:szCs w:val="22"/>
      <w:lang w:val="es-CR" w:eastAsia="en-US"/>
    </w:rPr>
  </w:style>
  <w:style w:type="character" w:customStyle="1" w:styleId="Heading4Char">
    <w:name w:val="Heading 4 Char"/>
    <w:basedOn w:val="DefaultParagraphFont"/>
    <w:link w:val="Heading4"/>
    <w:rsid w:val="0074417D"/>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182775">
      <w:bodyDiv w:val="1"/>
      <w:marLeft w:val="0"/>
      <w:marRight w:val="0"/>
      <w:marTop w:val="0"/>
      <w:marBottom w:val="0"/>
      <w:divBdr>
        <w:top w:val="none" w:sz="0" w:space="0" w:color="auto"/>
        <w:left w:val="none" w:sz="0" w:space="0" w:color="auto"/>
        <w:bottom w:val="none" w:sz="0" w:space="0" w:color="auto"/>
        <w:right w:val="none" w:sz="0" w:space="0" w:color="auto"/>
      </w:divBdr>
    </w:div>
    <w:div w:id="12653697">
      <w:bodyDiv w:val="1"/>
      <w:marLeft w:val="0"/>
      <w:marRight w:val="0"/>
      <w:marTop w:val="0"/>
      <w:marBottom w:val="0"/>
      <w:divBdr>
        <w:top w:val="none" w:sz="0" w:space="0" w:color="auto"/>
        <w:left w:val="none" w:sz="0" w:space="0" w:color="auto"/>
        <w:bottom w:val="none" w:sz="0" w:space="0" w:color="auto"/>
        <w:right w:val="none" w:sz="0" w:space="0" w:color="auto"/>
      </w:divBdr>
    </w:div>
    <w:div w:id="131558601">
      <w:bodyDiv w:val="1"/>
      <w:marLeft w:val="0"/>
      <w:marRight w:val="0"/>
      <w:marTop w:val="0"/>
      <w:marBottom w:val="0"/>
      <w:divBdr>
        <w:top w:val="none" w:sz="0" w:space="0" w:color="auto"/>
        <w:left w:val="none" w:sz="0" w:space="0" w:color="auto"/>
        <w:bottom w:val="none" w:sz="0" w:space="0" w:color="auto"/>
        <w:right w:val="none" w:sz="0" w:space="0" w:color="auto"/>
      </w:divBdr>
    </w:div>
    <w:div w:id="170341957">
      <w:bodyDiv w:val="1"/>
      <w:marLeft w:val="0"/>
      <w:marRight w:val="0"/>
      <w:marTop w:val="0"/>
      <w:marBottom w:val="0"/>
      <w:divBdr>
        <w:top w:val="none" w:sz="0" w:space="0" w:color="auto"/>
        <w:left w:val="none" w:sz="0" w:space="0" w:color="auto"/>
        <w:bottom w:val="none" w:sz="0" w:space="0" w:color="auto"/>
        <w:right w:val="none" w:sz="0" w:space="0" w:color="auto"/>
      </w:divBdr>
    </w:div>
    <w:div w:id="209540524">
      <w:bodyDiv w:val="1"/>
      <w:marLeft w:val="0"/>
      <w:marRight w:val="0"/>
      <w:marTop w:val="0"/>
      <w:marBottom w:val="0"/>
      <w:divBdr>
        <w:top w:val="none" w:sz="0" w:space="0" w:color="auto"/>
        <w:left w:val="none" w:sz="0" w:space="0" w:color="auto"/>
        <w:bottom w:val="none" w:sz="0" w:space="0" w:color="auto"/>
        <w:right w:val="none" w:sz="0" w:space="0" w:color="auto"/>
      </w:divBdr>
    </w:div>
    <w:div w:id="334573859">
      <w:bodyDiv w:val="1"/>
      <w:marLeft w:val="0"/>
      <w:marRight w:val="0"/>
      <w:marTop w:val="0"/>
      <w:marBottom w:val="0"/>
      <w:divBdr>
        <w:top w:val="none" w:sz="0" w:space="0" w:color="auto"/>
        <w:left w:val="none" w:sz="0" w:space="0" w:color="auto"/>
        <w:bottom w:val="none" w:sz="0" w:space="0" w:color="auto"/>
        <w:right w:val="none" w:sz="0" w:space="0" w:color="auto"/>
      </w:divBdr>
    </w:div>
    <w:div w:id="496723777">
      <w:bodyDiv w:val="1"/>
      <w:marLeft w:val="0"/>
      <w:marRight w:val="0"/>
      <w:marTop w:val="0"/>
      <w:marBottom w:val="0"/>
      <w:divBdr>
        <w:top w:val="none" w:sz="0" w:space="0" w:color="auto"/>
        <w:left w:val="none" w:sz="0" w:space="0" w:color="auto"/>
        <w:bottom w:val="none" w:sz="0" w:space="0" w:color="auto"/>
        <w:right w:val="none" w:sz="0" w:space="0" w:color="auto"/>
      </w:divBdr>
    </w:div>
    <w:div w:id="678973576">
      <w:bodyDiv w:val="1"/>
      <w:marLeft w:val="0"/>
      <w:marRight w:val="0"/>
      <w:marTop w:val="0"/>
      <w:marBottom w:val="0"/>
      <w:divBdr>
        <w:top w:val="none" w:sz="0" w:space="0" w:color="auto"/>
        <w:left w:val="none" w:sz="0" w:space="0" w:color="auto"/>
        <w:bottom w:val="none" w:sz="0" w:space="0" w:color="auto"/>
        <w:right w:val="none" w:sz="0" w:space="0" w:color="auto"/>
      </w:divBdr>
    </w:div>
    <w:div w:id="1007445249">
      <w:bodyDiv w:val="1"/>
      <w:marLeft w:val="0"/>
      <w:marRight w:val="0"/>
      <w:marTop w:val="0"/>
      <w:marBottom w:val="0"/>
      <w:divBdr>
        <w:top w:val="none" w:sz="0" w:space="0" w:color="auto"/>
        <w:left w:val="none" w:sz="0" w:space="0" w:color="auto"/>
        <w:bottom w:val="none" w:sz="0" w:space="0" w:color="auto"/>
        <w:right w:val="none" w:sz="0" w:space="0" w:color="auto"/>
      </w:divBdr>
    </w:div>
    <w:div w:id="1033532119">
      <w:bodyDiv w:val="1"/>
      <w:marLeft w:val="0"/>
      <w:marRight w:val="0"/>
      <w:marTop w:val="0"/>
      <w:marBottom w:val="0"/>
      <w:divBdr>
        <w:top w:val="none" w:sz="0" w:space="0" w:color="auto"/>
        <w:left w:val="none" w:sz="0" w:space="0" w:color="auto"/>
        <w:bottom w:val="none" w:sz="0" w:space="0" w:color="auto"/>
        <w:right w:val="none" w:sz="0" w:space="0" w:color="auto"/>
      </w:divBdr>
    </w:div>
    <w:div w:id="110770113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63321603">
      <w:bodyDiv w:val="1"/>
      <w:marLeft w:val="0"/>
      <w:marRight w:val="0"/>
      <w:marTop w:val="0"/>
      <w:marBottom w:val="0"/>
      <w:divBdr>
        <w:top w:val="none" w:sz="0" w:space="0" w:color="auto"/>
        <w:left w:val="none" w:sz="0" w:space="0" w:color="auto"/>
        <w:bottom w:val="none" w:sz="0" w:space="0" w:color="auto"/>
        <w:right w:val="none" w:sz="0" w:space="0" w:color="auto"/>
      </w:divBdr>
    </w:div>
    <w:div w:id="1614050717">
      <w:bodyDiv w:val="1"/>
      <w:marLeft w:val="0"/>
      <w:marRight w:val="0"/>
      <w:marTop w:val="0"/>
      <w:marBottom w:val="0"/>
      <w:divBdr>
        <w:top w:val="none" w:sz="0" w:space="0" w:color="auto"/>
        <w:left w:val="none" w:sz="0" w:space="0" w:color="auto"/>
        <w:bottom w:val="none" w:sz="0" w:space="0" w:color="auto"/>
        <w:right w:val="none" w:sz="0" w:space="0" w:color="auto"/>
      </w:divBdr>
    </w:div>
    <w:div w:id="1812405379">
      <w:bodyDiv w:val="1"/>
      <w:marLeft w:val="0"/>
      <w:marRight w:val="0"/>
      <w:marTop w:val="0"/>
      <w:marBottom w:val="0"/>
      <w:divBdr>
        <w:top w:val="none" w:sz="0" w:space="0" w:color="auto"/>
        <w:left w:val="none" w:sz="0" w:space="0" w:color="auto"/>
        <w:bottom w:val="none" w:sz="0" w:space="0" w:color="auto"/>
        <w:right w:val="none" w:sz="0" w:space="0" w:color="auto"/>
      </w:divBdr>
    </w:div>
    <w:div w:id="19155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UNITOFFICE-440-2389</_dlc_DocId>
    <_dlc_DocIdUrl xmlns="5ebeba3d-fd60-4dcb-8548-a9fd3c51d9ff">
      <Url>https://intranet.undp.org/unit/office/exo/sp2014/SP201417/_layouts/15/DocIdRedir.aspx?ID=UNITOFFICE-440-2389</Url>
      <Description>UNITOFFICE-440-2389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4228AA7-A182-44FF-B52E-96D60885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4F967-AEC7-4BC2-B71A-EF705EA5DE4E}">
  <ds:schemaRefs>
    <ds:schemaRef ds:uri="http://schemas.microsoft.com/sharepoint/events"/>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6328</Words>
  <Characters>36075</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2022-06-29T18:02:00Z</cp:lastPrinted>
  <dcterms:created xsi:type="dcterms:W3CDTF">2022-10-24T10:04:00Z</dcterms:created>
  <dcterms:modified xsi:type="dcterms:W3CDTF">2022-10-31T14:50:00Z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99c2e139-92b4-4388-a3f4-adb8777a8793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